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BB6FD8" w14:paraId="0835308D" w14:textId="77777777" w:rsidTr="00C538FC">
        <w:trPr>
          <w:cantSplit/>
          <w:trHeight w:val="23"/>
        </w:trPr>
        <w:tc>
          <w:tcPr>
            <w:tcW w:w="3969" w:type="dxa"/>
            <w:vMerge w:val="restart"/>
            <w:tcMar>
              <w:left w:w="0" w:type="dxa"/>
            </w:tcMar>
          </w:tcPr>
          <w:p w14:paraId="79C106CD" w14:textId="310038BA" w:rsidR="00FE57F6" w:rsidRPr="00F4254A" w:rsidRDefault="00F4254A" w:rsidP="00F4254A">
            <w:pPr>
              <w:spacing w:before="0"/>
              <w:rPr>
                <w:b/>
                <w:bCs/>
              </w:rPr>
            </w:pPr>
            <w:bookmarkStart w:id="0" w:name="_Hlk133421839"/>
            <w:r>
              <w:rPr>
                <w:b/>
                <w:bCs/>
              </w:rPr>
              <w:t>Punto del o</w:t>
            </w:r>
            <w:r w:rsidRPr="00F4254A">
              <w:rPr>
                <w:b/>
                <w:bCs/>
              </w:rPr>
              <w:t>rden del día:</w:t>
            </w:r>
            <w:r w:rsidR="007757A2">
              <w:rPr>
                <w:b/>
                <w:bCs/>
              </w:rPr>
              <w:t xml:space="preserve"> </w:t>
            </w:r>
            <w:r w:rsidR="007757A2" w:rsidRPr="007757A2">
              <w:rPr>
                <w:b/>
                <w:bCs/>
              </w:rPr>
              <w:t>PL.2</w:t>
            </w:r>
          </w:p>
        </w:tc>
        <w:tc>
          <w:tcPr>
            <w:tcW w:w="5245" w:type="dxa"/>
          </w:tcPr>
          <w:p w14:paraId="7D2ED1D7" w14:textId="43DE9291" w:rsidR="00FE57F6" w:rsidRPr="00F4254A" w:rsidRDefault="00FE57F6" w:rsidP="00F4254A">
            <w:pPr>
              <w:spacing w:before="0"/>
              <w:jc w:val="right"/>
              <w:rPr>
                <w:b/>
                <w:bCs/>
              </w:rPr>
            </w:pPr>
            <w:r w:rsidRPr="00F4254A">
              <w:rPr>
                <w:b/>
                <w:bCs/>
              </w:rPr>
              <w:t>Document</w:t>
            </w:r>
            <w:r w:rsidR="00F24B71" w:rsidRPr="00F4254A">
              <w:rPr>
                <w:b/>
                <w:bCs/>
              </w:rPr>
              <w:t>o</w:t>
            </w:r>
            <w:r w:rsidRPr="00F4254A">
              <w:rPr>
                <w:b/>
                <w:bCs/>
              </w:rPr>
              <w:t xml:space="preserve"> C2</w:t>
            </w:r>
            <w:r w:rsidR="00BB6FD8" w:rsidRPr="00F4254A">
              <w:rPr>
                <w:b/>
                <w:bCs/>
              </w:rPr>
              <w:t>5</w:t>
            </w:r>
            <w:r w:rsidRPr="00F4254A">
              <w:rPr>
                <w:b/>
                <w:bCs/>
              </w:rPr>
              <w:t>/</w:t>
            </w:r>
            <w:r w:rsidR="007757A2">
              <w:rPr>
                <w:b/>
                <w:bCs/>
              </w:rPr>
              <w:t>56</w:t>
            </w:r>
            <w:r w:rsidRPr="00F4254A">
              <w:rPr>
                <w:b/>
                <w:bCs/>
              </w:rPr>
              <w:t>-</w:t>
            </w:r>
            <w:r w:rsidR="00F24B71" w:rsidRPr="00F4254A">
              <w:rPr>
                <w:b/>
                <w:bCs/>
              </w:rPr>
              <w:t>S</w:t>
            </w:r>
          </w:p>
        </w:tc>
      </w:tr>
      <w:tr w:rsidR="00FE57F6" w:rsidRPr="00666D09" w14:paraId="55771673" w14:textId="77777777" w:rsidTr="00C538FC">
        <w:trPr>
          <w:cantSplit/>
        </w:trPr>
        <w:tc>
          <w:tcPr>
            <w:tcW w:w="3969" w:type="dxa"/>
            <w:vMerge/>
          </w:tcPr>
          <w:p w14:paraId="7B94460B" w14:textId="77777777" w:rsidR="00FE57F6" w:rsidRPr="00BB6FD8" w:rsidRDefault="00FE57F6" w:rsidP="00C538FC">
            <w:pPr>
              <w:tabs>
                <w:tab w:val="left" w:pos="851"/>
              </w:tabs>
              <w:spacing w:line="240" w:lineRule="atLeast"/>
              <w:rPr>
                <w:b/>
              </w:rPr>
            </w:pPr>
          </w:p>
        </w:tc>
        <w:tc>
          <w:tcPr>
            <w:tcW w:w="5245" w:type="dxa"/>
          </w:tcPr>
          <w:p w14:paraId="02501660" w14:textId="65BA7698" w:rsidR="00FE57F6" w:rsidRPr="00666D09" w:rsidRDefault="007757A2" w:rsidP="00C538FC">
            <w:pPr>
              <w:tabs>
                <w:tab w:val="left" w:pos="851"/>
              </w:tabs>
              <w:spacing w:before="0"/>
              <w:jc w:val="right"/>
              <w:rPr>
                <w:b/>
                <w:lang w:val="en-GB"/>
              </w:rPr>
            </w:pPr>
            <w:r>
              <w:rPr>
                <w:b/>
                <w:lang w:val="es-ES"/>
              </w:rPr>
              <w:t>16 de mayo de 2025</w:t>
            </w:r>
          </w:p>
        </w:tc>
      </w:tr>
      <w:tr w:rsidR="00FE57F6" w:rsidRPr="00BB6FD8" w14:paraId="67602F55" w14:textId="77777777" w:rsidTr="00C538FC">
        <w:trPr>
          <w:cantSplit/>
          <w:trHeight w:val="23"/>
        </w:trPr>
        <w:tc>
          <w:tcPr>
            <w:tcW w:w="3969" w:type="dxa"/>
            <w:vMerge/>
          </w:tcPr>
          <w:p w14:paraId="54A50EBF" w14:textId="77777777" w:rsidR="00FE57F6" w:rsidRPr="00666D09" w:rsidRDefault="00FE57F6" w:rsidP="00C538FC">
            <w:pPr>
              <w:tabs>
                <w:tab w:val="left" w:pos="851"/>
              </w:tabs>
              <w:spacing w:line="240" w:lineRule="atLeast"/>
              <w:rPr>
                <w:b/>
                <w:lang w:val="en-GB"/>
              </w:rPr>
            </w:pPr>
          </w:p>
        </w:tc>
        <w:tc>
          <w:tcPr>
            <w:tcW w:w="5245" w:type="dxa"/>
          </w:tcPr>
          <w:p w14:paraId="5B33A57A" w14:textId="77777777" w:rsidR="00FE57F6" w:rsidRPr="00F4254A" w:rsidRDefault="00F24B71" w:rsidP="00F4254A">
            <w:pPr>
              <w:spacing w:before="0"/>
              <w:jc w:val="right"/>
              <w:rPr>
                <w:b/>
                <w:bCs/>
              </w:rPr>
            </w:pPr>
            <w:r w:rsidRPr="00F4254A">
              <w:rPr>
                <w:b/>
                <w:bCs/>
              </w:rPr>
              <w:t>Original: inglés</w:t>
            </w:r>
          </w:p>
        </w:tc>
      </w:tr>
      <w:tr w:rsidR="00FE57F6" w:rsidRPr="00BB6FD8" w14:paraId="78E66FB6" w14:textId="77777777" w:rsidTr="00C538FC">
        <w:trPr>
          <w:cantSplit/>
          <w:trHeight w:val="23"/>
        </w:trPr>
        <w:tc>
          <w:tcPr>
            <w:tcW w:w="3969" w:type="dxa"/>
          </w:tcPr>
          <w:p w14:paraId="7004ACF0" w14:textId="77777777" w:rsidR="00FE57F6" w:rsidRPr="00BB6FD8" w:rsidRDefault="00FE57F6" w:rsidP="00C538FC">
            <w:pPr>
              <w:tabs>
                <w:tab w:val="left" w:pos="851"/>
              </w:tabs>
              <w:spacing w:line="240" w:lineRule="atLeast"/>
              <w:rPr>
                <w:b/>
              </w:rPr>
            </w:pPr>
          </w:p>
        </w:tc>
        <w:tc>
          <w:tcPr>
            <w:tcW w:w="5245" w:type="dxa"/>
          </w:tcPr>
          <w:p w14:paraId="7E6B63F3" w14:textId="77777777" w:rsidR="00FE57F6" w:rsidRPr="00BB6FD8" w:rsidRDefault="00FE57F6" w:rsidP="00C538FC">
            <w:pPr>
              <w:tabs>
                <w:tab w:val="left" w:pos="851"/>
              </w:tabs>
              <w:spacing w:before="0" w:line="240" w:lineRule="atLeast"/>
              <w:jc w:val="right"/>
              <w:rPr>
                <w:b/>
              </w:rPr>
            </w:pPr>
          </w:p>
        </w:tc>
      </w:tr>
      <w:tr w:rsidR="00FE57F6" w:rsidRPr="00BB6FD8" w14:paraId="52B95C9E" w14:textId="77777777" w:rsidTr="00C538FC">
        <w:trPr>
          <w:cantSplit/>
        </w:trPr>
        <w:tc>
          <w:tcPr>
            <w:tcW w:w="9214" w:type="dxa"/>
            <w:gridSpan w:val="2"/>
            <w:tcMar>
              <w:left w:w="0" w:type="dxa"/>
            </w:tcMar>
          </w:tcPr>
          <w:p w14:paraId="3B58A4DC" w14:textId="77777777" w:rsidR="00FE57F6" w:rsidRPr="00F4254A" w:rsidRDefault="00157AC4" w:rsidP="00F4254A">
            <w:pPr>
              <w:pStyle w:val="Source"/>
              <w:jc w:val="left"/>
              <w:rPr>
                <w:sz w:val="34"/>
                <w:szCs w:val="34"/>
              </w:rPr>
            </w:pPr>
            <w:r w:rsidRPr="00F4254A">
              <w:rPr>
                <w:sz w:val="34"/>
                <w:szCs w:val="34"/>
              </w:rPr>
              <w:t>Informe de la Secretaria General</w:t>
            </w:r>
          </w:p>
        </w:tc>
      </w:tr>
      <w:tr w:rsidR="00FE57F6" w:rsidRPr="00BB6FD8" w14:paraId="5774F351" w14:textId="77777777" w:rsidTr="00C538FC">
        <w:trPr>
          <w:cantSplit/>
        </w:trPr>
        <w:tc>
          <w:tcPr>
            <w:tcW w:w="9214" w:type="dxa"/>
            <w:gridSpan w:val="2"/>
            <w:tcMar>
              <w:left w:w="0" w:type="dxa"/>
            </w:tcMar>
          </w:tcPr>
          <w:p w14:paraId="2C230B4A" w14:textId="1141EBA4" w:rsidR="00FE57F6" w:rsidRPr="00F92BED" w:rsidRDefault="00F811D9" w:rsidP="007757A2">
            <w:pPr>
              <w:pStyle w:val="Subtitle"/>
              <w:framePr w:hSpace="0" w:wrap="auto" w:vAnchor="margin" w:hAnchor="text" w:xAlign="left" w:yAlign="inline"/>
            </w:pPr>
            <w:r w:rsidRPr="007757A2">
              <w:rPr>
                <w:lang w:val="es-ES"/>
              </w:rPr>
              <w:t xml:space="preserve">INFORME DE LA RESOLUCIÓN 214 (BUCAREST, 2022) DE LA PP </w:t>
            </w:r>
            <w:r>
              <w:rPr>
                <w:lang w:val="es-ES"/>
              </w:rPr>
              <w:t xml:space="preserve">– </w:t>
            </w:r>
            <w:r>
              <w:rPr>
                <w:lang w:val="es-ES"/>
              </w:rPr>
              <w:br/>
            </w:r>
            <w:r w:rsidRPr="007757A2">
              <w:rPr>
                <w:lang w:val="es-ES"/>
              </w:rPr>
              <w:t xml:space="preserve">"LAS TECNOLOGÍAS DE INTELIGENCIA ARTIFICIAL Y LAS TELECOMUNICACIONES/TECNOLOGÍAS DE LA INFORMACIÓN </w:t>
            </w:r>
            <w:r>
              <w:rPr>
                <w:lang w:val="es-ES"/>
              </w:rPr>
              <w:br/>
            </w:r>
            <w:r w:rsidRPr="007757A2">
              <w:rPr>
                <w:lang w:val="es-ES"/>
              </w:rPr>
              <w:t>Y LA COMUNICACIÓN"</w:t>
            </w:r>
          </w:p>
        </w:tc>
      </w:tr>
      <w:tr w:rsidR="00FE57F6" w:rsidRPr="00BB6FD8" w14:paraId="331002A9" w14:textId="77777777" w:rsidTr="00C538FC">
        <w:trPr>
          <w:cantSplit/>
        </w:trPr>
        <w:tc>
          <w:tcPr>
            <w:tcW w:w="9214" w:type="dxa"/>
            <w:gridSpan w:val="2"/>
            <w:tcBorders>
              <w:top w:val="single" w:sz="4" w:space="0" w:color="auto"/>
              <w:bottom w:val="single" w:sz="4" w:space="0" w:color="auto"/>
            </w:tcBorders>
            <w:tcMar>
              <w:left w:w="0" w:type="dxa"/>
            </w:tcMar>
          </w:tcPr>
          <w:p w14:paraId="3CA757AC" w14:textId="77777777" w:rsidR="00FE57F6" w:rsidRPr="00BB6FD8" w:rsidRDefault="00F24B71" w:rsidP="00C538FC">
            <w:pPr>
              <w:spacing w:before="160"/>
              <w:rPr>
                <w:b/>
                <w:bCs/>
                <w:sz w:val="26"/>
                <w:szCs w:val="26"/>
              </w:rPr>
            </w:pPr>
            <w:r w:rsidRPr="00BB6FD8">
              <w:rPr>
                <w:b/>
                <w:bCs/>
                <w:sz w:val="26"/>
                <w:szCs w:val="26"/>
              </w:rPr>
              <w:t>Finalidad</w:t>
            </w:r>
          </w:p>
          <w:p w14:paraId="7ADB34E0" w14:textId="4737BF4A" w:rsidR="00FE57F6" w:rsidRPr="00BB6FD8" w:rsidRDefault="007757A2" w:rsidP="00F811D9">
            <w:pPr>
              <w:jc w:val="both"/>
            </w:pPr>
            <w:r w:rsidRPr="007757A2">
              <w:rPr>
                <w:lang w:val="es-ES"/>
              </w:rPr>
              <w:t>El objetivo de este documento es presentar un informe global sobre las actividades de la UIT relacionadas con la inteligencia artificial (IA), su rápido crecimiento y las cada vez mayores demandas de nuestros Miembros e interesados.</w:t>
            </w:r>
          </w:p>
          <w:p w14:paraId="46887BF2" w14:textId="77777777" w:rsidR="00FE57F6" w:rsidRPr="00BB6FD8" w:rsidRDefault="00F24B71" w:rsidP="00C538FC">
            <w:pPr>
              <w:spacing w:before="160"/>
              <w:rPr>
                <w:b/>
                <w:bCs/>
                <w:sz w:val="26"/>
                <w:szCs w:val="26"/>
              </w:rPr>
            </w:pPr>
            <w:r w:rsidRPr="00BB6FD8">
              <w:rPr>
                <w:b/>
                <w:bCs/>
                <w:sz w:val="26"/>
                <w:szCs w:val="26"/>
              </w:rPr>
              <w:t xml:space="preserve">Acción solicitada </w:t>
            </w:r>
            <w:r w:rsidR="00677A97" w:rsidRPr="00BB6FD8">
              <w:rPr>
                <w:b/>
                <w:bCs/>
                <w:sz w:val="26"/>
                <w:szCs w:val="26"/>
              </w:rPr>
              <w:t>al</w:t>
            </w:r>
            <w:r w:rsidRPr="00BB6FD8">
              <w:rPr>
                <w:b/>
                <w:bCs/>
                <w:sz w:val="26"/>
                <w:szCs w:val="26"/>
              </w:rPr>
              <w:t xml:space="preserve"> Consejo</w:t>
            </w:r>
          </w:p>
          <w:p w14:paraId="7D07D571" w14:textId="36424D16" w:rsidR="00F92BED" w:rsidRPr="00F92BED" w:rsidRDefault="007757A2" w:rsidP="007757A2">
            <w:pPr>
              <w:rPr>
                <w:lang w:val="es-ES"/>
              </w:rPr>
            </w:pPr>
            <w:r w:rsidRPr="007757A2">
              <w:rPr>
                <w:lang w:val="es-ES"/>
              </w:rPr>
              <w:t xml:space="preserve">Se invita al Consejo a </w:t>
            </w:r>
            <w:r w:rsidRPr="007757A2">
              <w:rPr>
                <w:b/>
                <w:bCs/>
                <w:lang w:val="es-ES"/>
              </w:rPr>
              <w:t xml:space="preserve">tomar nota </w:t>
            </w:r>
            <w:r w:rsidRPr="007757A2">
              <w:rPr>
                <w:lang w:val="es-ES"/>
              </w:rPr>
              <w:t>del documento.</w:t>
            </w:r>
          </w:p>
          <w:p w14:paraId="30944AC9" w14:textId="77777777" w:rsidR="00F92BED" w:rsidRPr="00F24B71" w:rsidRDefault="00F92BED" w:rsidP="00F92BED">
            <w:pPr>
              <w:spacing w:before="160"/>
              <w:rPr>
                <w:b/>
                <w:bCs/>
                <w:sz w:val="26"/>
                <w:szCs w:val="26"/>
                <w:lang w:val="es-ES"/>
              </w:rPr>
            </w:pPr>
            <w:r w:rsidRPr="00F24B71">
              <w:rPr>
                <w:b/>
                <w:bCs/>
                <w:sz w:val="26"/>
                <w:szCs w:val="26"/>
                <w:lang w:val="es-ES"/>
              </w:rPr>
              <w:t>Vínculo</w:t>
            </w:r>
            <w:r>
              <w:rPr>
                <w:b/>
                <w:bCs/>
                <w:sz w:val="26"/>
                <w:szCs w:val="26"/>
                <w:lang w:val="es-ES"/>
              </w:rPr>
              <w:t>(</w:t>
            </w:r>
            <w:r w:rsidRPr="00F24B71">
              <w:rPr>
                <w:b/>
                <w:bCs/>
                <w:sz w:val="26"/>
                <w:szCs w:val="26"/>
                <w:lang w:val="es-ES"/>
              </w:rPr>
              <w:t>s</w:t>
            </w:r>
            <w:r>
              <w:rPr>
                <w:b/>
                <w:bCs/>
                <w:sz w:val="26"/>
                <w:szCs w:val="26"/>
                <w:lang w:val="es-ES"/>
              </w:rPr>
              <w:t>)</w:t>
            </w:r>
            <w:r w:rsidRPr="00F24B71">
              <w:rPr>
                <w:b/>
                <w:bCs/>
                <w:sz w:val="26"/>
                <w:szCs w:val="26"/>
                <w:lang w:val="es-ES"/>
              </w:rPr>
              <w:t xml:space="preserve"> pertinente</w:t>
            </w:r>
            <w:r>
              <w:rPr>
                <w:b/>
                <w:bCs/>
                <w:sz w:val="26"/>
                <w:szCs w:val="26"/>
                <w:lang w:val="es-ES"/>
              </w:rPr>
              <w:t>(</w:t>
            </w:r>
            <w:r w:rsidRPr="00F24B71">
              <w:rPr>
                <w:b/>
                <w:bCs/>
                <w:sz w:val="26"/>
                <w:szCs w:val="26"/>
                <w:lang w:val="es-ES"/>
              </w:rPr>
              <w:t>s</w:t>
            </w:r>
            <w:r>
              <w:rPr>
                <w:b/>
                <w:bCs/>
                <w:sz w:val="26"/>
                <w:szCs w:val="26"/>
                <w:lang w:val="es-ES"/>
              </w:rPr>
              <w:t>)</w:t>
            </w:r>
            <w:r w:rsidRPr="00F24B71">
              <w:rPr>
                <w:b/>
                <w:bCs/>
                <w:sz w:val="26"/>
                <w:szCs w:val="26"/>
                <w:lang w:val="es-ES"/>
              </w:rPr>
              <w:t xml:space="preserve"> con el Plan Estratégico</w:t>
            </w:r>
          </w:p>
          <w:p w14:paraId="4405C8E0" w14:textId="3A9C1656" w:rsidR="00F92BED" w:rsidRPr="00F24B71" w:rsidRDefault="007757A2" w:rsidP="00F811D9">
            <w:pPr>
              <w:jc w:val="both"/>
              <w:rPr>
                <w:lang w:val="es-ES"/>
              </w:rPr>
            </w:pPr>
            <w:r w:rsidRPr="007757A2">
              <w:rPr>
                <w:lang w:val="es-ES"/>
              </w:rPr>
              <w:t xml:space="preserve">Elaboración de normas internacionales; </w:t>
            </w:r>
            <w:r w:rsidR="00D6466D">
              <w:rPr>
                <w:lang w:val="es-ES"/>
              </w:rPr>
              <w:t>e</w:t>
            </w:r>
            <w:r w:rsidRPr="007757A2">
              <w:rPr>
                <w:lang w:val="es-ES"/>
              </w:rPr>
              <w:t xml:space="preserve">laboración de marcos políticos y productos de conocimiento; </w:t>
            </w:r>
            <w:r w:rsidR="00D6466D">
              <w:rPr>
                <w:lang w:val="es-ES"/>
              </w:rPr>
              <w:t>d</w:t>
            </w:r>
            <w:r w:rsidRPr="007757A2">
              <w:rPr>
                <w:lang w:val="es-ES"/>
              </w:rPr>
              <w:t xml:space="preserve">esarrollo de capacidades; </w:t>
            </w:r>
            <w:r w:rsidR="00D6466D">
              <w:rPr>
                <w:lang w:val="es-ES"/>
              </w:rPr>
              <w:t>c</w:t>
            </w:r>
            <w:r w:rsidRPr="007757A2">
              <w:rPr>
                <w:lang w:val="es-ES"/>
              </w:rPr>
              <w:t>reación de plataformas</w:t>
            </w:r>
          </w:p>
          <w:p w14:paraId="2CF81AA2" w14:textId="77777777" w:rsidR="00F92BED" w:rsidRDefault="00F92BED" w:rsidP="00F92BED">
            <w:pPr>
              <w:spacing w:before="160"/>
              <w:rPr>
                <w:b/>
                <w:bCs/>
                <w:sz w:val="26"/>
                <w:szCs w:val="26"/>
              </w:rPr>
            </w:pPr>
            <w:r w:rsidRPr="00F24B71">
              <w:rPr>
                <w:b/>
                <w:bCs/>
                <w:sz w:val="26"/>
                <w:szCs w:val="26"/>
              </w:rPr>
              <w:t>Repercusiones financieras</w:t>
            </w:r>
          </w:p>
          <w:p w14:paraId="452289D9" w14:textId="3FDBB7FB" w:rsidR="00F92BED" w:rsidRPr="00BB6FD8" w:rsidRDefault="007757A2" w:rsidP="007757A2">
            <w:r w:rsidRPr="007757A2">
              <w:rPr>
                <w:lang w:val="es-ES"/>
              </w:rPr>
              <w:t>Se ha solicitado financiación adicional para sus actividades relacionadas con la IA (véase el Documento</w:t>
            </w:r>
            <w:r w:rsidR="00BF4057">
              <w:rPr>
                <w:lang w:val="es-ES"/>
              </w:rPr>
              <w:t> </w:t>
            </w:r>
            <w:hyperlink r:id="rId7" w:history="1">
              <w:r w:rsidRPr="007757A2">
                <w:rPr>
                  <w:rStyle w:val="Hyperlink"/>
                  <w:lang w:val="es-ES"/>
                </w:rPr>
                <w:t>C25/43</w:t>
              </w:r>
            </w:hyperlink>
            <w:r w:rsidRPr="007757A2">
              <w:rPr>
                <w:lang w:val="es-ES"/>
              </w:rPr>
              <w:t xml:space="preserve"> del Consejo).</w:t>
            </w:r>
          </w:p>
          <w:p w14:paraId="590F313B" w14:textId="77777777" w:rsidR="00FE57F6" w:rsidRPr="00BB6FD8" w:rsidRDefault="00FE57F6" w:rsidP="00C538FC">
            <w:pPr>
              <w:spacing w:before="160"/>
              <w:rPr>
                <w:caps/>
                <w:sz w:val="22"/>
              </w:rPr>
            </w:pPr>
            <w:r w:rsidRPr="00BB6FD8">
              <w:rPr>
                <w:sz w:val="22"/>
              </w:rPr>
              <w:t>__________________</w:t>
            </w:r>
          </w:p>
          <w:p w14:paraId="36E097C0" w14:textId="34148923" w:rsidR="00FE57F6" w:rsidRPr="00BB6FD8" w:rsidRDefault="00F24B71" w:rsidP="00C538FC">
            <w:pPr>
              <w:spacing w:before="160"/>
              <w:rPr>
                <w:b/>
                <w:bCs/>
                <w:sz w:val="26"/>
                <w:szCs w:val="26"/>
              </w:rPr>
            </w:pPr>
            <w:r w:rsidRPr="00BB6FD8">
              <w:rPr>
                <w:b/>
                <w:bCs/>
                <w:sz w:val="26"/>
                <w:szCs w:val="26"/>
              </w:rPr>
              <w:t>Referencia</w:t>
            </w:r>
            <w:r w:rsidR="00F92BED">
              <w:rPr>
                <w:b/>
                <w:bCs/>
                <w:sz w:val="26"/>
                <w:szCs w:val="26"/>
              </w:rPr>
              <w:t>s</w:t>
            </w:r>
          </w:p>
          <w:p w14:paraId="612A6921" w14:textId="28E35E4E" w:rsidR="00FE57F6" w:rsidRPr="00F811D9" w:rsidRDefault="00D6466D" w:rsidP="007757A2">
            <w:pPr>
              <w:spacing w:after="120"/>
              <w:rPr>
                <w:i/>
                <w:iCs/>
                <w:sz w:val="22"/>
                <w:szCs w:val="22"/>
              </w:rPr>
            </w:pPr>
            <w:hyperlink r:id="rId8" w:history="1">
              <w:r w:rsidRPr="00F811D9">
                <w:rPr>
                  <w:rStyle w:val="Hyperlink"/>
                  <w:i/>
                  <w:iCs/>
                  <w:sz w:val="22"/>
                  <w:szCs w:val="22"/>
                  <w:lang w:val="es-ES"/>
                </w:rPr>
                <w:t>Resolución 214 (Bucarest, 2022) de la Conferencia de Plenipotenciarios</w:t>
              </w:r>
            </w:hyperlink>
            <w:r w:rsidR="007757A2" w:rsidRPr="00F811D9">
              <w:rPr>
                <w:i/>
                <w:iCs/>
                <w:sz w:val="22"/>
                <w:szCs w:val="22"/>
                <w:lang w:val="es-ES"/>
              </w:rPr>
              <w:t xml:space="preserve">, </w:t>
            </w:r>
            <w:hyperlink r:id="rId9" w:history="1">
              <w:r w:rsidR="007757A2" w:rsidRPr="00F811D9">
                <w:rPr>
                  <w:rStyle w:val="Hyperlink"/>
                  <w:i/>
                  <w:iCs/>
                  <w:sz w:val="22"/>
                  <w:szCs w:val="22"/>
                  <w:lang w:val="es-ES"/>
                </w:rPr>
                <w:t>Resolución</w:t>
              </w:r>
              <w:r w:rsidR="00BF4057" w:rsidRPr="00F811D9">
                <w:rPr>
                  <w:rStyle w:val="Hyperlink"/>
                  <w:i/>
                  <w:iCs/>
                  <w:sz w:val="22"/>
                  <w:szCs w:val="22"/>
                  <w:lang w:val="es-ES"/>
                </w:rPr>
                <w:t> </w:t>
              </w:r>
              <w:r w:rsidR="007757A2" w:rsidRPr="00F811D9">
                <w:rPr>
                  <w:rStyle w:val="Hyperlink"/>
                  <w:i/>
                  <w:iCs/>
                  <w:sz w:val="22"/>
                  <w:szCs w:val="22"/>
                  <w:lang w:val="es-ES"/>
                </w:rPr>
                <w:t>101 (Nueva Delhi, 2024) de la AMNT de la UIT</w:t>
              </w:r>
            </w:hyperlink>
          </w:p>
        </w:tc>
      </w:tr>
      <w:bookmarkEnd w:id="0"/>
    </w:tbl>
    <w:p w14:paraId="09C7994F" w14:textId="77777777" w:rsidR="001559F5" w:rsidRPr="00BB6FD8" w:rsidRDefault="001559F5" w:rsidP="00F4254A">
      <w:r w:rsidRPr="00BB6FD8">
        <w:br w:type="page"/>
      </w:r>
    </w:p>
    <w:p w14:paraId="2BC84709" w14:textId="77777777" w:rsidR="00BF4057" w:rsidRPr="00BF4057" w:rsidRDefault="00BF4057" w:rsidP="00F811D9">
      <w:pPr>
        <w:jc w:val="both"/>
        <w:rPr>
          <w:lang w:val="es-ES"/>
        </w:rPr>
      </w:pPr>
      <w:r w:rsidRPr="00BF4057">
        <w:rPr>
          <w:lang w:val="es-ES"/>
        </w:rPr>
        <w:lastRenderedPageBreak/>
        <w:t>La UIT ha estado a la vanguardia de la inteligencia artificial (IA) desde 2017 con el objetivo de determinar qué aplicaciones de IA ofrecen una solución para los desafíos globales y contribuir a la conectividad universal y la transformación digital sostenible.</w:t>
      </w:r>
    </w:p>
    <w:p w14:paraId="3D59F7AA" w14:textId="088B3F82" w:rsidR="00BF4057" w:rsidRPr="00BF4057" w:rsidRDefault="00BF4057" w:rsidP="00F811D9">
      <w:pPr>
        <w:jc w:val="both"/>
        <w:rPr>
          <w:lang w:val="es-ES"/>
        </w:rPr>
      </w:pPr>
      <w:r w:rsidRPr="00BF4057">
        <w:rPr>
          <w:lang w:val="es-ES"/>
        </w:rPr>
        <w:t xml:space="preserve">La UIT está ejecutando un ambicioso programa sobre la IA, siguiendo las orientaciones de la </w:t>
      </w:r>
      <w:hyperlink r:id="rId10" w:history="1">
        <w:r w:rsidRPr="00BF4057">
          <w:rPr>
            <w:rStyle w:val="Hyperlink"/>
            <w:lang w:val="es-ES"/>
          </w:rPr>
          <w:t>Resolución</w:t>
        </w:r>
        <w:r>
          <w:rPr>
            <w:rStyle w:val="Hyperlink"/>
            <w:lang w:val="es-ES"/>
          </w:rPr>
          <w:t> </w:t>
        </w:r>
        <w:r w:rsidRPr="00BF4057">
          <w:rPr>
            <w:rStyle w:val="Hyperlink"/>
            <w:lang w:val="es-ES"/>
          </w:rPr>
          <w:t>214 (Bucarest, 2022)</w:t>
        </w:r>
      </w:hyperlink>
      <w:r w:rsidRPr="00BF4057">
        <w:rPr>
          <w:lang w:val="es-ES"/>
        </w:rPr>
        <w:t xml:space="preserve"> de la Conferencia de Plenipotenciarios, y ampliado por la </w:t>
      </w:r>
      <w:hyperlink r:id="rId11" w:history="1">
        <w:r w:rsidRPr="00BF4057">
          <w:rPr>
            <w:rStyle w:val="Hyperlink"/>
            <w:lang w:val="es-ES"/>
          </w:rPr>
          <w:t>Resolución</w:t>
        </w:r>
        <w:r>
          <w:rPr>
            <w:rStyle w:val="Hyperlink"/>
            <w:lang w:val="es-ES"/>
          </w:rPr>
          <w:t> </w:t>
        </w:r>
        <w:r w:rsidRPr="00BF4057">
          <w:rPr>
            <w:rStyle w:val="Hyperlink"/>
            <w:lang w:val="es-ES"/>
          </w:rPr>
          <w:t>78/265</w:t>
        </w:r>
      </w:hyperlink>
      <w:r w:rsidRPr="00BF4057">
        <w:rPr>
          <w:lang w:val="es-ES"/>
        </w:rPr>
        <w:t xml:space="preserve"> y la </w:t>
      </w:r>
      <w:hyperlink r:id="rId12" w:history="1">
        <w:r w:rsidRPr="00BF4057">
          <w:rPr>
            <w:rStyle w:val="Hyperlink"/>
            <w:lang w:val="es-ES"/>
          </w:rPr>
          <w:t>Resolución</w:t>
        </w:r>
        <w:r>
          <w:rPr>
            <w:rStyle w:val="Hyperlink"/>
            <w:lang w:val="es-ES"/>
          </w:rPr>
          <w:t> </w:t>
        </w:r>
        <w:r w:rsidRPr="00BF4057">
          <w:rPr>
            <w:rStyle w:val="Hyperlink"/>
            <w:lang w:val="es-ES"/>
          </w:rPr>
          <w:t>78/311</w:t>
        </w:r>
      </w:hyperlink>
      <w:r w:rsidRPr="00BF4057">
        <w:rPr>
          <w:lang w:val="es-ES"/>
        </w:rPr>
        <w:t xml:space="preserve"> de la Asamblea General de las Naciones Unidas. Estas Resoluciones sobre la IA subrayan la necesidad de crear sistemas de IA seguros y fiables que aporten su contribución al desarrollo sostenible inclusivo.</w:t>
      </w:r>
    </w:p>
    <w:p w14:paraId="3F7F14F7" w14:textId="20221538" w:rsidR="00BF4057" w:rsidRPr="00BF4057" w:rsidRDefault="00BF4057" w:rsidP="00F811D9">
      <w:pPr>
        <w:jc w:val="both"/>
        <w:rPr>
          <w:lang w:val="es-ES"/>
        </w:rPr>
      </w:pPr>
      <w:r w:rsidRPr="00BF4057">
        <w:rPr>
          <w:lang w:val="es-ES"/>
        </w:rPr>
        <w:t>La UIT cuenta con más de 315</w:t>
      </w:r>
      <w:r w:rsidR="00D6466D">
        <w:rPr>
          <w:lang w:val="es-ES"/>
        </w:rPr>
        <w:t> </w:t>
      </w:r>
      <w:r w:rsidRPr="00BF4057">
        <w:rPr>
          <w:lang w:val="es-ES"/>
        </w:rPr>
        <w:t xml:space="preserve">normas sobre la IA publicadas o en fase de desarrollo. En este esfuerzo cuenta con el apoyo de sus numerosos </w:t>
      </w:r>
      <w:r w:rsidR="00D6466D">
        <w:rPr>
          <w:lang w:val="es-ES"/>
        </w:rPr>
        <w:t>m</w:t>
      </w:r>
      <w:r w:rsidRPr="00BF4057">
        <w:rPr>
          <w:lang w:val="es-ES"/>
        </w:rPr>
        <w:t xml:space="preserve">iembros y se ve intensificado por la colaboración con la Organización Internacional de Normalización (ISO) y la Comisión Electrotécnica Internacional (CEI), sus socias en la World Standards Cooperation (WSC). Además, la coordinación se extiende a otros organismos de normalización y organismos de las Naciones Unidas. En adopción de la </w:t>
      </w:r>
      <w:hyperlink r:id="rId13" w:history="1">
        <w:r w:rsidRPr="00BF4057">
          <w:rPr>
            <w:rStyle w:val="Hyperlink"/>
            <w:lang w:val="es-ES"/>
          </w:rPr>
          <w:t>Resolución</w:t>
        </w:r>
        <w:r>
          <w:rPr>
            <w:rStyle w:val="Hyperlink"/>
            <w:lang w:val="es-ES"/>
          </w:rPr>
          <w:t> </w:t>
        </w:r>
        <w:r w:rsidRPr="00BF4057">
          <w:rPr>
            <w:rStyle w:val="Hyperlink"/>
            <w:lang w:val="es-ES"/>
          </w:rPr>
          <w:t>101 (Nueva Delhi, 2024)</w:t>
        </w:r>
      </w:hyperlink>
      <w:r w:rsidRPr="00BF4057">
        <w:rPr>
          <w:lang w:val="es-ES"/>
        </w:rPr>
        <w:t xml:space="preserve"> pone más la reconocida contribución de la UIT a la definición de normas de IA fiables.</w:t>
      </w:r>
    </w:p>
    <w:p w14:paraId="09542A44" w14:textId="551D4E72" w:rsidR="00BF4057" w:rsidRPr="00BF4057" w:rsidRDefault="00BF4057" w:rsidP="00F811D9">
      <w:pPr>
        <w:jc w:val="both"/>
        <w:rPr>
          <w:lang w:val="es-ES"/>
        </w:rPr>
      </w:pPr>
      <w:r w:rsidRPr="00BF4057">
        <w:rPr>
          <w:lang w:val="es-ES"/>
        </w:rPr>
        <w:t>En el centro de los esfuerzos de la UIT se encuentra la plataforma AI for Good, dirigida por la</w:t>
      </w:r>
      <w:r w:rsidR="00D6466D">
        <w:rPr>
          <w:lang w:val="es-ES"/>
        </w:rPr>
        <w:t> </w:t>
      </w:r>
      <w:r w:rsidRPr="00BF4057">
        <w:rPr>
          <w:lang w:val="es-ES"/>
        </w:rPr>
        <w:t>UIT y apoyada por más de 40</w:t>
      </w:r>
      <w:r w:rsidR="00D6466D">
        <w:rPr>
          <w:lang w:val="es-ES"/>
        </w:rPr>
        <w:t> </w:t>
      </w:r>
      <w:r w:rsidRPr="00BF4057">
        <w:rPr>
          <w:lang w:val="es-ES"/>
        </w:rPr>
        <w:t>socios de las Naciones Unidas, cuyo objetivo es identificar aplicaciones de IA innovadoras, crear competencias y normas y promover las asociaciones para hacer frente a los desafíos mundiales.</w:t>
      </w:r>
    </w:p>
    <w:p w14:paraId="7CE620B5" w14:textId="24158FDB" w:rsidR="00BF4057" w:rsidRPr="00BF4057" w:rsidRDefault="00BF4057" w:rsidP="00F811D9">
      <w:pPr>
        <w:jc w:val="both"/>
        <w:rPr>
          <w:lang w:val="es-ES"/>
        </w:rPr>
      </w:pPr>
      <w:r w:rsidRPr="00BF4057">
        <w:rPr>
          <w:lang w:val="es-ES"/>
        </w:rPr>
        <w:t xml:space="preserve">Además, la UIT copreside el </w:t>
      </w:r>
      <w:hyperlink r:id="rId14" w:history="1">
        <w:r w:rsidRPr="00BF4057">
          <w:rPr>
            <w:rStyle w:val="Hyperlink"/>
            <w:lang w:val="es-ES"/>
          </w:rPr>
          <w:t>Grupo de Trabajo Interinstitucional de las Naciones Unidas sobre</w:t>
        </w:r>
        <w:r w:rsidR="00D6466D">
          <w:rPr>
            <w:rStyle w:val="Hyperlink"/>
            <w:lang w:val="es-ES"/>
          </w:rPr>
          <w:t> </w:t>
        </w:r>
        <w:r w:rsidRPr="00BF4057">
          <w:rPr>
            <w:rStyle w:val="Hyperlink"/>
            <w:lang w:val="es-ES"/>
          </w:rPr>
          <w:t>IA</w:t>
        </w:r>
      </w:hyperlink>
      <w:r w:rsidRPr="00BF4057">
        <w:rPr>
          <w:lang w:val="es-ES"/>
        </w:rPr>
        <w:t xml:space="preserve"> y el subgrupo especializado en IA del Grupo de Trabajo sobre Tecnologías Digitales, fomentando la coordinación y la coherencia normativa en materia de IA en todo el sistema de las Naciones Unidas como parte de sus esfuerzos de apoyo a los Estados Miembros y otras partes interesadas, así como la aplicación del Pacto Digital Mundial (PDM).</w:t>
      </w:r>
    </w:p>
    <w:p w14:paraId="2381ADD3" w14:textId="77777777" w:rsidR="00BF4057" w:rsidRPr="00BF4057" w:rsidRDefault="00BF4057" w:rsidP="00F811D9">
      <w:pPr>
        <w:jc w:val="both"/>
        <w:rPr>
          <w:lang w:val="es-ES"/>
        </w:rPr>
      </w:pPr>
      <w:r w:rsidRPr="00BF4057">
        <w:rPr>
          <w:lang w:val="es-ES"/>
        </w:rPr>
        <w:t>Como la demanda de actividades sobre IA está aumentando de forma notable, la UIT está adaptando sus programas para dar respuesta a las necesidades a nivel mundial. En este Informe se detalla el papel de la UIT a la hora de aprovechar los beneficios que ofrece la IA, minimizando al mismo tiempo los riesgos y ayudando a los Miembros, a los asociados de las Naciones Unidas y a otras partes interesadas de la IA a desempeñar su trabajo a fin de garantizar un futuro sostenible.</w:t>
      </w:r>
    </w:p>
    <w:p w14:paraId="40F64B0C" w14:textId="77777777" w:rsidR="00BF4057" w:rsidRPr="00BF4057" w:rsidRDefault="00BF4057" w:rsidP="00BF4057">
      <w:pPr>
        <w:pStyle w:val="Headingb"/>
        <w:rPr>
          <w:lang w:val="es-ES"/>
        </w:rPr>
      </w:pPr>
      <w:r w:rsidRPr="00BF4057">
        <w:rPr>
          <w:lang w:val="es-ES"/>
        </w:rPr>
        <w:t>Elaboración e intercambio de normas sobre IA</w:t>
      </w:r>
    </w:p>
    <w:p w14:paraId="43A9EB91" w14:textId="77777777" w:rsidR="00BF4057" w:rsidRPr="00BF4057" w:rsidRDefault="00BF4057" w:rsidP="00F811D9">
      <w:pPr>
        <w:jc w:val="both"/>
        <w:rPr>
          <w:lang w:val="es-ES"/>
        </w:rPr>
      </w:pPr>
      <w:bookmarkStart w:id="1" w:name="OLE_LINK2"/>
      <w:r w:rsidRPr="00BF4057">
        <w:rPr>
          <w:lang w:val="es-ES"/>
        </w:rPr>
        <w:t>En su afán por lograr la conectividad universal y la transformación digital sostenible, la UIT ha elaborado normas para utilizar la IA en diversos contextos pertinentes. Esos esfuerzos se ven amplificados por la estrecha colaboración con otros organismos de normalización y socios de las Naciones Unidas, que participan en la definición y publicación de una completa serie de normas de diferentes ámbitos. Como ejemplos destacados pueden citarse los siguientes:</w:t>
      </w:r>
      <w:bookmarkEnd w:id="1"/>
    </w:p>
    <w:p w14:paraId="68BEFC34" w14:textId="77777777" w:rsidR="00BF4057" w:rsidRPr="00BF4057" w:rsidRDefault="00BF4057" w:rsidP="00F811D9">
      <w:pPr>
        <w:pStyle w:val="enumlev1"/>
        <w:jc w:val="both"/>
        <w:rPr>
          <w:lang w:val="es-ES"/>
        </w:rPr>
      </w:pPr>
      <w:r w:rsidRPr="00BF4057">
        <w:rPr>
          <w:lang w:val="es-ES"/>
        </w:rPr>
        <w:t>–</w:t>
      </w:r>
      <w:r w:rsidRPr="00BF4057">
        <w:rPr>
          <w:lang w:val="es-ES"/>
        </w:rPr>
        <w:tab/>
        <w:t xml:space="preserve">El </w:t>
      </w:r>
      <w:hyperlink r:id="rId15" w:history="1">
        <w:r w:rsidRPr="00BF4057">
          <w:rPr>
            <w:rStyle w:val="Hyperlink"/>
            <w:lang w:val="es-ES"/>
          </w:rPr>
          <w:t>Grupo Temático sobre inteligencia artificial nativa para redes de telecomunicaciones (FG-AINN)</w:t>
        </w:r>
      </w:hyperlink>
      <w:r w:rsidRPr="00BF4057">
        <w:rPr>
          <w:lang w:val="es-ES"/>
        </w:rPr>
        <w:t xml:space="preserve"> tiene el cometido de explorar y definir los cambios fundamentales necesarios en la arquitectura de red para aprovechar plenamente el potencial de la IA.</w:t>
      </w:r>
    </w:p>
    <w:p w14:paraId="01DE51A1" w14:textId="18F2F903" w:rsidR="00BF4057" w:rsidRPr="00BF4057" w:rsidRDefault="00BF4057" w:rsidP="00F811D9">
      <w:pPr>
        <w:pStyle w:val="enumlev1"/>
        <w:jc w:val="both"/>
        <w:rPr>
          <w:lang w:val="es-ES"/>
        </w:rPr>
      </w:pPr>
      <w:r w:rsidRPr="00BF4057">
        <w:rPr>
          <w:lang w:val="es-ES"/>
        </w:rPr>
        <w:t>–</w:t>
      </w:r>
      <w:r w:rsidRPr="00BF4057">
        <w:rPr>
          <w:lang w:val="es-ES"/>
        </w:rPr>
        <w:tab/>
        <w:t xml:space="preserve">La iniciativa Unidos por las </w:t>
      </w:r>
      <w:r w:rsidR="00E9105E" w:rsidRPr="00BF4057">
        <w:rPr>
          <w:lang w:val="es-ES"/>
        </w:rPr>
        <w:t xml:space="preserve">Ciudades Inteligentes </w:t>
      </w:r>
      <w:r w:rsidRPr="00BF4057">
        <w:rPr>
          <w:lang w:val="es-ES"/>
        </w:rPr>
        <w:t xml:space="preserve">y </w:t>
      </w:r>
      <w:r w:rsidR="00E9105E" w:rsidRPr="00BF4057">
        <w:rPr>
          <w:lang w:val="es-ES"/>
        </w:rPr>
        <w:t xml:space="preserve">Sostenibles </w:t>
      </w:r>
      <w:r w:rsidRPr="00BF4057">
        <w:rPr>
          <w:lang w:val="es-ES"/>
        </w:rPr>
        <w:t xml:space="preserve">(U4SSC) publicó los </w:t>
      </w:r>
      <w:r w:rsidR="009175D6" w:rsidRPr="00BF4057">
        <w:rPr>
          <w:lang w:val="es-ES"/>
        </w:rPr>
        <w:t>p</w:t>
      </w:r>
      <w:r w:rsidRPr="00BF4057">
        <w:rPr>
          <w:lang w:val="es-ES"/>
        </w:rPr>
        <w:t>rincipios rectores de la IA en las ciudades (</w:t>
      </w:r>
      <w:hyperlink r:id="rId16" w:history="1">
        <w:r w:rsidRPr="00BF4057">
          <w:rPr>
            <w:rStyle w:val="Hyperlink"/>
            <w:i/>
            <w:iCs/>
            <w:lang w:val="es-ES"/>
          </w:rPr>
          <w:t>Guiding Principles for AI in Cities</w:t>
        </w:r>
      </w:hyperlink>
      <w:r w:rsidRPr="00BF4057">
        <w:rPr>
          <w:lang w:val="es-ES"/>
        </w:rPr>
        <w:t>), en los que se ofrece información práctica sobre la aplicación eficaz de la IA en entornos urbanos.</w:t>
      </w:r>
    </w:p>
    <w:p w14:paraId="48EE2ED5" w14:textId="77777777" w:rsidR="00BF4057" w:rsidRPr="00BF4057" w:rsidRDefault="00BF4057" w:rsidP="00F811D9">
      <w:pPr>
        <w:pStyle w:val="enumlev1"/>
        <w:jc w:val="both"/>
        <w:rPr>
          <w:lang w:val="es-ES"/>
        </w:rPr>
      </w:pPr>
      <w:r w:rsidRPr="00BF4057">
        <w:rPr>
          <w:lang w:val="es-ES"/>
        </w:rPr>
        <w:lastRenderedPageBreak/>
        <w:t>–</w:t>
      </w:r>
      <w:r w:rsidRPr="00BF4057">
        <w:rPr>
          <w:lang w:val="es-ES"/>
        </w:rPr>
        <w:tab/>
        <w:t xml:space="preserve">La UIT lanzó la </w:t>
      </w:r>
      <w:hyperlink r:id="rId17" w:history="1">
        <w:r w:rsidRPr="00BF4057">
          <w:rPr>
            <w:rStyle w:val="Hyperlink"/>
            <w:lang w:val="es-ES"/>
          </w:rPr>
          <w:t>Iniciativa mundial sobre resiliencia ante peligros naturales mediante soluciones basadas en la IA</w:t>
        </w:r>
      </w:hyperlink>
      <w:r w:rsidRPr="00BF4057">
        <w:rPr>
          <w:lang w:val="es-ES"/>
        </w:rPr>
        <w:t xml:space="preserve"> con el objetivo de proporcionar orientación y apoyo especializados para la investigación, la innovación y la elaboración de normas.</w:t>
      </w:r>
    </w:p>
    <w:p w14:paraId="748774B3" w14:textId="7CCEAF6E" w:rsidR="00BF4057" w:rsidRPr="00BF4057" w:rsidRDefault="00BF4057" w:rsidP="00F811D9">
      <w:pPr>
        <w:pStyle w:val="enumlev1"/>
        <w:jc w:val="both"/>
        <w:rPr>
          <w:lang w:val="es-ES"/>
        </w:rPr>
      </w:pPr>
      <w:r w:rsidRPr="00BF4057">
        <w:rPr>
          <w:lang w:val="es-ES"/>
        </w:rPr>
        <w:t>–</w:t>
      </w:r>
      <w:r w:rsidRPr="00BF4057">
        <w:rPr>
          <w:lang w:val="es-ES"/>
        </w:rPr>
        <w:tab/>
        <w:t xml:space="preserve">La </w:t>
      </w:r>
      <w:hyperlink r:id="rId18" w:history="1">
        <w:r w:rsidRPr="00BF4057">
          <w:rPr>
            <w:rStyle w:val="Hyperlink"/>
            <w:lang w:val="es-ES"/>
          </w:rPr>
          <w:t xml:space="preserve">Iniciativa </w:t>
        </w:r>
        <w:r w:rsidR="00F03C6F" w:rsidRPr="00BF4057">
          <w:rPr>
            <w:rStyle w:val="Hyperlink"/>
            <w:lang w:val="es-ES"/>
          </w:rPr>
          <w:t>m</w:t>
        </w:r>
        <w:r w:rsidRPr="00BF4057">
          <w:rPr>
            <w:rStyle w:val="Hyperlink"/>
            <w:lang w:val="es-ES"/>
          </w:rPr>
          <w:t xml:space="preserve">undial sobre IA para la </w:t>
        </w:r>
        <w:r w:rsidR="00F03C6F" w:rsidRPr="00BF4057">
          <w:rPr>
            <w:rStyle w:val="Hyperlink"/>
            <w:lang w:val="es-ES"/>
          </w:rPr>
          <w:t>s</w:t>
        </w:r>
        <w:r w:rsidRPr="00BF4057">
          <w:rPr>
            <w:rStyle w:val="Hyperlink"/>
            <w:lang w:val="es-ES"/>
          </w:rPr>
          <w:t>alud</w:t>
        </w:r>
      </w:hyperlink>
      <w:r w:rsidRPr="00BF4057">
        <w:rPr>
          <w:lang w:val="es-ES"/>
        </w:rPr>
        <w:t xml:space="preserve"> ha reestructurado y adoptado una hoja de ruta y, en este contexto, ha dedicado esfuerzos a promover directrices normalizadas, estimular la colaboración intersectorial y fomentar una mayor participación de las comunidades mundiales de la salud y la IA.</w:t>
      </w:r>
    </w:p>
    <w:p w14:paraId="0B94E746" w14:textId="56776D9E" w:rsidR="00BF4057" w:rsidRPr="00BF4057" w:rsidRDefault="00BF4057" w:rsidP="00F811D9">
      <w:pPr>
        <w:pStyle w:val="enumlev1"/>
        <w:jc w:val="both"/>
        <w:rPr>
          <w:lang w:val="es-ES"/>
        </w:rPr>
      </w:pPr>
      <w:r w:rsidRPr="00BF4057">
        <w:rPr>
          <w:lang w:val="es-ES"/>
        </w:rPr>
        <w:t>–</w:t>
      </w:r>
      <w:r w:rsidRPr="00BF4057">
        <w:rPr>
          <w:lang w:val="es-ES"/>
        </w:rPr>
        <w:tab/>
        <w:t>La Comisión de Estudio</w:t>
      </w:r>
      <w:r w:rsidR="00E160EC">
        <w:rPr>
          <w:lang w:val="es-ES"/>
        </w:rPr>
        <w:t> </w:t>
      </w:r>
      <w:r w:rsidRPr="00BF4057">
        <w:rPr>
          <w:lang w:val="es-ES"/>
        </w:rPr>
        <w:t>2 del UIT-T ha comenzado a trabajar en varias Recomendaciones que utilizan la IA para la gestión de redes.</w:t>
      </w:r>
    </w:p>
    <w:p w14:paraId="6A791FCD" w14:textId="2F9C1761" w:rsidR="00BF4057" w:rsidRPr="00BF4057" w:rsidRDefault="00BF4057" w:rsidP="00F811D9">
      <w:pPr>
        <w:pStyle w:val="enumlev1"/>
        <w:jc w:val="both"/>
        <w:rPr>
          <w:lang w:val="es-ES"/>
        </w:rPr>
      </w:pPr>
      <w:r w:rsidRPr="00BF4057">
        <w:rPr>
          <w:lang w:val="es-ES"/>
        </w:rPr>
        <w:t>–</w:t>
      </w:r>
      <w:r w:rsidRPr="00BF4057">
        <w:rPr>
          <w:lang w:val="es-ES"/>
        </w:rPr>
        <w:tab/>
        <w:t>La Comisión de Estudio</w:t>
      </w:r>
      <w:r w:rsidR="00E160EC">
        <w:rPr>
          <w:lang w:val="es-ES"/>
        </w:rPr>
        <w:t> </w:t>
      </w:r>
      <w:r w:rsidRPr="00BF4057">
        <w:rPr>
          <w:lang w:val="es-ES"/>
        </w:rPr>
        <w:t xml:space="preserve">5 del UIT-T publicó el informe </w:t>
      </w:r>
      <w:hyperlink r:id="rId19" w:history="1">
        <w:r w:rsidRPr="00BF4057">
          <w:rPr>
            <w:rStyle w:val="Hyperlink"/>
            <w:i/>
            <w:iCs/>
            <w:lang w:val="es-ES"/>
          </w:rPr>
          <w:t>AI and the Environment – International Standards for AI and the Environment</w:t>
        </w:r>
      </w:hyperlink>
      <w:r w:rsidRPr="00BF4057">
        <w:rPr>
          <w:lang w:val="es-ES"/>
        </w:rPr>
        <w:t xml:space="preserve"> sobre la IA y el medio ambiente y está elaborando normas nuevas para evaluar las emisiones de gases de efecto invernadero y mejorar la eficiencia energética de los sistemas de IA. Además, la UIT contribuyó al informe </w:t>
      </w:r>
      <w:hyperlink r:id="rId20" w:history="1">
        <w:r w:rsidRPr="00BF4057">
          <w:rPr>
            <w:rStyle w:val="Hyperlink"/>
            <w:i/>
            <w:iCs/>
            <w:lang w:val="es-ES"/>
          </w:rPr>
          <w:t>Standardization for AI Environmental Sustainability</w:t>
        </w:r>
      </w:hyperlink>
      <w:r w:rsidRPr="00BF4057">
        <w:rPr>
          <w:lang w:val="es-ES"/>
        </w:rPr>
        <w:t>.</w:t>
      </w:r>
    </w:p>
    <w:p w14:paraId="43C5DE3A" w14:textId="183CDBE9" w:rsidR="00BF4057" w:rsidRPr="00BF4057" w:rsidRDefault="00BF4057" w:rsidP="00F811D9">
      <w:pPr>
        <w:pStyle w:val="enumlev1"/>
        <w:jc w:val="both"/>
        <w:rPr>
          <w:lang w:val="es-ES"/>
        </w:rPr>
      </w:pPr>
      <w:r w:rsidRPr="00BF4057">
        <w:rPr>
          <w:lang w:val="es-ES"/>
        </w:rPr>
        <w:t>–</w:t>
      </w:r>
      <w:r w:rsidRPr="00BF4057">
        <w:rPr>
          <w:lang w:val="es-ES"/>
        </w:rPr>
        <w:tab/>
        <w:t>La Comisión de Estudio</w:t>
      </w:r>
      <w:r w:rsidR="00E160EC">
        <w:rPr>
          <w:lang w:val="es-ES"/>
        </w:rPr>
        <w:t> </w:t>
      </w:r>
      <w:r w:rsidRPr="00BF4057">
        <w:rPr>
          <w:lang w:val="es-ES"/>
        </w:rPr>
        <w:t>11 del UIT-T se centra en la normalización de herramientas basadas en IA que se puede aplicar en el nivel de la señalización para admitir diversos servicios en redes IMT-2020 y posteriores.</w:t>
      </w:r>
    </w:p>
    <w:p w14:paraId="18EB4059" w14:textId="2DDD0B50" w:rsidR="00BF4057" w:rsidRPr="00BF4057" w:rsidRDefault="00BF4057" w:rsidP="00F811D9">
      <w:pPr>
        <w:pStyle w:val="enumlev1"/>
        <w:jc w:val="both"/>
        <w:rPr>
          <w:lang w:val="es-ES"/>
        </w:rPr>
      </w:pPr>
      <w:r w:rsidRPr="00BF4057">
        <w:rPr>
          <w:lang w:val="es-ES"/>
        </w:rPr>
        <w:t>–</w:t>
      </w:r>
      <w:r w:rsidRPr="00BF4057">
        <w:rPr>
          <w:lang w:val="es-ES"/>
        </w:rPr>
        <w:tab/>
        <w:t>La Comisión de Estudio</w:t>
      </w:r>
      <w:r w:rsidR="00E160EC">
        <w:rPr>
          <w:lang w:val="es-ES"/>
        </w:rPr>
        <w:t> </w:t>
      </w:r>
      <w:r w:rsidRPr="00BF4057">
        <w:rPr>
          <w:lang w:val="es-ES"/>
        </w:rPr>
        <w:t xml:space="preserve">13 del UIT-T se ocupa del mantenimiento de una </w:t>
      </w:r>
      <w:hyperlink r:id="rId21" w:history="1">
        <w:r w:rsidRPr="00BF4057">
          <w:rPr>
            <w:rStyle w:val="Hyperlink"/>
            <w:lang w:val="es-ES"/>
          </w:rPr>
          <w:t>hoja de ruta de normalización de la IA</w:t>
        </w:r>
      </w:hyperlink>
      <w:r w:rsidRPr="00BF4057">
        <w:rPr>
          <w:lang w:val="es-ES"/>
        </w:rPr>
        <w:t>, que incluye las normas existentes y las que están preparando diversos organismos de normalización.</w:t>
      </w:r>
    </w:p>
    <w:p w14:paraId="141051AE" w14:textId="5B65AE8F" w:rsidR="00BF4057" w:rsidRPr="00BF4057" w:rsidRDefault="00BF4057" w:rsidP="00F811D9">
      <w:pPr>
        <w:pStyle w:val="enumlev1"/>
        <w:jc w:val="both"/>
        <w:rPr>
          <w:lang w:val="es-ES"/>
        </w:rPr>
      </w:pPr>
      <w:r w:rsidRPr="00BF4057">
        <w:rPr>
          <w:lang w:val="es-ES"/>
        </w:rPr>
        <w:t>–</w:t>
      </w:r>
      <w:r w:rsidRPr="00BF4057">
        <w:rPr>
          <w:lang w:val="es-ES"/>
        </w:rPr>
        <w:tab/>
        <w:t>La Comisión de Estudio</w:t>
      </w:r>
      <w:r w:rsidR="00E160EC">
        <w:rPr>
          <w:lang w:val="es-ES"/>
        </w:rPr>
        <w:t> </w:t>
      </w:r>
      <w:r w:rsidRPr="00BF4057">
        <w:rPr>
          <w:lang w:val="es-ES"/>
        </w:rPr>
        <w:t>20 del UIT-T avanza en la elaboración de normas internacionales para la utilización de la IA en el contexto de las ciudades y comunidades inteligentes.</w:t>
      </w:r>
    </w:p>
    <w:p w14:paraId="511A2E4B" w14:textId="37A1C0F1" w:rsidR="00BF4057" w:rsidRPr="00BF4057" w:rsidRDefault="00BF4057" w:rsidP="00F811D9">
      <w:pPr>
        <w:pStyle w:val="enumlev1"/>
        <w:jc w:val="both"/>
        <w:rPr>
          <w:lang w:val="es-ES"/>
        </w:rPr>
      </w:pPr>
      <w:r w:rsidRPr="00BF4057">
        <w:rPr>
          <w:lang w:val="es-ES"/>
        </w:rPr>
        <w:t>–</w:t>
      </w:r>
      <w:r w:rsidRPr="00BF4057">
        <w:rPr>
          <w:lang w:val="es-ES"/>
        </w:rPr>
        <w:tab/>
        <w:t>La Comisión de Estudio</w:t>
      </w:r>
      <w:r w:rsidR="00E10D1C">
        <w:rPr>
          <w:lang w:val="es-ES"/>
        </w:rPr>
        <w:t> </w:t>
      </w:r>
      <w:r w:rsidRPr="00BF4057">
        <w:rPr>
          <w:lang w:val="es-ES"/>
        </w:rPr>
        <w:t xml:space="preserve">21 del UIT-T está trabajando en la elaboración de normas nuevas que proporcionen un marco para la autentificación de contenido multimedios, y en colaboración con la ISO y la CEI sobre </w:t>
      </w:r>
      <w:hyperlink r:id="rId22" w:history="1">
        <w:r w:rsidRPr="00BF4057">
          <w:rPr>
            <w:rStyle w:val="Hyperlink"/>
            <w:lang w:val="es-ES"/>
          </w:rPr>
          <w:t>filigranas de IA y autenticidad de los multimedios</w:t>
        </w:r>
      </w:hyperlink>
      <w:r w:rsidRPr="00BF4057">
        <w:rPr>
          <w:lang w:val="es-ES"/>
        </w:rPr>
        <w:t>.</w:t>
      </w:r>
    </w:p>
    <w:p w14:paraId="746EC1EB" w14:textId="77777777" w:rsidR="00BF4057" w:rsidRPr="00BF4057" w:rsidRDefault="00BF4057" w:rsidP="00F811D9">
      <w:pPr>
        <w:jc w:val="both"/>
        <w:rPr>
          <w:lang w:val="es-ES"/>
        </w:rPr>
      </w:pPr>
      <w:r w:rsidRPr="00BF4057">
        <w:rPr>
          <w:lang w:val="es-ES"/>
        </w:rPr>
        <w:t>Las Comisiones de Estudio del UIT-R incluyeron diversos aspectos de IA en sus estudios:</w:t>
      </w:r>
    </w:p>
    <w:p w14:paraId="581249EF" w14:textId="7290D78E" w:rsidR="00BF4057" w:rsidRPr="00BF4057" w:rsidRDefault="00BF4057" w:rsidP="00F811D9">
      <w:pPr>
        <w:pStyle w:val="enumlev1"/>
        <w:jc w:val="both"/>
        <w:rPr>
          <w:lang w:val="es-ES"/>
        </w:rPr>
      </w:pPr>
      <w:r w:rsidRPr="00BF4057">
        <w:rPr>
          <w:lang w:val="es-ES"/>
        </w:rPr>
        <w:t>–</w:t>
      </w:r>
      <w:r w:rsidRPr="00BF4057">
        <w:rPr>
          <w:lang w:val="es-ES"/>
        </w:rPr>
        <w:tab/>
        <w:t>La Comisión de Estudio</w:t>
      </w:r>
      <w:r w:rsidR="00E10D1C">
        <w:rPr>
          <w:lang w:val="es-ES"/>
        </w:rPr>
        <w:t> </w:t>
      </w:r>
      <w:r w:rsidRPr="00BF4057">
        <w:rPr>
          <w:lang w:val="es-ES"/>
        </w:rPr>
        <w:t xml:space="preserve">1 del UIT-R publicó el informe </w:t>
      </w:r>
      <w:hyperlink r:id="rId23" w:history="1">
        <w:r w:rsidRPr="00BF4057">
          <w:rPr>
            <w:rStyle w:val="Hyperlink"/>
            <w:i/>
            <w:iCs/>
            <w:lang w:val="es-ES"/>
          </w:rPr>
          <w:t>Comprobación técnica del espectro de la próxima generación: proactiva, autónoma y basada en datos</w:t>
        </w:r>
      </w:hyperlink>
      <w:r w:rsidRPr="00BF4057">
        <w:rPr>
          <w:lang w:val="es-ES"/>
        </w:rPr>
        <w:t>, que aplica las nuevas tendencias en ciencia de datos, incluidas tecnologías basadas en IA y macrodatos, a la automatización de la comprobación técnica del espectro.</w:t>
      </w:r>
    </w:p>
    <w:p w14:paraId="50AB2F83" w14:textId="77777777" w:rsidR="00BF4057" w:rsidRPr="00BF4057" w:rsidRDefault="00BF4057" w:rsidP="00F811D9">
      <w:pPr>
        <w:pStyle w:val="enumlev1"/>
        <w:jc w:val="both"/>
        <w:rPr>
          <w:lang w:val="es-ES"/>
        </w:rPr>
      </w:pPr>
      <w:r w:rsidRPr="00BF4057">
        <w:rPr>
          <w:lang w:val="es-ES"/>
        </w:rPr>
        <w:t>–</w:t>
      </w:r>
      <w:r w:rsidRPr="00BF4057">
        <w:rPr>
          <w:lang w:val="es-ES"/>
        </w:rPr>
        <w:tab/>
        <w:t xml:space="preserve">El UIT-R creó el Grupo por Correspondencia sobre </w:t>
      </w:r>
      <w:hyperlink r:id="rId24" w:history="1">
        <w:r w:rsidRPr="00BF4057">
          <w:rPr>
            <w:rStyle w:val="Hyperlink"/>
            <w:lang w:val="es-ES"/>
          </w:rPr>
          <w:t>aprendizaje automático para estudios de propagación</w:t>
        </w:r>
      </w:hyperlink>
      <w:r w:rsidRPr="00BF4057">
        <w:rPr>
          <w:lang w:val="es-ES"/>
        </w:rPr>
        <w:t>, con el fin de proporcionar orientación sobre la aplicación del aprendizaje automático en el desarrollo de métodos de predicción de la propagación de ondas radioeléctricas.</w:t>
      </w:r>
    </w:p>
    <w:p w14:paraId="524A9EB0" w14:textId="7C89A78C" w:rsidR="00BF4057" w:rsidRPr="00BF4057" w:rsidRDefault="00BF4057" w:rsidP="00F811D9">
      <w:pPr>
        <w:pStyle w:val="enumlev1"/>
        <w:jc w:val="both"/>
        <w:rPr>
          <w:lang w:val="es-ES"/>
        </w:rPr>
      </w:pPr>
      <w:bookmarkStart w:id="2" w:name="_Hlk196390290"/>
      <w:r w:rsidRPr="00BF4057">
        <w:rPr>
          <w:lang w:val="es-ES"/>
        </w:rPr>
        <w:t>–</w:t>
      </w:r>
      <w:r w:rsidRPr="00BF4057">
        <w:rPr>
          <w:lang w:val="es-ES"/>
        </w:rPr>
        <w:tab/>
        <w:t>La Comisión de Estudio</w:t>
      </w:r>
      <w:r w:rsidR="00E160EC">
        <w:rPr>
          <w:lang w:val="es-ES"/>
        </w:rPr>
        <w:t> </w:t>
      </w:r>
      <w:r w:rsidRPr="00BF4057">
        <w:rPr>
          <w:lang w:val="es-ES"/>
        </w:rPr>
        <w:t>6 del UIT-R está trabajando en el uso de la IA en el contexto de la radiodifusión, incluido el uso de la IA generativa en los flujos de trabajo de creación de programas de radiodifusión y la extracción de objetos de audio y vídeo durante la producción.</w:t>
      </w:r>
    </w:p>
    <w:bookmarkEnd w:id="2"/>
    <w:p w14:paraId="13B6A792" w14:textId="38467407" w:rsidR="00BF4057" w:rsidRPr="00BF4057" w:rsidRDefault="00BF4057" w:rsidP="00F811D9">
      <w:pPr>
        <w:jc w:val="both"/>
        <w:rPr>
          <w:lang w:val="es-ES"/>
        </w:rPr>
      </w:pPr>
      <w:r w:rsidRPr="00BF4057">
        <w:rPr>
          <w:lang w:val="es-ES"/>
        </w:rPr>
        <w:t xml:space="preserve">La primera </w:t>
      </w:r>
      <w:hyperlink r:id="rId25" w:history="1">
        <w:r w:rsidRPr="00BF4057">
          <w:rPr>
            <w:rStyle w:val="Hyperlink"/>
            <w:lang w:val="es-ES"/>
          </w:rPr>
          <w:t>Cumbre Internacional de Normas de IA</w:t>
        </w:r>
      </w:hyperlink>
      <w:r w:rsidRPr="00BF4057">
        <w:rPr>
          <w:lang w:val="es-ES"/>
        </w:rPr>
        <w:t xml:space="preserve"> del mundo, celebrada en 2024 y organizada por la UIT, reunió a expertos y partes interesadas de organismos mundiales de normalización para atender a la petición, cada vez más extendida, de acelerar la elaboración de normas en favor de una IA responsable, segura e inclusiva. Actualmente, está previsto repetir el evento cada año para responder a la comunidad mundial, que demanda normas de IA completas e </w:t>
      </w:r>
      <w:r w:rsidRPr="00BF4057">
        <w:rPr>
          <w:lang w:val="es-ES"/>
        </w:rPr>
        <w:lastRenderedPageBreak/>
        <w:t>impactantes. La Cumbre Internacional de Normas de IA de 2025 tendrá lugar en Seúl (República de Corea) los días</w:t>
      </w:r>
      <w:r w:rsidR="00E160EC">
        <w:rPr>
          <w:lang w:val="es-ES"/>
        </w:rPr>
        <w:t> </w:t>
      </w:r>
      <w:r w:rsidRPr="00BF4057">
        <w:rPr>
          <w:lang w:val="es-ES"/>
        </w:rPr>
        <w:t>2 y 3 de diciembre de 2025.</w:t>
      </w:r>
    </w:p>
    <w:p w14:paraId="61475983" w14:textId="77777777" w:rsidR="00BF4057" w:rsidRPr="00EB546A" w:rsidRDefault="00BF4057" w:rsidP="00F811D9">
      <w:pPr>
        <w:jc w:val="both"/>
        <w:rPr>
          <w:spacing w:val="-2"/>
          <w:lang w:val="es-ES"/>
        </w:rPr>
      </w:pPr>
      <w:r w:rsidRPr="00EB546A">
        <w:rPr>
          <w:spacing w:val="-2"/>
          <w:lang w:val="es-ES"/>
        </w:rPr>
        <w:t xml:space="preserve">El </w:t>
      </w:r>
      <w:hyperlink r:id="rId26" w:history="1">
        <w:r w:rsidRPr="00EB546A">
          <w:rPr>
            <w:rStyle w:val="Hyperlink"/>
            <w:spacing w:val="-2"/>
            <w:lang w:val="es-ES"/>
          </w:rPr>
          <w:t>Intercambio internacional de normas sobre IA</w:t>
        </w:r>
      </w:hyperlink>
      <w:r w:rsidRPr="00EB546A">
        <w:rPr>
          <w:spacing w:val="-2"/>
          <w:lang w:val="es-ES"/>
        </w:rPr>
        <w:t xml:space="preserve"> se centra en la trayectoria futura de la IA y en la manera de elaborar normas técnicas para crear más oportunidades de innovación en todo el mundo, y tendrá lugar el 11 de julio en el marco de la Cumbre Mundial AI for Good de 2025.</w:t>
      </w:r>
    </w:p>
    <w:p w14:paraId="0941EFC1" w14:textId="77777777" w:rsidR="00BF4057" w:rsidRPr="00BF4057" w:rsidRDefault="00BF4057" w:rsidP="00F811D9">
      <w:pPr>
        <w:pStyle w:val="Headingb"/>
        <w:jc w:val="both"/>
        <w:rPr>
          <w:lang w:val="es-ES"/>
        </w:rPr>
      </w:pPr>
      <w:r w:rsidRPr="00BF4057">
        <w:rPr>
          <w:lang w:val="es-ES"/>
        </w:rPr>
        <w:t>Apoyo al despliegue de la IA y capacitación</w:t>
      </w:r>
    </w:p>
    <w:p w14:paraId="41976793" w14:textId="77777777" w:rsidR="00BF4057" w:rsidRPr="00BF4057" w:rsidRDefault="00BF4057" w:rsidP="00F811D9">
      <w:pPr>
        <w:jc w:val="both"/>
        <w:rPr>
          <w:lang w:val="es-ES"/>
        </w:rPr>
      </w:pPr>
      <w:r w:rsidRPr="00BF4057">
        <w:rPr>
          <w:lang w:val="es-ES"/>
        </w:rPr>
        <w:t>La UIT está trabajando para dotar a los países de todo el mundo de los conocimientos y herramientas necesarios para sacar provecho de la IA con el objetivo de que sus beneficios sean accesibles y equitativos para todos.</w:t>
      </w:r>
    </w:p>
    <w:p w14:paraId="686D4F89" w14:textId="46B1F519" w:rsidR="00BF4057" w:rsidRPr="00BF4057" w:rsidRDefault="00BF4057" w:rsidP="00F811D9">
      <w:pPr>
        <w:jc w:val="both"/>
        <w:rPr>
          <w:lang w:val="es-ES"/>
        </w:rPr>
      </w:pPr>
      <w:r w:rsidRPr="00BF4057">
        <w:rPr>
          <w:lang w:val="es-ES"/>
        </w:rPr>
        <w:t xml:space="preserve">A través de la iniciativa AI for Good Impact, cuyo objetivo es escalar soluciones de IA de gran calado y reforzar las actuaciones de creación de capacidad con conocimientos básicos en materia de IA; cabe destacar, especialmente para los países en desarrollo, la creación de la </w:t>
      </w:r>
      <w:hyperlink r:id="rId27" w:history="1">
        <w:r w:rsidRPr="00BF4057">
          <w:rPr>
            <w:rStyle w:val="Hyperlink"/>
            <w:lang w:val="es-ES"/>
          </w:rPr>
          <w:t>AI Skills Coalition</w:t>
        </w:r>
      </w:hyperlink>
      <w:r w:rsidRPr="00BF4057">
        <w:rPr>
          <w:lang w:val="es-ES"/>
        </w:rPr>
        <w:t xml:space="preserve">, un movimiento transformador destinado a empoderar a las personas y a las comunidades. Al proporcionar acceso a </w:t>
      </w:r>
      <w:hyperlink r:id="rId28" w:history="1">
        <w:r w:rsidRPr="00BF4057">
          <w:rPr>
            <w:rStyle w:val="Hyperlink"/>
            <w:lang w:val="es-ES"/>
          </w:rPr>
          <w:t>formación en IA de alta calidad</w:t>
        </w:r>
      </w:hyperlink>
      <w:r w:rsidRPr="00BF4057">
        <w:rPr>
          <w:lang w:val="es-ES"/>
        </w:rPr>
        <w:t xml:space="preserve">, la Coalición pretende reducir la brecha de la IA y velar por una participación inclusiva en esta revolución tecnológica. Además, la UIT amplió esta iniciativa con el lanzamiento de la </w:t>
      </w:r>
      <w:hyperlink r:id="rId29" w:history="1">
        <w:r w:rsidRPr="00BF4057">
          <w:rPr>
            <w:rStyle w:val="Hyperlink"/>
            <w:lang w:val="es-ES"/>
          </w:rPr>
          <w:t>comunidad Young AI Leaders</w:t>
        </w:r>
      </w:hyperlink>
      <w:r w:rsidRPr="00BF4057">
        <w:rPr>
          <w:lang w:val="es-ES"/>
        </w:rPr>
        <w:t>, una comunidad de jóvenes líderes en materia de IA, e invitó a expertos en IA de entre 18 y 30</w:t>
      </w:r>
      <w:r w:rsidR="00E10D1C">
        <w:rPr>
          <w:lang w:val="es-ES"/>
        </w:rPr>
        <w:t> </w:t>
      </w:r>
      <w:r w:rsidRPr="00BF4057">
        <w:rPr>
          <w:lang w:val="es-ES"/>
        </w:rPr>
        <w:t>años a establecer seis centros regionales destinados a fomentar una comunidad fuerte y diversa de líderes en este campo.</w:t>
      </w:r>
    </w:p>
    <w:p w14:paraId="44913281" w14:textId="77777777" w:rsidR="00BF4057" w:rsidRPr="00BF4057" w:rsidRDefault="00BF4057" w:rsidP="00F811D9">
      <w:pPr>
        <w:jc w:val="both"/>
        <w:rPr>
          <w:lang w:val="es-ES"/>
        </w:rPr>
      </w:pPr>
      <w:r w:rsidRPr="00BF4057">
        <w:rPr>
          <w:lang w:val="es-ES"/>
        </w:rPr>
        <w:t xml:space="preserve">La iniciativa AI for Good Impact también incluye programas emblemáticos como los </w:t>
      </w:r>
      <w:hyperlink r:id="rId30" w:history="1">
        <w:r w:rsidRPr="00BF4057">
          <w:rPr>
            <w:rStyle w:val="Hyperlink"/>
            <w:lang w:val="es-ES"/>
          </w:rPr>
          <w:t>Desafíos Mundiales de IA</w:t>
        </w:r>
      </w:hyperlink>
      <w:r w:rsidRPr="00BF4057">
        <w:rPr>
          <w:lang w:val="es-ES"/>
        </w:rPr>
        <w:t xml:space="preserve">, la </w:t>
      </w:r>
      <w:hyperlink r:id="rId31" w:history="1">
        <w:r w:rsidRPr="00BF4057">
          <w:rPr>
            <w:rStyle w:val="Hyperlink"/>
            <w:lang w:val="es-ES"/>
          </w:rPr>
          <w:t>Fábrica de Innovación AI for Good y su Programa de Aceleración de Empresas Emergentes</w:t>
        </w:r>
      </w:hyperlink>
      <w:r w:rsidRPr="00BF4057">
        <w:rPr>
          <w:lang w:val="es-ES"/>
        </w:rPr>
        <w:t xml:space="preserve"> y el </w:t>
      </w:r>
      <w:hyperlink r:id="rId32" w:history="1">
        <w:r w:rsidRPr="00BF4057">
          <w:rPr>
            <w:rStyle w:val="Hyperlink"/>
            <w:lang w:val="es-ES"/>
          </w:rPr>
          <w:t>concurso para jóvenes Robotics for Good</w:t>
        </w:r>
      </w:hyperlink>
      <w:r w:rsidRPr="00BF4057">
        <w:rPr>
          <w:lang w:val="es-ES"/>
        </w:rPr>
        <w:t xml:space="preserve">, que involucra a jóvenes innovadores de todo el mundo y culminará con un concurso mundial durante la Cumbre Mundial AI for Good en 2025. Estos programas, junto con el informe </w:t>
      </w:r>
      <w:hyperlink r:id="rId33" w:history="1">
        <w:r w:rsidRPr="00BF4057">
          <w:rPr>
            <w:rStyle w:val="Hyperlink"/>
            <w:i/>
            <w:iCs/>
            <w:lang w:val="es-ES"/>
          </w:rPr>
          <w:t>AI for Good Impact Report</w:t>
        </w:r>
      </w:hyperlink>
      <w:r w:rsidRPr="00BF4057">
        <w:rPr>
          <w:i/>
          <w:iCs/>
          <w:lang w:val="es-ES"/>
        </w:rPr>
        <w:t xml:space="preserve"> </w:t>
      </w:r>
      <w:r w:rsidRPr="00BF4057">
        <w:rPr>
          <w:lang w:val="es-ES"/>
        </w:rPr>
        <w:t xml:space="preserve">recién publicado, subrayan el compromiso de la UIT de reducir la brecha de la IA, fomentar las asociaciones internacionales y apoyar los </w:t>
      </w:r>
      <w:bookmarkStart w:id="3" w:name="_Hlk198796385"/>
      <w:r w:rsidRPr="00BF4057">
        <w:rPr>
          <w:lang w:val="es-ES"/>
        </w:rPr>
        <w:t>Objetivos de Desarrollo Sostenible</w:t>
      </w:r>
      <w:bookmarkEnd w:id="3"/>
      <w:r w:rsidRPr="00BF4057">
        <w:rPr>
          <w:lang w:val="es-ES"/>
        </w:rPr>
        <w:t xml:space="preserve"> (ODS) mediante la creación de capacidades en materia de IA.</w:t>
      </w:r>
    </w:p>
    <w:p w14:paraId="114B62BF" w14:textId="0FCD92FD" w:rsidR="00BF4057" w:rsidRPr="00BF4057" w:rsidRDefault="00BF4057" w:rsidP="00F811D9">
      <w:pPr>
        <w:jc w:val="both"/>
        <w:rPr>
          <w:lang w:val="es-ES"/>
        </w:rPr>
      </w:pPr>
      <w:r w:rsidRPr="00BF4057">
        <w:rPr>
          <w:lang w:val="es-ES"/>
        </w:rPr>
        <w:t xml:space="preserve">La iniciativa AI for Good Impact también puso en marcha una nueva serie de eventos regionales Impact, como AI for Good Impact India, en paralelo a la AMNT-24 de Nueva Delhi, a petición del </w:t>
      </w:r>
      <w:r w:rsidR="00E160EC" w:rsidRPr="00BF4057">
        <w:rPr>
          <w:lang w:val="es-ES"/>
        </w:rPr>
        <w:t xml:space="preserve">Gobierno </w:t>
      </w:r>
      <w:r w:rsidRPr="00BF4057">
        <w:rPr>
          <w:lang w:val="es-ES"/>
        </w:rPr>
        <w:t>indio. AI for Good Impact Africa tendrá lugar el 31 de octubre de</w:t>
      </w:r>
      <w:r w:rsidR="00E160EC">
        <w:rPr>
          <w:lang w:val="es-ES"/>
        </w:rPr>
        <w:t> </w:t>
      </w:r>
      <w:r w:rsidRPr="00BF4057">
        <w:rPr>
          <w:lang w:val="es-ES"/>
        </w:rPr>
        <w:t>2025 durante la AI Expo Africa, en colaboración con la secretaría del G20.</w:t>
      </w:r>
    </w:p>
    <w:p w14:paraId="1417F1BC" w14:textId="11AFB908" w:rsidR="00BF4057" w:rsidRPr="00BF4057" w:rsidRDefault="00BF4057" w:rsidP="00F811D9">
      <w:pPr>
        <w:jc w:val="both"/>
        <w:rPr>
          <w:lang w:val="es-ES"/>
        </w:rPr>
      </w:pPr>
      <w:r w:rsidRPr="00BF4057">
        <w:rPr>
          <w:lang w:val="es-ES"/>
        </w:rPr>
        <w:t xml:space="preserve">La </w:t>
      </w:r>
      <w:hyperlink r:id="rId34" w:history="1">
        <w:r w:rsidRPr="00BF4057">
          <w:rPr>
            <w:rStyle w:val="Hyperlink"/>
            <w:lang w:val="es-ES"/>
          </w:rPr>
          <w:t xml:space="preserve">Iniciativa </w:t>
        </w:r>
        <w:r w:rsidR="00F03C6F" w:rsidRPr="00BF4057">
          <w:rPr>
            <w:rStyle w:val="Hyperlink"/>
            <w:lang w:val="es-ES"/>
          </w:rPr>
          <w:t>m</w:t>
        </w:r>
        <w:r w:rsidRPr="00BF4057">
          <w:rPr>
            <w:rStyle w:val="Hyperlink"/>
            <w:lang w:val="es-ES"/>
          </w:rPr>
          <w:t xml:space="preserve">undial sobre </w:t>
        </w:r>
        <w:r w:rsidR="00F03C6F" w:rsidRPr="00BF4057">
          <w:rPr>
            <w:rStyle w:val="Hyperlink"/>
            <w:lang w:val="es-ES"/>
          </w:rPr>
          <w:t>m</w:t>
        </w:r>
        <w:r w:rsidRPr="00BF4057">
          <w:rPr>
            <w:rStyle w:val="Hyperlink"/>
            <w:lang w:val="es-ES"/>
          </w:rPr>
          <w:t xml:space="preserve">undos </w:t>
        </w:r>
        <w:r w:rsidR="00F03C6F" w:rsidRPr="00BF4057">
          <w:rPr>
            <w:rStyle w:val="Hyperlink"/>
            <w:lang w:val="es-ES"/>
          </w:rPr>
          <w:t>v</w:t>
        </w:r>
        <w:r w:rsidRPr="00BF4057">
          <w:rPr>
            <w:rStyle w:val="Hyperlink"/>
            <w:lang w:val="es-ES"/>
          </w:rPr>
          <w:t>irtuales e IA</w:t>
        </w:r>
      </w:hyperlink>
      <w:r w:rsidRPr="00BF4057">
        <w:rPr>
          <w:lang w:val="es-ES"/>
        </w:rPr>
        <w:t xml:space="preserve">, lanzada por la UIT, Digital Dubai y el Centro Internacional de Cálculos Electrónicos de las Naciones Unida (CICE), constituye una plataforma mundial en favor de mundos virtuales abiertos, interoperables e innovadores impulsados por la IA que puedan utilizarse con seguridad. La UIT, Francia, y el Programa de las Naciones Unidas para el Medio Ambiente (PNUMA) iniciaron conjuntamente la </w:t>
      </w:r>
      <w:hyperlink r:id="rId35" w:history="1">
        <w:r w:rsidRPr="00BF4057">
          <w:rPr>
            <w:rStyle w:val="Hyperlink"/>
            <w:lang w:val="es-ES"/>
          </w:rPr>
          <w:t>Coalition for Sustainable AI</w:t>
        </w:r>
      </w:hyperlink>
      <w:r w:rsidRPr="00BF4057">
        <w:rPr>
          <w:lang w:val="es-ES"/>
        </w:rPr>
        <w:t xml:space="preserve"> con motivo de la Artificial Intelligence Action Summit de Francia. El proyecto de la </w:t>
      </w:r>
      <w:hyperlink r:id="rId36" w:history="1">
        <w:r w:rsidRPr="00BF4057">
          <w:rPr>
            <w:rStyle w:val="Hyperlink"/>
            <w:lang w:val="es-ES"/>
          </w:rPr>
          <w:t>Oficina de Programas de Código Abierto</w:t>
        </w:r>
      </w:hyperlink>
      <w:r w:rsidRPr="00BF4057">
        <w:rPr>
          <w:lang w:val="es-ES"/>
        </w:rPr>
        <w:t xml:space="preserve"> de la UIT también está estudiando cómo podrían aprovecharse los modelos de IA de código abierto para mejorar los servicios públicos digitales, especialmente en países con pocos recursos.</w:t>
      </w:r>
    </w:p>
    <w:p w14:paraId="75A1838C" w14:textId="77777777" w:rsidR="00BF4057" w:rsidRPr="00BF4057" w:rsidRDefault="00BF4057" w:rsidP="00F811D9">
      <w:pPr>
        <w:jc w:val="both"/>
        <w:rPr>
          <w:lang w:val="es-ES"/>
        </w:rPr>
      </w:pPr>
      <w:r w:rsidRPr="00BF4057">
        <w:rPr>
          <w:lang w:val="es-ES"/>
        </w:rPr>
        <w:t xml:space="preserve">La </w:t>
      </w:r>
      <w:hyperlink r:id="rId37" w:history="1">
        <w:r w:rsidRPr="00BF4057">
          <w:rPr>
            <w:rStyle w:val="Hyperlink"/>
            <w:lang w:val="es-ES"/>
          </w:rPr>
          <w:t>iniciativa Alertas Tempranas para Todos</w:t>
        </w:r>
      </w:hyperlink>
      <w:r w:rsidRPr="00BF4057">
        <w:rPr>
          <w:lang w:val="es-ES"/>
        </w:rPr>
        <w:t xml:space="preserve"> de las Naciones Unidas ha establecido un </w:t>
      </w:r>
      <w:hyperlink r:id="rId38" w:history="1">
        <w:r w:rsidRPr="00BF4057">
          <w:rPr>
            <w:rStyle w:val="Hyperlink"/>
            <w:lang w:val="es-ES"/>
          </w:rPr>
          <w:t>Subgrupo sobre IA para Alertas Tempranas para Todos</w:t>
        </w:r>
      </w:hyperlink>
      <w:r w:rsidRPr="00BF4057">
        <w:rPr>
          <w:lang w:val="es-ES"/>
        </w:rPr>
        <w:t xml:space="preserve">. Coordinado y dirigido por la UIT, este subgrupo está propiciando el lanzamiento de iniciativas de IA piloto en varios países a fin de demostrar los beneficios prácticos de la IA para mejorar los sistemas de alerta temprana. Uno de estos </w:t>
      </w:r>
      <w:r w:rsidRPr="00BF4057">
        <w:rPr>
          <w:lang w:val="es-ES"/>
        </w:rPr>
        <w:lastRenderedPageBreak/>
        <w:t>proyectos piloto consiste en la elaboración de una herramienta que ayude a los países a controlar y cartografiar el número de personas sin cobertura de red digital. Ya están disponibles los primeros resultados para Vanuatu, Fiji, República Dominicana, Mozambique, Somalia, Sudán del Sur, Haití y Tonga.</w:t>
      </w:r>
    </w:p>
    <w:p w14:paraId="50409249" w14:textId="50CDE495" w:rsidR="00BF4057" w:rsidRPr="00BF4057" w:rsidRDefault="00BF4057" w:rsidP="00F811D9">
      <w:pPr>
        <w:jc w:val="both"/>
        <w:rPr>
          <w:lang w:val="es-ES"/>
        </w:rPr>
      </w:pPr>
      <w:r w:rsidRPr="00BF4057">
        <w:rPr>
          <w:lang w:val="es-ES"/>
        </w:rPr>
        <w:t xml:space="preserve">El </w:t>
      </w:r>
      <w:hyperlink r:id="rId39" w:history="1">
        <w:r w:rsidRPr="00BF4057">
          <w:rPr>
            <w:rStyle w:val="Hyperlink"/>
            <w:lang w:val="es-ES"/>
          </w:rPr>
          <w:t>proyecto Giga de la UIT y UNICEF</w:t>
        </w:r>
      </w:hyperlink>
      <w:r w:rsidRPr="00BF4057">
        <w:rPr>
          <w:lang w:val="es-ES"/>
        </w:rPr>
        <w:t xml:space="preserve"> utiliza estratégicamente la IA para dar conectividad a Internet a escuelas de todo el mundo. El proyecto </w:t>
      </w:r>
      <w:hyperlink r:id="rId40" w:history="1">
        <w:r w:rsidRPr="00BF4057">
          <w:rPr>
            <w:rStyle w:val="Hyperlink"/>
            <w:lang w:val="es-ES"/>
          </w:rPr>
          <w:t>AI Skills Accelerator for Girls</w:t>
        </w:r>
      </w:hyperlink>
      <w:r w:rsidRPr="00BF4057">
        <w:rPr>
          <w:lang w:val="es-ES"/>
        </w:rPr>
        <w:t xml:space="preserve"> proporcionará competencias digitales, éticas y de gestión a las niñas y mujeres para que puedan convertirse en creadoras de contenido y para impulsar la creatividad y la innovación. La Oficina Regional de la UIT para Asia</w:t>
      </w:r>
      <w:r w:rsidR="00A22AEC">
        <w:rPr>
          <w:lang w:val="es-ES"/>
        </w:rPr>
        <w:noBreakHyphen/>
      </w:r>
      <w:r w:rsidRPr="00BF4057">
        <w:rPr>
          <w:lang w:val="es-ES"/>
        </w:rPr>
        <w:t xml:space="preserve">Pacífico está organizando una </w:t>
      </w:r>
      <w:hyperlink r:id="rId41" w:history="1">
        <w:r w:rsidRPr="00BF4057">
          <w:rPr>
            <w:rStyle w:val="Hyperlink"/>
            <w:lang w:val="es-ES"/>
          </w:rPr>
          <w:t>serie de seminarios web sobre IA para el sudeste asiático</w:t>
        </w:r>
      </w:hyperlink>
      <w:r w:rsidRPr="00BF4057">
        <w:rPr>
          <w:lang w:val="es-ES"/>
        </w:rPr>
        <w:t xml:space="preserve"> con el fin de seguir compartiendo información y creando capacidad sobre normas, políticas, marcos e iniciativas de IA socialmente inclusivos y sensibles al género.</w:t>
      </w:r>
    </w:p>
    <w:p w14:paraId="5838E13F" w14:textId="77777777" w:rsidR="00BF4057" w:rsidRPr="00BF4057" w:rsidRDefault="00BF4057" w:rsidP="00F811D9">
      <w:pPr>
        <w:jc w:val="both"/>
        <w:rPr>
          <w:lang w:val="es-ES"/>
        </w:rPr>
      </w:pPr>
      <w:r w:rsidRPr="00BF4057">
        <w:rPr>
          <w:lang w:val="es-ES"/>
        </w:rPr>
        <w:t xml:space="preserve">En el último año, se han impartido varios cursos en el campo de la IA y se está finalizando un curso de la UIT sobre gobernanza de la IA, que se presentará en la </w:t>
      </w:r>
      <w:hyperlink r:id="rId42" w:history="1">
        <w:r w:rsidRPr="00BF4057">
          <w:rPr>
            <w:rStyle w:val="Hyperlink"/>
            <w:lang w:val="es-ES"/>
          </w:rPr>
          <w:t>Academia de la UIT</w:t>
        </w:r>
      </w:hyperlink>
      <w:r w:rsidRPr="00BF4057">
        <w:rPr>
          <w:lang w:val="es-ES"/>
        </w:rPr>
        <w:t>. El curso se iniciará en octubre de 2025 en Ginebra y, posteriormente, se extenderá a escala mundial.</w:t>
      </w:r>
    </w:p>
    <w:p w14:paraId="192608DA" w14:textId="680B3417" w:rsidR="00BF4057" w:rsidRPr="00BF4057" w:rsidRDefault="00BF4057" w:rsidP="00F811D9">
      <w:pPr>
        <w:jc w:val="both"/>
        <w:rPr>
          <w:lang w:val="es-ES"/>
        </w:rPr>
      </w:pPr>
      <w:bookmarkStart w:id="4" w:name="OLE_LINK1"/>
      <w:r w:rsidRPr="00BF4057">
        <w:rPr>
          <w:lang w:val="es-ES"/>
        </w:rPr>
        <w:t xml:space="preserve">La adopción de la IA es un elemento clave de la agenda de transformación de la UIT. La UIT puso en marcha el </w:t>
      </w:r>
      <w:hyperlink r:id="rId43" w:history="1">
        <w:r w:rsidRPr="00BF4057">
          <w:rPr>
            <w:rStyle w:val="Hyperlink"/>
            <w:lang w:val="es-ES"/>
          </w:rPr>
          <w:t>Centro de IA</w:t>
        </w:r>
      </w:hyperlink>
      <w:r w:rsidRPr="00BF4057">
        <w:rPr>
          <w:lang w:val="es-ES"/>
        </w:rPr>
        <w:t xml:space="preserve">, un punto de acceso único a herramientas de IA, materiales de aprendizaje electrónico, recursos y fondos de capital inicial de IA abierto a todo el personal de la UIT. Además, la UIT organiza sesiones periódicas sobre IA y tecnologías emergentes para su personal y para la comunidad diplomática, en el marco de la iniciativa Learning Labs y la </w:t>
      </w:r>
      <w:hyperlink r:id="rId44" w:history="1">
        <w:r w:rsidRPr="00BF4057">
          <w:rPr>
            <w:rStyle w:val="Hyperlink"/>
            <w:lang w:val="es-ES"/>
          </w:rPr>
          <w:t>iniciativa Demystifying Digital</w:t>
        </w:r>
      </w:hyperlink>
      <w:r w:rsidRPr="00BF4057">
        <w:rPr>
          <w:lang w:val="es-ES"/>
        </w:rPr>
        <w:t>, respectivamente, con miras a facilitar la utilización de dichas tecnologías en el trabajo cotidiano y comprender mejor las tendencias emergentes. Se puede obtener más información sobre la transformación de la IA en la UIT en el Documento</w:t>
      </w:r>
      <w:r w:rsidR="00E10D1C">
        <w:rPr>
          <w:lang w:val="es-ES"/>
        </w:rPr>
        <w:t> </w:t>
      </w:r>
      <w:hyperlink r:id="rId45" w:history="1">
        <w:r w:rsidRPr="00BF4057">
          <w:rPr>
            <w:rStyle w:val="Hyperlink"/>
            <w:lang w:val="es-ES"/>
          </w:rPr>
          <w:t>C25/55</w:t>
        </w:r>
      </w:hyperlink>
      <w:r w:rsidRPr="00BF4057">
        <w:rPr>
          <w:lang w:val="es-ES"/>
        </w:rPr>
        <w:t>.</w:t>
      </w:r>
    </w:p>
    <w:bookmarkEnd w:id="4"/>
    <w:p w14:paraId="632E5A4D" w14:textId="77777777" w:rsidR="00BF4057" w:rsidRPr="00BF4057" w:rsidRDefault="00BF4057" w:rsidP="00BF4057">
      <w:pPr>
        <w:pStyle w:val="Headingb"/>
        <w:rPr>
          <w:lang w:val="es-ES"/>
        </w:rPr>
      </w:pPr>
      <w:r w:rsidRPr="00BF4057">
        <w:rPr>
          <w:lang w:val="es-ES"/>
        </w:rPr>
        <w:t>Actividad conexa en materia de gobernanza, política y reglamentación de la IA</w:t>
      </w:r>
    </w:p>
    <w:p w14:paraId="044B2447" w14:textId="77777777" w:rsidR="00BF4057" w:rsidRPr="00BF4057" w:rsidRDefault="00BF4057" w:rsidP="00F811D9">
      <w:pPr>
        <w:jc w:val="both"/>
        <w:rPr>
          <w:lang w:val="es-ES"/>
        </w:rPr>
      </w:pPr>
      <w:r w:rsidRPr="00BF4057">
        <w:rPr>
          <w:lang w:val="es-ES"/>
        </w:rPr>
        <w:t xml:space="preserve">El primer </w:t>
      </w:r>
      <w:hyperlink r:id="rId46" w:anchor="day0" w:history="1">
        <w:r w:rsidRPr="00BF4057">
          <w:rPr>
            <w:rStyle w:val="Hyperlink"/>
            <w:lang w:val="es-ES"/>
          </w:rPr>
          <w:t>Día de la Gobernanza de la IA</w:t>
        </w:r>
      </w:hyperlink>
      <w:r w:rsidRPr="00BF4057">
        <w:rPr>
          <w:lang w:val="es-ES"/>
        </w:rPr>
        <w:t xml:space="preserve"> se celebró durante la Cumbre AI for Good de 2024. El evento congregó a participantes de todo el mundo, incluidos ministros, responsables de la formulación de políticas, investigadores y tecnólogos de países desarrollados y en desarrollo. Dada su composición multipartita, el evento fue coherente con la misión de la UIT de proporcionar una plataforma inclusiva, neutral y representativa a nivel mundial para la IA. En el </w:t>
      </w:r>
      <w:hyperlink r:id="rId47" w:history="1">
        <w:r w:rsidRPr="00BF4057">
          <w:rPr>
            <w:rStyle w:val="Hyperlink"/>
            <w:lang w:val="es-ES"/>
          </w:rPr>
          <w:t>informe sobre el Día de la Gobernanza de la IA</w:t>
        </w:r>
      </w:hyperlink>
      <w:r w:rsidRPr="00BF4057">
        <w:rPr>
          <w:lang w:val="es-ES"/>
        </w:rPr>
        <w:t xml:space="preserve"> se detallan las principales ideas y recomendaciones de los debates sobre políticas, con el objetivo de ofrecer una guía para las partes interesadas durante la elaboración de estrategias eficaces de gobernanza de la IA. El </w:t>
      </w:r>
      <w:hyperlink r:id="rId48" w:history="1">
        <w:r w:rsidRPr="00BF4057">
          <w:rPr>
            <w:rStyle w:val="Hyperlink"/>
            <w:lang w:val="es-ES"/>
          </w:rPr>
          <w:t>Diálogo sobre la Gobernanza de la IA</w:t>
        </w:r>
      </w:hyperlink>
      <w:r w:rsidRPr="00BF4057">
        <w:rPr>
          <w:lang w:val="es-ES"/>
        </w:rPr>
        <w:t xml:space="preserve"> de 2025 se celebrará en Ginebra el 10 de julio de 2025 en el marco de la Cumbre Mundial AI for Good de 2025.</w:t>
      </w:r>
    </w:p>
    <w:p w14:paraId="51BB6546" w14:textId="2D054667" w:rsidR="00BF4057" w:rsidRPr="00BF4057" w:rsidRDefault="00BF4057" w:rsidP="00F811D9">
      <w:pPr>
        <w:jc w:val="both"/>
        <w:rPr>
          <w:lang w:val="es-ES"/>
        </w:rPr>
      </w:pPr>
      <w:bookmarkStart w:id="5" w:name="_Hlk187058586"/>
      <w:r w:rsidRPr="00BF4057">
        <w:rPr>
          <w:lang w:val="es-ES"/>
        </w:rPr>
        <w:t xml:space="preserve">La </w:t>
      </w:r>
      <w:hyperlink r:id="rId49" w:history="1">
        <w:r w:rsidRPr="00BF4057">
          <w:rPr>
            <w:rStyle w:val="Hyperlink"/>
            <w:lang w:val="es-ES"/>
          </w:rPr>
          <w:t xml:space="preserve">Encuesta </w:t>
        </w:r>
        <w:r w:rsidR="00E10D1C">
          <w:rPr>
            <w:rStyle w:val="Hyperlink"/>
            <w:lang w:val="es-ES"/>
          </w:rPr>
          <w:t>del</w:t>
        </w:r>
        <w:r w:rsidRPr="00BF4057">
          <w:rPr>
            <w:rStyle w:val="Hyperlink"/>
            <w:lang w:val="es-ES"/>
          </w:rPr>
          <w:t xml:space="preserve"> panorama de la IA</w:t>
        </w:r>
      </w:hyperlink>
      <w:r w:rsidRPr="00BF4057">
        <w:rPr>
          <w:lang w:val="es-ES"/>
        </w:rPr>
        <w:t xml:space="preserve"> para Estados Miembros de la UIT recabó información sobre sus iniciativas en materia de política y reglamentación de la IA y sobre cómo se armonizan con sus actividades en favor de la transformación digital en curso. Las preguntas de la encuesta se han integrado ahora en la Encuesta sobre reglamentación de la</w:t>
      </w:r>
      <w:r w:rsidR="00E10D1C">
        <w:rPr>
          <w:lang w:val="es-ES"/>
        </w:rPr>
        <w:t> </w:t>
      </w:r>
      <w:r w:rsidRPr="00BF4057">
        <w:rPr>
          <w:lang w:val="es-ES"/>
        </w:rPr>
        <w:t>UIT, que se realizará periódicamente.</w:t>
      </w:r>
      <w:bookmarkEnd w:id="5"/>
    </w:p>
    <w:p w14:paraId="1D291216" w14:textId="77777777" w:rsidR="00BF4057" w:rsidRPr="00BF4057" w:rsidRDefault="00BF4057" w:rsidP="00F811D9">
      <w:pPr>
        <w:jc w:val="both"/>
        <w:rPr>
          <w:lang w:val="es-ES"/>
        </w:rPr>
      </w:pPr>
      <w:r w:rsidRPr="00BF4057">
        <w:rPr>
          <w:lang w:val="es-ES"/>
        </w:rPr>
        <w:t xml:space="preserve">El compromiso de la UIT con cerrar la brecha de IA también quedó patente en los resultados del Foro Mundial de Política de las Telecomunicaciones/TIC de 2021 y el </w:t>
      </w:r>
      <w:hyperlink r:id="rId50" w:history="1">
        <w:r w:rsidRPr="00BF4057">
          <w:rPr>
            <w:rStyle w:val="Hyperlink"/>
            <w:lang w:val="es-ES"/>
          </w:rPr>
          <w:t>Simposio Mundial para Organismos Reguladores de 2024</w:t>
        </w:r>
      </w:hyperlink>
      <w:r w:rsidRPr="00BF4057">
        <w:rPr>
          <w:lang w:val="es-ES"/>
        </w:rPr>
        <w:t xml:space="preserve"> (GSR-24), que incluye sesiones dedicadas para reguladores sobre la IA y la robótica para lograr efectos positivos. El tema de las competencias en materia de IA también ocupó un lugar destacado en el </w:t>
      </w:r>
      <w:hyperlink r:id="rId51" w:history="1">
        <w:r w:rsidRPr="00BF4057">
          <w:rPr>
            <w:rStyle w:val="Hyperlink"/>
            <w:lang w:val="es-ES"/>
          </w:rPr>
          <w:t>Foro de Competencias Digitales</w:t>
        </w:r>
      </w:hyperlink>
      <w:r w:rsidRPr="00BF4057">
        <w:rPr>
          <w:lang w:val="es-ES"/>
        </w:rPr>
        <w:t xml:space="preserve"> de la UIT. El </w:t>
      </w:r>
      <w:hyperlink r:id="rId52" w:history="1">
        <w:r w:rsidRPr="00BF4057">
          <w:rPr>
            <w:rStyle w:val="Hyperlink"/>
            <w:lang w:val="es-ES"/>
          </w:rPr>
          <w:t>Conjunto de Herramientas sobre Competencias Digitales de la UIT</w:t>
        </w:r>
      </w:hyperlink>
      <w:r w:rsidRPr="00BF4057">
        <w:rPr>
          <w:lang w:val="es-ES"/>
        </w:rPr>
        <w:t xml:space="preserve"> ofrece contiene </w:t>
      </w:r>
      <w:r w:rsidRPr="00BF4057">
        <w:rPr>
          <w:lang w:val="es-ES"/>
        </w:rPr>
        <w:lastRenderedPageBreak/>
        <w:t>una guía de todas las etapas que los responsables de la formulación de políticas deben seguir a la hora de elaborar estrategias y hojas de ruta nacionales para abordar la brecha que aún persiste en materia de IA y competencias digitales.</w:t>
      </w:r>
    </w:p>
    <w:p w14:paraId="4BA79FCC" w14:textId="77777777" w:rsidR="00BF4057" w:rsidRPr="00BF4057" w:rsidRDefault="00BF4057" w:rsidP="00F811D9">
      <w:pPr>
        <w:jc w:val="both"/>
        <w:rPr>
          <w:lang w:val="es-ES"/>
        </w:rPr>
      </w:pPr>
      <w:r w:rsidRPr="00BF4057">
        <w:rPr>
          <w:lang w:val="es-ES"/>
        </w:rPr>
        <w:t>Además, la UIT ha iniciado el proceso de redacción de una declaración conjunta sobre la protección de la infancia en el contexto de la IA, en colaboración con el Comité de los Derechos del Niño.</w:t>
      </w:r>
    </w:p>
    <w:p w14:paraId="78AA2BB9" w14:textId="77777777" w:rsidR="00BF4057" w:rsidRPr="00BF4057" w:rsidRDefault="00BF4057" w:rsidP="00BF4057">
      <w:pPr>
        <w:pStyle w:val="Headingb"/>
        <w:rPr>
          <w:lang w:val="es-ES"/>
        </w:rPr>
      </w:pPr>
      <w:r w:rsidRPr="00BF4057">
        <w:rPr>
          <w:lang w:val="es-ES"/>
        </w:rPr>
        <w:t>Apoyo a la coordinación sobre IA en todo el sistema de las Naciones Unidas</w:t>
      </w:r>
    </w:p>
    <w:p w14:paraId="335C5783" w14:textId="6D4846C7" w:rsidR="00BF4057" w:rsidRPr="00BF4057" w:rsidRDefault="00BF4057" w:rsidP="00F811D9">
      <w:pPr>
        <w:jc w:val="both"/>
        <w:rPr>
          <w:lang w:val="es-ES"/>
        </w:rPr>
      </w:pPr>
      <w:r w:rsidRPr="00BF4057">
        <w:rPr>
          <w:lang w:val="es-ES"/>
        </w:rPr>
        <w:t xml:space="preserve">El </w:t>
      </w:r>
      <w:hyperlink r:id="rId53" w:history="1">
        <w:r w:rsidRPr="00BF4057">
          <w:rPr>
            <w:rStyle w:val="Hyperlink"/>
            <w:lang w:val="es-ES"/>
          </w:rPr>
          <w:t>Grupo de Trabajo Interinstitucional de las Naciones Unidas sobre IA</w:t>
        </w:r>
      </w:hyperlink>
      <w:r w:rsidRPr="00BF4057">
        <w:rPr>
          <w:lang w:val="es-ES"/>
        </w:rPr>
        <w:t xml:space="preserve"> (IAWG-AI), copresidido por la UIT y la Organización de las Naciones Unidas para la Educación, la Ciencia y la Cultura (UNESCO), lleva a cabo una exhaustiva labor de coordinación con casi 50</w:t>
      </w:r>
      <w:r w:rsidR="00E10D1C">
        <w:rPr>
          <w:lang w:val="es-ES"/>
        </w:rPr>
        <w:t> </w:t>
      </w:r>
      <w:r w:rsidRPr="00BF4057">
        <w:rPr>
          <w:lang w:val="es-ES"/>
        </w:rPr>
        <w:t xml:space="preserve">organismos de las Naciones Unidas y ha desarrollado iniciativas clave, como los </w:t>
      </w:r>
      <w:hyperlink r:id="rId54" w:history="1">
        <w:r w:rsidRPr="00BF4057">
          <w:rPr>
            <w:rStyle w:val="Hyperlink"/>
            <w:lang w:val="es-ES"/>
          </w:rPr>
          <w:t>principios éticos para la IA en el sistema de las Naciones Unidas</w:t>
        </w:r>
      </w:hyperlink>
      <w:r w:rsidRPr="00BF4057">
        <w:rPr>
          <w:lang w:val="es-ES"/>
        </w:rPr>
        <w:t xml:space="preserve"> y el </w:t>
      </w:r>
      <w:hyperlink r:id="rId55" w:history="1">
        <w:r w:rsidRPr="00BF4057">
          <w:rPr>
            <w:rStyle w:val="Hyperlink"/>
            <w:lang w:val="es-ES"/>
          </w:rPr>
          <w:t>libro blanco de las Naciones Unidas sobre la gobernanza de la IA</w:t>
        </w:r>
      </w:hyperlink>
      <w:r w:rsidRPr="00BF4057">
        <w:rPr>
          <w:lang w:val="es-ES"/>
        </w:rPr>
        <w:t>. Los Estados Miembros de la UIT y la UNESCO han adoptado dos Resoluciones (</w:t>
      </w:r>
      <w:hyperlink r:id="rId56" w:history="1">
        <w:r w:rsidRPr="00BF4057">
          <w:rPr>
            <w:rStyle w:val="Hyperlink"/>
            <w:lang w:val="es-ES"/>
          </w:rPr>
          <w:t>Resolución</w:t>
        </w:r>
        <w:r w:rsidR="00E10D1C">
          <w:rPr>
            <w:rStyle w:val="Hyperlink"/>
            <w:lang w:val="es-ES"/>
          </w:rPr>
          <w:t> </w:t>
        </w:r>
        <w:r w:rsidRPr="00BF4057">
          <w:rPr>
            <w:rStyle w:val="Hyperlink"/>
            <w:lang w:val="es-ES"/>
          </w:rPr>
          <w:t>101 de la AMNT de la UIT</w:t>
        </w:r>
      </w:hyperlink>
      <w:r w:rsidRPr="00BF4057">
        <w:rPr>
          <w:lang w:val="es-ES"/>
        </w:rPr>
        <w:t xml:space="preserve"> y </w:t>
      </w:r>
      <w:hyperlink r:id="rId57" w:anchor="%5B%7B%22num%22%3A129%2C%22gen%22%3A0%7D%2C%7B%22name%22%3A%22XYZ%22%7D%2C54%2C665%2C0%5D" w:history="1">
        <w:r w:rsidRPr="00BF4057">
          <w:rPr>
            <w:rStyle w:val="Hyperlink"/>
            <w:lang w:val="es-ES"/>
          </w:rPr>
          <w:t>Decisión UNESCO 220 EX/41</w:t>
        </w:r>
      </w:hyperlink>
      <w:r w:rsidRPr="00BF4057">
        <w:rPr>
          <w:lang w:val="es-ES"/>
        </w:rPr>
        <w:t xml:space="preserve"> respectivamente), en las que se reconoce la labor del IAWG-AI.</w:t>
      </w:r>
    </w:p>
    <w:p w14:paraId="78960771" w14:textId="45036D9C" w:rsidR="00BF4057" w:rsidRPr="00BF4057" w:rsidRDefault="00BF4057" w:rsidP="00F811D9">
      <w:pPr>
        <w:jc w:val="both"/>
        <w:rPr>
          <w:lang w:val="es-ES"/>
        </w:rPr>
      </w:pPr>
      <w:r w:rsidRPr="00BF4057">
        <w:rPr>
          <w:lang w:val="es-ES"/>
        </w:rPr>
        <w:t xml:space="preserve">En su </w:t>
      </w:r>
      <w:hyperlink r:id="rId58" w:history="1">
        <w:r w:rsidRPr="00BF4057">
          <w:rPr>
            <w:rStyle w:val="Hyperlink"/>
            <w:lang w:val="es-ES"/>
          </w:rPr>
          <w:t>48</w:t>
        </w:r>
        <w:r w:rsidR="00E10D1C">
          <w:rPr>
            <w:rStyle w:val="Hyperlink"/>
            <w:lang w:val="es-ES"/>
          </w:rPr>
          <w:t>.</w:t>
        </w:r>
        <w:r w:rsidRPr="00BF4057">
          <w:rPr>
            <w:rStyle w:val="Hyperlink"/>
            <w:lang w:val="es-ES"/>
          </w:rPr>
          <w:t>º</w:t>
        </w:r>
        <w:r w:rsidR="00E10D1C">
          <w:rPr>
            <w:rStyle w:val="Hyperlink"/>
            <w:lang w:val="es-ES"/>
          </w:rPr>
          <w:t> </w:t>
        </w:r>
        <w:r w:rsidRPr="00BF4057">
          <w:rPr>
            <w:rStyle w:val="Hyperlink"/>
            <w:lang w:val="es-ES"/>
          </w:rPr>
          <w:t>per</w:t>
        </w:r>
        <w:r w:rsidR="00E10D1C">
          <w:rPr>
            <w:rStyle w:val="Hyperlink"/>
            <w:lang w:val="es-ES"/>
          </w:rPr>
          <w:t>i</w:t>
        </w:r>
        <w:r w:rsidRPr="00BF4057">
          <w:rPr>
            <w:rStyle w:val="Hyperlink"/>
            <w:lang w:val="es-ES"/>
          </w:rPr>
          <w:t>odo de sesiones</w:t>
        </w:r>
      </w:hyperlink>
      <w:r w:rsidRPr="00BF4057">
        <w:rPr>
          <w:lang w:val="es-ES"/>
        </w:rPr>
        <w:t>, el Comité de Alto Nivel sobre Programas, reconociendo la importancia del IAWG-AI, pidió que se armonizaran sus trabajos y se ofreciera apoyo del sistema de las Naciones Unidas para la ejecución del PDM. En el marco de su colaboración actual con otros organismos miembros del IAWG-AI, la UIT y la UNESCO formulan aportaciones para el Grupo de Trabajo sobre Tecnologías Digitales, junto con un plan de trabajo actualizado en el que se solicita el desarrollo integrado de un conjunto de herramientas de IA y una plataforma en línea común basada en una taxonomía normalizada, a fin de seguir facilitando la cooperación interinstitucional en las actividades de creación de capacidad para apoyar a los Estados Miembros.</w:t>
      </w:r>
    </w:p>
    <w:p w14:paraId="2EA86580" w14:textId="77777777" w:rsidR="00BF4057" w:rsidRPr="00BF4057" w:rsidRDefault="00BF4057" w:rsidP="00F811D9">
      <w:pPr>
        <w:jc w:val="both"/>
        <w:rPr>
          <w:lang w:val="es-ES"/>
        </w:rPr>
      </w:pPr>
      <w:r w:rsidRPr="00BF4057">
        <w:rPr>
          <w:lang w:val="es-ES"/>
        </w:rPr>
        <w:t>El Grupo de Trabajo sobre Tecnologías Digitales, copresidido por la UIT y la Oficina de Tecnologías Digitales y Emergentes (ODTE), ha creado seis subgrupos; de ellos, el subgrupo dedicado a IA está codirigido por la UIT, la ODTE y la UNESCO y se ocupa del seguimiento de las disposiciones del PDM relacionadas con la IA. El subgrupo sobre IA se está reuniendo ahora junto con el IAWG-AI de forma regular para ayudar a canalizar las aportaciones del sistema de las Naciones Unidas a los procesos pertinentes encomendados por el PDM.</w:t>
      </w:r>
    </w:p>
    <w:p w14:paraId="0D4AA543" w14:textId="1C053E42" w:rsidR="00BF4057" w:rsidRPr="00BF4057" w:rsidRDefault="00BF4057" w:rsidP="00F811D9">
      <w:pPr>
        <w:jc w:val="both"/>
        <w:rPr>
          <w:lang w:val="es-ES"/>
        </w:rPr>
      </w:pPr>
      <w:r w:rsidRPr="00BF4057">
        <w:rPr>
          <w:lang w:val="es-ES"/>
        </w:rPr>
        <w:t>Se han nombrado cofacilitadores para el proceso y las consultas intergubernamentales con el fin de definir el mandato y las modalidades para el establecimiento y funcionamiento del Grupo Científico Independiente sobre la IA y el Diálogo Mundial sobre la Gobernanza de la</w:t>
      </w:r>
      <w:r w:rsidR="00E160EC">
        <w:rPr>
          <w:lang w:val="es-ES"/>
        </w:rPr>
        <w:t> </w:t>
      </w:r>
      <w:r w:rsidRPr="00BF4057">
        <w:rPr>
          <w:lang w:val="es-ES"/>
        </w:rPr>
        <w:t>IA. El 12 de febrero de 2025, la UIT recibió a los cofacilitadores en un desayuno de trabajo para ponerlos al corriente de los esfuerzos de la UIT en materia de IA, en una sesión informativa de los cofacilitadores para las misiones con sede en Ginebra y en una consulta de cofacilitadores para organizaciones de las Naciones Unidas con sede en Ginebra.</w:t>
      </w:r>
    </w:p>
    <w:p w14:paraId="03B2B2F1" w14:textId="75B8AC56" w:rsidR="00BF4057" w:rsidRPr="00EB546A" w:rsidRDefault="00BF4057" w:rsidP="00F811D9">
      <w:pPr>
        <w:jc w:val="both"/>
        <w:rPr>
          <w:spacing w:val="-2"/>
          <w:lang w:val="es-ES"/>
        </w:rPr>
      </w:pPr>
      <w:r w:rsidRPr="00EB546A">
        <w:rPr>
          <w:spacing w:val="-2"/>
          <w:lang w:val="es-ES"/>
        </w:rPr>
        <w:t xml:space="preserve">Además, la UIT coordina las contribuciones y prepara el informe anual sobre las actividades de las Naciones Unidas en materia de IA. En la </w:t>
      </w:r>
      <w:hyperlink r:id="rId59" w:history="1">
        <w:r w:rsidRPr="00EB546A">
          <w:rPr>
            <w:rStyle w:val="Hyperlink"/>
            <w:spacing w:val="-2"/>
            <w:lang w:val="es-ES"/>
          </w:rPr>
          <w:t>versión de 2023</w:t>
        </w:r>
      </w:hyperlink>
      <w:r w:rsidRPr="00EB546A">
        <w:rPr>
          <w:spacing w:val="-2"/>
          <w:lang w:val="es-ES"/>
        </w:rPr>
        <w:t xml:space="preserve"> publicada en el Día de la Gobernanza de la IA de 2024, se informa de 408</w:t>
      </w:r>
      <w:r w:rsidR="00E160EC" w:rsidRPr="00EB546A">
        <w:rPr>
          <w:spacing w:val="-2"/>
          <w:lang w:val="es-ES"/>
        </w:rPr>
        <w:t> </w:t>
      </w:r>
      <w:r w:rsidRPr="00EB546A">
        <w:rPr>
          <w:spacing w:val="-2"/>
          <w:lang w:val="es-ES"/>
        </w:rPr>
        <w:t>proyectos de IA de 47</w:t>
      </w:r>
      <w:r w:rsidR="00E160EC" w:rsidRPr="00EB546A">
        <w:rPr>
          <w:spacing w:val="-2"/>
          <w:lang w:val="es-ES"/>
        </w:rPr>
        <w:t> </w:t>
      </w:r>
      <w:r w:rsidRPr="00EB546A">
        <w:rPr>
          <w:spacing w:val="-2"/>
          <w:lang w:val="es-ES"/>
        </w:rPr>
        <w:t>organismos, que abarcan los 17</w:t>
      </w:r>
      <w:r w:rsidR="00E160EC" w:rsidRPr="00EB546A">
        <w:rPr>
          <w:spacing w:val="-2"/>
          <w:lang w:val="es-ES"/>
        </w:rPr>
        <w:t> </w:t>
      </w:r>
      <w:r w:rsidRPr="00EB546A">
        <w:rPr>
          <w:spacing w:val="-2"/>
          <w:lang w:val="es-ES"/>
        </w:rPr>
        <w:t>ODS. El informe de las actividades de las Naciones Unidas sobre IA de 2024 está en proceso de preparación y se presentará previsiblemente en la Cumbre Mundial AI for Good de 2025.</w:t>
      </w:r>
    </w:p>
    <w:p w14:paraId="7987727B" w14:textId="77777777" w:rsidR="00BF4057" w:rsidRPr="00BF4057" w:rsidRDefault="00BF4057" w:rsidP="00BF4057">
      <w:pPr>
        <w:pStyle w:val="Headingb"/>
        <w:rPr>
          <w:lang w:val="es-ES"/>
        </w:rPr>
      </w:pPr>
      <w:r w:rsidRPr="00BF4057">
        <w:rPr>
          <w:lang w:val="es-ES"/>
        </w:rPr>
        <w:lastRenderedPageBreak/>
        <w:t>Colaboración multilateral</w:t>
      </w:r>
    </w:p>
    <w:p w14:paraId="5C3FDBF5" w14:textId="6C5E3951" w:rsidR="00BF4057" w:rsidRPr="00BF4057" w:rsidRDefault="00BF4057" w:rsidP="00F811D9">
      <w:pPr>
        <w:jc w:val="both"/>
        <w:rPr>
          <w:lang w:val="es-ES"/>
        </w:rPr>
      </w:pPr>
      <w:r w:rsidRPr="00BF4057">
        <w:rPr>
          <w:lang w:val="es-ES"/>
        </w:rPr>
        <w:t>Desde su creación en 2017, la plataforma AI for Good ha pasado de ser una cumbre anual a adoptar un formato "Todo el año, siempre en línea" y acoge más de 150</w:t>
      </w:r>
      <w:r w:rsidR="00E160EC">
        <w:rPr>
          <w:lang w:val="es-ES"/>
        </w:rPr>
        <w:t> </w:t>
      </w:r>
      <w:r w:rsidRPr="00BF4057">
        <w:rPr>
          <w:lang w:val="es-ES"/>
        </w:rPr>
        <w:t>eventos en línea al año, además de la celebración de la Cumbre anual en Ginebra. Este año, la Cumbre Mundial AI for Good marca el inicio del audaz regreso de la UIT a Palexpo con más de 10</w:t>
      </w:r>
      <w:r w:rsidR="00E10D1C">
        <w:rPr>
          <w:lang w:val="es-ES"/>
        </w:rPr>
        <w:t> </w:t>
      </w:r>
      <w:r w:rsidRPr="00BF4057">
        <w:rPr>
          <w:lang w:val="es-ES"/>
        </w:rPr>
        <w:t>000</w:t>
      </w:r>
      <w:r w:rsidR="00E10D1C">
        <w:rPr>
          <w:lang w:val="es-ES"/>
        </w:rPr>
        <w:t> </w:t>
      </w:r>
      <w:r w:rsidRPr="00BF4057">
        <w:rPr>
          <w:lang w:val="es-ES"/>
        </w:rPr>
        <w:t>participantes, por lo que se trata del evento tecnológico más grande y de mayor repercusión de Suiza. La plataforma AI for Good se ha convertido en una potente herramienta de promoción de asociaciones público-privadas, facilitación del intercambio de conocimientos y asistencia a los países en desarrollo para el desarrollo sostenible mediante la aplicación práctica de casos de uso de IA de elevado potencial.</w:t>
      </w:r>
    </w:p>
    <w:p w14:paraId="18E628D6" w14:textId="52346FD7" w:rsidR="00BF4057" w:rsidRPr="00BF4057" w:rsidRDefault="00BF4057" w:rsidP="00F811D9">
      <w:pPr>
        <w:jc w:val="both"/>
        <w:rPr>
          <w:lang w:val="es-ES"/>
        </w:rPr>
      </w:pPr>
      <w:r w:rsidRPr="00BF4057">
        <w:rPr>
          <w:lang w:val="es-ES"/>
        </w:rPr>
        <w:t xml:space="preserve">A través de las </w:t>
      </w:r>
      <w:hyperlink r:id="rId60" w:history="1">
        <w:r w:rsidRPr="00BF4057">
          <w:rPr>
            <w:rStyle w:val="Hyperlink"/>
            <w:lang w:val="es-ES"/>
          </w:rPr>
          <w:t>iniciativas AI for Good</w:t>
        </w:r>
      </w:hyperlink>
      <w:r w:rsidRPr="00BF4057">
        <w:rPr>
          <w:lang w:val="es-ES"/>
        </w:rPr>
        <w:t xml:space="preserve"> de la UIT, incluida la </w:t>
      </w:r>
      <w:hyperlink r:id="rId61" w:history="1">
        <w:r w:rsidRPr="00BF4057">
          <w:rPr>
            <w:rStyle w:val="Hyperlink"/>
            <w:lang w:val="es-ES"/>
          </w:rPr>
          <w:t>plataforma de emparejamiento inteligente Red neuronal</w:t>
        </w:r>
      </w:hyperlink>
      <w:r w:rsidRPr="00BF4057">
        <w:rPr>
          <w:lang w:val="es-ES"/>
        </w:rPr>
        <w:t xml:space="preserve"> con más de 43</w:t>
      </w:r>
      <w:r w:rsidR="00E160EC">
        <w:rPr>
          <w:lang w:val="es-ES"/>
        </w:rPr>
        <w:t> </w:t>
      </w:r>
      <w:r w:rsidRPr="00BF4057">
        <w:rPr>
          <w:lang w:val="es-ES"/>
        </w:rPr>
        <w:t>000</w:t>
      </w:r>
      <w:r w:rsidR="00E160EC">
        <w:rPr>
          <w:lang w:val="es-ES"/>
        </w:rPr>
        <w:t> </w:t>
      </w:r>
      <w:r w:rsidRPr="00BF4057">
        <w:rPr>
          <w:lang w:val="es-ES"/>
        </w:rPr>
        <w:t>miembros de más de 180</w:t>
      </w:r>
      <w:r w:rsidR="00E160EC">
        <w:rPr>
          <w:lang w:val="es-ES"/>
        </w:rPr>
        <w:t> </w:t>
      </w:r>
      <w:r w:rsidRPr="00BF4057">
        <w:rPr>
          <w:lang w:val="es-ES"/>
        </w:rPr>
        <w:t xml:space="preserve">países, el marco AI4G Infinity y el programa AI Scholar, concursos de </w:t>
      </w:r>
      <w:hyperlink r:id="rId62" w:history="1">
        <w:r w:rsidRPr="00BF4057">
          <w:rPr>
            <w:rStyle w:val="Hyperlink"/>
            <w:lang w:val="es-ES"/>
          </w:rPr>
          <w:t>nuevas empresas</w:t>
        </w:r>
      </w:hyperlink>
      <w:r w:rsidRPr="00BF4057">
        <w:rPr>
          <w:lang w:val="es-ES"/>
        </w:rPr>
        <w:t xml:space="preserve"> y </w:t>
      </w:r>
      <w:hyperlink r:id="rId63" w:history="1">
        <w:r w:rsidRPr="00BF4057">
          <w:rPr>
            <w:rStyle w:val="Hyperlink"/>
            <w:lang w:val="es-ES"/>
          </w:rPr>
          <w:t>robótica de IA</w:t>
        </w:r>
      </w:hyperlink>
      <w:r w:rsidRPr="00BF4057">
        <w:rPr>
          <w:lang w:val="es-ES"/>
        </w:rPr>
        <w:t xml:space="preserve">, desafíos de aprendizaje automático y la </w:t>
      </w:r>
      <w:r w:rsidRPr="009175D6">
        <w:rPr>
          <w:i/>
          <w:iCs/>
          <w:lang w:val="es-ES"/>
        </w:rPr>
        <w:t>Gaceta de la UIT</w:t>
      </w:r>
      <w:r w:rsidRPr="00BF4057">
        <w:rPr>
          <w:lang w:val="es-ES"/>
        </w:rPr>
        <w:t xml:space="preserve">, se está creando un repositorio de conocimientos y aplicaciones de IA. La </w:t>
      </w:r>
      <w:hyperlink r:id="rId64" w:history="1">
        <w:r w:rsidRPr="00BF4057">
          <w:rPr>
            <w:rStyle w:val="Hyperlink"/>
            <w:lang w:val="es-ES"/>
          </w:rPr>
          <w:t>iniciativa AI for Good Impact</w:t>
        </w:r>
      </w:hyperlink>
      <w:r w:rsidRPr="00BF4057">
        <w:rPr>
          <w:lang w:val="es-ES"/>
        </w:rPr>
        <w:t xml:space="preserve"> desempeña un papel esencial en la movilización de los recursos necesarios para llevar las aplicaciones de IA a todo el mundo, garantizando un progreso equitativo de todos los</w:t>
      </w:r>
      <w:r w:rsidR="00E160EC">
        <w:rPr>
          <w:lang w:val="es-ES"/>
        </w:rPr>
        <w:t> </w:t>
      </w:r>
      <w:r w:rsidRPr="00BF4057">
        <w:rPr>
          <w:lang w:val="es-ES"/>
        </w:rPr>
        <w:t>ODS en todas las regiones. Esta base permitirá establecer un acervo de conocimiento importante y contribuir a él, lo que servirá de impulso al desarrollo sostenible de conformidad con los</w:t>
      </w:r>
      <w:r w:rsidR="00E160EC">
        <w:rPr>
          <w:lang w:val="es-ES"/>
        </w:rPr>
        <w:t> </w:t>
      </w:r>
      <w:r w:rsidRPr="00BF4057">
        <w:rPr>
          <w:lang w:val="es-ES"/>
        </w:rPr>
        <w:t>ODS.</w:t>
      </w:r>
    </w:p>
    <w:p w14:paraId="50B9639F" w14:textId="12B04A1B" w:rsidR="00BF4057" w:rsidRPr="00EB546A" w:rsidRDefault="00BF4057" w:rsidP="00F811D9">
      <w:pPr>
        <w:jc w:val="both"/>
        <w:rPr>
          <w:spacing w:val="-3"/>
          <w:lang w:val="es-ES"/>
        </w:rPr>
      </w:pPr>
      <w:r w:rsidRPr="00EB546A">
        <w:rPr>
          <w:spacing w:val="-3"/>
          <w:lang w:val="es-ES"/>
        </w:rPr>
        <w:t>El Foro anual de la</w:t>
      </w:r>
      <w:r w:rsidR="00E160EC" w:rsidRPr="00EB546A">
        <w:rPr>
          <w:spacing w:val="-3"/>
          <w:lang w:val="es-ES"/>
        </w:rPr>
        <w:t> </w:t>
      </w:r>
      <w:r w:rsidRPr="00EB546A">
        <w:rPr>
          <w:spacing w:val="-3"/>
          <w:lang w:val="es-ES"/>
        </w:rPr>
        <w:t>CMSI ofrece una plataforma multilateral para que la comunidad más amplia de las TIC para el desarrollo debata los retos y oportunidades de las tecnologías emergentes, como la</w:t>
      </w:r>
      <w:r w:rsidR="00E160EC" w:rsidRPr="00EB546A">
        <w:rPr>
          <w:spacing w:val="-3"/>
          <w:lang w:val="es-ES"/>
        </w:rPr>
        <w:t> </w:t>
      </w:r>
      <w:r w:rsidRPr="00EB546A">
        <w:rPr>
          <w:spacing w:val="-3"/>
          <w:lang w:val="es-ES"/>
        </w:rPr>
        <w:t>IA, en el contexto del desarrollo. Varios participantes en el Foro de la</w:t>
      </w:r>
      <w:r w:rsidR="00E160EC" w:rsidRPr="00EB546A">
        <w:rPr>
          <w:spacing w:val="-3"/>
          <w:lang w:val="es-ES"/>
        </w:rPr>
        <w:t> </w:t>
      </w:r>
      <w:r w:rsidRPr="00EB546A">
        <w:rPr>
          <w:spacing w:val="-3"/>
          <w:lang w:val="es-ES"/>
        </w:rPr>
        <w:t xml:space="preserve">CMSI de 2024, incluidos la UIT y otros asociados de las Naciones Unidas, organizaron varias vías específicas, diálogos de alto nivel y talleres sobre temas conexos. Cabe destacar que el </w:t>
      </w:r>
      <w:hyperlink r:id="rId65" w:history="1">
        <w:r w:rsidRPr="00EB546A">
          <w:rPr>
            <w:rStyle w:val="Hyperlink"/>
            <w:spacing w:val="-3"/>
            <w:lang w:val="es-ES"/>
          </w:rPr>
          <w:t>Evento de Alto Nivel del Foro CMSI+20</w:t>
        </w:r>
      </w:hyperlink>
      <w:r w:rsidRPr="00EB546A">
        <w:rPr>
          <w:spacing w:val="-3"/>
          <w:lang w:val="es-ES"/>
        </w:rPr>
        <w:t xml:space="preserve"> y la Cumbre Mundial AI for Good se celebraron durante la misma semana. Este calendario permitió a diversas comunidades de partes interesadas aprovechar las oportunidades que ofrecen ambas plataformas, propició un diálogo exhaustivo sobre la integración de la IA en las estrategias de desarrollo y puso de relieve la importancia de la colaboración multilateral en el uso de las tecnologías emergentes con miras al desarrollo sostenible.</w:t>
      </w:r>
    </w:p>
    <w:p w14:paraId="732FA858" w14:textId="77777777" w:rsidR="00BF4057" w:rsidRPr="00BF4057" w:rsidRDefault="00BF4057" w:rsidP="00F811D9">
      <w:pPr>
        <w:jc w:val="both"/>
        <w:rPr>
          <w:lang w:val="es-ES"/>
        </w:rPr>
      </w:pPr>
      <w:r w:rsidRPr="00BF4057">
        <w:rPr>
          <w:lang w:val="es-ES"/>
        </w:rPr>
        <w:t xml:space="preserve">En asociación con la </w:t>
      </w:r>
      <w:hyperlink r:id="rId66" w:history="1">
        <w:r w:rsidRPr="00BF4057">
          <w:rPr>
            <w:rStyle w:val="Hyperlink"/>
            <w:lang w:val="es-ES"/>
          </w:rPr>
          <w:t>Coalición Digital Partner2Connect</w:t>
        </w:r>
      </w:hyperlink>
      <w:r w:rsidRPr="00BF4057">
        <w:rPr>
          <w:lang w:val="es-ES"/>
        </w:rPr>
        <w:t>, la UIT fomenta la presentación de contribuciones de distintos sectores sobre proyectos y compromisos financieros, centrándose en el acceso por IA a la tecnología y la conectividad y en la aceleración de la adopción gracias a la adquisición de competencias y la inclusión digital.</w:t>
      </w:r>
    </w:p>
    <w:p w14:paraId="065A3328" w14:textId="77777777" w:rsidR="00BF4057" w:rsidRPr="00BF4057" w:rsidRDefault="00BF4057" w:rsidP="00BF4057">
      <w:pPr>
        <w:pStyle w:val="Headingb"/>
        <w:rPr>
          <w:lang w:val="es-ES"/>
        </w:rPr>
      </w:pPr>
      <w:r w:rsidRPr="00BF4057">
        <w:rPr>
          <w:lang w:val="es-ES"/>
        </w:rPr>
        <w:t>Demanda de más actividades</w:t>
      </w:r>
    </w:p>
    <w:p w14:paraId="4D692A52" w14:textId="79B20049" w:rsidR="00BF4057" w:rsidRPr="00BF4057" w:rsidRDefault="00BF4057" w:rsidP="00F811D9">
      <w:pPr>
        <w:keepNext/>
        <w:keepLines/>
        <w:jc w:val="both"/>
        <w:rPr>
          <w:lang w:val="es-ES"/>
        </w:rPr>
      </w:pPr>
      <w:r w:rsidRPr="00BF4057">
        <w:rPr>
          <w:lang w:val="es-ES"/>
        </w:rPr>
        <w:t>La UIT trabaja en todo momento en el ámbito de la</w:t>
      </w:r>
      <w:r w:rsidR="00E160EC">
        <w:rPr>
          <w:lang w:val="es-ES"/>
        </w:rPr>
        <w:t> </w:t>
      </w:r>
      <w:r w:rsidRPr="00BF4057">
        <w:rPr>
          <w:lang w:val="es-ES"/>
        </w:rPr>
        <w:t>IA a través de múltiples pilares, prestando especial atención a las normas técnicas sólidas, el desarrollo de capacidades inclusivo, la infraestructura pública digital resiliente y los intercambios mundiales en materia de política, reglamentación e investigación.</w:t>
      </w:r>
    </w:p>
    <w:p w14:paraId="56896CBF" w14:textId="14A5C868" w:rsidR="00BF4057" w:rsidRPr="00BF4057" w:rsidRDefault="00BF4057" w:rsidP="00F811D9">
      <w:pPr>
        <w:jc w:val="both"/>
        <w:rPr>
          <w:lang w:val="es-ES"/>
        </w:rPr>
      </w:pPr>
      <w:r w:rsidRPr="00BF4057">
        <w:rPr>
          <w:lang w:val="es-ES"/>
        </w:rPr>
        <w:t>Existe un interés creciente por la labor de la</w:t>
      </w:r>
      <w:r w:rsidR="00E160EC">
        <w:rPr>
          <w:lang w:val="es-ES"/>
        </w:rPr>
        <w:t> </w:t>
      </w:r>
      <w:r w:rsidRPr="00BF4057">
        <w:rPr>
          <w:lang w:val="es-ES"/>
        </w:rPr>
        <w:t>UIT en materia de desarrollo de capacidades y formulación de políticas, así como en su iniciativa AI for Good, lo que refleja el creciente reconocimiento del papel y la experiencia de la UIT en este ámbito.</w:t>
      </w:r>
    </w:p>
    <w:p w14:paraId="711DB6DF" w14:textId="5D97B815" w:rsidR="00BF4057" w:rsidRPr="00BF4057" w:rsidRDefault="00BF4057" w:rsidP="00F811D9">
      <w:pPr>
        <w:jc w:val="both"/>
        <w:rPr>
          <w:lang w:val="es-ES"/>
        </w:rPr>
      </w:pPr>
      <w:r w:rsidRPr="00BF4057">
        <w:rPr>
          <w:lang w:val="es-ES"/>
        </w:rPr>
        <w:t xml:space="preserve">A este respecto, la </w:t>
      </w:r>
      <w:r w:rsidR="00C43987">
        <w:rPr>
          <w:lang w:val="es-ES"/>
        </w:rPr>
        <w:t>s</w:t>
      </w:r>
      <w:r w:rsidRPr="00BF4057">
        <w:rPr>
          <w:lang w:val="es-ES"/>
        </w:rPr>
        <w:t>ecretaría de la</w:t>
      </w:r>
      <w:r w:rsidR="00E160EC">
        <w:rPr>
          <w:lang w:val="es-ES"/>
        </w:rPr>
        <w:t> </w:t>
      </w:r>
      <w:r w:rsidRPr="00BF4057">
        <w:rPr>
          <w:lang w:val="es-ES"/>
        </w:rPr>
        <w:t>UIT ha solicitado fondos adicionales para apoyar sus actividades relacionadas con la IA, como se indica en el Documento</w:t>
      </w:r>
      <w:r w:rsidR="003C246C">
        <w:rPr>
          <w:lang w:val="es-ES"/>
        </w:rPr>
        <w:t> </w:t>
      </w:r>
      <w:hyperlink r:id="rId67" w:history="1">
        <w:r w:rsidRPr="00BF4057">
          <w:rPr>
            <w:rStyle w:val="Hyperlink"/>
            <w:lang w:val="es-ES"/>
          </w:rPr>
          <w:t>C25/43</w:t>
        </w:r>
      </w:hyperlink>
      <w:r w:rsidRPr="00BF4057">
        <w:rPr>
          <w:lang w:val="es-ES"/>
        </w:rPr>
        <w:t xml:space="preserve"> del Consejo.</w:t>
      </w:r>
    </w:p>
    <w:p w14:paraId="177C71B6" w14:textId="77777777" w:rsidR="00F92BED" w:rsidRPr="00F92BED" w:rsidRDefault="00F92BED" w:rsidP="00EB546A">
      <w:pPr>
        <w:spacing w:before="0"/>
        <w:jc w:val="center"/>
      </w:pPr>
      <w:r>
        <w:t>______________</w:t>
      </w:r>
    </w:p>
    <w:sectPr w:rsidR="00F92BED" w:rsidRPr="00F92BED" w:rsidSect="00C538FC">
      <w:footerReference w:type="default" r:id="rId68"/>
      <w:headerReference w:type="first" r:id="rId69"/>
      <w:footerReference w:type="first" r:id="rId7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29A9F" w14:textId="77777777" w:rsidR="00E11859" w:rsidRDefault="00E11859">
      <w:r>
        <w:separator/>
      </w:r>
    </w:p>
  </w:endnote>
  <w:endnote w:type="continuationSeparator" w:id="0">
    <w:p w14:paraId="3C6B3255" w14:textId="77777777" w:rsidR="00E11859" w:rsidRDefault="00E1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52BC6901" w14:textId="77777777" w:rsidTr="00E31DCE">
      <w:trPr>
        <w:jc w:val="center"/>
      </w:trPr>
      <w:tc>
        <w:tcPr>
          <w:tcW w:w="1803" w:type="dxa"/>
          <w:vAlign w:val="center"/>
        </w:tcPr>
        <w:p w14:paraId="522F499F" w14:textId="55F4E154" w:rsidR="003273A4" w:rsidRDefault="002946E2" w:rsidP="003273A4">
          <w:pPr>
            <w:pStyle w:val="Header"/>
            <w:jc w:val="left"/>
            <w:rPr>
              <w:noProof/>
            </w:rPr>
          </w:pPr>
          <w:r>
            <w:rPr>
              <w:noProof/>
            </w:rPr>
            <w:t xml:space="preserve">gDoc </w:t>
          </w:r>
          <w:r w:rsidR="00BF4057">
            <w:rPr>
              <w:noProof/>
            </w:rPr>
            <w:t>2501230</w:t>
          </w:r>
        </w:p>
      </w:tc>
      <w:tc>
        <w:tcPr>
          <w:tcW w:w="8261" w:type="dxa"/>
        </w:tcPr>
        <w:p w14:paraId="7B2843C2" w14:textId="08C99555"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BF4057">
            <w:rPr>
              <w:bCs/>
            </w:rPr>
            <w:t>56</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21152B33"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2C74452D" w14:textId="77777777" w:rsidTr="00E31DCE">
      <w:trPr>
        <w:jc w:val="center"/>
      </w:trPr>
      <w:tc>
        <w:tcPr>
          <w:tcW w:w="1803" w:type="dxa"/>
          <w:vAlign w:val="center"/>
        </w:tcPr>
        <w:p w14:paraId="7A0D5084"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6BD6D9F4" w14:textId="3CC0260B"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BF4057">
            <w:rPr>
              <w:bCs/>
            </w:rPr>
            <w:t>56</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038E999B"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3359E" w14:textId="77777777" w:rsidR="00E11859" w:rsidRDefault="00E11859">
      <w:r>
        <w:t>____________________</w:t>
      </w:r>
    </w:p>
  </w:footnote>
  <w:footnote w:type="continuationSeparator" w:id="0">
    <w:p w14:paraId="4C64409B" w14:textId="77777777" w:rsidR="00E11859" w:rsidRDefault="00E11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5752E7AB" w14:textId="77777777" w:rsidTr="00666D09">
      <w:trPr>
        <w:trHeight w:val="1104"/>
        <w:jc w:val="center"/>
      </w:trPr>
      <w:tc>
        <w:tcPr>
          <w:tcW w:w="5998" w:type="dxa"/>
          <w:vAlign w:val="center"/>
        </w:tcPr>
        <w:p w14:paraId="27B33DF5"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60B2DF5C" wp14:editId="492FC222">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225CA5D7" w14:textId="77777777" w:rsidR="00666D09" w:rsidRDefault="00666D09" w:rsidP="001559F5">
          <w:pPr>
            <w:pStyle w:val="Header"/>
            <w:jc w:val="right"/>
            <w:rPr>
              <w:rFonts w:ascii="Arial" w:hAnsi="Arial" w:cs="Arial"/>
              <w:b/>
              <w:bCs/>
              <w:color w:val="009CD6"/>
              <w:szCs w:val="18"/>
            </w:rPr>
          </w:pPr>
        </w:p>
      </w:tc>
    </w:tr>
  </w:tbl>
  <w:p w14:paraId="228E7EAA"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83779E7" wp14:editId="134C6DCF">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6D671"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4A"/>
    <w:rsid w:val="000007D1"/>
    <w:rsid w:val="0006007D"/>
    <w:rsid w:val="00093EEB"/>
    <w:rsid w:val="000B0D00"/>
    <w:rsid w:val="000B7C15"/>
    <w:rsid w:val="000D1D0F"/>
    <w:rsid w:val="000E3F07"/>
    <w:rsid w:val="000F5290"/>
    <w:rsid w:val="0010165C"/>
    <w:rsid w:val="00146BFB"/>
    <w:rsid w:val="001559F5"/>
    <w:rsid w:val="00157AC4"/>
    <w:rsid w:val="0016169C"/>
    <w:rsid w:val="00194B2B"/>
    <w:rsid w:val="001B6E2B"/>
    <w:rsid w:val="001F14A2"/>
    <w:rsid w:val="00206F32"/>
    <w:rsid w:val="002801AA"/>
    <w:rsid w:val="002946E2"/>
    <w:rsid w:val="002C3F32"/>
    <w:rsid w:val="002C4676"/>
    <w:rsid w:val="002C70B0"/>
    <w:rsid w:val="002F3CC4"/>
    <w:rsid w:val="003032E2"/>
    <w:rsid w:val="0031300A"/>
    <w:rsid w:val="003273A4"/>
    <w:rsid w:val="0034796E"/>
    <w:rsid w:val="003C246C"/>
    <w:rsid w:val="00473962"/>
    <w:rsid w:val="004B5D49"/>
    <w:rsid w:val="004D3A3C"/>
    <w:rsid w:val="00513630"/>
    <w:rsid w:val="00560125"/>
    <w:rsid w:val="005825D6"/>
    <w:rsid w:val="00585553"/>
    <w:rsid w:val="005B34D9"/>
    <w:rsid w:val="005D0CCF"/>
    <w:rsid w:val="005F3BCB"/>
    <w:rsid w:val="005F410F"/>
    <w:rsid w:val="0060149A"/>
    <w:rsid w:val="00601924"/>
    <w:rsid w:val="006447EA"/>
    <w:rsid w:val="0064481D"/>
    <w:rsid w:val="0064731F"/>
    <w:rsid w:val="00664572"/>
    <w:rsid w:val="00666D09"/>
    <w:rsid w:val="006710F6"/>
    <w:rsid w:val="00677A97"/>
    <w:rsid w:val="006C1B56"/>
    <w:rsid w:val="006D4761"/>
    <w:rsid w:val="00726872"/>
    <w:rsid w:val="00760F1C"/>
    <w:rsid w:val="007657F0"/>
    <w:rsid w:val="0077110E"/>
    <w:rsid w:val="0077252D"/>
    <w:rsid w:val="007757A2"/>
    <w:rsid w:val="007955DA"/>
    <w:rsid w:val="007E5DD3"/>
    <w:rsid w:val="007F350B"/>
    <w:rsid w:val="00820BE4"/>
    <w:rsid w:val="008451E8"/>
    <w:rsid w:val="008F6ABC"/>
    <w:rsid w:val="00913B9C"/>
    <w:rsid w:val="009175D6"/>
    <w:rsid w:val="00927F93"/>
    <w:rsid w:val="00956E77"/>
    <w:rsid w:val="009A338E"/>
    <w:rsid w:val="009F4811"/>
    <w:rsid w:val="00A22AEC"/>
    <w:rsid w:val="00A94438"/>
    <w:rsid w:val="00AA390C"/>
    <w:rsid w:val="00AF5CB5"/>
    <w:rsid w:val="00B0200A"/>
    <w:rsid w:val="00B060DF"/>
    <w:rsid w:val="00B574DB"/>
    <w:rsid w:val="00B826C2"/>
    <w:rsid w:val="00B8298E"/>
    <w:rsid w:val="00BB6FD8"/>
    <w:rsid w:val="00BD0723"/>
    <w:rsid w:val="00BD2518"/>
    <w:rsid w:val="00BF1D1C"/>
    <w:rsid w:val="00BF4057"/>
    <w:rsid w:val="00C20C59"/>
    <w:rsid w:val="00C2727F"/>
    <w:rsid w:val="00C43987"/>
    <w:rsid w:val="00C538FC"/>
    <w:rsid w:val="00C55B1F"/>
    <w:rsid w:val="00C8387B"/>
    <w:rsid w:val="00CF1A67"/>
    <w:rsid w:val="00D2750E"/>
    <w:rsid w:val="00D375E0"/>
    <w:rsid w:val="00D50A36"/>
    <w:rsid w:val="00D62446"/>
    <w:rsid w:val="00D6466D"/>
    <w:rsid w:val="00DA4EA2"/>
    <w:rsid w:val="00DC3D3E"/>
    <w:rsid w:val="00DE2C90"/>
    <w:rsid w:val="00DE3B24"/>
    <w:rsid w:val="00E06947"/>
    <w:rsid w:val="00E10D1C"/>
    <w:rsid w:val="00E11319"/>
    <w:rsid w:val="00E11859"/>
    <w:rsid w:val="00E160EC"/>
    <w:rsid w:val="00E21444"/>
    <w:rsid w:val="00E34072"/>
    <w:rsid w:val="00E3592D"/>
    <w:rsid w:val="00E50D76"/>
    <w:rsid w:val="00E8018B"/>
    <w:rsid w:val="00E9105E"/>
    <w:rsid w:val="00E92DE8"/>
    <w:rsid w:val="00EB1212"/>
    <w:rsid w:val="00EB546A"/>
    <w:rsid w:val="00ED65AB"/>
    <w:rsid w:val="00F03C6F"/>
    <w:rsid w:val="00F12850"/>
    <w:rsid w:val="00F24B71"/>
    <w:rsid w:val="00F33BF4"/>
    <w:rsid w:val="00F4254A"/>
    <w:rsid w:val="00F7105E"/>
    <w:rsid w:val="00F75F57"/>
    <w:rsid w:val="00F811D9"/>
    <w:rsid w:val="00F82FEE"/>
    <w:rsid w:val="00F92BED"/>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B8F5A9"/>
  <w15:docId w15:val="{7EE013CD-68B1-415D-9A83-401871A2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F811D9"/>
    <w:rPr>
      <w:color w:val="0070C0"/>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paragraph" w:styleId="Revision">
    <w:name w:val="Revision"/>
    <w:hidden/>
    <w:uiPriority w:val="99"/>
    <w:semiHidden/>
    <w:rsid w:val="00E10D1C"/>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aiforgood.itu.int/summit25/programme/" TargetMode="External"/><Relationship Id="rId21" Type="http://schemas.openxmlformats.org/officeDocument/2006/relationships/hyperlink" Target="https://www.itu.int/rec/T-REC-Y.Sup72-202211-I/es" TargetMode="External"/><Relationship Id="rId42" Type="http://schemas.openxmlformats.org/officeDocument/2006/relationships/hyperlink" Target="https://academy.itu.int/" TargetMode="External"/><Relationship Id="rId47" Type="http://schemas.openxmlformats.org/officeDocument/2006/relationships/hyperlink" Target="https://s41721.pcdn.co/wp-content/uploads/2021/06/2401225_AI_Governance_Day_2024_Report-E.pdf" TargetMode="External"/><Relationship Id="rId63" Type="http://schemas.openxmlformats.org/officeDocument/2006/relationships/hyperlink" Target="https://aiforgood.itu.int/robotics-for-good-youth-challenge/" TargetMode="External"/><Relationship Id="rId68" Type="http://schemas.openxmlformats.org/officeDocument/2006/relationships/footer" Target="footer1.xml"/><Relationship Id="rId7" Type="http://schemas.openxmlformats.org/officeDocument/2006/relationships/hyperlink" Target="https://www.itu.int/md/S25-CL-C-0043/es"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en/publications/Documents/tsb/2024-U4SSC-Guiding-principles-artificial-intelligence-in-cities/files/downloads/2301175_U4SSC%20_Guiding-principles-artificial-intelligence-in-cities.pdf" TargetMode="External"/><Relationship Id="rId29" Type="http://schemas.openxmlformats.org/officeDocument/2006/relationships/hyperlink" Target="https://aiforgood.itu.int/young-ai-leaders-community/" TargetMode="External"/><Relationship Id="rId11" Type="http://schemas.openxmlformats.org/officeDocument/2006/relationships/hyperlink" Target="https://documents.un.org/doc/undoc/gen/n24/087/83/pdf/n2408783.pdf" TargetMode="External"/><Relationship Id="rId24" Type="http://schemas.openxmlformats.org/officeDocument/2006/relationships/hyperlink" Target="https://extranet.itu.int/rsg-meetings/sg3/wp3j/cg3j3k3l3m27/SitePages/Home.aspx" TargetMode="External"/><Relationship Id="rId32" Type="http://schemas.openxmlformats.org/officeDocument/2006/relationships/hyperlink" Target="https://aiforgood.itu.int/robotics-for-good-youth-challenge/" TargetMode="External"/><Relationship Id="rId37" Type="http://schemas.openxmlformats.org/officeDocument/2006/relationships/hyperlink" Target="https://earlywarningsforall.org/site/early-warnings-all" TargetMode="External"/><Relationship Id="rId40" Type="http://schemas.openxmlformats.org/officeDocument/2006/relationships/hyperlink" Target="https://www.itu.int/women-and-girls/women-in-ict/ai-skills-accelerator-for-girls/" TargetMode="External"/><Relationship Id="rId45" Type="http://schemas.openxmlformats.org/officeDocument/2006/relationships/hyperlink" Target="https://www.itu.int/md/S25-CL-C-0055/es" TargetMode="External"/><Relationship Id="rId53" Type="http://schemas.openxmlformats.org/officeDocument/2006/relationships/hyperlink" Target="https://unsceb.org/inter-agency-working-group-artificial-intelligence" TargetMode="External"/><Relationship Id="rId58" Type="http://schemas.openxmlformats.org/officeDocument/2006/relationships/hyperlink" Target="https://unsceb.org/sites/default/files/2024-12/CEB.2024.6%20-%20HLCP%2048th%20Session%20Final%20Report.pdf" TargetMode="External"/><Relationship Id="rId66" Type="http://schemas.openxmlformats.org/officeDocument/2006/relationships/hyperlink" Target="https://www.itu.int/itu-d/sites/partner2connect/" TargetMode="External"/><Relationship Id="rId5" Type="http://schemas.openxmlformats.org/officeDocument/2006/relationships/footnotes" Target="footnotes.xml"/><Relationship Id="rId61" Type="http://schemas.openxmlformats.org/officeDocument/2006/relationships/hyperlink" Target="https://aiforgood.itu.int/neural-network/" TargetMode="External"/><Relationship Id="rId19" Type="http://schemas.openxmlformats.org/officeDocument/2006/relationships/hyperlink" Target="https://www.itu.int/dms_pub/itu-t/opb/env/T-ENV-ENV-2024-1-PDF-E.pdf" TargetMode="External"/><Relationship Id="rId14" Type="http://schemas.openxmlformats.org/officeDocument/2006/relationships/hyperlink" Target="https://unsceb.org/inter-agency-working-group-artificial-intelligence" TargetMode="External"/><Relationship Id="rId22" Type="http://schemas.openxmlformats.org/officeDocument/2006/relationships/hyperlink" Target="https://aiforgood.itu.int/event/detecting-deepfakes-and-generative-ai-standards-for-ai-watermarking-and-multimedia-authenticity/" TargetMode="External"/><Relationship Id="rId27" Type="http://schemas.openxmlformats.org/officeDocument/2006/relationships/hyperlink" Target="https://aiforgood.itu.int/ai-skills-coalition/" TargetMode="External"/><Relationship Id="rId30" Type="http://schemas.openxmlformats.org/officeDocument/2006/relationships/hyperlink" Target="https://aiforgood.itu.int/about-us/geoai-challenge/" TargetMode="External"/><Relationship Id="rId35" Type="http://schemas.openxmlformats.org/officeDocument/2006/relationships/hyperlink" Target="https://www.sustainableaicoalition.org/wp-content/uploads/Standardization_AI_Sustainability.pdf" TargetMode="External"/><Relationship Id="rId43" Type="http://schemas.openxmlformats.org/officeDocument/2006/relationships/hyperlink" Target="https://ituint.sharepoint.com/sites/AIHUB" TargetMode="External"/><Relationship Id="rId48" Type="http://schemas.openxmlformats.org/officeDocument/2006/relationships/hyperlink" Target="https://aiforgood.itu.int/summit25/programme/" TargetMode="External"/><Relationship Id="rId56" Type="http://schemas.openxmlformats.org/officeDocument/2006/relationships/hyperlink" Target="https://www.itu.int/dms_pub/itu-t/opb/res/T-RES-T.101-2024-PDF-S.pdf" TargetMode="External"/><Relationship Id="rId64" Type="http://schemas.openxmlformats.org/officeDocument/2006/relationships/hyperlink" Target="https://aiforgood.itu.int/impact-initiative/" TargetMode="External"/><Relationship Id="rId69" Type="http://schemas.openxmlformats.org/officeDocument/2006/relationships/header" Target="header1.xml"/><Relationship Id="rId8" Type="http://schemas.openxmlformats.org/officeDocument/2006/relationships/hyperlink" Target="https://www.itu.int/en/council/Documents/basic-texts-2023/RES-214-S.pdf" TargetMode="External"/><Relationship Id="rId51" Type="http://schemas.openxmlformats.org/officeDocument/2006/relationships/hyperlink" Target="https://www.itu.int/itu-d/meetings/digital-skills-forum/"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documents.un.org/doc/undoc/gen/n24/197/26/pdf/n2419726.pdf" TargetMode="External"/><Relationship Id="rId17" Type="http://schemas.openxmlformats.org/officeDocument/2006/relationships/hyperlink" Target="https://www.itu.int/en/ITU-T/extcoop/ai4resilience/Pages/default.aspx" TargetMode="External"/><Relationship Id="rId25" Type="http://schemas.openxmlformats.org/officeDocument/2006/relationships/hyperlink" Target="https://aiforgood.itu.int/international-ai-standards-summit-programme/" TargetMode="External"/><Relationship Id="rId33" Type="http://schemas.openxmlformats.org/officeDocument/2006/relationships/hyperlink" Target="https://aiforgood.itu.int/newsroom/publications-and-reports/" TargetMode="External"/><Relationship Id="rId38" Type="http://schemas.openxmlformats.org/officeDocument/2006/relationships/hyperlink" Target="https://www.itu.int/en/ITU-D/Emergency-Telecommunications/Pages/AI-Sub-Group-EW4All-.aspx" TargetMode="External"/><Relationship Id="rId46" Type="http://schemas.openxmlformats.org/officeDocument/2006/relationships/hyperlink" Target="https://aiforgood.itu.int/summit24/programme/" TargetMode="External"/><Relationship Id="rId59" Type="http://schemas.openxmlformats.org/officeDocument/2006/relationships/hyperlink" Target="https://s41721.pcdn.co/wp-content/uploads/2021/06/S-GEN-UNACT-2023-PDF-E-Exec-Summ.pdf" TargetMode="External"/><Relationship Id="rId67" Type="http://schemas.openxmlformats.org/officeDocument/2006/relationships/hyperlink" Target="https://www.itu.int/md/S25-CL-C-0043/es" TargetMode="External"/><Relationship Id="rId20" Type="http://schemas.openxmlformats.org/officeDocument/2006/relationships/hyperlink" Target="https://www.sustainableaicoalition.org/wp-content/uploads/Standardization_AI_Sustainability.pdf" TargetMode="External"/><Relationship Id="rId41" Type="http://schemas.openxmlformats.org/officeDocument/2006/relationships/hyperlink" Target="https://www.itu.int/en/ITU-D/Regional-Presence/AsiaPacific/Pages/Events/2024/Southeast%20Asia%20AI%20Webinar%20Series/Southeast-Asia-AI-Webinar-Series.aspx" TargetMode="External"/><Relationship Id="rId54" Type="http://schemas.openxmlformats.org/officeDocument/2006/relationships/hyperlink" Target="https://unsceb.org/sites/default/files/2022-09/Principles%20for%20the%20Ethical%20Use%20of%20AI%20in%20the%20UN%20System_1.pdf" TargetMode="External"/><Relationship Id="rId62" Type="http://schemas.openxmlformats.org/officeDocument/2006/relationships/hyperlink" Target="https://aiforgood.itu.int/about-ai-for-good/innovation-factory/"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itu.int/en/ITU-T/focusgroups/ainn/Pages/default.aspx" TargetMode="External"/><Relationship Id="rId23" Type="http://schemas.openxmlformats.org/officeDocument/2006/relationships/hyperlink" Target="https://www.itu.int/pub/R-REP-SM.2542/es" TargetMode="External"/><Relationship Id="rId28" Type="http://schemas.openxmlformats.org/officeDocument/2006/relationships/hyperlink" Target="https://aiforgood.itu.int/ai-skills-coalition/ai-courses-portfolio/" TargetMode="External"/><Relationship Id="rId36" Type="http://schemas.openxmlformats.org/officeDocument/2006/relationships/hyperlink" Target="https://www.itu.int/en/ITU-D/ICT-Applications/Pages/Initiatives/ITU_OSPO/About.aspx" TargetMode="External"/><Relationship Id="rId49" Type="http://schemas.openxmlformats.org/officeDocument/2006/relationships/hyperlink" Target="https://www.itu.int/dms_pub/itu-s/md/23/sg/cir/S23-SG-CIR-0031!!PDF-S.pdf" TargetMode="External"/><Relationship Id="rId57" Type="http://schemas.openxmlformats.org/officeDocument/2006/relationships/hyperlink" Target="https://unesdoc.unesco.org/in/documentViewer.xhtml?v=2.1.196&amp;id=p::usmarcdef_0000391785&amp;file=/in/rest/annotationSVC/DownloadWatermarkedAttachment/attach_import_62b78268-302b-4211-9c0b-1d7ebf2a2a3b%3F_%3D391785eng.pdf&amp;locale=en&amp;multi=true&amp;ark=/ark:/48223/pf0000391785/PDF/391785eng.pdf" TargetMode="External"/><Relationship Id="rId10" Type="http://schemas.openxmlformats.org/officeDocument/2006/relationships/hyperlink" Target="https://www.itu.int/en/council/Documents/basic-texts-2023/RES-214-S.pdf" TargetMode="External"/><Relationship Id="rId31" Type="http://schemas.openxmlformats.org/officeDocument/2006/relationships/hyperlink" Target="https://aiforgood.itu.int/about-ai-for-good/innovation-factory/" TargetMode="External"/><Relationship Id="rId44" Type="http://schemas.openxmlformats.org/officeDocument/2006/relationships/hyperlink" Target="https://www.itu.int/hub/membership/our-members/permanent-missions-in-geneva/demystifying-digital-series/" TargetMode="External"/><Relationship Id="rId52" Type="http://schemas.openxmlformats.org/officeDocument/2006/relationships/hyperlink" Target="https://academy.itu.int/itu-d/projects-activities/research-publications/digital-skills-toolkit" TargetMode="External"/><Relationship Id="rId60" Type="http://schemas.openxmlformats.org/officeDocument/2006/relationships/hyperlink" Target="https://aiforgood.itu.int/programme-ai-for-good/" TargetMode="External"/><Relationship Id="rId65" Type="http://schemas.openxmlformats.org/officeDocument/2006/relationships/hyperlink" Target="https://www.itu.int/net4/wsis/forum/2024/en" TargetMode="External"/><Relationship Id="rId4" Type="http://schemas.openxmlformats.org/officeDocument/2006/relationships/webSettings" Target="webSettings.xml"/><Relationship Id="rId9" Type="http://schemas.openxmlformats.org/officeDocument/2006/relationships/hyperlink" Target="https://www.itu.int/dms_pub/itu-t/opb/res/T-RES-T.101-2024-PDF-S.pdf" TargetMode="External"/><Relationship Id="rId13" Type="http://schemas.openxmlformats.org/officeDocument/2006/relationships/hyperlink" Target="https://www.itu.int/dms_pub/itu-t/opb/res/T-RES-T.101-2024-PDF-S.pdf" TargetMode="External"/><Relationship Id="rId18" Type="http://schemas.openxmlformats.org/officeDocument/2006/relationships/hyperlink" Target="https://www.itu.int/hub/2023/07/new-un-initiative-aims-to-step-up-ais-contribution-to-health/" TargetMode="External"/><Relationship Id="rId39" Type="http://schemas.openxmlformats.org/officeDocument/2006/relationships/hyperlink" Target="https://www.itu.int/es/ITU-D/Initiatives/GIGA/Pages/default.aspx" TargetMode="External"/><Relationship Id="rId34" Type="http://schemas.openxmlformats.org/officeDocument/2006/relationships/hyperlink" Target="https://www.itu.int/metaverse/virtual-worlds/" TargetMode="External"/><Relationship Id="rId50" Type="http://schemas.openxmlformats.org/officeDocument/2006/relationships/hyperlink" Target="https://www.itu.int/itu-d/meetings/gsr-24/" TargetMode="External"/><Relationship Id="rId55" Type="http://schemas.openxmlformats.org/officeDocument/2006/relationships/hyperlink" Target="https://unsceb.org/sites/default/files/2024-04/United%20Nations%20System%20White%20Paper%20on%20AI%20Governance.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25D59-0656-456C-8F7B-174FDAEB9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PS_Council25.dotx</Template>
  <TotalTime>0</TotalTime>
  <Pages>7</Pages>
  <Words>3732</Words>
  <Characters>24631</Characters>
  <Application>Microsoft Office Word</Application>
  <DocSecurity>0</DocSecurity>
  <Lines>378</Lines>
  <Paragraphs>107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28256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Resolución 214 (Bucarest, 2022) de la PP – "Las tecnologías de inteligencia artificial y las telecomunicaciones/tecnologías de la información y la comunicación"</dc:title>
  <dc:subject>Consejo 2025 de la UIT</dc:subject>
  <cp:keywords>C2025, C25, Council-25</cp:keywords>
  <dc:description/>
  <cp:lastPrinted>2006-03-24T09:51:00Z</cp:lastPrinted>
  <dcterms:created xsi:type="dcterms:W3CDTF">2025-06-12T14:45:00Z</dcterms:created>
  <dcterms:modified xsi:type="dcterms:W3CDTF">2025-06-12T14:45:00Z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