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56A62295" w14:textId="77777777" w:rsidTr="00D72F49">
        <w:trPr>
          <w:cantSplit/>
          <w:trHeight w:val="23"/>
        </w:trPr>
        <w:tc>
          <w:tcPr>
            <w:tcW w:w="3969" w:type="dxa"/>
            <w:vMerge w:val="restart"/>
            <w:tcMar>
              <w:left w:w="0" w:type="dxa"/>
            </w:tcMar>
          </w:tcPr>
          <w:p w14:paraId="108F98B6" w14:textId="3399B7E1" w:rsidR="00D72F49" w:rsidRPr="00E85629" w:rsidRDefault="00D72F49" w:rsidP="00D72F49">
            <w:pPr>
              <w:tabs>
                <w:tab w:val="left" w:pos="851"/>
              </w:tabs>
              <w:spacing w:before="0" w:line="240" w:lineRule="atLeast"/>
              <w:rPr>
                <w:b/>
              </w:rPr>
            </w:pPr>
            <w:r w:rsidRPr="00122CE1">
              <w:rPr>
                <w:b/>
              </w:rPr>
              <w:t>Point de l'ordre du jour</w:t>
            </w:r>
            <w:r>
              <w:rPr>
                <w:b/>
              </w:rPr>
              <w:t>:</w:t>
            </w:r>
            <w:r w:rsidR="00784D64">
              <w:rPr>
                <w:b/>
              </w:rPr>
              <w:t xml:space="preserve"> PL 2</w:t>
            </w:r>
          </w:p>
        </w:tc>
        <w:tc>
          <w:tcPr>
            <w:tcW w:w="5245" w:type="dxa"/>
          </w:tcPr>
          <w:p w14:paraId="6FE2460C" w14:textId="18018CA6" w:rsidR="00D72F49" w:rsidRPr="00E85629" w:rsidRDefault="00D72F49" w:rsidP="00D72F49">
            <w:pPr>
              <w:tabs>
                <w:tab w:val="left" w:pos="851"/>
              </w:tabs>
              <w:spacing w:before="0" w:line="240" w:lineRule="atLeast"/>
              <w:jc w:val="right"/>
              <w:rPr>
                <w:b/>
              </w:rPr>
            </w:pPr>
            <w:r>
              <w:rPr>
                <w:b/>
              </w:rPr>
              <w:t xml:space="preserve">Document </w:t>
            </w:r>
            <w:proofErr w:type="spellStart"/>
            <w:r>
              <w:rPr>
                <w:b/>
              </w:rPr>
              <w:t>C2</w:t>
            </w:r>
            <w:r w:rsidR="00FC6D7D">
              <w:rPr>
                <w:b/>
              </w:rPr>
              <w:t>5</w:t>
            </w:r>
            <w:proofErr w:type="spellEnd"/>
            <w:r>
              <w:rPr>
                <w:b/>
              </w:rPr>
              <w:t>/</w:t>
            </w:r>
            <w:r w:rsidR="00784D64">
              <w:rPr>
                <w:b/>
              </w:rPr>
              <w:t>56</w:t>
            </w:r>
            <w:r>
              <w:rPr>
                <w:b/>
              </w:rPr>
              <w:t>-F</w:t>
            </w:r>
          </w:p>
        </w:tc>
      </w:tr>
      <w:tr w:rsidR="00D72F49" w:rsidRPr="00C049D7" w14:paraId="38BF096B" w14:textId="77777777" w:rsidTr="00D72F49">
        <w:trPr>
          <w:cantSplit/>
        </w:trPr>
        <w:tc>
          <w:tcPr>
            <w:tcW w:w="3969" w:type="dxa"/>
            <w:vMerge/>
          </w:tcPr>
          <w:p w14:paraId="3E89A172" w14:textId="77777777" w:rsidR="00D72F49" w:rsidRPr="00813E5E" w:rsidRDefault="00D72F49" w:rsidP="00D72F49">
            <w:pPr>
              <w:tabs>
                <w:tab w:val="left" w:pos="851"/>
              </w:tabs>
              <w:spacing w:line="240" w:lineRule="atLeast"/>
              <w:rPr>
                <w:b/>
              </w:rPr>
            </w:pPr>
          </w:p>
        </w:tc>
        <w:tc>
          <w:tcPr>
            <w:tcW w:w="5245" w:type="dxa"/>
          </w:tcPr>
          <w:p w14:paraId="41035ACC" w14:textId="775044DC" w:rsidR="00D72F49" w:rsidRPr="00FC6D7D" w:rsidRDefault="00784D64" w:rsidP="00D72F49">
            <w:pPr>
              <w:tabs>
                <w:tab w:val="left" w:pos="851"/>
              </w:tabs>
              <w:spacing w:before="0"/>
              <w:jc w:val="right"/>
              <w:rPr>
                <w:b/>
                <w:lang w:val="en-GB"/>
              </w:rPr>
            </w:pPr>
            <w:r>
              <w:rPr>
                <w:b/>
              </w:rPr>
              <w:t>16 mai 2025</w:t>
            </w:r>
          </w:p>
        </w:tc>
      </w:tr>
      <w:tr w:rsidR="00D72F49" w:rsidRPr="00813E5E" w14:paraId="4CE9D1CA" w14:textId="77777777" w:rsidTr="00D72F49">
        <w:trPr>
          <w:cantSplit/>
          <w:trHeight w:val="23"/>
        </w:trPr>
        <w:tc>
          <w:tcPr>
            <w:tcW w:w="3969" w:type="dxa"/>
            <w:vMerge/>
          </w:tcPr>
          <w:p w14:paraId="13D92863" w14:textId="77777777" w:rsidR="00D72F49" w:rsidRPr="00FC6D7D" w:rsidRDefault="00D72F49" w:rsidP="00D72F49">
            <w:pPr>
              <w:tabs>
                <w:tab w:val="left" w:pos="851"/>
              </w:tabs>
              <w:spacing w:line="240" w:lineRule="atLeast"/>
              <w:rPr>
                <w:b/>
                <w:lang w:val="en-GB"/>
              </w:rPr>
            </w:pPr>
          </w:p>
        </w:tc>
        <w:tc>
          <w:tcPr>
            <w:tcW w:w="5245" w:type="dxa"/>
          </w:tcPr>
          <w:p w14:paraId="0CEF21A1"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75DBBAA7" w14:textId="77777777" w:rsidTr="00D72F49">
        <w:trPr>
          <w:cantSplit/>
          <w:trHeight w:val="23"/>
        </w:trPr>
        <w:tc>
          <w:tcPr>
            <w:tcW w:w="3969" w:type="dxa"/>
          </w:tcPr>
          <w:p w14:paraId="412203FB" w14:textId="77777777" w:rsidR="00D72F49" w:rsidRPr="00813E5E" w:rsidRDefault="00D72F49" w:rsidP="00D72F49">
            <w:pPr>
              <w:tabs>
                <w:tab w:val="left" w:pos="851"/>
              </w:tabs>
              <w:spacing w:line="240" w:lineRule="atLeast"/>
              <w:rPr>
                <w:b/>
              </w:rPr>
            </w:pPr>
          </w:p>
        </w:tc>
        <w:tc>
          <w:tcPr>
            <w:tcW w:w="5245" w:type="dxa"/>
          </w:tcPr>
          <w:p w14:paraId="50FF869B" w14:textId="77777777" w:rsidR="00D72F49" w:rsidRDefault="00D72F49" w:rsidP="00D72F49">
            <w:pPr>
              <w:tabs>
                <w:tab w:val="left" w:pos="851"/>
              </w:tabs>
              <w:spacing w:before="0" w:line="240" w:lineRule="atLeast"/>
              <w:jc w:val="right"/>
              <w:rPr>
                <w:b/>
              </w:rPr>
            </w:pPr>
          </w:p>
        </w:tc>
      </w:tr>
      <w:tr w:rsidR="00D72F49" w:rsidRPr="00122CE1" w14:paraId="228EADCC" w14:textId="77777777" w:rsidTr="00D72F49">
        <w:trPr>
          <w:cantSplit/>
        </w:trPr>
        <w:tc>
          <w:tcPr>
            <w:tcW w:w="9214" w:type="dxa"/>
            <w:gridSpan w:val="2"/>
            <w:tcMar>
              <w:left w:w="0" w:type="dxa"/>
            </w:tcMar>
          </w:tcPr>
          <w:p w14:paraId="09948A6A" w14:textId="77777777"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7153CC9A" w14:textId="77777777" w:rsidTr="00D72F49">
        <w:trPr>
          <w:cantSplit/>
        </w:trPr>
        <w:tc>
          <w:tcPr>
            <w:tcW w:w="9214" w:type="dxa"/>
            <w:gridSpan w:val="2"/>
            <w:tcMar>
              <w:left w:w="0" w:type="dxa"/>
            </w:tcMar>
          </w:tcPr>
          <w:p w14:paraId="56AE21CE" w14:textId="3FDAAFC4" w:rsidR="00D72F49" w:rsidRPr="00784D64" w:rsidRDefault="00D3279B" w:rsidP="00784D64">
            <w:pPr>
              <w:pStyle w:val="Subtitle"/>
              <w:framePr w:hSpace="0" w:wrap="auto" w:hAnchor="text" w:xAlign="left" w:yAlign="inline"/>
              <w:rPr>
                <w:rFonts w:cstheme="minorHAnsi"/>
                <w:sz w:val="32"/>
                <w:szCs w:val="32"/>
                <w:lang w:val="fr-FR"/>
              </w:rPr>
            </w:pPr>
            <w:r w:rsidRPr="00784D64">
              <w:rPr>
                <w:rFonts w:cstheme="minorHAnsi"/>
                <w:sz w:val="32"/>
                <w:szCs w:val="32"/>
                <w:lang w:val="fr-FR"/>
              </w:rPr>
              <w:t>RAPPORT SUR LA RÉSOLUTION 214 (BUCAREST, 2022) DE LA CONFÉRENCE DE PLÉNIPOTENTIAIRES – TECHNOLOGIES D'INTELLIGENCE ARTIFICIELLE ET TÉLÉCOMMUNICATIONS/</w:t>
            </w:r>
            <w:r>
              <w:rPr>
                <w:rFonts w:cstheme="minorHAnsi"/>
                <w:sz w:val="32"/>
                <w:szCs w:val="32"/>
                <w:lang w:val="fr-FR"/>
              </w:rPr>
              <w:br/>
            </w:r>
            <w:r w:rsidRPr="00784D64">
              <w:rPr>
                <w:rFonts w:cstheme="minorHAnsi"/>
                <w:sz w:val="32"/>
                <w:szCs w:val="32"/>
                <w:lang w:val="fr-FR"/>
              </w:rPr>
              <w:t>TECHNOLOGIES DE L'INFORMATION ET DE LA COMMUNICATION</w:t>
            </w:r>
          </w:p>
        </w:tc>
      </w:tr>
      <w:tr w:rsidR="00D72F49" w:rsidRPr="00813E5E" w14:paraId="77E0E15D" w14:textId="77777777" w:rsidTr="00D72F49">
        <w:trPr>
          <w:cantSplit/>
        </w:trPr>
        <w:tc>
          <w:tcPr>
            <w:tcW w:w="9214" w:type="dxa"/>
            <w:gridSpan w:val="2"/>
            <w:tcBorders>
              <w:top w:val="single" w:sz="4" w:space="0" w:color="auto"/>
              <w:bottom w:val="single" w:sz="4" w:space="0" w:color="auto"/>
            </w:tcBorders>
            <w:tcMar>
              <w:left w:w="0" w:type="dxa"/>
            </w:tcMar>
          </w:tcPr>
          <w:p w14:paraId="36DD17F2" w14:textId="77777777" w:rsidR="00D72F49" w:rsidRPr="0099485B" w:rsidRDefault="00F37FE5" w:rsidP="00D72F49">
            <w:pPr>
              <w:spacing w:before="160"/>
              <w:rPr>
                <w:b/>
                <w:bCs/>
                <w:sz w:val="26"/>
                <w:szCs w:val="26"/>
                <w:lang w:val="fr-CH"/>
              </w:rPr>
            </w:pPr>
            <w:r>
              <w:rPr>
                <w:b/>
                <w:bCs/>
                <w:sz w:val="26"/>
                <w:szCs w:val="26"/>
                <w:lang w:val="fr-CH"/>
              </w:rPr>
              <w:t>Objet</w:t>
            </w:r>
          </w:p>
          <w:p w14:paraId="5AEC7D3F" w14:textId="2452F643" w:rsidR="00D72F49" w:rsidRPr="0099485B" w:rsidRDefault="00784D64" w:rsidP="00D3279B">
            <w:pPr>
              <w:jc w:val="both"/>
              <w:rPr>
                <w:lang w:val="fr-CH"/>
              </w:rPr>
            </w:pPr>
            <w:r w:rsidRPr="00784D64">
              <w:rPr>
                <w:lang w:val="fr-CH"/>
              </w:rPr>
              <w:t>Le présent document a pour objet de fournir un rapport exhaustif sur les activités menées par l'UIT dans le domaine de l'intelligence artificielle (IA), le développement rapide de cette technologie et les demandes croissantes des membres et des parties prenantes de l'Union.</w:t>
            </w:r>
          </w:p>
          <w:p w14:paraId="3D8DCE07" w14:textId="77777777" w:rsidR="00D72F49" w:rsidRPr="00122CE1" w:rsidRDefault="00D72F49" w:rsidP="00D72F49">
            <w:pPr>
              <w:spacing w:before="160"/>
              <w:rPr>
                <w:b/>
                <w:bCs/>
                <w:sz w:val="26"/>
                <w:szCs w:val="26"/>
                <w:lang w:val="fr-CH"/>
              </w:rPr>
            </w:pPr>
            <w:proofErr w:type="gramStart"/>
            <w:r w:rsidRPr="00122CE1">
              <w:rPr>
                <w:b/>
                <w:bCs/>
                <w:sz w:val="26"/>
                <w:szCs w:val="26"/>
                <w:lang w:val="fr-CH"/>
              </w:rPr>
              <w:t>Suite à</w:t>
            </w:r>
            <w:proofErr w:type="gramEnd"/>
            <w:r w:rsidRPr="00122CE1">
              <w:rPr>
                <w:b/>
                <w:bCs/>
                <w:sz w:val="26"/>
                <w:szCs w:val="26"/>
                <w:lang w:val="fr-CH"/>
              </w:rPr>
              <w:t xml:space="preserve"> donner par le Conseil</w:t>
            </w:r>
          </w:p>
          <w:p w14:paraId="0425AADA" w14:textId="5534FE05" w:rsidR="00D72F49" w:rsidRPr="00122CE1" w:rsidRDefault="00784D64" w:rsidP="00D72F49">
            <w:pPr>
              <w:rPr>
                <w:lang w:val="fr-CH"/>
              </w:rPr>
            </w:pPr>
            <w:r w:rsidRPr="00784D64">
              <w:rPr>
                <w:lang w:val="fr-CH"/>
              </w:rPr>
              <w:t xml:space="preserve">Le Conseil est invité à </w:t>
            </w:r>
            <w:r w:rsidRPr="00784D64">
              <w:rPr>
                <w:b/>
                <w:bCs/>
                <w:lang w:val="fr-CH"/>
              </w:rPr>
              <w:t>prendre note</w:t>
            </w:r>
            <w:r w:rsidRPr="00784D64">
              <w:rPr>
                <w:lang w:val="fr-CH"/>
              </w:rPr>
              <w:t xml:space="preserve"> du présent document.</w:t>
            </w:r>
          </w:p>
          <w:p w14:paraId="34182B89" w14:textId="73160E01" w:rsidR="00D72F49" w:rsidRPr="00122CE1" w:rsidRDefault="00D72F49" w:rsidP="00D72F49">
            <w:pPr>
              <w:spacing w:before="160"/>
              <w:rPr>
                <w:b/>
                <w:bCs/>
                <w:sz w:val="26"/>
                <w:szCs w:val="26"/>
                <w:lang w:val="fr-CH"/>
              </w:rPr>
            </w:pPr>
            <w:r w:rsidRPr="00122CE1">
              <w:rPr>
                <w:b/>
                <w:bCs/>
                <w:sz w:val="26"/>
                <w:szCs w:val="26"/>
                <w:lang w:val="fr-CH"/>
              </w:rPr>
              <w:t xml:space="preserve">Liens pertinents avec le </w:t>
            </w:r>
            <w:r w:rsidR="00F37FE5">
              <w:rPr>
                <w:b/>
                <w:bCs/>
                <w:sz w:val="26"/>
                <w:szCs w:val="26"/>
                <w:lang w:val="fr-CH"/>
              </w:rPr>
              <w:t>p</w:t>
            </w:r>
            <w:r w:rsidRPr="00122CE1">
              <w:rPr>
                <w:b/>
                <w:bCs/>
                <w:sz w:val="26"/>
                <w:szCs w:val="26"/>
                <w:lang w:val="fr-CH"/>
              </w:rPr>
              <w:t>lan stratégique</w:t>
            </w:r>
          </w:p>
          <w:p w14:paraId="1E4B0568" w14:textId="5ADCA9CF" w:rsidR="00D72F49" w:rsidRPr="00122CE1" w:rsidRDefault="00784D64" w:rsidP="00D72F49">
            <w:pPr>
              <w:rPr>
                <w:lang w:val="fr-CH"/>
              </w:rPr>
            </w:pPr>
            <w:r w:rsidRPr="00784D64">
              <w:rPr>
                <w:lang w:val="fr-CH"/>
              </w:rPr>
              <w:t>Élaboration de normes internationales; élaboration de cadres politiques et de supports d'information; renforcement des capacités; plate-forme fédératrice.</w:t>
            </w:r>
          </w:p>
          <w:p w14:paraId="3F1B2A11"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1029AC5D" w14:textId="4DE7C32F" w:rsidR="00D72F49" w:rsidRPr="00882919" w:rsidRDefault="00784D64" w:rsidP="00882919">
            <w:pPr>
              <w:rPr>
                <w:szCs w:val="24"/>
              </w:rPr>
            </w:pPr>
            <w:r w:rsidRPr="00784D64">
              <w:rPr>
                <w:szCs w:val="24"/>
              </w:rPr>
              <w:t>Des fonds supplémentaires ont été demandés pour appuyer les activités de l'UIT relatives à</w:t>
            </w:r>
            <w:r>
              <w:rPr>
                <w:szCs w:val="24"/>
              </w:rPr>
              <w:t> </w:t>
            </w:r>
            <w:r w:rsidRPr="00784D64">
              <w:rPr>
                <w:szCs w:val="24"/>
              </w:rPr>
              <w:t xml:space="preserve">l'IA (voir le </w:t>
            </w:r>
            <w:hyperlink r:id="rId6" w:history="1">
              <w:r w:rsidRPr="00784D64">
                <w:rPr>
                  <w:rStyle w:val="Hyperlink"/>
                  <w:rFonts w:eastAsia="Times New Roman" w:cs="Times New Roman"/>
                  <w:szCs w:val="24"/>
                </w:rPr>
                <w:t xml:space="preserve">Document </w:t>
              </w:r>
              <w:proofErr w:type="spellStart"/>
              <w:r w:rsidRPr="00784D64">
                <w:rPr>
                  <w:rStyle w:val="Hyperlink"/>
                  <w:rFonts w:eastAsia="Times New Roman" w:cs="Times New Roman"/>
                  <w:szCs w:val="24"/>
                </w:rPr>
                <w:t>C25</w:t>
              </w:r>
              <w:proofErr w:type="spellEnd"/>
              <w:r w:rsidRPr="00784D64">
                <w:rPr>
                  <w:rStyle w:val="Hyperlink"/>
                  <w:rFonts w:eastAsia="Times New Roman" w:cs="Times New Roman"/>
                  <w:szCs w:val="24"/>
                </w:rPr>
                <w:t>/43</w:t>
              </w:r>
            </w:hyperlink>
            <w:r w:rsidRPr="00784D64">
              <w:rPr>
                <w:szCs w:val="24"/>
              </w:rPr>
              <w:t xml:space="preserve"> du Conseil).</w:t>
            </w:r>
          </w:p>
          <w:p w14:paraId="29C62BA0" w14:textId="77777777" w:rsidR="00D72F49" w:rsidRPr="00813E5E" w:rsidRDefault="00D72F49" w:rsidP="00D72F49">
            <w:pPr>
              <w:spacing w:before="160"/>
              <w:rPr>
                <w:caps/>
                <w:sz w:val="22"/>
              </w:rPr>
            </w:pPr>
            <w:r w:rsidRPr="00813E5E">
              <w:rPr>
                <w:sz w:val="22"/>
              </w:rPr>
              <w:t>____________</w:t>
            </w:r>
            <w:r>
              <w:rPr>
                <w:sz w:val="22"/>
              </w:rPr>
              <w:t>______</w:t>
            </w:r>
          </w:p>
          <w:p w14:paraId="328469AD" w14:textId="77777777" w:rsidR="00D72F49" w:rsidRDefault="00D72F49" w:rsidP="00D72F49">
            <w:pPr>
              <w:spacing w:before="160"/>
              <w:rPr>
                <w:b/>
                <w:bCs/>
                <w:sz w:val="26"/>
                <w:szCs w:val="26"/>
              </w:rPr>
            </w:pPr>
            <w:r w:rsidRPr="00F16BAB">
              <w:rPr>
                <w:b/>
                <w:bCs/>
                <w:sz w:val="26"/>
                <w:szCs w:val="26"/>
              </w:rPr>
              <w:t>Références</w:t>
            </w:r>
          </w:p>
          <w:p w14:paraId="1CD6CF71" w14:textId="70837444" w:rsidR="00D72F49" w:rsidRPr="00D3279B" w:rsidRDefault="00784D64" w:rsidP="00D3279B">
            <w:pPr>
              <w:spacing w:after="120"/>
              <w:rPr>
                <w:i/>
                <w:iCs/>
                <w:sz w:val="22"/>
                <w:szCs w:val="22"/>
              </w:rPr>
            </w:pPr>
            <w:hyperlink r:id="rId7" w:history="1">
              <w:r w:rsidRPr="00D3279B">
                <w:rPr>
                  <w:rStyle w:val="Hyperlink"/>
                  <w:rFonts w:eastAsia="Times New Roman" w:cs="Times New Roman"/>
                  <w:i/>
                  <w:iCs/>
                  <w:sz w:val="22"/>
                </w:rPr>
                <w:t>Résolution 214</w:t>
              </w:r>
            </w:hyperlink>
            <w:r w:rsidRPr="00D3279B">
              <w:rPr>
                <w:i/>
                <w:iCs/>
                <w:sz w:val="22"/>
                <w:szCs w:val="22"/>
              </w:rPr>
              <w:t xml:space="preserve"> (Bucarest, 2022) de la Conférence de plénipotentiaires; </w:t>
            </w:r>
            <w:hyperlink r:id="rId8" w:history="1">
              <w:r w:rsidRPr="00D3279B">
                <w:rPr>
                  <w:rStyle w:val="Hyperlink"/>
                  <w:rFonts w:eastAsia="Times New Roman" w:cs="Times New Roman"/>
                  <w:i/>
                  <w:iCs/>
                  <w:sz w:val="22"/>
                </w:rPr>
                <w:t>Résolution 101</w:t>
              </w:r>
            </w:hyperlink>
            <w:r w:rsidRPr="00D3279B">
              <w:rPr>
                <w:i/>
                <w:iCs/>
                <w:sz w:val="22"/>
                <w:szCs w:val="22"/>
              </w:rPr>
              <w:t xml:space="preserve"> (New Delhi, 2024) de l'</w:t>
            </w:r>
            <w:proofErr w:type="spellStart"/>
            <w:r w:rsidRPr="00D3279B">
              <w:rPr>
                <w:i/>
                <w:iCs/>
                <w:sz w:val="22"/>
                <w:szCs w:val="22"/>
              </w:rPr>
              <w:t>AMNT</w:t>
            </w:r>
            <w:proofErr w:type="spellEnd"/>
            <w:r w:rsidRPr="00D3279B">
              <w:rPr>
                <w:i/>
                <w:iCs/>
                <w:sz w:val="22"/>
                <w:szCs w:val="22"/>
              </w:rPr>
              <w:t>.</w:t>
            </w:r>
          </w:p>
        </w:tc>
      </w:tr>
    </w:tbl>
    <w:p w14:paraId="752F3997"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3551F75D" w14:textId="77777777" w:rsidR="00784D64" w:rsidRDefault="00784D64" w:rsidP="00D3279B">
      <w:pPr>
        <w:jc w:val="both"/>
      </w:pPr>
      <w:r>
        <w:lastRenderedPageBreak/>
        <w:t>Depuis 2017, l'UIT est à l'avant-garde de l'intelligence artificielle (IA), l'objectif étant de recenser des applications pratiques de cette technologie afin d'apporter des solutions aux défis mondiaux et de contribuer à la connectivité universelle et à la transformation numérique durable.</w:t>
      </w:r>
    </w:p>
    <w:p w14:paraId="248B7FAE" w14:textId="43E2F527" w:rsidR="00784D64" w:rsidRDefault="00784D64" w:rsidP="00D3279B">
      <w:pPr>
        <w:jc w:val="both"/>
      </w:pPr>
      <w:r>
        <w:t xml:space="preserve">L'Union met en œuvre un programme ambitieux sur l'IA, guidé par la </w:t>
      </w:r>
      <w:hyperlink r:id="rId9" w:history="1">
        <w:r w:rsidRPr="00784D64">
          <w:rPr>
            <w:rStyle w:val="Hyperlink"/>
            <w:rFonts w:eastAsia="Times New Roman" w:cs="Times New Roman"/>
            <w:szCs w:val="20"/>
          </w:rPr>
          <w:t>Résolution 214</w:t>
        </w:r>
      </w:hyperlink>
      <w:r>
        <w:t xml:space="preserve"> (Bucarest, 2022) de la Conférence de plénipotentiaires et renforcé par la </w:t>
      </w:r>
      <w:hyperlink r:id="rId10" w:history="1">
        <w:r w:rsidRPr="00784D64">
          <w:rPr>
            <w:rStyle w:val="Hyperlink"/>
            <w:rFonts w:eastAsia="Times New Roman" w:cs="Times New Roman"/>
            <w:szCs w:val="20"/>
          </w:rPr>
          <w:t>Résolution</w:t>
        </w:r>
        <w:r w:rsidR="00F52751">
          <w:rPr>
            <w:rStyle w:val="Hyperlink"/>
            <w:rFonts w:eastAsia="Times New Roman" w:cs="Times New Roman"/>
            <w:szCs w:val="20"/>
          </w:rPr>
          <w:t> </w:t>
        </w:r>
        <w:r w:rsidRPr="00784D64">
          <w:rPr>
            <w:rStyle w:val="Hyperlink"/>
            <w:rFonts w:eastAsia="Times New Roman" w:cs="Times New Roman"/>
            <w:szCs w:val="20"/>
          </w:rPr>
          <w:t>78/265</w:t>
        </w:r>
      </w:hyperlink>
      <w:r>
        <w:t xml:space="preserve"> et la </w:t>
      </w:r>
      <w:hyperlink r:id="rId11" w:history="1">
        <w:r w:rsidRPr="00784D64">
          <w:rPr>
            <w:rStyle w:val="Hyperlink"/>
            <w:rFonts w:eastAsia="Times New Roman" w:cs="Times New Roman"/>
            <w:szCs w:val="20"/>
          </w:rPr>
          <w:t>Résolution 78/311</w:t>
        </w:r>
      </w:hyperlink>
      <w:r>
        <w:t xml:space="preserve"> de l'Assemblée générale des Nations Unies. Ces Résolutions sur l'IA soulignent la nécessité de développer des systèmes d'IA sécurisés et dignes de confiance pour le développement durable et inclusif.</w:t>
      </w:r>
    </w:p>
    <w:p w14:paraId="16AE0856" w14:textId="0C10A334" w:rsidR="00784D64" w:rsidRDefault="00784D64" w:rsidP="00D3279B">
      <w:pPr>
        <w:jc w:val="both"/>
      </w:pPr>
      <w:r>
        <w:t>L'UIT compte plus de 315 normes sur l'IA qui sont publiées ou en cours d'élaboration. Les travaux qu'elle mène bénéficient de l'appui de ses nombreux membres et sont renforcés à la faveur d'une collaboration avec l'Organisation internationale de normalisation (ISO) et la Commission électrotechnique internationale (CEI), ses partenaires dans le cadre de la Coopération mondiale en matière de normalisation (</w:t>
      </w:r>
      <w:proofErr w:type="spellStart"/>
      <w:r>
        <w:t>WSC</w:t>
      </w:r>
      <w:proofErr w:type="spellEnd"/>
      <w:r>
        <w:t xml:space="preserve">). En outre, la coordination s'étend à d'autres </w:t>
      </w:r>
      <w:r w:rsidRPr="00F52751">
        <w:t>organismes d</w:t>
      </w:r>
      <w:r>
        <w:t xml:space="preserve">e normalisation et institutions des Nations Unies. L'adoption de la </w:t>
      </w:r>
      <w:hyperlink r:id="rId12" w:history="1">
        <w:r w:rsidRPr="00784D64">
          <w:rPr>
            <w:rStyle w:val="Hyperlink"/>
            <w:rFonts w:eastAsia="Times New Roman" w:cs="Times New Roman"/>
            <w:szCs w:val="20"/>
          </w:rPr>
          <w:t>Résolution</w:t>
        </w:r>
        <w:r>
          <w:rPr>
            <w:rStyle w:val="Hyperlink"/>
            <w:rFonts w:eastAsia="Times New Roman" w:cs="Times New Roman"/>
            <w:szCs w:val="20"/>
          </w:rPr>
          <w:t> </w:t>
        </w:r>
        <w:r w:rsidRPr="00784D64">
          <w:rPr>
            <w:rStyle w:val="Hyperlink"/>
            <w:rFonts w:eastAsia="Times New Roman" w:cs="Times New Roman"/>
            <w:szCs w:val="20"/>
          </w:rPr>
          <w:t>101</w:t>
        </w:r>
      </w:hyperlink>
      <w:r>
        <w:t xml:space="preserve"> (New Delhi, 2024) insiste également sur le rôle reconnu de l'UIT dans l'établissement de normes fiables en matière d'IA.</w:t>
      </w:r>
    </w:p>
    <w:p w14:paraId="2D8281B7" w14:textId="504694FF" w:rsidR="00784D64" w:rsidRDefault="00784D64" w:rsidP="00D3279B">
      <w:pPr>
        <w:jc w:val="both"/>
      </w:pPr>
      <w:r>
        <w:t>La plate-forme sur l'IA au service du bien social, dirigée par l'UIT et appuyée par plus de 40 partenaires des Nations Unies, est au cœur des efforts déployés par l'Union pour recenser des applications innovantes de l'IA, renforcer les compétences et les normes, et consolider les partenariats en vue d'apporter des solutions aux défis mondiaux.</w:t>
      </w:r>
    </w:p>
    <w:p w14:paraId="02B72559" w14:textId="640C051C" w:rsidR="00784D64" w:rsidRDefault="00784D64" w:rsidP="00D3279B">
      <w:pPr>
        <w:jc w:val="both"/>
      </w:pPr>
      <w:r>
        <w:t xml:space="preserve">En outre, l'UIT copréside le </w:t>
      </w:r>
      <w:hyperlink r:id="rId13" w:history="1">
        <w:r w:rsidRPr="00784D64">
          <w:rPr>
            <w:rStyle w:val="Hyperlink"/>
            <w:rFonts w:eastAsia="Times New Roman" w:cs="Times New Roman"/>
            <w:szCs w:val="20"/>
          </w:rPr>
          <w:t xml:space="preserve">Groupe de travail </w:t>
        </w:r>
        <w:proofErr w:type="spellStart"/>
        <w:r w:rsidRPr="00784D64">
          <w:rPr>
            <w:rStyle w:val="Hyperlink"/>
            <w:rFonts w:eastAsia="Times New Roman" w:cs="Times New Roman"/>
            <w:szCs w:val="20"/>
          </w:rPr>
          <w:t>interinstitutions</w:t>
        </w:r>
        <w:proofErr w:type="spellEnd"/>
        <w:r w:rsidRPr="00784D64">
          <w:rPr>
            <w:rStyle w:val="Hyperlink"/>
            <w:rFonts w:eastAsia="Times New Roman" w:cs="Times New Roman"/>
            <w:szCs w:val="20"/>
          </w:rPr>
          <w:t xml:space="preserve"> sur l'IA</w:t>
        </w:r>
      </w:hyperlink>
      <w:r>
        <w:t xml:space="preserve"> et le sous-groupe sur l'IA du Groupe de travail sur les technologies numériques, encourageant ainsi la coordination à l'échelle du système des Nations Unies et la cohérence des politiques en matière d'IA dans le cadre de l'appui fourni aux États Membres et aux autres parties prenantes, ainsi que la mise en œuvre du Pacte numérique mondial (</w:t>
      </w:r>
      <w:proofErr w:type="spellStart"/>
      <w:r>
        <w:t>GDC</w:t>
      </w:r>
      <w:proofErr w:type="spellEnd"/>
      <w:r>
        <w:t>).</w:t>
      </w:r>
    </w:p>
    <w:p w14:paraId="47206EF8" w14:textId="77777777" w:rsidR="00784D64" w:rsidRDefault="00784D64" w:rsidP="00D3279B">
      <w:pPr>
        <w:jc w:val="both"/>
      </w:pPr>
      <w:r>
        <w:t>Alors que la demande d'activités liées à l'IA augmente sensiblement, l'UIT adapte ses programmes pour répondre aux besoins à l'échelle mondiale. Le présent rapport vise à décrire en détail le rôle joué par l'UIT pour tirer parti des avantages qu'offre l'IA tout en réduisant autant que possible les risques y afférents, en accompagnant ses membres, ses partenaires des Nations Unies et les autres parties prenantes de l'IA dans leurs travaux visant à assurer un avenir prospère.</w:t>
      </w:r>
    </w:p>
    <w:p w14:paraId="424DFD4F" w14:textId="77777777" w:rsidR="00784D64" w:rsidRDefault="00784D64" w:rsidP="00784D64">
      <w:pPr>
        <w:pStyle w:val="Headingb"/>
      </w:pPr>
      <w:r w:rsidRPr="004F30D7">
        <w:t>Élaboration et échange de normes sur l'IA</w:t>
      </w:r>
    </w:p>
    <w:p w14:paraId="44FB88AE" w14:textId="77777777" w:rsidR="00784D64" w:rsidRDefault="00784D64" w:rsidP="00D3279B">
      <w:pPr>
        <w:jc w:val="both"/>
      </w:pPr>
      <w:r>
        <w:t xml:space="preserve">Dans sa quête de connectivité universelle et de transformation numérique durable, l'UIT a élaboré des normes relatives à l'utilisation de l'IA dans différents scénarios pertinents. Ces activités sont renforcées par une collaboration étroite avec d'autres </w:t>
      </w:r>
      <w:r w:rsidRPr="00F52751">
        <w:t>organismes</w:t>
      </w:r>
      <w:r>
        <w:t xml:space="preserve"> de normalisation et des partenaires des Nations Unies, afin de soutenir l'élaboration et la publication d'une série complète de normes dans divers domaines.</w:t>
      </w:r>
    </w:p>
    <w:p w14:paraId="00B751E8" w14:textId="77777777" w:rsidR="00784D64" w:rsidRDefault="00784D64" w:rsidP="00D3279B">
      <w:pPr>
        <w:jc w:val="both"/>
      </w:pPr>
      <w:r>
        <w:t>Il convient notamment de citer les exemples suivants:</w:t>
      </w:r>
    </w:p>
    <w:p w14:paraId="13CDEAD4" w14:textId="27695B75" w:rsidR="00784D64" w:rsidRDefault="00784D64" w:rsidP="00D3279B">
      <w:pPr>
        <w:pStyle w:val="enumlev1"/>
        <w:jc w:val="both"/>
      </w:pPr>
      <w:r>
        <w:t>–</w:t>
      </w:r>
      <w:r>
        <w:tab/>
        <w:t xml:space="preserve">Le </w:t>
      </w:r>
      <w:hyperlink r:id="rId14" w:anchor="/fr" w:history="1">
        <w:r w:rsidRPr="00BA4CE4">
          <w:rPr>
            <w:rStyle w:val="Hyperlink"/>
            <w:rFonts w:eastAsia="Times New Roman" w:cs="Times New Roman"/>
            <w:szCs w:val="20"/>
          </w:rPr>
          <w:t>Groupe spécialisé sur les réseaux fondés sur l'IA native</w:t>
        </w:r>
      </w:hyperlink>
      <w:r>
        <w:t xml:space="preserve"> entend étudier et définir les changements fondamentaux qu'il convient d'apporter dans l'architecture réseau pour exploiter pleinement le potentiel de l'IA.</w:t>
      </w:r>
    </w:p>
    <w:p w14:paraId="5DB68DAC" w14:textId="6A1C11BA" w:rsidR="00784D64" w:rsidRDefault="00784D64" w:rsidP="00D3279B">
      <w:pPr>
        <w:pStyle w:val="enumlev1"/>
        <w:jc w:val="both"/>
      </w:pPr>
      <w:r>
        <w:lastRenderedPageBreak/>
        <w:t>–</w:t>
      </w:r>
      <w:r>
        <w:tab/>
        <w:t xml:space="preserve">L'initiative </w:t>
      </w:r>
      <w:r w:rsidR="00BA4CE4">
        <w:t>"</w:t>
      </w:r>
      <w:r>
        <w:t>Tous unis pour des villes intelligentes et durables</w:t>
      </w:r>
      <w:r w:rsidR="007D6205" w:rsidRPr="004F30D7">
        <w:t>"</w:t>
      </w:r>
      <w:r w:rsidRPr="004F30D7">
        <w:t xml:space="preserve"> (</w:t>
      </w:r>
      <w:proofErr w:type="spellStart"/>
      <w:r>
        <w:t>U4SSC</w:t>
      </w:r>
      <w:proofErr w:type="spellEnd"/>
      <w:r>
        <w:t xml:space="preserve">) a publié un rapport sur les </w:t>
      </w:r>
      <w:hyperlink r:id="rId15" w:history="1">
        <w:r w:rsidR="00BA4CE4" w:rsidRPr="00BA4CE4">
          <w:rPr>
            <w:rStyle w:val="Hyperlink"/>
            <w:rFonts w:eastAsia="Times New Roman" w:cs="Times New Roman"/>
            <w:szCs w:val="20"/>
          </w:rPr>
          <w:t>p</w:t>
        </w:r>
        <w:r w:rsidRPr="00BA4CE4">
          <w:rPr>
            <w:rStyle w:val="Hyperlink"/>
            <w:rFonts w:eastAsia="Times New Roman" w:cs="Times New Roman"/>
            <w:szCs w:val="20"/>
          </w:rPr>
          <w:t>rincipes directeurs en matière d'IA dans les villes</w:t>
        </w:r>
      </w:hyperlink>
      <w:r>
        <w:t>, qui fournit des informations pratiques sur l'application efficace de cette technologie en milieu urbain.</w:t>
      </w:r>
    </w:p>
    <w:p w14:paraId="3F65EFD7" w14:textId="68318766" w:rsidR="00784D64" w:rsidRDefault="00784D64" w:rsidP="00D3279B">
      <w:pPr>
        <w:pStyle w:val="enumlev1"/>
        <w:jc w:val="both"/>
      </w:pPr>
      <w:r>
        <w:t>–</w:t>
      </w:r>
      <w:r>
        <w:tab/>
        <w:t>L'UIT a lancé l'</w:t>
      </w:r>
      <w:hyperlink r:id="rId16" w:history="1">
        <w:r w:rsidRPr="00BA4CE4">
          <w:rPr>
            <w:rStyle w:val="Hyperlink"/>
            <w:rFonts w:eastAsia="Times New Roman" w:cs="Times New Roman"/>
            <w:szCs w:val="20"/>
          </w:rPr>
          <w:t>Initiative mondiale sur la résilience face aux risques naturels grâce aux solutions fondées sur l'intelligence artificielle</w:t>
        </w:r>
      </w:hyperlink>
      <w:r>
        <w:t>, qui vise à fournir des conseils d'experts et un soutien à la recherche, à l'innovation et à l'élaboration de normes.</w:t>
      </w:r>
    </w:p>
    <w:p w14:paraId="44AEDFED" w14:textId="51FA62B6" w:rsidR="00784D64" w:rsidRDefault="00784D64" w:rsidP="00D3279B">
      <w:pPr>
        <w:pStyle w:val="enumlev1"/>
        <w:jc w:val="both"/>
      </w:pPr>
      <w:r>
        <w:t>–</w:t>
      </w:r>
      <w:r>
        <w:tab/>
        <w:t>L'</w:t>
      </w:r>
      <w:hyperlink r:id="rId17" w:anchor="/fr" w:history="1">
        <w:r w:rsidRPr="00BA4CE4">
          <w:rPr>
            <w:rStyle w:val="Hyperlink"/>
            <w:rFonts w:eastAsia="Times New Roman" w:cs="Times New Roman"/>
            <w:szCs w:val="20"/>
          </w:rPr>
          <w:t>Initiative mondiale sur l'intelligence artificielle au service de la santé</w:t>
        </w:r>
      </w:hyperlink>
      <w:r>
        <w:t xml:space="preserve"> a fait l'objet d'un remaniement et a adopté une feuille de route de manière à promouvoir des lignes directrices normalisées, à favoriser la collaboration intersectorielle et à encourager une participation plus large des professionnels de la santé et de l'IA au niveau mondial.</w:t>
      </w:r>
    </w:p>
    <w:p w14:paraId="03D15241" w14:textId="47494FE5" w:rsidR="00784D64" w:rsidRDefault="00784D64" w:rsidP="00D3279B">
      <w:pPr>
        <w:pStyle w:val="enumlev1"/>
        <w:jc w:val="both"/>
      </w:pPr>
      <w:r>
        <w:t>–</w:t>
      </w:r>
      <w:r>
        <w:tab/>
        <w:t xml:space="preserve">La Commission d'études 2 de l'UIT-T a commencé à travailler sur un certain nombre de </w:t>
      </w:r>
      <w:r w:rsidR="00BA4CE4">
        <w:t>R</w:t>
      </w:r>
      <w:r>
        <w:t>ecommandations concernant l'utilisation de l'IA dans la gestion des réseaux.</w:t>
      </w:r>
    </w:p>
    <w:p w14:paraId="104D4236" w14:textId="3F342DFA" w:rsidR="00784D64" w:rsidRDefault="00784D64" w:rsidP="00D3279B">
      <w:pPr>
        <w:pStyle w:val="enumlev1"/>
        <w:jc w:val="both"/>
      </w:pPr>
      <w:r>
        <w:t>–</w:t>
      </w:r>
      <w:r>
        <w:tab/>
        <w:t>La Commission d'études 5 de l'UIT-T a publié le rapport intitulé "</w:t>
      </w:r>
      <w:hyperlink r:id="rId18" w:history="1">
        <w:r w:rsidRPr="00BA4CE4">
          <w:rPr>
            <w:rStyle w:val="Hyperlink"/>
            <w:rFonts w:eastAsia="Times New Roman" w:cs="Times New Roman"/>
            <w:szCs w:val="20"/>
          </w:rPr>
          <w:t>L'IA et l'environnement</w:t>
        </w:r>
      </w:hyperlink>
      <w:r>
        <w:t>" et travaille actuellement à l'élaboration de nouvelles normes relatives à l'évaluation des émissions de gaz à effet de serre et à l'amélioration de l'efficacité énergétique des systèmes fondés sur l'IA. En outre, l'UIT a contribué à l'élaboration du rapport intitulé "</w:t>
      </w:r>
      <w:hyperlink r:id="rId19" w:history="1">
        <w:r w:rsidRPr="00BA4CE4">
          <w:rPr>
            <w:rStyle w:val="Hyperlink"/>
            <w:rFonts w:eastAsia="Times New Roman" w:cs="Times New Roman"/>
            <w:szCs w:val="20"/>
          </w:rPr>
          <w:t>La normalisation au service de la durabilité environnementale de l'IA</w:t>
        </w:r>
      </w:hyperlink>
      <w:r>
        <w:t>".</w:t>
      </w:r>
    </w:p>
    <w:p w14:paraId="7EF1C6BD" w14:textId="77777777" w:rsidR="00784D64" w:rsidRDefault="00784D64" w:rsidP="00D3279B">
      <w:pPr>
        <w:pStyle w:val="enumlev1"/>
        <w:jc w:val="both"/>
      </w:pPr>
      <w:r>
        <w:t>–</w:t>
      </w:r>
      <w:r>
        <w:tab/>
        <w:t xml:space="preserve">La Commission d'études 11 de l'UIT-T se concentre sur la normalisation des outils fondés sur l'IA qui peuvent être appliqués au niveau de la signalisation pour prendre en charge divers services au sein des réseaux </w:t>
      </w:r>
      <w:proofErr w:type="spellStart"/>
      <w:r>
        <w:t>IMT-2020</w:t>
      </w:r>
      <w:proofErr w:type="spellEnd"/>
      <w:r>
        <w:t xml:space="preserve"> et au-delà.</w:t>
      </w:r>
    </w:p>
    <w:p w14:paraId="1C62388C" w14:textId="0CA67A79" w:rsidR="00784D64" w:rsidRDefault="00784D64" w:rsidP="00D3279B">
      <w:pPr>
        <w:pStyle w:val="enumlev1"/>
        <w:jc w:val="both"/>
      </w:pPr>
      <w:r>
        <w:t>–</w:t>
      </w:r>
      <w:r>
        <w:tab/>
        <w:t xml:space="preserve">La Commission d'études 13 de l'UIT-T tient à jour la </w:t>
      </w:r>
      <w:hyperlink r:id="rId20" w:history="1">
        <w:r w:rsidRPr="00BA4CE4">
          <w:rPr>
            <w:rStyle w:val="Hyperlink"/>
            <w:rFonts w:eastAsia="Times New Roman" w:cs="Times New Roman"/>
            <w:szCs w:val="20"/>
          </w:rPr>
          <w:t>feuille de route sur la normalisation de l'IA</w:t>
        </w:r>
      </w:hyperlink>
      <w:r>
        <w:t xml:space="preserve">, y compris les normes existantes et les normes en cours d'élaboration par divers </w:t>
      </w:r>
      <w:r w:rsidRPr="00F52751">
        <w:t>organismes</w:t>
      </w:r>
      <w:r>
        <w:t xml:space="preserve"> de normalisation.</w:t>
      </w:r>
    </w:p>
    <w:p w14:paraId="7F201E4F" w14:textId="77777777" w:rsidR="00784D64" w:rsidRDefault="00784D64" w:rsidP="00D3279B">
      <w:pPr>
        <w:pStyle w:val="enumlev1"/>
        <w:jc w:val="both"/>
      </w:pPr>
      <w:r>
        <w:t>–</w:t>
      </w:r>
      <w:r>
        <w:tab/>
        <w:t>La Commission d'études 20 de l'UIT-T progresse dans l'élaboration de normes internationales relatives à l'utilisation de l'IA dans le contexte des villes et des communautés intelligentes.</w:t>
      </w:r>
    </w:p>
    <w:p w14:paraId="0E37B988" w14:textId="66982A55" w:rsidR="00784D64" w:rsidRDefault="00784D64" w:rsidP="00D3279B">
      <w:pPr>
        <w:pStyle w:val="enumlev1"/>
        <w:jc w:val="both"/>
      </w:pPr>
      <w:r>
        <w:t>–</w:t>
      </w:r>
      <w:r>
        <w:tab/>
        <w:t>La Commission d'études 21 de l'UIT-T élabore actuellement de nouvelles normes qui serviront de cadre à l'authentification des contenus multimédias en collaboration avec</w:t>
      </w:r>
      <w:r w:rsidR="00BA4CE4">
        <w:t> </w:t>
      </w:r>
      <w:r>
        <w:t xml:space="preserve">l'ISO et la CEI, par exemple l'atelier sur la </w:t>
      </w:r>
      <w:hyperlink r:id="rId21" w:anchor="/fr" w:history="1">
        <w:r w:rsidRPr="00BA4CE4">
          <w:rPr>
            <w:rStyle w:val="Hyperlink"/>
            <w:rFonts w:eastAsia="Times New Roman" w:cs="Times New Roman"/>
            <w:szCs w:val="20"/>
          </w:rPr>
          <w:t xml:space="preserve">technique du </w:t>
        </w:r>
        <w:proofErr w:type="spellStart"/>
        <w:r w:rsidRPr="00BA4CE4">
          <w:rPr>
            <w:rStyle w:val="Hyperlink"/>
            <w:rFonts w:eastAsia="Times New Roman" w:cs="Times New Roman"/>
            <w:szCs w:val="20"/>
          </w:rPr>
          <w:t>filigranage</w:t>
        </w:r>
        <w:proofErr w:type="spellEnd"/>
        <w:r w:rsidRPr="00BA4CE4">
          <w:rPr>
            <w:rStyle w:val="Hyperlink"/>
            <w:rFonts w:eastAsia="Times New Roman" w:cs="Times New Roman"/>
            <w:szCs w:val="20"/>
          </w:rPr>
          <w:t xml:space="preserve"> appliquée à l'IA et l'authenticité des contenus multimédias</w:t>
        </w:r>
      </w:hyperlink>
      <w:r>
        <w:t>.</w:t>
      </w:r>
    </w:p>
    <w:p w14:paraId="0AD56190" w14:textId="7FC1BC7F" w:rsidR="00784D64" w:rsidRDefault="00784D64" w:rsidP="00D3279B">
      <w:pPr>
        <w:jc w:val="both"/>
      </w:pPr>
      <w:r>
        <w:t xml:space="preserve">Les </w:t>
      </w:r>
      <w:r w:rsidR="00BA4CE4">
        <w:t>c</w:t>
      </w:r>
      <w:r>
        <w:t>ommissions d'études de l'UIT-R ont intégré divers aspects liés à l'IA dans leurs travaux:</w:t>
      </w:r>
    </w:p>
    <w:p w14:paraId="370C8BE8" w14:textId="17D4BA8A" w:rsidR="00784D64" w:rsidRDefault="00784D64" w:rsidP="00D3279B">
      <w:pPr>
        <w:pStyle w:val="enumlev1"/>
        <w:jc w:val="both"/>
      </w:pPr>
      <w:r>
        <w:t>–</w:t>
      </w:r>
      <w:r>
        <w:tab/>
        <w:t>La Commission d'études 1 de l'UIT-R a publié le rapport intitulé "</w:t>
      </w:r>
      <w:hyperlink r:id="rId22" w:history="1">
        <w:r w:rsidRPr="003747A2">
          <w:rPr>
            <w:rStyle w:val="Hyperlink"/>
            <w:rFonts w:eastAsia="Times New Roman" w:cs="Times New Roman"/>
            <w:szCs w:val="20"/>
          </w:rPr>
          <w:t>Contrôle du spectre de prochaine génération</w:t>
        </w:r>
      </w:hyperlink>
      <w:r>
        <w:t>", qui applique les nouvelles tendances dans le domaine des sciences des données, y compris les technologies reposant sur l'IA et sur les mégadonnées, à l'automatisation du contrôle du spectre.</w:t>
      </w:r>
    </w:p>
    <w:p w14:paraId="77601EC4" w14:textId="7C6B1685" w:rsidR="00784D64" w:rsidRDefault="00784D64" w:rsidP="00D3279B">
      <w:pPr>
        <w:pStyle w:val="enumlev1"/>
        <w:jc w:val="both"/>
      </w:pPr>
      <w:r>
        <w:t>–</w:t>
      </w:r>
      <w:r>
        <w:tab/>
        <w:t>L'UIT-R a créé le Groupe de travail par correspondance sur l'</w:t>
      </w:r>
      <w:hyperlink r:id="rId23" w:history="1">
        <w:r w:rsidRPr="003747A2">
          <w:rPr>
            <w:rStyle w:val="Hyperlink"/>
            <w:rFonts w:eastAsia="Times New Roman" w:cs="Times New Roman"/>
            <w:szCs w:val="20"/>
          </w:rPr>
          <w:t>apprentissage automatique pour les études sur la propagation</w:t>
        </w:r>
      </w:hyperlink>
      <w:r>
        <w:t>, qui est chargé de fournir des orientations concernant l'application de l'apprentissage automatique dans l'élaboration des méthodes de prévision de la propagation des ondes radioélectriques.</w:t>
      </w:r>
    </w:p>
    <w:p w14:paraId="3D893D17" w14:textId="74CE9029" w:rsidR="00784D64" w:rsidRDefault="00784D64" w:rsidP="00D3279B">
      <w:pPr>
        <w:pStyle w:val="enumlev1"/>
        <w:jc w:val="both"/>
      </w:pPr>
      <w:r>
        <w:t>–</w:t>
      </w:r>
      <w:r>
        <w:tab/>
        <w:t>La Commission d'études 6 de l'UIT-R travaille sur l'IA au service de la radiodiffusion, y</w:t>
      </w:r>
      <w:r w:rsidR="003747A2">
        <w:t> </w:t>
      </w:r>
      <w:r>
        <w:t>compris l'utilisation de l'IA générative dans les flux de travail de création de programmes de radiodiffusion et l'extraction d'objets audio et vidéo lors de la production.</w:t>
      </w:r>
    </w:p>
    <w:p w14:paraId="54F966CF" w14:textId="07133AE3" w:rsidR="00784D64" w:rsidRDefault="00784D64" w:rsidP="00D3279B">
      <w:pPr>
        <w:jc w:val="both"/>
      </w:pPr>
      <w:r>
        <w:lastRenderedPageBreak/>
        <w:t xml:space="preserve">Le premier </w:t>
      </w:r>
      <w:hyperlink r:id="rId24" w:anchor="/fr" w:history="1">
        <w:r w:rsidRPr="003747A2">
          <w:rPr>
            <w:rStyle w:val="Hyperlink"/>
            <w:rFonts w:eastAsia="Times New Roman" w:cs="Times New Roman"/>
            <w:szCs w:val="20"/>
          </w:rPr>
          <w:t>Sommet international sur les normes relatives à l'IA</w:t>
        </w:r>
      </w:hyperlink>
      <w:r>
        <w:t>, organisé par l'UIT en 2024, a réuni spécialistes et parties prenantes issus d'</w:t>
      </w:r>
      <w:r w:rsidRPr="00F52751">
        <w:t>organismes</w:t>
      </w:r>
      <w:r>
        <w:t xml:space="preserve"> internationaux de normalisation dans le but de répondre à la demande croissante d'élaboration plus rapide de normes pour une IA responsable, sûre et inclusive. Des manifestations internationales annuelles sur les normes relatives à l'IA sont prévues pour répondre à l'appel de la communauté mondiale en</w:t>
      </w:r>
      <w:r w:rsidR="003747A2">
        <w:t> </w:t>
      </w:r>
      <w:r>
        <w:t>faveur de normes exhaustives et efficaces dans ce domaine. L'édition 2025 du Sommet international sur les normes relatives à l'IA se tiendra les 2 et 3 décembre 2025 à Séoul (Corée (République de)).</w:t>
      </w:r>
    </w:p>
    <w:p w14:paraId="7EE9E9AA" w14:textId="1B6BD535" w:rsidR="00784D64" w:rsidRDefault="00784D64" w:rsidP="00D3279B">
      <w:pPr>
        <w:jc w:val="both"/>
      </w:pPr>
      <w:r>
        <w:t>L'</w:t>
      </w:r>
      <w:hyperlink r:id="rId25" w:anchor="/fr" w:history="1">
        <w:r w:rsidRPr="0017569F">
          <w:rPr>
            <w:rStyle w:val="Hyperlink"/>
            <w:rFonts w:eastAsia="Times New Roman" w:cs="Times New Roman"/>
            <w:szCs w:val="20"/>
          </w:rPr>
          <w:t>échange</w:t>
        </w:r>
        <w:r w:rsidRPr="003747A2">
          <w:rPr>
            <w:rStyle w:val="Hyperlink"/>
            <w:rFonts w:eastAsia="Times New Roman" w:cs="Times New Roman"/>
            <w:szCs w:val="20"/>
          </w:rPr>
          <w:t xml:space="preserve"> international sur les normes relatives à l'intelligence artificielle</w:t>
        </w:r>
      </w:hyperlink>
      <w:r>
        <w:t xml:space="preserve"> se concentre sur la trajectoire future de l'IA et sur la manière d'élaborer des normes techniques permettant de multiplier les possibilités d'innovation dans le monde entier, et se tiendra le 11 juillet dans le cadre du Sommet mondial sur l'intelligence artificielle au service du bien social de 2025.</w:t>
      </w:r>
    </w:p>
    <w:p w14:paraId="6EB6101F" w14:textId="77777777" w:rsidR="00784D64" w:rsidRDefault="00784D64" w:rsidP="00D3279B">
      <w:pPr>
        <w:pStyle w:val="Headingb"/>
        <w:jc w:val="both"/>
      </w:pPr>
      <w:r>
        <w:t>Appui au déploiement de l'IA et au renforcement des capacités dans ce domaine</w:t>
      </w:r>
    </w:p>
    <w:p w14:paraId="59956EB8" w14:textId="77777777" w:rsidR="00784D64" w:rsidRDefault="00784D64" w:rsidP="00D3279B">
      <w:pPr>
        <w:jc w:val="both"/>
      </w:pPr>
      <w:r>
        <w:t>L'UIT s'emploie à doter les pays du monde entier des connaissances et des outils nécessaires pour tirer parti de l'IA, afin de faire en sorte que les avantages qui en découlent soient accessibles sur un pied d'égalité à tous les habitants de la planète.</w:t>
      </w:r>
    </w:p>
    <w:p w14:paraId="54C5739E" w14:textId="3D4A312C" w:rsidR="00784D64" w:rsidRDefault="00784D64" w:rsidP="00D3279B">
      <w:pPr>
        <w:jc w:val="both"/>
      </w:pPr>
      <w:r>
        <w:t xml:space="preserve">Dans le cadre de son initiative "L'intelligence artificielle au service du bien social", qui vise à mettre en place des solutions fondées sur l'IA efficaces à grande échelle et à intensifier les efforts déployés en faveur du renforcement des capacités, en particulier dans les pays en développement, l'UIT a créé la </w:t>
      </w:r>
      <w:hyperlink r:id="rId26" w:anchor="/fr" w:history="1">
        <w:r w:rsidRPr="008D1305">
          <w:rPr>
            <w:rStyle w:val="Hyperlink"/>
            <w:rFonts w:eastAsia="Times New Roman" w:cs="Times New Roman"/>
            <w:szCs w:val="20"/>
          </w:rPr>
          <w:t>Coalition pour les compétences en matière d'IA</w:t>
        </w:r>
      </w:hyperlink>
      <w:r>
        <w:t>, qui prend la forme d'un mouvement porteur de transformation destiné à donner aux personnes et aux communautés les moyens d'acquérir une expertise indispensable dans le domaine de l'IA. En</w:t>
      </w:r>
      <w:r w:rsidR="008D1305">
        <w:t> </w:t>
      </w:r>
      <w:r>
        <w:t xml:space="preserve">donnant accès à une </w:t>
      </w:r>
      <w:hyperlink r:id="rId27" w:anchor="/fr" w:history="1">
        <w:r w:rsidRPr="008D1305">
          <w:rPr>
            <w:rStyle w:val="Hyperlink"/>
            <w:rFonts w:eastAsia="Times New Roman" w:cs="Times New Roman"/>
            <w:szCs w:val="20"/>
          </w:rPr>
          <w:t>formation à l'IA de haute qualité</w:t>
        </w:r>
      </w:hyperlink>
      <w:r>
        <w:t xml:space="preserve">, la </w:t>
      </w:r>
      <w:r w:rsidR="008D1305">
        <w:t>c</w:t>
      </w:r>
      <w:r>
        <w:t xml:space="preserve">oalition cherche à réduire la fracture en matière d'IA et à garantir une participation inclusive à cette révolution technologique. En outre, l'UIT a élargi le champ d'action de cette initiative en créant la </w:t>
      </w:r>
      <w:hyperlink r:id="rId28" w:anchor="/fr" w:history="1">
        <w:r w:rsidRPr="008D1305">
          <w:rPr>
            <w:rStyle w:val="Hyperlink"/>
            <w:rFonts w:eastAsia="Times New Roman" w:cs="Times New Roman"/>
            <w:szCs w:val="20"/>
          </w:rPr>
          <w:t>Communauté des jeunes chefs de file de l'IA</w:t>
        </w:r>
      </w:hyperlink>
      <w:r>
        <w:t xml:space="preserve"> et en invitant des spécialistes de l'IA âgés de</w:t>
      </w:r>
      <w:r w:rsidR="008D1305">
        <w:t> </w:t>
      </w:r>
      <w:r>
        <w:t>18</w:t>
      </w:r>
      <w:r w:rsidR="008D1305">
        <w:t> </w:t>
      </w:r>
      <w:r>
        <w:t>à 30 ans à la rejoindre pour établir six pôles régionaux, l'objectif étant de renforcer et de diversifier cette communauté.</w:t>
      </w:r>
    </w:p>
    <w:p w14:paraId="35F14805" w14:textId="15CC917B" w:rsidR="00784D64" w:rsidRDefault="00784D64" w:rsidP="00D3279B">
      <w:pPr>
        <w:jc w:val="both"/>
      </w:pPr>
      <w:r>
        <w:t>L'initiative "AI For Good Impact" (Les effets de l</w:t>
      </w:r>
      <w:r w:rsidR="008D1305">
        <w:t>'</w:t>
      </w:r>
      <w:r>
        <w:t xml:space="preserve">IA au service du bien social) comprend également des programmes phares, comme les </w:t>
      </w:r>
      <w:hyperlink r:id="rId29" w:anchor="/fr" w:history="1">
        <w:r w:rsidR="004F30D7" w:rsidRPr="004F30D7">
          <w:rPr>
            <w:rStyle w:val="Hyperlink"/>
            <w:rFonts w:eastAsia="Times New Roman" w:cs="Times New Roman"/>
            <w:szCs w:val="20"/>
          </w:rPr>
          <w:t>d</w:t>
        </w:r>
        <w:r w:rsidRPr="004F30D7">
          <w:rPr>
            <w:rStyle w:val="Hyperlink"/>
            <w:rFonts w:eastAsia="Times New Roman" w:cs="Times New Roman"/>
            <w:szCs w:val="20"/>
          </w:rPr>
          <w:t>éfis mondiaux en matière d'IA</w:t>
        </w:r>
      </w:hyperlink>
      <w:r w:rsidRPr="004F30D7">
        <w:t>, l'</w:t>
      </w:r>
      <w:hyperlink r:id="rId30" w:anchor="/fr" w:history="1">
        <w:r w:rsidR="00892D22" w:rsidRPr="004F30D7">
          <w:rPr>
            <w:rStyle w:val="Hyperlink"/>
            <w:rFonts w:eastAsia="Times New Roman" w:cs="Times New Roman"/>
            <w:szCs w:val="20"/>
          </w:rPr>
          <w:t>u</w:t>
        </w:r>
        <w:r w:rsidRPr="004F30D7">
          <w:rPr>
            <w:rStyle w:val="Hyperlink"/>
            <w:rFonts w:eastAsia="Times New Roman" w:cs="Times New Roman"/>
            <w:szCs w:val="20"/>
          </w:rPr>
          <w:t>sine d'innovations dans le domaine de l'IA et le programme d'incubation de jeunes entreprises</w:t>
        </w:r>
      </w:hyperlink>
      <w:r w:rsidRPr="004F30D7">
        <w:t xml:space="preserve">, ainsi que le </w:t>
      </w:r>
      <w:r w:rsidR="004F30D7" w:rsidRPr="004F30D7">
        <w:t>d</w:t>
      </w:r>
      <w:r w:rsidRPr="004F30D7">
        <w:t xml:space="preserve">éfi </w:t>
      </w:r>
      <w:r w:rsidR="008D1305" w:rsidRPr="004F30D7">
        <w:t>"</w:t>
      </w:r>
      <w:hyperlink r:id="rId31" w:anchor="/fr" w:history="1">
        <w:r w:rsidRPr="004F30D7">
          <w:rPr>
            <w:rStyle w:val="Hyperlink"/>
            <w:rFonts w:eastAsia="Times New Roman" w:cs="Times New Roman"/>
            <w:szCs w:val="20"/>
          </w:rPr>
          <w:t>Jeunes sur la robotique au service du bien social</w:t>
        </w:r>
      </w:hyperlink>
      <w:r w:rsidR="008D1305">
        <w:t>"</w:t>
      </w:r>
      <w:r>
        <w:t xml:space="preserve">, qui mobilise de jeunes innovateurs du monde entier et qui aboutira à un concours mondial organisé dans le cadre du Sommet mondial sur l'IA au service du bien social en 2025. Ces programmes, ainsi que le </w:t>
      </w:r>
      <w:hyperlink r:id="rId32" w:anchor="/fr" w:history="1">
        <w:r w:rsidRPr="008D1305">
          <w:rPr>
            <w:rStyle w:val="Hyperlink"/>
            <w:rFonts w:eastAsia="Times New Roman" w:cs="Times New Roman"/>
            <w:szCs w:val="20"/>
          </w:rPr>
          <w:t>rapport publié récemment sur cette initiative</w:t>
        </w:r>
      </w:hyperlink>
      <w:r>
        <w:t>, mettent en avant l'engagement pris par l'UIT pour réduire la fracture en matière d'IA, promouvoir les partenariats internationaux et contribuer à la réalisation des Objectifs de développement durable à travers le renforcement des capacités dans le domaine de l'IA.</w:t>
      </w:r>
    </w:p>
    <w:p w14:paraId="0464B692" w14:textId="5041241D" w:rsidR="00784D64" w:rsidRDefault="00784D64" w:rsidP="00D3279B">
      <w:pPr>
        <w:jc w:val="both"/>
      </w:pPr>
      <w:r>
        <w:t xml:space="preserve">L'initiative </w:t>
      </w:r>
      <w:r w:rsidR="002D12CE">
        <w:t>"</w:t>
      </w:r>
      <w:r>
        <w:t>AI For Good Impact</w:t>
      </w:r>
      <w:r w:rsidR="002D12CE">
        <w:t>"</w:t>
      </w:r>
      <w:r>
        <w:t xml:space="preserve"> a également servi de cadre au lancement d'une nouvelle série de manifestations régionales, notamment "AI For Good Impact </w:t>
      </w:r>
      <w:proofErr w:type="spellStart"/>
      <w:r>
        <w:t>India</w:t>
      </w:r>
      <w:proofErr w:type="spellEnd"/>
      <w:r>
        <w:t>", qui s'est tenue en</w:t>
      </w:r>
      <w:r w:rsidR="009E7D1A">
        <w:t> </w:t>
      </w:r>
      <w:r>
        <w:t>parallèle de l'</w:t>
      </w:r>
      <w:proofErr w:type="spellStart"/>
      <w:r>
        <w:t>AMNT</w:t>
      </w:r>
      <w:proofErr w:type="spellEnd"/>
      <w:r>
        <w:t>-24 à New Delhi (Inde), à la demande du Gouvernement de l'Inde. La</w:t>
      </w:r>
      <w:r w:rsidR="009E7D1A">
        <w:t> </w:t>
      </w:r>
      <w:r>
        <w:t xml:space="preserve">manifestation "AI for Good Impact Africa" devrait se tenir le 31 octobre 2025 à l'occasion du salon </w:t>
      </w:r>
      <w:r w:rsidR="002D12CE">
        <w:t>"</w:t>
      </w:r>
      <w:r>
        <w:t>AI Expo Africa</w:t>
      </w:r>
      <w:r w:rsidR="002D12CE">
        <w:t>"</w:t>
      </w:r>
      <w:r>
        <w:t xml:space="preserve">, en partenariat avec le secrétariat du </w:t>
      </w:r>
      <w:proofErr w:type="spellStart"/>
      <w:r>
        <w:t>G20</w:t>
      </w:r>
      <w:proofErr w:type="spellEnd"/>
      <w:r>
        <w:t>.</w:t>
      </w:r>
    </w:p>
    <w:p w14:paraId="26BCAED8" w14:textId="1386E52C" w:rsidR="00784D64" w:rsidRDefault="00784D64" w:rsidP="00D3279B">
      <w:pPr>
        <w:jc w:val="both"/>
      </w:pPr>
      <w:r>
        <w:lastRenderedPageBreak/>
        <w:t>L'</w:t>
      </w:r>
      <w:hyperlink r:id="rId33" w:history="1">
        <w:r w:rsidRPr="008D1305">
          <w:rPr>
            <w:rStyle w:val="Hyperlink"/>
            <w:rFonts w:eastAsia="Times New Roman" w:cs="Times New Roman"/>
            <w:szCs w:val="20"/>
          </w:rPr>
          <w:t>Initiative mondiale sur les mondes virtuels et l'IA</w:t>
        </w:r>
      </w:hyperlink>
      <w:r>
        <w:t xml:space="preserve">, lancée par l'UIT, Digital </w:t>
      </w:r>
      <w:proofErr w:type="spellStart"/>
      <w:r>
        <w:t>Dubai</w:t>
      </w:r>
      <w:proofErr w:type="spellEnd"/>
      <w:r>
        <w:t xml:space="preserve"> et l'</w:t>
      </w:r>
      <w:proofErr w:type="spellStart"/>
      <w:r>
        <w:t>UNICC</w:t>
      </w:r>
      <w:proofErr w:type="spellEnd"/>
      <w:r>
        <w:t>, constitue une tribune mondiale pour l'avènement de mondes virtuels interopérables et innovants fondés sur l'IA et pouvant être utilisés en toute sécurité. L'UIT, la France et le</w:t>
      </w:r>
      <w:r w:rsidR="00B71452">
        <w:t> </w:t>
      </w:r>
      <w:proofErr w:type="spellStart"/>
      <w:r>
        <w:t>PNUE</w:t>
      </w:r>
      <w:proofErr w:type="spellEnd"/>
      <w:r>
        <w:t xml:space="preserve"> ont conjointement lancé la </w:t>
      </w:r>
      <w:hyperlink r:id="rId34" w:history="1">
        <w:r w:rsidRPr="00B71452">
          <w:rPr>
            <w:rStyle w:val="Hyperlink"/>
            <w:rFonts w:eastAsia="Times New Roman" w:cs="Times New Roman"/>
            <w:szCs w:val="20"/>
          </w:rPr>
          <w:t>Coalition en faveur d'une IA durable</w:t>
        </w:r>
      </w:hyperlink>
      <w:r>
        <w:t xml:space="preserve"> lors du Sommet pour l'action sur l'intelligence artificielle organisé par la France. Le </w:t>
      </w:r>
      <w:hyperlink r:id="rId35" w:history="1">
        <w:r w:rsidRPr="00B71452">
          <w:rPr>
            <w:rStyle w:val="Hyperlink"/>
            <w:rFonts w:eastAsia="Times New Roman" w:cs="Times New Roman"/>
            <w:szCs w:val="20"/>
          </w:rPr>
          <w:t>Bureau des programmes à code source ouvert</w:t>
        </w:r>
      </w:hyperlink>
      <w:r>
        <w:t xml:space="preserve"> de l'UIT étudie également la manière dont les modèles d'IA à code source ouvert pourraient renforcer les services publics numériques, en particulier dans les pays aux ressources rares.</w:t>
      </w:r>
    </w:p>
    <w:p w14:paraId="2F8C69F7" w14:textId="050C81A9" w:rsidR="00784D64" w:rsidRDefault="00784D64" w:rsidP="00D3279B">
      <w:pPr>
        <w:jc w:val="both"/>
      </w:pPr>
      <w:r>
        <w:t>L'Initiative "</w:t>
      </w:r>
      <w:hyperlink r:id="rId36" w:history="1">
        <w:r w:rsidRPr="00B71452">
          <w:rPr>
            <w:rStyle w:val="Hyperlink"/>
            <w:rFonts w:eastAsia="Times New Roman" w:cs="Times New Roman"/>
            <w:szCs w:val="20"/>
          </w:rPr>
          <w:t>Alertes précoces pour tous</w:t>
        </w:r>
      </w:hyperlink>
      <w:r>
        <w:t xml:space="preserve">" des Nations Unies a servi de cadre à la création d'un </w:t>
      </w:r>
      <w:hyperlink r:id="rId37" w:history="1">
        <w:r w:rsidRPr="00B71452">
          <w:rPr>
            <w:rStyle w:val="Hyperlink"/>
            <w:rFonts w:eastAsia="Times New Roman" w:cs="Times New Roman"/>
            <w:szCs w:val="20"/>
          </w:rPr>
          <w:t>sous</w:t>
        </w:r>
        <w:r w:rsidR="00B71452" w:rsidRPr="00B71452">
          <w:rPr>
            <w:rStyle w:val="Hyperlink"/>
            <w:rFonts w:eastAsia="Times New Roman" w:cs="Times New Roman"/>
            <w:szCs w:val="20"/>
          </w:rPr>
          <w:noBreakHyphen/>
        </w:r>
        <w:r w:rsidRPr="00B71452">
          <w:rPr>
            <w:rStyle w:val="Hyperlink"/>
            <w:rFonts w:eastAsia="Times New Roman" w:cs="Times New Roman"/>
            <w:szCs w:val="20"/>
          </w:rPr>
          <w:t>groupe sur l'IA au service des alertes précoces pour tous</w:t>
        </w:r>
      </w:hyperlink>
      <w:r>
        <w:t xml:space="preserve">, coordonné et dirigé par l'UIT. Ce sous-groupe est à l'origine du lancement d'initiatives pilotes d'IA dans divers pays afin de démontrer les avantages pratiques qu'apporte l'IA pour améliorer les systèmes d'alerte avancée. L'un des projets pilotes de ce </w:t>
      </w:r>
      <w:r w:rsidR="00B71452">
        <w:t>sous-</w:t>
      </w:r>
      <w:r>
        <w:t>groupe est le développement d'un outil destiné à aider les pays à surveiller et à cartographier le nombre de personnes qui ne sont pas couvertes par les réseaux numériques. Les premiers résultats sont disponibles pour le</w:t>
      </w:r>
      <w:r w:rsidR="00B71452">
        <w:t> </w:t>
      </w:r>
      <w:r>
        <w:t>Vanuatu, Fidji, la République dominicaine, le Mozambique, la Somalie, le Soudan du Sud, Haïti et les Tonga.</w:t>
      </w:r>
    </w:p>
    <w:p w14:paraId="38C9E5DF" w14:textId="15D925C4" w:rsidR="00784D64" w:rsidRDefault="00784D64" w:rsidP="00D3279B">
      <w:pPr>
        <w:jc w:val="both"/>
      </w:pPr>
      <w:r>
        <w:t xml:space="preserve">Dans le cadre du </w:t>
      </w:r>
      <w:hyperlink r:id="rId38" w:history="1">
        <w:r w:rsidRPr="00B71452">
          <w:rPr>
            <w:rStyle w:val="Hyperlink"/>
            <w:rFonts w:eastAsia="Times New Roman" w:cs="Times New Roman"/>
            <w:szCs w:val="20"/>
          </w:rPr>
          <w:t>projet Giga, mis en œuvre conjointement par l'UIT et l'UNICEF</w:t>
        </w:r>
      </w:hyperlink>
      <w:r>
        <w:t xml:space="preserve">, l'IA est utilisée de manière stratégique pour développer la connectivité Internet en vue de connecter les écoles du monde entier. Le </w:t>
      </w:r>
      <w:hyperlink r:id="rId39" w:history="1">
        <w:r w:rsidRPr="004F30D7">
          <w:rPr>
            <w:rStyle w:val="Hyperlink"/>
            <w:rFonts w:eastAsia="Times New Roman" w:cs="Times New Roman"/>
            <w:szCs w:val="20"/>
          </w:rPr>
          <w:t>projet d'accélération des compétences dans le domaine de l'IA pour les jeunes filles</w:t>
        </w:r>
      </w:hyperlink>
      <w:r>
        <w:t xml:space="preserve"> équipera les filles et les femmes des compétences numériques, éthiques et de gestion dont elles ont besoin pour devenir des créatrices de contenu, et imprimera un élan d'innovation et de créativité. Le Bureau régional de l'UIT pour</w:t>
      </w:r>
      <w:r w:rsidR="00B71452">
        <w:t xml:space="preserve"> </w:t>
      </w:r>
      <w:r>
        <w:t>l'Asie</w:t>
      </w:r>
      <w:r w:rsidR="00B71452">
        <w:noBreakHyphen/>
      </w:r>
      <w:r>
        <w:t xml:space="preserve">Pacifique organise actuellement une </w:t>
      </w:r>
      <w:hyperlink r:id="rId40" w:history="1">
        <w:r w:rsidRPr="00B71452">
          <w:rPr>
            <w:rStyle w:val="Hyperlink"/>
            <w:rFonts w:eastAsia="Times New Roman" w:cs="Times New Roman"/>
            <w:szCs w:val="20"/>
          </w:rPr>
          <w:t>série de webinaires sur l'IA en Asie du Sud</w:t>
        </w:r>
        <w:r w:rsidR="00B71452" w:rsidRPr="00B71452">
          <w:rPr>
            <w:rStyle w:val="Hyperlink"/>
            <w:rFonts w:eastAsia="Times New Roman" w:cs="Times New Roman"/>
            <w:szCs w:val="20"/>
          </w:rPr>
          <w:noBreakHyphen/>
        </w:r>
        <w:r w:rsidRPr="00B71452">
          <w:rPr>
            <w:rStyle w:val="Hyperlink"/>
            <w:rFonts w:eastAsia="Times New Roman" w:cs="Times New Roman"/>
            <w:szCs w:val="20"/>
          </w:rPr>
          <w:t>Est</w:t>
        </w:r>
      </w:hyperlink>
      <w:r>
        <w:t xml:space="preserve"> pour poursuivre le partage d'information et le renforcement des capacités en matière de normes, de politiques, de cadres et d'initiatives intégrant les spécificités hommes-femmes et socialement inclusifs dans le domaine de l'IA.</w:t>
      </w:r>
    </w:p>
    <w:p w14:paraId="34847E3E" w14:textId="04132DAE" w:rsidR="00784D64" w:rsidRDefault="00784D64" w:rsidP="00D3279B">
      <w:pPr>
        <w:jc w:val="both"/>
      </w:pPr>
      <w:r>
        <w:t>Au cours de l</w:t>
      </w:r>
      <w:r w:rsidR="00B71452">
        <w:t>'</w:t>
      </w:r>
      <w:r>
        <w:t>année passée, plusieurs cours sur l'IA ont été proposés. De plus, un cours de</w:t>
      </w:r>
      <w:r w:rsidR="00B71452">
        <w:t> </w:t>
      </w:r>
      <w:r>
        <w:t>l'UIT sur la gouvernance de l'IA, dont la version définitive est en cours d'élaboration, sera</w:t>
      </w:r>
      <w:r w:rsidR="009E7D1A">
        <w:t> </w:t>
      </w:r>
      <w:r>
        <w:t>proposé par l'intermédiaire de l'</w:t>
      </w:r>
      <w:hyperlink r:id="rId41" w:anchor="/fr" w:history="1">
        <w:r w:rsidRPr="00B71452">
          <w:rPr>
            <w:rStyle w:val="Hyperlink"/>
            <w:rFonts w:eastAsia="Times New Roman" w:cs="Times New Roman"/>
            <w:szCs w:val="20"/>
          </w:rPr>
          <w:t>Académie de l'UIT</w:t>
        </w:r>
      </w:hyperlink>
      <w:r>
        <w:t>. Il sera dispensé en octobre 2025 à</w:t>
      </w:r>
      <w:r w:rsidR="009E7D1A">
        <w:t> </w:t>
      </w:r>
      <w:r>
        <w:t>Genève, puis rendu disponible à l'échelle mondiale.</w:t>
      </w:r>
    </w:p>
    <w:p w14:paraId="59EBEF62" w14:textId="1181D246" w:rsidR="00784D64" w:rsidRDefault="00784D64" w:rsidP="00D3279B">
      <w:pPr>
        <w:jc w:val="both"/>
      </w:pPr>
      <w:r>
        <w:t xml:space="preserve">L'adoption de l'IA est un élément clé du programme de l'UIT en matière de transformation. L'Union a par ailleurs lancé le </w:t>
      </w:r>
      <w:hyperlink r:id="rId42" w:history="1">
        <w:r w:rsidRPr="00824BE0">
          <w:rPr>
            <w:rStyle w:val="Hyperlink"/>
            <w:rFonts w:eastAsia="Times New Roman" w:cs="Times New Roman"/>
            <w:szCs w:val="20"/>
          </w:rPr>
          <w:t>pôle sur l'IA</w:t>
        </w:r>
      </w:hyperlink>
      <w:r>
        <w:t>, un point d'accès aux outils fondés sur cette technologie, aux supports de formation en ligne, aux ressources dans ce domaine et aux fonds d'amorçage pour les initiatives en lien avec l'IA, dont l'ensemble du personnel de l'UIT peut profiter. L'UIT organise régulièrement des sessions sur l'IA et les technologies émergentes à l'intention de ses fonctionnaires et de la communauté diplomatique dans le cadre de l'initiative des laboratoires d'apprentissage et de l'initiative "</w:t>
      </w:r>
      <w:hyperlink r:id="rId43" w:anchor="/fr" w:history="1">
        <w:r w:rsidRPr="00824BE0">
          <w:rPr>
            <w:rStyle w:val="Hyperlink"/>
            <w:rFonts w:eastAsia="Times New Roman" w:cs="Times New Roman"/>
            <w:szCs w:val="20"/>
          </w:rPr>
          <w:t>Démystifier le numérique</w:t>
        </w:r>
      </w:hyperlink>
      <w:r>
        <w:t xml:space="preserve">", respectivement, pour contribuer à faciliter l'utilisation de ces technologies dans les activités quotidiennes et pour améliorer la compréhension des tendances émergentes. De plus amples renseignements sur la transformation de l'UIT par le biais de l'IA sont fournis dans le </w:t>
      </w:r>
      <w:hyperlink r:id="rId44" w:history="1">
        <w:r w:rsidRPr="00824BE0">
          <w:rPr>
            <w:rStyle w:val="Hyperlink"/>
            <w:rFonts w:eastAsia="Times New Roman" w:cs="Times New Roman"/>
            <w:szCs w:val="20"/>
          </w:rPr>
          <w:t xml:space="preserve">Document </w:t>
        </w:r>
        <w:proofErr w:type="spellStart"/>
        <w:r w:rsidRPr="00824BE0">
          <w:rPr>
            <w:rStyle w:val="Hyperlink"/>
            <w:rFonts w:eastAsia="Times New Roman" w:cs="Times New Roman"/>
            <w:szCs w:val="20"/>
          </w:rPr>
          <w:t>C25</w:t>
        </w:r>
        <w:proofErr w:type="spellEnd"/>
        <w:r w:rsidRPr="00824BE0">
          <w:rPr>
            <w:rStyle w:val="Hyperlink"/>
            <w:rFonts w:eastAsia="Times New Roman" w:cs="Times New Roman"/>
            <w:szCs w:val="20"/>
          </w:rPr>
          <w:t>/55</w:t>
        </w:r>
      </w:hyperlink>
      <w:r>
        <w:t>.</w:t>
      </w:r>
    </w:p>
    <w:p w14:paraId="4B4B5ACB" w14:textId="77777777" w:rsidR="00784D64" w:rsidRDefault="00784D64" w:rsidP="00D3279B">
      <w:pPr>
        <w:pStyle w:val="Headingb"/>
        <w:jc w:val="both"/>
      </w:pPr>
      <w:r>
        <w:t>Travaux relatifs à la gouvernance, aux politiques et à la réglementation en matière d'IA</w:t>
      </w:r>
    </w:p>
    <w:p w14:paraId="24E6EF92" w14:textId="71AEC067" w:rsidR="00784D64" w:rsidRDefault="00784D64" w:rsidP="00D3279B">
      <w:pPr>
        <w:jc w:val="both"/>
      </w:pPr>
      <w:r>
        <w:t xml:space="preserve">La première </w:t>
      </w:r>
      <w:hyperlink r:id="rId45" w:anchor="/fr" w:history="1">
        <w:r w:rsidRPr="00824BE0">
          <w:rPr>
            <w:rStyle w:val="Hyperlink"/>
            <w:rFonts w:eastAsia="Times New Roman" w:cs="Times New Roman"/>
            <w:szCs w:val="20"/>
          </w:rPr>
          <w:t>Journée de la gouvernance de l'IA</w:t>
        </w:r>
      </w:hyperlink>
      <w:r>
        <w:t xml:space="preserve"> s'est tenue lors du Sommet sur l'intelligence artificielle au service du bien social de 2024 et a réuni des participants du monde entier, y</w:t>
      </w:r>
      <w:r w:rsidR="00824BE0">
        <w:t> </w:t>
      </w:r>
      <w:r>
        <w:t xml:space="preserve">compris des ministres, des décideurs, des chercheurs et des technologues issus de pays </w:t>
      </w:r>
      <w:r>
        <w:lastRenderedPageBreak/>
        <w:t xml:space="preserve">développés et en développement. Cette manifestation </w:t>
      </w:r>
      <w:proofErr w:type="spellStart"/>
      <w:r>
        <w:t>multi-parties</w:t>
      </w:r>
      <w:proofErr w:type="spellEnd"/>
      <w:r>
        <w:t xml:space="preserve"> prenantes s'inscrit dans la droite ligne de la mission de l'UIT, qui consiste à offrir un cadre inclusif, neutre et rassemblant des acteurs du monde entier pour l'IA. Le </w:t>
      </w:r>
      <w:hyperlink r:id="rId46" w:history="1">
        <w:r w:rsidRPr="00824BE0">
          <w:rPr>
            <w:rStyle w:val="Hyperlink"/>
            <w:rFonts w:eastAsia="Times New Roman" w:cs="Times New Roman"/>
            <w:szCs w:val="20"/>
          </w:rPr>
          <w:t>rapport sur la Journée de la gouvernance de l'IA</w:t>
        </w:r>
      </w:hyperlink>
      <w:r>
        <w:t xml:space="preserve"> décrit de manière détaillée les informations et les recommandations clés issues des discussions sur les politiques, et vise à orienter les parties prenantes dans l'élaboration de stratégies efficaces en matière de gouvernance de l'IA. Le </w:t>
      </w:r>
      <w:hyperlink r:id="rId47" w:anchor="/fr" w:history="1">
        <w:r w:rsidRPr="0017569F">
          <w:rPr>
            <w:rStyle w:val="Hyperlink"/>
            <w:rFonts w:eastAsia="Times New Roman" w:cs="Times New Roman"/>
            <w:szCs w:val="20"/>
          </w:rPr>
          <w:t>dialogue</w:t>
        </w:r>
        <w:r w:rsidRPr="002E2E75">
          <w:rPr>
            <w:rStyle w:val="Hyperlink"/>
            <w:rFonts w:eastAsia="Times New Roman" w:cs="Times New Roman"/>
            <w:szCs w:val="20"/>
          </w:rPr>
          <w:t xml:space="preserve"> sur la gouvernance de l'IA de 2025</w:t>
        </w:r>
      </w:hyperlink>
      <w:r>
        <w:t xml:space="preserve"> se tiendra à Genève le 10 juillet 2025 dans le cadre du Sommet mondial sur l'intelligence artificielle au service du bien social.</w:t>
      </w:r>
    </w:p>
    <w:p w14:paraId="4A817500" w14:textId="148FDE26" w:rsidR="00784D64" w:rsidRDefault="00784D64" w:rsidP="00D3279B">
      <w:pPr>
        <w:jc w:val="both"/>
      </w:pPr>
      <w:r>
        <w:t>L'</w:t>
      </w:r>
      <w:hyperlink r:id="rId48" w:history="1">
        <w:r w:rsidRPr="002E2E75">
          <w:rPr>
            <w:rStyle w:val="Hyperlink"/>
            <w:rFonts w:eastAsia="Times New Roman" w:cs="Times New Roman"/>
            <w:szCs w:val="20"/>
          </w:rPr>
          <w:t>enquête sur l'environnement de l'IA</w:t>
        </w:r>
      </w:hyperlink>
      <w:r>
        <w:t xml:space="preserve"> réalisée par l'UIT auprès des États Membres a permis de recueillir des informations sur les efforts déployés par les répondants en faveur de la transformation numérique. Les questions de l'enquête ont été intégrées à l'enquête sur la réglementation, qui doit être menée régulièrement.</w:t>
      </w:r>
    </w:p>
    <w:p w14:paraId="63726D58" w14:textId="705B7941" w:rsidR="00784D64" w:rsidRDefault="00784D64" w:rsidP="00D3279B">
      <w:pPr>
        <w:jc w:val="both"/>
      </w:pPr>
      <w:r>
        <w:t xml:space="preserve">L'engagement de l'UIT à réduire les disparités en matière d'IA est également illustré par les résultats du Forum mondial des politiques de télécommunication/TIC de 2021 et le programme du </w:t>
      </w:r>
      <w:hyperlink r:id="rId49" w:anchor="/fr" w:history="1">
        <w:r w:rsidRPr="002E2E75">
          <w:rPr>
            <w:rStyle w:val="Hyperlink"/>
            <w:rFonts w:eastAsia="Times New Roman" w:cs="Times New Roman"/>
            <w:szCs w:val="20"/>
          </w:rPr>
          <w:t>Colloque mondial des régulateurs de 2024</w:t>
        </w:r>
      </w:hyperlink>
      <w:r w:rsidR="00F1354D">
        <w:t xml:space="preserve"> (</w:t>
      </w:r>
      <w:proofErr w:type="spellStart"/>
      <w:r w:rsidR="00F1354D">
        <w:t>GSR</w:t>
      </w:r>
      <w:proofErr w:type="spellEnd"/>
      <w:r w:rsidR="00F1354D">
        <w:t>-24)</w:t>
      </w:r>
      <w:r>
        <w:t xml:space="preserve">, des sessions dédiées aux régulateurs sur l'utilisation de l'IA et de la robotique pour produire des retombées positives. Le thème des compétences en matière d'IA a également occupé une place importante lors du </w:t>
      </w:r>
      <w:hyperlink r:id="rId50" w:history="1">
        <w:r w:rsidRPr="002E2E75">
          <w:rPr>
            <w:rStyle w:val="Hyperlink"/>
            <w:rFonts w:eastAsia="Times New Roman" w:cs="Times New Roman"/>
            <w:szCs w:val="20"/>
          </w:rPr>
          <w:t>Forum de l'UIT sur les compétences numériques</w:t>
        </w:r>
      </w:hyperlink>
      <w:r>
        <w:t xml:space="preserve">. Le </w:t>
      </w:r>
      <w:hyperlink r:id="rId51" w:anchor="/fr" w:history="1">
        <w:r w:rsidRPr="002E2E75">
          <w:rPr>
            <w:rStyle w:val="Hyperlink"/>
            <w:rFonts w:eastAsia="Times New Roman" w:cs="Times New Roman"/>
            <w:szCs w:val="20"/>
          </w:rPr>
          <w:t>Kit pratique de l'UIT sur les compétences numériques</w:t>
        </w:r>
      </w:hyperlink>
      <w:r>
        <w:t xml:space="preserve"> fournit des conseils étape par étape à l'intention des décideurs sur la manière d'élaborer des stratégies et des feuilles de route nationales permettant de réduire le déficit de compétences numériques et en matière d'IA qui existe actuellement.</w:t>
      </w:r>
    </w:p>
    <w:p w14:paraId="37D9BBD6" w14:textId="6AAB6BF3" w:rsidR="00784D64" w:rsidRDefault="00784D64" w:rsidP="00D3279B">
      <w:pPr>
        <w:jc w:val="both"/>
      </w:pPr>
      <w:r>
        <w:t xml:space="preserve">En outre, l'UIT a commencé à rédiger </w:t>
      </w:r>
      <w:r w:rsidRPr="004F30D7">
        <w:t xml:space="preserve">une </w:t>
      </w:r>
      <w:r w:rsidR="004F30D7" w:rsidRPr="004F30D7">
        <w:t>d</w:t>
      </w:r>
      <w:r w:rsidRPr="004F30D7">
        <w:t>éclaration commune</w:t>
      </w:r>
      <w:r>
        <w:t xml:space="preserve"> sur la protection des enfants dans le contexte de l'IA, dans le cadre d'une activité menée en collaboration avec le Comité des droits de l'enfant.</w:t>
      </w:r>
    </w:p>
    <w:p w14:paraId="3707C5AD" w14:textId="77777777" w:rsidR="00784D64" w:rsidRDefault="00784D64" w:rsidP="00D3279B">
      <w:pPr>
        <w:pStyle w:val="Headingb"/>
        <w:jc w:val="both"/>
      </w:pPr>
      <w:r>
        <w:t>Appui à la coordination à l'échelle du système des Nations Unies sur l'IA</w:t>
      </w:r>
    </w:p>
    <w:p w14:paraId="40375BE2" w14:textId="4BC5143E" w:rsidR="00784D64" w:rsidRDefault="00784D64" w:rsidP="00D3279B">
      <w:pPr>
        <w:jc w:val="both"/>
      </w:pPr>
      <w:r>
        <w:t xml:space="preserve">Le </w:t>
      </w:r>
      <w:hyperlink r:id="rId52" w:history="1">
        <w:r w:rsidRPr="00EC7CFD">
          <w:rPr>
            <w:rStyle w:val="Hyperlink"/>
            <w:rFonts w:eastAsia="Times New Roman" w:cs="Times New Roman"/>
            <w:szCs w:val="20"/>
          </w:rPr>
          <w:t xml:space="preserve">Groupe de travail </w:t>
        </w:r>
        <w:proofErr w:type="spellStart"/>
        <w:r w:rsidRPr="00EC7CFD">
          <w:rPr>
            <w:rStyle w:val="Hyperlink"/>
            <w:rFonts w:eastAsia="Times New Roman" w:cs="Times New Roman"/>
            <w:szCs w:val="20"/>
          </w:rPr>
          <w:t>interinstitutions</w:t>
        </w:r>
        <w:proofErr w:type="spellEnd"/>
        <w:r w:rsidRPr="00EC7CFD">
          <w:rPr>
            <w:rStyle w:val="Hyperlink"/>
            <w:rFonts w:eastAsia="Times New Roman" w:cs="Times New Roman"/>
            <w:szCs w:val="20"/>
          </w:rPr>
          <w:t xml:space="preserve"> des Nations Unies sur l'intelligence artificielle</w:t>
        </w:r>
      </w:hyperlink>
      <w:r>
        <w:t xml:space="preserve"> (</w:t>
      </w:r>
      <w:proofErr w:type="spellStart"/>
      <w:r>
        <w:t>IAWG</w:t>
      </w:r>
      <w:proofErr w:type="spellEnd"/>
      <w:r w:rsidR="009C1937">
        <w:noBreakHyphen/>
      </w:r>
      <w:r>
        <w:t>AI), coprésidé par l'UIT et l'UNESCO, dirige une vaste opération de coordination entre plus de 50 entités des Nations Unies et a mis au point des initiatives d'envergure, telles que l'</w:t>
      </w:r>
      <w:r w:rsidRPr="00F1354D">
        <w:t xml:space="preserve">initiative sur les </w:t>
      </w:r>
      <w:hyperlink r:id="rId53" w:history="1">
        <w:r w:rsidRPr="00F1354D">
          <w:rPr>
            <w:rStyle w:val="Hyperlink"/>
            <w:rFonts w:eastAsia="Times New Roman" w:cs="Times New Roman"/>
            <w:szCs w:val="20"/>
          </w:rPr>
          <w:t>principes relatifs à une utilisation éthique de l'IA dans l'ensemble du système des Nations Unies</w:t>
        </w:r>
      </w:hyperlink>
      <w:r>
        <w:t xml:space="preserve">, ainsi que le </w:t>
      </w:r>
      <w:hyperlink r:id="rId54" w:history="1">
        <w:r w:rsidRPr="00EC7CFD">
          <w:rPr>
            <w:rStyle w:val="Hyperlink"/>
            <w:rFonts w:eastAsia="Times New Roman" w:cs="Times New Roman"/>
            <w:szCs w:val="20"/>
          </w:rPr>
          <w:t>Livre blanc du système des Nations Unies sur la gouvernance de l'IA</w:t>
        </w:r>
      </w:hyperlink>
      <w:r>
        <w:t xml:space="preserve">. La </w:t>
      </w:r>
      <w:hyperlink r:id="rId55" w:history="1">
        <w:r w:rsidRPr="00D0480E">
          <w:rPr>
            <w:rStyle w:val="Hyperlink"/>
            <w:rFonts w:eastAsia="Times New Roman" w:cs="Times New Roman"/>
            <w:szCs w:val="20"/>
          </w:rPr>
          <w:t>Résolution 101</w:t>
        </w:r>
      </w:hyperlink>
      <w:r>
        <w:t xml:space="preserve"> de l'</w:t>
      </w:r>
      <w:proofErr w:type="spellStart"/>
      <w:r>
        <w:t>AMNT</w:t>
      </w:r>
      <w:proofErr w:type="spellEnd"/>
      <w:r>
        <w:t xml:space="preserve"> de l'UIT et la </w:t>
      </w:r>
      <w:hyperlink r:id="rId56" w:anchor="%5B%7B%22num%22%3A129%2C%22gen%22%3A0%7D%2C%7B%22name%22%3A%22XYZ%22%7D%2C54%2C665%2C0%5D" w:history="1">
        <w:r w:rsidR="00397476" w:rsidRPr="00397476">
          <w:rPr>
            <w:rStyle w:val="Hyperlink"/>
            <w:rFonts w:eastAsia="Times New Roman" w:cs="Times New Roman"/>
            <w:szCs w:val="20"/>
          </w:rPr>
          <w:t>D</w:t>
        </w:r>
        <w:r w:rsidRPr="00397476">
          <w:rPr>
            <w:rStyle w:val="Hyperlink"/>
            <w:rFonts w:eastAsia="Times New Roman" w:cs="Times New Roman"/>
            <w:szCs w:val="20"/>
          </w:rPr>
          <w:t>écision</w:t>
        </w:r>
        <w:r w:rsidRPr="00D0480E">
          <w:rPr>
            <w:rStyle w:val="Hyperlink"/>
            <w:rFonts w:eastAsia="Times New Roman" w:cs="Times New Roman"/>
            <w:szCs w:val="20"/>
          </w:rPr>
          <w:t xml:space="preserve"> 220 EX/41 de</w:t>
        </w:r>
        <w:r w:rsidR="00F1354D">
          <w:rPr>
            <w:rStyle w:val="Hyperlink"/>
            <w:rFonts w:eastAsia="Times New Roman" w:cs="Times New Roman"/>
            <w:szCs w:val="20"/>
          </w:rPr>
          <w:t> </w:t>
        </w:r>
        <w:r w:rsidRPr="00D0480E">
          <w:rPr>
            <w:rStyle w:val="Hyperlink"/>
            <w:rFonts w:eastAsia="Times New Roman" w:cs="Times New Roman"/>
            <w:szCs w:val="20"/>
          </w:rPr>
          <w:t>l'UNESCO</w:t>
        </w:r>
      </w:hyperlink>
      <w:r>
        <w:t xml:space="preserve">, adoptées respectivement par les États Membres de l'UIT et de l'UNESCO, reconnaissent les travaux menés par le Groupe </w:t>
      </w:r>
      <w:proofErr w:type="spellStart"/>
      <w:r>
        <w:t>IAWG</w:t>
      </w:r>
      <w:proofErr w:type="spellEnd"/>
      <w:r>
        <w:t>-AI.</w:t>
      </w:r>
    </w:p>
    <w:p w14:paraId="26CCC55E" w14:textId="291E6D8E" w:rsidR="00784D64" w:rsidRDefault="00784D64" w:rsidP="00D3279B">
      <w:pPr>
        <w:jc w:val="both"/>
      </w:pPr>
      <w:r>
        <w:t xml:space="preserve">À sa </w:t>
      </w:r>
      <w:hyperlink r:id="rId57" w:history="1">
        <w:r w:rsidRPr="00D0480E">
          <w:rPr>
            <w:rStyle w:val="Hyperlink"/>
            <w:rFonts w:eastAsia="Times New Roman" w:cs="Times New Roman"/>
            <w:szCs w:val="20"/>
          </w:rPr>
          <w:t>48ème session</w:t>
        </w:r>
      </w:hyperlink>
      <w:r>
        <w:t>, le Comité de haut niveau sur les programmes (</w:t>
      </w:r>
      <w:proofErr w:type="spellStart"/>
      <w:r>
        <w:t>HLCP</w:t>
      </w:r>
      <w:proofErr w:type="spellEnd"/>
      <w:r>
        <w:t xml:space="preserve">), après avoir reconnu l'importance du Groupe </w:t>
      </w:r>
      <w:proofErr w:type="spellStart"/>
      <w:r>
        <w:t>IAWG</w:t>
      </w:r>
      <w:proofErr w:type="spellEnd"/>
      <w:r>
        <w:t xml:space="preserve">-AI, a demandé l'harmonisation des travaux de ce groupe et l'appui du système des Nations Unies dans la mise en œuvre du Pacte numérique mondial. L'UIT et l'UNESCO travaillent à présent de concert avec d'autres </w:t>
      </w:r>
      <w:r w:rsidRPr="00F52751">
        <w:t>organismes</w:t>
      </w:r>
      <w:r>
        <w:t xml:space="preserve"> membres du Groupe </w:t>
      </w:r>
      <w:proofErr w:type="spellStart"/>
      <w:r>
        <w:t>IAWG</w:t>
      </w:r>
      <w:proofErr w:type="spellEnd"/>
      <w:r>
        <w:t xml:space="preserve">-AI et ont soumis des contributions au Groupe de travail sur les technologies numériques, ainsi qu'un plan de travail actualisé qui préconise le développement intégré d'une boîte à outils et d'une plate-forme commune en ligne consacrées à l'IA et reposant sur une taxonomie normalisée, outils qui permettraient de faciliter davantage la coopération </w:t>
      </w:r>
      <w:proofErr w:type="spellStart"/>
      <w:r>
        <w:t>interinstitutions</w:t>
      </w:r>
      <w:proofErr w:type="spellEnd"/>
      <w:r>
        <w:t xml:space="preserve"> dans les activités de renforcement des capacités visant à aider les États Membres.</w:t>
      </w:r>
    </w:p>
    <w:p w14:paraId="18BC7FF1" w14:textId="0AE349BF" w:rsidR="00784D64" w:rsidRDefault="00784D64" w:rsidP="00D3279B">
      <w:pPr>
        <w:jc w:val="both"/>
      </w:pPr>
      <w:r>
        <w:lastRenderedPageBreak/>
        <w:t>Le Groupe de travail sur les technologies numériques, coprésidé par l'UIT et par le Bureau des technologies numériques et émergentes (ODET), a créé six sous-groupes, dont un consacré à l'IA, coprésidé par l'UIT, l'ODET et l'UNESCO, qui est chargé de donner suite aux dispositions relatives à l'IA contenues dans le Pacte numérique mondial. Ce sous</w:t>
      </w:r>
      <w:r w:rsidR="003960D7">
        <w:noBreakHyphen/>
      </w:r>
      <w:r>
        <w:t xml:space="preserve">groupe consacré à l'IA se réunit à intervalles réguliers avec le Groupe </w:t>
      </w:r>
      <w:proofErr w:type="spellStart"/>
      <w:r>
        <w:t>IAWG</w:t>
      </w:r>
      <w:proofErr w:type="spellEnd"/>
      <w:r>
        <w:t>-AI pour transmettre les contributions soumises par les organisations du système des Nations Unies aux processus pertinents relevant du Pacte numérique mondial.</w:t>
      </w:r>
    </w:p>
    <w:p w14:paraId="1284FD65" w14:textId="77777777" w:rsidR="00784D64" w:rsidRDefault="00784D64" w:rsidP="00D3279B">
      <w:pPr>
        <w:jc w:val="both"/>
      </w:pPr>
      <w:r>
        <w:t xml:space="preserve">Des </w:t>
      </w:r>
      <w:proofErr w:type="spellStart"/>
      <w:r>
        <w:t>comodérateurs</w:t>
      </w:r>
      <w:proofErr w:type="spellEnd"/>
      <w:r>
        <w:t xml:space="preserve"> ont été désignés pour le processus intergouvernemental et les consultations, afin de définir le champ d'application et les modalités régissant la création et le fonctionnement du Conseil scientifique international sur l'IA et du Dialogue mondial sur la gouvernance en matière d'IA. L'UIT a accueilli les </w:t>
      </w:r>
      <w:proofErr w:type="spellStart"/>
      <w:r>
        <w:t>comodérateurs</w:t>
      </w:r>
      <w:proofErr w:type="spellEnd"/>
      <w:r>
        <w:t xml:space="preserve"> à l'occasion d'un </w:t>
      </w:r>
      <w:r w:rsidRPr="004F30D7">
        <w:t>déjeuner</w:t>
      </w:r>
      <w:r>
        <w:t xml:space="preserve"> professionnel, qui s'est tenu le 12 février 2025, afin de les tenir informés des efforts déployés par l'Union dans le domaine de l'IA et de leur fournir des renseignements sur les missions basées à Genève, puis a organisé une consultation des </w:t>
      </w:r>
      <w:proofErr w:type="spellStart"/>
      <w:r>
        <w:t>comodérateurs</w:t>
      </w:r>
      <w:proofErr w:type="spellEnd"/>
      <w:r>
        <w:t xml:space="preserve"> à l'intention des organisations du système des Nations Unies basées à Genève.</w:t>
      </w:r>
    </w:p>
    <w:p w14:paraId="12F9D20D" w14:textId="33C21C98" w:rsidR="00784D64" w:rsidRDefault="00784D64" w:rsidP="00D3279B">
      <w:pPr>
        <w:jc w:val="both"/>
      </w:pPr>
      <w:r>
        <w:t>De plus, l'UIT coordonne les contributions et prépare le rapport annuel sur les activités des Nations Unies relatives à l'IA. Dans l'</w:t>
      </w:r>
      <w:hyperlink r:id="rId58" w:history="1">
        <w:r w:rsidRPr="002A7941">
          <w:rPr>
            <w:rStyle w:val="Hyperlink"/>
            <w:rFonts w:eastAsia="Times New Roman" w:cs="Times New Roman"/>
            <w:szCs w:val="20"/>
          </w:rPr>
          <w:t>édition 2023</w:t>
        </w:r>
      </w:hyperlink>
      <w:r>
        <w:t xml:space="preserve"> publiée lors de la Journée consacrée à la gouvernance de l'IA de 2024, 408 projets dans le domaine de l'IA émanant de 47 institutions sont répertoriés. Ces projets couvrent l'ensemble des 17 </w:t>
      </w:r>
      <w:proofErr w:type="spellStart"/>
      <w:r>
        <w:t>ODD</w:t>
      </w:r>
      <w:proofErr w:type="spellEnd"/>
      <w:r>
        <w:t>. Le rapport 2024 sur les activités des Nations Unies relatives à l'IA est en cours de préparation et devrait être publié lors du Sommet mondial sur l'IA au service du bien social de 2025.</w:t>
      </w:r>
    </w:p>
    <w:p w14:paraId="14FC05B5" w14:textId="77777777" w:rsidR="00784D64" w:rsidRDefault="00784D64" w:rsidP="00D3279B">
      <w:pPr>
        <w:pStyle w:val="Headingb"/>
        <w:jc w:val="both"/>
      </w:pPr>
      <w:r>
        <w:t>Collaboration multipartite</w:t>
      </w:r>
    </w:p>
    <w:p w14:paraId="0F67F1D7" w14:textId="77777777" w:rsidR="002A7941" w:rsidRDefault="00784D64" w:rsidP="00D3279B">
      <w:pPr>
        <w:jc w:val="both"/>
      </w:pPr>
      <w:r>
        <w:t xml:space="preserve">Conçue initialement en 2017 sous la forme d'un sommet annuel, l'initiative sur l'IA au service du bien social est désormais une plate-forme consultable "tout au long de l'année, toujours en ligne", qui accueille plus de 150 manifestations en ligne par an, en plus d'un sommet annuel à Genève. Cette année, le Sommet mondial sur l'intelligence artificielle sera l'événement phare du retour déterminé de l'UIT à </w:t>
      </w:r>
      <w:proofErr w:type="spellStart"/>
      <w:r>
        <w:t>Palexpo</w:t>
      </w:r>
      <w:proofErr w:type="spellEnd"/>
      <w:r>
        <w:t xml:space="preserve"> et devrait réunir plus de</w:t>
      </w:r>
      <w:r w:rsidR="002A7941">
        <w:t> </w:t>
      </w:r>
      <w:r>
        <w:t>10</w:t>
      </w:r>
      <w:r w:rsidR="002A7941">
        <w:t> </w:t>
      </w:r>
      <w:r>
        <w:t>000</w:t>
      </w:r>
      <w:r w:rsidR="002A7941">
        <w:t> </w:t>
      </w:r>
      <w:r>
        <w:t>participants, devenant ainsi la plus grande et la plus retentissante des manifestations technologiques qui se déroulent en Suisse. La plate-forme sur l'IA au service du bien social est devenue un outil puissant pour encourager les partenariats public</w:t>
      </w:r>
      <w:r w:rsidR="002A7941">
        <w:noBreakHyphen/>
      </w:r>
      <w:r>
        <w:t>privé, faciliter l'échange de connaissances et aider les pays en développement à parvenir à un développement durable grâce à l'application pratique de cas d'utilisation de l'IA très prometteurs.</w:t>
      </w:r>
    </w:p>
    <w:p w14:paraId="2373A116" w14:textId="028F6157" w:rsidR="00784D64" w:rsidRDefault="00784D64" w:rsidP="00D3279B">
      <w:pPr>
        <w:jc w:val="both"/>
      </w:pPr>
      <w:r>
        <w:t xml:space="preserve">Grâce aux </w:t>
      </w:r>
      <w:hyperlink r:id="rId59" w:anchor="/fr" w:history="1">
        <w:r w:rsidRPr="004F30D7">
          <w:rPr>
            <w:rStyle w:val="Hyperlink"/>
            <w:rFonts w:eastAsia="Times New Roman" w:cs="Times New Roman"/>
            <w:szCs w:val="20"/>
          </w:rPr>
          <w:t>initiatives de l</w:t>
        </w:r>
        <w:r w:rsidR="002A7941" w:rsidRPr="004F30D7">
          <w:rPr>
            <w:rStyle w:val="Hyperlink"/>
            <w:rFonts w:eastAsia="Times New Roman" w:cs="Times New Roman"/>
            <w:szCs w:val="20"/>
          </w:rPr>
          <w:t>'</w:t>
        </w:r>
        <w:r w:rsidRPr="004F30D7">
          <w:rPr>
            <w:rStyle w:val="Hyperlink"/>
            <w:rFonts w:eastAsia="Times New Roman" w:cs="Times New Roman"/>
            <w:szCs w:val="20"/>
          </w:rPr>
          <w:t>UIT sur l'</w:t>
        </w:r>
        <w:r w:rsidRPr="002A7941">
          <w:rPr>
            <w:rStyle w:val="Hyperlink"/>
            <w:rFonts w:eastAsia="Times New Roman" w:cs="Times New Roman"/>
            <w:szCs w:val="20"/>
          </w:rPr>
          <w:t>IA au service du bien social</w:t>
        </w:r>
      </w:hyperlink>
      <w:r>
        <w:t xml:space="preserve">, notamment la </w:t>
      </w:r>
      <w:hyperlink r:id="rId60" w:anchor="/fr" w:history="1">
        <w:r w:rsidRPr="002A7941">
          <w:rPr>
            <w:rStyle w:val="Hyperlink"/>
            <w:rFonts w:eastAsia="Times New Roman" w:cs="Times New Roman"/>
            <w:szCs w:val="20"/>
          </w:rPr>
          <w:t>plate-forme de réseau neuronal pour la mise en correspondance intelligente</w:t>
        </w:r>
      </w:hyperlink>
      <w:r>
        <w:t xml:space="preserve">, qui compte 43 000 membres de plus de 180 pays, le </w:t>
      </w:r>
      <w:r w:rsidR="00044C09">
        <w:t>c</w:t>
      </w:r>
      <w:r>
        <w:t>adre "</w:t>
      </w:r>
      <w:proofErr w:type="spellStart"/>
      <w:r>
        <w:t>AI4G</w:t>
      </w:r>
      <w:proofErr w:type="spellEnd"/>
      <w:r>
        <w:t xml:space="preserve"> </w:t>
      </w:r>
      <w:proofErr w:type="spellStart"/>
      <w:r>
        <w:t>Infinity</w:t>
      </w:r>
      <w:proofErr w:type="spellEnd"/>
      <w:r>
        <w:t xml:space="preserve">", le </w:t>
      </w:r>
      <w:r w:rsidR="00044C09">
        <w:t>p</w:t>
      </w:r>
      <w:r>
        <w:t>rogramme de bourses sur l</w:t>
      </w:r>
      <w:r w:rsidR="002A7941">
        <w:t>'</w:t>
      </w:r>
      <w:r>
        <w:t xml:space="preserve">IA, </w:t>
      </w:r>
      <w:r w:rsidRPr="004F30D7">
        <w:t xml:space="preserve">le </w:t>
      </w:r>
      <w:hyperlink r:id="rId61" w:anchor="/fr" w:history="1">
        <w:r w:rsidRPr="004F30D7">
          <w:rPr>
            <w:rStyle w:val="Hyperlink"/>
            <w:rFonts w:eastAsia="Times New Roman" w:cs="Times New Roman"/>
            <w:szCs w:val="20"/>
          </w:rPr>
          <w:t>concours sur les jeunes entreprises</w:t>
        </w:r>
      </w:hyperlink>
      <w:r w:rsidRPr="004F30D7">
        <w:t xml:space="preserve"> et la </w:t>
      </w:r>
      <w:hyperlink r:id="rId62" w:anchor="/fr" w:history="1">
        <w:r w:rsidRPr="004F30D7">
          <w:rPr>
            <w:rStyle w:val="Hyperlink"/>
            <w:rFonts w:eastAsia="Times New Roman" w:cs="Times New Roman"/>
            <w:szCs w:val="20"/>
          </w:rPr>
          <w:t>robotique dans le domaine de l'IA</w:t>
        </w:r>
      </w:hyperlink>
      <w:r w:rsidRPr="004F30D7">
        <w:t>, les défis en matière d'apprentissage automatique et le Journal de l'UIT, l'Union est en train de rassem</w:t>
      </w:r>
      <w:r>
        <w:t>bler des connaissances sur l'IA et des cas d'utilisation de cette technologie. L'</w:t>
      </w:r>
      <w:hyperlink r:id="rId63" w:anchor="/fr" w:history="1">
        <w:r w:rsidRPr="002A7941">
          <w:rPr>
            <w:rStyle w:val="Hyperlink"/>
            <w:rFonts w:eastAsia="Times New Roman" w:cs="Times New Roman"/>
            <w:szCs w:val="20"/>
          </w:rPr>
          <w:t>initiative IA For Good Impact</w:t>
        </w:r>
      </w:hyperlink>
      <w:r>
        <w:t xml:space="preserve"> joue un rôle crucial dans la mobilisation des ressources nécessaires pour élargir les applications de l'IA à l'échelle mondiale, afin de faire en sorte que des progrès équitables soient accomplis au regard de tous les </w:t>
      </w:r>
      <w:proofErr w:type="spellStart"/>
      <w:r>
        <w:t>ODD</w:t>
      </w:r>
      <w:proofErr w:type="spellEnd"/>
      <w:r>
        <w:t xml:space="preserve">, quelle que soit la région concernée. Ce répertoire permettra de constituer et d'alimenter une véritable mine de connaissances, afin de promouvoir le développement durable dans le droit fil des </w:t>
      </w:r>
      <w:proofErr w:type="spellStart"/>
      <w:r>
        <w:t>ODD</w:t>
      </w:r>
      <w:proofErr w:type="spellEnd"/>
      <w:r>
        <w:t>.</w:t>
      </w:r>
    </w:p>
    <w:p w14:paraId="25F7828A" w14:textId="17F4A6E7" w:rsidR="00784D64" w:rsidRDefault="00784D64" w:rsidP="00D3279B">
      <w:pPr>
        <w:jc w:val="both"/>
      </w:pPr>
      <w:r>
        <w:t xml:space="preserve">Le Forum annuel du SMSI sert de cadre multipartite permettant à la communauté des "TIC au service du développement" au sens large d'étudier les défis qui se présentent et les </w:t>
      </w:r>
      <w:r>
        <w:lastRenderedPageBreak/>
        <w:t xml:space="preserve">possibilités à saisir dans le domaine des technologies émergentes, notamment l'IA dans le contexte du développement. Plusieurs sessions, dialogues de haut niveau et ateliers dédiés à des thèmes connexes ont été organisés dans le cadre du Forum SMSI 2024, par l'UIT et d'autres partenaires au sein du système des Nations Unies. Il convient de noter que la </w:t>
      </w:r>
      <w:hyperlink r:id="rId64" w:history="1">
        <w:r w:rsidRPr="002A7941">
          <w:rPr>
            <w:rStyle w:val="Hyperlink"/>
            <w:rFonts w:eastAsia="Times New Roman" w:cs="Times New Roman"/>
            <w:szCs w:val="20"/>
          </w:rPr>
          <w:t xml:space="preserve">manifestation de haut niveau du Forum </w:t>
        </w:r>
        <w:proofErr w:type="spellStart"/>
        <w:r w:rsidRPr="002A7941">
          <w:rPr>
            <w:rStyle w:val="Hyperlink"/>
            <w:rFonts w:eastAsia="Times New Roman" w:cs="Times New Roman"/>
            <w:szCs w:val="20"/>
          </w:rPr>
          <w:t>SMSI+20</w:t>
        </w:r>
        <w:proofErr w:type="spellEnd"/>
      </w:hyperlink>
      <w:r>
        <w:t xml:space="preserve"> et le Sommet mondial sur l'intelligence artificielle au service du bien social se sont tenus la même semaine. Ainsi, diverses communautés de parties prenantes ont pu tirer parti des possibilités offertes par les deux</w:t>
      </w:r>
      <w:r w:rsidR="002A7941">
        <w:t> </w:t>
      </w:r>
      <w:r>
        <w:t>plates</w:t>
      </w:r>
      <w:r w:rsidR="002A7941">
        <w:noBreakHyphen/>
      </w:r>
      <w:r>
        <w:t>formes et mettre en avant l'importance de la collaboration multipartite dans l'exploitation des technologies émergentes au service du développement durable.</w:t>
      </w:r>
    </w:p>
    <w:p w14:paraId="2357AECB" w14:textId="2A0797A1" w:rsidR="00784D64" w:rsidRDefault="00784D64" w:rsidP="00D3279B">
      <w:pPr>
        <w:jc w:val="both"/>
      </w:pPr>
      <w:r>
        <w:t xml:space="preserve">En partenariat avec la </w:t>
      </w:r>
      <w:hyperlink r:id="rId65" w:anchor="/fr" w:history="1">
        <w:r w:rsidRPr="00362360">
          <w:rPr>
            <w:rStyle w:val="Hyperlink"/>
            <w:rFonts w:eastAsia="Times New Roman" w:cs="Times New Roman"/>
            <w:szCs w:val="20"/>
          </w:rPr>
          <w:t xml:space="preserve">Coalition pour le numérique </w:t>
        </w:r>
        <w:proofErr w:type="spellStart"/>
        <w:r w:rsidRPr="00362360">
          <w:rPr>
            <w:rStyle w:val="Hyperlink"/>
            <w:rFonts w:eastAsia="Times New Roman" w:cs="Times New Roman"/>
            <w:szCs w:val="20"/>
          </w:rPr>
          <w:t>Partner2Connect</w:t>
        </w:r>
        <w:proofErr w:type="spellEnd"/>
      </w:hyperlink>
      <w:r>
        <w:t>, l'UIT sollicite des contributions de divers secteurs pour des projets et des engagements financiers, en mettant l'accent sur l'accès aux technologies et à la connectivité grâce à l'IA et en accélérant son adoption par le renforcement des compétences et l'inclusion numérique.</w:t>
      </w:r>
    </w:p>
    <w:p w14:paraId="75D9603C" w14:textId="77777777" w:rsidR="00784D64" w:rsidRDefault="00784D64" w:rsidP="00D3279B">
      <w:pPr>
        <w:pStyle w:val="Headingb"/>
        <w:jc w:val="both"/>
      </w:pPr>
      <w:r>
        <w:t>Demande pour plus d'activités</w:t>
      </w:r>
    </w:p>
    <w:p w14:paraId="2F4DCA5F" w14:textId="77777777" w:rsidR="00784D64" w:rsidRDefault="00784D64" w:rsidP="00D3279B">
      <w:pPr>
        <w:jc w:val="both"/>
      </w:pPr>
      <w:r>
        <w:t>L'UIT traite en permanence plusieurs aspects fondamentaux de l'IA, l'accent étant mis sur les normes techniques robustes, le renforcement de capacités inclusif, l'infrastructure publique numérique résiliente et les échanges mondiaux au sujet des politiques, de la réglementation et de la recherche.</w:t>
      </w:r>
    </w:p>
    <w:p w14:paraId="565959A1" w14:textId="0050BF3A" w:rsidR="00784D64" w:rsidRDefault="00784D64" w:rsidP="00D3279B">
      <w:pPr>
        <w:jc w:val="both"/>
      </w:pPr>
      <w:r>
        <w:t>Les travaux menés par l'UIT en faveur de l'élaboration de politiques et du renforcement des capacités, ainsi que dans le cadre de l'initiative sur l'IA au service du bien social suscitent un intérêt grandissant, ce qui montre que le rôle et l'expertise de l'UIT dans ce domaine sont de plus en plus reconnus.</w:t>
      </w:r>
    </w:p>
    <w:p w14:paraId="2870DF5E" w14:textId="2B775F2B" w:rsidR="006A11AE" w:rsidRDefault="00784D64" w:rsidP="00D3279B">
      <w:pPr>
        <w:jc w:val="both"/>
      </w:pPr>
      <w:r>
        <w:t xml:space="preserve">À cet égard, le </w:t>
      </w:r>
      <w:r w:rsidR="00E67645">
        <w:t>S</w:t>
      </w:r>
      <w:r>
        <w:t xml:space="preserve">ecrétariat de l'UIT a demandé des fonds supplémentaires pour appuyer ses activités relatives à l'IA, comme indiqué dans le </w:t>
      </w:r>
      <w:hyperlink r:id="rId66" w:history="1">
        <w:r w:rsidRPr="00362360">
          <w:rPr>
            <w:rStyle w:val="Hyperlink"/>
            <w:rFonts w:eastAsia="Times New Roman" w:cs="Times New Roman"/>
            <w:szCs w:val="20"/>
          </w:rPr>
          <w:t xml:space="preserve">Document </w:t>
        </w:r>
        <w:proofErr w:type="spellStart"/>
        <w:r w:rsidRPr="00362360">
          <w:rPr>
            <w:rStyle w:val="Hyperlink"/>
            <w:rFonts w:eastAsia="Times New Roman" w:cs="Times New Roman"/>
            <w:szCs w:val="20"/>
          </w:rPr>
          <w:t>C25</w:t>
        </w:r>
        <w:proofErr w:type="spellEnd"/>
        <w:r w:rsidRPr="00362360">
          <w:rPr>
            <w:rStyle w:val="Hyperlink"/>
            <w:rFonts w:eastAsia="Times New Roman" w:cs="Times New Roman"/>
            <w:szCs w:val="20"/>
          </w:rPr>
          <w:t>/43</w:t>
        </w:r>
      </w:hyperlink>
      <w:r>
        <w:t xml:space="preserve"> du Conseil.</w:t>
      </w:r>
    </w:p>
    <w:p w14:paraId="79525CDC" w14:textId="77777777" w:rsidR="00D3279B" w:rsidRPr="00784D64" w:rsidRDefault="00D3279B" w:rsidP="00D3279B">
      <w:pPr>
        <w:jc w:val="both"/>
      </w:pPr>
    </w:p>
    <w:p w14:paraId="0D35D1F3" w14:textId="77777777" w:rsidR="00897553" w:rsidRDefault="006A11AE" w:rsidP="006A11AE">
      <w:pPr>
        <w:jc w:val="center"/>
      </w:pPr>
      <w:r>
        <w:t>______________</w:t>
      </w:r>
    </w:p>
    <w:sectPr w:rsidR="00897553" w:rsidSect="00D72F49">
      <w:headerReference w:type="even" r:id="rId67"/>
      <w:footerReference w:type="even" r:id="rId68"/>
      <w:footerReference w:type="default" r:id="rId69"/>
      <w:headerReference w:type="first" r:id="rId70"/>
      <w:footerReference w:type="first" r:id="rId7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84C12" w14:textId="77777777" w:rsidR="001705C2" w:rsidRDefault="001705C2">
      <w:r>
        <w:separator/>
      </w:r>
    </w:p>
  </w:endnote>
  <w:endnote w:type="continuationSeparator" w:id="0">
    <w:p w14:paraId="67B7F48E" w14:textId="77777777" w:rsidR="001705C2" w:rsidRDefault="0017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1AEF" w14:textId="7F1D38A1" w:rsidR="00732045" w:rsidRDefault="002D12CE">
    <w:pPr>
      <w:pStyle w:val="Footer"/>
    </w:pPr>
    <w:fldSimple w:instr=" FILENAME \p \* MERGEFORMAT ">
      <w:r>
        <w:t>P:\FRA\gDoc\SG\C25\2501230F.docx</w:t>
      </w:r>
    </w:fldSimple>
    <w:r w:rsidR="00732045">
      <w:tab/>
    </w:r>
    <w:r w:rsidR="002F1B76">
      <w:fldChar w:fldCharType="begin"/>
    </w:r>
    <w:r w:rsidR="00732045">
      <w:instrText xml:space="preserve"> savedate \@ dd.MM.yy </w:instrText>
    </w:r>
    <w:r w:rsidR="002F1B76">
      <w:fldChar w:fldCharType="separate"/>
    </w:r>
    <w:r w:rsidR="00B40C32">
      <w:t>09.06.25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0E75CAD" w14:textId="77777777" w:rsidTr="00E31DCE">
      <w:trPr>
        <w:jc w:val="center"/>
      </w:trPr>
      <w:tc>
        <w:tcPr>
          <w:tcW w:w="1803" w:type="dxa"/>
          <w:vAlign w:val="center"/>
        </w:tcPr>
        <w:p w14:paraId="59480EE0" w14:textId="62E01A0D" w:rsidR="00A51849" w:rsidRDefault="00784D64" w:rsidP="00A51849">
          <w:pPr>
            <w:pStyle w:val="Header"/>
            <w:jc w:val="left"/>
            <w:rPr>
              <w:noProof/>
            </w:rPr>
          </w:pPr>
          <w:r>
            <w:rPr>
              <w:noProof/>
            </w:rPr>
            <w:t>2501230</w:t>
          </w:r>
        </w:p>
      </w:tc>
      <w:tc>
        <w:tcPr>
          <w:tcW w:w="8261" w:type="dxa"/>
        </w:tcPr>
        <w:p w14:paraId="3C6F9D03" w14:textId="5A19F2D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784D64">
            <w:rPr>
              <w:bCs/>
            </w:rPr>
            <w:t>56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6DB117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C6F8932" w14:textId="77777777" w:rsidTr="00E31DCE">
      <w:trPr>
        <w:jc w:val="center"/>
      </w:trPr>
      <w:tc>
        <w:tcPr>
          <w:tcW w:w="1803" w:type="dxa"/>
          <w:vAlign w:val="center"/>
        </w:tcPr>
        <w:p w14:paraId="1FB12609" w14:textId="77777777" w:rsidR="00A51849" w:rsidRPr="00FC6D7D" w:rsidRDefault="00FC6D7D" w:rsidP="00A51849">
          <w:pPr>
            <w:pStyle w:val="Header"/>
            <w:jc w:val="left"/>
            <w:rPr>
              <w:noProof/>
              <w:color w:val="0563C1"/>
            </w:rPr>
          </w:pPr>
          <w:hyperlink r:id="rId1" w:history="1">
            <w:proofErr w:type="spellStart"/>
            <w:r w:rsidRPr="00FC6D7D">
              <w:rPr>
                <w:rStyle w:val="Hyperlink"/>
              </w:rPr>
              <w:t>council.itu.int</w:t>
            </w:r>
            <w:proofErr w:type="spellEnd"/>
            <w:r w:rsidRPr="00FC6D7D">
              <w:rPr>
                <w:rStyle w:val="Hyperlink"/>
              </w:rPr>
              <w:t>/2025</w:t>
            </w:r>
          </w:hyperlink>
        </w:p>
      </w:tc>
      <w:tc>
        <w:tcPr>
          <w:tcW w:w="8261" w:type="dxa"/>
        </w:tcPr>
        <w:p w14:paraId="6A0CE9BB" w14:textId="77A005CD"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784D64">
            <w:rPr>
              <w:bCs/>
            </w:rPr>
            <w:t>56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DEF09F9"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1791F" w14:textId="77777777" w:rsidR="001705C2" w:rsidRDefault="001705C2">
      <w:r>
        <w:t>____________________</w:t>
      </w:r>
    </w:p>
  </w:footnote>
  <w:footnote w:type="continuationSeparator" w:id="0">
    <w:p w14:paraId="638C737C" w14:textId="77777777" w:rsidR="001705C2" w:rsidRDefault="0017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940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7ECAED8"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005E8FAA" w14:textId="77777777" w:rsidTr="00D37B53">
      <w:trPr>
        <w:trHeight w:val="1104"/>
        <w:jc w:val="center"/>
      </w:trPr>
      <w:tc>
        <w:tcPr>
          <w:tcW w:w="5317" w:type="dxa"/>
          <w:vAlign w:val="center"/>
        </w:tcPr>
        <w:p w14:paraId="59D20B7F"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89D011E" wp14:editId="7A40B3C9">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6A0FEF5C" w14:textId="77777777" w:rsidR="00524E8D" w:rsidRDefault="00524E8D" w:rsidP="00A51849">
          <w:pPr>
            <w:pStyle w:val="Header"/>
            <w:jc w:val="right"/>
            <w:rPr>
              <w:rFonts w:ascii="Arial" w:hAnsi="Arial" w:cs="Arial"/>
              <w:b/>
              <w:bCs/>
              <w:color w:val="009CD6"/>
              <w:szCs w:val="18"/>
            </w:rPr>
          </w:pPr>
        </w:p>
      </w:tc>
    </w:tr>
  </w:tbl>
  <w:p w14:paraId="46BA2E2C"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F3E28B2" wp14:editId="2EAC061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C0CD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C2"/>
    <w:rsid w:val="000316B1"/>
    <w:rsid w:val="00044C09"/>
    <w:rsid w:val="00076A2C"/>
    <w:rsid w:val="000D0D0A"/>
    <w:rsid w:val="00103163"/>
    <w:rsid w:val="00106B19"/>
    <w:rsid w:val="001133EF"/>
    <w:rsid w:val="00115D93"/>
    <w:rsid w:val="001247A8"/>
    <w:rsid w:val="001370B2"/>
    <w:rsid w:val="001378C0"/>
    <w:rsid w:val="001705C2"/>
    <w:rsid w:val="00171E20"/>
    <w:rsid w:val="0017569F"/>
    <w:rsid w:val="0018694A"/>
    <w:rsid w:val="00194B2B"/>
    <w:rsid w:val="001A3287"/>
    <w:rsid w:val="001A6508"/>
    <w:rsid w:val="001D4C31"/>
    <w:rsid w:val="001E4D21"/>
    <w:rsid w:val="00207CD1"/>
    <w:rsid w:val="00226657"/>
    <w:rsid w:val="0022714D"/>
    <w:rsid w:val="002477A2"/>
    <w:rsid w:val="00263A51"/>
    <w:rsid w:val="00267E02"/>
    <w:rsid w:val="002A5D44"/>
    <w:rsid w:val="002A7941"/>
    <w:rsid w:val="002C3F32"/>
    <w:rsid w:val="002C4E3D"/>
    <w:rsid w:val="002D12CE"/>
    <w:rsid w:val="002E0BC4"/>
    <w:rsid w:val="002E2E75"/>
    <w:rsid w:val="002E35AB"/>
    <w:rsid w:val="002F1B76"/>
    <w:rsid w:val="0033568E"/>
    <w:rsid w:val="00355FF5"/>
    <w:rsid w:val="00361350"/>
    <w:rsid w:val="00362360"/>
    <w:rsid w:val="003747A2"/>
    <w:rsid w:val="003960D7"/>
    <w:rsid w:val="00397476"/>
    <w:rsid w:val="003C3FAE"/>
    <w:rsid w:val="004038CB"/>
    <w:rsid w:val="0040546F"/>
    <w:rsid w:val="004177BD"/>
    <w:rsid w:val="0042404A"/>
    <w:rsid w:val="0044618F"/>
    <w:rsid w:val="0046769A"/>
    <w:rsid w:val="00475FB3"/>
    <w:rsid w:val="004C37A9"/>
    <w:rsid w:val="004D1D50"/>
    <w:rsid w:val="004F259E"/>
    <w:rsid w:val="004F30D7"/>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F0A53"/>
    <w:rsid w:val="007210CD"/>
    <w:rsid w:val="00732045"/>
    <w:rsid w:val="0073275D"/>
    <w:rsid w:val="007369DB"/>
    <w:rsid w:val="0077110E"/>
    <w:rsid w:val="00784D64"/>
    <w:rsid w:val="007956C2"/>
    <w:rsid w:val="007A187E"/>
    <w:rsid w:val="007C72C2"/>
    <w:rsid w:val="007D4436"/>
    <w:rsid w:val="007D6205"/>
    <w:rsid w:val="007F257A"/>
    <w:rsid w:val="007F3665"/>
    <w:rsid w:val="00800037"/>
    <w:rsid w:val="0082299A"/>
    <w:rsid w:val="00824BE0"/>
    <w:rsid w:val="0083391C"/>
    <w:rsid w:val="00861D73"/>
    <w:rsid w:val="00882919"/>
    <w:rsid w:val="00892D22"/>
    <w:rsid w:val="00897553"/>
    <w:rsid w:val="008A4E87"/>
    <w:rsid w:val="008D1305"/>
    <w:rsid w:val="008D76E6"/>
    <w:rsid w:val="0092392D"/>
    <w:rsid w:val="0093234A"/>
    <w:rsid w:val="00956A78"/>
    <w:rsid w:val="0097363B"/>
    <w:rsid w:val="00973F53"/>
    <w:rsid w:val="009A6BAA"/>
    <w:rsid w:val="009C1937"/>
    <w:rsid w:val="009C307F"/>
    <w:rsid w:val="009C353C"/>
    <w:rsid w:val="009E7D1A"/>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40C32"/>
    <w:rsid w:val="00B51005"/>
    <w:rsid w:val="00B61619"/>
    <w:rsid w:val="00B71452"/>
    <w:rsid w:val="00BA4CE4"/>
    <w:rsid w:val="00BB4545"/>
    <w:rsid w:val="00BD5873"/>
    <w:rsid w:val="00BF4B60"/>
    <w:rsid w:val="00C049D7"/>
    <w:rsid w:val="00C04BE3"/>
    <w:rsid w:val="00C25D29"/>
    <w:rsid w:val="00C27A7C"/>
    <w:rsid w:val="00C42437"/>
    <w:rsid w:val="00CA08ED"/>
    <w:rsid w:val="00CB6A49"/>
    <w:rsid w:val="00CC6EAA"/>
    <w:rsid w:val="00CF183B"/>
    <w:rsid w:val="00D0480E"/>
    <w:rsid w:val="00D3279B"/>
    <w:rsid w:val="00D375CD"/>
    <w:rsid w:val="00D37B53"/>
    <w:rsid w:val="00D553A2"/>
    <w:rsid w:val="00D72F49"/>
    <w:rsid w:val="00D774D3"/>
    <w:rsid w:val="00D904E8"/>
    <w:rsid w:val="00DA08C3"/>
    <w:rsid w:val="00DA615C"/>
    <w:rsid w:val="00DB5A3E"/>
    <w:rsid w:val="00DC22AA"/>
    <w:rsid w:val="00DD1A99"/>
    <w:rsid w:val="00DF74DD"/>
    <w:rsid w:val="00E25AD0"/>
    <w:rsid w:val="00E4428F"/>
    <w:rsid w:val="00E47427"/>
    <w:rsid w:val="00E67645"/>
    <w:rsid w:val="00E93668"/>
    <w:rsid w:val="00E95647"/>
    <w:rsid w:val="00EB6350"/>
    <w:rsid w:val="00EC7CFD"/>
    <w:rsid w:val="00F1354D"/>
    <w:rsid w:val="00F15B57"/>
    <w:rsid w:val="00F35EF4"/>
    <w:rsid w:val="00F37FE5"/>
    <w:rsid w:val="00F427DB"/>
    <w:rsid w:val="00F52751"/>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E3569"/>
  <w15:docId w15:val="{A5A4E05E-8D1D-41FC-9E43-2355CC86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iforgood.itu.int/ai-skills-coalition/" TargetMode="External"/><Relationship Id="rId21" Type="http://schemas.openxmlformats.org/officeDocument/2006/relationships/hyperlink" Target="https://aiforgood.itu.int/event/detecting-deepfakes-and-generative-ai-standards-for-ai-watermarking-and-multimedia-authenticity/" TargetMode="External"/><Relationship Id="rId42" Type="http://schemas.openxmlformats.org/officeDocument/2006/relationships/hyperlink" Target="https://ituint.sharepoint.com/sites/AIHUB" TargetMode="External"/><Relationship Id="rId47" Type="http://schemas.openxmlformats.org/officeDocument/2006/relationships/hyperlink" Target="https://aiforgood.itu.int/summit25/programme/" TargetMode="External"/><Relationship Id="rId63" Type="http://schemas.openxmlformats.org/officeDocument/2006/relationships/hyperlink" Target="https://aiforgood.itu.int/impact-initiative/" TargetMode="External"/><Relationship Id="rId6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itu.int/en/ITU-T/extcoop/ai4resilience/Pages/default.aspx" TargetMode="External"/><Relationship Id="rId29" Type="http://schemas.openxmlformats.org/officeDocument/2006/relationships/hyperlink" Target="https://aiforgood.itu.int/about-us/geoai-challenge/" TargetMode="External"/><Relationship Id="rId11" Type="http://schemas.openxmlformats.org/officeDocument/2006/relationships/hyperlink" Target="https://docs.un.org/fr/A/RES/78/311" TargetMode="External"/><Relationship Id="rId24" Type="http://schemas.openxmlformats.org/officeDocument/2006/relationships/hyperlink" Target="https://aiforgood.itu.int/international-ai-standards-summit-programme/" TargetMode="External"/><Relationship Id="rId32" Type="http://schemas.openxmlformats.org/officeDocument/2006/relationships/hyperlink" Target="https://aiforgood.itu.int/newsroom/publications-and-reports/" TargetMode="External"/><Relationship Id="rId37" Type="http://schemas.openxmlformats.org/officeDocument/2006/relationships/hyperlink" Target="https://www.itu.int/en/ITU-D/Emergency-Telecommunications/Pages/AI-Sub-Group-EW4All-.aspx" TargetMode="External"/><Relationship Id="rId40" Type="http://schemas.openxmlformats.org/officeDocument/2006/relationships/hyperlink" Target="https://www.itu.int/en/ITU-D/Regional-Presence/AsiaPacific/Pages/Events/2024/Southeast%20Asia%20AI%20Webinar%20Series/Southeast-Asia-AI-Webinar-Series.aspx" TargetMode="External"/><Relationship Id="rId45" Type="http://schemas.openxmlformats.org/officeDocument/2006/relationships/hyperlink" Target="https://aiforgood.itu.int/summit24/programme/" TargetMode="External"/><Relationship Id="rId53" Type="http://schemas.openxmlformats.org/officeDocument/2006/relationships/hyperlink" Target="https://unsceb.org/sites/default/files/2022-09/Principles%20for%20the%20Ethical%20Use%20of%20AI%20in%20the%20UN%20System_1.pdf" TargetMode="External"/><Relationship Id="rId58" Type="http://schemas.openxmlformats.org/officeDocument/2006/relationships/hyperlink" Target="https://s41721.pcdn.co/wp-content/uploads/2021/06/S-GEN-UNACT-2023-PDF-E-Exec-Summ.pdf" TargetMode="External"/><Relationship Id="rId66" Type="http://schemas.openxmlformats.org/officeDocument/2006/relationships/hyperlink" Target="https://www.itu.int/md/S25-CL-C-0043/fr" TargetMode="External"/><Relationship Id="rId5" Type="http://schemas.openxmlformats.org/officeDocument/2006/relationships/endnotes" Target="endnotes.xml"/><Relationship Id="rId61" Type="http://schemas.openxmlformats.org/officeDocument/2006/relationships/hyperlink" Target="https://aiforgood.itu.int/about-us/innovation-factory/" TargetMode="External"/><Relationship Id="rId19" Type="http://schemas.openxmlformats.org/officeDocument/2006/relationships/hyperlink" Target="https://www.sustainableaicoalition.org/wp-content/uploads/Standardization_AI_Sustainability.pdf" TargetMode="External"/><Relationship Id="rId14" Type="http://schemas.openxmlformats.org/officeDocument/2006/relationships/hyperlink" Target="https://www.itu.int/en/ITU-T/focusgroups/ainn/Pages/default.aspx" TargetMode="External"/><Relationship Id="rId22" Type="http://schemas.openxmlformats.org/officeDocument/2006/relationships/hyperlink" Target="https://www.itu.int/pub/R-REP-SM.2542/fr" TargetMode="External"/><Relationship Id="rId27" Type="http://schemas.openxmlformats.org/officeDocument/2006/relationships/hyperlink" Target="https://aiforgood.itu.int/ai-skills-coalition/ai-courses-portfolio/" TargetMode="External"/><Relationship Id="rId30" Type="http://schemas.openxmlformats.org/officeDocument/2006/relationships/hyperlink" Target="https://aiforgood.itu.int/about-us/innovation-factory/" TargetMode="External"/><Relationship Id="rId35" Type="http://schemas.openxmlformats.org/officeDocument/2006/relationships/hyperlink" Target="https://www.itu.int/en/ITU-D/ICT-Applications/Pages/Initiatives/ITU_OSPO/About.aspx" TargetMode="External"/><Relationship Id="rId43" Type="http://schemas.openxmlformats.org/officeDocument/2006/relationships/hyperlink" Target="https://www.itu.int/hub/membership/our-members/permanent-missions-in-geneva/demystifying-digital-series/" TargetMode="External"/><Relationship Id="rId48" Type="http://schemas.openxmlformats.org/officeDocument/2006/relationships/hyperlink" Target="https://www.itu.int/dms_pub/itu-s/md/23/sg/cir/S23-SG-CIR-0031!!PDF-F.pdf" TargetMode="External"/><Relationship Id="rId56" Type="http://schemas.openxmlformats.org/officeDocument/2006/relationships/hyperlink" Target="https://unesdoc.unesco.org/in/documentViewer.xhtml?v=2.1.196&amp;id=p::usmarcdef_0000391785&amp;file=/in/rest/annotationSVC/DownloadWatermarkedAttachment/attach_import_62b78268-302b-4211-9c0b-1d7ebf2a2a3b%3F_%3D391785eng.pdf&amp;locale=en&amp;multi=true&amp;ark=/ark:/48223/pf0000391785/PDF/391785eng.pdf" TargetMode="External"/><Relationship Id="rId64" Type="http://schemas.openxmlformats.org/officeDocument/2006/relationships/hyperlink" Target="https://www.itu.int/net4/wsis/forum/2024/fr" TargetMode="External"/><Relationship Id="rId69" Type="http://schemas.openxmlformats.org/officeDocument/2006/relationships/footer" Target="footer2.xml"/><Relationship Id="rId8" Type="http://schemas.openxmlformats.org/officeDocument/2006/relationships/hyperlink" Target="https://www.itu.int/dms_pub/itu-t/opb/res/T-RES-T.101-2024-PDF-F.pdf" TargetMode="External"/><Relationship Id="rId51" Type="http://schemas.openxmlformats.org/officeDocument/2006/relationships/hyperlink" Target="https://academy.itu.int/itu-d/projects-activities/research-publications/digital-skills-toolkit"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itu.int/dms_pub/itu-t/opb/res/T-RES-T.101-2024-PDF-F.pdf" TargetMode="External"/><Relationship Id="rId17" Type="http://schemas.openxmlformats.org/officeDocument/2006/relationships/hyperlink" Target="https://www.itu.int/hub/2023/07/new-un-initiative-aims-to-step-up-ais-contribution-to-health/" TargetMode="External"/><Relationship Id="rId25" Type="http://schemas.openxmlformats.org/officeDocument/2006/relationships/hyperlink" Target="https://aiforgood.itu.int/summit25/programme/" TargetMode="External"/><Relationship Id="rId33" Type="http://schemas.openxmlformats.org/officeDocument/2006/relationships/hyperlink" Target="https://www.itu.int/metaverse/virtual-worlds/" TargetMode="External"/><Relationship Id="rId38" Type="http://schemas.openxmlformats.org/officeDocument/2006/relationships/hyperlink" Target="https://www.itu.int/fr/ITU-D/Initiatives/GIGA/Pages/default.aspx" TargetMode="External"/><Relationship Id="rId46" Type="http://schemas.openxmlformats.org/officeDocument/2006/relationships/hyperlink" Target="https://s41721.pcdn.co/wp-content/uploads/2021/06/2401225_AI_Governance_Day_2024_Report-E.pdf" TargetMode="External"/><Relationship Id="rId59" Type="http://schemas.openxmlformats.org/officeDocument/2006/relationships/hyperlink" Target="https://aiforgood.itu.int/ai-events-calendar/" TargetMode="External"/><Relationship Id="rId67" Type="http://schemas.openxmlformats.org/officeDocument/2006/relationships/header" Target="header1.xml"/><Relationship Id="rId20" Type="http://schemas.openxmlformats.org/officeDocument/2006/relationships/hyperlink" Target="https://www.itu.int/rec/T-REC-Y.Sup72-202211-I/en" TargetMode="External"/><Relationship Id="rId41" Type="http://schemas.openxmlformats.org/officeDocument/2006/relationships/hyperlink" Target="https://academy.itu.int/" TargetMode="External"/><Relationship Id="rId54" Type="http://schemas.openxmlformats.org/officeDocument/2006/relationships/hyperlink" Target="https://unsceb.org/sites/default/files/2024-04/United%20Nations%20System%20White%20Paper%20on%20AI%20Governance.pdf" TargetMode="External"/><Relationship Id="rId62" Type="http://schemas.openxmlformats.org/officeDocument/2006/relationships/hyperlink" Target="https://aiforgood.itu.int/robotics-for-good-youth-challenge/"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md/S25-CL-C-0043/fr" TargetMode="External"/><Relationship Id="rId15" Type="http://schemas.openxmlformats.org/officeDocument/2006/relationships/hyperlink" Target="https://www.itu.int/en/publications/Documents/tsb/2024-U4SSC-Guiding-principles-artificial-intelligence-in-cities/files/downloads/2301175_U4SSC%20_Guiding-principles-artificial-intelligence-in-cities.pdf" TargetMode="External"/><Relationship Id="rId23" Type="http://schemas.openxmlformats.org/officeDocument/2006/relationships/hyperlink" Target="https://extranet.itu.int/rsg-meetings/sg3/wp3j/cg3j3k3l3m27/_layouts/15/AccessDenied.aspx?Source=https%3A%2F%2Fextranet%2Eitu%2Eint%2Frsg%2Dmeetings%2Fsg3%2Fwp3j%2Fcg3j3k3l3m27%2FSitePages%2FHome%2Easpx&amp;correlation=0f59a6a1%2D9efa%2D60f3%2D709d%2D1fae413eb609&amp;Type=item&amp;name=beb67e83%2Dc1dd%2D4fce%2Db674%2Db8c11d3ee976&amp;listItemId=1" TargetMode="External"/><Relationship Id="rId28" Type="http://schemas.openxmlformats.org/officeDocument/2006/relationships/hyperlink" Target="https://aiforgood.itu.int/young-ai-leaders-community/" TargetMode="External"/><Relationship Id="rId36" Type="http://schemas.openxmlformats.org/officeDocument/2006/relationships/hyperlink" Target="https://earlywarningsforall.org/fr/node/22533" TargetMode="External"/><Relationship Id="rId49" Type="http://schemas.openxmlformats.org/officeDocument/2006/relationships/hyperlink" Target="https://www.itu.int/itu-d/meetings/gsr-24/" TargetMode="External"/><Relationship Id="rId57" Type="http://schemas.openxmlformats.org/officeDocument/2006/relationships/hyperlink" Target="https://unsceb.org/sites/default/files/2024-12/CEB.2024.6%20-%20HLCP%2048th%20Session%20Final%20Report.pdf" TargetMode="External"/><Relationship Id="rId10" Type="http://schemas.openxmlformats.org/officeDocument/2006/relationships/hyperlink" Target="https://docs.un.org/fr/A/RES/78/265" TargetMode="External"/><Relationship Id="rId31" Type="http://schemas.openxmlformats.org/officeDocument/2006/relationships/hyperlink" Target="https://aiforgood.itu.int/robotics-for-good-youth-challenge/" TargetMode="External"/><Relationship Id="rId44" Type="http://schemas.openxmlformats.org/officeDocument/2006/relationships/hyperlink" Target="https://www.itu.int/md/S25-CL-C-0055/fr" TargetMode="External"/><Relationship Id="rId52" Type="http://schemas.openxmlformats.org/officeDocument/2006/relationships/hyperlink" Target="https://unsceb.org/inter-agency-working-group-artificial-intelligence" TargetMode="External"/><Relationship Id="rId60" Type="http://schemas.openxmlformats.org/officeDocument/2006/relationships/hyperlink" Target="https://aiforgood.itu.int/neural-network/" TargetMode="External"/><Relationship Id="rId65" Type="http://schemas.openxmlformats.org/officeDocument/2006/relationships/hyperlink" Target="https://www.itu.int/partner2connect/"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en/council/Documents/basic-texts-2023/RES-214-F.pdf" TargetMode="External"/><Relationship Id="rId13" Type="http://schemas.openxmlformats.org/officeDocument/2006/relationships/hyperlink" Target="https://unsceb.org/inter-agency-working-group-artificial-intelligence" TargetMode="External"/><Relationship Id="rId18" Type="http://schemas.openxmlformats.org/officeDocument/2006/relationships/hyperlink" Target="https://www.itu.int/dms_pub/itu-t/opb/env/T-ENV-ENV-2024-1-PDF-E.pdf" TargetMode="External"/><Relationship Id="rId39" Type="http://schemas.openxmlformats.org/officeDocument/2006/relationships/hyperlink" Target="https://www.itu.int/women-and-girls/women-in-ict/ai-skills-accelerator-for-girls/" TargetMode="External"/><Relationship Id="rId34" Type="http://schemas.openxmlformats.org/officeDocument/2006/relationships/hyperlink" Target="https://www.sustainableaicoalition.org/" TargetMode="External"/><Relationship Id="rId50" Type="http://schemas.openxmlformats.org/officeDocument/2006/relationships/hyperlink" Target="https://www.itu.int/itu-d/meetings/digital-skills-forum/" TargetMode="External"/><Relationship Id="rId55" Type="http://schemas.openxmlformats.org/officeDocument/2006/relationships/hyperlink" Target="https://www.itu.int/dms_pub/itu-t/opb/res/T-RES-T.101-2024-PDF-F.pdf" TargetMode="External"/><Relationship Id="rId7" Type="http://schemas.openxmlformats.org/officeDocument/2006/relationships/hyperlink" Target="https://www.itu.int/en/council/Documents/basic-texts-2023/RES-214-F.pdf" TargetMode="External"/><Relationship Id="rId7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2</TotalTime>
  <Pages>8</Pages>
  <Words>3822</Words>
  <Characters>21086</Characters>
  <Application>Microsoft Office Word</Application>
  <DocSecurity>0</DocSecurity>
  <Lines>317</Lines>
  <Paragraphs>73</Paragraphs>
  <ScaleCrop>false</ScaleCrop>
  <HeadingPairs>
    <vt:vector size="2" baseType="variant">
      <vt:variant>
        <vt:lpstr>Title</vt:lpstr>
      </vt:variant>
      <vt:variant>
        <vt:i4>1</vt:i4>
      </vt:variant>
    </vt:vector>
  </HeadingPairs>
  <TitlesOfParts>
    <vt:vector size="1" baseType="lpstr">
      <vt:lpstr>Rapport sur la Résolution 214 (Bucarest, 2022) de la Conférence de plénipotentiaires – Technologies d'intelligence artificielle et télécommunications/technologies de l'information et de la communication</vt:lpstr>
    </vt:vector>
  </TitlesOfParts>
  <Manager>Secrétariat général - Pool</Manager>
  <Company>Union internationale des télécommunications (UIT)</Company>
  <LinksUpToDate>false</LinksUpToDate>
  <CharactersWithSpaces>24849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Résolution 214 (Bucarest, 2022) de la Conférence de plénipotentiaires – Technologies d'intelligence artificielle et télécommunications/technologies de l'information et de la communication</dc:title>
  <dc:subject>Conseil 2025 de l'UIT</dc:subject>
  <cp:keywords>C2025, C25, Council-25</cp:keywords>
  <dc:description/>
  <cp:lastPrinted>2000-07-18T08:55:00Z</cp:lastPrinted>
  <dcterms:created xsi:type="dcterms:W3CDTF">2025-06-12T14:38:00Z</dcterms:created>
  <dcterms:modified xsi:type="dcterms:W3CDTF">2025-06-12T14:40:00Z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