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2A40A3" w:rsidRPr="00BB6FD8" w14:paraId="774C99E9" w14:textId="77777777" w:rsidTr="00C538FC">
        <w:trPr>
          <w:cantSplit/>
          <w:trHeight w:val="23"/>
        </w:trPr>
        <w:tc>
          <w:tcPr>
            <w:tcW w:w="3969" w:type="dxa"/>
            <w:vMerge w:val="restart"/>
            <w:tcMar>
              <w:left w:w="0" w:type="dxa"/>
            </w:tcMar>
          </w:tcPr>
          <w:p w14:paraId="7DFD6121" w14:textId="2AB5BDBD" w:rsidR="002A40A3" w:rsidRPr="00BB6FD8" w:rsidRDefault="002A40A3" w:rsidP="002A40A3">
            <w:pPr>
              <w:tabs>
                <w:tab w:val="left" w:pos="851"/>
              </w:tabs>
              <w:spacing w:before="0" w:line="240" w:lineRule="atLeast"/>
              <w:rPr>
                <w:b/>
              </w:rPr>
            </w:pPr>
            <w:bookmarkStart w:id="0" w:name="_Hlk133421839"/>
            <w:r>
              <w:rPr>
                <w:b/>
              </w:rPr>
              <w:t>Punto del o</w:t>
            </w:r>
            <w:r w:rsidRPr="00BB6FD8">
              <w:rPr>
                <w:b/>
              </w:rPr>
              <w:t xml:space="preserve">rden del día: </w:t>
            </w:r>
            <w:r w:rsidRPr="00316863">
              <w:rPr>
                <w:b/>
                <w:bCs/>
                <w:color w:val="000000"/>
                <w:lang w:val="es-ES"/>
              </w:rPr>
              <w:t>PL.1</w:t>
            </w:r>
          </w:p>
        </w:tc>
        <w:tc>
          <w:tcPr>
            <w:tcW w:w="5245" w:type="dxa"/>
          </w:tcPr>
          <w:p w14:paraId="7C84375B" w14:textId="4CF75CA1" w:rsidR="002A40A3" w:rsidRPr="00BB6FD8" w:rsidRDefault="002A40A3" w:rsidP="002A40A3">
            <w:pPr>
              <w:tabs>
                <w:tab w:val="left" w:pos="851"/>
              </w:tabs>
              <w:spacing w:before="0" w:line="240" w:lineRule="atLeast"/>
              <w:jc w:val="right"/>
              <w:rPr>
                <w:b/>
              </w:rPr>
            </w:pPr>
            <w:r w:rsidRPr="00316863">
              <w:rPr>
                <w:b/>
                <w:bCs/>
                <w:color w:val="000000"/>
                <w:lang w:val="es-ES"/>
              </w:rPr>
              <w:t>Documento C25/55-S</w:t>
            </w:r>
          </w:p>
        </w:tc>
      </w:tr>
      <w:tr w:rsidR="002A40A3" w:rsidRPr="00666D09" w14:paraId="4A88C8E9" w14:textId="77777777" w:rsidTr="00C538FC">
        <w:trPr>
          <w:cantSplit/>
        </w:trPr>
        <w:tc>
          <w:tcPr>
            <w:tcW w:w="3969" w:type="dxa"/>
            <w:vMerge/>
          </w:tcPr>
          <w:p w14:paraId="50B98996" w14:textId="77777777" w:rsidR="002A40A3" w:rsidRPr="00BB6FD8" w:rsidRDefault="002A40A3" w:rsidP="002A40A3">
            <w:pPr>
              <w:tabs>
                <w:tab w:val="left" w:pos="851"/>
              </w:tabs>
              <w:spacing w:line="240" w:lineRule="atLeast"/>
              <w:rPr>
                <w:b/>
              </w:rPr>
            </w:pPr>
          </w:p>
        </w:tc>
        <w:tc>
          <w:tcPr>
            <w:tcW w:w="5245" w:type="dxa"/>
          </w:tcPr>
          <w:p w14:paraId="78E028C3" w14:textId="386A03C1" w:rsidR="002A40A3" w:rsidRPr="00666D09" w:rsidRDefault="002A40A3" w:rsidP="002A40A3">
            <w:pPr>
              <w:tabs>
                <w:tab w:val="left" w:pos="851"/>
              </w:tabs>
              <w:spacing w:before="0"/>
              <w:jc w:val="right"/>
              <w:rPr>
                <w:b/>
                <w:lang w:val="en-GB"/>
              </w:rPr>
            </w:pPr>
            <w:r w:rsidRPr="00316863">
              <w:rPr>
                <w:b/>
                <w:bCs/>
                <w:color w:val="000000"/>
                <w:lang w:val="es-ES"/>
              </w:rPr>
              <w:t>19 de mayo de 2025</w:t>
            </w:r>
          </w:p>
        </w:tc>
      </w:tr>
      <w:tr w:rsidR="002A40A3" w:rsidRPr="00BB6FD8" w14:paraId="1C077E42" w14:textId="77777777" w:rsidTr="00C538FC">
        <w:trPr>
          <w:cantSplit/>
          <w:trHeight w:val="23"/>
        </w:trPr>
        <w:tc>
          <w:tcPr>
            <w:tcW w:w="3969" w:type="dxa"/>
            <w:vMerge/>
          </w:tcPr>
          <w:p w14:paraId="7C906716" w14:textId="77777777" w:rsidR="002A40A3" w:rsidRPr="00666D09" w:rsidRDefault="002A40A3" w:rsidP="002A40A3">
            <w:pPr>
              <w:tabs>
                <w:tab w:val="left" w:pos="851"/>
              </w:tabs>
              <w:spacing w:line="240" w:lineRule="atLeast"/>
              <w:rPr>
                <w:b/>
                <w:lang w:val="en-GB"/>
              </w:rPr>
            </w:pPr>
          </w:p>
        </w:tc>
        <w:tc>
          <w:tcPr>
            <w:tcW w:w="5245" w:type="dxa"/>
          </w:tcPr>
          <w:p w14:paraId="4ACFAC08" w14:textId="7723C46D" w:rsidR="002A40A3" w:rsidRPr="00BB6FD8" w:rsidRDefault="002A40A3" w:rsidP="002A40A3">
            <w:pPr>
              <w:tabs>
                <w:tab w:val="left" w:pos="851"/>
              </w:tabs>
              <w:spacing w:before="0" w:line="240" w:lineRule="atLeast"/>
              <w:jc w:val="right"/>
              <w:rPr>
                <w:b/>
                <w:bCs/>
              </w:rPr>
            </w:pPr>
            <w:r w:rsidRPr="00316863">
              <w:rPr>
                <w:b/>
                <w:bCs/>
                <w:color w:val="000000"/>
                <w:lang w:val="es-ES"/>
              </w:rPr>
              <w:t>Original: inglés</w:t>
            </w:r>
          </w:p>
        </w:tc>
      </w:tr>
      <w:tr w:rsidR="00FE57F6" w:rsidRPr="00BB6FD8" w14:paraId="20D942F2" w14:textId="77777777" w:rsidTr="00C538FC">
        <w:trPr>
          <w:cantSplit/>
          <w:trHeight w:val="23"/>
        </w:trPr>
        <w:tc>
          <w:tcPr>
            <w:tcW w:w="3969" w:type="dxa"/>
          </w:tcPr>
          <w:p w14:paraId="66836B2A" w14:textId="77777777" w:rsidR="00FE57F6" w:rsidRPr="00BB6FD8" w:rsidRDefault="00FE57F6" w:rsidP="00C538FC">
            <w:pPr>
              <w:tabs>
                <w:tab w:val="left" w:pos="851"/>
              </w:tabs>
              <w:spacing w:line="240" w:lineRule="atLeast"/>
              <w:rPr>
                <w:b/>
              </w:rPr>
            </w:pPr>
          </w:p>
        </w:tc>
        <w:tc>
          <w:tcPr>
            <w:tcW w:w="5245" w:type="dxa"/>
          </w:tcPr>
          <w:p w14:paraId="5AB30525" w14:textId="77777777" w:rsidR="00FE57F6" w:rsidRPr="00BB6FD8" w:rsidRDefault="00FE57F6" w:rsidP="00C538FC">
            <w:pPr>
              <w:tabs>
                <w:tab w:val="left" w:pos="851"/>
              </w:tabs>
              <w:spacing w:before="0" w:line="240" w:lineRule="atLeast"/>
              <w:jc w:val="right"/>
              <w:rPr>
                <w:b/>
              </w:rPr>
            </w:pPr>
          </w:p>
        </w:tc>
      </w:tr>
      <w:tr w:rsidR="00FE57F6" w:rsidRPr="00BB6FD8" w14:paraId="31A73AEE" w14:textId="77777777" w:rsidTr="00C538FC">
        <w:trPr>
          <w:cantSplit/>
        </w:trPr>
        <w:tc>
          <w:tcPr>
            <w:tcW w:w="9214" w:type="dxa"/>
            <w:gridSpan w:val="2"/>
            <w:tcMar>
              <w:left w:w="0" w:type="dxa"/>
            </w:tcMar>
          </w:tcPr>
          <w:p w14:paraId="49EA03F9" w14:textId="77777777" w:rsidR="00FE57F6" w:rsidRPr="00BB6FD8" w:rsidRDefault="00157AC4" w:rsidP="00C538FC">
            <w:pPr>
              <w:pStyle w:val="Source"/>
              <w:jc w:val="left"/>
              <w:rPr>
                <w:sz w:val="34"/>
                <w:szCs w:val="34"/>
              </w:rPr>
            </w:pPr>
            <w:r>
              <w:rPr>
                <w:rFonts w:cstheme="minorHAnsi"/>
                <w:sz w:val="34"/>
                <w:szCs w:val="34"/>
              </w:rPr>
              <w:t>Informe de la Secretaria General</w:t>
            </w:r>
          </w:p>
        </w:tc>
      </w:tr>
      <w:tr w:rsidR="00FE57F6" w:rsidRPr="00BB6FD8" w14:paraId="63AEC4D6" w14:textId="77777777" w:rsidTr="00C538FC">
        <w:trPr>
          <w:cantSplit/>
        </w:trPr>
        <w:tc>
          <w:tcPr>
            <w:tcW w:w="9214" w:type="dxa"/>
            <w:gridSpan w:val="2"/>
            <w:tcMar>
              <w:left w:w="0" w:type="dxa"/>
            </w:tcMar>
          </w:tcPr>
          <w:p w14:paraId="778C7D45" w14:textId="500D40AB" w:rsidR="00FE57F6" w:rsidRPr="00F92BED" w:rsidRDefault="002A40A3" w:rsidP="00F92BED">
            <w:pPr>
              <w:pStyle w:val="Subtitle"/>
              <w:framePr w:hSpace="0" w:wrap="auto" w:vAnchor="margin" w:hAnchor="text" w:xAlign="left" w:yAlign="inline"/>
            </w:pPr>
            <w:r w:rsidRPr="00316863">
              <w:rPr>
                <w:color w:val="000000"/>
                <w:lang w:val="es-ES"/>
              </w:rPr>
              <w:t>NOVEDADES SOBRE LA HOJA DE RUTA Y EL PROCESO DE LA TRANSFORMACIÓN DE LA UIT</w:t>
            </w:r>
          </w:p>
        </w:tc>
      </w:tr>
      <w:tr w:rsidR="00FE57F6" w:rsidRPr="00BB6FD8" w14:paraId="6096B1A4" w14:textId="77777777" w:rsidTr="00C538FC">
        <w:trPr>
          <w:cantSplit/>
        </w:trPr>
        <w:tc>
          <w:tcPr>
            <w:tcW w:w="9214" w:type="dxa"/>
            <w:gridSpan w:val="2"/>
            <w:tcBorders>
              <w:top w:val="single" w:sz="4" w:space="0" w:color="auto"/>
              <w:bottom w:val="single" w:sz="4" w:space="0" w:color="auto"/>
            </w:tcBorders>
            <w:tcMar>
              <w:left w:w="0" w:type="dxa"/>
            </w:tcMar>
          </w:tcPr>
          <w:p w14:paraId="42C240D9" w14:textId="77777777" w:rsidR="00FE57F6" w:rsidRPr="00BB6FD8" w:rsidRDefault="00F24B71" w:rsidP="00B0749F">
            <w:pPr>
              <w:spacing w:before="160"/>
              <w:jc w:val="both"/>
              <w:rPr>
                <w:b/>
                <w:bCs/>
                <w:sz w:val="26"/>
                <w:szCs w:val="26"/>
              </w:rPr>
            </w:pPr>
            <w:r w:rsidRPr="00BB6FD8">
              <w:rPr>
                <w:b/>
                <w:bCs/>
                <w:sz w:val="26"/>
                <w:szCs w:val="26"/>
              </w:rPr>
              <w:t>Finalidad</w:t>
            </w:r>
          </w:p>
          <w:p w14:paraId="493CFFF9" w14:textId="77777777" w:rsidR="002A40A3" w:rsidRPr="00316863" w:rsidRDefault="002A40A3" w:rsidP="00B0749F">
            <w:pPr>
              <w:jc w:val="both"/>
              <w:rPr>
                <w:lang w:val="es-ES"/>
              </w:rPr>
            </w:pPr>
            <w:r w:rsidRPr="00316863">
              <w:rPr>
                <w:color w:val="000000"/>
                <w:lang w:val="es-ES"/>
              </w:rPr>
              <w:t>En este documento se informa sobre el estado del proceso de la Transformación para lograr la excelencia institucional.</w:t>
            </w:r>
          </w:p>
          <w:p w14:paraId="4CDB0151" w14:textId="77777777" w:rsidR="00FE57F6" w:rsidRPr="00BB6FD8" w:rsidRDefault="00F24B71" w:rsidP="00B0749F">
            <w:pPr>
              <w:spacing w:before="160"/>
              <w:jc w:val="both"/>
              <w:rPr>
                <w:b/>
                <w:bCs/>
                <w:sz w:val="26"/>
                <w:szCs w:val="26"/>
              </w:rPr>
            </w:pPr>
            <w:r w:rsidRPr="00BB6FD8">
              <w:rPr>
                <w:b/>
                <w:bCs/>
                <w:sz w:val="26"/>
                <w:szCs w:val="26"/>
              </w:rPr>
              <w:t xml:space="preserve">Acción solicitada </w:t>
            </w:r>
            <w:r w:rsidR="00677A97" w:rsidRPr="00BB6FD8">
              <w:rPr>
                <w:b/>
                <w:bCs/>
                <w:sz w:val="26"/>
                <w:szCs w:val="26"/>
              </w:rPr>
              <w:t>al</w:t>
            </w:r>
            <w:r w:rsidRPr="00BB6FD8">
              <w:rPr>
                <w:b/>
                <w:bCs/>
                <w:sz w:val="26"/>
                <w:szCs w:val="26"/>
              </w:rPr>
              <w:t xml:space="preserve"> Consejo</w:t>
            </w:r>
          </w:p>
          <w:p w14:paraId="74746151" w14:textId="494458D1" w:rsidR="002A40A3" w:rsidRDefault="002A40A3" w:rsidP="00B0749F">
            <w:pPr>
              <w:spacing w:before="160"/>
              <w:jc w:val="both"/>
              <w:rPr>
                <w:color w:val="000000"/>
                <w:lang w:val="es-ES"/>
              </w:rPr>
            </w:pPr>
            <w:r w:rsidRPr="00316863">
              <w:rPr>
                <w:color w:val="000000"/>
                <w:lang w:val="es-ES"/>
              </w:rPr>
              <w:t xml:space="preserve">Se invita al Consejo a </w:t>
            </w:r>
            <w:r w:rsidRPr="00316863">
              <w:rPr>
                <w:b/>
                <w:bCs/>
                <w:color w:val="000000"/>
                <w:lang w:val="es-ES"/>
              </w:rPr>
              <w:t xml:space="preserve">tomar nota </w:t>
            </w:r>
            <w:r w:rsidRPr="00316863">
              <w:rPr>
                <w:color w:val="000000"/>
                <w:lang w:val="es-ES"/>
              </w:rPr>
              <w:t>de los progresos realizados hasta la fecha.</w:t>
            </w:r>
          </w:p>
          <w:p w14:paraId="6F9A922D" w14:textId="5354BA1A" w:rsidR="00F92BED" w:rsidRPr="00F24B71" w:rsidRDefault="00F92BED" w:rsidP="00B0749F">
            <w:pPr>
              <w:spacing w:before="160"/>
              <w:jc w:val="both"/>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6D37E7CB" w14:textId="1EF7931E" w:rsidR="002A40A3" w:rsidRPr="002A40A3" w:rsidRDefault="002A40A3" w:rsidP="00B0749F">
            <w:pPr>
              <w:jc w:val="both"/>
              <w:rPr>
                <w:lang w:val="es-ES"/>
              </w:rPr>
            </w:pPr>
            <w:r w:rsidRPr="00316863">
              <w:rPr>
                <w:color w:val="000000"/>
                <w:lang w:val="es-ES"/>
              </w:rPr>
              <w:t>Excelencia en materia de recursos humanos e innovación institucional.</w:t>
            </w:r>
          </w:p>
          <w:p w14:paraId="06D77287" w14:textId="40C55418" w:rsidR="00F92BED" w:rsidRDefault="00F92BED" w:rsidP="00B0749F">
            <w:pPr>
              <w:spacing w:before="160"/>
              <w:jc w:val="both"/>
              <w:rPr>
                <w:b/>
                <w:bCs/>
                <w:sz w:val="26"/>
                <w:szCs w:val="26"/>
              </w:rPr>
            </w:pPr>
            <w:r w:rsidRPr="00F24B71">
              <w:rPr>
                <w:b/>
                <w:bCs/>
                <w:sz w:val="26"/>
                <w:szCs w:val="26"/>
              </w:rPr>
              <w:t>Repercusiones financieras</w:t>
            </w:r>
          </w:p>
          <w:p w14:paraId="071F16E0" w14:textId="05DCE419" w:rsidR="002A40A3" w:rsidRDefault="002A40A3" w:rsidP="00B0749F">
            <w:pPr>
              <w:spacing w:before="160"/>
              <w:jc w:val="both"/>
              <w:rPr>
                <w:color w:val="000000"/>
                <w:lang w:val="es-ES"/>
              </w:rPr>
            </w:pPr>
            <w:r w:rsidRPr="00316863">
              <w:rPr>
                <w:color w:val="000000"/>
                <w:lang w:val="es-ES"/>
              </w:rPr>
              <w:t xml:space="preserve">Los recursos financieros o humanos adicionales necesarios para cumplir los objetivos de este programa se proponen en el Documento </w:t>
            </w:r>
            <w:hyperlink r:id="rId7">
              <w:r w:rsidRPr="00316863">
                <w:rPr>
                  <w:rStyle w:val="Hyperlink"/>
                  <w:lang w:val="es-ES"/>
                </w:rPr>
                <w:t>C25/43</w:t>
              </w:r>
            </w:hyperlink>
            <w:r w:rsidRPr="00316863">
              <w:rPr>
                <w:color w:val="000000"/>
                <w:lang w:val="es-ES"/>
              </w:rPr>
              <w:t>.</w:t>
            </w:r>
          </w:p>
          <w:p w14:paraId="583EBB26" w14:textId="77B8C9B5" w:rsidR="00FE57F6" w:rsidRPr="00BB6FD8" w:rsidRDefault="00FE57F6" w:rsidP="00C538FC">
            <w:pPr>
              <w:spacing w:before="160"/>
              <w:rPr>
                <w:caps/>
                <w:sz w:val="22"/>
              </w:rPr>
            </w:pPr>
            <w:r w:rsidRPr="00BB6FD8">
              <w:rPr>
                <w:sz w:val="22"/>
              </w:rPr>
              <w:t>__________________</w:t>
            </w:r>
          </w:p>
          <w:p w14:paraId="799E7BEA" w14:textId="77777777" w:rsidR="00FE57F6" w:rsidRPr="00BB6FD8" w:rsidRDefault="00F24B71" w:rsidP="00B0749F">
            <w:pPr>
              <w:spacing w:before="160"/>
              <w:jc w:val="both"/>
              <w:rPr>
                <w:b/>
                <w:bCs/>
                <w:sz w:val="26"/>
                <w:szCs w:val="26"/>
              </w:rPr>
            </w:pPr>
            <w:r w:rsidRPr="00BB6FD8">
              <w:rPr>
                <w:b/>
                <w:bCs/>
                <w:sz w:val="26"/>
                <w:szCs w:val="26"/>
              </w:rPr>
              <w:t>Referencia</w:t>
            </w:r>
            <w:r w:rsidR="00F92BED">
              <w:rPr>
                <w:b/>
                <w:bCs/>
                <w:sz w:val="26"/>
                <w:szCs w:val="26"/>
              </w:rPr>
              <w:t>s</w:t>
            </w:r>
            <w:r w:rsidR="00D375E0" w:rsidRPr="00BB6FD8">
              <w:rPr>
                <w:sz w:val="26"/>
                <w:szCs w:val="26"/>
              </w:rPr>
              <w:t xml:space="preserve"> </w:t>
            </w:r>
          </w:p>
          <w:p w14:paraId="5004BB6A" w14:textId="766D81FB" w:rsidR="00FE57F6" w:rsidRPr="009C2224" w:rsidRDefault="002A40A3" w:rsidP="00B0749F">
            <w:pPr>
              <w:spacing w:after="160"/>
              <w:jc w:val="both"/>
              <w:rPr>
                <w:i/>
                <w:iCs/>
                <w:sz w:val="22"/>
                <w:szCs w:val="22"/>
              </w:rPr>
            </w:pPr>
            <w:r w:rsidRPr="009C2224">
              <w:rPr>
                <w:i/>
                <w:iCs/>
                <w:color w:val="000000"/>
                <w:sz w:val="22"/>
                <w:szCs w:val="22"/>
                <w:lang w:val="es-ES"/>
              </w:rPr>
              <w:t xml:space="preserve">Documentos </w:t>
            </w:r>
            <w:hyperlink r:id="rId8" w:history="1">
              <w:r w:rsidRPr="009C2224">
                <w:rPr>
                  <w:rStyle w:val="Hyperlink"/>
                  <w:i/>
                  <w:iCs/>
                  <w:sz w:val="22"/>
                  <w:szCs w:val="22"/>
                  <w:lang w:val="es-ES"/>
                </w:rPr>
                <w:t>C20/61</w:t>
              </w:r>
            </w:hyperlink>
            <w:r w:rsidRPr="009C2224">
              <w:rPr>
                <w:i/>
                <w:iCs/>
                <w:sz w:val="22"/>
                <w:szCs w:val="22"/>
                <w:lang w:val="es-ES"/>
              </w:rPr>
              <w:t xml:space="preserve">, </w:t>
            </w:r>
            <w:hyperlink r:id="rId9" w:history="1">
              <w:r w:rsidRPr="009C2224">
                <w:rPr>
                  <w:rStyle w:val="Hyperlink"/>
                  <w:i/>
                  <w:iCs/>
                  <w:sz w:val="22"/>
                  <w:szCs w:val="22"/>
                  <w:lang w:val="es-ES"/>
                </w:rPr>
                <w:t>C20/74</w:t>
              </w:r>
            </w:hyperlink>
            <w:r w:rsidRPr="009C2224">
              <w:rPr>
                <w:i/>
                <w:iCs/>
                <w:sz w:val="22"/>
                <w:szCs w:val="22"/>
                <w:lang w:val="es-ES"/>
              </w:rPr>
              <w:t xml:space="preserve">, </w:t>
            </w:r>
            <w:hyperlink r:id="rId10" w:history="1">
              <w:r w:rsidRPr="009C2224">
                <w:rPr>
                  <w:rStyle w:val="Hyperlink"/>
                  <w:i/>
                  <w:iCs/>
                  <w:sz w:val="22"/>
                  <w:szCs w:val="22"/>
                  <w:lang w:val="es-ES"/>
                </w:rPr>
                <w:t>C21/INF/15</w:t>
              </w:r>
            </w:hyperlink>
            <w:r w:rsidRPr="009C2224">
              <w:rPr>
                <w:i/>
                <w:iCs/>
                <w:sz w:val="22"/>
                <w:szCs w:val="22"/>
                <w:lang w:val="es-ES"/>
              </w:rPr>
              <w:t xml:space="preserve">, </w:t>
            </w:r>
            <w:hyperlink r:id="rId11" w:history="1">
              <w:r w:rsidRPr="009C2224">
                <w:rPr>
                  <w:rStyle w:val="Hyperlink"/>
                  <w:i/>
                  <w:iCs/>
                  <w:sz w:val="22"/>
                  <w:szCs w:val="22"/>
                  <w:lang w:val="es-ES"/>
                </w:rPr>
                <w:t>C22/INF/13</w:t>
              </w:r>
            </w:hyperlink>
            <w:r w:rsidRPr="009C2224">
              <w:rPr>
                <w:i/>
                <w:iCs/>
                <w:sz w:val="22"/>
                <w:szCs w:val="22"/>
                <w:lang w:val="es-ES"/>
              </w:rPr>
              <w:t xml:space="preserve">, </w:t>
            </w:r>
            <w:hyperlink r:id="rId12" w:history="1">
              <w:r w:rsidRPr="009C2224">
                <w:rPr>
                  <w:rStyle w:val="Hyperlink"/>
                  <w:i/>
                  <w:iCs/>
                  <w:sz w:val="22"/>
                  <w:szCs w:val="22"/>
                  <w:lang w:val="es-ES"/>
                </w:rPr>
                <w:t>C22/40</w:t>
              </w:r>
            </w:hyperlink>
            <w:r w:rsidRPr="009C2224">
              <w:rPr>
                <w:i/>
                <w:iCs/>
                <w:sz w:val="22"/>
                <w:szCs w:val="22"/>
                <w:lang w:val="es-ES"/>
              </w:rPr>
              <w:t xml:space="preserve">, </w:t>
            </w:r>
            <w:hyperlink r:id="rId13" w:history="1">
              <w:r w:rsidRPr="009C2224">
                <w:rPr>
                  <w:rStyle w:val="Hyperlink"/>
                  <w:i/>
                  <w:iCs/>
                  <w:sz w:val="22"/>
                  <w:szCs w:val="22"/>
                  <w:lang w:val="es-ES"/>
                </w:rPr>
                <w:t>C22/57</w:t>
              </w:r>
            </w:hyperlink>
            <w:r w:rsidRPr="009C2224">
              <w:rPr>
                <w:i/>
                <w:iCs/>
                <w:sz w:val="22"/>
                <w:szCs w:val="22"/>
                <w:lang w:val="es-ES"/>
              </w:rPr>
              <w:t xml:space="preserve">, </w:t>
            </w:r>
            <w:hyperlink r:id="rId14" w:history="1">
              <w:r w:rsidRPr="009C2224">
                <w:rPr>
                  <w:rStyle w:val="Hyperlink"/>
                  <w:i/>
                  <w:iCs/>
                  <w:sz w:val="22"/>
                  <w:szCs w:val="22"/>
                  <w:lang w:val="es-ES"/>
                </w:rPr>
                <w:t>C23/36</w:t>
              </w:r>
            </w:hyperlink>
            <w:r w:rsidRPr="009C2224">
              <w:rPr>
                <w:i/>
                <w:iCs/>
                <w:sz w:val="22"/>
                <w:szCs w:val="22"/>
                <w:lang w:val="es-ES"/>
              </w:rPr>
              <w:t xml:space="preserve">, </w:t>
            </w:r>
            <w:hyperlink r:id="rId15" w:history="1">
              <w:r w:rsidRPr="009C2224">
                <w:rPr>
                  <w:rStyle w:val="Hyperlink"/>
                  <w:i/>
                  <w:iCs/>
                  <w:sz w:val="22"/>
                  <w:szCs w:val="22"/>
                  <w:lang w:val="es-ES"/>
                </w:rPr>
                <w:t>C23/50</w:t>
              </w:r>
            </w:hyperlink>
            <w:r w:rsidRPr="009C2224">
              <w:rPr>
                <w:i/>
                <w:iCs/>
                <w:sz w:val="22"/>
                <w:szCs w:val="22"/>
                <w:lang w:val="es-ES"/>
              </w:rPr>
              <w:t xml:space="preserve">, </w:t>
            </w:r>
            <w:hyperlink r:id="rId16" w:history="1">
              <w:r w:rsidRPr="009C2224">
                <w:rPr>
                  <w:rStyle w:val="Hyperlink"/>
                  <w:i/>
                  <w:iCs/>
                  <w:sz w:val="22"/>
                  <w:szCs w:val="22"/>
                  <w:lang w:val="es-ES"/>
                </w:rPr>
                <w:t>C23/62</w:t>
              </w:r>
            </w:hyperlink>
            <w:r w:rsidRPr="009C2224">
              <w:rPr>
                <w:i/>
                <w:iCs/>
                <w:sz w:val="22"/>
                <w:szCs w:val="22"/>
                <w:lang w:val="es-ES"/>
              </w:rPr>
              <w:t xml:space="preserve">, </w:t>
            </w:r>
            <w:hyperlink r:id="rId17" w:history="1">
              <w:r w:rsidRPr="009C2224">
                <w:rPr>
                  <w:rStyle w:val="Hyperlink"/>
                  <w:i/>
                  <w:iCs/>
                  <w:sz w:val="22"/>
                  <w:szCs w:val="22"/>
                  <w:lang w:val="es-ES"/>
                </w:rPr>
                <w:t>C23/INF/11</w:t>
              </w:r>
            </w:hyperlink>
            <w:r w:rsidRPr="009C2224">
              <w:rPr>
                <w:i/>
                <w:iCs/>
                <w:sz w:val="22"/>
                <w:szCs w:val="22"/>
                <w:lang w:val="es-ES"/>
              </w:rPr>
              <w:t xml:space="preserve">, </w:t>
            </w:r>
            <w:hyperlink r:id="rId18" w:history="1">
              <w:r w:rsidRPr="009C2224">
                <w:rPr>
                  <w:rStyle w:val="Hyperlink"/>
                  <w:i/>
                  <w:iCs/>
                  <w:sz w:val="22"/>
                  <w:szCs w:val="22"/>
                  <w:lang w:val="es-ES"/>
                </w:rPr>
                <w:t>C23/INF/13</w:t>
              </w:r>
            </w:hyperlink>
            <w:r w:rsidRPr="009C2224">
              <w:rPr>
                <w:rStyle w:val="Hyperlink"/>
                <w:i/>
                <w:iCs/>
                <w:sz w:val="22"/>
                <w:szCs w:val="22"/>
                <w:lang w:val="es-ES"/>
              </w:rPr>
              <w:t xml:space="preserve">, </w:t>
            </w:r>
            <w:hyperlink r:id="rId19" w:history="1">
              <w:r w:rsidRPr="009C2224">
                <w:rPr>
                  <w:rStyle w:val="Hyperlink"/>
                  <w:i/>
                  <w:iCs/>
                  <w:sz w:val="22"/>
                  <w:szCs w:val="22"/>
                  <w:lang w:val="es-ES"/>
                </w:rPr>
                <w:t>C24/19</w:t>
              </w:r>
            </w:hyperlink>
            <w:r w:rsidRPr="009C2224">
              <w:rPr>
                <w:rStyle w:val="Hyperlink"/>
                <w:i/>
                <w:iCs/>
                <w:sz w:val="22"/>
                <w:szCs w:val="22"/>
                <w:lang w:val="es-ES"/>
              </w:rPr>
              <w:t xml:space="preserve">, </w:t>
            </w:r>
            <w:hyperlink r:id="rId20" w:history="1">
              <w:r w:rsidRPr="009C2224">
                <w:rPr>
                  <w:rStyle w:val="Hyperlink"/>
                  <w:i/>
                  <w:iCs/>
                  <w:sz w:val="22"/>
                  <w:szCs w:val="22"/>
                  <w:lang w:val="es-ES"/>
                </w:rPr>
                <w:t>C24/53</w:t>
              </w:r>
            </w:hyperlink>
            <w:r w:rsidRPr="009C2224">
              <w:rPr>
                <w:i/>
                <w:iCs/>
                <w:sz w:val="22"/>
                <w:szCs w:val="22"/>
                <w:lang w:val="es-ES"/>
              </w:rPr>
              <w:t xml:space="preserve">, </w:t>
            </w:r>
            <w:hyperlink r:id="rId21" w:history="1">
              <w:r w:rsidRPr="009C2224">
                <w:rPr>
                  <w:rStyle w:val="Hyperlink"/>
                  <w:i/>
                  <w:iCs/>
                  <w:sz w:val="22"/>
                  <w:szCs w:val="22"/>
                  <w:lang w:val="es-ES"/>
                </w:rPr>
                <w:t>C24/31</w:t>
              </w:r>
            </w:hyperlink>
            <w:r w:rsidRPr="009C2224">
              <w:rPr>
                <w:sz w:val="22"/>
                <w:szCs w:val="22"/>
                <w:lang w:val="es-ES"/>
              </w:rPr>
              <w:t xml:space="preserve">, </w:t>
            </w:r>
            <w:hyperlink r:id="rId22" w:history="1">
              <w:r w:rsidRPr="009C2224">
                <w:rPr>
                  <w:rStyle w:val="Hyperlink"/>
                  <w:bCs/>
                  <w:i/>
                  <w:iCs/>
                  <w:sz w:val="22"/>
                  <w:szCs w:val="22"/>
                  <w:lang w:val="es-ES"/>
                </w:rPr>
                <w:t>C25/50</w:t>
              </w:r>
            </w:hyperlink>
            <w:r w:rsidRPr="009C2224">
              <w:rPr>
                <w:bCs/>
                <w:i/>
                <w:iCs/>
                <w:sz w:val="22"/>
                <w:szCs w:val="22"/>
                <w:lang w:val="es-ES"/>
              </w:rPr>
              <w:t xml:space="preserve"> y </w:t>
            </w:r>
            <w:hyperlink r:id="rId23" w:history="1">
              <w:r w:rsidRPr="009C2224">
                <w:rPr>
                  <w:rStyle w:val="Hyperlink"/>
                  <w:bCs/>
                  <w:i/>
                  <w:iCs/>
                  <w:sz w:val="22"/>
                  <w:szCs w:val="22"/>
                  <w:lang w:val="es-ES"/>
                </w:rPr>
                <w:t>C25/66</w:t>
              </w:r>
            </w:hyperlink>
            <w:r w:rsidRPr="009C2224">
              <w:rPr>
                <w:sz w:val="22"/>
                <w:szCs w:val="22"/>
                <w:lang w:val="es-ES"/>
              </w:rPr>
              <w:t xml:space="preserve"> </w:t>
            </w:r>
            <w:r w:rsidRPr="009C2224">
              <w:rPr>
                <w:i/>
                <w:iCs/>
                <w:color w:val="000000"/>
                <w:sz w:val="22"/>
                <w:szCs w:val="22"/>
                <w:lang w:val="es-ES"/>
              </w:rPr>
              <w:t>del Consejo</w:t>
            </w:r>
          </w:p>
        </w:tc>
      </w:tr>
      <w:bookmarkEnd w:id="0"/>
    </w:tbl>
    <w:p w14:paraId="1029BC25" w14:textId="77777777" w:rsidR="00093EEB" w:rsidRPr="00BB6FD8" w:rsidRDefault="00093EEB"/>
    <w:p w14:paraId="2C238992" w14:textId="77777777" w:rsidR="001559F5" w:rsidRPr="00BB6FD8" w:rsidRDefault="001559F5">
      <w:pPr>
        <w:tabs>
          <w:tab w:val="clear" w:pos="567"/>
          <w:tab w:val="clear" w:pos="1134"/>
          <w:tab w:val="clear" w:pos="1701"/>
          <w:tab w:val="clear" w:pos="2268"/>
          <w:tab w:val="clear" w:pos="2835"/>
        </w:tabs>
        <w:overflowPunct/>
        <w:autoSpaceDE/>
        <w:autoSpaceDN/>
        <w:adjustRightInd/>
        <w:spacing w:before="0"/>
        <w:textAlignment w:val="auto"/>
      </w:pPr>
      <w:r w:rsidRPr="00BB6FD8">
        <w:br w:type="page"/>
      </w:r>
    </w:p>
    <w:p w14:paraId="46266330" w14:textId="3FADA81D" w:rsidR="002A40A3" w:rsidRPr="008876D2" w:rsidRDefault="008876D2" w:rsidP="008876D2">
      <w:pPr>
        <w:pStyle w:val="Heading1"/>
        <w:rPr>
          <w:rFonts w:asciiTheme="minorHAnsi" w:eastAsiaTheme="minorEastAsia" w:hAnsiTheme="minorHAnsi" w:cstheme="minorBidi"/>
          <w:color w:val="000000" w:themeColor="text1"/>
          <w:sz w:val="24"/>
          <w:szCs w:val="24"/>
          <w:lang w:val="es-ES"/>
        </w:rPr>
      </w:pPr>
      <w:r>
        <w:rPr>
          <w:sz w:val="24"/>
          <w:szCs w:val="24"/>
          <w:lang w:val="es-ES"/>
        </w:rPr>
        <w:lastRenderedPageBreak/>
        <w:t>1</w:t>
      </w:r>
      <w:r>
        <w:rPr>
          <w:sz w:val="24"/>
          <w:szCs w:val="24"/>
          <w:lang w:val="es-ES"/>
        </w:rPr>
        <w:tab/>
      </w:r>
      <w:r w:rsidR="002A40A3" w:rsidRPr="008876D2">
        <w:rPr>
          <w:sz w:val="24"/>
          <w:szCs w:val="24"/>
          <w:lang w:val="es-ES"/>
        </w:rPr>
        <w:t>Introducción</w:t>
      </w:r>
    </w:p>
    <w:p w14:paraId="49B7F730" w14:textId="77777777" w:rsidR="002A40A3" w:rsidRPr="00316863" w:rsidRDefault="002A40A3" w:rsidP="002A40A3">
      <w:pPr>
        <w:tabs>
          <w:tab w:val="clear" w:pos="567"/>
          <w:tab w:val="clear" w:pos="1134"/>
          <w:tab w:val="clear" w:pos="1701"/>
          <w:tab w:val="clear" w:pos="2268"/>
          <w:tab w:val="clear" w:pos="2835"/>
        </w:tabs>
        <w:spacing w:after="120"/>
        <w:jc w:val="both"/>
        <w:rPr>
          <w:rFonts w:asciiTheme="minorHAnsi" w:eastAsiaTheme="minorEastAsia" w:hAnsiTheme="minorHAnsi" w:cstheme="minorBidi"/>
          <w:color w:val="000000" w:themeColor="text1"/>
          <w:lang w:val="es-ES"/>
        </w:rPr>
      </w:pPr>
      <w:r w:rsidRPr="00316863">
        <w:rPr>
          <w:lang w:val="es-ES"/>
        </w:rPr>
        <w:t>En enero de 2023, el equipo directivo de la UIT puso en marcha el proceso de la Transformación de la UIT, basado en un exhaustivo proceso de visualización que contó con aportaciones amplias del personal y los expertos de todos los niveles de la organización.</w:t>
      </w:r>
    </w:p>
    <w:p w14:paraId="3192D99C" w14:textId="77777777" w:rsidR="002A40A3" w:rsidRPr="00316863" w:rsidRDefault="002A40A3" w:rsidP="002A40A3">
      <w:pPr>
        <w:tabs>
          <w:tab w:val="clear" w:pos="567"/>
          <w:tab w:val="clear" w:pos="1134"/>
          <w:tab w:val="clear" w:pos="1701"/>
          <w:tab w:val="clear" w:pos="2268"/>
          <w:tab w:val="clear" w:pos="2835"/>
        </w:tabs>
        <w:spacing w:after="120"/>
        <w:jc w:val="both"/>
        <w:rPr>
          <w:rFonts w:asciiTheme="minorHAnsi" w:eastAsiaTheme="minorEastAsia" w:hAnsiTheme="minorHAnsi" w:cstheme="minorBidi"/>
          <w:color w:val="000000" w:themeColor="text1"/>
          <w:lang w:val="es-ES"/>
        </w:rPr>
      </w:pPr>
      <w:r w:rsidRPr="00316863">
        <w:rPr>
          <w:lang w:val="es-ES"/>
        </w:rPr>
        <w:t>La Transformación de la UIT es una oportunidad común de carácter colaborativo que requiere agilidad, aprendizaje continuo y gestión del cambio. Este periodo de Transformación se ha caracterizado por la ejecución del proyecto y los resultados tangibles de los cinco pilares.</w:t>
      </w:r>
    </w:p>
    <w:p w14:paraId="69B30219" w14:textId="2A0366B2" w:rsidR="002A40A3" w:rsidRPr="00316863" w:rsidRDefault="002A40A3" w:rsidP="002A40A3">
      <w:pPr>
        <w:tabs>
          <w:tab w:val="clear" w:pos="567"/>
          <w:tab w:val="clear" w:pos="1134"/>
          <w:tab w:val="clear" w:pos="1701"/>
          <w:tab w:val="clear" w:pos="2268"/>
          <w:tab w:val="clear" w:pos="2835"/>
        </w:tabs>
        <w:spacing w:after="120"/>
        <w:jc w:val="both"/>
        <w:rPr>
          <w:rFonts w:asciiTheme="minorHAnsi" w:eastAsiaTheme="minorEastAsia" w:hAnsiTheme="minorHAnsi" w:cstheme="minorBidi"/>
          <w:color w:val="000000" w:themeColor="text1"/>
          <w:szCs w:val="24"/>
          <w:lang w:val="es-ES"/>
        </w:rPr>
      </w:pPr>
      <w:r w:rsidRPr="00316863">
        <w:rPr>
          <w:lang w:val="es-ES"/>
        </w:rPr>
        <w:t>En línea con las anteriores actualizaciones de la situación en el Grupo de Trabajo del Consejo sobre Recursos Humanos y Financieros (GTC-RHF) en noviembre de 2024 y febrero de 2025, resumidas en el Informe del Presidente del GTC-RHF (</w:t>
      </w:r>
      <w:hyperlink r:id="rId24" w:history="1">
        <w:r w:rsidRPr="00316863">
          <w:rPr>
            <w:rStyle w:val="Hyperlink"/>
            <w:rFonts w:asciiTheme="minorHAnsi" w:eastAsiaTheme="minorEastAsia" w:hAnsiTheme="minorHAnsi" w:cstheme="minorBidi"/>
            <w:szCs w:val="24"/>
            <w:lang w:val="es-ES"/>
          </w:rPr>
          <w:t>C25/50</w:t>
        </w:r>
      </w:hyperlink>
      <w:r w:rsidRPr="00316863">
        <w:rPr>
          <w:lang w:val="es-ES"/>
        </w:rPr>
        <w:t>), el presente documento proporciona más información sobre el proceso de la Transformación en curso de la UIT. Además, a raíz de los debates mantenidos en el GTC-RHF y el GTC-Idiomas en febrero de 2025, se incluye un informe intermedio sobre el proyecto del nuevo sitio web como anexo al presente documento.</w:t>
      </w:r>
    </w:p>
    <w:p w14:paraId="13645D6A" w14:textId="52E0F4FC" w:rsidR="002A40A3" w:rsidRPr="00316863" w:rsidRDefault="008876D2" w:rsidP="008876D2">
      <w:pPr>
        <w:pStyle w:val="Heading1"/>
        <w:rPr>
          <w:rFonts w:asciiTheme="minorHAnsi" w:eastAsiaTheme="minorEastAsia" w:hAnsiTheme="minorHAnsi" w:cstheme="minorBidi"/>
          <w:b w:val="0"/>
          <w:color w:val="000000" w:themeColor="text1"/>
          <w:szCs w:val="24"/>
          <w:lang w:val="es-ES"/>
        </w:rPr>
      </w:pPr>
      <w:r>
        <w:rPr>
          <w:sz w:val="24"/>
          <w:szCs w:val="24"/>
          <w:lang w:val="es-ES"/>
        </w:rPr>
        <w:t>2</w:t>
      </w:r>
      <w:r>
        <w:rPr>
          <w:sz w:val="24"/>
          <w:szCs w:val="24"/>
          <w:lang w:val="es-ES"/>
        </w:rPr>
        <w:tab/>
      </w:r>
      <w:r w:rsidR="002A40A3" w:rsidRPr="008876D2">
        <w:rPr>
          <w:sz w:val="24"/>
          <w:szCs w:val="24"/>
          <w:lang w:val="es-ES"/>
        </w:rPr>
        <w:t>Hoja de ruta de la Transformación</w:t>
      </w:r>
    </w:p>
    <w:p w14:paraId="0C60674E" w14:textId="5F2DA1CB" w:rsidR="002A40A3" w:rsidRPr="00316863" w:rsidRDefault="002A40A3" w:rsidP="002A40A3">
      <w:pPr>
        <w:tabs>
          <w:tab w:val="clear" w:pos="567"/>
          <w:tab w:val="clear" w:pos="1134"/>
          <w:tab w:val="clear" w:pos="1701"/>
          <w:tab w:val="clear" w:pos="2268"/>
          <w:tab w:val="clear" w:pos="2835"/>
        </w:tabs>
        <w:spacing w:after="120"/>
        <w:jc w:val="both"/>
        <w:rPr>
          <w:rFonts w:asciiTheme="minorHAnsi" w:eastAsiaTheme="minorEastAsia" w:hAnsiTheme="minorHAnsi" w:cstheme="minorBidi"/>
          <w:color w:val="000000" w:themeColor="text1"/>
          <w:szCs w:val="24"/>
          <w:lang w:val="es-ES"/>
        </w:rPr>
      </w:pPr>
      <w:r w:rsidRPr="00316863">
        <w:rPr>
          <w:lang w:val="es-ES"/>
        </w:rPr>
        <w:t>Este año, el esfuerzo de Transformación continúa ganando impulso. A medida que va madurando la cartera de la Transformación, los equipos de la UIT se involucran cada vez más en cada iniciativa y están capacitados para llevar a cabo estos cambios integrales. La Transformación de la UIT no es únicamente una iniciativa técnica, sino que tiene por objeto crear una fuerza de trabajo ágil, capaz y empoderada centrada en las personas. En la Figura</w:t>
      </w:r>
      <w:r w:rsidR="008876D2">
        <w:rPr>
          <w:lang w:val="es-ES"/>
        </w:rPr>
        <w:t> </w:t>
      </w:r>
      <w:r w:rsidRPr="00316863">
        <w:rPr>
          <w:lang w:val="es-ES"/>
        </w:rPr>
        <w:t>1</w:t>
      </w:r>
      <w:r w:rsidR="008876D2">
        <w:rPr>
          <w:lang w:val="es-ES"/>
        </w:rPr>
        <w:t> </w:t>
      </w:r>
      <w:r w:rsidRPr="00316863">
        <w:rPr>
          <w:lang w:val="es-ES"/>
        </w:rPr>
        <w:t>se ofrece una visión general de la cartera actual de Transformación de la UIT y se indica dónde se han iniciado o completado las iniciativas, así como las iniciativas en preparación. Se supervisarán las iniciativas completadas para mejorarlas siempre que sea posible.</w:t>
      </w:r>
    </w:p>
    <w:p w14:paraId="6967CCDD" w14:textId="77777777" w:rsidR="002A40A3" w:rsidRPr="00316863" w:rsidRDefault="002A40A3" w:rsidP="002A40A3">
      <w:pPr>
        <w:tabs>
          <w:tab w:val="clear" w:pos="567"/>
          <w:tab w:val="clear" w:pos="1134"/>
          <w:tab w:val="clear" w:pos="1701"/>
          <w:tab w:val="clear" w:pos="2268"/>
          <w:tab w:val="clear" w:pos="2835"/>
        </w:tabs>
        <w:spacing w:after="120"/>
        <w:jc w:val="both"/>
        <w:rPr>
          <w:rFonts w:asciiTheme="minorHAnsi" w:eastAsiaTheme="minorEastAsia" w:hAnsiTheme="minorHAnsi" w:cstheme="minorBidi"/>
          <w:color w:val="000000" w:themeColor="text1"/>
          <w:szCs w:val="24"/>
          <w:lang w:val="es-ES"/>
        </w:rPr>
      </w:pPr>
      <w:r w:rsidRPr="00316863">
        <w:rPr>
          <w:lang w:val="es-ES"/>
        </w:rPr>
        <w:t xml:space="preserve">Puede accederse al panel de la Transformación en línea a través de </w:t>
      </w:r>
      <w:hyperlink r:id="rId25" w:history="1">
        <w:r w:rsidRPr="00316863">
          <w:rPr>
            <w:rStyle w:val="Hyperlink"/>
            <w:lang w:val="es-ES"/>
          </w:rPr>
          <w:t>este enlace</w:t>
        </w:r>
      </w:hyperlink>
      <w:r w:rsidRPr="00316863">
        <w:rPr>
          <w:lang w:val="es-ES"/>
        </w:rPr>
        <w:t>.</w:t>
      </w:r>
    </w:p>
    <w:p w14:paraId="4E2B1699" w14:textId="77777777" w:rsidR="002A40A3" w:rsidRPr="00316863" w:rsidRDefault="002A40A3" w:rsidP="002A40A3">
      <w:pPr>
        <w:spacing w:before="0" w:after="160" w:line="257" w:lineRule="auto"/>
        <w:contextualSpacing/>
        <w:jc w:val="right"/>
        <w:rPr>
          <w:rFonts w:eastAsia="Calibri"/>
          <w:i/>
          <w:sz w:val="16"/>
          <w:szCs w:val="16"/>
          <w:lang w:val="es-ES"/>
        </w:rPr>
      </w:pPr>
    </w:p>
    <w:p w14:paraId="660EBD07" w14:textId="77777777" w:rsidR="002A40A3" w:rsidRPr="00316863" w:rsidRDefault="002A40A3" w:rsidP="002A40A3">
      <w:pPr>
        <w:spacing w:before="0" w:after="160" w:line="257" w:lineRule="auto"/>
        <w:jc w:val="center"/>
        <w:rPr>
          <w:rFonts w:eastAsia="Calibri" w:cs="Calibri"/>
          <w:b/>
          <w:color w:val="000000" w:themeColor="text1"/>
          <w:szCs w:val="24"/>
          <w:lang w:val="es-ES"/>
        </w:rPr>
      </w:pPr>
      <w:r w:rsidRPr="00316863">
        <w:rPr>
          <w:b/>
          <w:bCs/>
          <w:lang w:val="es-ES"/>
        </w:rPr>
        <w:t>Visión general de las iniciativas de la Transformación</w:t>
      </w:r>
      <w:r w:rsidRPr="00316863">
        <w:rPr>
          <w:lang w:val="es-ES"/>
        </w:rPr>
        <w:t xml:space="preserve"> </w:t>
      </w:r>
    </w:p>
    <w:tbl>
      <w:tblPr>
        <w:tblW w:w="961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58"/>
        <w:gridCol w:w="1928"/>
        <w:gridCol w:w="2039"/>
        <w:gridCol w:w="1993"/>
        <w:gridCol w:w="1795"/>
      </w:tblGrid>
      <w:tr w:rsidR="002A40A3" w:rsidRPr="00316863" w14:paraId="6BB3FE7E" w14:textId="77777777" w:rsidTr="00BF7E2B">
        <w:trPr>
          <w:trHeight w:val="400"/>
        </w:trPr>
        <w:tc>
          <w:tcPr>
            <w:tcW w:w="1858" w:type="dxa"/>
            <w:tcBorders>
              <w:top w:val="single" w:sz="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0F9ED5"/>
            <w:tcMar>
              <w:top w:w="15" w:type="dxa"/>
              <w:left w:w="15" w:type="dxa"/>
              <w:bottom w:w="15" w:type="dxa"/>
              <w:right w:w="15" w:type="dxa"/>
            </w:tcMar>
          </w:tcPr>
          <w:p w14:paraId="5E76A064" w14:textId="77777777" w:rsidR="002A40A3" w:rsidRPr="00BF7E2B" w:rsidRDefault="002A40A3" w:rsidP="008876D2">
            <w:pPr>
              <w:pStyle w:val="Tablehead"/>
              <w:rPr>
                <w:sz w:val="18"/>
                <w:szCs w:val="18"/>
                <w:lang w:val="es-ES"/>
              </w:rPr>
            </w:pPr>
            <w:r w:rsidRPr="00BF7E2B">
              <w:rPr>
                <w:sz w:val="18"/>
                <w:szCs w:val="18"/>
                <w:lang w:val="es-ES"/>
              </w:rPr>
              <w:t>Gobernanza</w:t>
            </w:r>
          </w:p>
        </w:tc>
        <w:tc>
          <w:tcPr>
            <w:tcW w:w="1928" w:type="dxa"/>
            <w:tcBorders>
              <w:top w:val="single" w:sz="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0F9ED5"/>
            <w:tcMar>
              <w:top w:w="15" w:type="dxa"/>
              <w:left w:w="15" w:type="dxa"/>
              <w:bottom w:w="15" w:type="dxa"/>
              <w:right w:w="15" w:type="dxa"/>
            </w:tcMar>
          </w:tcPr>
          <w:p w14:paraId="07F3F6EC" w14:textId="5D7E63AB" w:rsidR="002A40A3" w:rsidRPr="00BF7E2B" w:rsidRDefault="002A40A3" w:rsidP="008876D2">
            <w:pPr>
              <w:pStyle w:val="Tablehead"/>
              <w:rPr>
                <w:sz w:val="18"/>
                <w:szCs w:val="18"/>
                <w:lang w:val="es-ES"/>
              </w:rPr>
            </w:pPr>
            <w:r w:rsidRPr="00BF7E2B">
              <w:rPr>
                <w:sz w:val="18"/>
                <w:szCs w:val="18"/>
                <w:lang w:val="es-ES"/>
              </w:rPr>
              <w:t>Sistemas, procesos</w:t>
            </w:r>
            <w:r w:rsidR="008876D2" w:rsidRPr="00BF7E2B">
              <w:rPr>
                <w:sz w:val="18"/>
                <w:szCs w:val="18"/>
                <w:lang w:val="es-ES"/>
              </w:rPr>
              <w:br/>
            </w:r>
            <w:r w:rsidRPr="00BF7E2B">
              <w:rPr>
                <w:sz w:val="18"/>
                <w:szCs w:val="18"/>
                <w:lang w:val="es-ES"/>
              </w:rPr>
              <w:t>e instrumentos</w:t>
            </w:r>
          </w:p>
        </w:tc>
        <w:tc>
          <w:tcPr>
            <w:tcW w:w="2039" w:type="dxa"/>
            <w:tcBorders>
              <w:top w:val="single" w:sz="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0F9ED5"/>
            <w:tcMar>
              <w:top w:w="15" w:type="dxa"/>
              <w:left w:w="15" w:type="dxa"/>
              <w:bottom w:w="15" w:type="dxa"/>
              <w:right w:w="15" w:type="dxa"/>
            </w:tcMar>
          </w:tcPr>
          <w:p w14:paraId="35546000" w14:textId="77777777" w:rsidR="002A40A3" w:rsidRPr="00BF7E2B" w:rsidRDefault="002A40A3" w:rsidP="008876D2">
            <w:pPr>
              <w:pStyle w:val="Tablehead"/>
              <w:rPr>
                <w:sz w:val="18"/>
                <w:szCs w:val="18"/>
                <w:lang w:val="es-ES"/>
              </w:rPr>
            </w:pPr>
            <w:r w:rsidRPr="00BF7E2B">
              <w:rPr>
                <w:sz w:val="18"/>
                <w:szCs w:val="18"/>
                <w:lang w:val="es-ES"/>
              </w:rPr>
              <w:t>Personas y cultura</w:t>
            </w:r>
          </w:p>
        </w:tc>
        <w:tc>
          <w:tcPr>
            <w:tcW w:w="1993" w:type="dxa"/>
            <w:tcBorders>
              <w:top w:val="single" w:sz="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0F9ED5"/>
            <w:tcMar>
              <w:top w:w="15" w:type="dxa"/>
              <w:left w:w="15" w:type="dxa"/>
              <w:bottom w:w="15" w:type="dxa"/>
              <w:right w:w="15" w:type="dxa"/>
            </w:tcMar>
          </w:tcPr>
          <w:p w14:paraId="00F3B68C" w14:textId="77777777" w:rsidR="002A40A3" w:rsidRPr="00BF7E2B" w:rsidRDefault="002A40A3" w:rsidP="008876D2">
            <w:pPr>
              <w:pStyle w:val="Tablehead"/>
              <w:rPr>
                <w:sz w:val="18"/>
                <w:szCs w:val="18"/>
                <w:lang w:val="es-ES"/>
              </w:rPr>
            </w:pPr>
            <w:r w:rsidRPr="00BF7E2B">
              <w:rPr>
                <w:sz w:val="18"/>
                <w:szCs w:val="18"/>
                <w:lang w:val="es-ES"/>
              </w:rPr>
              <w:t>Optimización de recursos</w:t>
            </w:r>
          </w:p>
        </w:tc>
        <w:tc>
          <w:tcPr>
            <w:tcW w:w="1794" w:type="dxa"/>
            <w:tcBorders>
              <w:top w:val="single" w:sz="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0F9ED5"/>
            <w:tcMar>
              <w:top w:w="15" w:type="dxa"/>
              <w:left w:w="15" w:type="dxa"/>
              <w:bottom w:w="15" w:type="dxa"/>
              <w:right w:w="15" w:type="dxa"/>
            </w:tcMar>
          </w:tcPr>
          <w:p w14:paraId="20AEC478" w14:textId="77777777" w:rsidR="002A40A3" w:rsidRPr="00BF7E2B" w:rsidRDefault="002A40A3" w:rsidP="008876D2">
            <w:pPr>
              <w:pStyle w:val="Tablehead"/>
              <w:rPr>
                <w:sz w:val="18"/>
                <w:szCs w:val="18"/>
                <w:lang w:val="es-ES"/>
              </w:rPr>
            </w:pPr>
            <w:r w:rsidRPr="00BF7E2B">
              <w:rPr>
                <w:sz w:val="18"/>
                <w:szCs w:val="18"/>
                <w:lang w:val="es-ES"/>
              </w:rPr>
              <w:t>Miembros y socios</w:t>
            </w:r>
          </w:p>
        </w:tc>
      </w:tr>
      <w:tr w:rsidR="002A40A3" w:rsidRPr="00316863" w14:paraId="50415364" w14:textId="77777777" w:rsidTr="00BF7E2B">
        <w:trPr>
          <w:trHeight w:val="102"/>
        </w:trPr>
        <w:tc>
          <w:tcPr>
            <w:tcW w:w="9613" w:type="dxa"/>
            <w:gridSpan w:val="5"/>
            <w:tcBorders>
              <w:top w:val="single" w:sz="1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CDFEF"/>
            <w:tcMar>
              <w:top w:w="15" w:type="dxa"/>
              <w:left w:w="15" w:type="dxa"/>
              <w:bottom w:w="15" w:type="dxa"/>
              <w:right w:w="15" w:type="dxa"/>
            </w:tcMar>
            <w:vAlign w:val="center"/>
          </w:tcPr>
          <w:p w14:paraId="2388C02D" w14:textId="57BE8CD7" w:rsidR="002A40A3" w:rsidRPr="00BF7E2B" w:rsidRDefault="002A40A3" w:rsidP="008876D2">
            <w:pPr>
              <w:pStyle w:val="Tabletext"/>
              <w:jc w:val="center"/>
              <w:rPr>
                <w:rFonts w:ascii="Aptos" w:eastAsia="Arial" w:hAnsi="Aptos" w:cs="Arial"/>
                <w:b/>
                <w:bCs/>
                <w:color w:val="000000" w:themeColor="text1"/>
                <w:sz w:val="18"/>
                <w:szCs w:val="18"/>
                <w:lang w:val="es-ES"/>
              </w:rPr>
            </w:pPr>
            <w:r w:rsidRPr="00BF7E2B">
              <w:rPr>
                <w:b/>
                <w:bCs/>
                <w:sz w:val="18"/>
                <w:szCs w:val="18"/>
                <w:lang w:val="es-ES"/>
              </w:rPr>
              <w:t>INICIATIVAS EN CURSO Y COMPLETADAS</w:t>
            </w:r>
          </w:p>
        </w:tc>
      </w:tr>
      <w:tr w:rsidR="002A40A3" w:rsidRPr="00316863" w14:paraId="0C82218E" w14:textId="77777777" w:rsidTr="00BF7E2B">
        <w:trPr>
          <w:trHeight w:val="2469"/>
        </w:trPr>
        <w:tc>
          <w:tcPr>
            <w:tcW w:w="18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0F7"/>
            <w:tcMar>
              <w:top w:w="15" w:type="dxa"/>
              <w:left w:w="15" w:type="dxa"/>
              <w:bottom w:w="15" w:type="dxa"/>
              <w:right w:w="15" w:type="dxa"/>
            </w:tcMar>
          </w:tcPr>
          <w:p w14:paraId="75290362" w14:textId="77777777" w:rsidR="002A40A3" w:rsidRPr="00BF7E2B" w:rsidRDefault="002A40A3" w:rsidP="005B3432">
            <w:pPr>
              <w:pStyle w:val="Tabletext"/>
              <w:spacing w:after="120"/>
              <w:rPr>
                <w:rFonts w:ascii="Aptos" w:hAnsi="Aptos"/>
                <w:b/>
                <w:bCs/>
                <w:sz w:val="18"/>
                <w:szCs w:val="18"/>
                <w:lang w:val="es-ES"/>
              </w:rPr>
            </w:pPr>
            <w:r w:rsidRPr="00BF7E2B">
              <w:rPr>
                <w:b/>
                <w:bCs/>
                <w:sz w:val="18"/>
                <w:szCs w:val="18"/>
                <w:lang w:val="es-ES"/>
              </w:rPr>
              <w:t>Marco de rendición de cuentas y delegación de autoridad</w:t>
            </w:r>
          </w:p>
          <w:p w14:paraId="65F5A623" w14:textId="3DA96D44" w:rsidR="002A40A3" w:rsidRPr="00BF7E2B" w:rsidRDefault="002A40A3" w:rsidP="008876D2">
            <w:pPr>
              <w:pStyle w:val="Tabletext"/>
              <w:rPr>
                <w:rFonts w:ascii="Aptos" w:eastAsia="Arial" w:hAnsi="Aptos" w:cs="Arial"/>
                <w:b/>
                <w:bCs/>
                <w:color w:val="000000" w:themeColor="text1"/>
                <w:sz w:val="18"/>
                <w:szCs w:val="18"/>
                <w:lang w:val="es-ES"/>
              </w:rPr>
            </w:pPr>
            <w:r w:rsidRPr="00BF7E2B">
              <w:rPr>
                <w:b/>
                <w:bCs/>
                <w:sz w:val="18"/>
                <w:szCs w:val="18"/>
                <w:lang w:val="es-ES"/>
              </w:rPr>
              <w:t xml:space="preserve">Auditoría y supervisión </w:t>
            </w:r>
          </w:p>
        </w:tc>
        <w:tc>
          <w:tcPr>
            <w:tcW w:w="19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0F7"/>
            <w:tcMar>
              <w:top w:w="15" w:type="dxa"/>
              <w:left w:w="15" w:type="dxa"/>
              <w:bottom w:w="15" w:type="dxa"/>
              <w:right w:w="15" w:type="dxa"/>
            </w:tcMar>
          </w:tcPr>
          <w:p w14:paraId="1BF38953" w14:textId="77777777" w:rsidR="002A40A3" w:rsidRPr="00BF7E2B" w:rsidRDefault="002A40A3" w:rsidP="005B3432">
            <w:pPr>
              <w:pStyle w:val="Tabletext"/>
              <w:spacing w:after="120"/>
              <w:rPr>
                <w:rFonts w:ascii="Aptos" w:eastAsia="Arial" w:hAnsi="Aptos" w:cs="Arial"/>
                <w:b/>
                <w:bCs/>
                <w:color w:val="000000" w:themeColor="text1"/>
                <w:sz w:val="18"/>
                <w:szCs w:val="18"/>
                <w:lang w:val="es-ES"/>
              </w:rPr>
            </w:pPr>
            <w:r w:rsidRPr="00BF7E2B">
              <w:rPr>
                <w:b/>
                <w:bCs/>
                <w:sz w:val="18"/>
                <w:szCs w:val="18"/>
                <w:lang w:val="es-ES"/>
              </w:rPr>
              <w:t xml:space="preserve">Implementación de la IA </w:t>
            </w:r>
          </w:p>
          <w:p w14:paraId="2438D5A3" w14:textId="77777777" w:rsidR="002A40A3" w:rsidRPr="00BF7E2B" w:rsidRDefault="002A40A3" w:rsidP="008876D2">
            <w:pPr>
              <w:pStyle w:val="Tabletext"/>
              <w:rPr>
                <w:rFonts w:ascii="Aptos" w:eastAsia="Arial" w:hAnsi="Aptos" w:cs="Arial"/>
                <w:b/>
                <w:bCs/>
                <w:color w:val="000000" w:themeColor="text1"/>
                <w:sz w:val="18"/>
                <w:szCs w:val="18"/>
                <w:lang w:val="es-ES"/>
              </w:rPr>
            </w:pPr>
            <w:r w:rsidRPr="00BF7E2B">
              <w:rPr>
                <w:b/>
                <w:bCs/>
                <w:sz w:val="18"/>
                <w:szCs w:val="18"/>
                <w:lang w:val="es-ES"/>
              </w:rPr>
              <w:t xml:space="preserve">Gobernanza de la información y gestión del conocimiento </w:t>
            </w:r>
          </w:p>
        </w:tc>
        <w:tc>
          <w:tcPr>
            <w:tcW w:w="20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0F7"/>
            <w:tcMar>
              <w:top w:w="15" w:type="dxa"/>
              <w:left w:w="15" w:type="dxa"/>
              <w:bottom w:w="15" w:type="dxa"/>
              <w:right w:w="15" w:type="dxa"/>
            </w:tcMar>
          </w:tcPr>
          <w:p w14:paraId="131E9351" w14:textId="77777777" w:rsidR="005B3432" w:rsidRPr="00BF7E2B" w:rsidRDefault="002A40A3" w:rsidP="008876D2">
            <w:pPr>
              <w:pStyle w:val="Tabletext"/>
              <w:rPr>
                <w:rFonts w:ascii="Aptos" w:hAnsi="Aptos"/>
                <w:b/>
                <w:bCs/>
                <w:sz w:val="18"/>
                <w:szCs w:val="18"/>
                <w:lang w:val="es-ES"/>
              </w:rPr>
            </w:pPr>
            <w:r w:rsidRPr="00BF7E2B">
              <w:rPr>
                <w:b/>
                <w:bCs/>
                <w:sz w:val="18"/>
                <w:szCs w:val="18"/>
                <w:lang w:val="es-ES"/>
              </w:rPr>
              <w:t>Cultura del liderazgo</w:t>
            </w:r>
          </w:p>
          <w:p w14:paraId="78DF730D" w14:textId="42CB7A45" w:rsidR="002A40A3" w:rsidRPr="00BF7E2B" w:rsidRDefault="002A40A3" w:rsidP="005B3432">
            <w:pPr>
              <w:pStyle w:val="Tabletext"/>
              <w:spacing w:after="120"/>
              <w:rPr>
                <w:rFonts w:ascii="Aptos" w:hAnsi="Aptos"/>
                <w:b/>
                <w:bCs/>
                <w:sz w:val="18"/>
                <w:szCs w:val="18"/>
                <w:lang w:val="es-ES"/>
              </w:rPr>
            </w:pPr>
            <w:r w:rsidRPr="00BF7E2B">
              <w:rPr>
                <w:b/>
                <w:bCs/>
                <w:sz w:val="18"/>
                <w:szCs w:val="18"/>
                <w:lang w:val="es-ES"/>
              </w:rPr>
              <w:t>Contratación</w:t>
            </w:r>
          </w:p>
          <w:p w14:paraId="626775CA" w14:textId="2D6E0059" w:rsidR="002A40A3" w:rsidRPr="00BF7E2B" w:rsidRDefault="002A40A3" w:rsidP="005B3432">
            <w:pPr>
              <w:pStyle w:val="Tabletext"/>
              <w:spacing w:after="120"/>
              <w:rPr>
                <w:rFonts w:ascii="Aptos" w:hAnsi="Aptos"/>
                <w:b/>
                <w:bCs/>
                <w:sz w:val="18"/>
                <w:szCs w:val="18"/>
                <w:lang w:val="es-ES"/>
              </w:rPr>
            </w:pPr>
            <w:r w:rsidRPr="00BF7E2B">
              <w:rPr>
                <w:b/>
                <w:bCs/>
                <w:sz w:val="18"/>
                <w:szCs w:val="18"/>
                <w:lang w:val="es-ES"/>
              </w:rPr>
              <w:t>Gestión del rendimiento</w:t>
            </w:r>
          </w:p>
          <w:p w14:paraId="361EBE7E" w14:textId="77777777" w:rsidR="002A40A3" w:rsidRPr="00BF7E2B" w:rsidRDefault="002A40A3" w:rsidP="005B3432">
            <w:pPr>
              <w:pStyle w:val="Tabletext"/>
              <w:spacing w:after="120"/>
              <w:rPr>
                <w:rFonts w:ascii="Aptos" w:eastAsia="Arial" w:hAnsi="Aptos" w:cs="Arial"/>
                <w:b/>
                <w:bCs/>
                <w:color w:val="000000" w:themeColor="text1"/>
                <w:sz w:val="18"/>
                <w:szCs w:val="18"/>
                <w:lang w:val="es-ES"/>
              </w:rPr>
            </w:pPr>
            <w:r w:rsidRPr="00BF7E2B">
              <w:rPr>
                <w:b/>
                <w:bCs/>
                <w:sz w:val="18"/>
                <w:szCs w:val="18"/>
                <w:lang w:val="es-ES"/>
              </w:rPr>
              <w:t>Movilidad</w:t>
            </w:r>
          </w:p>
          <w:p w14:paraId="1ED08A75" w14:textId="77777777" w:rsidR="002A40A3" w:rsidRPr="00BF7E2B" w:rsidRDefault="002A40A3" w:rsidP="008876D2">
            <w:pPr>
              <w:pStyle w:val="Tabletext"/>
              <w:rPr>
                <w:rFonts w:ascii="Aptos" w:eastAsia="Arial" w:hAnsi="Aptos" w:cs="Arial"/>
                <w:b/>
                <w:bCs/>
                <w:color w:val="000000" w:themeColor="text1"/>
                <w:sz w:val="18"/>
                <w:szCs w:val="18"/>
                <w:lang w:val="es-ES"/>
              </w:rPr>
            </w:pPr>
            <w:r w:rsidRPr="00BF7E2B">
              <w:rPr>
                <w:b/>
                <w:bCs/>
                <w:sz w:val="18"/>
                <w:szCs w:val="18"/>
                <w:lang w:val="es-ES"/>
              </w:rPr>
              <w:t xml:space="preserve">Implicación del personal </w:t>
            </w:r>
          </w:p>
        </w:tc>
        <w:tc>
          <w:tcPr>
            <w:tcW w:w="1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0F7"/>
            <w:tcMar>
              <w:top w:w="15" w:type="dxa"/>
              <w:left w:w="15" w:type="dxa"/>
              <w:bottom w:w="15" w:type="dxa"/>
              <w:right w:w="15" w:type="dxa"/>
            </w:tcMar>
          </w:tcPr>
          <w:p w14:paraId="415C76A2" w14:textId="77777777" w:rsidR="002A40A3" w:rsidRPr="00BF7E2B" w:rsidRDefault="002A40A3" w:rsidP="008876D2">
            <w:pPr>
              <w:pStyle w:val="Tabletext"/>
              <w:rPr>
                <w:rFonts w:ascii="Aptos" w:hAnsi="Aptos"/>
                <w:b/>
                <w:bCs/>
                <w:sz w:val="18"/>
                <w:szCs w:val="18"/>
                <w:lang w:val="es-ES"/>
              </w:rPr>
            </w:pPr>
            <w:r w:rsidRPr="00BF7E2B">
              <w:rPr>
                <w:b/>
                <w:bCs/>
                <w:sz w:val="18"/>
                <w:szCs w:val="18"/>
                <w:lang w:val="es-ES"/>
              </w:rPr>
              <w:t>Viajes</w:t>
            </w:r>
          </w:p>
          <w:p w14:paraId="167FBBFB" w14:textId="77777777" w:rsidR="002A40A3" w:rsidRPr="00BF7E2B" w:rsidRDefault="002A40A3" w:rsidP="005B3432">
            <w:pPr>
              <w:pStyle w:val="Tabletext"/>
              <w:spacing w:after="120"/>
              <w:rPr>
                <w:rFonts w:ascii="Aptos" w:hAnsi="Aptos"/>
                <w:b/>
                <w:bCs/>
                <w:sz w:val="18"/>
                <w:szCs w:val="18"/>
                <w:lang w:val="es-ES"/>
              </w:rPr>
            </w:pPr>
            <w:r w:rsidRPr="00BF7E2B">
              <w:rPr>
                <w:b/>
                <w:bCs/>
                <w:sz w:val="18"/>
                <w:szCs w:val="18"/>
                <w:lang w:val="es-ES"/>
              </w:rPr>
              <w:t xml:space="preserve">Gestión de fondos extrapresupuestarios </w:t>
            </w:r>
          </w:p>
          <w:p w14:paraId="7021CE03" w14:textId="77777777" w:rsidR="002A40A3" w:rsidRPr="00BF7E2B" w:rsidRDefault="002A40A3" w:rsidP="005B3432">
            <w:pPr>
              <w:pStyle w:val="Tabletext"/>
              <w:spacing w:after="120"/>
              <w:rPr>
                <w:rFonts w:ascii="Aptos" w:hAnsi="Aptos"/>
                <w:sz w:val="18"/>
                <w:szCs w:val="18"/>
                <w:lang w:val="es-ES"/>
              </w:rPr>
            </w:pPr>
            <w:r w:rsidRPr="00BF7E2B">
              <w:rPr>
                <w:sz w:val="18"/>
                <w:szCs w:val="18"/>
                <w:lang w:val="es-ES"/>
              </w:rPr>
              <w:t>Asignación presupuestaria</w:t>
            </w:r>
          </w:p>
          <w:p w14:paraId="5BE94698" w14:textId="77777777" w:rsidR="002A40A3" w:rsidRPr="00BF7E2B" w:rsidRDefault="002A40A3" w:rsidP="008876D2">
            <w:pPr>
              <w:pStyle w:val="Tabletext"/>
              <w:rPr>
                <w:rFonts w:ascii="Aptos" w:hAnsi="Aptos"/>
                <w:sz w:val="18"/>
                <w:szCs w:val="18"/>
                <w:vertAlign w:val="superscript"/>
                <w:lang w:val="es-ES"/>
              </w:rPr>
            </w:pPr>
            <w:r w:rsidRPr="00BF7E2B">
              <w:rPr>
                <w:sz w:val="18"/>
                <w:szCs w:val="18"/>
                <w:lang w:val="es-ES"/>
              </w:rPr>
              <w:t xml:space="preserve">Gestión </w:t>
            </w:r>
            <w:r w:rsidRPr="00BF7E2B">
              <w:rPr>
                <w:sz w:val="18"/>
                <w:szCs w:val="18"/>
                <w:vertAlign w:val="superscript"/>
                <w:lang w:val="es-ES"/>
              </w:rPr>
              <w:t>Completado</w:t>
            </w:r>
          </w:p>
          <w:p w14:paraId="5F2C7391" w14:textId="26D889E7" w:rsidR="002A40A3" w:rsidRPr="00BF7E2B" w:rsidRDefault="002A40A3" w:rsidP="008876D2">
            <w:pPr>
              <w:pStyle w:val="Tabletext"/>
              <w:rPr>
                <w:rFonts w:ascii="Aptos" w:hAnsi="Aptos"/>
                <w:b/>
                <w:bCs/>
                <w:sz w:val="18"/>
                <w:szCs w:val="18"/>
                <w:lang w:val="es-ES"/>
              </w:rPr>
            </w:pPr>
            <w:r w:rsidRPr="00BF7E2B">
              <w:rPr>
                <w:sz w:val="18"/>
                <w:szCs w:val="18"/>
                <w:lang w:val="es-ES"/>
              </w:rPr>
              <w:t xml:space="preserve">Reglamento Financiero y Reglas Financieras </w:t>
            </w:r>
            <w:r w:rsidRPr="00BF7E2B">
              <w:rPr>
                <w:sz w:val="18"/>
                <w:szCs w:val="18"/>
                <w:vertAlign w:val="superscript"/>
                <w:lang w:val="es-ES"/>
              </w:rPr>
              <w:t>Completado</w:t>
            </w:r>
          </w:p>
          <w:p w14:paraId="71D458D8" w14:textId="77777777" w:rsidR="002A40A3" w:rsidRPr="00BF7E2B" w:rsidRDefault="002A40A3" w:rsidP="008876D2">
            <w:pPr>
              <w:pStyle w:val="Tabletext"/>
              <w:rPr>
                <w:rFonts w:ascii="Aptos" w:hAnsi="Aptos"/>
                <w:sz w:val="18"/>
                <w:szCs w:val="18"/>
                <w:lang w:val="es-ES"/>
              </w:rPr>
            </w:pPr>
            <w:r w:rsidRPr="00BF7E2B">
              <w:rPr>
                <w:sz w:val="18"/>
                <w:szCs w:val="18"/>
                <w:lang w:val="es-ES"/>
              </w:rPr>
              <w:t xml:space="preserve">Gestión de tesorería </w:t>
            </w:r>
            <w:r w:rsidRPr="00BF7E2B">
              <w:rPr>
                <w:sz w:val="18"/>
                <w:szCs w:val="18"/>
                <w:vertAlign w:val="superscript"/>
                <w:lang w:val="es-ES"/>
              </w:rPr>
              <w:t>Completado</w:t>
            </w:r>
          </w:p>
        </w:tc>
        <w:tc>
          <w:tcPr>
            <w:tcW w:w="17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F0F7"/>
            <w:tcMar>
              <w:top w:w="15" w:type="dxa"/>
              <w:left w:w="15" w:type="dxa"/>
              <w:bottom w:w="15" w:type="dxa"/>
              <w:right w:w="15" w:type="dxa"/>
            </w:tcMar>
          </w:tcPr>
          <w:p w14:paraId="7A61522C" w14:textId="77777777" w:rsidR="002A40A3" w:rsidRPr="00BF7E2B" w:rsidRDefault="002A40A3" w:rsidP="005B3432">
            <w:pPr>
              <w:pStyle w:val="Tabletext"/>
              <w:spacing w:after="120"/>
              <w:rPr>
                <w:rFonts w:ascii="Aptos" w:eastAsia="Arial" w:hAnsi="Aptos" w:cs="Arial"/>
                <w:b/>
                <w:bCs/>
                <w:color w:val="000000" w:themeColor="text1"/>
                <w:sz w:val="18"/>
                <w:szCs w:val="18"/>
                <w:lang w:val="es-ES"/>
              </w:rPr>
            </w:pPr>
            <w:r w:rsidRPr="00BF7E2B">
              <w:rPr>
                <w:b/>
                <w:bCs/>
                <w:sz w:val="18"/>
                <w:szCs w:val="18"/>
                <w:lang w:val="es-ES"/>
              </w:rPr>
              <w:t>Colaboración con las Naciones Unidas/ecosistema digital</w:t>
            </w:r>
          </w:p>
          <w:p w14:paraId="7714A46C" w14:textId="737CF7FE" w:rsidR="002A40A3" w:rsidRPr="00BF7E2B" w:rsidRDefault="002A40A3" w:rsidP="005B3432">
            <w:pPr>
              <w:pStyle w:val="Tabletext"/>
              <w:spacing w:after="120"/>
              <w:rPr>
                <w:rFonts w:ascii="Aptos" w:eastAsia="Arial" w:hAnsi="Aptos" w:cs="Arial"/>
                <w:b/>
                <w:bCs/>
                <w:color w:val="000000" w:themeColor="text1"/>
                <w:sz w:val="18"/>
                <w:szCs w:val="18"/>
                <w:lang w:val="es-ES"/>
              </w:rPr>
            </w:pPr>
            <w:r w:rsidRPr="00BF7E2B">
              <w:rPr>
                <w:b/>
                <w:bCs/>
                <w:sz w:val="18"/>
                <w:szCs w:val="18"/>
                <w:lang w:val="es-ES"/>
              </w:rPr>
              <w:t>Sitio web, marca y comunicación externa</w:t>
            </w:r>
          </w:p>
          <w:p w14:paraId="630B9C26" w14:textId="77777777" w:rsidR="002A40A3" w:rsidRPr="00BF7E2B" w:rsidRDefault="002A40A3" w:rsidP="008876D2">
            <w:pPr>
              <w:pStyle w:val="Tabletext"/>
              <w:rPr>
                <w:rFonts w:ascii="Aptos" w:eastAsia="Aptos" w:hAnsi="Aptos" w:cs="Aptos"/>
                <w:b/>
                <w:bCs/>
                <w:color w:val="000000" w:themeColor="text1"/>
                <w:sz w:val="18"/>
                <w:szCs w:val="18"/>
                <w:lang w:val="es-ES"/>
              </w:rPr>
            </w:pPr>
            <w:r w:rsidRPr="00BF7E2B">
              <w:rPr>
                <w:b/>
                <w:bCs/>
                <w:sz w:val="18"/>
                <w:szCs w:val="18"/>
                <w:lang w:val="es-ES"/>
              </w:rPr>
              <w:t>Movilización de recursos</w:t>
            </w:r>
          </w:p>
          <w:p w14:paraId="7000963E" w14:textId="77777777" w:rsidR="002A40A3" w:rsidRPr="00BF7E2B" w:rsidRDefault="002A40A3" w:rsidP="005B3432">
            <w:pPr>
              <w:pStyle w:val="Tabletext"/>
              <w:spacing w:after="120"/>
              <w:rPr>
                <w:rFonts w:ascii="Aptos" w:eastAsia="Arial" w:hAnsi="Aptos" w:cs="Arial"/>
                <w:b/>
                <w:bCs/>
                <w:color w:val="000000" w:themeColor="text1"/>
                <w:sz w:val="18"/>
                <w:szCs w:val="18"/>
                <w:lang w:val="es-ES"/>
              </w:rPr>
            </w:pPr>
            <w:r w:rsidRPr="00BF7E2B">
              <w:rPr>
                <w:b/>
                <w:bCs/>
                <w:sz w:val="18"/>
                <w:szCs w:val="18"/>
                <w:lang w:val="es-ES"/>
              </w:rPr>
              <w:t>Gestión de conferencias y eventos</w:t>
            </w:r>
          </w:p>
          <w:p w14:paraId="095D65BC" w14:textId="77777777" w:rsidR="002A40A3" w:rsidRPr="00BF7E2B" w:rsidRDefault="002A40A3" w:rsidP="008876D2">
            <w:pPr>
              <w:pStyle w:val="Tabletext"/>
              <w:rPr>
                <w:rFonts w:ascii="Aptos" w:eastAsia="Aptos" w:hAnsi="Aptos" w:cs="Aptos"/>
                <w:b/>
                <w:bCs/>
                <w:color w:val="000000" w:themeColor="text1"/>
                <w:sz w:val="18"/>
                <w:szCs w:val="18"/>
                <w:lang w:val="es-ES"/>
              </w:rPr>
            </w:pPr>
            <w:r w:rsidRPr="00BF7E2B">
              <w:rPr>
                <w:b/>
                <w:bCs/>
                <w:sz w:val="18"/>
                <w:szCs w:val="18"/>
                <w:lang w:val="es-ES"/>
              </w:rPr>
              <w:t>Comunicación y medios</w:t>
            </w:r>
          </w:p>
          <w:p w14:paraId="73869153" w14:textId="701011BF" w:rsidR="002A40A3" w:rsidRPr="00BF7E2B" w:rsidRDefault="002A40A3" w:rsidP="008876D2">
            <w:pPr>
              <w:pStyle w:val="Tabletext"/>
              <w:rPr>
                <w:rFonts w:ascii="Aptos" w:eastAsia="Aptos" w:hAnsi="Aptos" w:cs="Aptos"/>
                <w:b/>
                <w:bCs/>
                <w:color w:val="000000" w:themeColor="text1"/>
                <w:sz w:val="18"/>
                <w:szCs w:val="18"/>
                <w:lang w:val="es-ES"/>
              </w:rPr>
            </w:pPr>
            <w:r w:rsidRPr="00BF7E2B">
              <w:rPr>
                <w:b/>
                <w:bCs/>
                <w:sz w:val="18"/>
                <w:szCs w:val="18"/>
                <w:lang w:val="es-ES"/>
              </w:rPr>
              <w:t>Sistema CRM</w:t>
            </w:r>
          </w:p>
        </w:tc>
      </w:tr>
      <w:tr w:rsidR="002A40A3" w:rsidRPr="00316863" w14:paraId="04F8D213" w14:textId="77777777" w:rsidTr="00BF7E2B">
        <w:trPr>
          <w:trHeight w:val="408"/>
        </w:trPr>
        <w:tc>
          <w:tcPr>
            <w:tcW w:w="9613" w:type="dxa"/>
            <w:gridSpan w:val="5"/>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5" w:type="dxa"/>
              <w:bottom w:w="15" w:type="dxa"/>
              <w:right w:w="15" w:type="dxa"/>
            </w:tcMar>
            <w:vAlign w:val="center"/>
          </w:tcPr>
          <w:p w14:paraId="774DF68F" w14:textId="77777777" w:rsidR="002A40A3" w:rsidRPr="00BF7E2B" w:rsidDel="00AA2E07" w:rsidRDefault="002A40A3" w:rsidP="000A7405">
            <w:pPr>
              <w:pStyle w:val="Tabletext"/>
              <w:jc w:val="center"/>
              <w:rPr>
                <w:rFonts w:ascii="Aptos" w:eastAsia="Aptos" w:hAnsi="Aptos" w:cs="Aptos"/>
                <w:b/>
                <w:bCs/>
                <w:color w:val="000000" w:themeColor="text1"/>
                <w:sz w:val="18"/>
                <w:szCs w:val="18"/>
                <w:lang w:val="es-ES"/>
              </w:rPr>
            </w:pPr>
            <w:r w:rsidRPr="00BF7E2B">
              <w:rPr>
                <w:b/>
                <w:bCs/>
                <w:sz w:val="18"/>
                <w:szCs w:val="18"/>
                <w:lang w:val="es-ES"/>
              </w:rPr>
              <w:lastRenderedPageBreak/>
              <w:t>PRÓXIMAS INICIATIVAS</w:t>
            </w:r>
          </w:p>
        </w:tc>
      </w:tr>
      <w:tr w:rsidR="002A40A3" w:rsidRPr="00316863" w14:paraId="2F2A2030" w14:textId="77777777" w:rsidTr="00BF7E2B">
        <w:trPr>
          <w:trHeight w:val="2810"/>
        </w:trPr>
        <w:tc>
          <w:tcPr>
            <w:tcW w:w="18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5" w:type="dxa"/>
              <w:bottom w:w="15" w:type="dxa"/>
              <w:right w:w="15" w:type="dxa"/>
            </w:tcMar>
          </w:tcPr>
          <w:p w14:paraId="589FDBC6" w14:textId="77777777" w:rsidR="002A40A3" w:rsidRPr="00BF7E2B" w:rsidRDefault="002A40A3" w:rsidP="005B3432">
            <w:pPr>
              <w:pStyle w:val="Tabletext"/>
              <w:spacing w:after="120"/>
              <w:rPr>
                <w:rFonts w:ascii="Aptos" w:eastAsia="Aptos" w:hAnsi="Aptos" w:cs="Aptos"/>
                <w:color w:val="000000" w:themeColor="text1"/>
                <w:sz w:val="18"/>
                <w:szCs w:val="18"/>
                <w:lang w:val="es-ES"/>
              </w:rPr>
            </w:pPr>
            <w:r w:rsidRPr="00BF7E2B">
              <w:rPr>
                <w:sz w:val="18"/>
                <w:szCs w:val="18"/>
                <w:lang w:val="es-ES"/>
              </w:rPr>
              <w:t xml:space="preserve">Gestión de riesgos y conformidad </w:t>
            </w:r>
          </w:p>
          <w:p w14:paraId="47C64429" w14:textId="77777777" w:rsidR="002A40A3" w:rsidRPr="00BF7E2B" w:rsidRDefault="002A40A3" w:rsidP="005B3432">
            <w:pPr>
              <w:pStyle w:val="Tabletext"/>
              <w:spacing w:after="120"/>
              <w:rPr>
                <w:rFonts w:ascii="Aptos" w:eastAsia="Aptos" w:hAnsi="Aptos" w:cs="Aptos"/>
                <w:color w:val="000000" w:themeColor="text1"/>
                <w:sz w:val="18"/>
                <w:szCs w:val="18"/>
                <w:lang w:val="es-ES"/>
              </w:rPr>
            </w:pPr>
            <w:r w:rsidRPr="00BF7E2B">
              <w:rPr>
                <w:sz w:val="18"/>
                <w:szCs w:val="18"/>
                <w:lang w:val="es-ES"/>
              </w:rPr>
              <w:t>Priorización estratégica y armonización financiera</w:t>
            </w:r>
          </w:p>
          <w:p w14:paraId="3BEFED75" w14:textId="72D914AB" w:rsidR="002A40A3" w:rsidRPr="00BF7E2B" w:rsidRDefault="002A40A3" w:rsidP="008876D2">
            <w:pPr>
              <w:pStyle w:val="Tabletext"/>
              <w:rPr>
                <w:rFonts w:ascii="Aptos" w:eastAsia="Aptos" w:hAnsi="Aptos" w:cs="Aptos"/>
                <w:color w:val="000000" w:themeColor="text1"/>
                <w:sz w:val="18"/>
                <w:szCs w:val="18"/>
                <w:lang w:val="es-ES"/>
              </w:rPr>
            </w:pPr>
            <w:r w:rsidRPr="00BF7E2B">
              <w:rPr>
                <w:sz w:val="18"/>
                <w:szCs w:val="18"/>
                <w:lang w:val="es-ES"/>
              </w:rPr>
              <w:t>Gobernanza institucional y marco de toma de decisiones</w:t>
            </w:r>
          </w:p>
          <w:p w14:paraId="7BD8D2D6" w14:textId="77777777" w:rsidR="002A40A3" w:rsidRPr="00BF7E2B" w:rsidRDefault="002A40A3" w:rsidP="008876D2">
            <w:pPr>
              <w:pStyle w:val="Tabletext"/>
              <w:rPr>
                <w:rFonts w:ascii="Aptos" w:eastAsia="Aptos" w:hAnsi="Aptos" w:cs="Aptos"/>
                <w:color w:val="000000" w:themeColor="text1"/>
                <w:sz w:val="18"/>
                <w:szCs w:val="18"/>
                <w:lang w:val="es-ES"/>
              </w:rPr>
            </w:pPr>
            <w:r w:rsidRPr="00BF7E2B">
              <w:rPr>
                <w:sz w:val="18"/>
                <w:szCs w:val="18"/>
                <w:lang w:val="es-ES"/>
              </w:rPr>
              <w:t>Marco basado en los resultados</w:t>
            </w:r>
          </w:p>
          <w:p w14:paraId="77796607" w14:textId="0CFAD57E" w:rsidR="002A40A3" w:rsidRPr="00BF7E2B" w:rsidRDefault="002A40A3" w:rsidP="008876D2">
            <w:pPr>
              <w:pStyle w:val="Tabletext"/>
              <w:rPr>
                <w:rFonts w:ascii="Aptos" w:eastAsia="Arial" w:hAnsi="Aptos" w:cs="Arial"/>
                <w:color w:val="000000" w:themeColor="text1"/>
                <w:sz w:val="18"/>
                <w:szCs w:val="18"/>
                <w:lang w:val="es-ES"/>
              </w:rPr>
            </w:pPr>
            <w:r w:rsidRPr="00BF7E2B">
              <w:rPr>
                <w:sz w:val="18"/>
                <w:szCs w:val="18"/>
                <w:lang w:val="es-ES"/>
              </w:rPr>
              <w:t>Marco de control interno</w:t>
            </w:r>
          </w:p>
        </w:tc>
        <w:tc>
          <w:tcPr>
            <w:tcW w:w="192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5" w:type="dxa"/>
              <w:bottom w:w="15" w:type="dxa"/>
              <w:right w:w="15" w:type="dxa"/>
            </w:tcMar>
          </w:tcPr>
          <w:p w14:paraId="074C0E29" w14:textId="77777777" w:rsidR="002A40A3" w:rsidRPr="00BF7E2B" w:rsidRDefault="002A40A3" w:rsidP="005B3432">
            <w:pPr>
              <w:pStyle w:val="Tabletext"/>
              <w:spacing w:after="120"/>
              <w:rPr>
                <w:rFonts w:ascii="Aptos" w:hAnsi="Aptos"/>
                <w:sz w:val="18"/>
                <w:szCs w:val="18"/>
                <w:lang w:val="es-ES"/>
              </w:rPr>
            </w:pPr>
            <w:r w:rsidRPr="00BF7E2B">
              <w:rPr>
                <w:sz w:val="18"/>
                <w:szCs w:val="18"/>
                <w:lang w:val="es-ES"/>
              </w:rPr>
              <w:t xml:space="preserve">Gestión de documentos </w:t>
            </w:r>
          </w:p>
          <w:p w14:paraId="11A2F215" w14:textId="77777777" w:rsidR="002A40A3" w:rsidRPr="00BF7E2B" w:rsidRDefault="002A40A3" w:rsidP="005B3432">
            <w:pPr>
              <w:pStyle w:val="Tabletext"/>
              <w:spacing w:after="120"/>
              <w:rPr>
                <w:rFonts w:ascii="Aptos" w:eastAsia="Arial" w:hAnsi="Aptos" w:cs="Arial"/>
                <w:color w:val="000000" w:themeColor="text1"/>
                <w:sz w:val="18"/>
                <w:szCs w:val="18"/>
                <w:lang w:val="es-ES"/>
              </w:rPr>
            </w:pPr>
            <w:r w:rsidRPr="00BF7E2B">
              <w:rPr>
                <w:sz w:val="18"/>
                <w:szCs w:val="18"/>
                <w:lang w:val="es-ES"/>
              </w:rPr>
              <w:t xml:space="preserve">Modelo operativo objetivo </w:t>
            </w:r>
          </w:p>
          <w:p w14:paraId="46D28D79" w14:textId="77777777" w:rsidR="005B3432" w:rsidRPr="00BF7E2B" w:rsidRDefault="002A40A3" w:rsidP="005B3432">
            <w:pPr>
              <w:pStyle w:val="Tabletext"/>
              <w:spacing w:before="120" w:after="120"/>
              <w:rPr>
                <w:sz w:val="18"/>
                <w:szCs w:val="18"/>
                <w:lang w:val="es-ES"/>
              </w:rPr>
            </w:pPr>
            <w:r w:rsidRPr="00BF7E2B">
              <w:rPr>
                <w:sz w:val="18"/>
                <w:szCs w:val="18"/>
                <w:lang w:val="es-ES"/>
              </w:rPr>
              <w:t>Mejora de procesos continua y austera</w:t>
            </w:r>
          </w:p>
          <w:p w14:paraId="53FFFDEE" w14:textId="4919D36D" w:rsidR="002A40A3" w:rsidRPr="00BF7E2B" w:rsidRDefault="002A40A3" w:rsidP="005B3432">
            <w:pPr>
              <w:pStyle w:val="Tabletext"/>
              <w:spacing w:before="120" w:after="120"/>
              <w:rPr>
                <w:rFonts w:ascii="Aptos" w:hAnsi="Aptos"/>
                <w:sz w:val="18"/>
                <w:szCs w:val="18"/>
                <w:lang w:val="es-ES"/>
              </w:rPr>
            </w:pPr>
            <w:r w:rsidRPr="00BF7E2B">
              <w:rPr>
                <w:sz w:val="18"/>
                <w:szCs w:val="18"/>
                <w:lang w:val="es-ES"/>
              </w:rPr>
              <w:t>Arquitectura empresarial</w:t>
            </w:r>
          </w:p>
          <w:p w14:paraId="653F0752" w14:textId="77777777" w:rsidR="002A40A3" w:rsidRPr="00BF7E2B" w:rsidRDefault="002A40A3" w:rsidP="005B3432">
            <w:pPr>
              <w:pStyle w:val="Tabletext"/>
              <w:spacing w:after="120"/>
              <w:rPr>
                <w:rFonts w:ascii="Aptos" w:eastAsia="Arial" w:hAnsi="Aptos" w:cs="Arial"/>
                <w:color w:val="000000" w:themeColor="text1"/>
                <w:sz w:val="18"/>
                <w:szCs w:val="18"/>
                <w:lang w:val="es-ES"/>
              </w:rPr>
            </w:pPr>
            <w:r w:rsidRPr="00BF7E2B">
              <w:rPr>
                <w:sz w:val="18"/>
                <w:szCs w:val="18"/>
                <w:lang w:val="es-ES"/>
              </w:rPr>
              <w:t>Estrategia y gestión de datos</w:t>
            </w:r>
          </w:p>
          <w:p w14:paraId="1195D292" w14:textId="77777777" w:rsidR="000A7405" w:rsidRPr="00BF7E2B" w:rsidRDefault="002A40A3" w:rsidP="005B3432">
            <w:pPr>
              <w:pStyle w:val="Tabletext"/>
              <w:spacing w:after="120"/>
              <w:rPr>
                <w:rFonts w:ascii="Aptos" w:hAnsi="Aptos"/>
                <w:sz w:val="18"/>
                <w:szCs w:val="18"/>
                <w:lang w:val="es-ES"/>
              </w:rPr>
            </w:pPr>
            <w:r w:rsidRPr="00BF7E2B">
              <w:rPr>
                <w:sz w:val="18"/>
                <w:szCs w:val="18"/>
                <w:lang w:val="es-ES"/>
              </w:rPr>
              <w:t xml:space="preserve">Revisión de la plataforma tecnológica </w:t>
            </w:r>
          </w:p>
          <w:p w14:paraId="67799CCD" w14:textId="56FB51B2" w:rsidR="002A40A3" w:rsidRPr="00BF7E2B" w:rsidDel="00AA2E07" w:rsidRDefault="002A40A3" w:rsidP="005B3432">
            <w:pPr>
              <w:pStyle w:val="Tabletext"/>
              <w:spacing w:after="120"/>
              <w:rPr>
                <w:rFonts w:ascii="Aptos" w:hAnsi="Aptos"/>
                <w:sz w:val="18"/>
                <w:szCs w:val="18"/>
                <w:lang w:val="es-ES"/>
              </w:rPr>
            </w:pPr>
            <w:r w:rsidRPr="00BF7E2B">
              <w:rPr>
                <w:sz w:val="18"/>
                <w:szCs w:val="18"/>
                <w:lang w:val="es-ES"/>
              </w:rPr>
              <w:t>Modelo de prestación de servicios de TI</w:t>
            </w:r>
          </w:p>
        </w:tc>
        <w:tc>
          <w:tcPr>
            <w:tcW w:w="203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5" w:type="dxa"/>
              <w:bottom w:w="15" w:type="dxa"/>
              <w:right w:w="15" w:type="dxa"/>
            </w:tcMar>
          </w:tcPr>
          <w:p w14:paraId="0D13BF80" w14:textId="77777777" w:rsidR="000A7405" w:rsidRPr="00BF7E2B" w:rsidRDefault="002A40A3" w:rsidP="005B3432">
            <w:pPr>
              <w:pStyle w:val="Tabletext"/>
              <w:spacing w:after="120"/>
              <w:rPr>
                <w:rFonts w:ascii="Aptos" w:eastAsia="Arial" w:hAnsi="Aptos" w:cs="Arial"/>
                <w:color w:val="000000" w:themeColor="text1"/>
                <w:sz w:val="18"/>
                <w:szCs w:val="18"/>
                <w:lang w:val="es-ES"/>
              </w:rPr>
            </w:pPr>
            <w:r w:rsidRPr="00BF7E2B">
              <w:rPr>
                <w:sz w:val="18"/>
                <w:szCs w:val="18"/>
                <w:lang w:val="es-ES"/>
              </w:rPr>
              <w:t>Desarrollo de aptitudes, competencias y talentos</w:t>
            </w:r>
          </w:p>
          <w:p w14:paraId="3E238F6F" w14:textId="20CCDE40" w:rsidR="002A40A3" w:rsidRPr="00BF7E2B" w:rsidRDefault="002A40A3" w:rsidP="005B3432">
            <w:pPr>
              <w:pStyle w:val="Tabletext"/>
              <w:spacing w:after="120"/>
              <w:rPr>
                <w:rFonts w:ascii="Aptos" w:eastAsia="Arial" w:hAnsi="Aptos" w:cs="Arial"/>
                <w:color w:val="000000" w:themeColor="text1"/>
                <w:sz w:val="18"/>
                <w:szCs w:val="18"/>
                <w:lang w:val="es-ES"/>
              </w:rPr>
            </w:pPr>
            <w:r w:rsidRPr="00BF7E2B">
              <w:rPr>
                <w:sz w:val="18"/>
                <w:szCs w:val="18"/>
                <w:lang w:val="es-ES"/>
              </w:rPr>
              <w:t>Modelo de prestación de servicios de recursos humanos</w:t>
            </w:r>
          </w:p>
          <w:p w14:paraId="27B0C798" w14:textId="77777777" w:rsidR="000A7405" w:rsidRPr="00BF7E2B" w:rsidRDefault="002A40A3" w:rsidP="005B3432">
            <w:pPr>
              <w:pStyle w:val="Tabletext"/>
              <w:spacing w:after="120"/>
              <w:rPr>
                <w:rFonts w:ascii="Aptos" w:eastAsia="Arial" w:hAnsi="Aptos" w:cs="Arial"/>
                <w:color w:val="000000" w:themeColor="text1"/>
                <w:sz w:val="18"/>
                <w:szCs w:val="18"/>
                <w:lang w:val="es-ES"/>
              </w:rPr>
            </w:pPr>
            <w:r w:rsidRPr="00BF7E2B">
              <w:rPr>
                <w:sz w:val="18"/>
                <w:szCs w:val="18"/>
                <w:lang w:val="es-ES"/>
              </w:rPr>
              <w:t xml:space="preserve">Administración del personal </w:t>
            </w:r>
          </w:p>
          <w:p w14:paraId="56924B5D" w14:textId="080BBC53" w:rsidR="002A40A3" w:rsidRPr="00BF7E2B" w:rsidRDefault="002A40A3" w:rsidP="005B3432">
            <w:pPr>
              <w:pStyle w:val="Tabletext"/>
              <w:spacing w:after="120"/>
              <w:rPr>
                <w:rFonts w:ascii="Aptos" w:eastAsia="Arial" w:hAnsi="Aptos" w:cs="Arial"/>
                <w:color w:val="000000" w:themeColor="text1"/>
                <w:sz w:val="18"/>
                <w:szCs w:val="18"/>
                <w:lang w:val="es-ES"/>
              </w:rPr>
            </w:pPr>
            <w:r w:rsidRPr="00BF7E2B">
              <w:rPr>
                <w:sz w:val="18"/>
                <w:szCs w:val="18"/>
                <w:lang w:val="es-ES"/>
              </w:rPr>
              <w:t>Nómina</w:t>
            </w:r>
          </w:p>
          <w:p w14:paraId="60EC7C5D" w14:textId="77777777" w:rsidR="000A7405" w:rsidRPr="00BF7E2B" w:rsidRDefault="002A40A3" w:rsidP="005B3432">
            <w:pPr>
              <w:pStyle w:val="Tabletext"/>
              <w:spacing w:after="120"/>
              <w:rPr>
                <w:rFonts w:ascii="Aptos" w:eastAsia="Arial" w:hAnsi="Aptos" w:cs="Arial"/>
                <w:color w:val="000000" w:themeColor="text1"/>
                <w:sz w:val="18"/>
                <w:szCs w:val="18"/>
                <w:lang w:val="es-ES"/>
              </w:rPr>
            </w:pPr>
            <w:r w:rsidRPr="00BF7E2B">
              <w:rPr>
                <w:sz w:val="18"/>
                <w:szCs w:val="18"/>
                <w:lang w:val="es-ES"/>
              </w:rPr>
              <w:t>Planificación de reemplazos</w:t>
            </w:r>
          </w:p>
          <w:p w14:paraId="0343E047" w14:textId="6B6BD732" w:rsidR="002A40A3" w:rsidRPr="00BF7E2B" w:rsidRDefault="002A40A3" w:rsidP="005B3432">
            <w:pPr>
              <w:pStyle w:val="Tabletext"/>
              <w:spacing w:after="120"/>
              <w:rPr>
                <w:rFonts w:ascii="Aptos" w:eastAsia="Arial" w:hAnsi="Aptos" w:cs="Arial"/>
                <w:color w:val="000000" w:themeColor="text1"/>
                <w:sz w:val="18"/>
                <w:szCs w:val="18"/>
                <w:lang w:val="es-ES"/>
              </w:rPr>
            </w:pPr>
            <w:r w:rsidRPr="00BF7E2B">
              <w:rPr>
                <w:sz w:val="18"/>
                <w:szCs w:val="18"/>
                <w:lang w:val="es-ES"/>
              </w:rPr>
              <w:t>Paridad de género</w:t>
            </w:r>
          </w:p>
          <w:p w14:paraId="36885F58" w14:textId="77777777" w:rsidR="002A40A3" w:rsidRPr="00BF7E2B" w:rsidRDefault="002A40A3" w:rsidP="008876D2">
            <w:pPr>
              <w:pStyle w:val="Tabletext"/>
              <w:rPr>
                <w:rFonts w:ascii="Aptos" w:hAnsi="Aptos"/>
                <w:sz w:val="18"/>
                <w:szCs w:val="18"/>
                <w:lang w:val="es-ES"/>
              </w:rPr>
            </w:pPr>
            <w:r w:rsidRPr="00BF7E2B">
              <w:rPr>
                <w:sz w:val="18"/>
                <w:szCs w:val="18"/>
                <w:lang w:val="es-ES"/>
              </w:rPr>
              <w:t>Sistema ERP (Recursos humanos)</w:t>
            </w:r>
          </w:p>
        </w:tc>
        <w:tc>
          <w:tcPr>
            <w:tcW w:w="19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5" w:type="dxa"/>
              <w:bottom w:w="15" w:type="dxa"/>
              <w:right w:w="15" w:type="dxa"/>
            </w:tcMar>
          </w:tcPr>
          <w:p w14:paraId="28BE8A56" w14:textId="77777777" w:rsidR="002A40A3" w:rsidRPr="00BF7E2B" w:rsidRDefault="002A40A3" w:rsidP="005B3432">
            <w:pPr>
              <w:pStyle w:val="Tabletext"/>
              <w:spacing w:after="120"/>
              <w:rPr>
                <w:rFonts w:ascii="Aptos" w:eastAsia="Arial" w:hAnsi="Aptos" w:cs="Arial"/>
                <w:color w:val="000000" w:themeColor="text1"/>
                <w:sz w:val="18"/>
                <w:szCs w:val="18"/>
                <w:lang w:val="es-ES"/>
              </w:rPr>
            </w:pPr>
            <w:r w:rsidRPr="00BF7E2B">
              <w:rPr>
                <w:sz w:val="18"/>
                <w:szCs w:val="18"/>
                <w:lang w:val="es-ES"/>
              </w:rPr>
              <w:t>Planificación y presupuestación</w:t>
            </w:r>
          </w:p>
          <w:p w14:paraId="63C34802" w14:textId="77777777" w:rsidR="002A40A3" w:rsidRPr="00BF7E2B" w:rsidRDefault="002A40A3" w:rsidP="005B3432">
            <w:pPr>
              <w:pStyle w:val="Tabletext"/>
              <w:spacing w:after="120"/>
              <w:rPr>
                <w:rFonts w:ascii="Aptos" w:eastAsia="Arial" w:hAnsi="Aptos" w:cs="Arial"/>
                <w:color w:val="000000" w:themeColor="text1"/>
                <w:sz w:val="18"/>
                <w:szCs w:val="18"/>
                <w:lang w:val="es-ES"/>
              </w:rPr>
            </w:pPr>
            <w:r w:rsidRPr="00BF7E2B">
              <w:rPr>
                <w:sz w:val="18"/>
                <w:szCs w:val="18"/>
                <w:lang w:val="es-ES"/>
              </w:rPr>
              <w:t>Gestión de adquisiciones y contratos</w:t>
            </w:r>
          </w:p>
          <w:p w14:paraId="1D30C985" w14:textId="77777777" w:rsidR="002A40A3" w:rsidRPr="00BF7E2B" w:rsidRDefault="002A40A3" w:rsidP="005B3432">
            <w:pPr>
              <w:pStyle w:val="Tabletext"/>
              <w:spacing w:after="120"/>
              <w:rPr>
                <w:rFonts w:ascii="Aptos" w:eastAsia="Aptos" w:hAnsi="Aptos" w:cs="Aptos"/>
                <w:color w:val="000000" w:themeColor="text1"/>
                <w:sz w:val="18"/>
                <w:szCs w:val="18"/>
                <w:lang w:val="es-ES"/>
              </w:rPr>
            </w:pPr>
            <w:r w:rsidRPr="00BF7E2B">
              <w:rPr>
                <w:sz w:val="18"/>
                <w:szCs w:val="18"/>
                <w:lang w:val="es-ES"/>
              </w:rPr>
              <w:t>Contabilidad financiera y presentación de informes</w:t>
            </w:r>
          </w:p>
          <w:p w14:paraId="36B5335D" w14:textId="77777777" w:rsidR="002A40A3" w:rsidRPr="00BF7E2B" w:rsidRDefault="002A40A3" w:rsidP="008876D2">
            <w:pPr>
              <w:pStyle w:val="Tabletext"/>
              <w:rPr>
                <w:rFonts w:ascii="Aptos" w:hAnsi="Aptos"/>
                <w:sz w:val="18"/>
                <w:szCs w:val="18"/>
                <w:lang w:val="es-ES"/>
              </w:rPr>
            </w:pPr>
            <w:r w:rsidRPr="00BF7E2B">
              <w:rPr>
                <w:sz w:val="18"/>
                <w:szCs w:val="18"/>
                <w:lang w:val="es-ES"/>
              </w:rPr>
              <w:t>Sistema ERP (Finanzas)</w:t>
            </w:r>
          </w:p>
        </w:tc>
        <w:tc>
          <w:tcPr>
            <w:tcW w:w="179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5" w:type="dxa"/>
              <w:bottom w:w="15" w:type="dxa"/>
              <w:right w:w="15" w:type="dxa"/>
            </w:tcMar>
          </w:tcPr>
          <w:p w14:paraId="35AD5B48" w14:textId="4C138F9A" w:rsidR="002A40A3" w:rsidRPr="00BF7E2B" w:rsidDel="00AA2E07" w:rsidRDefault="002A40A3" w:rsidP="005B3432">
            <w:pPr>
              <w:pStyle w:val="Tabletext"/>
              <w:spacing w:after="120"/>
              <w:rPr>
                <w:rFonts w:ascii="Aptos" w:eastAsia="Aptos" w:hAnsi="Aptos" w:cs="Aptos"/>
                <w:color w:val="000000" w:themeColor="text1"/>
                <w:sz w:val="18"/>
                <w:szCs w:val="18"/>
                <w:lang w:val="es-ES"/>
              </w:rPr>
            </w:pPr>
            <w:r w:rsidRPr="00BF7E2B">
              <w:rPr>
                <w:sz w:val="18"/>
                <w:szCs w:val="18"/>
                <w:lang w:val="es-ES"/>
              </w:rPr>
              <w:t>Modelo de prestación de servicios</w:t>
            </w:r>
          </w:p>
          <w:p w14:paraId="5693A20F" w14:textId="2578D5D9" w:rsidR="002A40A3" w:rsidRPr="00BF7E2B" w:rsidDel="00AA2E07" w:rsidRDefault="002A40A3" w:rsidP="005B3432">
            <w:pPr>
              <w:pStyle w:val="Tabletext"/>
              <w:spacing w:after="120"/>
              <w:rPr>
                <w:sz w:val="18"/>
                <w:szCs w:val="18"/>
                <w:lang w:val="es-ES"/>
              </w:rPr>
            </w:pPr>
            <w:r w:rsidRPr="00BF7E2B">
              <w:rPr>
                <w:sz w:val="18"/>
                <w:szCs w:val="18"/>
                <w:lang w:val="es-ES"/>
              </w:rPr>
              <w:t xml:space="preserve">Relaciones con los Miembros </w:t>
            </w:r>
          </w:p>
          <w:p w14:paraId="67DD4843" w14:textId="27B0A393" w:rsidR="002A40A3" w:rsidRPr="00BF7E2B" w:rsidDel="00AA2E07" w:rsidRDefault="002A40A3" w:rsidP="008876D2">
            <w:pPr>
              <w:pStyle w:val="Tabletext"/>
              <w:rPr>
                <w:sz w:val="18"/>
                <w:szCs w:val="18"/>
                <w:lang w:val="es-ES"/>
              </w:rPr>
            </w:pPr>
            <w:r w:rsidRPr="00BF7E2B">
              <w:rPr>
                <w:sz w:val="18"/>
                <w:szCs w:val="18"/>
                <w:lang w:val="es-ES"/>
              </w:rPr>
              <w:t>Productos y servicios modernos</w:t>
            </w:r>
            <w:r w:rsidRPr="00BF7E2B">
              <w:rPr>
                <w:rFonts w:ascii="Aptos" w:eastAsia="Aptos" w:hAnsi="Aptos" w:cs="Aptos"/>
                <w:color w:val="000000" w:themeColor="text1"/>
                <w:sz w:val="18"/>
                <w:szCs w:val="18"/>
                <w:lang w:val="es-ES"/>
              </w:rPr>
              <w:t xml:space="preserve"> </w:t>
            </w:r>
          </w:p>
        </w:tc>
      </w:tr>
    </w:tbl>
    <w:p w14:paraId="689883CC" w14:textId="70D43455" w:rsidR="002A40A3" w:rsidRPr="00316863" w:rsidRDefault="001B6E7B" w:rsidP="00B0749F">
      <w:pPr>
        <w:pStyle w:val="Heading1"/>
        <w:jc w:val="both"/>
        <w:rPr>
          <w:rFonts w:asciiTheme="minorHAnsi" w:eastAsiaTheme="minorEastAsia" w:hAnsiTheme="minorHAnsi" w:cstheme="minorBidi"/>
          <w:b w:val="0"/>
          <w:color w:val="000000" w:themeColor="text1"/>
          <w:szCs w:val="24"/>
          <w:lang w:val="es-ES"/>
        </w:rPr>
      </w:pPr>
      <w:r>
        <w:rPr>
          <w:sz w:val="24"/>
          <w:szCs w:val="24"/>
          <w:lang w:val="es-ES"/>
        </w:rPr>
        <w:t>3</w:t>
      </w:r>
      <w:r>
        <w:rPr>
          <w:sz w:val="24"/>
          <w:szCs w:val="24"/>
          <w:lang w:val="es-ES"/>
        </w:rPr>
        <w:tab/>
      </w:r>
      <w:r w:rsidR="002A40A3" w:rsidRPr="001B6E7B">
        <w:rPr>
          <w:sz w:val="24"/>
          <w:szCs w:val="24"/>
          <w:lang w:val="es-ES"/>
        </w:rPr>
        <w:t>Avances en las iniciativas de la Transformación</w:t>
      </w:r>
    </w:p>
    <w:p w14:paraId="3E050EA3" w14:textId="77777777" w:rsidR="002A40A3" w:rsidRPr="00316863" w:rsidRDefault="002A40A3" w:rsidP="002A40A3">
      <w:pPr>
        <w:jc w:val="both"/>
        <w:rPr>
          <w:rFonts w:asciiTheme="minorHAnsi" w:eastAsiaTheme="minorEastAsia" w:hAnsiTheme="minorHAnsi" w:cstheme="minorBidi"/>
          <w:color w:val="000000" w:themeColor="text1"/>
          <w:szCs w:val="24"/>
          <w:lang w:val="es-ES"/>
        </w:rPr>
      </w:pPr>
      <w:r w:rsidRPr="00316863">
        <w:rPr>
          <w:lang w:val="es-ES"/>
        </w:rPr>
        <w:t xml:space="preserve">Desde la última vez que se facilitó información actualizada al Consejo, se han registrado avances en varias iniciativas de la Transformación, incluidas las seis iniciativas aceleradas. </w:t>
      </w:r>
    </w:p>
    <w:p w14:paraId="630F61C6" w14:textId="77777777" w:rsidR="002A40A3" w:rsidRPr="00316863" w:rsidRDefault="002A40A3" w:rsidP="002A40A3">
      <w:pPr>
        <w:jc w:val="both"/>
        <w:rPr>
          <w:rFonts w:asciiTheme="minorHAnsi" w:eastAsiaTheme="minorEastAsia" w:hAnsiTheme="minorHAnsi" w:cstheme="minorBidi"/>
          <w:color w:val="000000" w:themeColor="text1"/>
          <w:szCs w:val="24"/>
          <w:lang w:val="es-ES"/>
        </w:rPr>
      </w:pPr>
      <w:r w:rsidRPr="00316863">
        <w:rPr>
          <w:lang w:val="es-ES"/>
        </w:rPr>
        <w:t xml:space="preserve">Estas iniciativas se han seleccionado tras valorar su preparación y repercusión empresariales y sus costes, beneficios y riesgos. A continuación se resumen los principales logros y trabajos realizados hasta la fecha. </w:t>
      </w:r>
    </w:p>
    <w:p w14:paraId="6026CB9C" w14:textId="77777777" w:rsidR="002A40A3" w:rsidRPr="00316863" w:rsidRDefault="002A40A3" w:rsidP="00F121A8">
      <w:pPr>
        <w:pStyle w:val="Heading2"/>
        <w:rPr>
          <w:rFonts w:asciiTheme="minorHAnsi" w:eastAsiaTheme="minorEastAsia" w:hAnsiTheme="minorHAnsi" w:cstheme="minorBidi"/>
          <w:color w:val="242424"/>
          <w:szCs w:val="24"/>
          <w:lang w:val="es-ES"/>
        </w:rPr>
      </w:pPr>
      <w:r w:rsidRPr="00316863">
        <w:rPr>
          <w:lang w:val="es-ES"/>
        </w:rPr>
        <w:t>3.1</w:t>
      </w:r>
      <w:r w:rsidRPr="00316863">
        <w:rPr>
          <w:lang w:val="es-ES"/>
        </w:rPr>
        <w:tab/>
        <w:t>Seis iniciativas aceleradas: proyectos prioritarios de la Transformación</w:t>
      </w:r>
    </w:p>
    <w:p w14:paraId="4B5E01FA" w14:textId="40C4E9F6" w:rsidR="002A40A3" w:rsidRPr="00316863" w:rsidRDefault="002A40A3" w:rsidP="00120920">
      <w:pPr>
        <w:pStyle w:val="Heading3"/>
        <w:tabs>
          <w:tab w:val="clear" w:pos="567"/>
        </w:tabs>
        <w:ind w:left="709" w:hanging="709"/>
        <w:rPr>
          <w:rFonts w:asciiTheme="minorHAnsi" w:eastAsiaTheme="minorEastAsia" w:hAnsiTheme="minorHAnsi" w:cstheme="minorBidi"/>
          <w:color w:val="242424"/>
          <w:szCs w:val="24"/>
          <w:lang w:val="es-ES"/>
        </w:rPr>
      </w:pPr>
      <w:r w:rsidRPr="00316863">
        <w:rPr>
          <w:lang w:val="es-ES"/>
        </w:rPr>
        <w:t>3.1.1</w:t>
      </w:r>
      <w:r w:rsidR="00120920">
        <w:rPr>
          <w:lang w:val="es-ES"/>
        </w:rPr>
        <w:tab/>
      </w:r>
      <w:r w:rsidRPr="00316863">
        <w:rPr>
          <w:lang w:val="es-ES"/>
        </w:rPr>
        <w:t>Gestión del rendimiento</w:t>
      </w:r>
    </w:p>
    <w:p w14:paraId="707EB9A5" w14:textId="77777777" w:rsidR="002A40A3" w:rsidRPr="00316863" w:rsidRDefault="002A40A3" w:rsidP="00B0749F">
      <w:pPr>
        <w:tabs>
          <w:tab w:val="clear" w:pos="567"/>
          <w:tab w:val="clear" w:pos="1134"/>
          <w:tab w:val="clear" w:pos="1701"/>
          <w:tab w:val="clear" w:pos="2268"/>
          <w:tab w:val="clear" w:pos="2835"/>
        </w:tabs>
        <w:jc w:val="both"/>
        <w:rPr>
          <w:rFonts w:eastAsiaTheme="minorEastAsia"/>
          <w:szCs w:val="24"/>
          <w:lang w:val="es-ES"/>
        </w:rPr>
      </w:pPr>
      <w:r w:rsidRPr="00316863">
        <w:rPr>
          <w:b/>
          <w:bCs/>
          <w:lang w:val="es-ES"/>
        </w:rPr>
        <w:t>Objetivo:</w:t>
      </w:r>
      <w:r w:rsidRPr="00316863">
        <w:rPr>
          <w:lang w:val="es-ES"/>
        </w:rPr>
        <w:t xml:space="preserve"> </w:t>
      </w:r>
      <w:r w:rsidRPr="00316863">
        <w:rPr>
          <w:i/>
          <w:iCs/>
          <w:lang w:val="es-ES"/>
        </w:rPr>
        <w:t>Poner en marcha un proceso de gestión del rendimiento más sencillo, justo y orientado a los resultados que motive a los empleados e impulse el éxito institucional</w:t>
      </w:r>
      <w:r w:rsidRPr="00316863">
        <w:rPr>
          <w:lang w:val="es-ES"/>
        </w:rPr>
        <w:t>.</w:t>
      </w:r>
    </w:p>
    <w:p w14:paraId="48A4E960" w14:textId="52B3FD93"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Se han simplificado las herramientas para realizar la evaluación de fin de año de 2024 y ejecutar el plan de trabajo de 2025 a fin de reducir a la mitad el tiempo de finalización, fortalecer la armonización de los objetivos con las prioridades institucionales de la UIT y crear un proceso general más eficiente que se centre en la retroalimentación periódica y sistemática.</w:t>
      </w:r>
    </w:p>
    <w:p w14:paraId="7999DA38" w14:textId="216820A0"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Se ha revisado el proceso de gestión del bajo rendimiento de la UIT para establecer un proceso más claro y racional de apoyo al personal y a sus gestores.</w:t>
      </w:r>
    </w:p>
    <w:p w14:paraId="1E558816" w14:textId="32B860C9"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Se ha preparado una nota conceptual para aplicar un marco de recompensas y reconocimiento nuevo y transparente a fin de reconocer el desempeño excelente y premiar la excelencia del equipo.</w:t>
      </w:r>
    </w:p>
    <w:p w14:paraId="525283A4" w14:textId="0629CA8D" w:rsidR="002A40A3" w:rsidRPr="00316863" w:rsidRDefault="002A40A3" w:rsidP="002A40A3">
      <w:pPr>
        <w:tabs>
          <w:tab w:val="clear" w:pos="567"/>
          <w:tab w:val="clear" w:pos="1134"/>
          <w:tab w:val="clear" w:pos="1701"/>
          <w:tab w:val="clear" w:pos="2268"/>
          <w:tab w:val="clear" w:pos="2835"/>
        </w:tabs>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 xml:space="preserve"> </w:t>
      </w:r>
      <w:r w:rsidRPr="00316863">
        <w:rPr>
          <w:lang w:val="es-ES"/>
        </w:rPr>
        <w:tab/>
        <w:t>Número de planes de trabajo completados a tiempo; Número de revisiones de fin de año completadas a tiempo; Porcentaje de problemas de rendimiento tratados en la etapa informal</w:t>
      </w:r>
      <w:r w:rsidR="00CF0B14">
        <w:rPr>
          <w:lang w:val="es-ES"/>
        </w:rPr>
        <w:t>.</w:t>
      </w:r>
    </w:p>
    <w:p w14:paraId="429107A4" w14:textId="77777777" w:rsidR="002A40A3" w:rsidRPr="00316863" w:rsidRDefault="002A40A3" w:rsidP="00B0749F">
      <w:pPr>
        <w:pStyle w:val="Heading3"/>
        <w:tabs>
          <w:tab w:val="clear" w:pos="567"/>
          <w:tab w:val="left" w:pos="709"/>
        </w:tabs>
        <w:ind w:left="709" w:hanging="709"/>
        <w:jc w:val="both"/>
        <w:rPr>
          <w:rFonts w:asciiTheme="minorHAnsi" w:eastAsiaTheme="minorEastAsia" w:hAnsiTheme="minorHAnsi" w:cstheme="minorBidi"/>
          <w:color w:val="242424"/>
          <w:szCs w:val="24"/>
          <w:lang w:val="es-ES"/>
        </w:rPr>
      </w:pPr>
      <w:r w:rsidRPr="00316863">
        <w:rPr>
          <w:lang w:val="es-ES"/>
        </w:rPr>
        <w:lastRenderedPageBreak/>
        <w:t>3.1.2</w:t>
      </w:r>
      <w:r w:rsidRPr="00316863">
        <w:rPr>
          <w:lang w:val="es-ES"/>
        </w:rPr>
        <w:tab/>
        <w:t>Implementación de la IA</w:t>
      </w:r>
    </w:p>
    <w:p w14:paraId="50DEE8FB" w14:textId="77777777" w:rsidR="002A40A3" w:rsidRPr="00316863" w:rsidRDefault="002A40A3" w:rsidP="00B0749F">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i/>
          <w:color w:val="242424"/>
          <w:szCs w:val="24"/>
          <w:lang w:val="es-ES"/>
        </w:rPr>
      </w:pPr>
      <w:r w:rsidRPr="00316863">
        <w:rPr>
          <w:b/>
          <w:bCs/>
          <w:lang w:val="es-ES"/>
        </w:rPr>
        <w:t xml:space="preserve">Objetivo: </w:t>
      </w:r>
      <w:r w:rsidRPr="00316863">
        <w:rPr>
          <w:i/>
          <w:iCs/>
          <w:lang w:val="es-ES"/>
        </w:rPr>
        <w:t>Aprovechar el potencial de la IA para impulsar la innovación, la eficiencia y la toma de decisiones, garantizando que la UIT mantenga una ventaja competitiva y ofrezca mayor valor a las partes interesadas.</w:t>
      </w:r>
    </w:p>
    <w:p w14:paraId="129CCD30" w14:textId="5B882094"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Se ha concedido la licencia a 100 expertos en Copilot y se ha lanzado un programa de mejora de habilidades a fin de ofrecer capacitación en el uso de Microsoft Copilot para una adopción eficaz. Se realizará la ampliación durante la segunda mitad de 2025 en función de los resultados de la prueba.</w:t>
      </w:r>
    </w:p>
    <w:p w14:paraId="24786269" w14:textId="6A48389F"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Se han redactado las primeras directrices para la utilización de la IA generativa en la UIT a fin de garantizar un uso ético y responsable de la tecnología.</w:t>
      </w:r>
    </w:p>
    <w:p w14:paraId="396423EC" w14:textId="6FB11C14"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Se ha iniciado la creación de prototipos de "agentes" de IA para facilitar la gestión de las tareas con varios pasos y de larga duración en diferentes flujos de negocio (RR.HH., finanzas, conferencias). </w:t>
      </w:r>
    </w:p>
    <w:p w14:paraId="51C2DD0A" w14:textId="6DA8F772"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lang w:val="es-ES"/>
        </w:rPr>
      </w:pPr>
      <w:r w:rsidRPr="00316863">
        <w:rPr>
          <w:b/>
          <w:bCs/>
          <w:lang w:val="es-ES"/>
        </w:rPr>
        <w:t>IFR:</w:t>
      </w:r>
      <w:r w:rsidRPr="00316863">
        <w:rPr>
          <w:lang w:val="es-ES"/>
        </w:rPr>
        <w:tab/>
        <w:t>Porcentaje de ahorro de tiempo tras la adopción de herramientas de IA para cada caso de uso; número de procesos automatizados desplegados; porcentaje de adopción del programa de expertos en Copilot; porcentaje de expertos en Copilot que han completado el programa de mejora de competencias</w:t>
      </w:r>
      <w:r w:rsidR="00CF0B14">
        <w:rPr>
          <w:lang w:val="es-ES"/>
        </w:rPr>
        <w:t>.</w:t>
      </w:r>
    </w:p>
    <w:p w14:paraId="3BA6AD56" w14:textId="77777777" w:rsidR="002A40A3" w:rsidRPr="00316863" w:rsidRDefault="002A40A3" w:rsidP="0090559A">
      <w:pPr>
        <w:pStyle w:val="Heading3"/>
        <w:tabs>
          <w:tab w:val="clear" w:pos="567"/>
        </w:tabs>
        <w:ind w:left="709" w:hanging="709"/>
        <w:jc w:val="both"/>
        <w:rPr>
          <w:rFonts w:asciiTheme="minorHAnsi" w:eastAsiaTheme="minorEastAsia" w:hAnsiTheme="minorHAnsi" w:cstheme="minorBidi"/>
          <w:b w:val="0"/>
          <w:color w:val="242424"/>
          <w:szCs w:val="24"/>
          <w:lang w:val="es-ES"/>
        </w:rPr>
      </w:pPr>
      <w:r w:rsidRPr="00316863">
        <w:rPr>
          <w:lang w:val="es-ES"/>
        </w:rPr>
        <w:t>3.1.3</w:t>
      </w:r>
      <w:r w:rsidRPr="00316863">
        <w:rPr>
          <w:lang w:val="es-ES"/>
        </w:rPr>
        <w:tab/>
      </w:r>
      <w:r w:rsidRPr="001B6E7B">
        <w:rPr>
          <w:lang w:val="es-ES"/>
        </w:rPr>
        <w:t>Cultura del liderazgo</w:t>
      </w:r>
      <w:r w:rsidRPr="00316863">
        <w:rPr>
          <w:lang w:val="es-ES"/>
        </w:rPr>
        <w:t xml:space="preserve"> </w:t>
      </w:r>
    </w:p>
    <w:p w14:paraId="04549AE1" w14:textId="47AA5C6F" w:rsidR="002A40A3" w:rsidRPr="00316863" w:rsidRDefault="002A40A3" w:rsidP="002A40A3">
      <w:pPr>
        <w:tabs>
          <w:tab w:val="clear" w:pos="567"/>
          <w:tab w:val="clear" w:pos="1134"/>
          <w:tab w:val="clear" w:pos="1701"/>
          <w:tab w:val="clear" w:pos="2268"/>
          <w:tab w:val="clear" w:pos="2835"/>
        </w:tabs>
        <w:jc w:val="both"/>
        <w:rPr>
          <w:rFonts w:eastAsiaTheme="minorEastAsia"/>
          <w:szCs w:val="24"/>
          <w:lang w:val="es-ES"/>
        </w:rPr>
      </w:pPr>
      <w:r w:rsidRPr="00316863">
        <w:rPr>
          <w:b/>
          <w:bCs/>
          <w:lang w:val="es-ES"/>
        </w:rPr>
        <w:t>Objetivo</w:t>
      </w:r>
      <w:r w:rsidRPr="00316863">
        <w:rPr>
          <w:lang w:val="es-ES"/>
        </w:rPr>
        <w:t xml:space="preserve">: </w:t>
      </w:r>
      <w:r w:rsidRPr="00316863">
        <w:rPr>
          <w:i/>
          <w:iCs/>
          <w:lang w:val="es-ES"/>
        </w:rPr>
        <w:t>Inculcar valores de liderazgo a todos los niveles;</w:t>
      </w:r>
      <w:r w:rsidRPr="00316863">
        <w:rPr>
          <w:lang w:val="es-ES"/>
        </w:rPr>
        <w:t xml:space="preserve"> </w:t>
      </w:r>
      <w:r w:rsidRPr="00316863">
        <w:rPr>
          <w:i/>
          <w:iCs/>
          <w:lang w:val="es-ES"/>
        </w:rPr>
        <w:t>fomentar una cultura de respeto, integridad y deseo de trabajar juntos</w:t>
      </w:r>
      <w:r w:rsidR="00CF0B14">
        <w:rPr>
          <w:i/>
          <w:iCs/>
          <w:lang w:val="es-ES"/>
        </w:rPr>
        <w:t>.</w:t>
      </w:r>
    </w:p>
    <w:p w14:paraId="3CC66D06" w14:textId="4A0CBB85" w:rsidR="002A40A3" w:rsidRPr="00316863" w:rsidRDefault="001B6E7B" w:rsidP="00BF7E2B">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En enero de 2025 se lanzó la primera encuesta sobre la implicación del personal, con un índice de respuesta del 72</w:t>
      </w:r>
      <w:r>
        <w:rPr>
          <w:lang w:val="es-ES"/>
        </w:rPr>
        <w:t> </w:t>
      </w:r>
      <w:r w:rsidR="002A40A3" w:rsidRPr="00316863">
        <w:rPr>
          <w:lang w:val="es-ES"/>
        </w:rPr>
        <w:t>%. Los datos ayudan a detectar las esferas de mejora inmediata prioritarias. Se movilizan equipos de toda la UIT y de las Oficinas para dirigir la planificación de las acciones a nivel de base, con un seguimiento continuo de los progresos.</w:t>
      </w:r>
    </w:p>
    <w:p w14:paraId="23515D5E" w14:textId="6582C4F1" w:rsidR="002A40A3" w:rsidRPr="00316863" w:rsidRDefault="001B6E7B" w:rsidP="00BF7E2B">
      <w:pPr>
        <w:pStyle w:val="enumlev1"/>
        <w:jc w:val="both"/>
        <w:rPr>
          <w:rFonts w:asciiTheme="minorHAnsi" w:eastAsiaTheme="minorEastAsia" w:hAnsiTheme="minorHAnsi" w:cstheme="minorBidi"/>
          <w:color w:val="242424"/>
          <w:lang w:val="es-ES"/>
        </w:rPr>
      </w:pPr>
      <w:r w:rsidRPr="001B6E7B">
        <w:rPr>
          <w:lang w:val="es-ES"/>
        </w:rPr>
        <w:t>–</w:t>
      </w:r>
      <w:r>
        <w:rPr>
          <w:lang w:val="es-ES"/>
        </w:rPr>
        <w:tab/>
      </w:r>
      <w:r w:rsidR="002A40A3" w:rsidRPr="00316863">
        <w:rPr>
          <w:lang w:val="es-ES"/>
        </w:rPr>
        <w:t>Se ha llevado a cabo un programa de liderazgo adaptativo en toda la Unión, adaptado a las necesidades y desafíos de los diferentes niveles de dirección de la UIT, en el que se han abordado los resultados de la encuesta sobre la implicación del personal</w:t>
      </w:r>
      <w:r w:rsidR="002A40A3" w:rsidRPr="00316863">
        <w:rPr>
          <w:rStyle w:val="FootnoteReference"/>
          <w:rFonts w:asciiTheme="minorHAnsi" w:eastAsiaTheme="minorEastAsia" w:hAnsiTheme="minorHAnsi" w:cstheme="minorBidi"/>
          <w:color w:val="242424"/>
          <w:lang w:val="es-ES"/>
        </w:rPr>
        <w:footnoteReference w:id="1"/>
      </w:r>
      <w:r w:rsidR="002A40A3" w:rsidRPr="00316863">
        <w:rPr>
          <w:lang w:val="es-ES"/>
        </w:rPr>
        <w:t xml:space="preserve"> y se ha dado seguimiento al Retiro de la Alta Dirección.</w:t>
      </w:r>
    </w:p>
    <w:p w14:paraId="03779EFE" w14:textId="3A5AC7A8" w:rsidR="002A40A3" w:rsidRPr="00316863" w:rsidRDefault="002A40A3" w:rsidP="002A40A3">
      <w:pPr>
        <w:tabs>
          <w:tab w:val="clear" w:pos="567"/>
          <w:tab w:val="clear" w:pos="1134"/>
          <w:tab w:val="clear" w:pos="1701"/>
          <w:tab w:val="clear" w:pos="2268"/>
          <w:tab w:val="clear" w:pos="2835"/>
        </w:tabs>
        <w:jc w:val="both"/>
        <w:rPr>
          <w:rFonts w:asciiTheme="minorHAnsi" w:eastAsiaTheme="minorEastAsia" w:hAnsiTheme="minorHAnsi" w:cstheme="minorBidi"/>
          <w:color w:val="242424"/>
          <w:szCs w:val="24"/>
          <w:lang w:val="es-ES"/>
        </w:rPr>
      </w:pPr>
      <w:r w:rsidRPr="00316863">
        <w:rPr>
          <w:b/>
          <w:bCs/>
          <w:lang w:val="es-ES"/>
        </w:rPr>
        <w:t xml:space="preserve">IFR: </w:t>
      </w:r>
      <w:r w:rsidRPr="00316863">
        <w:rPr>
          <w:lang w:val="es-ES"/>
        </w:rPr>
        <w:t>Número de capacitaciones ofrecidas; número y porcentaje de personal capacitado; índice de participación en la encuesta sobre la implicación del personal; puntuación de implicación del personal</w:t>
      </w:r>
      <w:r w:rsidR="00CF0B14">
        <w:rPr>
          <w:lang w:val="es-ES"/>
        </w:rPr>
        <w:t>.</w:t>
      </w:r>
    </w:p>
    <w:p w14:paraId="1F1B2076" w14:textId="77777777" w:rsidR="002A40A3" w:rsidRPr="00316863" w:rsidRDefault="002A40A3" w:rsidP="00B0749F">
      <w:pPr>
        <w:pStyle w:val="Heading3"/>
        <w:tabs>
          <w:tab w:val="clear" w:pos="567"/>
          <w:tab w:val="left" w:pos="709"/>
        </w:tabs>
        <w:ind w:left="709" w:hanging="709"/>
        <w:jc w:val="both"/>
        <w:rPr>
          <w:rFonts w:asciiTheme="minorHAnsi" w:eastAsiaTheme="minorEastAsia" w:hAnsiTheme="minorHAnsi" w:cstheme="minorBidi"/>
          <w:b w:val="0"/>
          <w:color w:val="242424"/>
          <w:szCs w:val="24"/>
          <w:lang w:val="es-ES"/>
        </w:rPr>
      </w:pPr>
      <w:r w:rsidRPr="00316863">
        <w:rPr>
          <w:lang w:val="es-ES"/>
        </w:rPr>
        <w:t>3.1.4</w:t>
      </w:r>
      <w:r w:rsidRPr="00316863">
        <w:rPr>
          <w:lang w:val="es-ES"/>
        </w:rPr>
        <w:tab/>
      </w:r>
      <w:r w:rsidRPr="001B6E7B">
        <w:rPr>
          <w:lang w:val="es-ES"/>
        </w:rPr>
        <w:t>Contratación</w:t>
      </w:r>
    </w:p>
    <w:p w14:paraId="6EB90C75" w14:textId="5A884F65" w:rsidR="002A40A3" w:rsidRPr="00316863" w:rsidRDefault="002A40A3" w:rsidP="002A40A3">
      <w:pPr>
        <w:tabs>
          <w:tab w:val="clear" w:pos="567"/>
          <w:tab w:val="clear" w:pos="1134"/>
          <w:tab w:val="clear" w:pos="1701"/>
          <w:tab w:val="clear" w:pos="2268"/>
          <w:tab w:val="clear" w:pos="2835"/>
        </w:tabs>
        <w:jc w:val="both"/>
        <w:rPr>
          <w:rFonts w:eastAsiaTheme="minorEastAsia"/>
          <w:szCs w:val="24"/>
          <w:lang w:val="es-ES"/>
        </w:rPr>
      </w:pPr>
      <w:r w:rsidRPr="00316863">
        <w:rPr>
          <w:b/>
          <w:bCs/>
          <w:lang w:val="es-ES"/>
        </w:rPr>
        <w:t xml:space="preserve">Objetivo: </w:t>
      </w:r>
      <w:r w:rsidRPr="00316863">
        <w:rPr>
          <w:i/>
          <w:iCs/>
          <w:lang w:val="es-ES"/>
        </w:rPr>
        <w:t>Mejorar la eficiencia del proceso de contratación en todas sus fases y atraer a los talentos adecuados</w:t>
      </w:r>
      <w:r w:rsidR="00CF0B14">
        <w:rPr>
          <w:i/>
          <w:iCs/>
          <w:lang w:val="es-ES"/>
        </w:rPr>
        <w:t>.</w:t>
      </w:r>
    </w:p>
    <w:p w14:paraId="4C1FCA2E" w14:textId="57CC7C60" w:rsidR="002A40A3" w:rsidRPr="00316863" w:rsidRDefault="001B6E7B" w:rsidP="00B0749F">
      <w:pPr>
        <w:pStyle w:val="enumlev1"/>
        <w:jc w:val="both"/>
        <w:rPr>
          <w:rFonts w:asciiTheme="minorHAnsi" w:eastAsiaTheme="minorEastAsia" w:hAnsiTheme="minorHAnsi" w:cstheme="minorBidi"/>
          <w:color w:val="242424"/>
          <w:lang w:val="es-ES"/>
        </w:rPr>
      </w:pPr>
      <w:r w:rsidRPr="001B6E7B">
        <w:rPr>
          <w:lang w:val="es-ES"/>
        </w:rPr>
        <w:t>–</w:t>
      </w:r>
      <w:r>
        <w:rPr>
          <w:lang w:val="es-ES"/>
        </w:rPr>
        <w:tab/>
      </w:r>
      <w:r w:rsidR="002A40A3" w:rsidRPr="00316863">
        <w:rPr>
          <w:lang w:val="es-ES"/>
        </w:rPr>
        <w:t>Se han elaborado políticas y flujos de trabajo para puestos de duración determinada y SSA (consultores/expertos individuales).</w:t>
      </w:r>
    </w:p>
    <w:p w14:paraId="7A9C3347" w14:textId="5ACC5719"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Se han identificado soluciones de automatización e IA. </w:t>
      </w:r>
    </w:p>
    <w:p w14:paraId="55683290" w14:textId="650DB93D" w:rsidR="002A40A3" w:rsidRPr="00316863" w:rsidRDefault="002A40A3" w:rsidP="002A40A3">
      <w:pPr>
        <w:tabs>
          <w:tab w:val="clear" w:pos="567"/>
          <w:tab w:val="clear" w:pos="1134"/>
          <w:tab w:val="clear" w:pos="1701"/>
          <w:tab w:val="clear" w:pos="2268"/>
          <w:tab w:val="clear" w:pos="2835"/>
        </w:tabs>
        <w:jc w:val="both"/>
        <w:rPr>
          <w:rFonts w:eastAsiaTheme="minorEastAsia"/>
          <w:szCs w:val="24"/>
          <w:lang w:val="es-ES"/>
        </w:rPr>
      </w:pPr>
      <w:r w:rsidRPr="00316863">
        <w:rPr>
          <w:b/>
          <w:bCs/>
          <w:lang w:val="es-ES"/>
        </w:rPr>
        <w:lastRenderedPageBreak/>
        <w:t>IFR:</w:t>
      </w:r>
      <w:r w:rsidRPr="00316863">
        <w:rPr>
          <w:lang w:val="es-ES"/>
        </w:rPr>
        <w:tab/>
        <w:t>Tiempo medio de tramitación de la contratación, desde el anuncio hasta la selección aprobada; porcentaje de ofertas rechazadas</w:t>
      </w:r>
      <w:r w:rsidR="00CF0B14">
        <w:rPr>
          <w:lang w:val="es-ES"/>
        </w:rPr>
        <w:t>.</w:t>
      </w:r>
    </w:p>
    <w:p w14:paraId="19689D40" w14:textId="77777777" w:rsidR="002A40A3" w:rsidRPr="00316863" w:rsidRDefault="002A40A3" w:rsidP="00120920">
      <w:pPr>
        <w:pStyle w:val="Heading3"/>
        <w:tabs>
          <w:tab w:val="clear" w:pos="567"/>
          <w:tab w:val="left" w:pos="709"/>
        </w:tabs>
        <w:ind w:left="709" w:hanging="709"/>
        <w:rPr>
          <w:rFonts w:asciiTheme="minorHAnsi" w:eastAsiaTheme="minorEastAsia" w:hAnsiTheme="minorHAnsi" w:cstheme="minorBidi"/>
          <w:color w:val="242424"/>
          <w:szCs w:val="24"/>
          <w:lang w:val="es-ES"/>
        </w:rPr>
      </w:pPr>
      <w:r w:rsidRPr="00316863">
        <w:rPr>
          <w:lang w:val="es-ES"/>
        </w:rPr>
        <w:t>3.1.5</w:t>
      </w:r>
      <w:r w:rsidRPr="00316863">
        <w:rPr>
          <w:lang w:val="es-ES"/>
        </w:rPr>
        <w:tab/>
      </w:r>
      <w:r w:rsidRPr="001B6E7B">
        <w:rPr>
          <w:lang w:val="es-ES"/>
        </w:rPr>
        <w:t>Viajes</w:t>
      </w:r>
    </w:p>
    <w:p w14:paraId="5D65590B" w14:textId="20902C6B" w:rsidR="002A40A3" w:rsidRPr="00316863" w:rsidRDefault="002A40A3" w:rsidP="002A40A3">
      <w:pPr>
        <w:tabs>
          <w:tab w:val="clear" w:pos="567"/>
          <w:tab w:val="clear" w:pos="1134"/>
          <w:tab w:val="clear" w:pos="1701"/>
          <w:tab w:val="clear" w:pos="2268"/>
          <w:tab w:val="clear" w:pos="2835"/>
        </w:tabs>
        <w:jc w:val="both"/>
        <w:rPr>
          <w:rFonts w:asciiTheme="minorHAnsi" w:eastAsiaTheme="minorEastAsia" w:hAnsiTheme="minorHAnsi" w:cstheme="minorBidi"/>
          <w:i/>
          <w:color w:val="242424"/>
          <w:szCs w:val="24"/>
          <w:lang w:val="es-ES"/>
        </w:rPr>
      </w:pPr>
      <w:r w:rsidRPr="00316863">
        <w:rPr>
          <w:b/>
          <w:bCs/>
          <w:lang w:val="es-ES"/>
        </w:rPr>
        <w:t>Objetivo:</w:t>
      </w:r>
      <w:r w:rsidRPr="00316863">
        <w:rPr>
          <w:lang w:val="es-ES"/>
        </w:rPr>
        <w:t xml:space="preserve"> </w:t>
      </w:r>
      <w:r w:rsidRPr="00316863">
        <w:rPr>
          <w:i/>
          <w:iCs/>
          <w:lang w:val="es-ES"/>
        </w:rPr>
        <w:t>Racionalizar las operaciones y automatizar los flujos de trabajo para mejorar el cumplimiento, reducir los costos y proporcionar visibilidad en tiempo real</w:t>
      </w:r>
      <w:r w:rsidR="00C9730D">
        <w:rPr>
          <w:i/>
          <w:iCs/>
          <w:lang w:val="es-ES"/>
        </w:rPr>
        <w:t>.</w:t>
      </w:r>
      <w:r w:rsidRPr="00316863">
        <w:rPr>
          <w:lang w:val="es-ES"/>
        </w:rPr>
        <w:t xml:space="preserve"> </w:t>
      </w:r>
    </w:p>
    <w:p w14:paraId="1415EF10" w14:textId="6C364D52"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Se han identificado los principales desafíos en nuestro proceso de viajes interno. </w:t>
      </w:r>
    </w:p>
    <w:p w14:paraId="2880FA27" w14:textId="7A412A90"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Se ha definido un plan de implantación para una solución digitalizada de extremo a extremo que habilita el autoservicio completo del proceso de viajes para todo el personal. </w:t>
      </w:r>
    </w:p>
    <w:p w14:paraId="77096CA0" w14:textId="064A222D" w:rsidR="002A40A3" w:rsidRPr="00316863" w:rsidRDefault="002A40A3" w:rsidP="002A40A3">
      <w:pPr>
        <w:tabs>
          <w:tab w:val="clear" w:pos="567"/>
          <w:tab w:val="clear" w:pos="1134"/>
          <w:tab w:val="clear" w:pos="1701"/>
          <w:tab w:val="clear" w:pos="2268"/>
          <w:tab w:val="clear" w:pos="2835"/>
        </w:tabs>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ab/>
        <w:t>Número de solicitudes de viaje tramitadas a través del autoservicio completo; tiempo de tramitación de las solicitudes de viaje; tiempo de tramitación de las solicitudes de reembolso de gastos de viaje; puntuación de satisfacción del cliente</w:t>
      </w:r>
      <w:r w:rsidR="00CF0B14">
        <w:rPr>
          <w:lang w:val="es-ES"/>
        </w:rPr>
        <w:t>.</w:t>
      </w:r>
    </w:p>
    <w:p w14:paraId="3F993AC0" w14:textId="77777777" w:rsidR="002A40A3" w:rsidRPr="00316863" w:rsidRDefault="002A40A3" w:rsidP="001B6E7B">
      <w:pPr>
        <w:pStyle w:val="Heading3"/>
        <w:rPr>
          <w:rFonts w:asciiTheme="minorHAnsi" w:eastAsiaTheme="minorEastAsia" w:hAnsiTheme="minorHAnsi" w:cstheme="minorBidi"/>
          <w:color w:val="242424"/>
          <w:szCs w:val="24"/>
          <w:lang w:val="es-ES"/>
        </w:rPr>
      </w:pPr>
      <w:r w:rsidRPr="00316863">
        <w:rPr>
          <w:lang w:val="es-ES"/>
        </w:rPr>
        <w:t>3.1.6</w:t>
      </w:r>
      <w:r w:rsidRPr="00316863">
        <w:rPr>
          <w:lang w:val="es-ES"/>
        </w:rPr>
        <w:tab/>
      </w:r>
      <w:r w:rsidRPr="001B6E7B">
        <w:rPr>
          <w:lang w:val="es-ES"/>
        </w:rPr>
        <w:t>Movilidad</w:t>
      </w:r>
    </w:p>
    <w:p w14:paraId="746F9EB4" w14:textId="243BAE08"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i/>
          <w:color w:val="242424"/>
          <w:szCs w:val="24"/>
          <w:lang w:val="es-ES"/>
        </w:rPr>
      </w:pPr>
      <w:r w:rsidRPr="00316863">
        <w:rPr>
          <w:b/>
          <w:bCs/>
          <w:lang w:val="es-ES"/>
        </w:rPr>
        <w:t>Objetivo:</w:t>
      </w:r>
      <w:r w:rsidRPr="00316863">
        <w:rPr>
          <w:lang w:val="es-ES"/>
        </w:rPr>
        <w:t xml:space="preserve"> </w:t>
      </w:r>
      <w:r w:rsidRPr="00316863">
        <w:rPr>
          <w:i/>
          <w:iCs/>
          <w:lang w:val="es-ES"/>
        </w:rPr>
        <w:t>Introducir un proceso de movilidad que establezca una fuerza laboral global sólida al proporcionar oportunidades variadas y prácticas para el desarrollo profesional</w:t>
      </w:r>
      <w:r w:rsidR="00C9730D">
        <w:rPr>
          <w:i/>
          <w:iCs/>
          <w:lang w:val="es-ES"/>
        </w:rPr>
        <w:t>.</w:t>
      </w:r>
    </w:p>
    <w:p w14:paraId="7928601D" w14:textId="2CF7CB00"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Se ha elaborado una nota conceptual nueva para una prueba "piloto" de movilidad, cuya aplicación comenzará en el 4T de 2025. </w:t>
      </w:r>
    </w:p>
    <w:p w14:paraId="1CFC3B23" w14:textId="39339611" w:rsidR="002A40A3" w:rsidRPr="00316863" w:rsidRDefault="001B6E7B"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Se ha revisado la política de movilidad actual en colaboración con los agentes del cambio.</w:t>
      </w:r>
    </w:p>
    <w:p w14:paraId="13757846" w14:textId="1306C898"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ab/>
        <w:t>Número de funcionarios que participan en el programa piloto de movilidad</w:t>
      </w:r>
      <w:r w:rsidR="00CF0B14">
        <w:rPr>
          <w:lang w:val="es-ES"/>
        </w:rPr>
        <w:t>.</w:t>
      </w:r>
    </w:p>
    <w:p w14:paraId="1C93BEA5" w14:textId="77777777" w:rsidR="002A40A3" w:rsidRPr="00316863" w:rsidRDefault="002A40A3" w:rsidP="00B0749F">
      <w:pPr>
        <w:pStyle w:val="Heading2"/>
        <w:jc w:val="both"/>
        <w:rPr>
          <w:rFonts w:asciiTheme="minorHAnsi" w:eastAsiaTheme="minorEastAsia" w:hAnsiTheme="minorHAnsi" w:cstheme="minorBidi"/>
          <w:color w:val="242424"/>
          <w:szCs w:val="24"/>
          <w:lang w:val="es-ES"/>
        </w:rPr>
      </w:pPr>
      <w:r w:rsidRPr="00316863">
        <w:rPr>
          <w:lang w:val="es-ES"/>
        </w:rPr>
        <w:t>3.2</w:t>
      </w:r>
      <w:r w:rsidRPr="00316863">
        <w:rPr>
          <w:lang w:val="es-ES"/>
        </w:rPr>
        <w:tab/>
        <w:t>Otros proyectos de la Transformación en curso, por pilar</w:t>
      </w:r>
    </w:p>
    <w:p w14:paraId="6B056FAB" w14:textId="77777777" w:rsidR="002A40A3" w:rsidRPr="002C6991" w:rsidRDefault="002A40A3" w:rsidP="00B0749F">
      <w:pPr>
        <w:pStyle w:val="Headingb"/>
        <w:jc w:val="both"/>
        <w:rPr>
          <w:rFonts w:asciiTheme="minorHAnsi" w:eastAsiaTheme="minorEastAsia" w:hAnsiTheme="minorHAnsi" w:cstheme="minorBidi"/>
          <w:color w:val="242424"/>
          <w:szCs w:val="24"/>
          <w:lang w:val="es-ES"/>
        </w:rPr>
      </w:pPr>
      <w:r w:rsidRPr="002C6991">
        <w:rPr>
          <w:lang w:val="es-ES"/>
        </w:rPr>
        <w:t>Gobernanza</w:t>
      </w:r>
    </w:p>
    <w:p w14:paraId="4A99E802" w14:textId="77777777" w:rsidR="002A40A3" w:rsidRPr="00CF4942" w:rsidRDefault="002A40A3" w:rsidP="00120920">
      <w:pPr>
        <w:pStyle w:val="Heading3"/>
        <w:tabs>
          <w:tab w:val="clear" w:pos="567"/>
          <w:tab w:val="left" w:pos="709"/>
        </w:tabs>
        <w:ind w:left="709" w:hanging="709"/>
        <w:jc w:val="both"/>
        <w:rPr>
          <w:lang w:val="es-ES"/>
        </w:rPr>
      </w:pPr>
      <w:r w:rsidRPr="00316863">
        <w:rPr>
          <w:lang w:val="es-ES"/>
        </w:rPr>
        <w:t>3.2.1</w:t>
      </w:r>
      <w:r w:rsidRPr="00316863">
        <w:rPr>
          <w:lang w:val="es-ES"/>
        </w:rPr>
        <w:tab/>
      </w:r>
      <w:r w:rsidRPr="00316863">
        <w:rPr>
          <w:bCs/>
          <w:lang w:val="es-ES"/>
        </w:rPr>
        <w:t>Marco de rendición de cuentas y delegación de autoridad</w:t>
      </w:r>
    </w:p>
    <w:p w14:paraId="0D667C5B" w14:textId="77777777" w:rsidR="002A40A3" w:rsidRPr="00316863" w:rsidRDefault="002A40A3" w:rsidP="00B0749F">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Objetivo:</w:t>
      </w:r>
      <w:r w:rsidRPr="00316863">
        <w:rPr>
          <w:lang w:val="es-ES"/>
        </w:rPr>
        <w:t xml:space="preserve"> </w:t>
      </w:r>
      <w:r w:rsidRPr="00316863">
        <w:rPr>
          <w:i/>
          <w:iCs/>
          <w:lang w:val="es-ES"/>
        </w:rPr>
        <w:t>Seguir fortaleciendo los mecanismos de rendición de cuentas dentro de la Unión, racionalizando al mismo tiempo los procesos de trabajo y aumentando las eficiencias.</w:t>
      </w:r>
      <w:r w:rsidRPr="00316863">
        <w:rPr>
          <w:lang w:val="es-ES"/>
        </w:rPr>
        <w:t xml:space="preserve"> </w:t>
      </w:r>
    </w:p>
    <w:p w14:paraId="2FBD6A8E" w14:textId="14DCEACC" w:rsidR="002A40A3" w:rsidRPr="00316863" w:rsidRDefault="00CF4942"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Se ha iniciado un proyecto para crear un nuevo marco de delegación de autoridad para la UIT. </w:t>
      </w:r>
    </w:p>
    <w:p w14:paraId="10AD859B" w14:textId="792EF60E" w:rsidR="002A40A3" w:rsidRPr="00316863" w:rsidRDefault="00CF4942"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El nuevo marco busca descentralizar la toma de decisiones, correlacionar a las autoridades con las responsabilidades y fortalecer la rendición de cuentas. </w:t>
      </w:r>
    </w:p>
    <w:p w14:paraId="6BEB51BD" w14:textId="7FEF8E86"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 xml:space="preserve"> Número de aprobaciones reducido</w:t>
      </w:r>
      <w:r w:rsidR="00C9730D">
        <w:rPr>
          <w:lang w:val="es-ES"/>
        </w:rPr>
        <w:t>.</w:t>
      </w:r>
    </w:p>
    <w:p w14:paraId="3DABB5F9" w14:textId="77777777" w:rsidR="002A40A3" w:rsidRPr="00316863" w:rsidRDefault="002A40A3" w:rsidP="00120920">
      <w:pPr>
        <w:pStyle w:val="Heading3"/>
        <w:tabs>
          <w:tab w:val="clear" w:pos="567"/>
          <w:tab w:val="left" w:pos="851"/>
        </w:tabs>
        <w:ind w:left="709" w:hanging="709"/>
        <w:rPr>
          <w:rFonts w:asciiTheme="minorHAnsi" w:eastAsiaTheme="minorEastAsia" w:hAnsiTheme="minorHAnsi" w:cstheme="minorBidi"/>
          <w:color w:val="242424"/>
          <w:lang w:val="es-ES"/>
        </w:rPr>
      </w:pPr>
      <w:r w:rsidRPr="00CF4942">
        <w:rPr>
          <w:lang w:val="es-ES"/>
        </w:rPr>
        <w:t>3.2.2</w:t>
      </w:r>
      <w:r w:rsidRPr="00CF4942">
        <w:rPr>
          <w:lang w:val="es-ES"/>
        </w:rPr>
        <w:tab/>
      </w:r>
      <w:r w:rsidRPr="00316863">
        <w:rPr>
          <w:lang w:val="es-ES"/>
        </w:rPr>
        <w:t>Auditoría y supervisión</w:t>
      </w:r>
      <w:r w:rsidRPr="00316863">
        <w:rPr>
          <w:rStyle w:val="FootnoteReference"/>
          <w:rFonts w:asciiTheme="minorHAnsi" w:eastAsiaTheme="minorEastAsia" w:hAnsiTheme="minorHAnsi" w:cstheme="minorBidi"/>
          <w:color w:val="242424"/>
          <w:lang w:val="es-ES"/>
        </w:rPr>
        <w:footnoteReference w:id="2"/>
      </w:r>
    </w:p>
    <w:p w14:paraId="7F70E419" w14:textId="77777777"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Objetivo:</w:t>
      </w:r>
      <w:r w:rsidRPr="00316863">
        <w:rPr>
          <w:lang w:val="es-ES"/>
        </w:rPr>
        <w:t xml:space="preserve"> </w:t>
      </w:r>
      <w:r w:rsidRPr="00316863">
        <w:rPr>
          <w:i/>
          <w:iCs/>
          <w:lang w:val="es-ES"/>
        </w:rPr>
        <w:t>Reforzar la Unión con un sistema eficaz de supervisión y evaluación internas independientes, objetivas y basadas en el riesgo.</w:t>
      </w:r>
    </w:p>
    <w:p w14:paraId="28EBA0B3" w14:textId="30D640B4" w:rsidR="002A40A3" w:rsidRPr="00316863" w:rsidRDefault="00CF4942"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Contratación de un Oficial de Evaluación en curso. </w:t>
      </w:r>
    </w:p>
    <w:p w14:paraId="7280B230" w14:textId="33146793" w:rsidR="002A40A3" w:rsidRPr="00316863" w:rsidRDefault="00CF4942" w:rsidP="00B0749F">
      <w:pPr>
        <w:pStyle w:val="enumlev1"/>
        <w:jc w:val="both"/>
        <w:rPr>
          <w:rFonts w:asciiTheme="minorHAnsi" w:eastAsiaTheme="minorEastAsia" w:hAnsiTheme="minorHAnsi" w:cstheme="minorBidi"/>
          <w:color w:val="242424"/>
          <w:lang w:val="es-ES"/>
        </w:rPr>
      </w:pPr>
      <w:r w:rsidRPr="001B6E7B">
        <w:rPr>
          <w:lang w:val="es-ES"/>
        </w:rPr>
        <w:lastRenderedPageBreak/>
        <w:t>–</w:t>
      </w:r>
      <w:r>
        <w:rPr>
          <w:lang w:val="es-ES"/>
        </w:rPr>
        <w:tab/>
      </w:r>
      <w:r w:rsidR="002A40A3" w:rsidRPr="00316863">
        <w:rPr>
          <w:lang w:val="es-ES"/>
        </w:rPr>
        <w:t xml:space="preserve">Se impartirá formación oficial sobre gestión de las evaluaciones a un grupo voluntario de personal de toda la UIT para ayudar a la Unidad de Supervisión a poner a prueba una política de evaluación normalizada inicial en la UIT. </w:t>
      </w:r>
    </w:p>
    <w:p w14:paraId="4E40E05C" w14:textId="05DBC542" w:rsidR="002A40A3" w:rsidRPr="00316863" w:rsidRDefault="00CF4942"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Adopción de un modelo de servicio compartido para la función de ómbudsman a través de la Oficina del Ómbudsman y de Servicios de Mediación de las Naciones Unidas (UNOMS) a fin de reforzar la integridad institucional, los mecanismos de solución de controversias y la rendición de cuentas en el lugar de trabajo.</w:t>
      </w:r>
    </w:p>
    <w:p w14:paraId="29EC0C41" w14:textId="2EC33CF8"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ab/>
        <w:t>Número de recomendaciones de cumplimiento abiertas; número de recomendaciones de cumplimiento aplicadas; número de empleados que utilizan la función del ómbudsman y número de controversias resueltas oficiosamente mediante mediación</w:t>
      </w:r>
      <w:r w:rsidR="00CF0B14">
        <w:rPr>
          <w:lang w:val="es-ES"/>
        </w:rPr>
        <w:t>.</w:t>
      </w:r>
    </w:p>
    <w:p w14:paraId="5F9EE37E" w14:textId="77777777" w:rsidR="002A40A3" w:rsidRPr="002C6991" w:rsidRDefault="002A40A3" w:rsidP="00B0749F">
      <w:pPr>
        <w:pStyle w:val="Headingb"/>
        <w:jc w:val="both"/>
        <w:rPr>
          <w:lang w:val="es-ES"/>
        </w:rPr>
      </w:pPr>
      <w:r w:rsidRPr="002C6991">
        <w:rPr>
          <w:lang w:val="es-ES"/>
        </w:rPr>
        <w:t>Sistemas, procesos e instrumentos</w:t>
      </w:r>
    </w:p>
    <w:p w14:paraId="6D8A365B" w14:textId="77777777" w:rsidR="002A40A3" w:rsidRPr="00316863" w:rsidRDefault="002A40A3" w:rsidP="00B0749F">
      <w:pPr>
        <w:pStyle w:val="Heading3"/>
        <w:tabs>
          <w:tab w:val="clear" w:pos="567"/>
          <w:tab w:val="left" w:pos="851"/>
        </w:tabs>
        <w:ind w:left="709" w:hanging="709"/>
        <w:jc w:val="both"/>
        <w:rPr>
          <w:rFonts w:asciiTheme="minorHAnsi" w:eastAsiaTheme="minorEastAsia" w:hAnsiTheme="minorHAnsi" w:cstheme="minorBidi"/>
          <w:b w:val="0"/>
          <w:color w:val="242424"/>
          <w:szCs w:val="24"/>
          <w:lang w:val="es-ES"/>
        </w:rPr>
      </w:pPr>
      <w:r w:rsidRPr="00316863">
        <w:rPr>
          <w:lang w:val="es-ES"/>
        </w:rPr>
        <w:t>3.2.3</w:t>
      </w:r>
      <w:r w:rsidRPr="00316863">
        <w:rPr>
          <w:lang w:val="es-ES"/>
        </w:rPr>
        <w:tab/>
      </w:r>
      <w:r w:rsidRPr="00F32485">
        <w:rPr>
          <w:lang w:val="es-ES"/>
        </w:rPr>
        <w:t>Gobernanza de la información y gestión del conocimiento</w:t>
      </w:r>
      <w:r w:rsidRPr="00316863">
        <w:rPr>
          <w:lang w:val="es-ES"/>
        </w:rPr>
        <w:t xml:space="preserve"> </w:t>
      </w:r>
    </w:p>
    <w:p w14:paraId="6A543C3D" w14:textId="26EEB5DA" w:rsidR="002A40A3" w:rsidRPr="002C6991" w:rsidRDefault="002A40A3" w:rsidP="002A40A3">
      <w:pPr>
        <w:tabs>
          <w:tab w:val="clear" w:pos="567"/>
          <w:tab w:val="clear" w:pos="1134"/>
          <w:tab w:val="clear" w:pos="1701"/>
          <w:tab w:val="clear" w:pos="2268"/>
          <w:tab w:val="clear" w:pos="2835"/>
        </w:tabs>
        <w:spacing w:line="259" w:lineRule="auto"/>
        <w:jc w:val="both"/>
        <w:rPr>
          <w:i/>
          <w:iCs/>
          <w:lang w:val="es-ES"/>
        </w:rPr>
      </w:pPr>
      <w:r w:rsidRPr="00316863">
        <w:rPr>
          <w:b/>
          <w:bCs/>
          <w:lang w:val="es-ES"/>
        </w:rPr>
        <w:t>Objetivo:</w:t>
      </w:r>
      <w:r w:rsidRPr="00316863">
        <w:rPr>
          <w:lang w:val="es-ES"/>
        </w:rPr>
        <w:t xml:space="preserve"> </w:t>
      </w:r>
      <w:r w:rsidRPr="00316863">
        <w:rPr>
          <w:i/>
          <w:iCs/>
          <w:lang w:val="es-ES"/>
        </w:rPr>
        <w:t>Gestionar la información de la UIT con eficacia, eficiencia y seguridad a lo largo de todo su ciclo de vida, garantizando que sea fiable, precisa, completa y pertinente para facilitar la toma de decisiones, la rendición de cuentas, la transparencia, la continuidad de las actividades y la transferencia de conocimientos</w:t>
      </w:r>
      <w:r w:rsidR="00CF0B14">
        <w:rPr>
          <w:i/>
          <w:iCs/>
          <w:lang w:val="es-ES"/>
        </w:rPr>
        <w:t>.</w:t>
      </w:r>
    </w:p>
    <w:p w14:paraId="3C97E1AD" w14:textId="2D6D862D" w:rsidR="002A40A3" w:rsidRPr="00316863" w:rsidRDefault="00F32485"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Se ha elaborado la Estrategia de gobernanza de la información de la UIT.</w:t>
      </w:r>
    </w:p>
    <w:p w14:paraId="29B98ACE" w14:textId="5DC1316E" w:rsidR="002A40A3" w:rsidRPr="00316863" w:rsidRDefault="00F32485" w:rsidP="00B0749F">
      <w:pPr>
        <w:pStyle w:val="enumlev1"/>
        <w:jc w:val="both"/>
        <w:rPr>
          <w:rFonts w:asciiTheme="minorHAnsi" w:eastAsiaTheme="minorEastAsia" w:hAnsiTheme="minorHAnsi" w:cstheme="minorBidi"/>
          <w:b/>
          <w:color w:val="242424"/>
          <w:szCs w:val="24"/>
          <w:lang w:val="es-ES"/>
        </w:rPr>
      </w:pPr>
      <w:r w:rsidRPr="001B6E7B">
        <w:rPr>
          <w:lang w:val="es-ES"/>
        </w:rPr>
        <w:t>–</w:t>
      </w:r>
      <w:r>
        <w:rPr>
          <w:lang w:val="es-ES"/>
        </w:rPr>
        <w:tab/>
      </w:r>
      <w:r w:rsidR="002A40A3" w:rsidRPr="00316863">
        <w:rPr>
          <w:lang w:val="es-ES"/>
        </w:rPr>
        <w:t>Se ha previsto establecer un Grupo de Trabajo del Comité de Gobernanza de las TIC, que se ocupará de las cuestiones relacionadas con la gobernanza y gestión de la información.</w:t>
      </w:r>
    </w:p>
    <w:p w14:paraId="4E0EDC53" w14:textId="36BDCDE3" w:rsidR="002A40A3" w:rsidRPr="00316863" w:rsidRDefault="00F32485" w:rsidP="00B0749F">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Primera fase: despliegue de la gobernanza de la información en M365 en curso</w:t>
      </w:r>
      <w:r w:rsidR="002C6991">
        <w:rPr>
          <w:lang w:val="es-ES"/>
        </w:rPr>
        <w:t>.</w:t>
      </w:r>
    </w:p>
    <w:p w14:paraId="2B272DAD" w14:textId="77777777"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ab/>
        <w:t>Número de recomendaciones ejecutadas.</w:t>
      </w:r>
    </w:p>
    <w:p w14:paraId="1910114E" w14:textId="77777777" w:rsidR="002A40A3" w:rsidRPr="002C6991" w:rsidRDefault="002A40A3" w:rsidP="002A40A3">
      <w:pPr>
        <w:tabs>
          <w:tab w:val="clear" w:pos="567"/>
          <w:tab w:val="clear" w:pos="1134"/>
          <w:tab w:val="clear" w:pos="1701"/>
          <w:tab w:val="clear" w:pos="2268"/>
          <w:tab w:val="clear" w:pos="2835"/>
        </w:tabs>
        <w:spacing w:line="259" w:lineRule="auto"/>
        <w:jc w:val="both"/>
        <w:rPr>
          <w:lang w:val="es-ES"/>
        </w:rPr>
      </w:pPr>
      <w:r w:rsidRPr="002C6991">
        <w:rPr>
          <w:b/>
          <w:bCs/>
          <w:lang w:val="es-ES"/>
        </w:rPr>
        <w:t>Optimización de recursos</w:t>
      </w:r>
    </w:p>
    <w:p w14:paraId="18748D71" w14:textId="77777777" w:rsidR="002A40A3" w:rsidRPr="00316863" w:rsidRDefault="002A40A3" w:rsidP="00B0749F">
      <w:pPr>
        <w:pStyle w:val="Heading3"/>
        <w:tabs>
          <w:tab w:val="clear" w:pos="567"/>
          <w:tab w:val="left" w:pos="709"/>
        </w:tabs>
        <w:ind w:left="709" w:hanging="709"/>
        <w:jc w:val="both"/>
        <w:rPr>
          <w:rFonts w:eastAsia="Calibri" w:cs="Calibri"/>
          <w:color w:val="242424"/>
          <w:szCs w:val="24"/>
          <w:lang w:val="es-ES"/>
        </w:rPr>
      </w:pPr>
      <w:r w:rsidRPr="00316863">
        <w:rPr>
          <w:lang w:val="es-ES"/>
        </w:rPr>
        <w:t>3.2.4</w:t>
      </w:r>
      <w:r w:rsidRPr="00316863">
        <w:rPr>
          <w:lang w:val="es-ES"/>
        </w:rPr>
        <w:tab/>
      </w:r>
      <w:r w:rsidRPr="002C6991">
        <w:rPr>
          <w:lang w:val="es-ES"/>
        </w:rPr>
        <w:t>Gestión de fondos extrapresupuestarios</w:t>
      </w:r>
    </w:p>
    <w:p w14:paraId="4A62F30E" w14:textId="0BC1DAAC" w:rsidR="002A40A3" w:rsidRPr="002C6991" w:rsidRDefault="002A40A3" w:rsidP="002A40A3">
      <w:pPr>
        <w:tabs>
          <w:tab w:val="clear" w:pos="567"/>
          <w:tab w:val="clear" w:pos="1134"/>
          <w:tab w:val="clear" w:pos="1701"/>
          <w:tab w:val="clear" w:pos="2268"/>
          <w:tab w:val="clear" w:pos="2835"/>
        </w:tabs>
        <w:spacing w:line="259" w:lineRule="auto"/>
        <w:jc w:val="both"/>
        <w:rPr>
          <w:rFonts w:eastAsia="Calibri" w:cs="Calibri"/>
          <w:i/>
          <w:iCs/>
          <w:color w:val="000000" w:themeColor="text1"/>
          <w:szCs w:val="24"/>
          <w:lang w:val="es-ES"/>
        </w:rPr>
      </w:pPr>
      <w:r w:rsidRPr="00316863">
        <w:rPr>
          <w:b/>
          <w:bCs/>
          <w:lang w:val="es-ES"/>
        </w:rPr>
        <w:t xml:space="preserve">Objetivo: </w:t>
      </w:r>
      <w:r w:rsidRPr="002C6991">
        <w:rPr>
          <w:i/>
          <w:iCs/>
          <w:lang w:val="es-ES"/>
        </w:rPr>
        <w:t>Mediante la aplicación de procesos más racionalizados en relación con los fondos extrapresupuestarios, la Secretaría garantiza la presentación de informes mejorados sobre los recursos extrapresupuestarios, lo que contribuye al cumplimiento financiero y la toma de decisiones</w:t>
      </w:r>
      <w:r w:rsidR="00CF0B14">
        <w:rPr>
          <w:i/>
          <w:iCs/>
          <w:lang w:val="es-ES"/>
        </w:rPr>
        <w:t>.</w:t>
      </w:r>
    </w:p>
    <w:p w14:paraId="5113331B" w14:textId="01A49C76" w:rsidR="002A40A3" w:rsidRPr="00316863" w:rsidRDefault="002C6991" w:rsidP="001F7FEA">
      <w:pPr>
        <w:pStyle w:val="enumlev1"/>
        <w:jc w:val="both"/>
        <w:rPr>
          <w:rFonts w:eastAsia="Calibri" w:cs="Calibri"/>
          <w:color w:val="242424"/>
          <w:szCs w:val="24"/>
          <w:lang w:val="es-ES"/>
        </w:rPr>
      </w:pPr>
      <w:r w:rsidRPr="001B6E7B">
        <w:rPr>
          <w:lang w:val="es-ES"/>
        </w:rPr>
        <w:t>–</w:t>
      </w:r>
      <w:r>
        <w:rPr>
          <w:lang w:val="es-ES"/>
        </w:rPr>
        <w:tab/>
      </w:r>
      <w:r w:rsidR="002A40A3" w:rsidRPr="00316863">
        <w:rPr>
          <w:lang w:val="es-ES"/>
        </w:rPr>
        <w:t>Los procesos de fondos extrapresupuestarios y la presentación de informes al respecto se ajustan mejor a las necesidades institucionales.</w:t>
      </w:r>
    </w:p>
    <w:p w14:paraId="689C7689" w14:textId="2FC09FDE" w:rsidR="002A40A3" w:rsidRPr="00316863" w:rsidRDefault="002C6991" w:rsidP="001F7FEA">
      <w:pPr>
        <w:pStyle w:val="enumlev1"/>
        <w:jc w:val="both"/>
        <w:rPr>
          <w:rFonts w:eastAsia="Calibri" w:cs="Calibri"/>
          <w:color w:val="242424"/>
          <w:szCs w:val="24"/>
          <w:lang w:val="es-ES"/>
        </w:rPr>
      </w:pPr>
      <w:r w:rsidRPr="001B6E7B">
        <w:rPr>
          <w:lang w:val="es-ES"/>
        </w:rPr>
        <w:t>–</w:t>
      </w:r>
      <w:r>
        <w:rPr>
          <w:lang w:val="es-ES"/>
        </w:rPr>
        <w:tab/>
      </w:r>
      <w:r w:rsidR="002A40A3" w:rsidRPr="00316863">
        <w:rPr>
          <w:lang w:val="es-ES"/>
        </w:rPr>
        <w:t>El siguiente paso consiste en desarrollar paneles ejecutivos</w:t>
      </w:r>
      <w:r w:rsidR="00CF0B14">
        <w:rPr>
          <w:lang w:val="es-ES"/>
        </w:rPr>
        <w:t>.</w:t>
      </w:r>
    </w:p>
    <w:p w14:paraId="557C5CE8" w14:textId="4C1A8081" w:rsidR="002A40A3" w:rsidRPr="00316863" w:rsidRDefault="002A40A3" w:rsidP="002A40A3">
      <w:pPr>
        <w:tabs>
          <w:tab w:val="clear" w:pos="567"/>
          <w:tab w:val="clear" w:pos="1134"/>
          <w:tab w:val="clear" w:pos="1701"/>
          <w:tab w:val="clear" w:pos="2268"/>
          <w:tab w:val="clear" w:pos="2835"/>
        </w:tabs>
        <w:spacing w:line="259" w:lineRule="auto"/>
        <w:jc w:val="both"/>
        <w:rPr>
          <w:rFonts w:eastAsia="Calibri" w:cs="Calibri"/>
          <w:color w:val="242424"/>
          <w:szCs w:val="24"/>
          <w:lang w:val="es-ES"/>
        </w:rPr>
      </w:pPr>
      <w:r w:rsidRPr="00316863">
        <w:rPr>
          <w:b/>
          <w:bCs/>
          <w:lang w:val="es-ES"/>
        </w:rPr>
        <w:t>IFR:</w:t>
      </w:r>
      <w:r w:rsidRPr="00316863">
        <w:rPr>
          <w:lang w:val="es-ES"/>
        </w:rPr>
        <w:tab/>
        <w:t>Procesos de gestión de fondos extrapresupuestarios definidos de forma clara; informes sobre la ejecución de las subvenciones publicados a tiempo</w:t>
      </w:r>
      <w:r w:rsidR="00CF0B14">
        <w:rPr>
          <w:lang w:val="es-ES"/>
        </w:rPr>
        <w:t>.</w:t>
      </w:r>
    </w:p>
    <w:p w14:paraId="1F0502C8" w14:textId="77777777" w:rsidR="002A40A3" w:rsidRPr="002C6991"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b/>
          <w:color w:val="242424"/>
          <w:szCs w:val="24"/>
          <w:lang w:val="es-ES"/>
        </w:rPr>
      </w:pPr>
      <w:r w:rsidRPr="002C6991">
        <w:rPr>
          <w:b/>
          <w:bCs/>
          <w:lang w:val="es-ES"/>
        </w:rPr>
        <w:t>Miembros y socios</w:t>
      </w:r>
    </w:p>
    <w:p w14:paraId="1E48659C" w14:textId="77777777" w:rsidR="002A40A3" w:rsidRPr="00316863" w:rsidRDefault="002A40A3" w:rsidP="001F7FEA">
      <w:pPr>
        <w:pStyle w:val="Heading3"/>
        <w:tabs>
          <w:tab w:val="clear" w:pos="567"/>
        </w:tabs>
        <w:ind w:left="709" w:hanging="709"/>
        <w:jc w:val="both"/>
        <w:rPr>
          <w:rFonts w:asciiTheme="minorHAnsi" w:eastAsiaTheme="minorEastAsia" w:hAnsiTheme="minorHAnsi" w:cstheme="minorBidi"/>
          <w:b w:val="0"/>
          <w:bCs/>
          <w:color w:val="242424"/>
          <w:lang w:val="es-ES"/>
        </w:rPr>
      </w:pPr>
      <w:r w:rsidRPr="00316863">
        <w:rPr>
          <w:lang w:val="es-ES"/>
        </w:rPr>
        <w:t>3.2.5</w:t>
      </w:r>
      <w:r w:rsidRPr="00316863">
        <w:rPr>
          <w:lang w:val="es-ES"/>
        </w:rPr>
        <w:tab/>
      </w:r>
      <w:r w:rsidRPr="002C6991">
        <w:rPr>
          <w:lang w:val="es-ES"/>
        </w:rPr>
        <w:t>Sitio web, marca y comunicación externa</w:t>
      </w:r>
      <w:r w:rsidRPr="00316863">
        <w:rPr>
          <w:lang w:val="es-ES"/>
        </w:rPr>
        <w:t xml:space="preserve"> </w:t>
      </w:r>
    </w:p>
    <w:p w14:paraId="5A6ED8ED" w14:textId="779C8EAD"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b/>
          <w:color w:val="242424"/>
          <w:szCs w:val="24"/>
          <w:lang w:val="es-ES"/>
        </w:rPr>
      </w:pPr>
      <w:r w:rsidRPr="00316863">
        <w:rPr>
          <w:b/>
          <w:bCs/>
          <w:lang w:val="es-ES"/>
        </w:rPr>
        <w:t>Objetivo:</w:t>
      </w:r>
      <w:r w:rsidRPr="00316863">
        <w:rPr>
          <w:lang w:val="es-ES"/>
        </w:rPr>
        <w:t xml:space="preserve"> </w:t>
      </w:r>
      <w:r w:rsidRPr="00316863">
        <w:rPr>
          <w:i/>
          <w:iCs/>
          <w:lang w:val="es-ES"/>
        </w:rPr>
        <w:t>Mejorar el sitio web de la UIT con características modernas y adaptadas a los dispositivos móviles y funcionalidad de búsqueda, seguridad, experiencia del usuario y armonización aumentadas</w:t>
      </w:r>
      <w:r w:rsidR="00CF0B14">
        <w:rPr>
          <w:i/>
          <w:iCs/>
          <w:lang w:val="es-ES"/>
        </w:rPr>
        <w:t>.</w:t>
      </w:r>
    </w:p>
    <w:p w14:paraId="6984F255" w14:textId="4B432375" w:rsidR="002A40A3" w:rsidRPr="00316863" w:rsidRDefault="002C6991" w:rsidP="001F7FEA">
      <w:pPr>
        <w:pStyle w:val="enumlev1"/>
        <w:jc w:val="both"/>
        <w:rPr>
          <w:rFonts w:asciiTheme="minorHAnsi" w:eastAsiaTheme="minorEastAsia" w:hAnsiTheme="minorHAnsi" w:cstheme="minorBidi"/>
          <w:color w:val="242424"/>
          <w:szCs w:val="24"/>
          <w:lang w:val="es-ES"/>
        </w:rPr>
      </w:pPr>
      <w:r w:rsidRPr="001B6E7B">
        <w:rPr>
          <w:lang w:val="es-ES"/>
        </w:rPr>
        <w:lastRenderedPageBreak/>
        <w:t>–</w:t>
      </w:r>
      <w:r>
        <w:rPr>
          <w:lang w:val="es-ES"/>
        </w:rPr>
        <w:tab/>
      </w:r>
      <w:r w:rsidR="002A40A3" w:rsidRPr="00316863">
        <w:rPr>
          <w:lang w:val="es-ES"/>
        </w:rPr>
        <w:t>Se trabaja en todo momento en el desarrollo de un sitio web nuevo, a fin de disponer de un sitio web moderno, adaptable a dispositivos móviles, seguro, multilingüe y armonizado para la PP-26.</w:t>
      </w:r>
    </w:p>
    <w:p w14:paraId="2C5198D9" w14:textId="5F5FF965"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lang w:val="es-ES"/>
        </w:rPr>
      </w:pPr>
      <w:r w:rsidRPr="00316863">
        <w:rPr>
          <w:b/>
          <w:bCs/>
          <w:lang w:val="es-ES"/>
        </w:rPr>
        <w:t>IFR:</w:t>
      </w:r>
      <w:r w:rsidRPr="00316863">
        <w:rPr>
          <w:lang w:val="es-ES"/>
        </w:rPr>
        <w:tab/>
        <w:t>Puntuación de la encuesta de satisfacción del sitio web</w:t>
      </w:r>
      <w:r w:rsidR="00C9730D">
        <w:rPr>
          <w:lang w:val="es-ES"/>
        </w:rPr>
        <w:t>.</w:t>
      </w:r>
    </w:p>
    <w:p w14:paraId="51617ADF" w14:textId="77777777" w:rsidR="002A40A3" w:rsidRPr="00316863" w:rsidRDefault="002A40A3" w:rsidP="001F7FEA">
      <w:pPr>
        <w:pStyle w:val="Heading3"/>
        <w:tabs>
          <w:tab w:val="clear" w:pos="567"/>
        </w:tabs>
        <w:ind w:left="709" w:hanging="709"/>
        <w:jc w:val="both"/>
        <w:rPr>
          <w:rFonts w:asciiTheme="minorHAnsi" w:eastAsiaTheme="minorEastAsia" w:hAnsiTheme="minorHAnsi" w:cstheme="minorBidi"/>
          <w:b w:val="0"/>
          <w:bCs/>
          <w:color w:val="242424"/>
          <w:lang w:val="es-ES"/>
        </w:rPr>
      </w:pPr>
      <w:r w:rsidRPr="00316863">
        <w:rPr>
          <w:lang w:val="es-ES"/>
        </w:rPr>
        <w:t>3.2.6</w:t>
      </w:r>
      <w:r w:rsidRPr="00316863">
        <w:rPr>
          <w:lang w:val="es-ES"/>
        </w:rPr>
        <w:tab/>
      </w:r>
      <w:r w:rsidRPr="002C6991">
        <w:rPr>
          <w:lang w:val="es-ES"/>
        </w:rPr>
        <w:t>Gestión de conferencias y eventos – Procesamiento de documentos</w:t>
      </w:r>
    </w:p>
    <w:p w14:paraId="23B3A623" w14:textId="77777777"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b/>
          <w:color w:val="242424"/>
          <w:szCs w:val="24"/>
          <w:lang w:val="es-ES"/>
        </w:rPr>
      </w:pPr>
      <w:r w:rsidRPr="00316863">
        <w:rPr>
          <w:b/>
          <w:bCs/>
          <w:lang w:val="es-ES"/>
        </w:rPr>
        <w:t>Objetivo:</w:t>
      </w:r>
      <w:r w:rsidRPr="00316863">
        <w:rPr>
          <w:lang w:val="es-ES"/>
        </w:rPr>
        <w:t xml:space="preserve"> </w:t>
      </w:r>
      <w:r w:rsidRPr="00316863">
        <w:rPr>
          <w:i/>
          <w:iCs/>
          <w:lang w:val="es-ES"/>
        </w:rPr>
        <w:t>Racionalizar y armonizar la documentación de conferencias y eventos de la UIT</w:t>
      </w:r>
    </w:p>
    <w:p w14:paraId="3DF9607C" w14:textId="22259311" w:rsidR="002A40A3" w:rsidRPr="00316863" w:rsidRDefault="002C6991" w:rsidP="001F7FEA">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Se está ejecutando un proyecto encaminado a racionalizar y normalizar el proceso de gestión de documentos a fin de mejorar la experiencia de los miembros en las conferencias y asambleas de la UIT.</w:t>
      </w:r>
    </w:p>
    <w:p w14:paraId="22F751BC" w14:textId="17E642C7"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ab/>
        <w:t>Tiempo de respuesta desde la presentación hasta la publicación; encuesta de satisfacción de los Miembros</w:t>
      </w:r>
      <w:r w:rsidR="00CF0B14">
        <w:rPr>
          <w:lang w:val="es-ES"/>
        </w:rPr>
        <w:t>.</w:t>
      </w:r>
      <w:r w:rsidRPr="00316863">
        <w:rPr>
          <w:lang w:val="es-ES"/>
        </w:rPr>
        <w:t xml:space="preserve"> </w:t>
      </w:r>
    </w:p>
    <w:p w14:paraId="0507673A" w14:textId="77777777" w:rsidR="002A40A3" w:rsidRPr="00316863" w:rsidRDefault="002A40A3" w:rsidP="001F7FEA">
      <w:pPr>
        <w:pStyle w:val="Heading3"/>
        <w:tabs>
          <w:tab w:val="clear" w:pos="567"/>
        </w:tabs>
        <w:ind w:left="709" w:hanging="709"/>
        <w:jc w:val="both"/>
        <w:rPr>
          <w:rFonts w:asciiTheme="minorHAnsi" w:eastAsiaTheme="minorEastAsia" w:hAnsiTheme="minorHAnsi" w:cstheme="minorBidi"/>
          <w:color w:val="242424"/>
          <w:lang w:val="es-ES"/>
        </w:rPr>
      </w:pPr>
      <w:r w:rsidRPr="00316863">
        <w:rPr>
          <w:lang w:val="es-ES"/>
        </w:rPr>
        <w:t>3.2.7</w:t>
      </w:r>
      <w:r w:rsidRPr="00316863">
        <w:rPr>
          <w:lang w:val="es-ES"/>
        </w:rPr>
        <w:tab/>
      </w:r>
      <w:r w:rsidRPr="002C6991">
        <w:rPr>
          <w:lang w:val="es-ES"/>
        </w:rPr>
        <w:t>Comunicación y medios</w:t>
      </w:r>
    </w:p>
    <w:p w14:paraId="080FCBF4" w14:textId="312C9F41"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i/>
          <w:color w:val="242424"/>
          <w:szCs w:val="24"/>
          <w:lang w:val="es-ES"/>
        </w:rPr>
      </w:pPr>
      <w:r w:rsidRPr="00316863">
        <w:rPr>
          <w:b/>
          <w:bCs/>
          <w:lang w:val="es-ES"/>
        </w:rPr>
        <w:t>Objetivo:</w:t>
      </w:r>
      <w:r w:rsidRPr="00316863">
        <w:rPr>
          <w:lang w:val="es-ES"/>
        </w:rPr>
        <w:t xml:space="preserve"> </w:t>
      </w:r>
      <w:r w:rsidRPr="00316863">
        <w:rPr>
          <w:i/>
          <w:iCs/>
          <w:lang w:val="es-ES"/>
        </w:rPr>
        <w:t>Mejorar la experiencia y el compromiso del personal mediante la creación de una moderna plataforma de comunicación interna para el personal</w:t>
      </w:r>
      <w:r w:rsidR="00CF0B14">
        <w:rPr>
          <w:i/>
          <w:iCs/>
          <w:lang w:val="es-ES"/>
        </w:rPr>
        <w:t>.</w:t>
      </w:r>
    </w:p>
    <w:p w14:paraId="611005BD" w14:textId="32ADEAB0" w:rsidR="002A40A3" w:rsidRPr="00316863" w:rsidRDefault="002C6991" w:rsidP="001F7FEA">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Preparar y poner a prueba una solución integrada, diseñada para mejorar la comunicación, la colaboración y el intercambio de conocimientos, al tiempo que propicia nuevas formas de trabajo entre el personal de la UIT. </w:t>
      </w:r>
    </w:p>
    <w:p w14:paraId="3EB9030B" w14:textId="6BC1A099"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ab/>
        <w:t>Tasa de adopción: Participación activa de los usuarios; participación en la plataforma (visitas, publicaciones, comentarios); encuesta de satisfacción del personal sobre el uso de la plataforma; reducción del volumen de correos electrónicos con información actualizada de cuestiones internas; participación en campañas o grupos interdepartamentales</w:t>
      </w:r>
      <w:r w:rsidR="00C95542">
        <w:rPr>
          <w:lang w:val="es-ES"/>
        </w:rPr>
        <w:t>.</w:t>
      </w:r>
    </w:p>
    <w:p w14:paraId="5AB69F9A" w14:textId="77777777" w:rsidR="002A40A3" w:rsidRPr="00316863" w:rsidRDefault="002A40A3" w:rsidP="001F7FEA">
      <w:pPr>
        <w:pStyle w:val="Heading3"/>
        <w:tabs>
          <w:tab w:val="clear" w:pos="567"/>
        </w:tabs>
        <w:ind w:left="709" w:hanging="709"/>
        <w:jc w:val="both"/>
        <w:rPr>
          <w:rFonts w:asciiTheme="minorHAnsi" w:eastAsiaTheme="minorEastAsia" w:hAnsiTheme="minorHAnsi" w:cstheme="minorBidi"/>
          <w:color w:val="242424"/>
          <w:lang w:val="es-ES"/>
        </w:rPr>
      </w:pPr>
      <w:r w:rsidRPr="00316863">
        <w:rPr>
          <w:lang w:val="es-ES"/>
        </w:rPr>
        <w:t>3.2.8</w:t>
      </w:r>
      <w:r w:rsidRPr="00316863">
        <w:rPr>
          <w:lang w:val="es-ES"/>
        </w:rPr>
        <w:tab/>
      </w:r>
      <w:r w:rsidRPr="002C6991">
        <w:rPr>
          <w:lang w:val="es-ES"/>
        </w:rPr>
        <w:t>Movilización de recursos y sistema CRM</w:t>
      </w:r>
      <w:r w:rsidRPr="00316863">
        <w:rPr>
          <w:lang w:val="es-ES"/>
        </w:rPr>
        <w:t xml:space="preserve"> </w:t>
      </w:r>
    </w:p>
    <w:p w14:paraId="2B15B249" w14:textId="77777777"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Objetivo:</w:t>
      </w:r>
      <w:r w:rsidRPr="00316863">
        <w:rPr>
          <w:lang w:val="es-ES"/>
        </w:rPr>
        <w:t xml:space="preserve"> </w:t>
      </w:r>
      <w:r w:rsidRPr="00316863">
        <w:rPr>
          <w:i/>
          <w:iCs/>
          <w:lang w:val="es-ES"/>
        </w:rPr>
        <w:t>Fortalecer la coordinación en toda la UIT para la participación de miembros y asociados, la recaudación de fondos y la gestión de eventos</w:t>
      </w:r>
    </w:p>
    <w:p w14:paraId="7A655E1A" w14:textId="590F1822" w:rsidR="002A40A3" w:rsidRPr="00316863" w:rsidRDefault="002C6991" w:rsidP="001F7FEA">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Se ha elaborado una hoja de ruta para la ejecución de la CRM. </w:t>
      </w:r>
    </w:p>
    <w:p w14:paraId="1DD80582" w14:textId="331DAA0B" w:rsidR="002A40A3" w:rsidRPr="00316863" w:rsidRDefault="002C6991" w:rsidP="001F7FEA">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Se han preparado casos de uso del primer paso relativos a la coordinación en toda la UIT de la movilización de recursos y la participación de asociados, así como a la preparación y el seguimiento de reuniones ejecutivas bilaterales, a fin de mejorar la eficiencia y la repercusión.</w:t>
      </w:r>
    </w:p>
    <w:p w14:paraId="0357FBA9" w14:textId="14112BBC" w:rsidR="002A40A3" w:rsidRPr="00316863" w:rsidRDefault="002C6991" w:rsidP="001F7FEA">
      <w:pPr>
        <w:pStyle w:val="enumlev1"/>
        <w:jc w:val="both"/>
        <w:rPr>
          <w:rFonts w:asciiTheme="minorHAnsi" w:eastAsiaTheme="minorEastAsia" w:hAnsiTheme="minorHAnsi" w:cstheme="minorBidi"/>
          <w:color w:val="242424"/>
          <w:szCs w:val="24"/>
          <w:lang w:val="es-ES"/>
        </w:rPr>
      </w:pPr>
      <w:r w:rsidRPr="001B6E7B">
        <w:rPr>
          <w:lang w:val="es-ES"/>
        </w:rPr>
        <w:t>–</w:t>
      </w:r>
      <w:r>
        <w:rPr>
          <w:lang w:val="es-ES"/>
        </w:rPr>
        <w:tab/>
      </w:r>
      <w:r w:rsidR="002A40A3" w:rsidRPr="00316863">
        <w:rPr>
          <w:lang w:val="es-ES"/>
        </w:rPr>
        <w:t xml:space="preserve">La hoja de ruta también incluye: </w:t>
      </w:r>
    </w:p>
    <w:p w14:paraId="615E350B" w14:textId="1B7F8709" w:rsidR="002A40A3" w:rsidRPr="00316863" w:rsidRDefault="002C6991" w:rsidP="001F7FEA">
      <w:pPr>
        <w:pStyle w:val="enumlev2"/>
        <w:jc w:val="both"/>
        <w:rPr>
          <w:rFonts w:asciiTheme="minorHAnsi" w:eastAsiaTheme="minorEastAsia" w:hAnsiTheme="minorHAnsi" w:cstheme="minorBidi"/>
          <w:color w:val="242424"/>
          <w:szCs w:val="24"/>
          <w:lang w:val="es-ES"/>
        </w:rPr>
      </w:pPr>
      <w:r w:rsidRPr="002C6991">
        <w:rPr>
          <w:lang w:val="es-ES"/>
        </w:rPr>
        <w:t>•</w:t>
      </w:r>
      <w:r>
        <w:rPr>
          <w:lang w:val="es-ES"/>
        </w:rPr>
        <w:tab/>
      </w:r>
      <w:r w:rsidR="002A40A3" w:rsidRPr="00316863">
        <w:rPr>
          <w:lang w:val="es-ES"/>
        </w:rPr>
        <w:t>un módulo de gestión de servicios basado en IA para modernizar y mejorar la eficiencia de los procesos de prestación de servicios en toda la UIT, incluidos el servicio de asistencia de TI y otros servicios internos y para delegados;</w:t>
      </w:r>
    </w:p>
    <w:p w14:paraId="7625DF1A" w14:textId="0044591C" w:rsidR="002A40A3" w:rsidRPr="00316863" w:rsidRDefault="002C6991" w:rsidP="001F7FEA">
      <w:pPr>
        <w:pStyle w:val="enumlev2"/>
        <w:jc w:val="both"/>
        <w:rPr>
          <w:rFonts w:asciiTheme="minorHAnsi" w:eastAsiaTheme="minorEastAsia" w:hAnsiTheme="minorHAnsi" w:cstheme="minorBidi"/>
          <w:color w:val="242424"/>
          <w:szCs w:val="24"/>
          <w:lang w:val="es-ES"/>
        </w:rPr>
      </w:pPr>
      <w:r w:rsidRPr="002C6991">
        <w:rPr>
          <w:lang w:val="es-ES"/>
        </w:rPr>
        <w:t>•</w:t>
      </w:r>
      <w:r>
        <w:rPr>
          <w:lang w:val="es-ES"/>
        </w:rPr>
        <w:tab/>
      </w:r>
      <w:r w:rsidR="002A40A3" w:rsidRPr="00316863">
        <w:rPr>
          <w:lang w:val="es-ES"/>
        </w:rPr>
        <w:t xml:space="preserve">un módulo de </w:t>
      </w:r>
      <w:r w:rsidR="002A40A3" w:rsidRPr="00316863">
        <w:rPr>
          <w:i/>
          <w:iCs/>
          <w:lang w:val="es-ES"/>
        </w:rPr>
        <w:t xml:space="preserve">marketing </w:t>
      </w:r>
      <w:r w:rsidR="002A40A3" w:rsidRPr="00316863">
        <w:rPr>
          <w:lang w:val="es-ES"/>
        </w:rPr>
        <w:t>para mejorar el proceso y la experiencia del usuario y personalizar la participación;</w:t>
      </w:r>
    </w:p>
    <w:p w14:paraId="25ECEF2B" w14:textId="02B75A3A" w:rsidR="002A40A3" w:rsidRPr="00316863" w:rsidRDefault="002C6991" w:rsidP="001F7FEA">
      <w:pPr>
        <w:pStyle w:val="enumlev2"/>
        <w:jc w:val="both"/>
        <w:rPr>
          <w:rFonts w:asciiTheme="minorHAnsi" w:eastAsiaTheme="minorEastAsia" w:hAnsiTheme="minorHAnsi" w:cstheme="minorBidi"/>
          <w:color w:val="242424"/>
          <w:szCs w:val="24"/>
          <w:lang w:val="es-ES"/>
        </w:rPr>
      </w:pPr>
      <w:r w:rsidRPr="002C6991">
        <w:rPr>
          <w:lang w:val="es-ES"/>
        </w:rPr>
        <w:t>•</w:t>
      </w:r>
      <w:r>
        <w:rPr>
          <w:lang w:val="es-ES"/>
        </w:rPr>
        <w:tab/>
      </w:r>
      <w:r w:rsidR="002A40A3" w:rsidRPr="00316863">
        <w:rPr>
          <w:lang w:val="es-ES"/>
        </w:rPr>
        <w:t>seguimiento de la gestión de eventos para mejorar la experiencia de los delegados, reducir los procesos administrativos internos mediante la automatización y el uso de herramientas de IA y permitir posibles nuevos modelos de negocio con generación de ingresos.</w:t>
      </w:r>
    </w:p>
    <w:p w14:paraId="0DA00EE1" w14:textId="532FCC68"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lastRenderedPageBreak/>
        <w:t>IFR:</w:t>
      </w:r>
      <w:r w:rsidRPr="00316863">
        <w:rPr>
          <w:lang w:val="es-ES"/>
        </w:rPr>
        <w:tab/>
        <w:t xml:space="preserve">Para la movilización de recursos: informe sobre posibles asociados/donantes/patrocinadores y miembros, tasas de conversación, e ingresos totales y crecimiento interanual. Para la gestión de servicios: medición de las mejoras en la eficiencia, incluida la reducción del tiempo promedio para responder a las solicitudes y la reducción del costo promedio de tramitación y resolución de los </w:t>
      </w:r>
      <w:r w:rsidRPr="00316863">
        <w:rPr>
          <w:i/>
          <w:iCs/>
          <w:lang w:val="es-ES"/>
        </w:rPr>
        <w:t xml:space="preserve">tickets </w:t>
      </w:r>
      <w:r w:rsidRPr="00316863">
        <w:rPr>
          <w:lang w:val="es-ES"/>
        </w:rPr>
        <w:t>de soporte debido a la automatización/agentes de IA, y una mayor satisfacción del cliente. Para la gestión de eventos: mejora de la satisfacción de los participantes, simplificación de los procesos para el personal y los participantes, reducción de costes/tiempo de personal para la organización de eventos</w:t>
      </w:r>
      <w:r w:rsidR="00C95542">
        <w:rPr>
          <w:lang w:val="es-ES"/>
        </w:rPr>
        <w:t>.</w:t>
      </w:r>
    </w:p>
    <w:p w14:paraId="50678170" w14:textId="77777777" w:rsidR="002A40A3" w:rsidRPr="00316863" w:rsidRDefault="002A40A3" w:rsidP="00C95542">
      <w:pPr>
        <w:pStyle w:val="Heading2"/>
        <w:rPr>
          <w:rFonts w:asciiTheme="minorHAnsi" w:eastAsiaTheme="minorEastAsia" w:hAnsiTheme="minorHAnsi" w:cstheme="minorBidi"/>
          <w:color w:val="242424"/>
          <w:szCs w:val="24"/>
          <w:lang w:val="es-ES"/>
        </w:rPr>
      </w:pPr>
      <w:r w:rsidRPr="00316863">
        <w:rPr>
          <w:lang w:val="es-ES"/>
        </w:rPr>
        <w:t>3.3</w:t>
      </w:r>
      <w:r w:rsidRPr="00316863">
        <w:rPr>
          <w:lang w:val="es-ES"/>
        </w:rPr>
        <w:tab/>
        <w:t>Iniciativas de la Transformación completadas</w:t>
      </w:r>
    </w:p>
    <w:p w14:paraId="2DDD8C44" w14:textId="77777777" w:rsidR="002A40A3" w:rsidRPr="00316863" w:rsidRDefault="002A40A3" w:rsidP="00D95B34">
      <w:pPr>
        <w:pStyle w:val="Heading3"/>
        <w:tabs>
          <w:tab w:val="clear" w:pos="567"/>
        </w:tabs>
        <w:ind w:left="709" w:hanging="709"/>
        <w:rPr>
          <w:rFonts w:asciiTheme="minorHAnsi" w:eastAsiaTheme="minorEastAsia" w:hAnsiTheme="minorHAnsi" w:cstheme="minorBidi"/>
          <w:b w:val="0"/>
          <w:color w:val="242424"/>
          <w:szCs w:val="24"/>
          <w:lang w:val="es-ES"/>
        </w:rPr>
      </w:pPr>
      <w:r w:rsidRPr="00316863">
        <w:rPr>
          <w:lang w:val="es-ES"/>
        </w:rPr>
        <w:t>3.3.1</w:t>
      </w:r>
      <w:r w:rsidRPr="00316863">
        <w:rPr>
          <w:lang w:val="es-ES"/>
        </w:rPr>
        <w:tab/>
      </w:r>
      <w:r w:rsidRPr="00C95542">
        <w:rPr>
          <w:lang w:val="es-ES"/>
        </w:rPr>
        <w:t>Gestión de la asignación de recursos</w:t>
      </w:r>
    </w:p>
    <w:p w14:paraId="275AD9BB" w14:textId="7670746F"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b/>
          <w:szCs w:val="24"/>
          <w:lang w:val="es-ES"/>
        </w:rPr>
      </w:pPr>
      <w:r w:rsidRPr="00316863">
        <w:rPr>
          <w:b/>
          <w:bCs/>
          <w:lang w:val="es-ES"/>
        </w:rPr>
        <w:t>Objetivo:</w:t>
      </w:r>
      <w:r w:rsidRPr="00316863">
        <w:rPr>
          <w:lang w:val="es-ES"/>
        </w:rPr>
        <w:t xml:space="preserve"> </w:t>
      </w:r>
      <w:r w:rsidRPr="00316863">
        <w:rPr>
          <w:i/>
          <w:iCs/>
          <w:lang w:val="es-ES"/>
        </w:rPr>
        <w:t>Garantizar que la asignación presupuestaria en toda la UIT se gestiona de manera eficaz y en consonancia con los recursos para garantizar la continuidad de las iniciativas prioritarias, lo que permite maximizar el impacto mediante la racionalización de la gestión de los fondos</w:t>
      </w:r>
      <w:r w:rsidR="00C95542">
        <w:rPr>
          <w:i/>
          <w:iCs/>
          <w:lang w:val="es-ES"/>
        </w:rPr>
        <w:t>.</w:t>
      </w:r>
    </w:p>
    <w:p w14:paraId="635FAA48" w14:textId="2402CDC0" w:rsidR="002A40A3" w:rsidRPr="00316863" w:rsidRDefault="00C95542" w:rsidP="001F7FEA">
      <w:pPr>
        <w:pStyle w:val="enumlev1"/>
        <w:jc w:val="both"/>
        <w:rPr>
          <w:rFonts w:asciiTheme="minorHAnsi" w:eastAsiaTheme="minorEastAsia" w:hAnsiTheme="minorHAnsi" w:cstheme="minorBidi"/>
          <w:color w:val="242424"/>
          <w:szCs w:val="24"/>
          <w:lang w:val="es-ES"/>
        </w:rPr>
      </w:pPr>
      <w:r w:rsidRPr="00C95542">
        <w:rPr>
          <w:lang w:val="es-ES"/>
        </w:rPr>
        <w:t>–</w:t>
      </w:r>
      <w:r>
        <w:rPr>
          <w:lang w:val="es-ES"/>
        </w:rPr>
        <w:tab/>
      </w:r>
      <w:r w:rsidR="002A40A3" w:rsidRPr="00316863">
        <w:rPr>
          <w:lang w:val="es-ES"/>
        </w:rPr>
        <w:t>Se ha garantizado la alineación de la asignación presupuestaria y los ingresos en 2025.</w:t>
      </w:r>
    </w:p>
    <w:p w14:paraId="681473B4" w14:textId="2F7A0076"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ab/>
        <w:t>Presupuesto aprobado armonizado con los ingresos previstos a principios de año; exámenes trimestrales de las previsiones de ingresos y de los ajustes efectuados al presupuesto asignado</w:t>
      </w:r>
      <w:r w:rsidR="00C95542">
        <w:rPr>
          <w:lang w:val="es-ES"/>
        </w:rPr>
        <w:t>.</w:t>
      </w:r>
    </w:p>
    <w:p w14:paraId="73A7C1A4" w14:textId="77777777" w:rsidR="002A40A3" w:rsidRPr="00316863" w:rsidRDefault="002A40A3" w:rsidP="00D95B34">
      <w:pPr>
        <w:pStyle w:val="Heading3"/>
        <w:tabs>
          <w:tab w:val="clear" w:pos="567"/>
        </w:tabs>
        <w:ind w:left="709" w:hanging="709"/>
        <w:rPr>
          <w:rFonts w:asciiTheme="minorHAnsi" w:eastAsiaTheme="minorEastAsia" w:hAnsiTheme="minorHAnsi" w:cstheme="minorBidi"/>
          <w:b w:val="0"/>
          <w:bCs/>
          <w:color w:val="242424"/>
          <w:lang w:val="es-ES"/>
        </w:rPr>
      </w:pPr>
      <w:r w:rsidRPr="00316863">
        <w:rPr>
          <w:lang w:val="es-ES"/>
        </w:rPr>
        <w:t>3.3.2</w:t>
      </w:r>
      <w:r w:rsidRPr="00316863">
        <w:rPr>
          <w:lang w:val="es-ES"/>
        </w:rPr>
        <w:tab/>
      </w:r>
      <w:r w:rsidRPr="00C95542">
        <w:rPr>
          <w:lang w:val="es-ES"/>
        </w:rPr>
        <w:t>Reglamento Financiero y Reglas Financieras</w:t>
      </w:r>
    </w:p>
    <w:p w14:paraId="05BC9715" w14:textId="1696BA69"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b/>
          <w:color w:val="242424"/>
          <w:szCs w:val="24"/>
          <w:lang w:val="es-ES"/>
        </w:rPr>
      </w:pPr>
      <w:r w:rsidRPr="00316863">
        <w:rPr>
          <w:b/>
          <w:bCs/>
          <w:lang w:val="es-ES"/>
        </w:rPr>
        <w:t>Objetivo:</w:t>
      </w:r>
      <w:r w:rsidRPr="00316863">
        <w:rPr>
          <w:lang w:val="es-ES"/>
        </w:rPr>
        <w:t xml:space="preserve"> </w:t>
      </w:r>
      <w:r w:rsidRPr="00316863">
        <w:rPr>
          <w:i/>
          <w:iCs/>
          <w:lang w:val="es-ES"/>
        </w:rPr>
        <w:t>Garantizar una mejor gestión financiera y una mayor transparencia y rendición de cuentas</w:t>
      </w:r>
      <w:r w:rsidR="00C95542">
        <w:rPr>
          <w:i/>
          <w:iCs/>
          <w:lang w:val="es-ES"/>
        </w:rPr>
        <w:t>.</w:t>
      </w:r>
    </w:p>
    <w:p w14:paraId="2EFCC6B0" w14:textId="02BF744D" w:rsidR="002A40A3" w:rsidRPr="00316863" w:rsidRDefault="00C95542" w:rsidP="001F7FEA">
      <w:pPr>
        <w:pStyle w:val="enumlev1"/>
        <w:jc w:val="both"/>
        <w:rPr>
          <w:rFonts w:asciiTheme="minorHAnsi" w:eastAsiaTheme="minorEastAsia" w:hAnsiTheme="minorHAnsi" w:cstheme="minorBidi"/>
          <w:color w:val="242424"/>
          <w:szCs w:val="24"/>
          <w:lang w:val="es-ES"/>
        </w:rPr>
      </w:pPr>
      <w:r w:rsidRPr="00C95542">
        <w:rPr>
          <w:lang w:val="es-ES"/>
        </w:rPr>
        <w:t>–</w:t>
      </w:r>
      <w:r>
        <w:rPr>
          <w:lang w:val="es-ES"/>
        </w:rPr>
        <w:tab/>
      </w:r>
      <w:r w:rsidR="002A40A3" w:rsidRPr="00316863">
        <w:rPr>
          <w:lang w:val="es-ES"/>
        </w:rPr>
        <w:t>Se ha asegurado que la UIT es plenamente conforme con las Normas Internacionales de Contabilidad del Sector Público (NICSP).</w:t>
      </w:r>
    </w:p>
    <w:p w14:paraId="325F2169" w14:textId="17AE58F0"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ab/>
        <w:t>100</w:t>
      </w:r>
      <w:r w:rsidR="00C95542">
        <w:rPr>
          <w:lang w:val="es-ES"/>
        </w:rPr>
        <w:t> </w:t>
      </w:r>
      <w:r w:rsidRPr="00316863">
        <w:rPr>
          <w:lang w:val="es-ES"/>
        </w:rPr>
        <w:t>% de conformidad con las NICSP en cuanto a la publicación del informe financiero; informe financiero publicado antes del 31 de marzo del año siguiente</w:t>
      </w:r>
      <w:r w:rsidR="00C95542">
        <w:rPr>
          <w:lang w:val="es-ES"/>
        </w:rPr>
        <w:t>.</w:t>
      </w:r>
    </w:p>
    <w:p w14:paraId="069179F6" w14:textId="77777777" w:rsidR="002A40A3" w:rsidRPr="00316863" w:rsidRDefault="002A40A3" w:rsidP="00D95B34">
      <w:pPr>
        <w:pStyle w:val="Heading3"/>
        <w:tabs>
          <w:tab w:val="clear" w:pos="567"/>
        </w:tabs>
        <w:ind w:left="709" w:hanging="709"/>
        <w:rPr>
          <w:rFonts w:asciiTheme="minorHAnsi" w:eastAsiaTheme="minorEastAsia" w:hAnsiTheme="minorHAnsi" w:cstheme="minorBidi"/>
          <w:b w:val="0"/>
          <w:bCs/>
          <w:color w:val="242424"/>
          <w:lang w:val="es-ES"/>
        </w:rPr>
      </w:pPr>
      <w:r w:rsidRPr="00316863">
        <w:rPr>
          <w:lang w:val="es-ES"/>
        </w:rPr>
        <w:t>3.3.3</w:t>
      </w:r>
      <w:r w:rsidRPr="00316863">
        <w:rPr>
          <w:lang w:val="es-ES"/>
        </w:rPr>
        <w:tab/>
      </w:r>
      <w:r w:rsidRPr="002E35AA">
        <w:rPr>
          <w:lang w:val="es-ES"/>
        </w:rPr>
        <w:t>Gestión de tesorería</w:t>
      </w:r>
    </w:p>
    <w:p w14:paraId="16008A6B" w14:textId="782A3036" w:rsidR="002A40A3" w:rsidRPr="00316863" w:rsidRDefault="002A40A3" w:rsidP="001F7FEA">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b/>
          <w:color w:val="242424"/>
          <w:szCs w:val="24"/>
          <w:lang w:val="es-ES"/>
        </w:rPr>
      </w:pPr>
      <w:r w:rsidRPr="00316863">
        <w:rPr>
          <w:b/>
          <w:bCs/>
          <w:lang w:val="es-ES"/>
        </w:rPr>
        <w:t>Objetivo:</w:t>
      </w:r>
      <w:r w:rsidRPr="00316863">
        <w:rPr>
          <w:lang w:val="es-ES"/>
        </w:rPr>
        <w:t xml:space="preserve"> </w:t>
      </w:r>
      <w:r w:rsidRPr="00316863">
        <w:rPr>
          <w:i/>
          <w:iCs/>
          <w:lang w:val="es-ES"/>
        </w:rPr>
        <w:t>Mejorar las decisiones de inversión de la UIT</w:t>
      </w:r>
      <w:r w:rsidR="002E35AA">
        <w:rPr>
          <w:i/>
          <w:iCs/>
          <w:lang w:val="es-ES"/>
        </w:rPr>
        <w:t>.</w:t>
      </w:r>
    </w:p>
    <w:p w14:paraId="2DCAD941" w14:textId="2D02481A" w:rsidR="002A40A3" w:rsidRPr="00316863" w:rsidRDefault="002E35AA" w:rsidP="001F7FEA">
      <w:pPr>
        <w:pStyle w:val="enumlev1"/>
        <w:jc w:val="both"/>
        <w:rPr>
          <w:rFonts w:asciiTheme="minorHAnsi" w:eastAsiaTheme="minorEastAsia" w:hAnsiTheme="minorHAnsi" w:cstheme="minorBidi"/>
          <w:color w:val="242424"/>
          <w:szCs w:val="24"/>
          <w:lang w:val="es-ES"/>
        </w:rPr>
      </w:pPr>
      <w:r w:rsidRPr="002E35AA">
        <w:rPr>
          <w:lang w:val="es-ES"/>
        </w:rPr>
        <w:t>–</w:t>
      </w:r>
      <w:r>
        <w:rPr>
          <w:lang w:val="es-ES"/>
        </w:rPr>
        <w:tab/>
      </w:r>
      <w:r w:rsidR="002A40A3" w:rsidRPr="00316863">
        <w:rPr>
          <w:lang w:val="es-ES"/>
        </w:rPr>
        <w:t>Se ha garantizado que la UIT dispone de información completa antes de tomar decisiones de inversión, incluso sobre los riesgos de mercado y de cambio.</w:t>
      </w:r>
    </w:p>
    <w:p w14:paraId="59FD56CC" w14:textId="2A76CD53" w:rsidR="002A40A3" w:rsidRPr="00316863" w:rsidRDefault="002E35AA" w:rsidP="001F7FEA">
      <w:pPr>
        <w:pStyle w:val="enumlev1"/>
        <w:jc w:val="both"/>
        <w:rPr>
          <w:rFonts w:asciiTheme="minorHAnsi" w:eastAsiaTheme="minorEastAsia" w:hAnsiTheme="minorHAnsi" w:cstheme="minorBidi"/>
          <w:color w:val="242424"/>
          <w:szCs w:val="24"/>
          <w:lang w:val="es-ES"/>
        </w:rPr>
      </w:pPr>
      <w:r w:rsidRPr="002E35AA">
        <w:rPr>
          <w:lang w:val="es-ES"/>
        </w:rPr>
        <w:t>–</w:t>
      </w:r>
      <w:r>
        <w:rPr>
          <w:lang w:val="es-ES"/>
        </w:rPr>
        <w:tab/>
      </w:r>
      <w:r w:rsidR="002A40A3" w:rsidRPr="00316863">
        <w:rPr>
          <w:lang w:val="es-ES"/>
        </w:rPr>
        <w:t>Se ha establecido oficialmente el Comité de Tesorería.</w:t>
      </w:r>
    </w:p>
    <w:p w14:paraId="66F7B530" w14:textId="2EA577D3" w:rsidR="002A40A3" w:rsidRPr="00316863" w:rsidRDefault="002E35AA" w:rsidP="002E35AA">
      <w:pPr>
        <w:pStyle w:val="enumlev1"/>
        <w:rPr>
          <w:rFonts w:asciiTheme="minorHAnsi" w:eastAsiaTheme="minorEastAsia" w:hAnsiTheme="minorHAnsi" w:cstheme="minorBidi"/>
          <w:color w:val="242424"/>
          <w:szCs w:val="24"/>
          <w:lang w:val="es-ES"/>
        </w:rPr>
      </w:pPr>
      <w:r w:rsidRPr="002E35AA">
        <w:rPr>
          <w:lang w:val="es-ES"/>
        </w:rPr>
        <w:t>–</w:t>
      </w:r>
      <w:r>
        <w:rPr>
          <w:lang w:val="es-ES"/>
        </w:rPr>
        <w:tab/>
      </w:r>
      <w:r w:rsidR="002A40A3" w:rsidRPr="00316863">
        <w:rPr>
          <w:lang w:val="es-ES"/>
        </w:rPr>
        <w:t>Se ha adoptado la política de inversiones conexa.</w:t>
      </w:r>
    </w:p>
    <w:p w14:paraId="47EECD8D" w14:textId="24476CAF" w:rsidR="002A40A3" w:rsidRPr="00316863" w:rsidRDefault="002E35AA" w:rsidP="002E35AA">
      <w:pPr>
        <w:pStyle w:val="enumlev1"/>
        <w:rPr>
          <w:rFonts w:asciiTheme="minorHAnsi" w:eastAsiaTheme="minorEastAsia" w:hAnsiTheme="minorHAnsi" w:cstheme="minorBidi"/>
          <w:color w:val="242424"/>
          <w:szCs w:val="24"/>
          <w:lang w:val="es-ES"/>
        </w:rPr>
      </w:pPr>
      <w:r w:rsidRPr="002E35AA">
        <w:rPr>
          <w:lang w:val="es-ES"/>
        </w:rPr>
        <w:t>–</w:t>
      </w:r>
      <w:r>
        <w:rPr>
          <w:lang w:val="es-ES"/>
        </w:rPr>
        <w:tab/>
      </w:r>
      <w:r w:rsidR="002A40A3" w:rsidRPr="00316863">
        <w:rPr>
          <w:lang w:val="es-ES"/>
        </w:rPr>
        <w:t>La gestión del riesgo cambiario se debe integrar en las operaciones de tesorería.</w:t>
      </w:r>
    </w:p>
    <w:p w14:paraId="2F506F45" w14:textId="0CDB97EC"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IFR:</w:t>
      </w:r>
      <w:r w:rsidRPr="00316863">
        <w:rPr>
          <w:lang w:val="es-ES"/>
        </w:rPr>
        <w:tab/>
        <w:t>Se ha establecido oficialmente el Comité de Tesorería; el Comité toma decisiones de inversión de acuerdo con la política de inversión</w:t>
      </w:r>
      <w:r w:rsidR="00C9730D">
        <w:rPr>
          <w:lang w:val="es-ES"/>
        </w:rPr>
        <w:t>.</w:t>
      </w:r>
    </w:p>
    <w:p w14:paraId="3BC963C3" w14:textId="70751316" w:rsidR="002A40A3" w:rsidRPr="002E35AA" w:rsidRDefault="002E35AA" w:rsidP="002E35AA">
      <w:pPr>
        <w:pStyle w:val="Heading1"/>
        <w:rPr>
          <w:rFonts w:asciiTheme="minorHAnsi" w:eastAsiaTheme="minorEastAsia" w:hAnsiTheme="minorHAnsi" w:cstheme="minorBidi"/>
          <w:color w:val="242424"/>
          <w:sz w:val="24"/>
          <w:szCs w:val="24"/>
          <w:lang w:val="es-ES"/>
        </w:rPr>
      </w:pPr>
      <w:r w:rsidRPr="002E35AA">
        <w:rPr>
          <w:sz w:val="24"/>
          <w:szCs w:val="24"/>
          <w:lang w:val="es-ES"/>
        </w:rPr>
        <w:lastRenderedPageBreak/>
        <w:t>4</w:t>
      </w:r>
      <w:r w:rsidRPr="002E35AA">
        <w:rPr>
          <w:sz w:val="24"/>
          <w:szCs w:val="24"/>
          <w:lang w:val="es-ES"/>
        </w:rPr>
        <w:tab/>
      </w:r>
      <w:r w:rsidR="002A40A3" w:rsidRPr="002E35AA">
        <w:rPr>
          <w:sz w:val="24"/>
          <w:szCs w:val="24"/>
          <w:lang w:val="es-ES"/>
        </w:rPr>
        <w:t>Beneficios y aumento de la eficiencia</w:t>
      </w:r>
    </w:p>
    <w:p w14:paraId="3805046F" w14:textId="77777777" w:rsidR="002A40A3" w:rsidRPr="00316863" w:rsidRDefault="002A40A3" w:rsidP="002A40A3">
      <w:pPr>
        <w:tabs>
          <w:tab w:val="clear" w:pos="567"/>
          <w:tab w:val="clear" w:pos="1134"/>
          <w:tab w:val="clear" w:pos="1701"/>
          <w:tab w:val="clear" w:pos="2268"/>
          <w:tab w:val="clear" w:pos="2835"/>
        </w:tabs>
        <w:jc w:val="both"/>
        <w:rPr>
          <w:rFonts w:asciiTheme="minorHAnsi" w:eastAsiaTheme="minorEastAsia" w:hAnsiTheme="minorHAnsi" w:cstheme="minorBidi"/>
          <w:color w:val="242424"/>
          <w:szCs w:val="24"/>
          <w:lang w:val="es-ES"/>
        </w:rPr>
      </w:pPr>
      <w:r w:rsidRPr="00316863">
        <w:rPr>
          <w:lang w:val="es-ES"/>
        </w:rPr>
        <w:t>Las iniciativas de la Transformación ejecutadas hasta la fecha han comenzado a generar beneficios mensurables en toda la UIT, en términos tanto de eficiencia operativa como de transformación institucional.</w:t>
      </w:r>
    </w:p>
    <w:p w14:paraId="3387F2F0" w14:textId="16C18B2D" w:rsidR="002A40A3" w:rsidRPr="00316863" w:rsidRDefault="002A40A3" w:rsidP="002A40A3">
      <w:pPr>
        <w:tabs>
          <w:tab w:val="clear" w:pos="567"/>
          <w:tab w:val="clear" w:pos="1134"/>
          <w:tab w:val="clear" w:pos="1701"/>
          <w:tab w:val="clear" w:pos="2268"/>
          <w:tab w:val="clear" w:pos="2835"/>
        </w:tabs>
        <w:jc w:val="both"/>
        <w:rPr>
          <w:rFonts w:asciiTheme="minorHAnsi" w:eastAsiaTheme="minorEastAsia" w:hAnsiTheme="minorHAnsi" w:cstheme="minorBidi"/>
          <w:color w:val="242424"/>
          <w:szCs w:val="24"/>
          <w:lang w:val="es-ES"/>
        </w:rPr>
      </w:pPr>
      <w:r w:rsidRPr="00316863">
        <w:rPr>
          <w:b/>
          <w:bCs/>
          <w:lang w:val="es-ES"/>
        </w:rPr>
        <w:t>Fortalecimiento del compromiso, el liderazgo y la cultura:</w:t>
      </w:r>
      <w:r w:rsidRPr="00316863">
        <w:rPr>
          <w:lang w:val="es-ES"/>
        </w:rPr>
        <w:t xml:space="preserve"> La primera encuesta sobre la implicación del personal, con un índice de participación del 72</w:t>
      </w:r>
      <w:r w:rsidR="002E35AA">
        <w:rPr>
          <w:lang w:val="es-ES"/>
        </w:rPr>
        <w:t> </w:t>
      </w:r>
      <w:r w:rsidRPr="00316863">
        <w:rPr>
          <w:lang w:val="es-ES"/>
        </w:rPr>
        <w:t>%, ha permitido adoptar un enfoque de experiencia del personal basado en datos y ha identificado con claridad las esferas en las que es preciso mejorar el liderazgo, mediante la aplicación de un programa de capacitación específico para la creación de capacidad en materia de liderazgo.</w:t>
      </w:r>
    </w:p>
    <w:p w14:paraId="017FA826" w14:textId="77777777" w:rsidR="002A40A3" w:rsidRPr="00316863" w:rsidRDefault="002A40A3" w:rsidP="002A40A3">
      <w:pPr>
        <w:tabs>
          <w:tab w:val="clear" w:pos="567"/>
          <w:tab w:val="clear" w:pos="1134"/>
          <w:tab w:val="clear" w:pos="1701"/>
          <w:tab w:val="clear" w:pos="2268"/>
          <w:tab w:val="clear" w:pos="2835"/>
        </w:tabs>
        <w:jc w:val="both"/>
        <w:rPr>
          <w:rFonts w:asciiTheme="minorHAnsi" w:eastAsiaTheme="minorEastAsia" w:hAnsiTheme="minorHAnsi" w:cstheme="minorBidi"/>
          <w:color w:val="242424"/>
          <w:szCs w:val="24"/>
          <w:lang w:val="es-ES"/>
        </w:rPr>
      </w:pPr>
      <w:r w:rsidRPr="00316863">
        <w:rPr>
          <w:b/>
          <w:bCs/>
          <w:lang w:val="es-ES"/>
        </w:rPr>
        <w:t>Mejora de la eficiencia operativa y la rentabilidad:</w:t>
      </w:r>
      <w:r w:rsidRPr="00316863">
        <w:rPr>
          <w:lang w:val="es-ES"/>
        </w:rPr>
        <w:t xml:space="preserve"> Actualmente, el tiempo necesario para realizar las evaluaciones del rendimiento se ha reducido a la mitad. La reorganización del presupuesto y los ingresos en el marco de los proyectos de asignación de recursos y gestión de fondos extrapresupuestarios ha optimizado el uso de los recursos, lo que garantiza que los fondos se destinan a las iniciativas de máxima prioridad. Las mejoras en la gestión de la tesorería y la reglamentación financiera han reforzado la transparencia y el cumplimiento financieros.</w:t>
      </w:r>
    </w:p>
    <w:p w14:paraId="19626DCF" w14:textId="79654D0E"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szCs w:val="24"/>
          <w:lang w:val="es-ES"/>
        </w:rPr>
      </w:pPr>
      <w:r w:rsidRPr="00316863">
        <w:rPr>
          <w:b/>
          <w:bCs/>
          <w:lang w:val="es-ES"/>
        </w:rPr>
        <w:t>Mayor agilidad y productividad institucionales gracias a las herramientas digitales y la innovación:</w:t>
      </w:r>
      <w:r w:rsidRPr="00316863">
        <w:rPr>
          <w:lang w:val="es-ES"/>
        </w:rPr>
        <w:t xml:space="preserve"> La adopción de herramientas de IA ha sentado las bases para una toma de decisiones más inteligente y rápida, y ha ayudado al personal a reducir entre un 8</w:t>
      </w:r>
      <w:r w:rsidR="002E35AA">
        <w:rPr>
          <w:lang w:val="es-ES"/>
        </w:rPr>
        <w:t> </w:t>
      </w:r>
      <w:r w:rsidRPr="00316863">
        <w:rPr>
          <w:lang w:val="es-ES"/>
        </w:rPr>
        <w:t>% y un 10</w:t>
      </w:r>
      <w:r w:rsidR="002E35AA">
        <w:rPr>
          <w:lang w:val="es-ES"/>
        </w:rPr>
        <w:t> </w:t>
      </w:r>
      <w:r w:rsidRPr="00316863">
        <w:rPr>
          <w:lang w:val="es-ES"/>
        </w:rPr>
        <w:t>%</w:t>
      </w:r>
      <w:r w:rsidR="00991C95">
        <w:rPr>
          <w:lang w:val="es-ES"/>
        </w:rPr>
        <w:t> </w:t>
      </w:r>
      <w:r w:rsidRPr="00316863">
        <w:rPr>
          <w:lang w:val="es-ES"/>
        </w:rPr>
        <w:t>el tiempo dedicado a tareas manuales y repetitivas y a centrarse en el trabajo de alto valor. En el futuro, se supervisarán de forma continua los beneficios y el aumento de la eficiencia en todas las iniciativas, y se presentarán informes al respecto durante todo el proceso de implementación.</w:t>
      </w:r>
    </w:p>
    <w:p w14:paraId="701B53EC" w14:textId="2081CD1B" w:rsidR="002A40A3" w:rsidRPr="00316863" w:rsidRDefault="002E35AA" w:rsidP="002E35AA">
      <w:pPr>
        <w:pStyle w:val="Heading1"/>
        <w:rPr>
          <w:rFonts w:asciiTheme="minorHAnsi" w:eastAsiaTheme="minorEastAsia" w:hAnsiTheme="minorHAnsi" w:cstheme="minorBidi"/>
          <w:color w:val="242424"/>
          <w:szCs w:val="24"/>
          <w:lang w:val="es-ES"/>
        </w:rPr>
      </w:pPr>
      <w:r>
        <w:rPr>
          <w:sz w:val="24"/>
          <w:szCs w:val="24"/>
          <w:lang w:val="es-ES"/>
        </w:rPr>
        <w:t>5</w:t>
      </w:r>
      <w:r>
        <w:rPr>
          <w:sz w:val="24"/>
          <w:szCs w:val="24"/>
          <w:lang w:val="es-ES"/>
        </w:rPr>
        <w:tab/>
      </w:r>
      <w:r w:rsidR="002A40A3" w:rsidRPr="002E35AA">
        <w:rPr>
          <w:sz w:val="24"/>
          <w:szCs w:val="24"/>
          <w:lang w:val="es-ES"/>
        </w:rPr>
        <w:t>Calendario</w:t>
      </w:r>
    </w:p>
    <w:p w14:paraId="636F7324" w14:textId="77777777" w:rsidR="002A40A3" w:rsidRPr="00316863" w:rsidRDefault="002A40A3" w:rsidP="002A40A3">
      <w:pPr>
        <w:tabs>
          <w:tab w:val="clear" w:pos="567"/>
          <w:tab w:val="clear" w:pos="1134"/>
          <w:tab w:val="clear" w:pos="1701"/>
          <w:tab w:val="clear" w:pos="2268"/>
          <w:tab w:val="clear" w:pos="2835"/>
        </w:tabs>
        <w:spacing w:line="259" w:lineRule="auto"/>
        <w:jc w:val="both"/>
        <w:rPr>
          <w:rFonts w:asciiTheme="minorHAnsi" w:eastAsiaTheme="minorEastAsia" w:hAnsiTheme="minorHAnsi" w:cstheme="minorBidi"/>
          <w:color w:val="242424"/>
          <w:lang w:val="es-ES"/>
        </w:rPr>
      </w:pPr>
      <w:r w:rsidRPr="00316863">
        <w:rPr>
          <w:lang w:val="es-ES"/>
        </w:rPr>
        <w:t>Los esfuerzos de transformación de las seis iniciativas aceleradas comenzaron en 2024. Desde enero de 2025, la Transformación ha consolidado su cartera de iniciativas y ha ayudado a muchas otras iniciativas a iniciar su fase de implementación. En el cuadro siguiente se ofrece un calendario de las iniciativas en curso.</w:t>
      </w:r>
    </w:p>
    <w:p w14:paraId="45A10B9D" w14:textId="2BBD0FAB" w:rsidR="002A40A3" w:rsidRPr="00316863" w:rsidRDefault="001B0880" w:rsidP="002A40A3">
      <w:pPr>
        <w:spacing w:line="259" w:lineRule="auto"/>
        <w:rPr>
          <w:rFonts w:asciiTheme="minorHAnsi" w:eastAsiaTheme="minorEastAsia" w:hAnsiTheme="minorHAnsi" w:cstheme="minorBidi"/>
          <w:color w:val="242424"/>
          <w:sz w:val="22"/>
          <w:szCs w:val="22"/>
          <w:lang w:val="es-ES"/>
        </w:rPr>
      </w:pPr>
      <w:r w:rsidRPr="001B0880">
        <w:rPr>
          <w:rFonts w:asciiTheme="minorHAnsi" w:eastAsiaTheme="minorEastAsia" w:hAnsiTheme="minorHAnsi" w:cstheme="minorBidi"/>
          <w:noProof/>
          <w:color w:val="242424"/>
          <w:sz w:val="22"/>
          <w:szCs w:val="22"/>
          <w:lang w:val="es-ES"/>
        </w:rPr>
        <w:drawing>
          <wp:inline distT="0" distB="0" distL="0" distR="0" wp14:anchorId="0F0EDF2D" wp14:editId="3FE5E5F6">
            <wp:extent cx="5760085" cy="2676525"/>
            <wp:effectExtent l="0" t="0" r="0" b="9525"/>
            <wp:docPr id="1313812232"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812232" name="Picture 1" descr="A screenshot of a graph&#10;&#10;AI-generated content may be incorrect."/>
                    <pic:cNvPicPr/>
                  </pic:nvPicPr>
                  <pic:blipFill>
                    <a:blip r:embed="rId26"/>
                    <a:stretch>
                      <a:fillRect/>
                    </a:stretch>
                  </pic:blipFill>
                  <pic:spPr>
                    <a:xfrm>
                      <a:off x="0" y="0"/>
                      <a:ext cx="5760085" cy="2676525"/>
                    </a:xfrm>
                    <a:prstGeom prst="rect">
                      <a:avLst/>
                    </a:prstGeom>
                  </pic:spPr>
                </pic:pic>
              </a:graphicData>
            </a:graphic>
          </wp:inline>
        </w:drawing>
      </w:r>
    </w:p>
    <w:p w14:paraId="4E475037" w14:textId="584DE17C" w:rsidR="002A40A3" w:rsidRPr="00316863" w:rsidRDefault="002E35AA" w:rsidP="002F5980">
      <w:pPr>
        <w:pStyle w:val="Heading1"/>
        <w:spacing w:before="240"/>
        <w:rPr>
          <w:rFonts w:asciiTheme="minorHAnsi" w:eastAsiaTheme="minorEastAsia" w:hAnsiTheme="minorHAnsi" w:cstheme="minorBidi"/>
          <w:b w:val="0"/>
          <w:color w:val="242424"/>
          <w:szCs w:val="24"/>
          <w:lang w:val="es-ES"/>
        </w:rPr>
      </w:pPr>
      <w:r>
        <w:rPr>
          <w:sz w:val="24"/>
          <w:szCs w:val="24"/>
          <w:lang w:val="es-ES"/>
        </w:rPr>
        <w:lastRenderedPageBreak/>
        <w:t>6</w:t>
      </w:r>
      <w:r>
        <w:rPr>
          <w:sz w:val="24"/>
          <w:szCs w:val="24"/>
          <w:lang w:val="es-ES"/>
        </w:rPr>
        <w:tab/>
      </w:r>
      <w:r w:rsidR="002A40A3" w:rsidRPr="002E35AA">
        <w:rPr>
          <w:sz w:val="24"/>
          <w:szCs w:val="24"/>
          <w:lang w:val="es-ES"/>
        </w:rPr>
        <w:t>Comunicación del cambio</w:t>
      </w:r>
    </w:p>
    <w:p w14:paraId="20DD2114" w14:textId="77777777" w:rsidR="002A40A3" w:rsidRPr="00316863" w:rsidRDefault="002A40A3" w:rsidP="002A40A3">
      <w:pPr>
        <w:keepNext/>
        <w:keepLines/>
        <w:spacing w:line="259" w:lineRule="auto"/>
        <w:jc w:val="both"/>
        <w:rPr>
          <w:rFonts w:asciiTheme="minorHAnsi" w:eastAsiaTheme="minorEastAsia" w:hAnsiTheme="minorHAnsi" w:cstheme="minorBidi"/>
          <w:color w:val="242424"/>
          <w:szCs w:val="24"/>
          <w:lang w:val="es-ES"/>
        </w:rPr>
      </w:pPr>
      <w:r w:rsidRPr="00316863">
        <w:rPr>
          <w:lang w:val="es-ES"/>
        </w:rPr>
        <w:t>Son muchos los agentes que participan en la Transformación de la UIT. El Equipo de Transformación y el Consejo del Personal mantienen un diálogo constante para garantizar que siempre se tengan en cuenta las voces del personal; existe un espacio dedicado a las novedades de la Transformación en el boletín interno del personal, y un miembro del Equipo de Transformación se ocupa de promover la red de agentes de cambio (esto es, un grupo de más de 90 empleados voluntarios que participan en el proceso de la Transformación) para mantener un espíritu sano de dinamismo. Se pondrá en marcha un sitio de la intranet dedicado a la Transformación a fin de consolidar el portal de agentes de cambio y el centro de IA y facilitar la comunicación al personal de las novedades relacionadas con los proyectos de la Transformación.</w:t>
      </w:r>
    </w:p>
    <w:p w14:paraId="5E4AC099" w14:textId="77777777" w:rsidR="002A40A3" w:rsidRPr="00316863" w:rsidRDefault="002A40A3" w:rsidP="002A40A3">
      <w:pPr>
        <w:spacing w:line="259" w:lineRule="auto"/>
        <w:jc w:val="both"/>
        <w:rPr>
          <w:rFonts w:asciiTheme="minorHAnsi" w:eastAsiaTheme="minorEastAsia" w:hAnsiTheme="minorHAnsi" w:cstheme="minorBidi"/>
          <w:color w:val="242424"/>
          <w:lang w:val="es-ES"/>
        </w:rPr>
      </w:pPr>
      <w:r w:rsidRPr="00316863">
        <w:rPr>
          <w:lang w:val="es-ES"/>
        </w:rPr>
        <w:t>La formación sobre liderazgo adaptativo será fundamental para crear un lenguaje de liderazgo común en toda la UIT. Ofrecerá capacitación a un porcentaje elevado del personal, ayudándoles a afrontar el cambio y los desafíos asociados con una mentalidad adaptativa, ya sea como individuo, como equipo o a nivel institucional. Esta formación, integrada en la estrategia global de gestión del cambio, pretende dotar al personal de las competencias necesarias para gestionar la complejidad, impulsar el cambio y liderar con agilidad en el dinámico entorno actual.</w:t>
      </w:r>
    </w:p>
    <w:p w14:paraId="74CBA098" w14:textId="102F0B87" w:rsidR="002A40A3" w:rsidRPr="002E35AA" w:rsidRDefault="002E35AA" w:rsidP="002E35AA">
      <w:pPr>
        <w:pStyle w:val="Heading1"/>
        <w:rPr>
          <w:sz w:val="24"/>
          <w:szCs w:val="24"/>
          <w:lang w:val="es-ES"/>
        </w:rPr>
      </w:pPr>
      <w:r>
        <w:rPr>
          <w:sz w:val="24"/>
          <w:szCs w:val="24"/>
          <w:lang w:val="es-ES"/>
        </w:rPr>
        <w:t>7</w:t>
      </w:r>
      <w:r>
        <w:rPr>
          <w:sz w:val="24"/>
          <w:szCs w:val="24"/>
          <w:lang w:val="es-ES"/>
        </w:rPr>
        <w:tab/>
      </w:r>
      <w:r w:rsidR="002A40A3" w:rsidRPr="002E35AA">
        <w:rPr>
          <w:sz w:val="24"/>
          <w:szCs w:val="24"/>
          <w:lang w:val="es-ES"/>
        </w:rPr>
        <w:t>Repercusiones financieras</w:t>
      </w:r>
    </w:p>
    <w:p w14:paraId="42DCE074" w14:textId="77777777" w:rsidR="002A40A3" w:rsidRPr="00316863" w:rsidRDefault="002A40A3" w:rsidP="002A40A3">
      <w:pPr>
        <w:jc w:val="both"/>
        <w:rPr>
          <w:rFonts w:asciiTheme="minorHAnsi" w:eastAsiaTheme="minorEastAsia" w:hAnsiTheme="minorHAnsi" w:cstheme="minorBidi"/>
          <w:color w:val="242424"/>
          <w:lang w:val="es-ES"/>
        </w:rPr>
      </w:pPr>
      <w:r w:rsidRPr="00316863">
        <w:rPr>
          <w:lang w:val="es-ES"/>
        </w:rPr>
        <w:t xml:space="preserve">Los fondos utilizados para la Transformación de la UIT procederán de las asignaciones del presupuesto ordinario. Podrían solicitarse asignaciones adicionales para garantizar que se dispone de recursos y conocimientos expertos suficientes para poner en marcha las iniciativas. </w:t>
      </w:r>
    </w:p>
    <w:p w14:paraId="2E9B9816" w14:textId="77777777" w:rsidR="002A40A3" w:rsidRPr="00316863" w:rsidRDefault="002A40A3" w:rsidP="002A40A3">
      <w:pPr>
        <w:jc w:val="both"/>
        <w:rPr>
          <w:rFonts w:asciiTheme="minorHAnsi" w:eastAsiaTheme="minorEastAsia" w:hAnsiTheme="minorHAnsi" w:cstheme="minorBidi"/>
          <w:color w:val="242424"/>
          <w:lang w:val="es-ES"/>
        </w:rPr>
      </w:pPr>
      <w:r w:rsidRPr="00316863">
        <w:rPr>
          <w:lang w:val="es-ES"/>
        </w:rPr>
        <w:t>Durante 2025, se han incluido en el presupuesto algunas iniciativas de la Transformación que requieren apoyo mediante financiación adicional. Sin embargo, el Equipo de Transformación ha trabajado para garantizar que la UIT aproveche al máximo sus recursos existentes y reduzca los costos al mínimo.</w:t>
      </w:r>
    </w:p>
    <w:p w14:paraId="22264495" w14:textId="77777777" w:rsidR="002A40A3" w:rsidRPr="00316863" w:rsidRDefault="002A40A3" w:rsidP="002A40A3">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Bidi"/>
          <w:color w:val="242424"/>
          <w:sz w:val="22"/>
          <w:szCs w:val="22"/>
          <w:lang w:val="es-ES"/>
        </w:rPr>
      </w:pPr>
      <w:r w:rsidRPr="00316863">
        <w:rPr>
          <w:rFonts w:asciiTheme="minorHAnsi" w:eastAsiaTheme="minorEastAsia" w:hAnsiTheme="minorHAnsi" w:cstheme="minorBidi"/>
          <w:color w:val="242424"/>
          <w:sz w:val="22"/>
          <w:szCs w:val="22"/>
          <w:lang w:val="es-ES"/>
        </w:rPr>
        <w:br w:type="page"/>
      </w:r>
    </w:p>
    <w:p w14:paraId="3121D1A3" w14:textId="068EAC8E" w:rsidR="002A40A3" w:rsidRPr="00316863" w:rsidRDefault="002A40A3" w:rsidP="002F5980">
      <w:pPr>
        <w:pStyle w:val="Annextitle"/>
        <w:rPr>
          <w:rFonts w:asciiTheme="minorHAnsi" w:eastAsiaTheme="minorEastAsia" w:hAnsiTheme="minorHAnsi" w:cstheme="minorBidi"/>
          <w:color w:val="242424"/>
          <w:szCs w:val="24"/>
          <w:lang w:val="es-ES"/>
        </w:rPr>
      </w:pPr>
      <w:r w:rsidRPr="00316863">
        <w:rPr>
          <w:lang w:val="es-ES"/>
        </w:rPr>
        <w:lastRenderedPageBreak/>
        <w:t>Anexo</w:t>
      </w:r>
      <w:r w:rsidR="002F5980">
        <w:rPr>
          <w:lang w:val="es-ES"/>
        </w:rPr>
        <w:br/>
      </w:r>
      <w:r w:rsidRPr="00316863">
        <w:rPr>
          <w:lang w:val="es-ES"/>
        </w:rPr>
        <w:t>Novedades sobre los progresos del proyecto de sitio web</w:t>
      </w:r>
    </w:p>
    <w:p w14:paraId="797414F5" w14:textId="54C196C2" w:rsidR="002A40A3" w:rsidRPr="002F5980" w:rsidRDefault="002F5980" w:rsidP="002F5980">
      <w:pPr>
        <w:pStyle w:val="Heading1"/>
        <w:rPr>
          <w:rFonts w:cstheme="minorHAnsi"/>
          <w:sz w:val="24"/>
          <w:szCs w:val="24"/>
          <w:lang w:val="es-ES"/>
        </w:rPr>
      </w:pPr>
      <w:r w:rsidRPr="002F5980">
        <w:rPr>
          <w:sz w:val="24"/>
          <w:szCs w:val="24"/>
          <w:lang w:val="es-ES"/>
        </w:rPr>
        <w:t>1</w:t>
      </w:r>
      <w:r w:rsidRPr="002F5980">
        <w:rPr>
          <w:sz w:val="24"/>
          <w:szCs w:val="24"/>
          <w:lang w:val="es-ES"/>
        </w:rPr>
        <w:tab/>
      </w:r>
      <w:r w:rsidR="002A40A3" w:rsidRPr="002F5980">
        <w:rPr>
          <w:sz w:val="24"/>
          <w:szCs w:val="24"/>
          <w:lang w:val="es-ES"/>
        </w:rPr>
        <w:t>Introducción</w:t>
      </w:r>
    </w:p>
    <w:p w14:paraId="7554E46D" w14:textId="52BC4750" w:rsidR="002A40A3" w:rsidRPr="00316863" w:rsidRDefault="002A40A3" w:rsidP="002A40A3">
      <w:pPr>
        <w:tabs>
          <w:tab w:val="clear" w:pos="567"/>
          <w:tab w:val="clear" w:pos="1134"/>
          <w:tab w:val="clear" w:pos="1701"/>
          <w:tab w:val="clear" w:pos="2268"/>
          <w:tab w:val="clear" w:pos="2835"/>
        </w:tabs>
        <w:spacing w:after="120"/>
        <w:jc w:val="both"/>
        <w:rPr>
          <w:szCs w:val="24"/>
          <w:lang w:val="es-ES"/>
        </w:rPr>
      </w:pPr>
      <w:r w:rsidRPr="00316863">
        <w:rPr>
          <w:lang w:val="es-ES"/>
        </w:rPr>
        <w:t xml:space="preserve">Tras la aprobación de la Hoja de ruta (Documento </w:t>
      </w:r>
      <w:hyperlink r:id="rId27" w:history="1">
        <w:r w:rsidRPr="00316863">
          <w:rPr>
            <w:rStyle w:val="Hyperlink"/>
            <w:szCs w:val="24"/>
            <w:lang w:val="es-ES"/>
          </w:rPr>
          <w:t>C24/53</w:t>
        </w:r>
      </w:hyperlink>
      <w:r w:rsidRPr="00316863">
        <w:rPr>
          <w:lang w:val="es-ES"/>
        </w:rPr>
        <w:t xml:space="preserve">) en la reunión de 2024 del Consejo, se puso en marcha el proyecto de nuevo sitio web. Dado que la mejora del sitio web es una cuestión transversal con repercusiones financieras, se debatió en paralelo en la 16ª reunión del GTC-Idiomas y en la 20ª reunión del GTC-RHF en febrero de 2025, de conformidad con una contribución de los Estados Miembros (Documento </w:t>
      </w:r>
      <w:hyperlink r:id="rId28">
        <w:r w:rsidRPr="00316863">
          <w:rPr>
            <w:rStyle w:val="Hyperlink"/>
            <w:rFonts w:asciiTheme="minorHAnsi" w:eastAsiaTheme="minorEastAsia" w:hAnsiTheme="minorHAnsi" w:cstheme="minorBidi"/>
            <w:szCs w:val="24"/>
            <w:lang w:val="es-ES"/>
          </w:rPr>
          <w:t>CWG-FHR-20/21</w:t>
        </w:r>
      </w:hyperlink>
      <w:r w:rsidRPr="00316863">
        <w:rPr>
          <w:lang w:val="es-ES"/>
        </w:rPr>
        <w:t>). Posteriormente, se solicitó a la Secretaría que informara al Consejo sobre las novedades en su reunión de junio de 2025.</w:t>
      </w:r>
    </w:p>
    <w:p w14:paraId="54CC1951" w14:textId="738FCBC5" w:rsidR="002A40A3" w:rsidRPr="002F5980" w:rsidRDefault="002F5980" w:rsidP="002F5980">
      <w:pPr>
        <w:pStyle w:val="Heading1"/>
        <w:rPr>
          <w:sz w:val="24"/>
          <w:szCs w:val="24"/>
          <w:lang w:val="es-ES"/>
        </w:rPr>
      </w:pPr>
      <w:r>
        <w:rPr>
          <w:sz w:val="24"/>
          <w:szCs w:val="24"/>
          <w:lang w:val="es-ES"/>
        </w:rPr>
        <w:t>2</w:t>
      </w:r>
      <w:r>
        <w:rPr>
          <w:sz w:val="24"/>
          <w:szCs w:val="24"/>
          <w:lang w:val="es-ES"/>
        </w:rPr>
        <w:tab/>
      </w:r>
      <w:r w:rsidR="002A40A3" w:rsidRPr="002F5980">
        <w:rPr>
          <w:sz w:val="24"/>
          <w:szCs w:val="24"/>
          <w:lang w:val="es-ES"/>
        </w:rPr>
        <w:t>Calendario para mejorar la búsqueda y armonización del sitio web de la UIT</w:t>
      </w:r>
    </w:p>
    <w:p w14:paraId="34F40BAC" w14:textId="77777777" w:rsidR="002A40A3" w:rsidRPr="00316863" w:rsidRDefault="002A40A3" w:rsidP="002F5980">
      <w:pPr>
        <w:jc w:val="both"/>
        <w:rPr>
          <w:rFonts w:asciiTheme="minorHAnsi" w:hAnsiTheme="minorHAnsi" w:cstheme="minorHAnsi"/>
          <w:color w:val="0D0D0D"/>
          <w:szCs w:val="24"/>
          <w:shd w:val="clear" w:color="auto" w:fill="FFFFFF"/>
          <w:lang w:val="es-ES"/>
        </w:rPr>
      </w:pPr>
      <w:r w:rsidRPr="00316863">
        <w:rPr>
          <w:lang w:val="es-ES"/>
        </w:rPr>
        <w:t xml:space="preserve">El proyecto se centra en el desarrollo de un sitio web moderno, adaptable a dispositivos móviles, seguro y multilingüe, caracterizado por una arquitectura de información unificada y una taxonomía bien definida. El objetivo es proporcionar capacidades de búsqueda sólidas, una navegación fácil para el usuario y un sistema de marca y difusión de mensajes coherente. El objetivo es garantizar un diseño que priorice y mejore la experiencia del usuario. </w:t>
      </w:r>
    </w:p>
    <w:p w14:paraId="117097C2" w14:textId="77777777" w:rsidR="002A40A3" w:rsidRPr="00316863" w:rsidRDefault="002A40A3" w:rsidP="002A40A3">
      <w:pPr>
        <w:jc w:val="both"/>
        <w:rPr>
          <w:rFonts w:eastAsia="Calibri"/>
          <w:szCs w:val="24"/>
          <w:lang w:val="es-ES"/>
        </w:rPr>
      </w:pPr>
      <w:r w:rsidRPr="00316863">
        <w:rPr>
          <w:lang w:val="es-ES"/>
        </w:rPr>
        <w:t xml:space="preserve">Se está trabajando en dos solicitudes de propuestas (RFP), una sobre arquitectura y taxonomía de la información y otra sobre la agencia para el desarrollo de sitios web. Se han recibido propuestas para ambas RFP, que se están evaluando. </w:t>
      </w:r>
    </w:p>
    <w:p w14:paraId="277AB1E3" w14:textId="77777777" w:rsidR="002A40A3" w:rsidRPr="00316863" w:rsidRDefault="002A40A3" w:rsidP="002A40A3">
      <w:pPr>
        <w:jc w:val="both"/>
        <w:rPr>
          <w:rFonts w:eastAsia="Calibri"/>
          <w:szCs w:val="24"/>
          <w:lang w:val="es-ES"/>
        </w:rPr>
      </w:pPr>
      <w:r w:rsidRPr="00316863">
        <w:rPr>
          <w:lang w:val="es-ES"/>
        </w:rPr>
        <w:t xml:space="preserve">Se han recopilado los requisitos institucionales de las tres Oficinas y la Secretaría General relativos al sitio web. </w:t>
      </w:r>
    </w:p>
    <w:p w14:paraId="29072516" w14:textId="77777777" w:rsidR="002A40A3" w:rsidRPr="00316863" w:rsidRDefault="002A40A3" w:rsidP="002A40A3">
      <w:pPr>
        <w:spacing w:line="259" w:lineRule="auto"/>
        <w:jc w:val="both"/>
        <w:rPr>
          <w:rFonts w:asciiTheme="minorHAnsi" w:hAnsiTheme="minorHAnsi" w:cstheme="minorBidi"/>
          <w:color w:val="0D0D0D" w:themeColor="text1" w:themeTint="F2"/>
          <w:lang w:val="es-ES"/>
        </w:rPr>
      </w:pPr>
      <w:r w:rsidRPr="00316863">
        <w:rPr>
          <w:lang w:val="es-ES"/>
        </w:rPr>
        <w:t>Se están analizando las páginas web de la TSB. A continuación se analizarán las páginas web de la SG, la BR y la BDT. Debido a la gran cantidad de datos, la fase de limpieza está tardando más de lo previsto y, en condiciones idóneas, terminaría antes de su publicación. El resultado de la fase de limpieza se incorporará al marco de gobernanza a fin de mantener actualizado el contenido del sitio web.</w:t>
      </w:r>
    </w:p>
    <w:p w14:paraId="12268BBF" w14:textId="718F182C" w:rsidR="002A40A3" w:rsidRPr="00316863" w:rsidRDefault="002A40A3" w:rsidP="002A40A3">
      <w:pPr>
        <w:spacing w:line="259" w:lineRule="auto"/>
        <w:jc w:val="both"/>
        <w:rPr>
          <w:rFonts w:asciiTheme="minorHAnsi" w:hAnsiTheme="minorHAnsi" w:cstheme="minorBidi"/>
          <w:color w:val="0D0D0D" w:themeColor="text1" w:themeTint="F2"/>
          <w:lang w:val="es-ES"/>
        </w:rPr>
      </w:pPr>
      <w:r w:rsidRPr="00316863">
        <w:rPr>
          <w:lang w:val="es-ES"/>
        </w:rPr>
        <w:t>La hoja de ruta se ha ido perfeccionando desde que se empezó a ejecutar el proyecto. A</w:t>
      </w:r>
      <w:r w:rsidR="002F5980">
        <w:rPr>
          <w:lang w:val="es-ES"/>
        </w:rPr>
        <w:t> </w:t>
      </w:r>
      <w:r w:rsidRPr="00316863">
        <w:rPr>
          <w:lang w:val="es-ES"/>
        </w:rPr>
        <w:t>continuación se muestra el calendario del proyecto con los hitos principales.</w:t>
      </w:r>
    </w:p>
    <w:p w14:paraId="741A5389" w14:textId="77777777" w:rsidR="003C464D" w:rsidRDefault="003C464D" w:rsidP="003C464D">
      <w:pPr>
        <w:pStyle w:val="Heading2"/>
        <w:spacing w:after="240"/>
        <w:rPr>
          <w:lang w:val="es-ES"/>
        </w:rPr>
      </w:pPr>
      <w:r w:rsidRPr="003C464D">
        <w:rPr>
          <w:rFonts w:asciiTheme="minorHAnsi" w:hAnsiTheme="minorHAnsi" w:cstheme="minorBidi"/>
          <w:b w:val="0"/>
          <w:noProof/>
          <w:lang w:val="es-ES"/>
        </w:rPr>
        <w:lastRenderedPageBreak/>
        <w:drawing>
          <wp:inline distT="0" distB="0" distL="0" distR="0" wp14:anchorId="053081DB" wp14:editId="564464E6">
            <wp:extent cx="5760085" cy="3651885"/>
            <wp:effectExtent l="0" t="0" r="0" b="5715"/>
            <wp:docPr id="742308426" name="Picture 1" descr="A screenshot of a pro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308426" name="Picture 1" descr="A screenshot of a project&#10;&#10;AI-generated content may be incorrect."/>
                    <pic:cNvPicPr/>
                  </pic:nvPicPr>
                  <pic:blipFill>
                    <a:blip r:embed="rId29"/>
                    <a:stretch>
                      <a:fillRect/>
                    </a:stretch>
                  </pic:blipFill>
                  <pic:spPr>
                    <a:xfrm>
                      <a:off x="0" y="0"/>
                      <a:ext cx="5760085" cy="3651885"/>
                    </a:xfrm>
                    <a:prstGeom prst="rect">
                      <a:avLst/>
                    </a:prstGeom>
                  </pic:spPr>
                </pic:pic>
              </a:graphicData>
            </a:graphic>
          </wp:inline>
        </w:drawing>
      </w:r>
    </w:p>
    <w:p w14:paraId="04B2034C" w14:textId="6B032E76" w:rsidR="002A40A3" w:rsidRPr="00316863" w:rsidRDefault="002A40A3" w:rsidP="003C464D">
      <w:pPr>
        <w:pStyle w:val="Heading2"/>
        <w:spacing w:after="240"/>
        <w:rPr>
          <w:rFonts w:asciiTheme="minorHAnsi" w:hAnsiTheme="minorHAnsi" w:cstheme="minorHAnsi"/>
          <w:color w:val="000000" w:themeColor="text1"/>
          <w:kern w:val="24"/>
          <w:szCs w:val="24"/>
          <w:lang w:val="es-ES"/>
        </w:rPr>
      </w:pPr>
      <w:r w:rsidRPr="00316863">
        <w:rPr>
          <w:lang w:val="es-ES"/>
        </w:rPr>
        <w:t>2.2</w:t>
      </w:r>
      <w:r w:rsidRPr="00316863">
        <w:rPr>
          <w:lang w:val="es-ES"/>
        </w:rPr>
        <w:tab/>
        <w:t>Repercusiones financieras</w:t>
      </w:r>
    </w:p>
    <w:p w14:paraId="3C3537D4" w14:textId="61653065" w:rsidR="002A40A3" w:rsidRPr="00316863" w:rsidRDefault="002A40A3" w:rsidP="002A40A3">
      <w:pPr>
        <w:keepNext/>
        <w:keepLines/>
        <w:jc w:val="both"/>
        <w:rPr>
          <w:rFonts w:eastAsia="Calibri"/>
          <w:lang w:val="es-ES"/>
        </w:rPr>
      </w:pPr>
      <w:r w:rsidRPr="00316863">
        <w:rPr>
          <w:lang w:val="es-ES"/>
        </w:rPr>
        <w:t>El proyecto requiere un presupuesto estimado de 600 000</w:t>
      </w:r>
      <w:r w:rsidR="003C464D">
        <w:rPr>
          <w:lang w:val="es-ES"/>
        </w:rPr>
        <w:t> </w:t>
      </w:r>
      <w:r w:rsidRPr="00316863">
        <w:rPr>
          <w:lang w:val="es-ES"/>
        </w:rPr>
        <w:t>CHF (como parte de la Hoja de Ruta sobre la Transformación y el presupuesto). Como se comunicó oralmente al GTC-RHF en octubre de 2024 y al GTC-RHF en febrero de 2025, se han asignado 350</w:t>
      </w:r>
      <w:r w:rsidR="003C464D">
        <w:rPr>
          <w:lang w:val="es-ES"/>
        </w:rPr>
        <w:t> </w:t>
      </w:r>
      <w:r w:rsidRPr="00316863">
        <w:rPr>
          <w:lang w:val="es-ES"/>
        </w:rPr>
        <w:t>000</w:t>
      </w:r>
      <w:r w:rsidR="003C464D">
        <w:rPr>
          <w:lang w:val="es-ES"/>
        </w:rPr>
        <w:t> </w:t>
      </w:r>
      <w:r w:rsidRPr="00316863">
        <w:rPr>
          <w:lang w:val="es-ES"/>
        </w:rPr>
        <w:t>CHF de los 600</w:t>
      </w:r>
      <w:r w:rsidR="003C464D">
        <w:rPr>
          <w:lang w:val="es-ES"/>
        </w:rPr>
        <w:t> </w:t>
      </w:r>
      <w:r w:rsidRPr="00316863">
        <w:rPr>
          <w:lang w:val="es-ES"/>
        </w:rPr>
        <w:t>000</w:t>
      </w:r>
      <w:r w:rsidR="003C464D">
        <w:rPr>
          <w:lang w:val="es-ES"/>
        </w:rPr>
        <w:t> </w:t>
      </w:r>
      <w:r w:rsidRPr="00316863">
        <w:rPr>
          <w:lang w:val="es-ES"/>
        </w:rPr>
        <w:t>CHF necesarios, lo que ha permitido iniciar el proyecto. Las necesidades presupuestarias restantes, que ascienden a 250</w:t>
      </w:r>
      <w:r w:rsidR="003C464D">
        <w:rPr>
          <w:lang w:val="es-ES"/>
        </w:rPr>
        <w:t> </w:t>
      </w:r>
      <w:r w:rsidRPr="00316863">
        <w:rPr>
          <w:lang w:val="es-ES"/>
        </w:rPr>
        <w:t>000</w:t>
      </w:r>
      <w:r w:rsidR="003C464D">
        <w:rPr>
          <w:lang w:val="es-ES"/>
        </w:rPr>
        <w:t> </w:t>
      </w:r>
      <w:r w:rsidRPr="00316863">
        <w:rPr>
          <w:lang w:val="es-ES"/>
        </w:rPr>
        <w:t>CHF, figuran en el Documento (</w:t>
      </w:r>
      <w:hyperlink r:id="rId30">
        <w:r w:rsidRPr="00316863">
          <w:rPr>
            <w:rStyle w:val="Hyperlink"/>
            <w:lang w:val="es-ES"/>
          </w:rPr>
          <w:t>C25/43</w:t>
        </w:r>
      </w:hyperlink>
      <w:r w:rsidRPr="00316863">
        <w:rPr>
          <w:lang w:val="es-ES"/>
        </w:rPr>
        <w:t xml:space="preserve">), Asignación de los ahorros conseguidos en la ejecución del presupuesto de 2024, para que el Consejo las examine. </w:t>
      </w:r>
    </w:p>
    <w:p w14:paraId="60AB82DA" w14:textId="77777777" w:rsidR="002A40A3" w:rsidRPr="00316863" w:rsidRDefault="002A40A3" w:rsidP="002F5980">
      <w:pPr>
        <w:pStyle w:val="Headingb"/>
        <w:rPr>
          <w:rFonts w:asciiTheme="minorHAnsi" w:hAnsiTheme="minorHAnsi" w:cstheme="minorBidi"/>
          <w:color w:val="000000" w:themeColor="text1"/>
          <w:kern w:val="24"/>
          <w:lang w:val="es-ES"/>
        </w:rPr>
      </w:pPr>
      <w:r w:rsidRPr="00316863">
        <w:rPr>
          <w:lang w:val="es-ES"/>
        </w:rPr>
        <w:t>Información estimada detallada</w:t>
      </w:r>
    </w:p>
    <w:p w14:paraId="2EC7BFEF" w14:textId="77777777" w:rsidR="002A40A3" w:rsidRDefault="002A40A3" w:rsidP="00CF56D8">
      <w:pPr>
        <w:pStyle w:val="Heading2"/>
        <w:spacing w:after="240"/>
        <w:rPr>
          <w:lang w:val="es-ES"/>
        </w:rPr>
      </w:pPr>
      <w:r w:rsidRPr="002F5980">
        <w:rPr>
          <w:lang w:val="es-ES"/>
        </w:rPr>
        <w:t>2.3</w:t>
      </w:r>
      <w:r w:rsidRPr="00316863">
        <w:rPr>
          <w:lang w:val="es-ES"/>
        </w:rPr>
        <w:tab/>
      </w:r>
      <w:r w:rsidRPr="002F5980">
        <w:rPr>
          <w:lang w:val="es-ES"/>
        </w:rPr>
        <w:t>Gastos estimados por fases del proyecto</w:t>
      </w:r>
      <w:r w:rsidRPr="00316863">
        <w:rPr>
          <w:lang w:val="es-ES"/>
        </w:rPr>
        <w:t xml:space="preserve"> </w:t>
      </w:r>
    </w:p>
    <w:tbl>
      <w:tblPr>
        <w:tblStyle w:val="TableGrid"/>
        <w:tblW w:w="6295" w:type="dxa"/>
        <w:jc w:val="center"/>
        <w:tblLayout w:type="fixed"/>
        <w:tblLook w:val="04A0" w:firstRow="1" w:lastRow="0" w:firstColumn="1" w:lastColumn="0" w:noHBand="0" w:noVBand="1"/>
      </w:tblPr>
      <w:tblGrid>
        <w:gridCol w:w="3397"/>
        <w:gridCol w:w="2898"/>
      </w:tblGrid>
      <w:tr w:rsidR="00CF56D8" w:rsidRPr="00316863" w14:paraId="1B682148" w14:textId="77777777" w:rsidTr="0044479A">
        <w:trPr>
          <w:trHeight w:val="585"/>
          <w:jc w:val="center"/>
        </w:trPr>
        <w:tc>
          <w:tcPr>
            <w:tcW w:w="3397" w:type="dxa"/>
          </w:tcPr>
          <w:p w14:paraId="16D9FEC4" w14:textId="77777777" w:rsidR="00CF56D8" w:rsidRPr="00316863" w:rsidRDefault="00CF56D8" w:rsidP="00CF56D8">
            <w:pPr>
              <w:pStyle w:val="Tablehead"/>
              <w:rPr>
                <w:rFonts w:asciiTheme="minorHAnsi" w:hAnsiTheme="minorHAnsi" w:cstheme="minorHAnsi"/>
                <w:szCs w:val="24"/>
                <w:lang w:val="es-ES"/>
              </w:rPr>
            </w:pPr>
            <w:r w:rsidRPr="00316863">
              <w:rPr>
                <w:lang w:val="es-ES"/>
              </w:rPr>
              <w:t xml:space="preserve">Fases </w:t>
            </w:r>
          </w:p>
        </w:tc>
        <w:tc>
          <w:tcPr>
            <w:tcW w:w="2898" w:type="dxa"/>
          </w:tcPr>
          <w:p w14:paraId="440F5622" w14:textId="77777777" w:rsidR="00CF56D8" w:rsidRPr="00316863" w:rsidRDefault="00CF56D8" w:rsidP="00CF56D8">
            <w:pPr>
              <w:pStyle w:val="Tablehead"/>
              <w:rPr>
                <w:rFonts w:asciiTheme="minorHAnsi" w:hAnsiTheme="minorHAnsi"/>
                <w:lang w:val="es-ES"/>
              </w:rPr>
            </w:pPr>
            <w:r w:rsidRPr="00316863">
              <w:rPr>
                <w:lang w:val="es-ES"/>
              </w:rPr>
              <w:t>Estimaciones CHF 2025</w:t>
            </w:r>
          </w:p>
        </w:tc>
      </w:tr>
      <w:tr w:rsidR="00CF56D8" w:rsidRPr="00316863" w14:paraId="38ED1C35" w14:textId="77777777" w:rsidTr="0044479A">
        <w:trPr>
          <w:jc w:val="center"/>
        </w:trPr>
        <w:tc>
          <w:tcPr>
            <w:tcW w:w="3397" w:type="dxa"/>
          </w:tcPr>
          <w:p w14:paraId="04D19336" w14:textId="77777777" w:rsidR="00CF56D8" w:rsidRPr="00316863" w:rsidRDefault="00CF56D8" w:rsidP="0044479A">
            <w:pPr>
              <w:pStyle w:val="Tabletext"/>
              <w:rPr>
                <w:rFonts w:asciiTheme="minorHAnsi" w:hAnsiTheme="minorHAnsi" w:cstheme="minorHAnsi"/>
                <w:szCs w:val="24"/>
                <w:lang w:val="es-ES"/>
              </w:rPr>
            </w:pPr>
            <w:r w:rsidRPr="00316863">
              <w:rPr>
                <w:lang w:val="es-ES"/>
              </w:rPr>
              <w:t>Fase C (Arquitectura y taxonomía de la información, incluye la experiencia del usuario)</w:t>
            </w:r>
          </w:p>
        </w:tc>
        <w:tc>
          <w:tcPr>
            <w:tcW w:w="2898" w:type="dxa"/>
          </w:tcPr>
          <w:p w14:paraId="7709401A" w14:textId="77777777" w:rsidR="00CF56D8" w:rsidRPr="00316863" w:rsidRDefault="00CF56D8" w:rsidP="00CF56D8">
            <w:pPr>
              <w:pStyle w:val="Tabletext"/>
              <w:jc w:val="center"/>
              <w:rPr>
                <w:rFonts w:asciiTheme="minorHAnsi" w:hAnsiTheme="minorHAnsi" w:cstheme="minorHAnsi"/>
                <w:szCs w:val="24"/>
                <w:lang w:val="es-ES"/>
              </w:rPr>
            </w:pPr>
            <w:r w:rsidRPr="00316863">
              <w:rPr>
                <w:lang w:val="es-ES"/>
              </w:rPr>
              <w:t>200</w:t>
            </w:r>
            <w:r>
              <w:rPr>
                <w:lang w:val="es-ES"/>
              </w:rPr>
              <w:t> </w:t>
            </w:r>
            <w:r w:rsidRPr="00316863">
              <w:rPr>
                <w:lang w:val="es-ES"/>
              </w:rPr>
              <w:t>000</w:t>
            </w:r>
          </w:p>
        </w:tc>
      </w:tr>
      <w:tr w:rsidR="00CF56D8" w:rsidRPr="00316863" w14:paraId="56C1982F" w14:textId="77777777" w:rsidTr="0044479A">
        <w:trPr>
          <w:jc w:val="center"/>
        </w:trPr>
        <w:tc>
          <w:tcPr>
            <w:tcW w:w="3397" w:type="dxa"/>
          </w:tcPr>
          <w:p w14:paraId="7B5FF358" w14:textId="77777777" w:rsidR="00CF56D8" w:rsidRPr="00316863" w:rsidRDefault="00CF56D8" w:rsidP="0044479A">
            <w:pPr>
              <w:pStyle w:val="Tabletext"/>
              <w:rPr>
                <w:rFonts w:asciiTheme="minorHAnsi" w:hAnsiTheme="minorHAnsi" w:cstheme="minorHAnsi"/>
                <w:szCs w:val="24"/>
                <w:lang w:val="es-ES"/>
              </w:rPr>
            </w:pPr>
            <w:r w:rsidRPr="00316863">
              <w:rPr>
                <w:lang w:val="es-ES"/>
              </w:rPr>
              <w:t>Fase D (Descubrimiento)</w:t>
            </w:r>
          </w:p>
        </w:tc>
        <w:tc>
          <w:tcPr>
            <w:tcW w:w="2898" w:type="dxa"/>
          </w:tcPr>
          <w:p w14:paraId="2B076BDC" w14:textId="77777777" w:rsidR="00CF56D8" w:rsidRPr="00316863" w:rsidRDefault="00CF56D8" w:rsidP="00CF56D8">
            <w:pPr>
              <w:pStyle w:val="Tabletext"/>
              <w:jc w:val="center"/>
              <w:rPr>
                <w:rFonts w:asciiTheme="minorHAnsi" w:hAnsiTheme="minorHAnsi"/>
                <w:lang w:val="es-ES"/>
              </w:rPr>
            </w:pPr>
            <w:r w:rsidRPr="00316863">
              <w:rPr>
                <w:lang w:val="es-ES"/>
              </w:rPr>
              <w:t>150</w:t>
            </w:r>
            <w:r>
              <w:rPr>
                <w:lang w:val="es-ES"/>
              </w:rPr>
              <w:t> </w:t>
            </w:r>
            <w:r w:rsidRPr="00316863">
              <w:rPr>
                <w:lang w:val="es-ES"/>
              </w:rPr>
              <w:t>000</w:t>
            </w:r>
          </w:p>
        </w:tc>
      </w:tr>
      <w:tr w:rsidR="00CF56D8" w:rsidRPr="00316863" w14:paraId="750044E6" w14:textId="77777777" w:rsidTr="0044479A">
        <w:trPr>
          <w:trHeight w:val="68"/>
          <w:jc w:val="center"/>
        </w:trPr>
        <w:tc>
          <w:tcPr>
            <w:tcW w:w="3397" w:type="dxa"/>
          </w:tcPr>
          <w:p w14:paraId="5BF824EE" w14:textId="77777777" w:rsidR="00CF56D8" w:rsidRPr="00316863" w:rsidRDefault="00CF56D8" w:rsidP="0044479A">
            <w:pPr>
              <w:pStyle w:val="Tabletext"/>
              <w:rPr>
                <w:rFonts w:asciiTheme="minorHAnsi" w:hAnsiTheme="minorHAnsi" w:cstheme="minorHAnsi"/>
                <w:szCs w:val="24"/>
                <w:lang w:val="es-ES"/>
              </w:rPr>
            </w:pPr>
            <w:r w:rsidRPr="00316863">
              <w:rPr>
                <w:lang w:val="es-ES"/>
              </w:rPr>
              <w:t>Fase E (Interfaz de usuario)</w:t>
            </w:r>
          </w:p>
        </w:tc>
        <w:tc>
          <w:tcPr>
            <w:tcW w:w="2898" w:type="dxa"/>
          </w:tcPr>
          <w:p w14:paraId="59ADA0D7" w14:textId="77777777" w:rsidR="00CF56D8" w:rsidRPr="00316863" w:rsidRDefault="00CF56D8" w:rsidP="00CF56D8">
            <w:pPr>
              <w:pStyle w:val="Tabletext"/>
              <w:jc w:val="center"/>
              <w:rPr>
                <w:rFonts w:asciiTheme="minorHAnsi" w:hAnsiTheme="minorHAnsi"/>
                <w:lang w:val="es-ES"/>
              </w:rPr>
            </w:pPr>
            <w:r w:rsidRPr="00316863">
              <w:rPr>
                <w:lang w:val="es-ES"/>
              </w:rPr>
              <w:t>50</w:t>
            </w:r>
            <w:r>
              <w:rPr>
                <w:lang w:val="es-ES"/>
              </w:rPr>
              <w:t> </w:t>
            </w:r>
            <w:r w:rsidRPr="00316863">
              <w:rPr>
                <w:lang w:val="es-ES"/>
              </w:rPr>
              <w:t>000</w:t>
            </w:r>
          </w:p>
        </w:tc>
      </w:tr>
      <w:tr w:rsidR="00CF56D8" w:rsidRPr="00316863" w14:paraId="0B176880" w14:textId="77777777" w:rsidTr="0044479A">
        <w:trPr>
          <w:trHeight w:val="68"/>
          <w:jc w:val="center"/>
        </w:trPr>
        <w:tc>
          <w:tcPr>
            <w:tcW w:w="3397" w:type="dxa"/>
          </w:tcPr>
          <w:p w14:paraId="266021DE" w14:textId="77777777" w:rsidR="00CF56D8" w:rsidRPr="00316863" w:rsidRDefault="00CF56D8" w:rsidP="0044479A">
            <w:pPr>
              <w:pStyle w:val="Tabletext"/>
              <w:rPr>
                <w:rFonts w:asciiTheme="minorHAnsi" w:hAnsiTheme="minorHAnsi" w:cstheme="minorHAnsi"/>
                <w:szCs w:val="24"/>
                <w:lang w:val="es-ES"/>
              </w:rPr>
            </w:pPr>
            <w:r w:rsidRPr="00316863">
              <w:rPr>
                <w:lang w:val="es-ES"/>
              </w:rPr>
              <w:t>Fase F (Ejecución)</w:t>
            </w:r>
          </w:p>
        </w:tc>
        <w:tc>
          <w:tcPr>
            <w:tcW w:w="2898" w:type="dxa"/>
          </w:tcPr>
          <w:p w14:paraId="5100144B" w14:textId="25BE48B2" w:rsidR="00CF56D8" w:rsidRPr="00316863" w:rsidRDefault="009C2224" w:rsidP="00CF56D8">
            <w:pPr>
              <w:pStyle w:val="Tabletext"/>
              <w:jc w:val="center"/>
              <w:rPr>
                <w:rFonts w:asciiTheme="minorHAnsi" w:hAnsiTheme="minorHAnsi"/>
                <w:lang w:val="es-ES"/>
              </w:rPr>
            </w:pPr>
            <w:r>
              <w:rPr>
                <w:lang w:val="es-ES"/>
              </w:rPr>
              <w:t>20</w:t>
            </w:r>
            <w:r w:rsidR="00CF56D8" w:rsidRPr="00316863">
              <w:rPr>
                <w:lang w:val="es-ES"/>
              </w:rPr>
              <w:t>0</w:t>
            </w:r>
            <w:r w:rsidR="00CF56D8">
              <w:rPr>
                <w:lang w:val="es-ES"/>
              </w:rPr>
              <w:t> </w:t>
            </w:r>
            <w:r w:rsidR="00CF56D8" w:rsidRPr="00316863">
              <w:rPr>
                <w:lang w:val="es-ES"/>
              </w:rPr>
              <w:t>000</w:t>
            </w:r>
          </w:p>
        </w:tc>
      </w:tr>
      <w:tr w:rsidR="00CF56D8" w:rsidRPr="00316863" w14:paraId="36494753" w14:textId="77777777" w:rsidTr="0044479A">
        <w:trPr>
          <w:jc w:val="center"/>
        </w:trPr>
        <w:tc>
          <w:tcPr>
            <w:tcW w:w="3397" w:type="dxa"/>
          </w:tcPr>
          <w:p w14:paraId="1C10B584" w14:textId="77777777" w:rsidR="00CF56D8" w:rsidRPr="00316863" w:rsidRDefault="00CF56D8" w:rsidP="00CF56D8">
            <w:pPr>
              <w:pStyle w:val="Tabletext"/>
              <w:jc w:val="center"/>
              <w:rPr>
                <w:rFonts w:asciiTheme="minorHAnsi" w:hAnsiTheme="minorHAnsi" w:cstheme="minorHAnsi"/>
                <w:b/>
                <w:szCs w:val="24"/>
                <w:lang w:val="es-ES"/>
              </w:rPr>
            </w:pPr>
            <w:r w:rsidRPr="00316863">
              <w:rPr>
                <w:b/>
                <w:bCs/>
                <w:lang w:val="es-ES"/>
              </w:rPr>
              <w:t>Total</w:t>
            </w:r>
          </w:p>
        </w:tc>
        <w:tc>
          <w:tcPr>
            <w:tcW w:w="2898" w:type="dxa"/>
          </w:tcPr>
          <w:p w14:paraId="48105993" w14:textId="77777777" w:rsidR="00CF56D8" w:rsidRPr="00316863" w:rsidRDefault="00CF56D8" w:rsidP="00CF56D8">
            <w:pPr>
              <w:pStyle w:val="Tabletext"/>
              <w:jc w:val="center"/>
              <w:rPr>
                <w:rFonts w:asciiTheme="minorHAnsi" w:hAnsiTheme="minorHAnsi" w:cstheme="minorHAnsi"/>
                <w:b/>
                <w:szCs w:val="24"/>
                <w:lang w:val="es-ES"/>
              </w:rPr>
            </w:pPr>
            <w:r w:rsidRPr="00316863">
              <w:rPr>
                <w:b/>
                <w:bCs/>
                <w:lang w:val="es-ES"/>
              </w:rPr>
              <w:t>600</w:t>
            </w:r>
            <w:r>
              <w:rPr>
                <w:b/>
                <w:bCs/>
                <w:lang w:val="es-ES"/>
              </w:rPr>
              <w:t> </w:t>
            </w:r>
            <w:r w:rsidRPr="00316863">
              <w:rPr>
                <w:b/>
                <w:bCs/>
                <w:lang w:val="es-ES"/>
              </w:rPr>
              <w:t>000 CHF</w:t>
            </w:r>
          </w:p>
        </w:tc>
      </w:tr>
    </w:tbl>
    <w:p w14:paraId="70833AD9" w14:textId="77777777" w:rsidR="00B9670B" w:rsidRDefault="00B9670B" w:rsidP="00411C49">
      <w:pPr>
        <w:pStyle w:val="Reasons"/>
      </w:pPr>
    </w:p>
    <w:p w14:paraId="7575923C" w14:textId="77777777" w:rsidR="00B9670B" w:rsidRDefault="00B9670B">
      <w:pPr>
        <w:jc w:val="center"/>
      </w:pPr>
      <w:r>
        <w:t>______________</w:t>
      </w:r>
    </w:p>
    <w:sectPr w:rsidR="00B9670B" w:rsidSect="00C538FC">
      <w:footerReference w:type="default" r:id="rId31"/>
      <w:headerReference w:type="first" r:id="rId32"/>
      <w:footerReference w:type="first" r:id="rId3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0141C" w14:textId="77777777" w:rsidR="002A40A3" w:rsidRDefault="002A40A3">
      <w:r>
        <w:separator/>
      </w:r>
    </w:p>
  </w:endnote>
  <w:endnote w:type="continuationSeparator" w:id="0">
    <w:p w14:paraId="7ABCBCA7" w14:textId="77777777" w:rsidR="002A40A3" w:rsidRDefault="002A4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venir Nxt2 W1G Medium">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B869203" w14:textId="77777777" w:rsidTr="00E31DCE">
      <w:trPr>
        <w:jc w:val="center"/>
      </w:trPr>
      <w:tc>
        <w:tcPr>
          <w:tcW w:w="1803" w:type="dxa"/>
          <w:vAlign w:val="center"/>
        </w:tcPr>
        <w:p w14:paraId="7152D9C4" w14:textId="0759CE9A" w:rsidR="003273A4" w:rsidRDefault="002946E2" w:rsidP="003273A4">
          <w:pPr>
            <w:pStyle w:val="Header"/>
            <w:jc w:val="left"/>
            <w:rPr>
              <w:noProof/>
            </w:rPr>
          </w:pPr>
          <w:r>
            <w:rPr>
              <w:noProof/>
            </w:rPr>
            <w:t xml:space="preserve">gDoc </w:t>
          </w:r>
          <w:r w:rsidR="0090559A">
            <w:rPr>
              <w:noProof/>
            </w:rPr>
            <w:t>2501246</w:t>
          </w:r>
        </w:p>
      </w:tc>
      <w:tc>
        <w:tcPr>
          <w:tcW w:w="8261" w:type="dxa"/>
        </w:tcPr>
        <w:p w14:paraId="12791E28" w14:textId="518ABDA9"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991C95">
            <w:rPr>
              <w:bCs/>
            </w:rPr>
            <w:t>55</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049C60C0"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BB8318A" w14:textId="77777777" w:rsidTr="00E31DCE">
      <w:trPr>
        <w:jc w:val="center"/>
      </w:trPr>
      <w:tc>
        <w:tcPr>
          <w:tcW w:w="1803" w:type="dxa"/>
          <w:vAlign w:val="center"/>
        </w:tcPr>
        <w:p w14:paraId="779C3DDB" w14:textId="77777777" w:rsidR="00F24B71" w:rsidRPr="002946E2" w:rsidRDefault="002946E2" w:rsidP="00F24B71">
          <w:pPr>
            <w:pStyle w:val="Header"/>
            <w:jc w:val="left"/>
            <w:rPr>
              <w:noProof/>
            </w:rPr>
          </w:pPr>
          <w:hyperlink r:id="rId1" w:history="1">
            <w:r w:rsidRPr="002946E2">
              <w:rPr>
                <w:rStyle w:val="Hyperlink"/>
                <w:noProof/>
                <w:color w:val="4F81BD" w:themeColor="accent1"/>
                <w:u w:val="none"/>
              </w:rPr>
              <w:t>council.itu.int/2025</w:t>
            </w:r>
          </w:hyperlink>
          <w:r w:rsidRPr="002946E2">
            <w:rPr>
              <w:noProof/>
            </w:rPr>
            <w:t xml:space="preserve"> </w:t>
          </w:r>
        </w:p>
      </w:tc>
      <w:tc>
        <w:tcPr>
          <w:tcW w:w="8261" w:type="dxa"/>
        </w:tcPr>
        <w:p w14:paraId="3FFDEE9F" w14:textId="7054A8F0"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BB6FD8">
            <w:rPr>
              <w:bCs/>
            </w:rPr>
            <w:t>5</w:t>
          </w:r>
          <w:r w:rsidRPr="00623AE3">
            <w:rPr>
              <w:bCs/>
            </w:rPr>
            <w:t>/</w:t>
          </w:r>
          <w:r w:rsidR="007978E1">
            <w:rPr>
              <w:bCs/>
            </w:rPr>
            <w:t>55</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34514490"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066B" w14:textId="77777777" w:rsidR="002A40A3" w:rsidRDefault="002A40A3">
      <w:r>
        <w:t>____________________</w:t>
      </w:r>
    </w:p>
  </w:footnote>
  <w:footnote w:type="continuationSeparator" w:id="0">
    <w:p w14:paraId="37C641DB" w14:textId="77777777" w:rsidR="002A40A3" w:rsidRDefault="002A40A3">
      <w:r>
        <w:continuationSeparator/>
      </w:r>
    </w:p>
  </w:footnote>
  <w:footnote w:id="1">
    <w:p w14:paraId="38EF70FD" w14:textId="05247B90" w:rsidR="002A40A3" w:rsidRPr="00BF7E2B" w:rsidRDefault="002A40A3" w:rsidP="009C2224">
      <w:pPr>
        <w:pStyle w:val="FootnoteText"/>
        <w:tabs>
          <w:tab w:val="clear" w:pos="256"/>
        </w:tabs>
        <w:spacing w:before="60"/>
        <w:ind w:left="284" w:hanging="284"/>
        <w:rPr>
          <w:sz w:val="20"/>
          <w:lang w:val="es-ES"/>
        </w:rPr>
      </w:pPr>
      <w:r w:rsidRPr="00BF7E2B">
        <w:rPr>
          <w:rStyle w:val="FootnoteReference"/>
          <w:rFonts w:eastAsia="Calibri" w:cs="Calibri"/>
          <w:sz w:val="20"/>
          <w:lang w:val="es-ES"/>
        </w:rPr>
        <w:footnoteRef/>
      </w:r>
      <w:r w:rsidRPr="00BF7E2B">
        <w:rPr>
          <w:sz w:val="20"/>
          <w:lang w:val="es-ES"/>
        </w:rPr>
        <w:tab/>
        <w:t xml:space="preserve">La información relativa a la encuesta sobre la implicación de personal está disponible en el documento </w:t>
      </w:r>
      <w:hyperlink r:id="rId1" w:history="1">
        <w:r w:rsidR="001B6E7B" w:rsidRPr="00BF7E2B">
          <w:rPr>
            <w:rStyle w:val="Hyperlink"/>
            <w:rFonts w:asciiTheme="minorHAnsi" w:eastAsiaTheme="minorEastAsia" w:hAnsiTheme="minorHAnsi" w:cstheme="minorBidi"/>
            <w:sz w:val="20"/>
          </w:rPr>
          <w:t>C25/66</w:t>
        </w:r>
      </w:hyperlink>
      <w:r w:rsidRPr="00BF7E2B">
        <w:rPr>
          <w:sz w:val="20"/>
          <w:lang w:val="es-ES"/>
        </w:rPr>
        <w:t>.</w:t>
      </w:r>
    </w:p>
  </w:footnote>
  <w:footnote w:id="2">
    <w:p w14:paraId="54CE6237" w14:textId="465D0611" w:rsidR="002A40A3" w:rsidRPr="00BF7E2B" w:rsidRDefault="002A40A3" w:rsidP="002A40A3">
      <w:pPr>
        <w:pStyle w:val="FootnoteText"/>
        <w:spacing w:before="60"/>
        <w:rPr>
          <w:sz w:val="20"/>
          <w:lang w:val="es-ES"/>
        </w:rPr>
      </w:pPr>
      <w:r w:rsidRPr="00BF7E2B">
        <w:rPr>
          <w:rStyle w:val="FootnoteReference"/>
          <w:sz w:val="20"/>
          <w:lang w:val="es-ES"/>
        </w:rPr>
        <w:footnoteRef/>
      </w:r>
      <w:r w:rsidR="002C6991" w:rsidRPr="00BF7E2B">
        <w:rPr>
          <w:sz w:val="20"/>
          <w:lang w:val="es-ES"/>
        </w:rPr>
        <w:tab/>
      </w:r>
      <w:r w:rsidRPr="00BF7E2B">
        <w:rPr>
          <w:sz w:val="20"/>
          <w:lang w:val="es-ES"/>
        </w:rPr>
        <w:t>El Documento (</w:t>
      </w:r>
      <w:hyperlink r:id="rId2" w:history="1">
        <w:r w:rsidR="002C6991" w:rsidRPr="00BF7E2B">
          <w:rPr>
            <w:rStyle w:val="Hyperlink"/>
            <w:rFonts w:asciiTheme="minorHAnsi" w:eastAsiaTheme="minorEastAsia" w:hAnsiTheme="minorHAnsi" w:cstheme="minorBidi"/>
            <w:sz w:val="20"/>
          </w:rPr>
          <w:t>C25/44</w:t>
        </w:r>
      </w:hyperlink>
      <w:r w:rsidRPr="00BF7E2B">
        <w:rPr>
          <w:sz w:val="20"/>
          <w:lang w:val="es-ES"/>
        </w:rPr>
        <w:t>) contiene más información sobre auditoría y supervisión.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666D09" w:rsidRPr="00784011" w14:paraId="53FF3E57" w14:textId="77777777" w:rsidTr="00666D09">
      <w:trPr>
        <w:trHeight w:val="1104"/>
        <w:jc w:val="center"/>
      </w:trPr>
      <w:tc>
        <w:tcPr>
          <w:tcW w:w="5998" w:type="dxa"/>
          <w:vAlign w:val="center"/>
        </w:tcPr>
        <w:p w14:paraId="505CB36B" w14:textId="77777777" w:rsidR="00666D09" w:rsidRDefault="00666D09" w:rsidP="001559F5">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4918D00F" wp14:editId="57F29F2C">
                <wp:extent cx="3672000" cy="612867"/>
                <wp:effectExtent l="0" t="0" r="0" b="0"/>
                <wp:docPr id="1200703869"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703869" name="Picture 1"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72000" cy="612867"/>
                        </a:xfrm>
                        <a:prstGeom prst="rect">
                          <a:avLst/>
                        </a:prstGeom>
                      </pic:spPr>
                    </pic:pic>
                  </a:graphicData>
                </a:graphic>
              </wp:inline>
            </w:drawing>
          </w:r>
        </w:p>
      </w:tc>
      <w:tc>
        <w:tcPr>
          <w:tcW w:w="4022" w:type="dxa"/>
        </w:tcPr>
        <w:p w14:paraId="0F5BE8D0" w14:textId="77777777" w:rsidR="00666D09" w:rsidRDefault="00666D09" w:rsidP="001559F5">
          <w:pPr>
            <w:pStyle w:val="Header"/>
            <w:jc w:val="right"/>
            <w:rPr>
              <w:rFonts w:ascii="Arial" w:hAnsi="Arial" w:cs="Arial"/>
              <w:b/>
              <w:bCs/>
              <w:color w:val="009CD6"/>
              <w:szCs w:val="18"/>
            </w:rPr>
          </w:pPr>
        </w:p>
      </w:tc>
    </w:tr>
  </w:tbl>
  <w:p w14:paraId="02077417" w14:textId="77777777" w:rsidR="001559F5" w:rsidRDefault="001559F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1D13F04" wp14:editId="236B42BD">
              <wp:simplePos x="0" y="0"/>
              <wp:positionH relativeFrom="page">
                <wp:posOffset>13005</wp:posOffset>
              </wp:positionH>
              <wp:positionV relativeFrom="topMargin">
                <wp:posOffset>659765</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D2BB9" id="Rectangle 5" o:spid="_x0000_s1026" style="position:absolute;margin-left:1pt;margin-top:51.9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C197"/>
    <w:multiLevelType w:val="hybridMultilevel"/>
    <w:tmpl w:val="FFFFFFFF"/>
    <w:lvl w:ilvl="0" w:tplc="04A0EB38">
      <w:start w:val="1"/>
      <w:numFmt w:val="bullet"/>
      <w:lvlText w:val=""/>
      <w:lvlJc w:val="left"/>
      <w:pPr>
        <w:ind w:left="720" w:hanging="360"/>
      </w:pPr>
      <w:rPr>
        <w:rFonts w:ascii="Wingdings" w:hAnsi="Wingdings" w:hint="default"/>
      </w:rPr>
    </w:lvl>
    <w:lvl w:ilvl="1" w:tplc="6812E7D8">
      <w:start w:val="1"/>
      <w:numFmt w:val="bullet"/>
      <w:lvlText w:val="o"/>
      <w:lvlJc w:val="left"/>
      <w:pPr>
        <w:ind w:left="1440" w:hanging="360"/>
      </w:pPr>
      <w:rPr>
        <w:rFonts w:ascii="Courier New" w:hAnsi="Courier New" w:hint="default"/>
      </w:rPr>
    </w:lvl>
    <w:lvl w:ilvl="2" w:tplc="F094EEFA">
      <w:start w:val="1"/>
      <w:numFmt w:val="bullet"/>
      <w:lvlText w:val=""/>
      <w:lvlJc w:val="left"/>
      <w:pPr>
        <w:ind w:left="2160" w:hanging="360"/>
      </w:pPr>
      <w:rPr>
        <w:rFonts w:ascii="Wingdings" w:hAnsi="Wingdings" w:hint="default"/>
      </w:rPr>
    </w:lvl>
    <w:lvl w:ilvl="3" w:tplc="A2C6F02A">
      <w:start w:val="1"/>
      <w:numFmt w:val="bullet"/>
      <w:lvlText w:val=""/>
      <w:lvlJc w:val="left"/>
      <w:pPr>
        <w:ind w:left="2880" w:hanging="360"/>
      </w:pPr>
      <w:rPr>
        <w:rFonts w:ascii="Symbol" w:hAnsi="Symbol" w:hint="default"/>
      </w:rPr>
    </w:lvl>
    <w:lvl w:ilvl="4" w:tplc="2680787C">
      <w:start w:val="1"/>
      <w:numFmt w:val="bullet"/>
      <w:lvlText w:val="o"/>
      <w:lvlJc w:val="left"/>
      <w:pPr>
        <w:ind w:left="3600" w:hanging="360"/>
      </w:pPr>
      <w:rPr>
        <w:rFonts w:ascii="Courier New" w:hAnsi="Courier New" w:hint="default"/>
      </w:rPr>
    </w:lvl>
    <w:lvl w:ilvl="5" w:tplc="909A11E4">
      <w:start w:val="1"/>
      <w:numFmt w:val="bullet"/>
      <w:lvlText w:val=""/>
      <w:lvlJc w:val="left"/>
      <w:pPr>
        <w:ind w:left="4320" w:hanging="360"/>
      </w:pPr>
      <w:rPr>
        <w:rFonts w:ascii="Wingdings" w:hAnsi="Wingdings" w:hint="default"/>
      </w:rPr>
    </w:lvl>
    <w:lvl w:ilvl="6" w:tplc="C3B6BD74">
      <w:start w:val="1"/>
      <w:numFmt w:val="bullet"/>
      <w:lvlText w:val=""/>
      <w:lvlJc w:val="left"/>
      <w:pPr>
        <w:ind w:left="5040" w:hanging="360"/>
      </w:pPr>
      <w:rPr>
        <w:rFonts w:ascii="Symbol" w:hAnsi="Symbol" w:hint="default"/>
      </w:rPr>
    </w:lvl>
    <w:lvl w:ilvl="7" w:tplc="822AE6EE">
      <w:start w:val="1"/>
      <w:numFmt w:val="bullet"/>
      <w:lvlText w:val="o"/>
      <w:lvlJc w:val="left"/>
      <w:pPr>
        <w:ind w:left="5760" w:hanging="360"/>
      </w:pPr>
      <w:rPr>
        <w:rFonts w:ascii="Courier New" w:hAnsi="Courier New" w:hint="default"/>
      </w:rPr>
    </w:lvl>
    <w:lvl w:ilvl="8" w:tplc="F3C8C1B6">
      <w:start w:val="1"/>
      <w:numFmt w:val="bullet"/>
      <w:lvlText w:val=""/>
      <w:lvlJc w:val="left"/>
      <w:pPr>
        <w:ind w:left="6480" w:hanging="360"/>
      </w:pPr>
      <w:rPr>
        <w:rFonts w:ascii="Wingdings" w:hAnsi="Wingdings" w:hint="default"/>
      </w:rPr>
    </w:lvl>
  </w:abstractNum>
  <w:abstractNum w:abstractNumId="1" w15:restartNumberingAfterBreak="0">
    <w:nsid w:val="17FC2B03"/>
    <w:multiLevelType w:val="hybridMultilevel"/>
    <w:tmpl w:val="4FC0F3D6"/>
    <w:lvl w:ilvl="0" w:tplc="DFE00DB4">
      <w:start w:val="1"/>
      <w:numFmt w:val="bullet"/>
      <w:lvlText w:val=""/>
      <w:lvlJc w:val="left"/>
      <w:pPr>
        <w:ind w:left="720" w:hanging="360"/>
      </w:pPr>
      <w:rPr>
        <w:rFonts w:ascii="Wingdings" w:hAnsi="Wingdings" w:hint="default"/>
      </w:rPr>
    </w:lvl>
    <w:lvl w:ilvl="1" w:tplc="27F89E06">
      <w:start w:val="1"/>
      <w:numFmt w:val="bullet"/>
      <w:lvlText w:val="o"/>
      <w:lvlJc w:val="left"/>
      <w:pPr>
        <w:ind w:left="1440" w:hanging="360"/>
      </w:pPr>
      <w:rPr>
        <w:rFonts w:ascii="Courier New" w:hAnsi="Courier New" w:hint="default"/>
      </w:rPr>
    </w:lvl>
    <w:lvl w:ilvl="2" w:tplc="E06E6FBE">
      <w:start w:val="1"/>
      <w:numFmt w:val="bullet"/>
      <w:lvlText w:val=""/>
      <w:lvlJc w:val="left"/>
      <w:pPr>
        <w:ind w:left="2160" w:hanging="360"/>
      </w:pPr>
      <w:rPr>
        <w:rFonts w:ascii="Wingdings" w:hAnsi="Wingdings" w:hint="default"/>
      </w:rPr>
    </w:lvl>
    <w:lvl w:ilvl="3" w:tplc="519893D0">
      <w:start w:val="1"/>
      <w:numFmt w:val="bullet"/>
      <w:lvlText w:val=""/>
      <w:lvlJc w:val="left"/>
      <w:pPr>
        <w:ind w:left="2880" w:hanging="360"/>
      </w:pPr>
      <w:rPr>
        <w:rFonts w:ascii="Symbol" w:hAnsi="Symbol" w:hint="default"/>
      </w:rPr>
    </w:lvl>
    <w:lvl w:ilvl="4" w:tplc="0A4208E2">
      <w:start w:val="1"/>
      <w:numFmt w:val="bullet"/>
      <w:lvlText w:val="o"/>
      <w:lvlJc w:val="left"/>
      <w:pPr>
        <w:ind w:left="3600" w:hanging="360"/>
      </w:pPr>
      <w:rPr>
        <w:rFonts w:ascii="Courier New" w:hAnsi="Courier New" w:hint="default"/>
      </w:rPr>
    </w:lvl>
    <w:lvl w:ilvl="5" w:tplc="09E4C624">
      <w:start w:val="1"/>
      <w:numFmt w:val="bullet"/>
      <w:lvlText w:val=""/>
      <w:lvlJc w:val="left"/>
      <w:pPr>
        <w:ind w:left="4320" w:hanging="360"/>
      </w:pPr>
      <w:rPr>
        <w:rFonts w:ascii="Wingdings" w:hAnsi="Wingdings" w:hint="default"/>
      </w:rPr>
    </w:lvl>
    <w:lvl w:ilvl="6" w:tplc="F7FAFECA">
      <w:start w:val="1"/>
      <w:numFmt w:val="bullet"/>
      <w:lvlText w:val=""/>
      <w:lvlJc w:val="left"/>
      <w:pPr>
        <w:ind w:left="5040" w:hanging="360"/>
      </w:pPr>
      <w:rPr>
        <w:rFonts w:ascii="Symbol" w:hAnsi="Symbol" w:hint="default"/>
      </w:rPr>
    </w:lvl>
    <w:lvl w:ilvl="7" w:tplc="2D265D50">
      <w:start w:val="1"/>
      <w:numFmt w:val="bullet"/>
      <w:lvlText w:val="o"/>
      <w:lvlJc w:val="left"/>
      <w:pPr>
        <w:ind w:left="5760" w:hanging="360"/>
      </w:pPr>
      <w:rPr>
        <w:rFonts w:ascii="Courier New" w:hAnsi="Courier New" w:hint="default"/>
      </w:rPr>
    </w:lvl>
    <w:lvl w:ilvl="8" w:tplc="4B6253A2">
      <w:start w:val="1"/>
      <w:numFmt w:val="bullet"/>
      <w:lvlText w:val=""/>
      <w:lvlJc w:val="left"/>
      <w:pPr>
        <w:ind w:left="6480" w:hanging="360"/>
      </w:pPr>
      <w:rPr>
        <w:rFonts w:ascii="Wingdings" w:hAnsi="Wingdings" w:hint="default"/>
      </w:rPr>
    </w:lvl>
  </w:abstractNum>
  <w:abstractNum w:abstractNumId="2" w15:restartNumberingAfterBreak="0">
    <w:nsid w:val="3BB9273C"/>
    <w:multiLevelType w:val="hybridMultilevel"/>
    <w:tmpl w:val="FFFFFFFF"/>
    <w:lvl w:ilvl="0" w:tplc="1D60504A">
      <w:start w:val="1"/>
      <w:numFmt w:val="bullet"/>
      <w:lvlText w:val=""/>
      <w:lvlJc w:val="left"/>
      <w:pPr>
        <w:ind w:left="720" w:hanging="360"/>
      </w:pPr>
      <w:rPr>
        <w:rFonts w:ascii="Wingdings" w:hAnsi="Wingdings" w:hint="default"/>
      </w:rPr>
    </w:lvl>
    <w:lvl w:ilvl="1" w:tplc="8E2CD1DE">
      <w:start w:val="1"/>
      <w:numFmt w:val="bullet"/>
      <w:lvlText w:val="o"/>
      <w:lvlJc w:val="left"/>
      <w:pPr>
        <w:ind w:left="1440" w:hanging="360"/>
      </w:pPr>
      <w:rPr>
        <w:rFonts w:ascii="Courier New" w:hAnsi="Courier New" w:hint="default"/>
      </w:rPr>
    </w:lvl>
    <w:lvl w:ilvl="2" w:tplc="B68244B2">
      <w:start w:val="1"/>
      <w:numFmt w:val="bullet"/>
      <w:lvlText w:val=""/>
      <w:lvlJc w:val="left"/>
      <w:pPr>
        <w:ind w:left="2160" w:hanging="360"/>
      </w:pPr>
      <w:rPr>
        <w:rFonts w:ascii="Wingdings" w:hAnsi="Wingdings" w:hint="default"/>
      </w:rPr>
    </w:lvl>
    <w:lvl w:ilvl="3" w:tplc="CD86072A">
      <w:start w:val="1"/>
      <w:numFmt w:val="bullet"/>
      <w:lvlText w:val=""/>
      <w:lvlJc w:val="left"/>
      <w:pPr>
        <w:ind w:left="2880" w:hanging="360"/>
      </w:pPr>
      <w:rPr>
        <w:rFonts w:ascii="Symbol" w:hAnsi="Symbol" w:hint="default"/>
      </w:rPr>
    </w:lvl>
    <w:lvl w:ilvl="4" w:tplc="4D40DEC8">
      <w:start w:val="1"/>
      <w:numFmt w:val="bullet"/>
      <w:lvlText w:val="o"/>
      <w:lvlJc w:val="left"/>
      <w:pPr>
        <w:ind w:left="3600" w:hanging="360"/>
      </w:pPr>
      <w:rPr>
        <w:rFonts w:ascii="Courier New" w:hAnsi="Courier New" w:hint="default"/>
      </w:rPr>
    </w:lvl>
    <w:lvl w:ilvl="5" w:tplc="1D580F1C">
      <w:start w:val="1"/>
      <w:numFmt w:val="bullet"/>
      <w:lvlText w:val=""/>
      <w:lvlJc w:val="left"/>
      <w:pPr>
        <w:ind w:left="4320" w:hanging="360"/>
      </w:pPr>
      <w:rPr>
        <w:rFonts w:ascii="Wingdings" w:hAnsi="Wingdings" w:hint="default"/>
      </w:rPr>
    </w:lvl>
    <w:lvl w:ilvl="6" w:tplc="FB7A39EE">
      <w:start w:val="1"/>
      <w:numFmt w:val="bullet"/>
      <w:lvlText w:val=""/>
      <w:lvlJc w:val="left"/>
      <w:pPr>
        <w:ind w:left="5040" w:hanging="360"/>
      </w:pPr>
      <w:rPr>
        <w:rFonts w:ascii="Symbol" w:hAnsi="Symbol" w:hint="default"/>
      </w:rPr>
    </w:lvl>
    <w:lvl w:ilvl="7" w:tplc="D0F60374">
      <w:start w:val="1"/>
      <w:numFmt w:val="bullet"/>
      <w:lvlText w:val="o"/>
      <w:lvlJc w:val="left"/>
      <w:pPr>
        <w:ind w:left="5760" w:hanging="360"/>
      </w:pPr>
      <w:rPr>
        <w:rFonts w:ascii="Courier New" w:hAnsi="Courier New" w:hint="default"/>
      </w:rPr>
    </w:lvl>
    <w:lvl w:ilvl="8" w:tplc="BF72EB7C">
      <w:start w:val="1"/>
      <w:numFmt w:val="bullet"/>
      <w:lvlText w:val=""/>
      <w:lvlJc w:val="left"/>
      <w:pPr>
        <w:ind w:left="6480" w:hanging="360"/>
      </w:pPr>
      <w:rPr>
        <w:rFonts w:ascii="Wingdings" w:hAnsi="Wingdings" w:hint="default"/>
      </w:rPr>
    </w:lvl>
  </w:abstractNum>
  <w:abstractNum w:abstractNumId="3" w15:restartNumberingAfterBreak="0">
    <w:nsid w:val="53CD0F2B"/>
    <w:multiLevelType w:val="hybridMultilevel"/>
    <w:tmpl w:val="FFFFFFFF"/>
    <w:lvl w:ilvl="0" w:tplc="5DF28B78">
      <w:start w:val="1"/>
      <w:numFmt w:val="bullet"/>
      <w:lvlText w:val=""/>
      <w:lvlJc w:val="left"/>
      <w:pPr>
        <w:ind w:left="720" w:hanging="360"/>
      </w:pPr>
      <w:rPr>
        <w:rFonts w:ascii="Wingdings" w:hAnsi="Wingdings" w:hint="default"/>
      </w:rPr>
    </w:lvl>
    <w:lvl w:ilvl="1" w:tplc="1D407634">
      <w:start w:val="1"/>
      <w:numFmt w:val="bullet"/>
      <w:lvlText w:val="o"/>
      <w:lvlJc w:val="left"/>
      <w:pPr>
        <w:ind w:left="1440" w:hanging="360"/>
      </w:pPr>
      <w:rPr>
        <w:rFonts w:ascii="Courier New" w:hAnsi="Courier New" w:hint="default"/>
      </w:rPr>
    </w:lvl>
    <w:lvl w:ilvl="2" w:tplc="4D901926">
      <w:start w:val="1"/>
      <w:numFmt w:val="bullet"/>
      <w:lvlText w:val=""/>
      <w:lvlJc w:val="left"/>
      <w:pPr>
        <w:ind w:left="2160" w:hanging="360"/>
      </w:pPr>
      <w:rPr>
        <w:rFonts w:ascii="Wingdings" w:hAnsi="Wingdings" w:hint="default"/>
      </w:rPr>
    </w:lvl>
    <w:lvl w:ilvl="3" w:tplc="307ED4F4">
      <w:start w:val="1"/>
      <w:numFmt w:val="bullet"/>
      <w:lvlText w:val=""/>
      <w:lvlJc w:val="left"/>
      <w:pPr>
        <w:ind w:left="2880" w:hanging="360"/>
      </w:pPr>
      <w:rPr>
        <w:rFonts w:ascii="Symbol" w:hAnsi="Symbol" w:hint="default"/>
      </w:rPr>
    </w:lvl>
    <w:lvl w:ilvl="4" w:tplc="0E648582">
      <w:start w:val="1"/>
      <w:numFmt w:val="bullet"/>
      <w:lvlText w:val="o"/>
      <w:lvlJc w:val="left"/>
      <w:pPr>
        <w:ind w:left="3600" w:hanging="360"/>
      </w:pPr>
      <w:rPr>
        <w:rFonts w:ascii="Courier New" w:hAnsi="Courier New" w:hint="default"/>
      </w:rPr>
    </w:lvl>
    <w:lvl w:ilvl="5" w:tplc="698A3616">
      <w:start w:val="1"/>
      <w:numFmt w:val="bullet"/>
      <w:lvlText w:val=""/>
      <w:lvlJc w:val="left"/>
      <w:pPr>
        <w:ind w:left="4320" w:hanging="360"/>
      </w:pPr>
      <w:rPr>
        <w:rFonts w:ascii="Wingdings" w:hAnsi="Wingdings" w:hint="default"/>
      </w:rPr>
    </w:lvl>
    <w:lvl w:ilvl="6" w:tplc="58124390">
      <w:start w:val="1"/>
      <w:numFmt w:val="bullet"/>
      <w:lvlText w:val=""/>
      <w:lvlJc w:val="left"/>
      <w:pPr>
        <w:ind w:left="5040" w:hanging="360"/>
      </w:pPr>
      <w:rPr>
        <w:rFonts w:ascii="Symbol" w:hAnsi="Symbol" w:hint="default"/>
      </w:rPr>
    </w:lvl>
    <w:lvl w:ilvl="7" w:tplc="51D495D6">
      <w:start w:val="1"/>
      <w:numFmt w:val="bullet"/>
      <w:lvlText w:val="o"/>
      <w:lvlJc w:val="left"/>
      <w:pPr>
        <w:ind w:left="5760" w:hanging="360"/>
      </w:pPr>
      <w:rPr>
        <w:rFonts w:ascii="Courier New" w:hAnsi="Courier New" w:hint="default"/>
      </w:rPr>
    </w:lvl>
    <w:lvl w:ilvl="8" w:tplc="CFBE3A3A">
      <w:start w:val="1"/>
      <w:numFmt w:val="bullet"/>
      <w:lvlText w:val=""/>
      <w:lvlJc w:val="left"/>
      <w:pPr>
        <w:ind w:left="6480" w:hanging="360"/>
      </w:pPr>
      <w:rPr>
        <w:rFonts w:ascii="Wingdings" w:hAnsi="Wingdings" w:hint="default"/>
      </w:rPr>
    </w:lvl>
  </w:abstractNum>
  <w:abstractNum w:abstractNumId="4" w15:restartNumberingAfterBreak="0">
    <w:nsid w:val="544EA6ED"/>
    <w:multiLevelType w:val="hybridMultilevel"/>
    <w:tmpl w:val="EAC884A4"/>
    <w:lvl w:ilvl="0" w:tplc="E638A070">
      <w:start w:val="1"/>
      <w:numFmt w:val="bullet"/>
      <w:lvlText w:val=""/>
      <w:lvlJc w:val="left"/>
      <w:pPr>
        <w:ind w:left="720" w:hanging="360"/>
      </w:pPr>
      <w:rPr>
        <w:rFonts w:ascii="Wingdings" w:hAnsi="Wingdings" w:hint="default"/>
      </w:rPr>
    </w:lvl>
    <w:lvl w:ilvl="1" w:tplc="5652DEA8">
      <w:start w:val="1"/>
      <w:numFmt w:val="bullet"/>
      <w:lvlText w:val="o"/>
      <w:lvlJc w:val="left"/>
      <w:pPr>
        <w:ind w:left="1440" w:hanging="360"/>
      </w:pPr>
      <w:rPr>
        <w:rFonts w:ascii="Courier New" w:hAnsi="Courier New" w:hint="default"/>
      </w:rPr>
    </w:lvl>
    <w:lvl w:ilvl="2" w:tplc="55ECCFD2">
      <w:start w:val="1"/>
      <w:numFmt w:val="bullet"/>
      <w:lvlText w:val=""/>
      <w:lvlJc w:val="left"/>
      <w:pPr>
        <w:ind w:left="2160" w:hanging="360"/>
      </w:pPr>
      <w:rPr>
        <w:rFonts w:ascii="Wingdings" w:hAnsi="Wingdings" w:hint="default"/>
      </w:rPr>
    </w:lvl>
    <w:lvl w:ilvl="3" w:tplc="2EC0E61A">
      <w:start w:val="1"/>
      <w:numFmt w:val="bullet"/>
      <w:lvlText w:val=""/>
      <w:lvlJc w:val="left"/>
      <w:pPr>
        <w:ind w:left="2880" w:hanging="360"/>
      </w:pPr>
      <w:rPr>
        <w:rFonts w:ascii="Symbol" w:hAnsi="Symbol" w:hint="default"/>
      </w:rPr>
    </w:lvl>
    <w:lvl w:ilvl="4" w:tplc="F6C6D33C">
      <w:start w:val="1"/>
      <w:numFmt w:val="bullet"/>
      <w:lvlText w:val="o"/>
      <w:lvlJc w:val="left"/>
      <w:pPr>
        <w:ind w:left="3600" w:hanging="360"/>
      </w:pPr>
      <w:rPr>
        <w:rFonts w:ascii="Courier New" w:hAnsi="Courier New" w:hint="default"/>
      </w:rPr>
    </w:lvl>
    <w:lvl w:ilvl="5" w:tplc="24CC1584">
      <w:start w:val="1"/>
      <w:numFmt w:val="bullet"/>
      <w:lvlText w:val=""/>
      <w:lvlJc w:val="left"/>
      <w:pPr>
        <w:ind w:left="4320" w:hanging="360"/>
      </w:pPr>
      <w:rPr>
        <w:rFonts w:ascii="Wingdings" w:hAnsi="Wingdings" w:hint="default"/>
      </w:rPr>
    </w:lvl>
    <w:lvl w:ilvl="6" w:tplc="CFB039AA">
      <w:start w:val="1"/>
      <w:numFmt w:val="bullet"/>
      <w:lvlText w:val=""/>
      <w:lvlJc w:val="left"/>
      <w:pPr>
        <w:ind w:left="5040" w:hanging="360"/>
      </w:pPr>
      <w:rPr>
        <w:rFonts w:ascii="Symbol" w:hAnsi="Symbol" w:hint="default"/>
      </w:rPr>
    </w:lvl>
    <w:lvl w:ilvl="7" w:tplc="B23881BE">
      <w:start w:val="1"/>
      <w:numFmt w:val="bullet"/>
      <w:lvlText w:val="o"/>
      <w:lvlJc w:val="left"/>
      <w:pPr>
        <w:ind w:left="5760" w:hanging="360"/>
      </w:pPr>
      <w:rPr>
        <w:rFonts w:ascii="Courier New" w:hAnsi="Courier New" w:hint="default"/>
      </w:rPr>
    </w:lvl>
    <w:lvl w:ilvl="8" w:tplc="F9B086D8">
      <w:start w:val="1"/>
      <w:numFmt w:val="bullet"/>
      <w:lvlText w:val=""/>
      <w:lvlJc w:val="left"/>
      <w:pPr>
        <w:ind w:left="6480" w:hanging="360"/>
      </w:pPr>
      <w:rPr>
        <w:rFonts w:ascii="Wingdings" w:hAnsi="Wingdings" w:hint="default"/>
      </w:rPr>
    </w:lvl>
  </w:abstractNum>
  <w:abstractNum w:abstractNumId="5" w15:restartNumberingAfterBreak="0">
    <w:nsid w:val="5AC85A94"/>
    <w:multiLevelType w:val="hybridMultilevel"/>
    <w:tmpl w:val="FFFFFFFF"/>
    <w:lvl w:ilvl="0" w:tplc="913AFC92">
      <w:start w:val="1"/>
      <w:numFmt w:val="bullet"/>
      <w:lvlText w:val=""/>
      <w:lvlJc w:val="left"/>
      <w:pPr>
        <w:ind w:left="720" w:hanging="360"/>
      </w:pPr>
      <w:rPr>
        <w:rFonts w:ascii="Wingdings" w:hAnsi="Wingdings" w:hint="default"/>
      </w:rPr>
    </w:lvl>
    <w:lvl w:ilvl="1" w:tplc="F8CEB9BA">
      <w:start w:val="1"/>
      <w:numFmt w:val="bullet"/>
      <w:lvlText w:val="o"/>
      <w:lvlJc w:val="left"/>
      <w:pPr>
        <w:ind w:left="1440" w:hanging="360"/>
      </w:pPr>
      <w:rPr>
        <w:rFonts w:ascii="Courier New" w:hAnsi="Courier New" w:hint="default"/>
      </w:rPr>
    </w:lvl>
    <w:lvl w:ilvl="2" w:tplc="C9D0A736">
      <w:start w:val="1"/>
      <w:numFmt w:val="bullet"/>
      <w:lvlText w:val=""/>
      <w:lvlJc w:val="left"/>
      <w:pPr>
        <w:ind w:left="2160" w:hanging="360"/>
      </w:pPr>
      <w:rPr>
        <w:rFonts w:ascii="Wingdings" w:hAnsi="Wingdings" w:hint="default"/>
      </w:rPr>
    </w:lvl>
    <w:lvl w:ilvl="3" w:tplc="4A4493FC">
      <w:start w:val="1"/>
      <w:numFmt w:val="bullet"/>
      <w:lvlText w:val=""/>
      <w:lvlJc w:val="left"/>
      <w:pPr>
        <w:ind w:left="2880" w:hanging="360"/>
      </w:pPr>
      <w:rPr>
        <w:rFonts w:ascii="Symbol" w:hAnsi="Symbol" w:hint="default"/>
      </w:rPr>
    </w:lvl>
    <w:lvl w:ilvl="4" w:tplc="D2602A0E">
      <w:start w:val="1"/>
      <w:numFmt w:val="bullet"/>
      <w:lvlText w:val="o"/>
      <w:lvlJc w:val="left"/>
      <w:pPr>
        <w:ind w:left="3600" w:hanging="360"/>
      </w:pPr>
      <w:rPr>
        <w:rFonts w:ascii="Courier New" w:hAnsi="Courier New" w:hint="default"/>
      </w:rPr>
    </w:lvl>
    <w:lvl w:ilvl="5" w:tplc="DA1053A2">
      <w:start w:val="1"/>
      <w:numFmt w:val="bullet"/>
      <w:lvlText w:val=""/>
      <w:lvlJc w:val="left"/>
      <w:pPr>
        <w:ind w:left="4320" w:hanging="360"/>
      </w:pPr>
      <w:rPr>
        <w:rFonts w:ascii="Wingdings" w:hAnsi="Wingdings" w:hint="default"/>
      </w:rPr>
    </w:lvl>
    <w:lvl w:ilvl="6" w:tplc="CBE0E2E0">
      <w:start w:val="1"/>
      <w:numFmt w:val="bullet"/>
      <w:lvlText w:val=""/>
      <w:lvlJc w:val="left"/>
      <w:pPr>
        <w:ind w:left="5040" w:hanging="360"/>
      </w:pPr>
      <w:rPr>
        <w:rFonts w:ascii="Symbol" w:hAnsi="Symbol" w:hint="default"/>
      </w:rPr>
    </w:lvl>
    <w:lvl w:ilvl="7" w:tplc="3D66C0F6">
      <w:start w:val="1"/>
      <w:numFmt w:val="bullet"/>
      <w:lvlText w:val="o"/>
      <w:lvlJc w:val="left"/>
      <w:pPr>
        <w:ind w:left="5760" w:hanging="360"/>
      </w:pPr>
      <w:rPr>
        <w:rFonts w:ascii="Courier New" w:hAnsi="Courier New" w:hint="default"/>
      </w:rPr>
    </w:lvl>
    <w:lvl w:ilvl="8" w:tplc="32EACBAC">
      <w:start w:val="1"/>
      <w:numFmt w:val="bullet"/>
      <w:lvlText w:val=""/>
      <w:lvlJc w:val="left"/>
      <w:pPr>
        <w:ind w:left="6480" w:hanging="360"/>
      </w:pPr>
      <w:rPr>
        <w:rFonts w:ascii="Wingdings" w:hAnsi="Wingdings" w:hint="default"/>
      </w:rPr>
    </w:lvl>
  </w:abstractNum>
  <w:abstractNum w:abstractNumId="6" w15:restartNumberingAfterBreak="0">
    <w:nsid w:val="5D7F78E8"/>
    <w:multiLevelType w:val="hybridMultilevel"/>
    <w:tmpl w:val="FFFFFFFF"/>
    <w:lvl w:ilvl="0" w:tplc="0296A39C">
      <w:start w:val="1"/>
      <w:numFmt w:val="bullet"/>
      <w:lvlText w:val=""/>
      <w:lvlJc w:val="left"/>
      <w:pPr>
        <w:ind w:left="720" w:hanging="360"/>
      </w:pPr>
      <w:rPr>
        <w:rFonts w:ascii="Wingdings" w:hAnsi="Wingdings" w:hint="default"/>
      </w:rPr>
    </w:lvl>
    <w:lvl w:ilvl="1" w:tplc="202EFE86">
      <w:start w:val="1"/>
      <w:numFmt w:val="bullet"/>
      <w:lvlText w:val="o"/>
      <w:lvlJc w:val="left"/>
      <w:pPr>
        <w:ind w:left="1440" w:hanging="360"/>
      </w:pPr>
      <w:rPr>
        <w:rFonts w:ascii="Courier New" w:hAnsi="Courier New" w:hint="default"/>
      </w:rPr>
    </w:lvl>
    <w:lvl w:ilvl="2" w:tplc="0F3E1F18">
      <w:start w:val="1"/>
      <w:numFmt w:val="bullet"/>
      <w:lvlText w:val=""/>
      <w:lvlJc w:val="left"/>
      <w:pPr>
        <w:ind w:left="2160" w:hanging="360"/>
      </w:pPr>
      <w:rPr>
        <w:rFonts w:ascii="Wingdings" w:hAnsi="Wingdings" w:hint="default"/>
      </w:rPr>
    </w:lvl>
    <w:lvl w:ilvl="3" w:tplc="3DE271A6">
      <w:start w:val="1"/>
      <w:numFmt w:val="bullet"/>
      <w:lvlText w:val=""/>
      <w:lvlJc w:val="left"/>
      <w:pPr>
        <w:ind w:left="2880" w:hanging="360"/>
      </w:pPr>
      <w:rPr>
        <w:rFonts w:ascii="Symbol" w:hAnsi="Symbol" w:hint="default"/>
      </w:rPr>
    </w:lvl>
    <w:lvl w:ilvl="4" w:tplc="6BDC3D14">
      <w:start w:val="1"/>
      <w:numFmt w:val="bullet"/>
      <w:lvlText w:val="o"/>
      <w:lvlJc w:val="left"/>
      <w:pPr>
        <w:ind w:left="3600" w:hanging="360"/>
      </w:pPr>
      <w:rPr>
        <w:rFonts w:ascii="Courier New" w:hAnsi="Courier New" w:hint="default"/>
      </w:rPr>
    </w:lvl>
    <w:lvl w:ilvl="5" w:tplc="86BC655C">
      <w:start w:val="1"/>
      <w:numFmt w:val="bullet"/>
      <w:lvlText w:val=""/>
      <w:lvlJc w:val="left"/>
      <w:pPr>
        <w:ind w:left="4320" w:hanging="360"/>
      </w:pPr>
      <w:rPr>
        <w:rFonts w:ascii="Wingdings" w:hAnsi="Wingdings" w:hint="default"/>
      </w:rPr>
    </w:lvl>
    <w:lvl w:ilvl="6" w:tplc="059694CA">
      <w:start w:val="1"/>
      <w:numFmt w:val="bullet"/>
      <w:lvlText w:val=""/>
      <w:lvlJc w:val="left"/>
      <w:pPr>
        <w:ind w:left="5040" w:hanging="360"/>
      </w:pPr>
      <w:rPr>
        <w:rFonts w:ascii="Symbol" w:hAnsi="Symbol" w:hint="default"/>
      </w:rPr>
    </w:lvl>
    <w:lvl w:ilvl="7" w:tplc="85FC84AC">
      <w:start w:val="1"/>
      <w:numFmt w:val="bullet"/>
      <w:lvlText w:val="o"/>
      <w:lvlJc w:val="left"/>
      <w:pPr>
        <w:ind w:left="5760" w:hanging="360"/>
      </w:pPr>
      <w:rPr>
        <w:rFonts w:ascii="Courier New" w:hAnsi="Courier New" w:hint="default"/>
      </w:rPr>
    </w:lvl>
    <w:lvl w:ilvl="8" w:tplc="4818212C">
      <w:start w:val="1"/>
      <w:numFmt w:val="bullet"/>
      <w:lvlText w:val=""/>
      <w:lvlJc w:val="left"/>
      <w:pPr>
        <w:ind w:left="6480" w:hanging="360"/>
      </w:pPr>
      <w:rPr>
        <w:rFonts w:ascii="Wingdings" w:hAnsi="Wingdings" w:hint="default"/>
      </w:rPr>
    </w:lvl>
  </w:abstractNum>
  <w:abstractNum w:abstractNumId="7" w15:restartNumberingAfterBreak="0">
    <w:nsid w:val="5DF94B6D"/>
    <w:multiLevelType w:val="hybridMultilevel"/>
    <w:tmpl w:val="FFFFFFFF"/>
    <w:lvl w:ilvl="0" w:tplc="76C03E08">
      <w:start w:val="1"/>
      <w:numFmt w:val="bullet"/>
      <w:lvlText w:val=""/>
      <w:lvlJc w:val="left"/>
      <w:pPr>
        <w:ind w:left="720" w:hanging="360"/>
      </w:pPr>
      <w:rPr>
        <w:rFonts w:ascii="Wingdings" w:hAnsi="Wingdings" w:hint="default"/>
      </w:rPr>
    </w:lvl>
    <w:lvl w:ilvl="1" w:tplc="2A86B9BC">
      <w:start w:val="1"/>
      <w:numFmt w:val="bullet"/>
      <w:lvlText w:val="o"/>
      <w:lvlJc w:val="left"/>
      <w:pPr>
        <w:ind w:left="1440" w:hanging="360"/>
      </w:pPr>
      <w:rPr>
        <w:rFonts w:ascii="Courier New" w:hAnsi="Courier New" w:hint="default"/>
      </w:rPr>
    </w:lvl>
    <w:lvl w:ilvl="2" w:tplc="FE84B0B0">
      <w:start w:val="1"/>
      <w:numFmt w:val="bullet"/>
      <w:lvlText w:val=""/>
      <w:lvlJc w:val="left"/>
      <w:pPr>
        <w:ind w:left="2160" w:hanging="360"/>
      </w:pPr>
      <w:rPr>
        <w:rFonts w:ascii="Wingdings" w:hAnsi="Wingdings" w:hint="default"/>
      </w:rPr>
    </w:lvl>
    <w:lvl w:ilvl="3" w:tplc="C9B004A2">
      <w:start w:val="1"/>
      <w:numFmt w:val="bullet"/>
      <w:lvlText w:val=""/>
      <w:lvlJc w:val="left"/>
      <w:pPr>
        <w:ind w:left="2880" w:hanging="360"/>
      </w:pPr>
      <w:rPr>
        <w:rFonts w:ascii="Symbol" w:hAnsi="Symbol" w:hint="default"/>
      </w:rPr>
    </w:lvl>
    <w:lvl w:ilvl="4" w:tplc="1E86503C">
      <w:start w:val="1"/>
      <w:numFmt w:val="bullet"/>
      <w:lvlText w:val="o"/>
      <w:lvlJc w:val="left"/>
      <w:pPr>
        <w:ind w:left="3600" w:hanging="360"/>
      </w:pPr>
      <w:rPr>
        <w:rFonts w:ascii="Courier New" w:hAnsi="Courier New" w:hint="default"/>
      </w:rPr>
    </w:lvl>
    <w:lvl w:ilvl="5" w:tplc="77A68F44">
      <w:start w:val="1"/>
      <w:numFmt w:val="bullet"/>
      <w:lvlText w:val=""/>
      <w:lvlJc w:val="left"/>
      <w:pPr>
        <w:ind w:left="4320" w:hanging="360"/>
      </w:pPr>
      <w:rPr>
        <w:rFonts w:ascii="Wingdings" w:hAnsi="Wingdings" w:hint="default"/>
      </w:rPr>
    </w:lvl>
    <w:lvl w:ilvl="6" w:tplc="AE7096D4">
      <w:start w:val="1"/>
      <w:numFmt w:val="bullet"/>
      <w:lvlText w:val=""/>
      <w:lvlJc w:val="left"/>
      <w:pPr>
        <w:ind w:left="5040" w:hanging="360"/>
      </w:pPr>
      <w:rPr>
        <w:rFonts w:ascii="Symbol" w:hAnsi="Symbol" w:hint="default"/>
      </w:rPr>
    </w:lvl>
    <w:lvl w:ilvl="7" w:tplc="DEC4B30C">
      <w:start w:val="1"/>
      <w:numFmt w:val="bullet"/>
      <w:lvlText w:val="o"/>
      <w:lvlJc w:val="left"/>
      <w:pPr>
        <w:ind w:left="5760" w:hanging="360"/>
      </w:pPr>
      <w:rPr>
        <w:rFonts w:ascii="Courier New" w:hAnsi="Courier New" w:hint="default"/>
      </w:rPr>
    </w:lvl>
    <w:lvl w:ilvl="8" w:tplc="727CA21A">
      <w:start w:val="1"/>
      <w:numFmt w:val="bullet"/>
      <w:lvlText w:val=""/>
      <w:lvlJc w:val="left"/>
      <w:pPr>
        <w:ind w:left="6480" w:hanging="360"/>
      </w:pPr>
      <w:rPr>
        <w:rFonts w:ascii="Wingdings" w:hAnsi="Wingdings" w:hint="default"/>
      </w:rPr>
    </w:lvl>
  </w:abstractNum>
  <w:abstractNum w:abstractNumId="8" w15:restartNumberingAfterBreak="0">
    <w:nsid w:val="6AFB7B75"/>
    <w:multiLevelType w:val="hybridMultilevel"/>
    <w:tmpl w:val="F73C7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0DFE72"/>
    <w:multiLevelType w:val="hybridMultilevel"/>
    <w:tmpl w:val="FFFFFFFF"/>
    <w:lvl w:ilvl="0" w:tplc="6CB28B30">
      <w:start w:val="1"/>
      <w:numFmt w:val="bullet"/>
      <w:lvlText w:val=""/>
      <w:lvlJc w:val="left"/>
      <w:pPr>
        <w:ind w:left="720" w:hanging="360"/>
      </w:pPr>
      <w:rPr>
        <w:rFonts w:ascii="Wingdings" w:hAnsi="Wingdings" w:hint="default"/>
      </w:rPr>
    </w:lvl>
    <w:lvl w:ilvl="1" w:tplc="1C646AF6">
      <w:start w:val="1"/>
      <w:numFmt w:val="bullet"/>
      <w:lvlText w:val="o"/>
      <w:lvlJc w:val="left"/>
      <w:pPr>
        <w:ind w:left="1440" w:hanging="360"/>
      </w:pPr>
      <w:rPr>
        <w:rFonts w:ascii="Courier New" w:hAnsi="Courier New" w:hint="default"/>
      </w:rPr>
    </w:lvl>
    <w:lvl w:ilvl="2" w:tplc="F8D24D20">
      <w:start w:val="1"/>
      <w:numFmt w:val="bullet"/>
      <w:lvlText w:val=""/>
      <w:lvlJc w:val="left"/>
      <w:pPr>
        <w:ind w:left="2160" w:hanging="360"/>
      </w:pPr>
      <w:rPr>
        <w:rFonts w:ascii="Wingdings" w:hAnsi="Wingdings" w:hint="default"/>
      </w:rPr>
    </w:lvl>
    <w:lvl w:ilvl="3" w:tplc="4F12DAFC">
      <w:start w:val="1"/>
      <w:numFmt w:val="bullet"/>
      <w:lvlText w:val=""/>
      <w:lvlJc w:val="left"/>
      <w:pPr>
        <w:ind w:left="2880" w:hanging="360"/>
      </w:pPr>
      <w:rPr>
        <w:rFonts w:ascii="Symbol" w:hAnsi="Symbol" w:hint="default"/>
      </w:rPr>
    </w:lvl>
    <w:lvl w:ilvl="4" w:tplc="B8FC2CD0">
      <w:start w:val="1"/>
      <w:numFmt w:val="bullet"/>
      <w:lvlText w:val="o"/>
      <w:lvlJc w:val="left"/>
      <w:pPr>
        <w:ind w:left="3600" w:hanging="360"/>
      </w:pPr>
      <w:rPr>
        <w:rFonts w:ascii="Courier New" w:hAnsi="Courier New" w:hint="default"/>
      </w:rPr>
    </w:lvl>
    <w:lvl w:ilvl="5" w:tplc="9D6A8486">
      <w:start w:val="1"/>
      <w:numFmt w:val="bullet"/>
      <w:lvlText w:val=""/>
      <w:lvlJc w:val="left"/>
      <w:pPr>
        <w:ind w:left="4320" w:hanging="360"/>
      </w:pPr>
      <w:rPr>
        <w:rFonts w:ascii="Wingdings" w:hAnsi="Wingdings" w:hint="default"/>
      </w:rPr>
    </w:lvl>
    <w:lvl w:ilvl="6" w:tplc="6FF2278C">
      <w:start w:val="1"/>
      <w:numFmt w:val="bullet"/>
      <w:lvlText w:val=""/>
      <w:lvlJc w:val="left"/>
      <w:pPr>
        <w:ind w:left="5040" w:hanging="360"/>
      </w:pPr>
      <w:rPr>
        <w:rFonts w:ascii="Symbol" w:hAnsi="Symbol" w:hint="default"/>
      </w:rPr>
    </w:lvl>
    <w:lvl w:ilvl="7" w:tplc="A9A6DDB6">
      <w:start w:val="1"/>
      <w:numFmt w:val="bullet"/>
      <w:lvlText w:val="o"/>
      <w:lvlJc w:val="left"/>
      <w:pPr>
        <w:ind w:left="5760" w:hanging="360"/>
      </w:pPr>
      <w:rPr>
        <w:rFonts w:ascii="Courier New" w:hAnsi="Courier New" w:hint="default"/>
      </w:rPr>
    </w:lvl>
    <w:lvl w:ilvl="8" w:tplc="10528774">
      <w:start w:val="1"/>
      <w:numFmt w:val="bullet"/>
      <w:lvlText w:val=""/>
      <w:lvlJc w:val="left"/>
      <w:pPr>
        <w:ind w:left="6480" w:hanging="360"/>
      </w:pPr>
      <w:rPr>
        <w:rFonts w:ascii="Wingdings" w:hAnsi="Wingdings" w:hint="default"/>
      </w:rPr>
    </w:lvl>
  </w:abstractNum>
  <w:abstractNum w:abstractNumId="10" w15:restartNumberingAfterBreak="0">
    <w:nsid w:val="71A64569"/>
    <w:multiLevelType w:val="hybridMultilevel"/>
    <w:tmpl w:val="17CAF8D2"/>
    <w:lvl w:ilvl="0" w:tplc="4BDA4598">
      <w:start w:val="1"/>
      <w:numFmt w:val="decimal"/>
      <w:lvlText w:val="%1."/>
      <w:lvlJc w:val="left"/>
      <w:pPr>
        <w:ind w:left="360" w:hanging="360"/>
      </w:pPr>
      <w:rPr>
        <w:rFonts w:hint="default"/>
        <w:b/>
        <w:bCs/>
        <w:sz w:val="24"/>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7DBA874"/>
    <w:multiLevelType w:val="hybridMultilevel"/>
    <w:tmpl w:val="0C08EFF8"/>
    <w:lvl w:ilvl="0" w:tplc="BECE9F30">
      <w:start w:val="1"/>
      <w:numFmt w:val="bullet"/>
      <w:lvlText w:val=""/>
      <w:lvlJc w:val="left"/>
      <w:pPr>
        <w:ind w:left="720" w:hanging="360"/>
      </w:pPr>
      <w:rPr>
        <w:rFonts w:ascii="Wingdings" w:hAnsi="Wingdings" w:hint="default"/>
      </w:rPr>
    </w:lvl>
    <w:lvl w:ilvl="1" w:tplc="88ACA586">
      <w:start w:val="1"/>
      <w:numFmt w:val="bullet"/>
      <w:lvlText w:val="o"/>
      <w:lvlJc w:val="left"/>
      <w:pPr>
        <w:ind w:left="1440" w:hanging="360"/>
      </w:pPr>
      <w:rPr>
        <w:rFonts w:ascii="Courier New" w:hAnsi="Courier New" w:hint="default"/>
      </w:rPr>
    </w:lvl>
    <w:lvl w:ilvl="2" w:tplc="9C66621A">
      <w:start w:val="1"/>
      <w:numFmt w:val="bullet"/>
      <w:lvlText w:val=""/>
      <w:lvlJc w:val="left"/>
      <w:pPr>
        <w:ind w:left="2160" w:hanging="360"/>
      </w:pPr>
      <w:rPr>
        <w:rFonts w:ascii="Wingdings" w:hAnsi="Wingdings" w:hint="default"/>
      </w:rPr>
    </w:lvl>
    <w:lvl w:ilvl="3" w:tplc="1E78572C">
      <w:start w:val="1"/>
      <w:numFmt w:val="bullet"/>
      <w:lvlText w:val=""/>
      <w:lvlJc w:val="left"/>
      <w:pPr>
        <w:ind w:left="2880" w:hanging="360"/>
      </w:pPr>
      <w:rPr>
        <w:rFonts w:ascii="Symbol" w:hAnsi="Symbol" w:hint="default"/>
      </w:rPr>
    </w:lvl>
    <w:lvl w:ilvl="4" w:tplc="C4963868">
      <w:start w:val="1"/>
      <w:numFmt w:val="bullet"/>
      <w:lvlText w:val="o"/>
      <w:lvlJc w:val="left"/>
      <w:pPr>
        <w:ind w:left="3600" w:hanging="360"/>
      </w:pPr>
      <w:rPr>
        <w:rFonts w:ascii="Courier New" w:hAnsi="Courier New" w:hint="default"/>
      </w:rPr>
    </w:lvl>
    <w:lvl w:ilvl="5" w:tplc="5D0E5950">
      <w:start w:val="1"/>
      <w:numFmt w:val="bullet"/>
      <w:lvlText w:val=""/>
      <w:lvlJc w:val="left"/>
      <w:pPr>
        <w:ind w:left="4320" w:hanging="360"/>
      </w:pPr>
      <w:rPr>
        <w:rFonts w:ascii="Wingdings" w:hAnsi="Wingdings" w:hint="default"/>
      </w:rPr>
    </w:lvl>
    <w:lvl w:ilvl="6" w:tplc="D034D1D6">
      <w:start w:val="1"/>
      <w:numFmt w:val="bullet"/>
      <w:lvlText w:val=""/>
      <w:lvlJc w:val="left"/>
      <w:pPr>
        <w:ind w:left="5040" w:hanging="360"/>
      </w:pPr>
      <w:rPr>
        <w:rFonts w:ascii="Symbol" w:hAnsi="Symbol" w:hint="default"/>
      </w:rPr>
    </w:lvl>
    <w:lvl w:ilvl="7" w:tplc="8B3E6BA6">
      <w:start w:val="1"/>
      <w:numFmt w:val="bullet"/>
      <w:lvlText w:val="o"/>
      <w:lvlJc w:val="left"/>
      <w:pPr>
        <w:ind w:left="5760" w:hanging="360"/>
      </w:pPr>
      <w:rPr>
        <w:rFonts w:ascii="Courier New" w:hAnsi="Courier New" w:hint="default"/>
      </w:rPr>
    </w:lvl>
    <w:lvl w:ilvl="8" w:tplc="1DBACE1E">
      <w:start w:val="1"/>
      <w:numFmt w:val="bullet"/>
      <w:lvlText w:val=""/>
      <w:lvlJc w:val="left"/>
      <w:pPr>
        <w:ind w:left="6480" w:hanging="360"/>
      </w:pPr>
      <w:rPr>
        <w:rFonts w:ascii="Wingdings" w:hAnsi="Wingdings" w:hint="default"/>
      </w:rPr>
    </w:lvl>
  </w:abstractNum>
  <w:abstractNum w:abstractNumId="12" w15:restartNumberingAfterBreak="0">
    <w:nsid w:val="7F857462"/>
    <w:multiLevelType w:val="hybridMultilevel"/>
    <w:tmpl w:val="A2E0F36C"/>
    <w:lvl w:ilvl="0" w:tplc="044AD790">
      <w:start w:val="1"/>
      <w:numFmt w:val="bullet"/>
      <w:lvlText w:val=""/>
      <w:lvlJc w:val="left"/>
      <w:pPr>
        <w:ind w:left="720" w:hanging="360"/>
      </w:pPr>
      <w:rPr>
        <w:rFonts w:ascii="Wingdings" w:hAnsi="Wingdings" w:hint="default"/>
      </w:rPr>
    </w:lvl>
    <w:lvl w:ilvl="1" w:tplc="602612BC">
      <w:start w:val="1"/>
      <w:numFmt w:val="bullet"/>
      <w:lvlText w:val="o"/>
      <w:lvlJc w:val="left"/>
      <w:pPr>
        <w:ind w:left="1440" w:hanging="360"/>
      </w:pPr>
      <w:rPr>
        <w:rFonts w:ascii="Courier New" w:hAnsi="Courier New" w:hint="default"/>
      </w:rPr>
    </w:lvl>
    <w:lvl w:ilvl="2" w:tplc="13644B7C">
      <w:start w:val="1"/>
      <w:numFmt w:val="bullet"/>
      <w:lvlText w:val=""/>
      <w:lvlJc w:val="left"/>
      <w:pPr>
        <w:ind w:left="2160" w:hanging="360"/>
      </w:pPr>
      <w:rPr>
        <w:rFonts w:ascii="Wingdings" w:hAnsi="Wingdings" w:hint="default"/>
      </w:rPr>
    </w:lvl>
    <w:lvl w:ilvl="3" w:tplc="63D8A9B8">
      <w:start w:val="1"/>
      <w:numFmt w:val="bullet"/>
      <w:lvlText w:val=""/>
      <w:lvlJc w:val="left"/>
      <w:pPr>
        <w:ind w:left="2880" w:hanging="360"/>
      </w:pPr>
      <w:rPr>
        <w:rFonts w:ascii="Symbol" w:hAnsi="Symbol" w:hint="default"/>
      </w:rPr>
    </w:lvl>
    <w:lvl w:ilvl="4" w:tplc="AD16B24C">
      <w:start w:val="1"/>
      <w:numFmt w:val="bullet"/>
      <w:lvlText w:val="o"/>
      <w:lvlJc w:val="left"/>
      <w:pPr>
        <w:ind w:left="3600" w:hanging="360"/>
      </w:pPr>
      <w:rPr>
        <w:rFonts w:ascii="Courier New" w:hAnsi="Courier New" w:hint="default"/>
      </w:rPr>
    </w:lvl>
    <w:lvl w:ilvl="5" w:tplc="B148B3EA">
      <w:start w:val="1"/>
      <w:numFmt w:val="bullet"/>
      <w:lvlText w:val=""/>
      <w:lvlJc w:val="left"/>
      <w:pPr>
        <w:ind w:left="4320" w:hanging="360"/>
      </w:pPr>
      <w:rPr>
        <w:rFonts w:ascii="Wingdings" w:hAnsi="Wingdings" w:hint="default"/>
      </w:rPr>
    </w:lvl>
    <w:lvl w:ilvl="6" w:tplc="C868AFF6">
      <w:start w:val="1"/>
      <w:numFmt w:val="bullet"/>
      <w:lvlText w:val=""/>
      <w:lvlJc w:val="left"/>
      <w:pPr>
        <w:ind w:left="5040" w:hanging="360"/>
      </w:pPr>
      <w:rPr>
        <w:rFonts w:ascii="Symbol" w:hAnsi="Symbol" w:hint="default"/>
      </w:rPr>
    </w:lvl>
    <w:lvl w:ilvl="7" w:tplc="257A43F0">
      <w:start w:val="1"/>
      <w:numFmt w:val="bullet"/>
      <w:lvlText w:val="o"/>
      <w:lvlJc w:val="left"/>
      <w:pPr>
        <w:ind w:left="5760" w:hanging="360"/>
      </w:pPr>
      <w:rPr>
        <w:rFonts w:ascii="Courier New" w:hAnsi="Courier New" w:hint="default"/>
      </w:rPr>
    </w:lvl>
    <w:lvl w:ilvl="8" w:tplc="D73216A6">
      <w:start w:val="1"/>
      <w:numFmt w:val="bullet"/>
      <w:lvlText w:val=""/>
      <w:lvlJc w:val="left"/>
      <w:pPr>
        <w:ind w:left="6480" w:hanging="360"/>
      </w:pPr>
      <w:rPr>
        <w:rFonts w:ascii="Wingdings" w:hAnsi="Wingdings" w:hint="default"/>
      </w:rPr>
    </w:lvl>
  </w:abstractNum>
  <w:num w:numId="1" w16cid:durableId="1794977770">
    <w:abstractNumId w:val="4"/>
  </w:num>
  <w:num w:numId="2" w16cid:durableId="118574336">
    <w:abstractNumId w:val="12"/>
  </w:num>
  <w:num w:numId="3" w16cid:durableId="1059280820">
    <w:abstractNumId w:val="1"/>
  </w:num>
  <w:num w:numId="4" w16cid:durableId="1758089270">
    <w:abstractNumId w:val="2"/>
  </w:num>
  <w:num w:numId="5" w16cid:durableId="1539665149">
    <w:abstractNumId w:val="3"/>
  </w:num>
  <w:num w:numId="6" w16cid:durableId="1722629175">
    <w:abstractNumId w:val="5"/>
  </w:num>
  <w:num w:numId="7" w16cid:durableId="503667147">
    <w:abstractNumId w:val="9"/>
  </w:num>
  <w:num w:numId="8" w16cid:durableId="1848785753">
    <w:abstractNumId w:val="0"/>
  </w:num>
  <w:num w:numId="9" w16cid:durableId="1954743883">
    <w:abstractNumId w:val="6"/>
  </w:num>
  <w:num w:numId="10" w16cid:durableId="2012249285">
    <w:abstractNumId w:val="7"/>
  </w:num>
  <w:num w:numId="11" w16cid:durableId="448864646">
    <w:abstractNumId w:val="11"/>
  </w:num>
  <w:num w:numId="12" w16cid:durableId="1667171786">
    <w:abstractNumId w:val="8"/>
  </w:num>
  <w:num w:numId="13" w16cid:durableId="19815756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A3"/>
    <w:rsid w:val="000007D1"/>
    <w:rsid w:val="0006007D"/>
    <w:rsid w:val="00093EEB"/>
    <w:rsid w:val="000A7405"/>
    <w:rsid w:val="000B0D00"/>
    <w:rsid w:val="000B7C15"/>
    <w:rsid w:val="000D1D0F"/>
    <w:rsid w:val="000E3F07"/>
    <w:rsid w:val="000F5290"/>
    <w:rsid w:val="0010165C"/>
    <w:rsid w:val="00120920"/>
    <w:rsid w:val="00146BFB"/>
    <w:rsid w:val="001559F5"/>
    <w:rsid w:val="00157AC4"/>
    <w:rsid w:val="0016169C"/>
    <w:rsid w:val="001B0880"/>
    <w:rsid w:val="001B6E2B"/>
    <w:rsid w:val="001B6E7B"/>
    <w:rsid w:val="001F14A2"/>
    <w:rsid w:val="001F7FEA"/>
    <w:rsid w:val="002801AA"/>
    <w:rsid w:val="00281D7B"/>
    <w:rsid w:val="002946E2"/>
    <w:rsid w:val="002A40A3"/>
    <w:rsid w:val="002B2A3F"/>
    <w:rsid w:val="002C3F32"/>
    <w:rsid w:val="002C4676"/>
    <w:rsid w:val="002C6991"/>
    <w:rsid w:val="002C70B0"/>
    <w:rsid w:val="002E35AA"/>
    <w:rsid w:val="002F3CC4"/>
    <w:rsid w:val="002F5980"/>
    <w:rsid w:val="003032E2"/>
    <w:rsid w:val="0031300A"/>
    <w:rsid w:val="003273A4"/>
    <w:rsid w:val="0034796E"/>
    <w:rsid w:val="003C464D"/>
    <w:rsid w:val="0044479A"/>
    <w:rsid w:val="00473962"/>
    <w:rsid w:val="004B5D49"/>
    <w:rsid w:val="004D3A3C"/>
    <w:rsid w:val="00513630"/>
    <w:rsid w:val="00560125"/>
    <w:rsid w:val="00585553"/>
    <w:rsid w:val="00596901"/>
    <w:rsid w:val="005B3432"/>
    <w:rsid w:val="005B34D9"/>
    <w:rsid w:val="005D0CCF"/>
    <w:rsid w:val="005F3BCB"/>
    <w:rsid w:val="005F410F"/>
    <w:rsid w:val="0060149A"/>
    <w:rsid w:val="00601924"/>
    <w:rsid w:val="006447EA"/>
    <w:rsid w:val="0064481D"/>
    <w:rsid w:val="0064731F"/>
    <w:rsid w:val="00664572"/>
    <w:rsid w:val="00666D09"/>
    <w:rsid w:val="006710F6"/>
    <w:rsid w:val="00677A97"/>
    <w:rsid w:val="006C1B56"/>
    <w:rsid w:val="006D4761"/>
    <w:rsid w:val="006F1237"/>
    <w:rsid w:val="00726872"/>
    <w:rsid w:val="00760F1C"/>
    <w:rsid w:val="007657F0"/>
    <w:rsid w:val="0077110E"/>
    <w:rsid w:val="007721FB"/>
    <w:rsid w:val="0077252D"/>
    <w:rsid w:val="007955DA"/>
    <w:rsid w:val="007978E1"/>
    <w:rsid w:val="007E5DD3"/>
    <w:rsid w:val="007F350B"/>
    <w:rsid w:val="00820BE4"/>
    <w:rsid w:val="008451E8"/>
    <w:rsid w:val="008876D2"/>
    <w:rsid w:val="008F6ABC"/>
    <w:rsid w:val="0090559A"/>
    <w:rsid w:val="00913B9C"/>
    <w:rsid w:val="00927F93"/>
    <w:rsid w:val="00956E77"/>
    <w:rsid w:val="00991C95"/>
    <w:rsid w:val="009A338E"/>
    <w:rsid w:val="009C2224"/>
    <w:rsid w:val="009F4811"/>
    <w:rsid w:val="00A359FD"/>
    <w:rsid w:val="00A94438"/>
    <w:rsid w:val="00AA390C"/>
    <w:rsid w:val="00B0200A"/>
    <w:rsid w:val="00B03001"/>
    <w:rsid w:val="00B060DF"/>
    <w:rsid w:val="00B0749F"/>
    <w:rsid w:val="00B574DB"/>
    <w:rsid w:val="00B826C2"/>
    <w:rsid w:val="00B8298E"/>
    <w:rsid w:val="00B9510B"/>
    <w:rsid w:val="00B9670B"/>
    <w:rsid w:val="00BB6FD8"/>
    <w:rsid w:val="00BD0723"/>
    <w:rsid w:val="00BD2518"/>
    <w:rsid w:val="00BE346E"/>
    <w:rsid w:val="00BF1D1C"/>
    <w:rsid w:val="00BF7E2B"/>
    <w:rsid w:val="00C20C59"/>
    <w:rsid w:val="00C2727F"/>
    <w:rsid w:val="00C538FC"/>
    <w:rsid w:val="00C55B1F"/>
    <w:rsid w:val="00C712CC"/>
    <w:rsid w:val="00C95542"/>
    <w:rsid w:val="00C9730D"/>
    <w:rsid w:val="00CE647A"/>
    <w:rsid w:val="00CF0B14"/>
    <w:rsid w:val="00CF1A67"/>
    <w:rsid w:val="00CF4942"/>
    <w:rsid w:val="00CF56D8"/>
    <w:rsid w:val="00D2750E"/>
    <w:rsid w:val="00D375E0"/>
    <w:rsid w:val="00D50A36"/>
    <w:rsid w:val="00D62446"/>
    <w:rsid w:val="00D756A6"/>
    <w:rsid w:val="00D95B34"/>
    <w:rsid w:val="00DA4EA2"/>
    <w:rsid w:val="00DC3D3E"/>
    <w:rsid w:val="00DE2C90"/>
    <w:rsid w:val="00DE3B24"/>
    <w:rsid w:val="00E06947"/>
    <w:rsid w:val="00E11319"/>
    <w:rsid w:val="00E21444"/>
    <w:rsid w:val="00E34072"/>
    <w:rsid w:val="00E3592D"/>
    <w:rsid w:val="00E50D76"/>
    <w:rsid w:val="00E53CE1"/>
    <w:rsid w:val="00E8018B"/>
    <w:rsid w:val="00E92DE8"/>
    <w:rsid w:val="00EB1212"/>
    <w:rsid w:val="00ED65AB"/>
    <w:rsid w:val="00F121A8"/>
    <w:rsid w:val="00F12850"/>
    <w:rsid w:val="00F24B71"/>
    <w:rsid w:val="00F32485"/>
    <w:rsid w:val="00F33BF4"/>
    <w:rsid w:val="00F426DC"/>
    <w:rsid w:val="00F7105E"/>
    <w:rsid w:val="00F75F57"/>
    <w:rsid w:val="00F82FEE"/>
    <w:rsid w:val="00F92BED"/>
    <w:rsid w:val="00FB3A45"/>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BB74C"/>
  <w15:docId w15:val="{1709BB64-4EC5-48A1-A078-ABA919C2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2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Title1"/>
    <w:qFormat/>
    <w:rsid w:val="00F92BED"/>
    <w:pPr>
      <w:framePr w:hSpace="181" w:wrap="around" w:vAnchor="page" w:hAnchor="page" w:x="1821" w:y="2314"/>
      <w:spacing w:before="120" w:after="160"/>
      <w:jc w:val="left"/>
    </w:pPr>
    <w:rPr>
      <w:rFonts w:cstheme="minorHAnsi"/>
      <w:caps w:val="0"/>
      <w:sz w:val="32"/>
      <w:szCs w:val="32"/>
    </w:rPr>
  </w:style>
  <w:style w:type="character" w:customStyle="1" w:styleId="HeaderChar">
    <w:name w:val="Header Char"/>
    <w:basedOn w:val="DefaultParagraphFont"/>
    <w:link w:val="Header"/>
    <w:uiPriority w:val="99"/>
    <w:rsid w:val="001559F5"/>
    <w:rPr>
      <w:rFonts w:ascii="Calibri" w:hAnsi="Calibri"/>
      <w:sz w:val="18"/>
      <w:lang w:val="es-ES_tradnl" w:eastAsia="en-US"/>
    </w:rPr>
  </w:style>
  <w:style w:type="table" w:styleId="TableGrid">
    <w:name w:val="Table Grid"/>
    <w:basedOn w:val="TableNormal"/>
    <w:uiPriority w:val="39"/>
    <w:rsid w:val="001559F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6FD8"/>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styleId="ListParagraph">
    <w:name w:val="List Paragraph"/>
    <w:basedOn w:val="Normal"/>
    <w:uiPriority w:val="34"/>
    <w:qFormat/>
    <w:rsid w:val="002A40A3"/>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2-CL-C-0057/es" TargetMode="External"/><Relationship Id="rId18" Type="http://schemas.openxmlformats.org/officeDocument/2006/relationships/hyperlink" Target="https://www.itu.int/md/S23-CL-INF-0013/es"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www.itu.int/md/S24-CL-C-0031/es" TargetMode="External"/><Relationship Id="rId34" Type="http://schemas.openxmlformats.org/officeDocument/2006/relationships/fontTable" Target="fontTable.xml"/><Relationship Id="rId7" Type="http://schemas.openxmlformats.org/officeDocument/2006/relationships/hyperlink" Target="https://www.itu.int/md/S25-CL-C-0043/es" TargetMode="External"/><Relationship Id="rId12" Type="http://schemas.openxmlformats.org/officeDocument/2006/relationships/hyperlink" Target="https://www.itu.int/md/S22-CL-C-0040/es" TargetMode="External"/><Relationship Id="rId17" Type="http://schemas.openxmlformats.org/officeDocument/2006/relationships/hyperlink" Target="https://www.itu.int/md/S23-CL-INF-0011/es" TargetMode="External"/><Relationship Id="rId25" Type="http://schemas.openxmlformats.org/officeDocument/2006/relationships/hyperlink" Target="https://app.powerbi.com/view?r=eyJrIjoiMGNjYTlkZmEtZGNkOC00ZjA5LTgzOTgtOGM2ZjE1OWIzYTU2IiwidCI6IjIzZTQ2NGQ3LTA0ZTYtNGI4Ny05MTNjLTI0YmQ4OTIxOWZkMyIsImMiOjl9"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itu.int/md/S23-CL-C-0063/es" TargetMode="External"/><Relationship Id="rId20" Type="http://schemas.openxmlformats.org/officeDocument/2006/relationships/hyperlink" Target="https://www.itu.int/md/S24-CL-C-0053/es"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S22-CL-INF-0013/es" TargetMode="External"/><Relationship Id="rId24" Type="http://schemas.openxmlformats.org/officeDocument/2006/relationships/hyperlink" Target="https://www.itu.int/md/S25-CL-C-0050/es"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tu.int/md/S23-CL-C-0050/es" TargetMode="External"/><Relationship Id="rId23" Type="http://schemas.openxmlformats.org/officeDocument/2006/relationships/hyperlink" Target="https://www.itu.int/md/S25-CL-C-0066/es" TargetMode="External"/><Relationship Id="rId28" Type="http://schemas.openxmlformats.org/officeDocument/2006/relationships/hyperlink" Target="https://www.itu.int/md/S25-CWGFHR20-C-0021/es" TargetMode="External"/><Relationship Id="rId10" Type="http://schemas.openxmlformats.org/officeDocument/2006/relationships/hyperlink" Target="https://www.itu.int/md/S21-CL-INF-0015/es" TargetMode="External"/><Relationship Id="rId19" Type="http://schemas.openxmlformats.org/officeDocument/2006/relationships/hyperlink" Target="https://www.itu.int/md/S24-CL-C-0019/e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tu.int/md/S20-CL-C-0074/es" TargetMode="External"/><Relationship Id="rId14" Type="http://schemas.openxmlformats.org/officeDocument/2006/relationships/hyperlink" Target="https://www.itu.int/md/S23-CL-C-0036/es" TargetMode="External"/><Relationship Id="rId22" Type="http://schemas.openxmlformats.org/officeDocument/2006/relationships/hyperlink" Target="https://www.itu.int/md/S25-CL-C-0050/es" TargetMode="External"/><Relationship Id="rId27" Type="http://schemas.openxmlformats.org/officeDocument/2006/relationships/hyperlink" Target="https://www.itu.int/md/S24-CL-C-0053/es" TargetMode="External"/><Relationship Id="rId30" Type="http://schemas.openxmlformats.org/officeDocument/2006/relationships/hyperlink" Target="https://www.itu.int/md/S25-CL-C-0043/es" TargetMode="External"/><Relationship Id="rId35" Type="http://schemas.openxmlformats.org/officeDocument/2006/relationships/theme" Target="theme/theme1.xml"/><Relationship Id="rId8" Type="http://schemas.openxmlformats.org/officeDocument/2006/relationships/hyperlink" Target="https://www.itu.int/md/S20-CL-C-0061/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itu.int/md/S25-CL-C-0044/es" TargetMode="External"/><Relationship Id="rId1" Type="http://schemas.openxmlformats.org/officeDocument/2006/relationships/hyperlink" Target="https://www.itu.int/md/S25-CL-C-0066/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PS_Council25.dotx</Template>
  <TotalTime>5</TotalTime>
  <Pages>12</Pages>
  <Words>3946</Words>
  <Characters>23069</Characters>
  <Application>Microsoft Office Word</Application>
  <DocSecurity>0</DocSecurity>
  <Lines>192</Lines>
  <Paragraphs>53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26962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Consejo 2024 de la UIT</dc:subject>
  <dc:creator>Spanish</dc:creator>
  <cp:keywords>C2024, C24, Council-24</cp:keywords>
  <dc:description/>
  <cp:lastModifiedBy>GBS</cp:lastModifiedBy>
  <cp:revision>2</cp:revision>
  <cp:lastPrinted>2006-03-24T09:51:00Z</cp:lastPrinted>
  <dcterms:created xsi:type="dcterms:W3CDTF">2025-05-30T07:38:00Z</dcterms:created>
  <dcterms:modified xsi:type="dcterms:W3CDTF">2025-05-30T07:38:00Z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