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236F7D3" w14:textId="77777777" w:rsidTr="00F363FE">
        <w:tc>
          <w:tcPr>
            <w:tcW w:w="6512" w:type="dxa"/>
          </w:tcPr>
          <w:p w14:paraId="58E83757" w14:textId="0424EC51"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88597F">
              <w:rPr>
                <w:rFonts w:hint="cs"/>
                <w:b/>
                <w:bCs/>
                <w:rtl/>
                <w:lang w:bidi="ar-EG"/>
              </w:rPr>
              <w:t xml:space="preserve"> </w:t>
            </w:r>
            <w:r w:rsidR="0088597F">
              <w:rPr>
                <w:b/>
              </w:rPr>
              <w:t>PL.1</w:t>
            </w:r>
          </w:p>
        </w:tc>
        <w:tc>
          <w:tcPr>
            <w:tcW w:w="3117" w:type="dxa"/>
          </w:tcPr>
          <w:p w14:paraId="5F9FD839" w14:textId="50260EA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88597F">
              <w:rPr>
                <w:b/>
                <w:bCs/>
                <w:lang w:bidi="ar-EG"/>
              </w:rPr>
              <w:t>55</w:t>
            </w:r>
            <w:r w:rsidRPr="007B0AA0">
              <w:rPr>
                <w:b/>
                <w:bCs/>
                <w:lang w:bidi="ar-EG"/>
              </w:rPr>
              <w:t>-A</w:t>
            </w:r>
          </w:p>
        </w:tc>
      </w:tr>
      <w:tr w:rsidR="007B0AA0" w14:paraId="1572F425" w14:textId="77777777" w:rsidTr="00F363FE">
        <w:tc>
          <w:tcPr>
            <w:tcW w:w="6512" w:type="dxa"/>
          </w:tcPr>
          <w:p w14:paraId="61CE0974" w14:textId="77777777" w:rsidR="007B0AA0" w:rsidRPr="007B0AA0" w:rsidRDefault="007B0AA0" w:rsidP="00F363FE">
            <w:pPr>
              <w:spacing w:before="60" w:after="60" w:line="260" w:lineRule="exact"/>
              <w:rPr>
                <w:b/>
                <w:bCs/>
                <w:rtl/>
                <w:lang w:bidi="ar-EG"/>
              </w:rPr>
            </w:pPr>
          </w:p>
        </w:tc>
        <w:tc>
          <w:tcPr>
            <w:tcW w:w="3117" w:type="dxa"/>
          </w:tcPr>
          <w:p w14:paraId="384DA2FF" w14:textId="281C356B" w:rsidR="007B0AA0" w:rsidRPr="007B0AA0" w:rsidRDefault="00325C4E" w:rsidP="00F363FE">
            <w:pPr>
              <w:spacing w:before="60" w:after="60" w:line="260" w:lineRule="exact"/>
              <w:rPr>
                <w:b/>
                <w:bCs/>
                <w:rtl/>
                <w:lang w:bidi="ar-EG"/>
              </w:rPr>
            </w:pPr>
            <w:r w:rsidRPr="00325C4E">
              <w:rPr>
                <w:b/>
                <w:bCs/>
                <w:color w:val="000000"/>
                <w:rtl/>
              </w:rPr>
              <w:t>19 مايو 2025</w:t>
            </w:r>
          </w:p>
        </w:tc>
      </w:tr>
      <w:tr w:rsidR="007B0AA0" w14:paraId="2C9D8A4B" w14:textId="77777777" w:rsidTr="00F363FE">
        <w:tc>
          <w:tcPr>
            <w:tcW w:w="6512" w:type="dxa"/>
          </w:tcPr>
          <w:p w14:paraId="760CEB4E" w14:textId="77777777" w:rsidR="007B0AA0" w:rsidRPr="007B0AA0" w:rsidRDefault="007B0AA0" w:rsidP="00F363FE">
            <w:pPr>
              <w:spacing w:before="60" w:after="60" w:line="260" w:lineRule="exact"/>
              <w:rPr>
                <w:b/>
                <w:bCs/>
                <w:rtl/>
                <w:lang w:bidi="ar-EG"/>
              </w:rPr>
            </w:pPr>
          </w:p>
        </w:tc>
        <w:tc>
          <w:tcPr>
            <w:tcW w:w="3117" w:type="dxa"/>
          </w:tcPr>
          <w:p w14:paraId="68AC148E"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37FE827E" w14:textId="77777777" w:rsidTr="00F363FE">
        <w:tc>
          <w:tcPr>
            <w:tcW w:w="6512" w:type="dxa"/>
          </w:tcPr>
          <w:p w14:paraId="32CF18A4" w14:textId="77777777" w:rsidR="007B0AA0" w:rsidRDefault="007B0AA0" w:rsidP="00F363FE">
            <w:pPr>
              <w:spacing w:before="60" w:after="60" w:line="260" w:lineRule="exact"/>
              <w:rPr>
                <w:lang w:bidi="ar-EG"/>
              </w:rPr>
            </w:pPr>
          </w:p>
        </w:tc>
        <w:tc>
          <w:tcPr>
            <w:tcW w:w="3117" w:type="dxa"/>
          </w:tcPr>
          <w:p w14:paraId="4DF12AA9" w14:textId="77777777" w:rsidR="007B0AA0" w:rsidRDefault="007B0AA0" w:rsidP="00F363FE">
            <w:pPr>
              <w:spacing w:before="60" w:after="60" w:line="260" w:lineRule="exact"/>
              <w:rPr>
                <w:rtl/>
                <w:lang w:bidi="ar-EG"/>
              </w:rPr>
            </w:pPr>
          </w:p>
        </w:tc>
      </w:tr>
      <w:tr w:rsidR="007B0AA0" w14:paraId="032D7CE3" w14:textId="77777777" w:rsidTr="00EE7446">
        <w:tc>
          <w:tcPr>
            <w:tcW w:w="9629" w:type="dxa"/>
            <w:gridSpan w:val="2"/>
          </w:tcPr>
          <w:p w14:paraId="39E0E13C" w14:textId="77777777" w:rsidR="007B0AA0" w:rsidRDefault="001D64C7" w:rsidP="007B0AA0">
            <w:pPr>
              <w:pStyle w:val="Source"/>
              <w:jc w:val="left"/>
              <w:rPr>
                <w:lang w:bidi="ar-EG"/>
              </w:rPr>
            </w:pPr>
            <w:r>
              <w:rPr>
                <w:rFonts w:hint="cs"/>
                <w:rtl/>
                <w:lang w:bidi="ar-EG"/>
              </w:rPr>
              <w:t>تقرير من الأمينة العامة</w:t>
            </w:r>
          </w:p>
        </w:tc>
      </w:tr>
      <w:tr w:rsidR="007B0AA0" w14:paraId="02C67885" w14:textId="77777777" w:rsidTr="007B0AA0">
        <w:tc>
          <w:tcPr>
            <w:tcW w:w="9629" w:type="dxa"/>
            <w:gridSpan w:val="2"/>
            <w:tcBorders>
              <w:bottom w:val="single" w:sz="4" w:space="0" w:color="auto"/>
            </w:tcBorders>
          </w:tcPr>
          <w:p w14:paraId="031CCBE3" w14:textId="4309F135" w:rsidR="007B0AA0" w:rsidRPr="00E8055F" w:rsidRDefault="00325C4E" w:rsidP="007E20D3">
            <w:pPr>
              <w:pStyle w:val="Subtitle0"/>
            </w:pPr>
            <w:r w:rsidRPr="00E8055F">
              <w:rPr>
                <w:rtl/>
              </w:rPr>
              <w:t>‏معلومات محدّثة بشأن عملية التحول وخارطة الطريق للاتحاد</w:t>
            </w:r>
          </w:p>
        </w:tc>
      </w:tr>
      <w:tr w:rsidR="007B0AA0" w14:paraId="1E3941AC" w14:textId="77777777" w:rsidTr="007B0AA0">
        <w:tc>
          <w:tcPr>
            <w:tcW w:w="9629" w:type="dxa"/>
            <w:gridSpan w:val="2"/>
            <w:tcBorders>
              <w:top w:val="single" w:sz="4" w:space="0" w:color="auto"/>
              <w:bottom w:val="single" w:sz="4" w:space="0" w:color="auto"/>
            </w:tcBorders>
          </w:tcPr>
          <w:p w14:paraId="130A4182" w14:textId="06DAF928" w:rsidR="007B0AA0" w:rsidRPr="007B0AA0" w:rsidRDefault="007B0AA0" w:rsidP="007B0AA0">
            <w:pPr>
              <w:rPr>
                <w:b/>
                <w:bCs/>
                <w:rtl/>
              </w:rPr>
            </w:pPr>
            <w:r w:rsidRPr="007B0AA0">
              <w:rPr>
                <w:rFonts w:hint="cs"/>
                <w:b/>
                <w:bCs/>
                <w:rtl/>
              </w:rPr>
              <w:t>الغرض</w:t>
            </w:r>
          </w:p>
          <w:p w14:paraId="0B7FD71C" w14:textId="44BADB92" w:rsidR="007B0AA0" w:rsidRDefault="00325C4E" w:rsidP="007B0AA0">
            <w:pPr>
              <w:rPr>
                <w:rtl/>
              </w:rPr>
            </w:pPr>
            <w:r w:rsidRPr="004547BA">
              <w:rPr>
                <w:color w:val="000000"/>
                <w:rtl/>
              </w:rPr>
              <w:t xml:space="preserve">تقدم هذه الوثيقة تقريراً عن حالة عملية التحول من أجل تحقيق التميز </w:t>
            </w:r>
            <w:r w:rsidR="004547BA" w:rsidRPr="004547BA">
              <w:rPr>
                <w:rFonts w:hint="cs"/>
                <w:color w:val="000000"/>
                <w:rtl/>
              </w:rPr>
              <w:t>التنظيمي</w:t>
            </w:r>
            <w:r w:rsidRPr="004547BA">
              <w:rPr>
                <w:color w:val="000000"/>
                <w:rtl/>
              </w:rPr>
              <w:t>.</w:t>
            </w:r>
          </w:p>
          <w:p w14:paraId="426C175F" w14:textId="77777777" w:rsidR="007B0AA0" w:rsidRPr="007B0AA0" w:rsidRDefault="007B0AA0" w:rsidP="007B0AA0">
            <w:pPr>
              <w:rPr>
                <w:b/>
                <w:bCs/>
                <w:rtl/>
              </w:rPr>
            </w:pPr>
            <w:r w:rsidRPr="007B0AA0">
              <w:rPr>
                <w:rFonts w:hint="cs"/>
                <w:b/>
                <w:bCs/>
                <w:rtl/>
              </w:rPr>
              <w:t>الإجراء المطلوب من المجلس</w:t>
            </w:r>
          </w:p>
          <w:p w14:paraId="47C962C2" w14:textId="49677D2F" w:rsidR="007B0AA0" w:rsidRDefault="00325C4E" w:rsidP="0088597F">
            <w:pPr>
              <w:rPr>
                <w:rtl/>
              </w:rPr>
            </w:pPr>
            <w:r>
              <w:rPr>
                <w:b/>
                <w:color w:val="000000"/>
                <w:rtl/>
              </w:rPr>
              <w:t xml:space="preserve">يُدعى المجلس إلى </w:t>
            </w:r>
            <w:r>
              <w:rPr>
                <w:bCs/>
                <w:color w:val="000000"/>
                <w:rtl/>
              </w:rPr>
              <w:t>الإحاطة علماً</w:t>
            </w:r>
            <w:r>
              <w:rPr>
                <w:b/>
                <w:color w:val="000000"/>
                <w:rtl/>
              </w:rPr>
              <w:t xml:space="preserve"> بالتقدم المحرز حتى الآن.</w:t>
            </w:r>
          </w:p>
          <w:p w14:paraId="13DE8C8A" w14:textId="0B8182D8" w:rsidR="007B0AA0" w:rsidRPr="007B0AA0" w:rsidRDefault="0088597F" w:rsidP="0088597F">
            <w:pPr>
              <w:rPr>
                <w:b/>
                <w:bCs/>
                <w:rtl/>
              </w:rPr>
            </w:pPr>
            <w:r w:rsidRPr="0088597F">
              <w:rPr>
                <w:b/>
                <w:bCs/>
                <w:rtl/>
              </w:rPr>
              <w:t>الصلة بالخطة الاستراتيجية</w:t>
            </w:r>
          </w:p>
          <w:p w14:paraId="5BC2385D" w14:textId="3314C78F" w:rsidR="007B0AA0" w:rsidRDefault="00325C4E" w:rsidP="007B0AA0">
            <w:pPr>
              <w:rPr>
                <w:rtl/>
              </w:rPr>
            </w:pPr>
            <w:r>
              <w:rPr>
                <w:color w:val="000000"/>
                <w:rtl/>
              </w:rPr>
              <w:t xml:space="preserve">التميز في مجال الموارد البشرية </w:t>
            </w:r>
            <w:r w:rsidRPr="00E8055F">
              <w:rPr>
                <w:color w:val="000000"/>
                <w:rtl/>
              </w:rPr>
              <w:t xml:space="preserve">والابتكار </w:t>
            </w:r>
            <w:r w:rsidR="001604E7" w:rsidRPr="00E8055F">
              <w:rPr>
                <w:color w:val="000000"/>
                <w:rtl/>
              </w:rPr>
              <w:t>التنظيمي</w:t>
            </w:r>
            <w:r w:rsidRPr="00E8055F">
              <w:rPr>
                <w:color w:val="000000"/>
                <w:rtl/>
              </w:rPr>
              <w:t>.</w:t>
            </w:r>
          </w:p>
          <w:p w14:paraId="44F92466" w14:textId="77777777" w:rsidR="007B0AA0" w:rsidRDefault="007B0AA0" w:rsidP="00B97F32">
            <w:pPr>
              <w:rPr>
                <w:b/>
                <w:bCs/>
              </w:rPr>
            </w:pPr>
            <w:r w:rsidRPr="007B0AA0">
              <w:rPr>
                <w:rFonts w:hint="cs"/>
                <w:b/>
                <w:bCs/>
                <w:rtl/>
              </w:rPr>
              <w:t>الآثار المالية</w:t>
            </w:r>
          </w:p>
          <w:p w14:paraId="24F62404" w14:textId="42DCFAE7" w:rsidR="006F363C" w:rsidRPr="005546CF" w:rsidRDefault="00325C4E" w:rsidP="001D100B">
            <w:pPr>
              <w:rPr>
                <w:rtl/>
              </w:rPr>
            </w:pPr>
            <w:r>
              <w:rPr>
                <w:color w:val="000000"/>
                <w:rtl/>
              </w:rPr>
              <w:t xml:space="preserve">ترد أي موارد مالية أو بشرية إضافية لتحقيق أهداف هذا البرنامج في الوثيقة </w:t>
            </w:r>
            <w:hyperlink r:id="rId8" w:history="1">
              <w:r w:rsidR="001D100B" w:rsidRPr="001D100B">
                <w:rPr>
                  <w:rStyle w:val="Hyperlink"/>
                  <w:rFonts w:ascii="Dubai" w:eastAsiaTheme="minorEastAsia" w:hAnsi="Dubai" w:cs="Dubai"/>
                  <w:noProof w:val="0"/>
                  <w:sz w:val="22"/>
                  <w:lang w:val="en-US" w:eastAsia="zh-CN"/>
                </w:rPr>
                <w:t>C25/43</w:t>
              </w:r>
            </w:hyperlink>
            <w:r>
              <w:rPr>
                <w:color w:val="000000"/>
                <w:rtl/>
              </w:rPr>
              <w:t>.</w:t>
            </w:r>
          </w:p>
          <w:p w14:paraId="11D0617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2377B3B" w14:textId="77777777" w:rsidR="007B0AA0" w:rsidRPr="007B0AA0" w:rsidRDefault="007B0AA0" w:rsidP="007B0AA0">
            <w:pPr>
              <w:rPr>
                <w:b/>
                <w:bCs/>
                <w:rtl/>
              </w:rPr>
            </w:pPr>
            <w:r w:rsidRPr="007B0AA0">
              <w:rPr>
                <w:rFonts w:hint="cs"/>
                <w:b/>
                <w:bCs/>
                <w:rtl/>
              </w:rPr>
              <w:t>المراجع</w:t>
            </w:r>
          </w:p>
          <w:p w14:paraId="257F42FA" w14:textId="6DF59B67" w:rsidR="007B0AA0" w:rsidRPr="005546CF" w:rsidRDefault="00BA69EF" w:rsidP="00BA69EF">
            <w:pPr>
              <w:rPr>
                <w:i/>
                <w:iCs/>
                <w:rtl/>
                <w:lang w:bidi="ar-EG"/>
              </w:rPr>
            </w:pPr>
            <w:r w:rsidRPr="00E8055F">
              <w:rPr>
                <w:i/>
                <w:iCs/>
                <w:rtl/>
              </w:rPr>
              <w:t>وثائق المجلس</w:t>
            </w:r>
            <w:r>
              <w:rPr>
                <w:rFonts w:hint="cs"/>
                <w:rtl/>
              </w:rPr>
              <w:t xml:space="preserve"> </w:t>
            </w:r>
            <w:hyperlink r:id="rId9" w:history="1">
              <w:r w:rsidR="0088597F" w:rsidRPr="0088597F">
                <w:rPr>
                  <w:rStyle w:val="Hyperlink"/>
                  <w:rFonts w:ascii="Dubai" w:eastAsiaTheme="minorEastAsia" w:hAnsi="Dubai" w:cs="Dubai"/>
                  <w:i/>
                  <w:iCs/>
                  <w:noProof w:val="0"/>
                  <w:sz w:val="22"/>
                  <w:lang w:eastAsia="zh-CN" w:bidi="ar-EG"/>
                </w:rPr>
                <w:t>C20/61</w:t>
              </w:r>
            </w:hyperlink>
            <w:r>
              <w:rPr>
                <w:rFonts w:hint="cs"/>
                <w:i/>
                <w:iCs/>
                <w:rtl/>
              </w:rPr>
              <w:t xml:space="preserve"> و</w:t>
            </w:r>
            <w:hyperlink r:id="rId10" w:history="1">
              <w:r w:rsidR="0088597F" w:rsidRPr="0088597F">
                <w:rPr>
                  <w:rStyle w:val="Hyperlink"/>
                  <w:rFonts w:ascii="Dubai" w:eastAsiaTheme="minorEastAsia" w:hAnsi="Dubai" w:cs="Dubai"/>
                  <w:i/>
                  <w:iCs/>
                  <w:noProof w:val="0"/>
                  <w:sz w:val="22"/>
                  <w:lang w:eastAsia="zh-CN" w:bidi="ar-EG"/>
                </w:rPr>
                <w:t>C20/74</w:t>
              </w:r>
            </w:hyperlink>
            <w:r>
              <w:rPr>
                <w:rFonts w:hint="cs"/>
                <w:i/>
                <w:iCs/>
                <w:rtl/>
              </w:rPr>
              <w:t xml:space="preserve"> و</w:t>
            </w:r>
            <w:hyperlink r:id="rId11" w:history="1">
              <w:r w:rsidR="0088597F" w:rsidRPr="0088597F">
                <w:rPr>
                  <w:rStyle w:val="Hyperlink"/>
                  <w:rFonts w:ascii="Dubai" w:eastAsiaTheme="minorEastAsia" w:hAnsi="Dubai" w:cs="Dubai"/>
                  <w:i/>
                  <w:iCs/>
                  <w:noProof w:val="0"/>
                  <w:sz w:val="22"/>
                  <w:lang w:eastAsia="zh-CN" w:bidi="ar-EG"/>
                </w:rPr>
                <w:t>C21/INF/15</w:t>
              </w:r>
            </w:hyperlink>
            <w:r>
              <w:rPr>
                <w:rFonts w:hint="cs"/>
                <w:i/>
                <w:iCs/>
                <w:rtl/>
              </w:rPr>
              <w:t xml:space="preserve"> و</w:t>
            </w:r>
            <w:hyperlink r:id="rId12" w:history="1">
              <w:r w:rsidR="0088597F" w:rsidRPr="0088597F">
                <w:rPr>
                  <w:rStyle w:val="Hyperlink"/>
                  <w:rFonts w:ascii="Dubai" w:eastAsiaTheme="minorEastAsia" w:hAnsi="Dubai" w:cs="Dubai"/>
                  <w:i/>
                  <w:iCs/>
                  <w:noProof w:val="0"/>
                  <w:sz w:val="22"/>
                  <w:lang w:eastAsia="zh-CN" w:bidi="ar-EG"/>
                </w:rPr>
                <w:t>C22/INF/13</w:t>
              </w:r>
            </w:hyperlink>
            <w:r>
              <w:rPr>
                <w:rFonts w:hint="cs"/>
                <w:i/>
                <w:iCs/>
                <w:rtl/>
              </w:rPr>
              <w:t xml:space="preserve"> و</w:t>
            </w:r>
            <w:hyperlink r:id="rId13" w:history="1">
              <w:r w:rsidR="0088597F" w:rsidRPr="0088597F">
                <w:rPr>
                  <w:rStyle w:val="Hyperlink"/>
                  <w:rFonts w:ascii="Dubai" w:eastAsiaTheme="minorEastAsia" w:hAnsi="Dubai" w:cs="Dubai"/>
                  <w:i/>
                  <w:iCs/>
                  <w:noProof w:val="0"/>
                  <w:sz w:val="22"/>
                  <w:lang w:eastAsia="zh-CN" w:bidi="ar-EG"/>
                </w:rPr>
                <w:t>C22/40</w:t>
              </w:r>
            </w:hyperlink>
            <w:r>
              <w:rPr>
                <w:rFonts w:hint="cs"/>
                <w:i/>
                <w:iCs/>
                <w:rtl/>
              </w:rPr>
              <w:t xml:space="preserve"> و</w:t>
            </w:r>
            <w:hyperlink r:id="rId14" w:history="1">
              <w:r w:rsidR="0088597F" w:rsidRPr="0088597F">
                <w:rPr>
                  <w:rStyle w:val="Hyperlink"/>
                  <w:rFonts w:ascii="Dubai" w:eastAsiaTheme="minorEastAsia" w:hAnsi="Dubai" w:cs="Dubai"/>
                  <w:i/>
                  <w:iCs/>
                  <w:noProof w:val="0"/>
                  <w:sz w:val="22"/>
                  <w:lang w:eastAsia="zh-CN" w:bidi="ar-EG"/>
                </w:rPr>
                <w:t>C22/57</w:t>
              </w:r>
            </w:hyperlink>
            <w:r>
              <w:rPr>
                <w:rFonts w:hint="cs"/>
                <w:i/>
                <w:iCs/>
                <w:rtl/>
              </w:rPr>
              <w:t xml:space="preserve"> و</w:t>
            </w:r>
            <w:hyperlink r:id="rId15" w:history="1">
              <w:r w:rsidR="0088597F" w:rsidRPr="0088597F">
                <w:rPr>
                  <w:rStyle w:val="Hyperlink"/>
                  <w:rFonts w:ascii="Dubai" w:eastAsiaTheme="minorEastAsia" w:hAnsi="Dubai" w:cs="Dubai"/>
                  <w:i/>
                  <w:iCs/>
                  <w:noProof w:val="0"/>
                  <w:sz w:val="22"/>
                  <w:lang w:eastAsia="zh-CN" w:bidi="ar-EG"/>
                </w:rPr>
                <w:t>C23/36</w:t>
              </w:r>
            </w:hyperlink>
            <w:r>
              <w:rPr>
                <w:rFonts w:hint="cs"/>
                <w:i/>
                <w:iCs/>
                <w:rtl/>
              </w:rPr>
              <w:t xml:space="preserve"> و</w:t>
            </w:r>
            <w:hyperlink r:id="rId16" w:history="1">
              <w:r w:rsidR="0088597F" w:rsidRPr="0088597F">
                <w:rPr>
                  <w:rStyle w:val="Hyperlink"/>
                  <w:rFonts w:ascii="Dubai" w:eastAsiaTheme="minorEastAsia" w:hAnsi="Dubai" w:cs="Dubai"/>
                  <w:i/>
                  <w:iCs/>
                  <w:noProof w:val="0"/>
                  <w:sz w:val="22"/>
                  <w:lang w:eastAsia="zh-CN" w:bidi="ar-EG"/>
                </w:rPr>
                <w:t>C23/50</w:t>
              </w:r>
            </w:hyperlink>
            <w:r>
              <w:rPr>
                <w:rFonts w:hint="cs"/>
                <w:i/>
                <w:iCs/>
                <w:rtl/>
              </w:rPr>
              <w:t xml:space="preserve"> و</w:t>
            </w:r>
            <w:hyperlink r:id="rId17" w:history="1">
              <w:r w:rsidR="0088597F" w:rsidRPr="0088597F">
                <w:rPr>
                  <w:rStyle w:val="Hyperlink"/>
                  <w:rFonts w:ascii="Dubai" w:eastAsiaTheme="minorEastAsia" w:hAnsi="Dubai" w:cs="Dubai"/>
                  <w:i/>
                  <w:iCs/>
                  <w:noProof w:val="0"/>
                  <w:sz w:val="22"/>
                  <w:lang w:eastAsia="zh-CN" w:bidi="ar-EG"/>
                </w:rPr>
                <w:t>C23/62</w:t>
              </w:r>
            </w:hyperlink>
            <w:r>
              <w:rPr>
                <w:rFonts w:hint="cs"/>
                <w:i/>
                <w:iCs/>
                <w:rtl/>
              </w:rPr>
              <w:t xml:space="preserve"> و</w:t>
            </w:r>
            <w:hyperlink r:id="rId18" w:history="1">
              <w:r w:rsidR="0088597F" w:rsidRPr="0088597F">
                <w:rPr>
                  <w:rStyle w:val="Hyperlink"/>
                  <w:rFonts w:ascii="Dubai" w:eastAsiaTheme="minorEastAsia" w:hAnsi="Dubai" w:cs="Dubai"/>
                  <w:i/>
                  <w:iCs/>
                  <w:noProof w:val="0"/>
                  <w:sz w:val="22"/>
                  <w:lang w:eastAsia="zh-CN" w:bidi="ar-EG"/>
                </w:rPr>
                <w:t>C23/INF/11</w:t>
              </w:r>
            </w:hyperlink>
            <w:r>
              <w:rPr>
                <w:rFonts w:hint="cs"/>
                <w:i/>
                <w:iCs/>
                <w:rtl/>
              </w:rPr>
              <w:t xml:space="preserve"> و</w:t>
            </w:r>
            <w:hyperlink r:id="rId19" w:history="1">
              <w:r w:rsidR="0088597F" w:rsidRPr="0088597F">
                <w:rPr>
                  <w:rStyle w:val="Hyperlink"/>
                  <w:rFonts w:ascii="Dubai" w:eastAsiaTheme="minorEastAsia" w:hAnsi="Dubai" w:cs="Dubai"/>
                  <w:i/>
                  <w:iCs/>
                  <w:noProof w:val="0"/>
                  <w:sz w:val="22"/>
                  <w:lang w:eastAsia="zh-CN" w:bidi="ar-EG"/>
                </w:rPr>
                <w:t>C23/INF/13</w:t>
              </w:r>
            </w:hyperlink>
            <w:r>
              <w:rPr>
                <w:rFonts w:hint="cs"/>
                <w:i/>
                <w:iCs/>
                <w:rtl/>
              </w:rPr>
              <w:t xml:space="preserve"> و</w:t>
            </w:r>
            <w:hyperlink r:id="rId20" w:history="1">
              <w:r w:rsidR="0088597F" w:rsidRPr="0088597F">
                <w:rPr>
                  <w:rStyle w:val="Hyperlink"/>
                  <w:rFonts w:ascii="Dubai" w:eastAsiaTheme="minorEastAsia" w:hAnsi="Dubai" w:cs="Dubai"/>
                  <w:i/>
                  <w:iCs/>
                  <w:noProof w:val="0"/>
                  <w:sz w:val="22"/>
                  <w:lang w:eastAsia="zh-CN" w:bidi="ar-EG"/>
                </w:rPr>
                <w:t>C24/19</w:t>
              </w:r>
            </w:hyperlink>
            <w:r>
              <w:rPr>
                <w:rFonts w:hint="cs"/>
                <w:i/>
                <w:iCs/>
                <w:rtl/>
              </w:rPr>
              <w:t xml:space="preserve"> و</w:t>
            </w:r>
            <w:hyperlink r:id="rId21" w:history="1">
              <w:r w:rsidR="0088597F" w:rsidRPr="0088597F">
                <w:rPr>
                  <w:rStyle w:val="Hyperlink"/>
                  <w:rFonts w:ascii="Dubai" w:eastAsiaTheme="minorEastAsia" w:hAnsi="Dubai" w:cs="Dubai"/>
                  <w:i/>
                  <w:iCs/>
                  <w:noProof w:val="0"/>
                  <w:sz w:val="22"/>
                  <w:lang w:eastAsia="zh-CN" w:bidi="ar-EG"/>
                </w:rPr>
                <w:t>C24/53</w:t>
              </w:r>
            </w:hyperlink>
            <w:r>
              <w:rPr>
                <w:rFonts w:hint="cs"/>
                <w:i/>
                <w:iCs/>
                <w:rtl/>
              </w:rPr>
              <w:t xml:space="preserve"> و</w:t>
            </w:r>
            <w:hyperlink r:id="rId22" w:history="1">
              <w:r w:rsidR="0088597F" w:rsidRPr="0088597F">
                <w:rPr>
                  <w:rStyle w:val="Hyperlink"/>
                  <w:rFonts w:ascii="Dubai" w:eastAsiaTheme="minorEastAsia" w:hAnsi="Dubai" w:cs="Dubai"/>
                  <w:i/>
                  <w:iCs/>
                  <w:noProof w:val="0"/>
                  <w:sz w:val="22"/>
                  <w:lang w:eastAsia="zh-CN" w:bidi="ar-EG"/>
                </w:rPr>
                <w:t>C24/31</w:t>
              </w:r>
            </w:hyperlink>
            <w:r>
              <w:rPr>
                <w:rFonts w:hint="cs"/>
                <w:i/>
                <w:iCs/>
                <w:rtl/>
              </w:rPr>
              <w:t xml:space="preserve"> و</w:t>
            </w:r>
            <w:hyperlink r:id="rId23" w:history="1">
              <w:r w:rsidR="0088597F" w:rsidRPr="0088597F">
                <w:rPr>
                  <w:rStyle w:val="Hyperlink"/>
                  <w:rFonts w:ascii="Dubai" w:eastAsiaTheme="minorEastAsia" w:hAnsi="Dubai" w:cs="Dubai"/>
                  <w:bCs/>
                  <w:i/>
                  <w:iCs/>
                  <w:noProof w:val="0"/>
                  <w:sz w:val="22"/>
                  <w:lang w:eastAsia="zh-CN" w:bidi="ar-EG"/>
                </w:rPr>
                <w:t>C25/50</w:t>
              </w:r>
            </w:hyperlink>
            <w:r w:rsidRPr="00BA69EF">
              <w:rPr>
                <w:rFonts w:hint="cs"/>
                <w:b/>
                <w:i/>
                <w:iCs/>
                <w:rtl/>
              </w:rPr>
              <w:t xml:space="preserve"> و</w:t>
            </w:r>
            <w:hyperlink r:id="rId24" w:history="1">
              <w:r w:rsidR="0088597F" w:rsidRPr="0088597F">
                <w:rPr>
                  <w:rStyle w:val="Hyperlink"/>
                  <w:rFonts w:ascii="Dubai" w:eastAsiaTheme="minorEastAsia" w:hAnsi="Dubai" w:cs="Dubai"/>
                  <w:bCs/>
                  <w:i/>
                  <w:iCs/>
                  <w:noProof w:val="0"/>
                  <w:sz w:val="22"/>
                  <w:lang w:eastAsia="zh-CN" w:bidi="ar-EG"/>
                </w:rPr>
                <w:t>C25/66</w:t>
              </w:r>
            </w:hyperlink>
          </w:p>
        </w:tc>
      </w:tr>
    </w:tbl>
    <w:p w14:paraId="3076C5FC" w14:textId="77777777" w:rsidR="00F50E3F" w:rsidRDefault="00F50E3F" w:rsidP="0043260A">
      <w:pPr>
        <w:rPr>
          <w:rtl/>
          <w:lang w:bidi="ar-EG"/>
        </w:rPr>
      </w:pPr>
      <w:r>
        <w:rPr>
          <w:rtl/>
          <w:lang w:bidi="ar-EG"/>
        </w:rPr>
        <w:br w:type="page"/>
      </w:r>
    </w:p>
    <w:p w14:paraId="5B7A7C87" w14:textId="7622157A" w:rsidR="00325C4E" w:rsidRPr="00325C4E" w:rsidRDefault="002A7099" w:rsidP="007D76C6">
      <w:pPr>
        <w:pStyle w:val="Heading1"/>
        <w:rPr>
          <w:lang w:val="ar-SA" w:bidi="ar-EG"/>
        </w:rPr>
      </w:pPr>
      <w:r>
        <w:rPr>
          <w:lang w:bidi="ar-EG"/>
        </w:rPr>
        <w:lastRenderedPageBreak/>
        <w:t>1</w:t>
      </w:r>
      <w:r w:rsidR="00325C4E" w:rsidRPr="00325C4E">
        <w:rPr>
          <w:lang w:val="ar-SA" w:bidi="ar-EG"/>
        </w:rPr>
        <w:tab/>
      </w:r>
      <w:r w:rsidR="00325C4E" w:rsidRPr="00325C4E">
        <w:rPr>
          <w:rtl/>
        </w:rPr>
        <w:t>مقدمة</w:t>
      </w:r>
    </w:p>
    <w:p w14:paraId="0508205D" w14:textId="77777777" w:rsidR="00325C4E" w:rsidRPr="00325C4E" w:rsidRDefault="00325C4E" w:rsidP="00325C4E">
      <w:pPr>
        <w:rPr>
          <w:lang w:val="ar-SA" w:bidi="ar-EG"/>
        </w:rPr>
      </w:pPr>
      <w:r w:rsidRPr="00325C4E">
        <w:rPr>
          <w:rtl/>
        </w:rPr>
        <w:t xml:space="preserve">في يناير </w:t>
      </w:r>
      <w:r w:rsidRPr="00325C4E">
        <w:t>2023</w:t>
      </w:r>
      <w:r w:rsidRPr="00325C4E">
        <w:rPr>
          <w:rtl/>
        </w:rPr>
        <w:t>، أطلق فريق القيادة في الاتحاد عملية التحول في الاتحاد استناداً إلى عملية رؤية شاملة تضمنت مدخلات مكثفة من الموظفين والخبراء على جميع مستويات المنظمة.</w:t>
      </w:r>
    </w:p>
    <w:p w14:paraId="23CE30AE" w14:textId="77777777" w:rsidR="00325C4E" w:rsidRPr="00325C4E" w:rsidRDefault="00325C4E" w:rsidP="00325C4E">
      <w:pPr>
        <w:rPr>
          <w:lang w:val="ar-SA" w:bidi="ar-EG"/>
        </w:rPr>
      </w:pPr>
      <w:r w:rsidRPr="00325C4E">
        <w:rPr>
          <w:rtl/>
        </w:rPr>
        <w:t>ويمثل تحول الاتحاد فرصة مشتركة وتعاونية بطبيعتها تتطلب المرونة والتعلم المستمر وإدارة التغيير. وتميزت هذه الفترة من التحول بتنفيذ المشاريع وتحقيق نتائج ملموسة عبر الركائز الخمس.</w:t>
      </w:r>
    </w:p>
    <w:p w14:paraId="382E5316" w14:textId="77DB5E90" w:rsidR="00325C4E" w:rsidRPr="00325C4E" w:rsidRDefault="00325C4E" w:rsidP="00A75D7B">
      <w:pPr>
        <w:rPr>
          <w:lang w:val="ar-SA" w:bidi="ar-EG"/>
        </w:rPr>
      </w:pPr>
      <w:r w:rsidRPr="00C46D04">
        <w:rPr>
          <w:spacing w:val="-6"/>
          <w:rtl/>
        </w:rPr>
        <w:t xml:space="preserve">واستناداً إلى التحديثات السابقة بشأن الوضع في فريق العمل التابع للمجلس والمعني بالموارد المالية والبشرية </w:t>
      </w:r>
      <w:r w:rsidRPr="00C46D04">
        <w:rPr>
          <w:spacing w:val="-6"/>
          <w:lang w:bidi="ar-EG"/>
        </w:rPr>
        <w:t>(</w:t>
      </w:r>
      <w:r w:rsidRPr="00C46D04">
        <w:rPr>
          <w:spacing w:val="-6"/>
          <w:cs/>
        </w:rPr>
        <w:t>‎</w:t>
      </w:r>
      <w:r w:rsidRPr="00C46D04">
        <w:rPr>
          <w:spacing w:val="-6"/>
          <w:lang w:bidi="ar-EG"/>
        </w:rPr>
        <w:t>CWG-FHR</w:t>
      </w:r>
      <w:r w:rsidRPr="00C46D04">
        <w:rPr>
          <w:spacing w:val="-6"/>
        </w:rPr>
        <w:t>)</w:t>
      </w:r>
      <w:r w:rsidRPr="00325C4E">
        <w:rPr>
          <w:rtl/>
        </w:rPr>
        <w:t xml:space="preserve"> ‏في نوفمبر </w:t>
      </w:r>
      <w:r w:rsidRPr="00325C4E">
        <w:rPr>
          <w:cs/>
        </w:rPr>
        <w:t>‎</w:t>
      </w:r>
      <w:r w:rsidRPr="00325C4E">
        <w:rPr>
          <w:lang w:bidi="ar-EG"/>
        </w:rPr>
        <w:t>2024</w:t>
      </w:r>
      <w:r w:rsidRPr="00325C4E">
        <w:rPr>
          <w:rtl/>
        </w:rPr>
        <w:t xml:space="preserve"> ‏وفبراير </w:t>
      </w:r>
      <w:r w:rsidRPr="00325C4E">
        <w:rPr>
          <w:cs/>
        </w:rPr>
        <w:t>‎</w:t>
      </w:r>
      <w:r w:rsidRPr="00325C4E">
        <w:rPr>
          <w:lang w:bidi="ar-EG"/>
        </w:rPr>
        <w:t>2025</w:t>
      </w:r>
      <w:r w:rsidRPr="00325C4E">
        <w:rPr>
          <w:rtl/>
        </w:rPr>
        <w:t xml:space="preserve"> ‏والملخصة في تقرير رئيس الفريق</w:t>
      </w:r>
      <w:r w:rsidR="00457827">
        <w:rPr>
          <w:rFonts w:hint="cs"/>
          <w:rtl/>
        </w:rPr>
        <w:t xml:space="preserve"> </w:t>
      </w:r>
      <w:r w:rsidRPr="00325C4E">
        <w:rPr>
          <w:cs/>
        </w:rPr>
        <w:t>‎</w:t>
      </w:r>
      <w:r w:rsidRPr="00325C4E">
        <w:rPr>
          <w:lang w:bidi="ar-EG"/>
        </w:rPr>
        <w:t>CWG-FHR</w:t>
      </w:r>
      <w:r w:rsidRPr="00325C4E">
        <w:rPr>
          <w:rtl/>
        </w:rPr>
        <w:t xml:space="preserve"> </w:t>
      </w:r>
      <w:r w:rsidR="00433B95">
        <w:rPr>
          <w:rFonts w:hint="cs"/>
          <w:rtl/>
          <w:lang w:val="en-GB" w:bidi="ar-EG"/>
        </w:rPr>
        <w:t xml:space="preserve">(الوثيقة </w:t>
      </w:r>
      <w:hyperlink r:id="rId25" w:history="1">
        <w:r w:rsidR="00A75D7B" w:rsidRPr="00A75D7B">
          <w:rPr>
            <w:rStyle w:val="Hyperlink"/>
            <w:rFonts w:ascii="Dubai" w:eastAsiaTheme="minorEastAsia" w:hAnsi="Dubai" w:cs="Dubai"/>
            <w:noProof w:val="0"/>
            <w:sz w:val="22"/>
            <w:lang w:val="en-US" w:eastAsia="zh-CN" w:bidi="ar-EG"/>
          </w:rPr>
          <w:t>C25/50</w:t>
        </w:r>
      </w:hyperlink>
      <w:r w:rsidR="00433B95">
        <w:rPr>
          <w:rFonts w:hint="cs"/>
          <w:rtl/>
          <w:lang w:val="en-GB" w:bidi="ar-EG"/>
        </w:rPr>
        <w:t>)</w:t>
      </w:r>
      <w:r w:rsidRPr="00325C4E">
        <w:rPr>
          <w:rtl/>
        </w:rPr>
        <w:t>، تقدم هذه الوثيقة مزيداً من المعلومات بشأن عملية التحول الجارية في الاتحاد.</w:t>
      </w:r>
      <w:r w:rsidRPr="00325C4E">
        <w:rPr>
          <w:cs/>
        </w:rPr>
        <w:t>‎</w:t>
      </w:r>
      <w:r w:rsidRPr="00325C4E">
        <w:rPr>
          <w:rtl/>
        </w:rPr>
        <w:t xml:space="preserve"> وعلاوة</w:t>
      </w:r>
      <w:r w:rsidR="001604E7">
        <w:rPr>
          <w:rFonts w:hint="cs"/>
          <w:rtl/>
        </w:rPr>
        <w:t>ً</w:t>
      </w:r>
      <w:r w:rsidRPr="00325C4E">
        <w:rPr>
          <w:rtl/>
        </w:rPr>
        <w:t xml:space="preserve"> على ذلك، وعقب المناقشات التي جرت في إطار فريق العمل</w:t>
      </w:r>
      <w:r w:rsidR="00C46D04">
        <w:rPr>
          <w:rFonts w:hint="cs"/>
          <w:rtl/>
        </w:rPr>
        <w:t> </w:t>
      </w:r>
      <w:r w:rsidRPr="00325C4E">
        <w:rPr>
          <w:lang w:bidi="ar-EG"/>
        </w:rPr>
        <w:t>CWG-FHR</w:t>
      </w:r>
      <w:r w:rsidRPr="00325C4E">
        <w:rPr>
          <w:rtl/>
        </w:rPr>
        <w:t xml:space="preserve"> وفريق العمل التابع للمجلس والمعني باللغات في فبراير 2025، قُدّم تقرير مرحلي عن مشروع الموقع الإلكتروني الجديد كملحق بهذه الوثيقة.</w:t>
      </w:r>
    </w:p>
    <w:p w14:paraId="64363E98" w14:textId="2BA5F724" w:rsidR="00325C4E" w:rsidRPr="00325C4E" w:rsidRDefault="002A7099" w:rsidP="007D76C6">
      <w:pPr>
        <w:pStyle w:val="Heading1"/>
        <w:rPr>
          <w:lang w:val="ar-SA" w:bidi="ar-EG"/>
        </w:rPr>
      </w:pPr>
      <w:r>
        <w:rPr>
          <w:lang w:bidi="ar-EG"/>
        </w:rPr>
        <w:t>2</w:t>
      </w:r>
      <w:r w:rsidR="00325C4E" w:rsidRPr="00325C4E">
        <w:rPr>
          <w:lang w:val="ar-SA" w:bidi="ar-EG"/>
        </w:rPr>
        <w:tab/>
      </w:r>
      <w:r w:rsidR="00325C4E" w:rsidRPr="00325C4E">
        <w:rPr>
          <w:rtl/>
        </w:rPr>
        <w:t>خارطة طريق التحول</w:t>
      </w:r>
    </w:p>
    <w:p w14:paraId="100C31A0" w14:textId="77777777" w:rsidR="00325C4E" w:rsidRPr="00325C4E" w:rsidRDefault="00325C4E" w:rsidP="00325C4E">
      <w:pPr>
        <w:rPr>
          <w:lang w:val="ar-SA" w:bidi="ar-EG"/>
        </w:rPr>
      </w:pPr>
      <w:r w:rsidRPr="00325C4E">
        <w:rPr>
          <w:rtl/>
        </w:rPr>
        <w:t>تستمر جهود التحول هذا العام في اكتساب الزخم. ومع نضوج محفظة التحول، تشارك فرق العمل عبر الاتحاد بشكل متزايد في كل مبادرة وتُمنح القدرة لتنفيذ هذه التغييرات الشاملة. وعملية التحول في الاتحاد ليست مجرد جهد تقني، بل تهدف إلى إنشاء قوة عاملة مرنة وقادرة وممكَّنة تضع الناس في صميم أولوياتها. ويقدم الشكل 1 لمحة عامة عن محفظة التحول الحالية للاتحاد ويوضح المبادرات التي بدأت بالفعل أو التي أُنجزت، بالإضافة إلى المبادرات الجاري تنفيذها. وستتم متابعة المبادرات المنجزة لضمان استمرار التحسين.</w:t>
      </w:r>
    </w:p>
    <w:p w14:paraId="3ED889E3" w14:textId="48261784" w:rsidR="00325C4E" w:rsidRPr="00325C4E" w:rsidRDefault="00325C4E" w:rsidP="00325C4E">
      <w:pPr>
        <w:rPr>
          <w:lang w:val="ar-SA" w:bidi="ar-EG"/>
        </w:rPr>
      </w:pPr>
      <w:r w:rsidRPr="00325C4E">
        <w:rPr>
          <w:rtl/>
        </w:rPr>
        <w:t xml:space="preserve">ويمكن النفاذ إلى لوحة متابعة التحول الإلكترونية من خلال </w:t>
      </w:r>
      <w:hyperlink r:id="rId26" w:history="1">
        <w:r w:rsidRPr="00325C4E">
          <w:rPr>
            <w:rStyle w:val="Hyperlink"/>
            <w:rFonts w:ascii="Dubai" w:eastAsiaTheme="minorEastAsia" w:hAnsi="Dubai" w:cs="Dubai"/>
            <w:noProof w:val="0"/>
            <w:sz w:val="22"/>
            <w:rtl/>
            <w:lang w:val="en-US" w:eastAsia="zh-CN"/>
          </w:rPr>
          <w:t>هذا الرابط</w:t>
        </w:r>
      </w:hyperlink>
      <w:r w:rsidRPr="00325C4E">
        <w:rPr>
          <w:rtl/>
        </w:rPr>
        <w:t>.</w:t>
      </w:r>
    </w:p>
    <w:p w14:paraId="5B52E37B" w14:textId="3AAB2A91" w:rsidR="00325C4E" w:rsidRPr="00325C4E" w:rsidRDefault="00325C4E" w:rsidP="007D76C6">
      <w:pPr>
        <w:pStyle w:val="Tabletitle"/>
        <w:spacing w:before="240" w:after="120"/>
        <w:rPr>
          <w:lang w:val="ar-SA" w:bidi="ar-EG"/>
        </w:rPr>
      </w:pPr>
      <w:r w:rsidRPr="00325C4E">
        <w:rPr>
          <w:rtl/>
        </w:rPr>
        <w:t>نظرة عامة على مبادرات التحول</w:t>
      </w:r>
    </w:p>
    <w:tbl>
      <w:tblPr>
        <w:bidiVisual/>
        <w:tblW w:w="5000" w:type="pct"/>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0"/>
        <w:gridCol w:w="1815"/>
        <w:gridCol w:w="1787"/>
        <w:gridCol w:w="1905"/>
        <w:gridCol w:w="1794"/>
      </w:tblGrid>
      <w:tr w:rsidR="00325C4E" w:rsidRPr="000E102D" w14:paraId="4B32EE08" w14:textId="77777777" w:rsidTr="00E8055F">
        <w:trPr>
          <w:trHeight w:val="401"/>
          <w:jc w:val="center"/>
        </w:trPr>
        <w:tc>
          <w:tcPr>
            <w:tcW w:w="1851"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0" w:type="dxa"/>
              <w:left w:w="108" w:type="dxa"/>
              <w:bottom w:w="0" w:type="dxa"/>
              <w:right w:w="108" w:type="dxa"/>
            </w:tcMar>
            <w:hideMark/>
          </w:tcPr>
          <w:p w14:paraId="15EDD9FA" w14:textId="77777777" w:rsidR="00325C4E" w:rsidRPr="000E102D" w:rsidRDefault="00325C4E" w:rsidP="000E102D">
            <w:pPr>
              <w:pStyle w:val="Tablehead"/>
              <w:rPr>
                <w:sz w:val="14"/>
                <w:szCs w:val="14"/>
                <w:lang w:val="ar-SA" w:bidi="ar-EG"/>
              </w:rPr>
            </w:pPr>
            <w:bookmarkStart w:id="0" w:name="_Hlk199169989"/>
            <w:bookmarkStart w:id="1" w:name="_Hlk199231265"/>
            <w:r w:rsidRPr="000E102D">
              <w:rPr>
                <w:sz w:val="14"/>
                <w:szCs w:val="14"/>
                <w:rtl/>
              </w:rPr>
              <w:t>الإدارة</w:t>
            </w:r>
          </w:p>
        </w:tc>
        <w:tc>
          <w:tcPr>
            <w:tcW w:w="1920"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0" w:type="dxa"/>
              <w:left w:w="108" w:type="dxa"/>
              <w:bottom w:w="0" w:type="dxa"/>
              <w:right w:w="108" w:type="dxa"/>
            </w:tcMar>
            <w:hideMark/>
          </w:tcPr>
          <w:p w14:paraId="60CFFBB3" w14:textId="77777777" w:rsidR="00325C4E" w:rsidRPr="000E102D" w:rsidRDefault="00325C4E" w:rsidP="000E102D">
            <w:pPr>
              <w:pStyle w:val="Tablehead"/>
              <w:rPr>
                <w:sz w:val="14"/>
                <w:szCs w:val="14"/>
                <w:lang w:val="ar-SA" w:bidi="ar-EG"/>
              </w:rPr>
            </w:pPr>
            <w:r w:rsidRPr="000E102D">
              <w:rPr>
                <w:sz w:val="14"/>
                <w:szCs w:val="14"/>
                <w:rtl/>
              </w:rPr>
              <w:t>الأنظمة والعمليات والأدوات</w:t>
            </w:r>
          </w:p>
        </w:tc>
        <w:tc>
          <w:tcPr>
            <w:tcW w:w="1890"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0" w:type="dxa"/>
              <w:left w:w="108" w:type="dxa"/>
              <w:bottom w:w="0" w:type="dxa"/>
              <w:right w:w="108" w:type="dxa"/>
            </w:tcMar>
            <w:hideMark/>
          </w:tcPr>
          <w:p w14:paraId="25F7DE7E" w14:textId="77777777" w:rsidR="00325C4E" w:rsidRPr="000E102D" w:rsidRDefault="00325C4E" w:rsidP="000E102D">
            <w:pPr>
              <w:pStyle w:val="Tablehead"/>
              <w:rPr>
                <w:sz w:val="14"/>
                <w:szCs w:val="14"/>
                <w:lang w:val="ar-SA" w:bidi="ar-EG"/>
              </w:rPr>
            </w:pPr>
            <w:r w:rsidRPr="000E102D">
              <w:rPr>
                <w:sz w:val="14"/>
                <w:szCs w:val="14"/>
                <w:rtl/>
              </w:rPr>
              <w:t>الأشخاص والثقافة</w:t>
            </w:r>
          </w:p>
        </w:tc>
        <w:tc>
          <w:tcPr>
            <w:tcW w:w="2016"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0" w:type="dxa"/>
              <w:left w:w="108" w:type="dxa"/>
              <w:bottom w:w="0" w:type="dxa"/>
              <w:right w:w="108" w:type="dxa"/>
            </w:tcMar>
            <w:hideMark/>
          </w:tcPr>
          <w:p w14:paraId="311F40CC" w14:textId="77777777" w:rsidR="00325C4E" w:rsidRPr="000E102D" w:rsidRDefault="00325C4E" w:rsidP="000E102D">
            <w:pPr>
              <w:pStyle w:val="Tablehead"/>
              <w:rPr>
                <w:sz w:val="14"/>
                <w:szCs w:val="14"/>
                <w:lang w:val="ar-SA" w:bidi="ar-EG"/>
              </w:rPr>
            </w:pPr>
            <w:r w:rsidRPr="000E102D">
              <w:rPr>
                <w:sz w:val="14"/>
                <w:szCs w:val="14"/>
                <w:rtl/>
              </w:rPr>
              <w:t>الاستعمال الأمثل للموارد</w:t>
            </w:r>
          </w:p>
        </w:tc>
        <w:tc>
          <w:tcPr>
            <w:tcW w:w="1894"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0" w:type="dxa"/>
              <w:left w:w="108" w:type="dxa"/>
              <w:bottom w:w="0" w:type="dxa"/>
              <w:right w:w="108" w:type="dxa"/>
            </w:tcMar>
            <w:hideMark/>
          </w:tcPr>
          <w:p w14:paraId="17058E5B" w14:textId="77777777" w:rsidR="00325C4E" w:rsidRPr="000E102D" w:rsidRDefault="00325C4E" w:rsidP="000E102D">
            <w:pPr>
              <w:pStyle w:val="Tablehead"/>
              <w:rPr>
                <w:sz w:val="14"/>
                <w:szCs w:val="14"/>
                <w:lang w:val="ar-SA" w:bidi="ar-EG"/>
              </w:rPr>
            </w:pPr>
            <w:r w:rsidRPr="000E102D">
              <w:rPr>
                <w:sz w:val="14"/>
                <w:szCs w:val="14"/>
                <w:rtl/>
              </w:rPr>
              <w:t>الأعضاء والشركاء</w:t>
            </w:r>
          </w:p>
        </w:tc>
      </w:tr>
      <w:bookmarkEnd w:id="0"/>
      <w:tr w:rsidR="00325C4E" w:rsidRPr="000E102D" w14:paraId="39D82668" w14:textId="77777777" w:rsidTr="00E8055F">
        <w:trPr>
          <w:trHeight w:val="103"/>
          <w:jc w:val="center"/>
        </w:trPr>
        <w:tc>
          <w:tcPr>
            <w:tcW w:w="9574" w:type="dxa"/>
            <w:gridSpan w:val="5"/>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FEF"/>
            <w:tcMar>
              <w:top w:w="0" w:type="dxa"/>
              <w:left w:w="108" w:type="dxa"/>
              <w:bottom w:w="0" w:type="dxa"/>
              <w:right w:w="108" w:type="dxa"/>
            </w:tcMar>
            <w:vAlign w:val="center"/>
            <w:hideMark/>
          </w:tcPr>
          <w:p w14:paraId="3E28AF41" w14:textId="2381169E" w:rsidR="00325C4E" w:rsidRPr="000E102D" w:rsidRDefault="00325C4E" w:rsidP="000E102D">
            <w:pPr>
              <w:pStyle w:val="Tabletexte"/>
              <w:jc w:val="center"/>
              <w:rPr>
                <w:b/>
                <w:bCs/>
                <w:sz w:val="14"/>
                <w:szCs w:val="14"/>
                <w:lang w:val="ar-SA" w:bidi="ar-EG"/>
              </w:rPr>
            </w:pPr>
            <w:r w:rsidRPr="000E102D">
              <w:rPr>
                <w:b/>
                <w:bCs/>
                <w:sz w:val="14"/>
                <w:szCs w:val="14"/>
                <w:rtl/>
              </w:rPr>
              <w:t>المبادرات الجارية والمنجزة</w:t>
            </w:r>
          </w:p>
        </w:tc>
      </w:tr>
      <w:tr w:rsidR="00325C4E" w:rsidRPr="000E102D" w14:paraId="68F556D6" w14:textId="77777777" w:rsidTr="00E8055F">
        <w:trPr>
          <w:trHeight w:val="2471"/>
          <w:jc w:val="center"/>
        </w:trPr>
        <w:tc>
          <w:tcPr>
            <w:tcW w:w="1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0" w:type="dxa"/>
              <w:left w:w="108" w:type="dxa"/>
              <w:bottom w:w="0" w:type="dxa"/>
              <w:right w:w="108" w:type="dxa"/>
            </w:tcMar>
          </w:tcPr>
          <w:p w14:paraId="34463CCC" w14:textId="77777777" w:rsidR="00325C4E" w:rsidRPr="000E102D" w:rsidRDefault="00325C4E" w:rsidP="000E102D">
            <w:pPr>
              <w:pStyle w:val="Tabletexte"/>
              <w:jc w:val="left"/>
              <w:rPr>
                <w:b/>
                <w:bCs/>
                <w:sz w:val="14"/>
                <w:szCs w:val="14"/>
                <w:lang w:val="ar-SA" w:bidi="ar-EG"/>
              </w:rPr>
            </w:pPr>
            <w:r w:rsidRPr="000E102D">
              <w:rPr>
                <w:b/>
                <w:bCs/>
                <w:sz w:val="14"/>
                <w:szCs w:val="14"/>
                <w:rtl/>
              </w:rPr>
              <w:t>إطار المساءلة وتفويض السلطة</w:t>
            </w:r>
          </w:p>
          <w:p w14:paraId="55763579" w14:textId="10294A4A" w:rsidR="00325C4E" w:rsidRPr="000E102D" w:rsidRDefault="00325C4E" w:rsidP="000E102D">
            <w:pPr>
              <w:pStyle w:val="Tabletexte"/>
              <w:jc w:val="left"/>
              <w:rPr>
                <w:b/>
                <w:bCs/>
                <w:sz w:val="14"/>
                <w:szCs w:val="14"/>
                <w:lang w:val="ar-SA" w:bidi="ar-EG"/>
              </w:rPr>
            </w:pPr>
            <w:r w:rsidRPr="000E102D">
              <w:rPr>
                <w:b/>
                <w:bCs/>
                <w:sz w:val="14"/>
                <w:szCs w:val="14"/>
                <w:rtl/>
              </w:rPr>
              <w:t>المراج</w:t>
            </w:r>
            <w:r w:rsidR="00457827" w:rsidRPr="000E102D">
              <w:rPr>
                <w:rFonts w:hint="cs"/>
                <w:b/>
                <w:bCs/>
                <w:sz w:val="14"/>
                <w:szCs w:val="14"/>
                <w:rtl/>
              </w:rPr>
              <w:t>َ</w:t>
            </w:r>
            <w:r w:rsidRPr="000E102D">
              <w:rPr>
                <w:b/>
                <w:bCs/>
                <w:sz w:val="14"/>
                <w:szCs w:val="14"/>
                <w:rtl/>
              </w:rPr>
              <w:t>عة والرقابة</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0" w:type="dxa"/>
              <w:left w:w="108" w:type="dxa"/>
              <w:bottom w:w="0" w:type="dxa"/>
              <w:right w:w="108" w:type="dxa"/>
            </w:tcMar>
          </w:tcPr>
          <w:p w14:paraId="32EE5573" w14:textId="464ABF3B" w:rsidR="00325C4E" w:rsidRPr="000E102D" w:rsidRDefault="00325C4E" w:rsidP="000E102D">
            <w:pPr>
              <w:pStyle w:val="Tabletexte"/>
              <w:jc w:val="left"/>
              <w:rPr>
                <w:b/>
                <w:bCs/>
                <w:sz w:val="14"/>
                <w:szCs w:val="14"/>
                <w:lang w:val="ar-SA" w:bidi="ar-EG"/>
              </w:rPr>
            </w:pPr>
            <w:r w:rsidRPr="000E102D">
              <w:rPr>
                <w:b/>
                <w:bCs/>
                <w:sz w:val="14"/>
                <w:szCs w:val="14"/>
                <w:rtl/>
              </w:rPr>
              <w:t>تنفيذ الذكاء الاصطناعي</w:t>
            </w:r>
          </w:p>
          <w:p w14:paraId="4676FB13" w14:textId="66A659D8" w:rsidR="00325C4E" w:rsidRPr="000E102D" w:rsidRDefault="00325C4E" w:rsidP="000E102D">
            <w:pPr>
              <w:pStyle w:val="Tabletexte"/>
              <w:jc w:val="left"/>
              <w:rPr>
                <w:b/>
                <w:bCs/>
                <w:sz w:val="14"/>
                <w:szCs w:val="14"/>
                <w:lang w:val="ar-SA" w:bidi="ar-EG"/>
              </w:rPr>
            </w:pPr>
            <w:r w:rsidRPr="000E102D">
              <w:rPr>
                <w:b/>
                <w:bCs/>
                <w:sz w:val="14"/>
                <w:szCs w:val="14"/>
                <w:rtl/>
              </w:rPr>
              <w:t>إدارة المعلومات وإدارة</w:t>
            </w:r>
            <w:r w:rsidR="000E102D" w:rsidRPr="000E102D">
              <w:rPr>
                <w:rFonts w:hint="cs"/>
                <w:b/>
                <w:bCs/>
                <w:sz w:val="14"/>
                <w:szCs w:val="14"/>
                <w:rtl/>
              </w:rPr>
              <w:t> </w:t>
            </w:r>
            <w:r w:rsidRPr="000E102D">
              <w:rPr>
                <w:b/>
                <w:bCs/>
                <w:sz w:val="14"/>
                <w:szCs w:val="14"/>
                <w:rtl/>
              </w:rPr>
              <w:t>المعرفة</w:t>
            </w:r>
          </w:p>
        </w:tc>
        <w:tc>
          <w:tcPr>
            <w:tcW w:w="1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0" w:type="dxa"/>
              <w:left w:w="108" w:type="dxa"/>
              <w:bottom w:w="0" w:type="dxa"/>
              <w:right w:w="108" w:type="dxa"/>
            </w:tcMar>
          </w:tcPr>
          <w:p w14:paraId="5D8ADE71" w14:textId="77777777" w:rsidR="00325C4E" w:rsidRPr="000E102D" w:rsidRDefault="00325C4E" w:rsidP="000E102D">
            <w:pPr>
              <w:pStyle w:val="Tabletexte"/>
              <w:jc w:val="left"/>
              <w:rPr>
                <w:b/>
                <w:bCs/>
                <w:sz w:val="14"/>
                <w:szCs w:val="14"/>
                <w:lang w:val="ar-SA" w:bidi="ar-EG"/>
              </w:rPr>
            </w:pPr>
            <w:r w:rsidRPr="000E102D">
              <w:rPr>
                <w:b/>
                <w:bCs/>
                <w:sz w:val="14"/>
                <w:szCs w:val="14"/>
                <w:rtl/>
              </w:rPr>
              <w:t>ثقافة القيادة</w:t>
            </w:r>
          </w:p>
          <w:p w14:paraId="7F30DDDC" w14:textId="77777777" w:rsidR="00325C4E" w:rsidRPr="000E102D" w:rsidRDefault="00325C4E" w:rsidP="000E102D">
            <w:pPr>
              <w:pStyle w:val="Tabletexte"/>
              <w:jc w:val="left"/>
              <w:rPr>
                <w:b/>
                <w:bCs/>
                <w:sz w:val="14"/>
                <w:szCs w:val="14"/>
                <w:lang w:val="ar-SA" w:bidi="ar-EG"/>
              </w:rPr>
            </w:pPr>
            <w:r w:rsidRPr="000E102D">
              <w:rPr>
                <w:b/>
                <w:bCs/>
                <w:sz w:val="14"/>
                <w:szCs w:val="14"/>
                <w:rtl/>
              </w:rPr>
              <w:t>التوظيف</w:t>
            </w:r>
          </w:p>
          <w:p w14:paraId="22A50895" w14:textId="77777777" w:rsidR="00325C4E" w:rsidRPr="000E102D" w:rsidRDefault="00325C4E" w:rsidP="000E102D">
            <w:pPr>
              <w:pStyle w:val="Tabletexte"/>
              <w:jc w:val="left"/>
              <w:rPr>
                <w:b/>
                <w:bCs/>
                <w:sz w:val="14"/>
                <w:szCs w:val="14"/>
                <w:lang w:val="ar-SA" w:bidi="ar-EG"/>
              </w:rPr>
            </w:pPr>
            <w:r w:rsidRPr="000E102D">
              <w:rPr>
                <w:b/>
                <w:bCs/>
                <w:sz w:val="14"/>
                <w:szCs w:val="14"/>
                <w:rtl/>
              </w:rPr>
              <w:t>إدارة الأداء</w:t>
            </w:r>
          </w:p>
          <w:p w14:paraId="2DF26D01" w14:textId="77777777" w:rsidR="00325C4E" w:rsidRPr="000E102D" w:rsidRDefault="00325C4E" w:rsidP="000E102D">
            <w:pPr>
              <w:pStyle w:val="Tabletexte"/>
              <w:jc w:val="left"/>
              <w:rPr>
                <w:b/>
                <w:bCs/>
                <w:sz w:val="14"/>
                <w:szCs w:val="14"/>
                <w:lang w:val="ar-SA" w:bidi="ar-EG"/>
              </w:rPr>
            </w:pPr>
            <w:r w:rsidRPr="000E102D">
              <w:rPr>
                <w:b/>
                <w:bCs/>
                <w:sz w:val="14"/>
                <w:szCs w:val="14"/>
                <w:rtl/>
              </w:rPr>
              <w:t>التنقلية</w:t>
            </w:r>
          </w:p>
          <w:p w14:paraId="3DF18DD0" w14:textId="169976F5" w:rsidR="00325C4E" w:rsidRPr="000E102D" w:rsidRDefault="00CF7B6F" w:rsidP="000E102D">
            <w:pPr>
              <w:pStyle w:val="Tabletexte"/>
              <w:jc w:val="left"/>
              <w:rPr>
                <w:b/>
                <w:bCs/>
                <w:sz w:val="14"/>
                <w:szCs w:val="14"/>
                <w:lang w:val="ar-SA" w:bidi="ar-EG"/>
              </w:rPr>
            </w:pPr>
            <w:r w:rsidRPr="000E102D">
              <w:rPr>
                <w:b/>
                <w:bCs/>
                <w:sz w:val="14"/>
                <w:szCs w:val="14"/>
                <w:rtl/>
              </w:rPr>
              <w:t>مشاركة الموظفين</w:t>
            </w:r>
          </w:p>
        </w:tc>
        <w:tc>
          <w:tcPr>
            <w:tcW w:w="20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0" w:type="dxa"/>
              <w:left w:w="108" w:type="dxa"/>
              <w:bottom w:w="0" w:type="dxa"/>
              <w:right w:w="108" w:type="dxa"/>
            </w:tcMar>
          </w:tcPr>
          <w:p w14:paraId="76DA3987" w14:textId="77777777" w:rsidR="00325C4E" w:rsidRPr="000E102D" w:rsidRDefault="00325C4E" w:rsidP="000E102D">
            <w:pPr>
              <w:pStyle w:val="Tabletexte"/>
              <w:jc w:val="left"/>
              <w:rPr>
                <w:b/>
                <w:bCs/>
                <w:sz w:val="14"/>
                <w:szCs w:val="14"/>
                <w:lang w:val="ar-SA" w:bidi="ar-EG"/>
              </w:rPr>
            </w:pPr>
            <w:r w:rsidRPr="000E102D">
              <w:rPr>
                <w:b/>
                <w:bCs/>
                <w:sz w:val="14"/>
                <w:szCs w:val="14"/>
                <w:rtl/>
              </w:rPr>
              <w:t>السفر</w:t>
            </w:r>
          </w:p>
          <w:p w14:paraId="5939B3ED" w14:textId="1DE5DFEE" w:rsidR="00325C4E" w:rsidRPr="000E102D" w:rsidRDefault="00325C4E" w:rsidP="000E102D">
            <w:pPr>
              <w:pStyle w:val="Tabletexte"/>
              <w:jc w:val="left"/>
              <w:rPr>
                <w:b/>
                <w:bCs/>
                <w:sz w:val="14"/>
                <w:szCs w:val="14"/>
                <w:lang w:val="ar-SA" w:bidi="ar-EG"/>
              </w:rPr>
            </w:pPr>
            <w:r w:rsidRPr="000E102D">
              <w:rPr>
                <w:b/>
                <w:bCs/>
                <w:sz w:val="14"/>
                <w:szCs w:val="14"/>
                <w:rtl/>
              </w:rPr>
              <w:t>إدارة الأموال الخارجة عن الميزانية</w:t>
            </w:r>
          </w:p>
          <w:p w14:paraId="5D92B1A5" w14:textId="5C9E3BEB" w:rsidR="00325C4E" w:rsidRPr="00CF2113" w:rsidRDefault="00325C4E" w:rsidP="000E102D">
            <w:pPr>
              <w:pStyle w:val="Tabletexte"/>
              <w:jc w:val="left"/>
              <w:rPr>
                <w:sz w:val="14"/>
                <w:szCs w:val="14"/>
              </w:rPr>
            </w:pPr>
            <w:r w:rsidRPr="000E102D">
              <w:rPr>
                <w:sz w:val="14"/>
                <w:szCs w:val="14"/>
                <w:vertAlign w:val="superscript"/>
                <w:rtl/>
              </w:rPr>
              <w:t>استكمال</w:t>
            </w:r>
            <w:r w:rsidRPr="000E102D">
              <w:rPr>
                <w:sz w:val="14"/>
                <w:szCs w:val="14"/>
                <w:rtl/>
              </w:rPr>
              <w:t xml:space="preserve"> إدارة مخصصات</w:t>
            </w:r>
            <w:r w:rsidR="007D76C6" w:rsidRPr="000E102D">
              <w:rPr>
                <w:sz w:val="14"/>
                <w:szCs w:val="14"/>
                <w:rtl/>
                <w:lang w:bidi="ar-SA"/>
              </w:rPr>
              <w:t xml:space="preserve"> </w:t>
            </w:r>
            <w:r w:rsidRPr="000E102D">
              <w:rPr>
                <w:sz w:val="14"/>
                <w:szCs w:val="14"/>
                <w:rtl/>
                <w:lang w:bidi="ar-SA"/>
              </w:rPr>
              <w:t>ا</w:t>
            </w:r>
            <w:r w:rsidRPr="000E102D">
              <w:rPr>
                <w:sz w:val="14"/>
                <w:szCs w:val="14"/>
                <w:rtl/>
              </w:rPr>
              <w:t>لميزانية</w:t>
            </w:r>
          </w:p>
          <w:p w14:paraId="5F046FC2" w14:textId="38583DF3" w:rsidR="00325C4E" w:rsidRPr="000E102D" w:rsidRDefault="00325C4E" w:rsidP="000E102D">
            <w:pPr>
              <w:pStyle w:val="Tabletexte"/>
              <w:jc w:val="left"/>
              <w:rPr>
                <w:sz w:val="14"/>
                <w:szCs w:val="14"/>
                <w:lang w:val="ar-SA" w:bidi="ar-EG"/>
              </w:rPr>
            </w:pPr>
            <w:r w:rsidRPr="000E102D">
              <w:rPr>
                <w:sz w:val="14"/>
                <w:szCs w:val="14"/>
                <w:vertAlign w:val="superscript"/>
                <w:rtl/>
              </w:rPr>
              <w:t>استكم</w:t>
            </w:r>
            <w:r w:rsidR="00E8055F" w:rsidRPr="000E102D">
              <w:rPr>
                <w:rFonts w:hint="cs"/>
                <w:sz w:val="14"/>
                <w:szCs w:val="14"/>
                <w:vertAlign w:val="superscript"/>
                <w:rtl/>
              </w:rPr>
              <w:t>ا</w:t>
            </w:r>
            <w:r w:rsidRPr="000E102D">
              <w:rPr>
                <w:sz w:val="14"/>
                <w:szCs w:val="14"/>
                <w:vertAlign w:val="superscript"/>
                <w:rtl/>
              </w:rPr>
              <w:t>ل</w:t>
            </w:r>
            <w:r w:rsidRPr="000E102D">
              <w:rPr>
                <w:sz w:val="14"/>
                <w:szCs w:val="14"/>
                <w:rtl/>
              </w:rPr>
              <w:t xml:space="preserve"> اللوائح المالية والقواعد المالية</w:t>
            </w:r>
          </w:p>
          <w:p w14:paraId="66A9B6FD" w14:textId="18754483" w:rsidR="00325C4E" w:rsidRPr="000E102D" w:rsidRDefault="00325C4E" w:rsidP="000E102D">
            <w:pPr>
              <w:pStyle w:val="Tabletexte"/>
              <w:jc w:val="left"/>
              <w:rPr>
                <w:b/>
                <w:bCs/>
                <w:sz w:val="14"/>
                <w:szCs w:val="14"/>
                <w:lang w:val="ar-SA" w:bidi="ar-EG"/>
              </w:rPr>
            </w:pPr>
            <w:r w:rsidRPr="000E102D">
              <w:rPr>
                <w:sz w:val="14"/>
                <w:szCs w:val="14"/>
                <w:vertAlign w:val="superscript"/>
                <w:rtl/>
              </w:rPr>
              <w:t>استكمال</w:t>
            </w:r>
            <w:r w:rsidRPr="000E102D">
              <w:rPr>
                <w:sz w:val="14"/>
                <w:szCs w:val="14"/>
                <w:rtl/>
              </w:rPr>
              <w:t xml:space="preserve"> إدارة </w:t>
            </w:r>
            <w:r w:rsidR="00D9499A" w:rsidRPr="000E102D">
              <w:rPr>
                <w:rFonts w:hint="cs"/>
                <w:sz w:val="14"/>
                <w:szCs w:val="14"/>
                <w:rtl/>
              </w:rPr>
              <w:t>الخزانة</w:t>
            </w:r>
          </w:p>
        </w:tc>
        <w:tc>
          <w:tcPr>
            <w:tcW w:w="18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0" w:type="dxa"/>
              <w:left w:w="108" w:type="dxa"/>
              <w:bottom w:w="0" w:type="dxa"/>
              <w:right w:w="108" w:type="dxa"/>
            </w:tcMar>
          </w:tcPr>
          <w:p w14:paraId="17DDF47C" w14:textId="65D20F35" w:rsidR="00325C4E" w:rsidRPr="000E102D" w:rsidRDefault="00325C4E" w:rsidP="000E102D">
            <w:pPr>
              <w:pStyle w:val="Tabletexte"/>
              <w:jc w:val="left"/>
              <w:rPr>
                <w:b/>
                <w:bCs/>
                <w:sz w:val="14"/>
                <w:szCs w:val="14"/>
                <w:lang w:val="ar-SA" w:bidi="ar-EG"/>
              </w:rPr>
            </w:pPr>
            <w:r w:rsidRPr="000E102D">
              <w:rPr>
                <w:b/>
                <w:bCs/>
                <w:sz w:val="14"/>
                <w:szCs w:val="14"/>
                <w:rtl/>
              </w:rPr>
              <w:t xml:space="preserve">التعاون مع الأمم المتحدة/النظام </w:t>
            </w:r>
            <w:r w:rsidR="00D9499A" w:rsidRPr="000E102D">
              <w:rPr>
                <w:rFonts w:hint="cs"/>
                <w:b/>
                <w:bCs/>
                <w:sz w:val="14"/>
                <w:szCs w:val="14"/>
                <w:rtl/>
              </w:rPr>
              <w:t>البيئي</w:t>
            </w:r>
            <w:r w:rsidR="00D9499A" w:rsidRPr="000E102D">
              <w:rPr>
                <w:b/>
                <w:bCs/>
                <w:sz w:val="14"/>
                <w:szCs w:val="14"/>
                <w:rtl/>
              </w:rPr>
              <w:t xml:space="preserve"> </w:t>
            </w:r>
            <w:r w:rsidRPr="000E102D">
              <w:rPr>
                <w:b/>
                <w:bCs/>
                <w:sz w:val="14"/>
                <w:szCs w:val="14"/>
                <w:rtl/>
              </w:rPr>
              <w:t>الرقمي</w:t>
            </w:r>
          </w:p>
          <w:p w14:paraId="41B8F54A" w14:textId="406FDBEE" w:rsidR="00325C4E" w:rsidRPr="000E102D" w:rsidRDefault="00325C4E" w:rsidP="000E102D">
            <w:pPr>
              <w:pStyle w:val="Tabletexte"/>
              <w:jc w:val="left"/>
              <w:rPr>
                <w:b/>
                <w:bCs/>
                <w:sz w:val="14"/>
                <w:szCs w:val="14"/>
                <w:lang w:val="ar-SA" w:bidi="ar-EG"/>
              </w:rPr>
            </w:pPr>
            <w:r w:rsidRPr="000E102D">
              <w:rPr>
                <w:b/>
                <w:bCs/>
                <w:sz w:val="14"/>
                <w:szCs w:val="14"/>
                <w:rtl/>
              </w:rPr>
              <w:t>الموقع الإلكتروني والعلامة التجارية والاتصال</w:t>
            </w:r>
            <w:r w:rsidR="00600DEF" w:rsidRPr="000E102D">
              <w:rPr>
                <w:rFonts w:hint="cs"/>
                <w:b/>
                <w:bCs/>
                <w:sz w:val="14"/>
                <w:szCs w:val="14"/>
                <w:rtl/>
              </w:rPr>
              <w:t>ات</w:t>
            </w:r>
            <w:r w:rsidRPr="000E102D">
              <w:rPr>
                <w:b/>
                <w:bCs/>
                <w:sz w:val="14"/>
                <w:szCs w:val="14"/>
                <w:rtl/>
              </w:rPr>
              <w:t xml:space="preserve"> الخارجي</w:t>
            </w:r>
            <w:r w:rsidR="00600DEF" w:rsidRPr="000E102D">
              <w:rPr>
                <w:rFonts w:hint="cs"/>
                <w:b/>
                <w:bCs/>
                <w:sz w:val="14"/>
                <w:szCs w:val="14"/>
                <w:rtl/>
              </w:rPr>
              <w:t>ة</w:t>
            </w:r>
          </w:p>
          <w:p w14:paraId="73602EB2" w14:textId="77777777" w:rsidR="00325C4E" w:rsidRPr="000E102D" w:rsidRDefault="00325C4E" w:rsidP="000E102D">
            <w:pPr>
              <w:pStyle w:val="Tabletexte"/>
              <w:jc w:val="left"/>
              <w:rPr>
                <w:b/>
                <w:bCs/>
                <w:sz w:val="14"/>
                <w:szCs w:val="14"/>
                <w:lang w:val="ar-SA" w:bidi="ar-EG"/>
              </w:rPr>
            </w:pPr>
            <w:r w:rsidRPr="000E102D">
              <w:rPr>
                <w:b/>
                <w:bCs/>
                <w:sz w:val="14"/>
                <w:szCs w:val="14"/>
                <w:rtl/>
              </w:rPr>
              <w:t>تعبئة الموارد</w:t>
            </w:r>
          </w:p>
          <w:p w14:paraId="42F09A8E" w14:textId="77777777" w:rsidR="00325C4E" w:rsidRPr="000E102D" w:rsidRDefault="00325C4E" w:rsidP="000E102D">
            <w:pPr>
              <w:pStyle w:val="Tabletexte"/>
              <w:jc w:val="left"/>
              <w:rPr>
                <w:b/>
                <w:bCs/>
                <w:sz w:val="14"/>
                <w:szCs w:val="14"/>
                <w:lang w:val="ar-SA" w:bidi="ar-EG"/>
              </w:rPr>
            </w:pPr>
            <w:r w:rsidRPr="000E102D">
              <w:rPr>
                <w:b/>
                <w:bCs/>
                <w:sz w:val="14"/>
                <w:szCs w:val="14"/>
                <w:rtl/>
              </w:rPr>
              <w:t>إدارة المؤتمرات والأحداث</w:t>
            </w:r>
          </w:p>
          <w:p w14:paraId="1F1AE1BA" w14:textId="5A516C15" w:rsidR="00325C4E" w:rsidRPr="000E102D" w:rsidRDefault="00325C4E" w:rsidP="000E102D">
            <w:pPr>
              <w:pStyle w:val="Tabletexte"/>
              <w:jc w:val="left"/>
              <w:rPr>
                <w:b/>
                <w:bCs/>
                <w:sz w:val="14"/>
                <w:szCs w:val="14"/>
                <w:lang w:val="ar-SA" w:bidi="ar-EG"/>
              </w:rPr>
            </w:pPr>
            <w:r w:rsidRPr="000E102D">
              <w:rPr>
                <w:b/>
                <w:bCs/>
                <w:sz w:val="14"/>
                <w:szCs w:val="14"/>
                <w:rtl/>
              </w:rPr>
              <w:t>الاتصال</w:t>
            </w:r>
            <w:r w:rsidR="009668D4" w:rsidRPr="000E102D">
              <w:rPr>
                <w:rFonts w:hint="cs"/>
                <w:b/>
                <w:bCs/>
                <w:sz w:val="14"/>
                <w:szCs w:val="14"/>
                <w:rtl/>
              </w:rPr>
              <w:t>ات</w:t>
            </w:r>
            <w:r w:rsidRPr="000E102D">
              <w:rPr>
                <w:b/>
                <w:bCs/>
                <w:sz w:val="14"/>
                <w:szCs w:val="14"/>
                <w:rtl/>
              </w:rPr>
              <w:t xml:space="preserve"> والإعلام</w:t>
            </w:r>
          </w:p>
          <w:p w14:paraId="778CA07A" w14:textId="77685015" w:rsidR="00325C4E" w:rsidRPr="000E102D" w:rsidRDefault="00325C4E" w:rsidP="000E102D">
            <w:pPr>
              <w:pStyle w:val="Tabletexte"/>
              <w:jc w:val="left"/>
              <w:rPr>
                <w:b/>
                <w:bCs/>
                <w:sz w:val="14"/>
                <w:szCs w:val="14"/>
                <w:lang w:val="ar-SA" w:bidi="ar-EG"/>
              </w:rPr>
            </w:pPr>
            <w:r w:rsidRPr="000E102D">
              <w:rPr>
                <w:b/>
                <w:bCs/>
                <w:sz w:val="14"/>
                <w:szCs w:val="14"/>
                <w:rtl/>
              </w:rPr>
              <w:t>نظام إدارة العلاقة مع العملاء</w:t>
            </w:r>
          </w:p>
        </w:tc>
      </w:tr>
      <w:tr w:rsidR="00325C4E" w:rsidRPr="000E102D" w14:paraId="5DC1CDC2" w14:textId="77777777" w:rsidTr="00E8055F">
        <w:trPr>
          <w:trHeight w:val="409"/>
          <w:jc w:val="center"/>
        </w:trPr>
        <w:tc>
          <w:tcPr>
            <w:tcW w:w="9574"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0" w:type="dxa"/>
              <w:left w:w="108" w:type="dxa"/>
              <w:bottom w:w="0" w:type="dxa"/>
              <w:right w:w="108" w:type="dxa"/>
            </w:tcMar>
            <w:vAlign w:val="center"/>
            <w:hideMark/>
          </w:tcPr>
          <w:p w14:paraId="27114CF3" w14:textId="77777777" w:rsidR="00325C4E" w:rsidRPr="000E102D" w:rsidRDefault="00325C4E" w:rsidP="000E102D">
            <w:pPr>
              <w:pStyle w:val="Tabletexte"/>
              <w:keepNext/>
              <w:jc w:val="center"/>
              <w:rPr>
                <w:b/>
                <w:bCs/>
                <w:sz w:val="14"/>
                <w:szCs w:val="14"/>
                <w:lang w:val="ar-SA" w:bidi="ar-EG"/>
              </w:rPr>
            </w:pPr>
            <w:r w:rsidRPr="000E102D">
              <w:rPr>
                <w:b/>
                <w:bCs/>
                <w:sz w:val="14"/>
                <w:szCs w:val="14"/>
                <w:rtl/>
              </w:rPr>
              <w:t>المبادرات المقبلة</w:t>
            </w:r>
          </w:p>
        </w:tc>
      </w:tr>
      <w:tr w:rsidR="00325C4E" w:rsidRPr="000E102D" w14:paraId="77B0CAF2" w14:textId="77777777" w:rsidTr="00E8055F">
        <w:trPr>
          <w:trHeight w:val="2812"/>
          <w:jc w:val="center"/>
        </w:trPr>
        <w:tc>
          <w:tcPr>
            <w:tcW w:w="1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0" w:type="dxa"/>
              <w:left w:w="108" w:type="dxa"/>
              <w:bottom w:w="0" w:type="dxa"/>
              <w:right w:w="108" w:type="dxa"/>
            </w:tcMar>
          </w:tcPr>
          <w:p w14:paraId="6EFF7041" w14:textId="3FD85BAC" w:rsidR="00325C4E" w:rsidRPr="000E102D" w:rsidRDefault="00325C4E" w:rsidP="000E102D">
            <w:pPr>
              <w:pStyle w:val="Tabletexte"/>
              <w:jc w:val="left"/>
              <w:rPr>
                <w:sz w:val="14"/>
                <w:szCs w:val="14"/>
                <w:lang w:val="ar-SA" w:bidi="ar-EG"/>
              </w:rPr>
            </w:pPr>
            <w:bookmarkStart w:id="2" w:name="_Hlk199172607"/>
            <w:r w:rsidRPr="000E102D">
              <w:rPr>
                <w:sz w:val="14"/>
                <w:szCs w:val="14"/>
                <w:rtl/>
              </w:rPr>
              <w:t>إدارة المخاطر والامتثال</w:t>
            </w:r>
          </w:p>
          <w:p w14:paraId="1ABF4A83" w14:textId="77777777" w:rsidR="00325C4E" w:rsidRPr="000E102D" w:rsidRDefault="00325C4E" w:rsidP="000E102D">
            <w:pPr>
              <w:pStyle w:val="Tabletexte"/>
              <w:jc w:val="left"/>
              <w:rPr>
                <w:sz w:val="14"/>
                <w:szCs w:val="14"/>
                <w:lang w:val="ar-SA" w:bidi="ar-EG"/>
              </w:rPr>
            </w:pPr>
            <w:r w:rsidRPr="000E102D">
              <w:rPr>
                <w:sz w:val="14"/>
                <w:szCs w:val="14"/>
                <w:rtl/>
              </w:rPr>
              <w:t>تحديد الأولويات الاستراتيجية ومواءمة الموارد المالية</w:t>
            </w:r>
          </w:p>
          <w:p w14:paraId="32F470B4" w14:textId="05F2270C" w:rsidR="00325C4E" w:rsidRPr="000E102D" w:rsidRDefault="00325C4E" w:rsidP="000E102D">
            <w:pPr>
              <w:pStyle w:val="Tabletexte"/>
              <w:jc w:val="left"/>
              <w:rPr>
                <w:sz w:val="14"/>
                <w:szCs w:val="14"/>
                <w:lang w:val="ar-SA" w:bidi="ar-EG"/>
              </w:rPr>
            </w:pPr>
            <w:r w:rsidRPr="000E102D">
              <w:rPr>
                <w:sz w:val="14"/>
                <w:szCs w:val="14"/>
                <w:rtl/>
              </w:rPr>
              <w:t>إطار إدارة الشركات واتخاذ</w:t>
            </w:r>
            <w:r w:rsidR="00CF2113">
              <w:rPr>
                <w:rFonts w:hint="cs"/>
                <w:sz w:val="14"/>
                <w:szCs w:val="14"/>
                <w:rtl/>
              </w:rPr>
              <w:t> </w:t>
            </w:r>
            <w:r w:rsidRPr="000E102D">
              <w:rPr>
                <w:sz w:val="14"/>
                <w:szCs w:val="14"/>
                <w:rtl/>
              </w:rPr>
              <w:t>القرار</w:t>
            </w:r>
          </w:p>
          <w:p w14:paraId="660053B4" w14:textId="77777777" w:rsidR="00325C4E" w:rsidRPr="000E102D" w:rsidRDefault="00325C4E" w:rsidP="000E102D">
            <w:pPr>
              <w:pStyle w:val="Tabletexte"/>
              <w:jc w:val="left"/>
              <w:rPr>
                <w:sz w:val="14"/>
                <w:szCs w:val="14"/>
                <w:lang w:val="ar-SA" w:bidi="ar-EG"/>
              </w:rPr>
            </w:pPr>
            <w:r w:rsidRPr="000E102D">
              <w:rPr>
                <w:sz w:val="14"/>
                <w:szCs w:val="14"/>
                <w:rtl/>
              </w:rPr>
              <w:t>إطار قائم على النتائج</w:t>
            </w:r>
          </w:p>
          <w:p w14:paraId="589082A3" w14:textId="77D53FA5" w:rsidR="00325C4E" w:rsidRPr="000E102D" w:rsidRDefault="00325C4E" w:rsidP="000E102D">
            <w:pPr>
              <w:pStyle w:val="Tabletexte"/>
              <w:jc w:val="left"/>
              <w:rPr>
                <w:sz w:val="14"/>
                <w:szCs w:val="14"/>
                <w:lang w:val="ar-SA" w:bidi="ar-EG"/>
              </w:rPr>
            </w:pPr>
            <w:r w:rsidRPr="000E102D">
              <w:rPr>
                <w:sz w:val="14"/>
                <w:szCs w:val="14"/>
                <w:rtl/>
              </w:rPr>
              <w:t>إطار الرقابة الداخلية</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0" w:type="dxa"/>
              <w:left w:w="108" w:type="dxa"/>
              <w:bottom w:w="0" w:type="dxa"/>
              <w:right w:w="108" w:type="dxa"/>
            </w:tcMar>
          </w:tcPr>
          <w:p w14:paraId="3AF07EF5" w14:textId="6A41B949" w:rsidR="00325C4E" w:rsidRPr="000E102D" w:rsidRDefault="00325C4E" w:rsidP="000E102D">
            <w:pPr>
              <w:pStyle w:val="Tabletexte"/>
              <w:jc w:val="left"/>
              <w:rPr>
                <w:sz w:val="14"/>
                <w:szCs w:val="14"/>
                <w:lang w:val="ar-SA" w:bidi="ar-EG"/>
              </w:rPr>
            </w:pPr>
            <w:r w:rsidRPr="000E102D">
              <w:rPr>
                <w:sz w:val="14"/>
                <w:szCs w:val="14"/>
                <w:rtl/>
              </w:rPr>
              <w:t>إدارة الوثائق</w:t>
            </w:r>
          </w:p>
          <w:p w14:paraId="2BAFA1EE" w14:textId="766E239F" w:rsidR="00325C4E" w:rsidRPr="000E102D" w:rsidRDefault="00325C4E" w:rsidP="000E102D">
            <w:pPr>
              <w:pStyle w:val="Tabletexte"/>
              <w:jc w:val="left"/>
              <w:rPr>
                <w:sz w:val="14"/>
                <w:szCs w:val="14"/>
                <w:lang w:val="ar-SA" w:bidi="ar-EG"/>
              </w:rPr>
            </w:pPr>
            <w:r w:rsidRPr="000E102D">
              <w:rPr>
                <w:sz w:val="14"/>
                <w:szCs w:val="14"/>
                <w:rtl/>
              </w:rPr>
              <w:t>نموذج التشغيل المستهدف</w:t>
            </w:r>
          </w:p>
          <w:p w14:paraId="41C2BECC" w14:textId="7A597F7F" w:rsidR="00325C4E" w:rsidRPr="000E102D" w:rsidRDefault="00325C4E" w:rsidP="000E102D">
            <w:pPr>
              <w:pStyle w:val="Tabletexte"/>
              <w:jc w:val="left"/>
              <w:rPr>
                <w:sz w:val="14"/>
                <w:szCs w:val="14"/>
                <w:lang w:val="ar-SA" w:bidi="ar-EG"/>
              </w:rPr>
            </w:pPr>
            <w:r w:rsidRPr="000E102D">
              <w:rPr>
                <w:sz w:val="14"/>
                <w:szCs w:val="14"/>
                <w:rtl/>
              </w:rPr>
              <w:t>‏تحسين العمليات المستمر والمرن</w:t>
            </w:r>
            <w:r w:rsidRPr="000E102D">
              <w:rPr>
                <w:sz w:val="14"/>
                <w:szCs w:val="14"/>
                <w:cs/>
              </w:rPr>
              <w:t>‎</w:t>
            </w:r>
          </w:p>
          <w:p w14:paraId="142BFE4A" w14:textId="77777777" w:rsidR="00325C4E" w:rsidRPr="000E102D" w:rsidRDefault="00325C4E" w:rsidP="000E102D">
            <w:pPr>
              <w:pStyle w:val="Tabletexte"/>
              <w:jc w:val="left"/>
              <w:rPr>
                <w:sz w:val="14"/>
                <w:szCs w:val="14"/>
                <w:lang w:val="ar-SA" w:bidi="ar-EG"/>
              </w:rPr>
            </w:pPr>
            <w:r w:rsidRPr="000E102D">
              <w:rPr>
                <w:sz w:val="14"/>
                <w:szCs w:val="14"/>
                <w:rtl/>
              </w:rPr>
              <w:t>بنية المؤسسة</w:t>
            </w:r>
          </w:p>
          <w:p w14:paraId="51E49BE4" w14:textId="77777777" w:rsidR="00325C4E" w:rsidRPr="000E102D" w:rsidRDefault="00325C4E" w:rsidP="000E102D">
            <w:pPr>
              <w:pStyle w:val="Tabletexte"/>
              <w:jc w:val="left"/>
              <w:rPr>
                <w:sz w:val="14"/>
                <w:szCs w:val="14"/>
                <w:lang w:val="ar-SA" w:bidi="ar-EG"/>
              </w:rPr>
            </w:pPr>
            <w:r w:rsidRPr="000E102D">
              <w:rPr>
                <w:sz w:val="14"/>
                <w:szCs w:val="14"/>
                <w:rtl/>
              </w:rPr>
              <w:t>استراتيجية البيانات وإدارتها</w:t>
            </w:r>
          </w:p>
          <w:p w14:paraId="2C7DA747" w14:textId="567D2B57" w:rsidR="00325C4E" w:rsidRPr="000E102D" w:rsidRDefault="00325C4E" w:rsidP="000E102D">
            <w:pPr>
              <w:pStyle w:val="Tabletexte"/>
              <w:jc w:val="left"/>
              <w:rPr>
                <w:sz w:val="14"/>
                <w:szCs w:val="14"/>
                <w:lang w:val="ar-SA" w:bidi="ar-EG"/>
              </w:rPr>
            </w:pPr>
            <w:r w:rsidRPr="000E102D">
              <w:rPr>
                <w:sz w:val="14"/>
                <w:szCs w:val="14"/>
                <w:rtl/>
              </w:rPr>
              <w:t>استعراض منصة التكنولوجيا</w:t>
            </w:r>
          </w:p>
          <w:p w14:paraId="3B4B5F3B" w14:textId="77777777" w:rsidR="00325C4E" w:rsidRPr="000E102D" w:rsidRDefault="00325C4E" w:rsidP="000E102D">
            <w:pPr>
              <w:pStyle w:val="Tabletexte"/>
              <w:jc w:val="left"/>
              <w:rPr>
                <w:sz w:val="14"/>
                <w:szCs w:val="14"/>
                <w:lang w:val="ar-SA" w:bidi="ar-EG"/>
              </w:rPr>
            </w:pPr>
            <w:r w:rsidRPr="000E102D">
              <w:rPr>
                <w:sz w:val="14"/>
                <w:szCs w:val="14"/>
                <w:rtl/>
              </w:rPr>
              <w:t>نموذج تقديم خدمات تكنولوجيا المعلومات</w:t>
            </w:r>
          </w:p>
        </w:tc>
        <w:tc>
          <w:tcPr>
            <w:tcW w:w="1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0" w:type="dxa"/>
              <w:left w:w="108" w:type="dxa"/>
              <w:bottom w:w="0" w:type="dxa"/>
              <w:right w:w="108" w:type="dxa"/>
            </w:tcMar>
          </w:tcPr>
          <w:p w14:paraId="559130FA" w14:textId="77777777" w:rsidR="00325C4E" w:rsidRPr="000E102D" w:rsidRDefault="00325C4E" w:rsidP="000E102D">
            <w:pPr>
              <w:pStyle w:val="Tabletexte"/>
              <w:jc w:val="left"/>
              <w:rPr>
                <w:sz w:val="14"/>
                <w:szCs w:val="14"/>
                <w:lang w:val="ar-SA" w:bidi="ar-EG"/>
              </w:rPr>
            </w:pPr>
            <w:r w:rsidRPr="000E102D">
              <w:rPr>
                <w:sz w:val="14"/>
                <w:szCs w:val="14"/>
                <w:rtl/>
              </w:rPr>
              <w:t>تنمية المهارات والكفاءات والمواهب</w:t>
            </w:r>
          </w:p>
          <w:p w14:paraId="228E12A6" w14:textId="77777777" w:rsidR="00325C4E" w:rsidRPr="000E102D" w:rsidRDefault="00325C4E" w:rsidP="000E102D">
            <w:pPr>
              <w:pStyle w:val="Tabletexte"/>
              <w:jc w:val="left"/>
              <w:rPr>
                <w:sz w:val="14"/>
                <w:szCs w:val="14"/>
                <w:lang w:val="ar-SA" w:bidi="ar-EG"/>
              </w:rPr>
            </w:pPr>
            <w:r w:rsidRPr="000E102D">
              <w:rPr>
                <w:sz w:val="14"/>
                <w:szCs w:val="14"/>
                <w:rtl/>
              </w:rPr>
              <w:t>نموذج تقديم خدمات الموارد البشرية</w:t>
            </w:r>
          </w:p>
          <w:p w14:paraId="0003219D" w14:textId="1AF47A5B" w:rsidR="00325C4E" w:rsidRPr="000E102D" w:rsidRDefault="00325C4E" w:rsidP="000E102D">
            <w:pPr>
              <w:pStyle w:val="Tabletexte"/>
              <w:jc w:val="left"/>
              <w:rPr>
                <w:sz w:val="14"/>
                <w:szCs w:val="14"/>
                <w:lang w:val="ar-SA" w:bidi="ar-EG"/>
              </w:rPr>
            </w:pPr>
            <w:r w:rsidRPr="000E102D">
              <w:rPr>
                <w:sz w:val="14"/>
                <w:szCs w:val="14"/>
                <w:rtl/>
              </w:rPr>
              <w:t>إدارة شؤون الموظفين</w:t>
            </w:r>
          </w:p>
          <w:p w14:paraId="4A46FC49" w14:textId="3CCEC4E8" w:rsidR="00325C4E" w:rsidRPr="000E102D" w:rsidRDefault="00325C4E" w:rsidP="000E102D">
            <w:pPr>
              <w:pStyle w:val="Tabletexte"/>
              <w:jc w:val="left"/>
              <w:rPr>
                <w:sz w:val="14"/>
                <w:szCs w:val="14"/>
                <w:lang w:val="ar-SA" w:bidi="ar-EG"/>
              </w:rPr>
            </w:pPr>
            <w:r w:rsidRPr="000E102D">
              <w:rPr>
                <w:sz w:val="14"/>
                <w:szCs w:val="14"/>
                <w:rtl/>
              </w:rPr>
              <w:t>كشوف المرتبات</w:t>
            </w:r>
          </w:p>
          <w:p w14:paraId="3AE88D85" w14:textId="77777777" w:rsidR="00325C4E" w:rsidRPr="000E102D" w:rsidRDefault="00325C4E" w:rsidP="000E102D">
            <w:pPr>
              <w:pStyle w:val="Tabletexte"/>
              <w:jc w:val="left"/>
              <w:rPr>
                <w:sz w:val="14"/>
                <w:szCs w:val="14"/>
                <w:lang w:val="ar-SA" w:bidi="ar-EG"/>
              </w:rPr>
            </w:pPr>
            <w:r w:rsidRPr="000E102D">
              <w:rPr>
                <w:sz w:val="14"/>
                <w:szCs w:val="14"/>
                <w:rtl/>
              </w:rPr>
              <w:t>تخطيط تعاقب الموظفين</w:t>
            </w:r>
          </w:p>
          <w:p w14:paraId="782FE3A1" w14:textId="77777777" w:rsidR="00325C4E" w:rsidRPr="000E102D" w:rsidRDefault="00325C4E" w:rsidP="000E102D">
            <w:pPr>
              <w:pStyle w:val="Tabletexte"/>
              <w:jc w:val="left"/>
              <w:rPr>
                <w:sz w:val="14"/>
                <w:szCs w:val="14"/>
                <w:lang w:val="ar-SA" w:bidi="ar-EG"/>
              </w:rPr>
            </w:pPr>
            <w:r w:rsidRPr="000E102D">
              <w:rPr>
                <w:sz w:val="14"/>
                <w:szCs w:val="14"/>
                <w:rtl/>
              </w:rPr>
              <w:t>‏التكافؤ بين الجنسين</w:t>
            </w:r>
            <w:r w:rsidRPr="000E102D">
              <w:rPr>
                <w:sz w:val="14"/>
                <w:szCs w:val="14"/>
                <w:cs/>
              </w:rPr>
              <w:t>‎</w:t>
            </w:r>
          </w:p>
          <w:p w14:paraId="0FCDB077" w14:textId="77777777" w:rsidR="00325C4E" w:rsidRPr="000E102D" w:rsidRDefault="00325C4E" w:rsidP="000E102D">
            <w:pPr>
              <w:pStyle w:val="Tabletexte"/>
              <w:jc w:val="left"/>
              <w:rPr>
                <w:sz w:val="14"/>
                <w:szCs w:val="14"/>
                <w:lang w:val="ar-SA" w:bidi="ar-EG"/>
              </w:rPr>
            </w:pPr>
            <w:r w:rsidRPr="000E102D">
              <w:rPr>
                <w:sz w:val="14"/>
                <w:szCs w:val="14"/>
                <w:rtl/>
              </w:rPr>
              <w:t>نظام تخطيط الموارد المؤسسية (الموارد البشرية)</w:t>
            </w:r>
          </w:p>
        </w:tc>
        <w:tc>
          <w:tcPr>
            <w:tcW w:w="20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0" w:type="dxa"/>
              <w:left w:w="108" w:type="dxa"/>
              <w:bottom w:w="0" w:type="dxa"/>
              <w:right w:w="108" w:type="dxa"/>
            </w:tcMar>
          </w:tcPr>
          <w:p w14:paraId="60F77987" w14:textId="77777777" w:rsidR="00325C4E" w:rsidRPr="000E102D" w:rsidRDefault="00325C4E" w:rsidP="000E102D">
            <w:pPr>
              <w:pStyle w:val="Tabletexte"/>
              <w:jc w:val="left"/>
              <w:rPr>
                <w:sz w:val="14"/>
                <w:szCs w:val="14"/>
                <w:lang w:val="ar-SA" w:bidi="ar-EG"/>
              </w:rPr>
            </w:pPr>
            <w:r w:rsidRPr="000E102D">
              <w:rPr>
                <w:sz w:val="14"/>
                <w:szCs w:val="14"/>
                <w:rtl/>
              </w:rPr>
              <w:t>التخطيط والتصميم</w:t>
            </w:r>
          </w:p>
          <w:p w14:paraId="015180CA" w14:textId="77777777" w:rsidR="00325C4E" w:rsidRPr="000E102D" w:rsidRDefault="00325C4E" w:rsidP="000E102D">
            <w:pPr>
              <w:pStyle w:val="Tabletexte"/>
              <w:jc w:val="left"/>
              <w:rPr>
                <w:sz w:val="14"/>
                <w:szCs w:val="14"/>
                <w:lang w:val="ar-SA" w:bidi="ar-EG"/>
              </w:rPr>
            </w:pPr>
            <w:r w:rsidRPr="000E102D">
              <w:rPr>
                <w:sz w:val="14"/>
                <w:szCs w:val="14"/>
                <w:rtl/>
              </w:rPr>
              <w:t>إدارة المشتريات والعقود</w:t>
            </w:r>
          </w:p>
          <w:p w14:paraId="0DF7EE88" w14:textId="77777777" w:rsidR="00325C4E" w:rsidRPr="000E102D" w:rsidRDefault="00325C4E" w:rsidP="000E102D">
            <w:pPr>
              <w:pStyle w:val="Tabletexte"/>
              <w:jc w:val="left"/>
              <w:rPr>
                <w:sz w:val="14"/>
                <w:szCs w:val="14"/>
                <w:lang w:val="ar-SA" w:bidi="ar-EG"/>
              </w:rPr>
            </w:pPr>
            <w:r w:rsidRPr="000E102D">
              <w:rPr>
                <w:sz w:val="14"/>
                <w:szCs w:val="14"/>
                <w:rtl/>
              </w:rPr>
              <w:t>المحاسبة المالية والتقارير المالية</w:t>
            </w:r>
          </w:p>
          <w:p w14:paraId="73B75FC4" w14:textId="77777777" w:rsidR="00325C4E" w:rsidRPr="000E102D" w:rsidRDefault="00325C4E" w:rsidP="000E102D">
            <w:pPr>
              <w:pStyle w:val="Tabletexte"/>
              <w:jc w:val="left"/>
              <w:rPr>
                <w:sz w:val="14"/>
                <w:szCs w:val="14"/>
                <w:lang w:val="ar-SA" w:bidi="ar-EG"/>
              </w:rPr>
            </w:pPr>
            <w:r w:rsidRPr="000E102D">
              <w:rPr>
                <w:sz w:val="14"/>
                <w:szCs w:val="14"/>
                <w:rtl/>
              </w:rPr>
              <w:t>نظام تخطيط الموارد المؤسسية (الموارد المالية)</w:t>
            </w:r>
          </w:p>
        </w:tc>
        <w:tc>
          <w:tcPr>
            <w:tcW w:w="18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0" w:type="dxa"/>
              <w:left w:w="108" w:type="dxa"/>
              <w:bottom w:w="0" w:type="dxa"/>
              <w:right w:w="108" w:type="dxa"/>
            </w:tcMar>
          </w:tcPr>
          <w:p w14:paraId="5CE1DBA9" w14:textId="77777777" w:rsidR="00325C4E" w:rsidRPr="000E102D" w:rsidRDefault="00325C4E" w:rsidP="000E102D">
            <w:pPr>
              <w:pStyle w:val="Tabletexte"/>
              <w:jc w:val="left"/>
              <w:rPr>
                <w:sz w:val="14"/>
                <w:szCs w:val="14"/>
                <w:lang w:val="ar-SA" w:bidi="ar-EG"/>
              </w:rPr>
            </w:pPr>
            <w:r w:rsidRPr="000E102D">
              <w:rPr>
                <w:sz w:val="14"/>
                <w:szCs w:val="14"/>
                <w:rtl/>
              </w:rPr>
              <w:t>نموذج تقديم الخدمات</w:t>
            </w:r>
          </w:p>
          <w:p w14:paraId="362FBE3E" w14:textId="6BEAAE52" w:rsidR="00325C4E" w:rsidRPr="000E102D" w:rsidRDefault="00325C4E" w:rsidP="000E102D">
            <w:pPr>
              <w:pStyle w:val="Tabletexte"/>
              <w:jc w:val="left"/>
              <w:rPr>
                <w:sz w:val="14"/>
                <w:szCs w:val="14"/>
                <w:lang w:val="ar-SA" w:bidi="ar-EG"/>
              </w:rPr>
            </w:pPr>
            <w:r w:rsidRPr="000E102D">
              <w:rPr>
                <w:sz w:val="14"/>
                <w:szCs w:val="14"/>
                <w:rtl/>
              </w:rPr>
              <w:t>مشاركة الأعضاء</w:t>
            </w:r>
          </w:p>
          <w:p w14:paraId="20E7CD04" w14:textId="15F3019C" w:rsidR="00325C4E" w:rsidRPr="000E102D" w:rsidRDefault="00325C4E" w:rsidP="000E102D">
            <w:pPr>
              <w:pStyle w:val="Tabletexte"/>
              <w:jc w:val="left"/>
              <w:rPr>
                <w:sz w:val="14"/>
                <w:szCs w:val="14"/>
                <w:lang w:val="ar-SA" w:bidi="ar-EG"/>
              </w:rPr>
            </w:pPr>
            <w:r w:rsidRPr="000E102D">
              <w:rPr>
                <w:sz w:val="14"/>
                <w:szCs w:val="14"/>
                <w:rtl/>
              </w:rPr>
              <w:t>المنتجات والخدمات الحديثة</w:t>
            </w:r>
          </w:p>
        </w:tc>
      </w:tr>
    </w:tbl>
    <w:bookmarkEnd w:id="2"/>
    <w:bookmarkEnd w:id="1"/>
    <w:p w14:paraId="00C0617F" w14:textId="38AF0093" w:rsidR="00325C4E" w:rsidRPr="00325C4E" w:rsidRDefault="002A7099" w:rsidP="007D76C6">
      <w:pPr>
        <w:pStyle w:val="Heading1"/>
        <w:rPr>
          <w:lang w:val="ar-SA" w:bidi="ar-EG"/>
        </w:rPr>
      </w:pPr>
      <w:r>
        <w:rPr>
          <w:lang w:bidi="ar-EG"/>
        </w:rPr>
        <w:lastRenderedPageBreak/>
        <w:t>3</w:t>
      </w:r>
      <w:r w:rsidR="00325C4E" w:rsidRPr="00325C4E">
        <w:rPr>
          <w:lang w:val="ar-SA" w:bidi="ar-EG"/>
        </w:rPr>
        <w:tab/>
      </w:r>
      <w:r w:rsidR="00325C4E" w:rsidRPr="00325C4E">
        <w:rPr>
          <w:rtl/>
        </w:rPr>
        <w:t>التقدم المحرز في مبادرات التحول</w:t>
      </w:r>
    </w:p>
    <w:p w14:paraId="6F68E6B4" w14:textId="7005E8F4" w:rsidR="00325C4E" w:rsidRPr="00325C4E" w:rsidRDefault="00325C4E" w:rsidP="00325C4E">
      <w:pPr>
        <w:rPr>
          <w:lang w:val="ar-SA" w:bidi="ar-EG"/>
        </w:rPr>
      </w:pPr>
      <w:r w:rsidRPr="00325C4E">
        <w:rPr>
          <w:rtl/>
        </w:rPr>
        <w:t xml:space="preserve">منذ آخر تحديث </w:t>
      </w:r>
      <w:bookmarkStart w:id="3" w:name="_Hlk199230257"/>
      <w:r w:rsidRPr="00325C4E">
        <w:rPr>
          <w:rtl/>
        </w:rPr>
        <w:t>ق</w:t>
      </w:r>
      <w:r w:rsidR="006E2466">
        <w:rPr>
          <w:rFonts w:hint="cs"/>
          <w:rtl/>
        </w:rPr>
        <w:t>ُ</w:t>
      </w:r>
      <w:r w:rsidRPr="00325C4E">
        <w:rPr>
          <w:rtl/>
        </w:rPr>
        <w:t xml:space="preserve">دم </w:t>
      </w:r>
      <w:bookmarkEnd w:id="3"/>
      <w:r w:rsidRPr="00325C4E">
        <w:rPr>
          <w:rtl/>
        </w:rPr>
        <w:t>إلى المجلس، أحرزت مختلف مبادرات التحول تقدماً، بما في ذلك المبادرات الست المعجَّلة.</w:t>
      </w:r>
    </w:p>
    <w:p w14:paraId="26676F9E" w14:textId="02E6B48C" w:rsidR="00325C4E" w:rsidRPr="00325C4E" w:rsidRDefault="00325C4E" w:rsidP="00325C4E">
      <w:pPr>
        <w:rPr>
          <w:lang w:val="ar-SA" w:bidi="ar-EG"/>
        </w:rPr>
      </w:pPr>
      <w:r w:rsidRPr="00325C4E">
        <w:rPr>
          <w:rtl/>
        </w:rPr>
        <w:t>وتم اختيار هذه المبادرات استناداً إلى تقييم جاهزيتها للأعمال وتأثيرها وتكاليفها وفوائدها ومخاطرها. وفيما يلي ملخص للإنجازات الرئيسية والعمل المنجز حتى الآن.</w:t>
      </w:r>
    </w:p>
    <w:p w14:paraId="6931D8E3" w14:textId="2E6C1F8C" w:rsidR="00325C4E" w:rsidRPr="00E53F65" w:rsidRDefault="002A7099" w:rsidP="007D6CA4">
      <w:pPr>
        <w:pStyle w:val="Heading2"/>
        <w:rPr>
          <w:lang w:val="ar-SA" w:bidi="ar-EG"/>
        </w:rPr>
      </w:pPr>
      <w:r w:rsidRPr="00E53F65">
        <w:t>1.3</w:t>
      </w:r>
      <w:r w:rsidR="00325C4E" w:rsidRPr="00E53F65">
        <w:rPr>
          <w:rtl/>
        </w:rPr>
        <w:tab/>
        <w:t>ست مبادرات مسرَّعة: مشاريع التحول ذات الأولوية</w:t>
      </w:r>
    </w:p>
    <w:p w14:paraId="385A6A29" w14:textId="3EBD037A" w:rsidR="00325C4E" w:rsidRPr="00E53F65" w:rsidRDefault="002A7099" w:rsidP="007D6CA4">
      <w:pPr>
        <w:pStyle w:val="Heading3"/>
        <w:rPr>
          <w:lang w:val="ar-SA" w:bidi="ar-EG"/>
        </w:rPr>
      </w:pPr>
      <w:r w:rsidRPr="00E53F65">
        <w:t>1.1.3</w:t>
      </w:r>
      <w:r w:rsidR="00325C4E" w:rsidRPr="00E53F65">
        <w:rPr>
          <w:rtl/>
        </w:rPr>
        <w:tab/>
        <w:t>إدارة الأداء</w:t>
      </w:r>
    </w:p>
    <w:p w14:paraId="7FA77DBC" w14:textId="77777777" w:rsidR="00325C4E" w:rsidRPr="00325C4E" w:rsidRDefault="00325C4E" w:rsidP="00325C4E">
      <w:pPr>
        <w:rPr>
          <w:lang w:val="ar-SA" w:bidi="ar-EG"/>
        </w:rPr>
      </w:pPr>
      <w:r w:rsidRPr="00325C4E">
        <w:rPr>
          <w:b/>
          <w:bCs/>
          <w:rtl/>
        </w:rPr>
        <w:t>الهدف</w:t>
      </w:r>
      <w:r w:rsidRPr="00325C4E">
        <w:rPr>
          <w:rtl/>
          <w:lang w:bidi="ar-EG"/>
        </w:rPr>
        <w:t xml:space="preserve">: </w:t>
      </w:r>
      <w:r w:rsidRPr="00325C4E">
        <w:rPr>
          <w:i/>
          <w:iCs/>
          <w:rtl/>
        </w:rPr>
        <w:t>تنفيذ عملية إدارة أداء أبسط وأكثر إنصافاً وموجهة نحو النتائج، تحفّز الموظفين وتعزز نجاح المؤسسة.</w:t>
      </w:r>
    </w:p>
    <w:p w14:paraId="578F8324" w14:textId="4C9BF83D" w:rsidR="00325C4E" w:rsidRPr="00325C4E" w:rsidRDefault="00503AFE" w:rsidP="00457C13">
      <w:pPr>
        <w:pStyle w:val="enumlev1"/>
        <w:rPr>
          <w:lang w:val="ar-SA" w:bidi="ar-EG"/>
        </w:rPr>
      </w:pPr>
      <w:r>
        <w:rPr>
          <w:lang w:val="ar-SA" w:bidi="ar-EG"/>
        </w:rPr>
        <w:sym w:font="Wingdings" w:char="F0FC"/>
      </w:r>
      <w:r w:rsidR="00325C4E" w:rsidRPr="00325C4E">
        <w:rPr>
          <w:lang w:val="ar-SA" w:bidi="ar-EG"/>
        </w:rPr>
        <w:tab/>
      </w:r>
      <w:r w:rsidR="00325C4E" w:rsidRPr="00325C4E">
        <w:rPr>
          <w:rtl/>
        </w:rPr>
        <w:t xml:space="preserve">تم تبسيط أداة تقييم الأداء في نهاية العام لعام </w:t>
      </w:r>
      <w:r w:rsidR="00325C4E" w:rsidRPr="00325C4E">
        <w:t>2024</w:t>
      </w:r>
      <w:r w:rsidR="00325C4E" w:rsidRPr="00325C4E">
        <w:rPr>
          <w:rtl/>
        </w:rPr>
        <w:t xml:space="preserve"> وخطة العمل لعام </w:t>
      </w:r>
      <w:r w:rsidR="00325C4E" w:rsidRPr="00325C4E">
        <w:t>2025</w:t>
      </w:r>
      <w:r w:rsidR="00325C4E" w:rsidRPr="00325C4E">
        <w:rPr>
          <w:rtl/>
        </w:rPr>
        <w:t xml:space="preserve"> لتقليل وقت الإنجاز بنسبة</w:t>
      </w:r>
      <w:r w:rsidR="00C46D04">
        <w:rPr>
          <w:rFonts w:hint="cs"/>
          <w:rtl/>
        </w:rPr>
        <w:t> </w:t>
      </w:r>
      <w:r w:rsidR="00457C13" w:rsidRPr="00457C13">
        <w:t>%</w:t>
      </w:r>
      <w:r w:rsidR="00325C4E" w:rsidRPr="00325C4E">
        <w:rPr>
          <w:lang w:bidi="ar-EG"/>
        </w:rPr>
        <w:t>50</w:t>
      </w:r>
      <w:r w:rsidR="00325C4E" w:rsidRPr="00325C4E">
        <w:rPr>
          <w:rtl/>
        </w:rPr>
        <w:t>، ولتعزيز مواءمة الأهداف مع الأولويات التنظيمية للاتحاد، ولإنشاء عملية شاملة أكثر كفاءة تركز على التغذية الراجعة المنتظمة والمنهجية.</w:t>
      </w:r>
    </w:p>
    <w:p w14:paraId="37A6E102" w14:textId="122629A5"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تم استعرض عملية إدارة ضعف الأداء في الاتحاد لوضع عملية أكثر وضوحاً وتبسيطاً لدعم الموظفين ومديريهم.</w:t>
      </w:r>
    </w:p>
    <w:p w14:paraId="1812D6E8" w14:textId="02C7899A"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تم إعداد مذكرة مفاهيمية لتنفيذ إطار جديد وشفاف للمكافآت والتقدير، بهدف الاعتراف بالأداء الممتاز ومكافأة تميز الفريق.</w:t>
      </w:r>
    </w:p>
    <w:p w14:paraId="25CB3935" w14:textId="29812EB3" w:rsidR="00325C4E" w:rsidRPr="00325C4E" w:rsidRDefault="00325C4E" w:rsidP="00325C4E">
      <w:pPr>
        <w:rPr>
          <w:lang w:val="ar-SA" w:bidi="ar-EG"/>
        </w:rPr>
      </w:pPr>
      <w:r w:rsidRPr="00325C4E">
        <w:rPr>
          <w:b/>
          <w:bCs/>
          <w:rtl/>
        </w:rPr>
        <w:t>مؤشرات الأداء الرئيسية</w:t>
      </w:r>
      <w:r w:rsidR="00200644" w:rsidRPr="00E53F65">
        <w:rPr>
          <w:rFonts w:hint="cs"/>
          <w:rtl/>
          <w:lang w:bidi="ar-EG"/>
        </w:rPr>
        <w:t>:</w:t>
      </w:r>
      <w:r w:rsidRPr="00325C4E">
        <w:rPr>
          <w:rtl/>
        </w:rPr>
        <w:tab/>
        <w:t>عدد خطط العمل المنجزة في الوقت المحدد؛ عدد استعراضات نهاية العام المنجزة في الوقت المحدد؛ النسبة المئوية من قضايا الأداء التي عولجت في المرحلة غير الرسمية</w:t>
      </w:r>
      <w:r w:rsidR="00E53F65">
        <w:rPr>
          <w:rFonts w:hint="cs"/>
          <w:rtl/>
        </w:rPr>
        <w:t>.</w:t>
      </w:r>
    </w:p>
    <w:p w14:paraId="005E5F34" w14:textId="486F8DFD" w:rsidR="00325C4E" w:rsidRPr="00E53F65" w:rsidRDefault="002A7099" w:rsidP="007D6CA4">
      <w:pPr>
        <w:pStyle w:val="Heading3"/>
        <w:rPr>
          <w:lang w:val="ar-SA" w:bidi="ar-EG"/>
        </w:rPr>
      </w:pPr>
      <w:r w:rsidRPr="00E53F65">
        <w:t>2.1.3</w:t>
      </w:r>
      <w:r w:rsidR="00325C4E" w:rsidRPr="00E53F65">
        <w:rPr>
          <w:rtl/>
        </w:rPr>
        <w:tab/>
        <w:t>تنفيذ الذكاء الاصطناعي</w:t>
      </w:r>
    </w:p>
    <w:p w14:paraId="3F77032A" w14:textId="7A83AF7E" w:rsidR="00325C4E" w:rsidRPr="00325C4E" w:rsidRDefault="00325C4E" w:rsidP="00325C4E">
      <w:pPr>
        <w:rPr>
          <w:i/>
          <w:lang w:val="ar-SA" w:bidi="ar-EG"/>
        </w:rPr>
      </w:pPr>
      <w:r w:rsidRPr="00325C4E">
        <w:rPr>
          <w:b/>
          <w:bCs/>
          <w:rtl/>
        </w:rPr>
        <w:t>الهدف</w:t>
      </w:r>
      <w:r w:rsidR="00200644">
        <w:rPr>
          <w:rtl/>
        </w:rPr>
        <w:t>:</w:t>
      </w:r>
      <w:r w:rsidRPr="00325C4E">
        <w:rPr>
          <w:i/>
          <w:iCs/>
          <w:rtl/>
        </w:rPr>
        <w:t> الاستفادة من إمكانات الذكاء الاصطناعي لتعزيز الابتكار والكفاءة واتخاذ القرار، بما يضمن حفاظ الاتحاد على ميزة تنافسية وتقديم قيمة أكبر لأصحاب المصلحة</w:t>
      </w:r>
      <w:r w:rsidR="00E53F65">
        <w:rPr>
          <w:rFonts w:hint="cs"/>
          <w:i/>
          <w:iCs/>
          <w:rtl/>
        </w:rPr>
        <w:t>.</w:t>
      </w:r>
    </w:p>
    <w:p w14:paraId="53C141B8" w14:textId="1FDF9393"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 xml:space="preserve">تم تزويد </w:t>
      </w:r>
      <w:r w:rsidR="00325C4E" w:rsidRPr="00325C4E">
        <w:t>100</w:t>
      </w:r>
      <w:r w:rsidR="00325C4E" w:rsidRPr="00325C4E">
        <w:rPr>
          <w:rtl/>
        </w:rPr>
        <w:t xml:space="preserve"> من روّاد أداة </w:t>
      </w:r>
      <w:r w:rsidR="00325C4E" w:rsidRPr="00325C4E">
        <w:rPr>
          <w:lang w:bidi="ar-EG"/>
        </w:rPr>
        <w:t>Copilot</w:t>
      </w:r>
      <w:r w:rsidR="00325C4E" w:rsidRPr="00325C4E">
        <w:rPr>
          <w:rtl/>
        </w:rPr>
        <w:t xml:space="preserve"> بالتراخيص، وإطلاق برنامج تطوير المهارات لتدريبهم على استخدام برنامج </w:t>
      </w:r>
      <w:r w:rsidR="00325C4E" w:rsidRPr="00325C4E">
        <w:rPr>
          <w:lang w:bidi="ar-EG"/>
        </w:rPr>
        <w:t>Microsoft Copilot</w:t>
      </w:r>
      <w:r w:rsidR="00325C4E" w:rsidRPr="00325C4E">
        <w:rPr>
          <w:rtl/>
        </w:rPr>
        <w:t xml:space="preserve"> من أجل اعتماده بشكل فعّال. وسيجري التوسع في البرنامج خلال النصف الثاني من عام 2025 استناداً إلى نتائج المرحلة التجريبية.</w:t>
      </w:r>
    </w:p>
    <w:p w14:paraId="38030171" w14:textId="46C29AD6"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تم صياغة المبادئ التوجيهية الأولى لاستخدام الذكاء الاصطناعي التوليدي في الاتحاد لضمان الاستخدام الأخلاقي والمسؤول لهذه التكنولوجيا</w:t>
      </w:r>
      <w:r w:rsidR="00325C4E" w:rsidRPr="00325C4E">
        <w:rPr>
          <w:cs/>
        </w:rPr>
        <w:t>‎</w:t>
      </w:r>
      <w:r w:rsidR="00325C4E" w:rsidRPr="00325C4E">
        <w:rPr>
          <w:rtl/>
        </w:rPr>
        <w:t>.</w:t>
      </w:r>
    </w:p>
    <w:p w14:paraId="665B1E78" w14:textId="0FB13CC0"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تم بدء العمل في إعداد نماذج أولية لوكلاء الذكاء الاصطناعي لتسهيل الإدارة المحسنة للمهام متعددة الخطوات وطويلة الأمد عبر مختلف مجالات العمل (الموارد البشرية، الشؤون المالية، المؤتمرات).</w:t>
      </w:r>
    </w:p>
    <w:p w14:paraId="50ACDA4D" w14:textId="77777777" w:rsidR="00325C4E" w:rsidRPr="00325C4E" w:rsidRDefault="00325C4E" w:rsidP="00325C4E">
      <w:pPr>
        <w:rPr>
          <w:lang w:val="ar-SA" w:bidi="ar-EG"/>
        </w:rPr>
      </w:pPr>
      <w:r w:rsidRPr="00325C4E">
        <w:rPr>
          <w:b/>
          <w:bCs/>
          <w:rtl/>
        </w:rPr>
        <w:t>مؤشرات الأداء الرئيسية</w:t>
      </w:r>
      <w:r w:rsidRPr="00E53F65">
        <w:rPr>
          <w:rtl/>
        </w:rPr>
        <w:t>:</w:t>
      </w:r>
      <w:r w:rsidRPr="00325C4E">
        <w:rPr>
          <w:rtl/>
        </w:rPr>
        <w:tab/>
        <w:t xml:space="preserve">النسبة المئوية لتوفير الوقت بعد اعتماد أدوات الذكاء الاصطناعي لكل حالة استخدام؛ عدد العمليات المؤتمتة المنشورة؛ النسبة المئوية لتبني رواد أداة </w:t>
      </w:r>
      <w:r w:rsidRPr="00325C4E">
        <w:rPr>
          <w:lang w:bidi="ar-EG"/>
        </w:rPr>
        <w:t>Copilot</w:t>
      </w:r>
      <w:r w:rsidRPr="00325C4E">
        <w:rPr>
          <w:rtl/>
        </w:rPr>
        <w:t xml:space="preserve">؛ النسبة المئوية لرواد أداة </w:t>
      </w:r>
      <w:r w:rsidRPr="00325C4E">
        <w:rPr>
          <w:lang w:bidi="ar-EG"/>
        </w:rPr>
        <w:t>Copilot</w:t>
      </w:r>
      <w:r w:rsidRPr="00325C4E">
        <w:rPr>
          <w:rtl/>
        </w:rPr>
        <w:t xml:space="preserve"> الذين أكملوا برنامج تطوير المهارات.</w:t>
      </w:r>
    </w:p>
    <w:p w14:paraId="123FADB8" w14:textId="34695699" w:rsidR="00325C4E" w:rsidRPr="00E53F65" w:rsidRDefault="002A7099" w:rsidP="007D6CA4">
      <w:pPr>
        <w:pStyle w:val="Heading3"/>
        <w:rPr>
          <w:lang w:val="ar-SA" w:bidi="ar-EG"/>
        </w:rPr>
      </w:pPr>
      <w:r w:rsidRPr="00E53F65">
        <w:t>3.1.3</w:t>
      </w:r>
      <w:r w:rsidR="00325C4E" w:rsidRPr="00E53F65">
        <w:rPr>
          <w:rtl/>
        </w:rPr>
        <w:tab/>
        <w:t>ثقافة القيادة</w:t>
      </w:r>
    </w:p>
    <w:p w14:paraId="2FF814FB" w14:textId="66E45977" w:rsidR="00325C4E" w:rsidRPr="00325C4E" w:rsidRDefault="00325C4E" w:rsidP="00325C4E">
      <w:pPr>
        <w:rPr>
          <w:lang w:val="ar-SA" w:bidi="ar-EG"/>
        </w:rPr>
      </w:pPr>
      <w:r w:rsidRPr="00325C4E">
        <w:rPr>
          <w:b/>
          <w:bCs/>
          <w:rtl/>
        </w:rPr>
        <w:t>الهدف</w:t>
      </w:r>
      <w:r w:rsidRPr="00325C4E">
        <w:rPr>
          <w:rtl/>
          <w:lang w:bidi="ar-EG"/>
        </w:rPr>
        <w:t xml:space="preserve">: </w:t>
      </w:r>
      <w:r w:rsidRPr="00325C4E">
        <w:rPr>
          <w:i/>
          <w:iCs/>
          <w:rtl/>
        </w:rPr>
        <w:t>غرس القيم القيادية على جميع المستويات.</w:t>
      </w:r>
      <w:r w:rsidRPr="00325C4E">
        <w:rPr>
          <w:rtl/>
        </w:rPr>
        <w:t xml:space="preserve"> </w:t>
      </w:r>
      <w:r w:rsidRPr="00325C4E">
        <w:rPr>
          <w:i/>
          <w:iCs/>
          <w:rtl/>
        </w:rPr>
        <w:t>تعزيز ثقافة الاحترام والنزاهة وإبداء الاستعداد للعمل المشترك</w:t>
      </w:r>
      <w:r w:rsidR="00E53F65">
        <w:rPr>
          <w:rFonts w:hint="cs"/>
          <w:i/>
          <w:iCs/>
          <w:rtl/>
        </w:rPr>
        <w:t>.</w:t>
      </w:r>
    </w:p>
    <w:p w14:paraId="5B49B04E" w14:textId="7FED943F" w:rsidR="00325C4E" w:rsidRPr="00E53F65" w:rsidRDefault="00503AFE" w:rsidP="006704EB">
      <w:pPr>
        <w:pStyle w:val="enumlev1"/>
        <w:rPr>
          <w:spacing w:val="-3"/>
          <w:lang w:val="ar-SA" w:bidi="ar-EG"/>
        </w:rPr>
      </w:pPr>
      <w:r w:rsidRPr="00E53F65">
        <w:rPr>
          <w:spacing w:val="-3"/>
          <w:lang w:val="ar-SA" w:bidi="ar-EG"/>
        </w:rPr>
        <w:sym w:font="Wingdings" w:char="F0FC"/>
      </w:r>
      <w:r w:rsidR="00325C4E" w:rsidRPr="00E53F65">
        <w:rPr>
          <w:spacing w:val="-3"/>
          <w:lang w:val="ar-SA" w:bidi="ar-EG"/>
        </w:rPr>
        <w:tab/>
      </w:r>
      <w:r w:rsidR="00325C4E" w:rsidRPr="00E53F65">
        <w:rPr>
          <w:spacing w:val="-3"/>
          <w:rtl/>
        </w:rPr>
        <w:t xml:space="preserve">أُطلق أول استقصاء بشأن مشاركة جميع الموظفين في يناير </w:t>
      </w:r>
      <w:r w:rsidR="00325C4E" w:rsidRPr="00E53F65">
        <w:rPr>
          <w:spacing w:val="-3"/>
        </w:rPr>
        <w:t>2025</w:t>
      </w:r>
      <w:r w:rsidR="00325C4E" w:rsidRPr="00E53F65">
        <w:rPr>
          <w:spacing w:val="-3"/>
          <w:rtl/>
        </w:rPr>
        <w:t xml:space="preserve">، بنسبة استجابة بلغت </w:t>
      </w:r>
      <w:r w:rsidR="006C58F6" w:rsidRPr="00E53F65">
        <w:rPr>
          <w:spacing w:val="-3"/>
        </w:rPr>
        <w:t>%</w:t>
      </w:r>
      <w:r w:rsidR="00325C4E" w:rsidRPr="00E53F65">
        <w:rPr>
          <w:spacing w:val="-3"/>
        </w:rPr>
        <w:t>72</w:t>
      </w:r>
      <w:r w:rsidR="00325C4E" w:rsidRPr="00E53F65">
        <w:rPr>
          <w:spacing w:val="-3"/>
          <w:rtl/>
        </w:rPr>
        <w:t>. و‏تساعد البيانات في تحديد مجالات التحسين ذات الأولوية الفورية</w:t>
      </w:r>
      <w:r w:rsidR="00325C4E" w:rsidRPr="00E53F65">
        <w:rPr>
          <w:spacing w:val="-3"/>
          <w:cs/>
        </w:rPr>
        <w:t>‎</w:t>
      </w:r>
      <w:r w:rsidR="00325C4E" w:rsidRPr="00E53F65">
        <w:rPr>
          <w:spacing w:val="-3"/>
          <w:rtl/>
        </w:rPr>
        <w:t>. يجري حشد فرق على مستوى الاتحاد ككل وعلى مستوى المكاتب لدفع عملية تخطيط العمل على المستوى القاعدي، مع متابعة مستمرة للتقدم المحرز.</w:t>
      </w:r>
    </w:p>
    <w:p w14:paraId="34FD9959" w14:textId="094FA67F" w:rsidR="00325C4E" w:rsidRPr="00325C4E" w:rsidRDefault="00503AFE" w:rsidP="006704EB">
      <w:pPr>
        <w:pStyle w:val="enumlev1"/>
        <w:rPr>
          <w:lang w:val="ar-SA" w:bidi="ar-EG"/>
        </w:rPr>
      </w:pPr>
      <w:r w:rsidRPr="00503AFE">
        <w:rPr>
          <w:lang w:val="ar-SA" w:bidi="ar-EG"/>
        </w:rPr>
        <w:lastRenderedPageBreak/>
        <w:sym w:font="Wingdings" w:char="F0FC"/>
      </w:r>
      <w:r w:rsidR="00325C4E" w:rsidRPr="00325C4E">
        <w:rPr>
          <w:lang w:val="ar-SA" w:bidi="ar-EG"/>
        </w:rPr>
        <w:tab/>
      </w:r>
      <w:r w:rsidR="00325C4E" w:rsidRPr="00325C4E">
        <w:rPr>
          <w:rtl/>
        </w:rPr>
        <w:t>نُفّذ برنامج للقيادة التكيفية على مستوى المنظمة مصمم خصيصاً لتلبية احتياجات وتحديات مختلف مستويات إدارة الاتحاد، ومعالجة نتائج الاستقصاء</w:t>
      </w:r>
      <w:r w:rsidR="00457C13">
        <w:rPr>
          <w:rStyle w:val="FootnoteReference"/>
          <w:rtl/>
        </w:rPr>
        <w:footnoteReference w:customMarkFollows="1" w:id="1"/>
        <w:t>1</w:t>
      </w:r>
      <w:r w:rsidR="00325C4E" w:rsidRPr="00325C4E">
        <w:rPr>
          <w:rtl/>
        </w:rPr>
        <w:t xml:space="preserve"> بشأن مشاركة الموظفين ومتابعة معتكف الإدارة العليا.</w:t>
      </w:r>
    </w:p>
    <w:p w14:paraId="7FF0AC37" w14:textId="7FD9DD75" w:rsidR="00325C4E" w:rsidRPr="00325C4E" w:rsidRDefault="00325C4E" w:rsidP="00325C4E">
      <w:pPr>
        <w:rPr>
          <w:lang w:val="ar-SA" w:bidi="ar-EG"/>
        </w:rPr>
      </w:pPr>
      <w:r w:rsidRPr="00325C4E">
        <w:rPr>
          <w:b/>
          <w:bCs/>
          <w:rtl/>
        </w:rPr>
        <w:t>مؤشرات الأداء الرئيسية</w:t>
      </w:r>
      <w:r w:rsidRPr="00325C4E">
        <w:rPr>
          <w:rtl/>
        </w:rPr>
        <w:t>: عدد الدورات التدريبية المقدمة؛ وعدد ونسبة الموظفين الذين تلقوا التدريب؛ ومعدل المشاركة في الاستقصاء بشأن مشاركة الموظفين؛ ودرجة مشاركة الموظفين</w:t>
      </w:r>
      <w:r w:rsidR="00E53F65">
        <w:rPr>
          <w:rFonts w:hint="cs"/>
          <w:rtl/>
        </w:rPr>
        <w:t>.</w:t>
      </w:r>
    </w:p>
    <w:p w14:paraId="4F0BC5B9" w14:textId="25E5C381" w:rsidR="00325C4E" w:rsidRPr="00E53F65" w:rsidRDefault="002A7099" w:rsidP="007D6CA4">
      <w:pPr>
        <w:pStyle w:val="Heading3"/>
        <w:rPr>
          <w:lang w:val="ar-SA" w:bidi="ar-EG"/>
        </w:rPr>
      </w:pPr>
      <w:r w:rsidRPr="00E53F65">
        <w:t>4.1.3</w:t>
      </w:r>
      <w:r w:rsidR="00325C4E" w:rsidRPr="00E53F65">
        <w:rPr>
          <w:rtl/>
        </w:rPr>
        <w:tab/>
        <w:t>التوظيف</w:t>
      </w:r>
    </w:p>
    <w:p w14:paraId="11AD1AE8" w14:textId="77777777" w:rsidR="00325C4E" w:rsidRPr="00325C4E" w:rsidRDefault="00325C4E" w:rsidP="00325C4E">
      <w:pPr>
        <w:rPr>
          <w:lang w:val="ar-SA" w:bidi="ar-EG"/>
        </w:rPr>
      </w:pPr>
      <w:r w:rsidRPr="00325C4E">
        <w:rPr>
          <w:b/>
          <w:bCs/>
          <w:rtl/>
        </w:rPr>
        <w:t>الهدف</w:t>
      </w:r>
      <w:r w:rsidRPr="00325C4E">
        <w:rPr>
          <w:rtl/>
          <w:lang w:bidi="ar-EG"/>
        </w:rPr>
        <w:t xml:space="preserve">: </w:t>
      </w:r>
      <w:r w:rsidRPr="00325C4E">
        <w:rPr>
          <w:i/>
          <w:iCs/>
          <w:rtl/>
        </w:rPr>
        <w:t>تحسين كفاءة عملية التوظيف الشاملة وجذب المواهب المناسبة</w:t>
      </w:r>
    </w:p>
    <w:p w14:paraId="38EE01CF" w14:textId="2D08535B"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 xml:space="preserve">تمت صياغة مبسطة لاتفاقات مستوى الخدمة </w:t>
      </w:r>
      <w:r w:rsidR="00325C4E" w:rsidRPr="00325C4E">
        <w:rPr>
          <w:lang w:bidi="ar-EG"/>
        </w:rPr>
        <w:t>(SSA</w:t>
      </w:r>
      <w:r w:rsidR="00325C4E" w:rsidRPr="00325C4E">
        <w:t>)</w:t>
      </w:r>
      <w:r w:rsidR="00325C4E" w:rsidRPr="00325C4E">
        <w:rPr>
          <w:rtl/>
        </w:rPr>
        <w:t xml:space="preserve"> (للمستشارين/الخبراء الأفراد)، ولسياسة توظيف ذوي العقود محددة المدة وسير العمل.</w:t>
      </w:r>
    </w:p>
    <w:p w14:paraId="1DC83FA3" w14:textId="47730E20"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تم تحديد حلول الأتمتة والذكاء الاصطناعي.</w:t>
      </w:r>
    </w:p>
    <w:p w14:paraId="263E1719" w14:textId="40E89840" w:rsidR="00325C4E" w:rsidRPr="00C46D04" w:rsidRDefault="00325C4E" w:rsidP="00325C4E">
      <w:pPr>
        <w:rPr>
          <w:lang w:val="ar-SA" w:bidi="ar-EG"/>
        </w:rPr>
      </w:pPr>
      <w:r w:rsidRPr="00C46D04">
        <w:rPr>
          <w:b/>
          <w:bCs/>
          <w:rtl/>
        </w:rPr>
        <w:t>مؤشرات الأداء الرئيسية:</w:t>
      </w:r>
      <w:r w:rsidRPr="00C46D04">
        <w:rPr>
          <w:rtl/>
        </w:rPr>
        <w:tab/>
        <w:t>‏متوسط الفترة الزمنية اللازمة للتوظيف من الإعلان إلى الموافقة على الاختيار؛ نسبة العروض</w:t>
      </w:r>
      <w:r w:rsidR="00C46D04">
        <w:rPr>
          <w:rFonts w:hint="cs"/>
          <w:rtl/>
        </w:rPr>
        <w:t> </w:t>
      </w:r>
      <w:r w:rsidRPr="00C46D04">
        <w:rPr>
          <w:rtl/>
        </w:rPr>
        <w:t>المرفوضة</w:t>
      </w:r>
      <w:r w:rsidR="00E53F65">
        <w:rPr>
          <w:rFonts w:hint="cs"/>
          <w:rtl/>
        </w:rPr>
        <w:t>.</w:t>
      </w:r>
    </w:p>
    <w:p w14:paraId="3708ED7A" w14:textId="6D12FA17" w:rsidR="00325C4E" w:rsidRPr="00E53F65" w:rsidRDefault="002A7099" w:rsidP="007D6CA4">
      <w:pPr>
        <w:pStyle w:val="Heading3"/>
        <w:rPr>
          <w:lang w:val="ar-SA" w:bidi="ar-EG"/>
        </w:rPr>
      </w:pPr>
      <w:r w:rsidRPr="00E53F65">
        <w:t>5.1.3</w:t>
      </w:r>
      <w:r w:rsidR="00325C4E" w:rsidRPr="00E53F65">
        <w:rPr>
          <w:rtl/>
        </w:rPr>
        <w:tab/>
        <w:t>السفر</w:t>
      </w:r>
    </w:p>
    <w:p w14:paraId="6C8B4187" w14:textId="77A5970C" w:rsidR="00325C4E" w:rsidRPr="00325C4E" w:rsidRDefault="00325C4E" w:rsidP="00325C4E">
      <w:pPr>
        <w:rPr>
          <w:i/>
          <w:lang w:val="ar-SA" w:bidi="ar-EG"/>
        </w:rPr>
      </w:pPr>
      <w:r w:rsidRPr="00325C4E">
        <w:rPr>
          <w:b/>
          <w:bCs/>
          <w:rtl/>
        </w:rPr>
        <w:t>الهدف</w:t>
      </w:r>
      <w:r w:rsidR="00200644">
        <w:rPr>
          <w:rtl/>
        </w:rPr>
        <w:t>:</w:t>
      </w:r>
      <w:r w:rsidRPr="00325C4E">
        <w:rPr>
          <w:i/>
          <w:iCs/>
          <w:rtl/>
        </w:rPr>
        <w:t xml:space="preserve"> ‏تبسيط العمليات وأتمتة سير العمل لتحسين الامتثال وخفض التكاليف وتوفير رؤية في الوقت الفعلي</w:t>
      </w:r>
      <w:r w:rsidRPr="00325C4E">
        <w:rPr>
          <w:i/>
          <w:iCs/>
          <w:cs/>
        </w:rPr>
        <w:t>‎</w:t>
      </w:r>
      <w:r w:rsidR="00E53F65">
        <w:rPr>
          <w:rFonts w:hint="cs"/>
          <w:i/>
          <w:iCs/>
          <w:rtl/>
          <w:cs/>
        </w:rPr>
        <w:t>.</w:t>
      </w:r>
    </w:p>
    <w:p w14:paraId="355DBA93" w14:textId="54268613"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حُددت التحديات الرئيسية في عملية السفر الداخلية.</w:t>
      </w:r>
    </w:p>
    <w:p w14:paraId="67CB6DD8" w14:textId="64F25799"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وُضعت خطة تنفيذ لحل رقمي شامل لتمكين الخدمة الذاتية الكاملة في عملية السفر لجميع الموظفين.</w:t>
      </w:r>
    </w:p>
    <w:p w14:paraId="0241EC83" w14:textId="0702D8BD" w:rsidR="00325C4E" w:rsidRPr="00325C4E" w:rsidRDefault="00325C4E" w:rsidP="00325C4E">
      <w:pPr>
        <w:rPr>
          <w:lang w:val="ar-SA" w:bidi="ar-EG"/>
        </w:rPr>
      </w:pPr>
      <w:r w:rsidRPr="00325C4E">
        <w:rPr>
          <w:b/>
          <w:bCs/>
          <w:rtl/>
        </w:rPr>
        <w:t>مؤشرات الأداء الرئيسية:</w:t>
      </w:r>
      <w:r w:rsidRPr="00325C4E">
        <w:rPr>
          <w:rtl/>
        </w:rPr>
        <w:tab/>
        <w:t>عدد طلبات السفر المعالَجة من خلال الخدمة الذاتية الكاملة؛ ومدة معالجة طلبات السفر؛ ومدة معالجة مطالبات السفر؛ ودرجة رضا العملاء</w:t>
      </w:r>
      <w:r w:rsidR="00E53F65">
        <w:rPr>
          <w:rFonts w:hint="cs"/>
          <w:rtl/>
        </w:rPr>
        <w:t>.</w:t>
      </w:r>
    </w:p>
    <w:p w14:paraId="361B066D" w14:textId="091BC3E2" w:rsidR="00325C4E" w:rsidRPr="00E53F65" w:rsidRDefault="002A7099" w:rsidP="007D6CA4">
      <w:pPr>
        <w:pStyle w:val="Heading3"/>
        <w:rPr>
          <w:lang w:val="ar-SA" w:bidi="ar-EG"/>
        </w:rPr>
      </w:pPr>
      <w:r w:rsidRPr="00E53F65">
        <w:t>6.1.3</w:t>
      </w:r>
      <w:r w:rsidR="00325C4E" w:rsidRPr="00E53F65">
        <w:rPr>
          <w:rtl/>
        </w:rPr>
        <w:tab/>
        <w:t>التنقلية</w:t>
      </w:r>
    </w:p>
    <w:p w14:paraId="45D25D37" w14:textId="03C7182B" w:rsidR="00325C4E" w:rsidRPr="00457C13" w:rsidRDefault="00325C4E" w:rsidP="00325C4E">
      <w:pPr>
        <w:rPr>
          <w:i/>
          <w:iCs/>
          <w:lang w:val="ar-SA" w:bidi="ar-EG"/>
        </w:rPr>
      </w:pPr>
      <w:r w:rsidRPr="00325C4E">
        <w:rPr>
          <w:b/>
          <w:bCs/>
          <w:rtl/>
        </w:rPr>
        <w:t>الهدف</w:t>
      </w:r>
      <w:r w:rsidRPr="00325C4E">
        <w:rPr>
          <w:rtl/>
        </w:rPr>
        <w:t xml:space="preserve">: </w:t>
      </w:r>
      <w:r w:rsidRPr="00457C13">
        <w:rPr>
          <w:i/>
          <w:iCs/>
          <w:rtl/>
        </w:rPr>
        <w:t>إدخال عملية تنقل تهدف إلى بناء قوة عاملة عالمية قوية من خلال إتاحة فرص متنوعة وعملية للتطوير المهني</w:t>
      </w:r>
      <w:r w:rsidR="00E53F65">
        <w:rPr>
          <w:rFonts w:hint="cs"/>
          <w:i/>
          <w:iCs/>
          <w:rtl/>
        </w:rPr>
        <w:t>.</w:t>
      </w:r>
    </w:p>
    <w:p w14:paraId="324EDAC0" w14:textId="45F1DD5E"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وُضعت مذكرة مفاهيمية جديدة من أجل "مشروع تجريبي" للتنقلية، على أن يبدأ التنفيذ في الربع الأخير من عام</w:t>
      </w:r>
      <w:r w:rsidR="00C46D04">
        <w:rPr>
          <w:rFonts w:hint="cs"/>
          <w:rtl/>
        </w:rPr>
        <w:t> </w:t>
      </w:r>
      <w:r w:rsidR="00325C4E" w:rsidRPr="00325C4E">
        <w:rPr>
          <w:rtl/>
        </w:rPr>
        <w:t>2025.</w:t>
      </w:r>
    </w:p>
    <w:p w14:paraId="162AD470" w14:textId="63A5B014"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تم استعراض سياسة التنقلية الحالية بالتعاون مع صنّاع التغيير.</w:t>
      </w:r>
    </w:p>
    <w:p w14:paraId="04249A9E" w14:textId="3C0DC635" w:rsidR="00325C4E" w:rsidRPr="00325C4E" w:rsidRDefault="00325C4E" w:rsidP="00325C4E">
      <w:pPr>
        <w:rPr>
          <w:lang w:val="ar-SA" w:bidi="ar-EG"/>
        </w:rPr>
      </w:pPr>
      <w:r w:rsidRPr="00325C4E">
        <w:rPr>
          <w:b/>
          <w:bCs/>
          <w:rtl/>
        </w:rPr>
        <w:t>مؤشرات الأداء الرئيسية:</w:t>
      </w:r>
      <w:r w:rsidRPr="00325C4E">
        <w:rPr>
          <w:rtl/>
        </w:rPr>
        <w:tab/>
        <w:t>عدد الموظفين المشاركين في البرنامج التجريبي للتنقلية</w:t>
      </w:r>
      <w:r w:rsidR="00E53F65">
        <w:rPr>
          <w:rFonts w:hint="cs"/>
          <w:rtl/>
        </w:rPr>
        <w:t>.</w:t>
      </w:r>
    </w:p>
    <w:p w14:paraId="0B4C4F48" w14:textId="0A12DC02" w:rsidR="00325C4E" w:rsidRPr="00E53F65" w:rsidRDefault="002A7099" w:rsidP="007D6CA4">
      <w:pPr>
        <w:pStyle w:val="Heading2"/>
        <w:rPr>
          <w:lang w:val="ar-SA" w:bidi="ar-EG"/>
        </w:rPr>
      </w:pPr>
      <w:r w:rsidRPr="00E53F65">
        <w:t>2.3</w:t>
      </w:r>
      <w:r w:rsidR="00325C4E" w:rsidRPr="00E53F65">
        <w:rPr>
          <w:rtl/>
        </w:rPr>
        <w:tab/>
        <w:t>مشاريع التحول الجارية الأخرى بحسب كل ركيزة</w:t>
      </w:r>
    </w:p>
    <w:p w14:paraId="098A3342" w14:textId="77777777" w:rsidR="00325C4E" w:rsidRPr="00325C4E" w:rsidRDefault="00325C4E" w:rsidP="00401A04">
      <w:pPr>
        <w:pStyle w:val="Heading1"/>
        <w:rPr>
          <w:lang w:val="ar-SA" w:bidi="ar-EG"/>
        </w:rPr>
      </w:pPr>
      <w:r w:rsidRPr="00325C4E">
        <w:rPr>
          <w:rtl/>
        </w:rPr>
        <w:t>الإدارة</w:t>
      </w:r>
    </w:p>
    <w:p w14:paraId="15DD2400" w14:textId="46FCE8C3" w:rsidR="00325C4E" w:rsidRPr="00E53F65" w:rsidRDefault="002A7099" w:rsidP="007D6CA4">
      <w:pPr>
        <w:pStyle w:val="Heading3"/>
        <w:rPr>
          <w:lang w:val="ar-SA" w:bidi="ar-EG"/>
        </w:rPr>
      </w:pPr>
      <w:r w:rsidRPr="00E53F65">
        <w:t>1.2.3</w:t>
      </w:r>
      <w:r w:rsidR="00325C4E" w:rsidRPr="00E53F65">
        <w:rPr>
          <w:rtl/>
        </w:rPr>
        <w:tab/>
        <w:t>إطار المساءلة وتفويض السلطة</w:t>
      </w:r>
    </w:p>
    <w:p w14:paraId="5FBAD03E" w14:textId="6E3D02ED" w:rsidR="00325C4E" w:rsidRPr="00325C4E" w:rsidRDefault="00325C4E" w:rsidP="00325C4E">
      <w:pPr>
        <w:rPr>
          <w:rtl/>
          <w:lang w:val="ar-SA" w:bidi="ar-EG"/>
        </w:rPr>
      </w:pPr>
      <w:r w:rsidRPr="00325C4E">
        <w:rPr>
          <w:b/>
          <w:bCs/>
          <w:rtl/>
        </w:rPr>
        <w:t>الهدف</w:t>
      </w:r>
      <w:r w:rsidR="00200644">
        <w:rPr>
          <w:rtl/>
        </w:rPr>
        <w:t>:</w:t>
      </w:r>
      <w:r w:rsidRPr="00325C4E">
        <w:rPr>
          <w:i/>
          <w:iCs/>
          <w:rtl/>
        </w:rPr>
        <w:t xml:space="preserve"> ‏زيادة تعزيز آليات المساءلة داخل المنظمة مع تبسيط إجراءات العمل وزيادة الكفاءة</w:t>
      </w:r>
      <w:r w:rsidRPr="00325C4E">
        <w:rPr>
          <w:i/>
          <w:iCs/>
          <w:cs/>
        </w:rPr>
        <w:t>‎</w:t>
      </w:r>
      <w:r w:rsidR="004547BA">
        <w:rPr>
          <w:rFonts w:hint="cs"/>
          <w:i/>
          <w:iCs/>
          <w:rtl/>
          <w:lang w:bidi="ar-EG"/>
        </w:rPr>
        <w:t>.</w:t>
      </w:r>
    </w:p>
    <w:p w14:paraId="1CD3B5DD" w14:textId="773AB8E9"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تم إطلاق مشروع لوضع إطار جديد لتفويض السلطة في الاتحاد.</w:t>
      </w:r>
    </w:p>
    <w:p w14:paraId="00F4A2E0" w14:textId="67A182B6"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يسعى الإطار الجديد إلى تحقيق اللامركزية في اتخاذ القرار، ومواءمة السلطات مع المسؤوليات، وتعزيز</w:t>
      </w:r>
      <w:r w:rsidR="00C46D04">
        <w:rPr>
          <w:rFonts w:hint="cs"/>
          <w:rtl/>
        </w:rPr>
        <w:t> </w:t>
      </w:r>
      <w:r w:rsidR="00325C4E" w:rsidRPr="00325C4E">
        <w:rPr>
          <w:rtl/>
        </w:rPr>
        <w:t>المساءلة</w:t>
      </w:r>
      <w:r w:rsidR="00457827">
        <w:rPr>
          <w:rFonts w:hint="cs"/>
          <w:rtl/>
        </w:rPr>
        <w:t>.</w:t>
      </w:r>
    </w:p>
    <w:p w14:paraId="441918B5" w14:textId="4D417C5C" w:rsidR="00325C4E" w:rsidRPr="00325C4E" w:rsidRDefault="00325C4E" w:rsidP="00325C4E">
      <w:pPr>
        <w:rPr>
          <w:lang w:val="ar-SA" w:bidi="ar-EG"/>
        </w:rPr>
      </w:pPr>
      <w:r w:rsidRPr="00325C4E">
        <w:rPr>
          <w:b/>
          <w:bCs/>
          <w:rtl/>
        </w:rPr>
        <w:lastRenderedPageBreak/>
        <w:t>مؤشرات الأداء الرئيسية</w:t>
      </w:r>
      <w:r w:rsidRPr="00325C4E">
        <w:rPr>
          <w:rtl/>
        </w:rPr>
        <w:t>: تم تخفيض عدد الموافقات</w:t>
      </w:r>
      <w:r w:rsidR="004547BA">
        <w:rPr>
          <w:rFonts w:hint="cs"/>
          <w:rtl/>
        </w:rPr>
        <w:t>.</w:t>
      </w:r>
    </w:p>
    <w:p w14:paraId="11D5AD7A" w14:textId="1AABEC99" w:rsidR="00325C4E" w:rsidRPr="00E53F65" w:rsidRDefault="002A7099" w:rsidP="007D6CA4">
      <w:pPr>
        <w:pStyle w:val="Heading3"/>
        <w:rPr>
          <w:lang w:val="ar-SA" w:bidi="ar-EG"/>
        </w:rPr>
      </w:pPr>
      <w:r w:rsidRPr="00E53F65">
        <w:t>2.2.3</w:t>
      </w:r>
      <w:r w:rsidR="00325C4E" w:rsidRPr="00E53F65">
        <w:rPr>
          <w:rtl/>
        </w:rPr>
        <w:tab/>
        <w:t>المراج</w:t>
      </w:r>
      <w:r w:rsidR="00457827" w:rsidRPr="00E53F65">
        <w:rPr>
          <w:rFonts w:hint="cs"/>
          <w:rtl/>
        </w:rPr>
        <w:t>َ</w:t>
      </w:r>
      <w:r w:rsidR="00325C4E" w:rsidRPr="00E53F65">
        <w:rPr>
          <w:rtl/>
        </w:rPr>
        <w:t>عة والرقابة</w:t>
      </w:r>
      <w:r w:rsidRPr="00E53F65">
        <w:rPr>
          <w:rStyle w:val="FootnoteReference"/>
          <w:rtl/>
        </w:rPr>
        <w:footnoteReference w:customMarkFollows="1" w:id="2"/>
        <w:t>2</w:t>
      </w:r>
    </w:p>
    <w:p w14:paraId="4D6CD878" w14:textId="5E306519" w:rsidR="00325C4E" w:rsidRPr="004547BA" w:rsidRDefault="00325C4E" w:rsidP="00325C4E">
      <w:pPr>
        <w:rPr>
          <w:spacing w:val="-2"/>
          <w:lang w:bidi="en-GB"/>
        </w:rPr>
      </w:pPr>
      <w:r w:rsidRPr="004547BA">
        <w:rPr>
          <w:b/>
          <w:bCs/>
          <w:spacing w:val="-2"/>
          <w:rtl/>
        </w:rPr>
        <w:t>الهدف</w:t>
      </w:r>
      <w:r w:rsidRPr="004547BA">
        <w:rPr>
          <w:spacing w:val="-2"/>
          <w:rtl/>
          <w:lang w:bidi="ar-EG"/>
        </w:rPr>
        <w:t xml:space="preserve">: </w:t>
      </w:r>
      <w:r w:rsidRPr="004547BA">
        <w:rPr>
          <w:i/>
          <w:iCs/>
          <w:spacing w:val="-2"/>
          <w:rtl/>
        </w:rPr>
        <w:t>تعزيز المنظمة من خلال نظام فعال للرقابة والتقييم الداخليين يستند إلى المخاطر ويتسم بالاستقلالية</w:t>
      </w:r>
      <w:r w:rsidR="00C46D04" w:rsidRPr="004547BA">
        <w:rPr>
          <w:rFonts w:hint="eastAsia"/>
          <w:i/>
          <w:iCs/>
          <w:spacing w:val="-2"/>
          <w:rtl/>
        </w:rPr>
        <w:t> </w:t>
      </w:r>
      <w:r w:rsidRPr="004547BA">
        <w:rPr>
          <w:i/>
          <w:iCs/>
          <w:spacing w:val="-2"/>
          <w:rtl/>
        </w:rPr>
        <w:t>والموضوعية</w:t>
      </w:r>
      <w:r w:rsidR="004547BA">
        <w:rPr>
          <w:rFonts w:hint="cs"/>
          <w:i/>
          <w:iCs/>
          <w:spacing w:val="-2"/>
          <w:rtl/>
        </w:rPr>
        <w:t>.</w:t>
      </w:r>
    </w:p>
    <w:p w14:paraId="63B94171" w14:textId="13707E6A"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يجري حالياً تعيين موظف تقييم.</w:t>
      </w:r>
    </w:p>
    <w:p w14:paraId="551081B0" w14:textId="01EE9B30"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توفير تدريب رسمي على مستوى الاتحاد في مجال إدارة التقييم لمجموعة تطوعية من الموظفين، لدعم وحدة الرقابة في تنفيذ تجربة أولية لسياسة تقييم موحدة في الاتحاد</w:t>
      </w:r>
      <w:r w:rsidR="00457827">
        <w:rPr>
          <w:rFonts w:hint="cs"/>
          <w:rtl/>
        </w:rPr>
        <w:t>.</w:t>
      </w:r>
    </w:p>
    <w:p w14:paraId="754C1D84" w14:textId="5DAE6E90"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اعتماد نموذج الخدمة المشتركة لوظيفة أمين المظالم من خلال مكتب أمين المظالم وخدمات الوساطة في</w:t>
      </w:r>
      <w:r w:rsidR="00784B33">
        <w:rPr>
          <w:rFonts w:hint="cs"/>
          <w:rtl/>
        </w:rPr>
        <w:t> </w:t>
      </w:r>
      <w:r w:rsidR="00325C4E" w:rsidRPr="00325C4E">
        <w:rPr>
          <w:rtl/>
        </w:rPr>
        <w:t xml:space="preserve">الأمم المتحدة </w:t>
      </w:r>
      <w:r w:rsidR="00325C4E" w:rsidRPr="00325C4E">
        <w:rPr>
          <w:lang w:bidi="ar-EG"/>
        </w:rPr>
        <w:t>(UNOMS</w:t>
      </w:r>
      <w:r w:rsidR="00325C4E" w:rsidRPr="00325C4E">
        <w:t>)</w:t>
      </w:r>
      <w:r w:rsidR="00325C4E" w:rsidRPr="00325C4E">
        <w:rPr>
          <w:rtl/>
        </w:rPr>
        <w:t xml:space="preserve"> لتعزيز النزاهة المؤسسية وآليات تسوية المنازعات والمساءلة في مكان العمل.</w:t>
      </w:r>
    </w:p>
    <w:p w14:paraId="04155654" w14:textId="38AEF520" w:rsidR="00325C4E" w:rsidRPr="00325C4E" w:rsidRDefault="00325C4E" w:rsidP="00325C4E">
      <w:pPr>
        <w:rPr>
          <w:lang w:val="ar-SA" w:bidi="ar-EG"/>
        </w:rPr>
      </w:pPr>
      <w:r w:rsidRPr="00325C4E">
        <w:rPr>
          <w:b/>
          <w:bCs/>
          <w:rtl/>
        </w:rPr>
        <w:t>مؤشرات الأداء الرئيسية:</w:t>
      </w:r>
      <w:r w:rsidRPr="00325C4E">
        <w:rPr>
          <w:rtl/>
        </w:rPr>
        <w:tab/>
        <w:t>عدد توصيات الامتثال المفتوحة؛ وعدد توصيات الامتثال المنفذة؛ وعدد الموظفين الذين يستعملون وظيفة أمين المظالم وعدد المنازعات التي تم حلها بشكل غير رسمي من خلال الوساطة</w:t>
      </w:r>
      <w:r w:rsidR="004547BA">
        <w:rPr>
          <w:rFonts w:hint="cs"/>
          <w:rtl/>
        </w:rPr>
        <w:t>.</w:t>
      </w:r>
    </w:p>
    <w:p w14:paraId="419D9448" w14:textId="77777777" w:rsidR="00325C4E" w:rsidRPr="00325C4E" w:rsidRDefault="00325C4E" w:rsidP="00401A04">
      <w:pPr>
        <w:pStyle w:val="Heading1"/>
        <w:rPr>
          <w:lang w:val="ar-SA" w:bidi="ar-EG"/>
        </w:rPr>
      </w:pPr>
      <w:r w:rsidRPr="00325C4E">
        <w:rPr>
          <w:rtl/>
        </w:rPr>
        <w:t>الأنظمة والعمليات والأدوات</w:t>
      </w:r>
    </w:p>
    <w:p w14:paraId="554E57BC" w14:textId="762077FB" w:rsidR="00325C4E" w:rsidRPr="00E53F65" w:rsidRDefault="002A7099" w:rsidP="007D6CA4">
      <w:pPr>
        <w:pStyle w:val="Heading3"/>
        <w:rPr>
          <w:lang w:val="ar-SA" w:bidi="ar-EG"/>
        </w:rPr>
      </w:pPr>
      <w:r w:rsidRPr="00E53F65">
        <w:t>3.2.3</w:t>
      </w:r>
      <w:r w:rsidR="00325C4E" w:rsidRPr="00E53F65">
        <w:rPr>
          <w:rtl/>
        </w:rPr>
        <w:tab/>
        <w:t>إدارة المعلومات وإدارة المعرفة</w:t>
      </w:r>
    </w:p>
    <w:p w14:paraId="3988AF5F" w14:textId="183F9197" w:rsidR="00325C4E" w:rsidRPr="00325C4E" w:rsidRDefault="00325C4E" w:rsidP="00325C4E">
      <w:pPr>
        <w:rPr>
          <w:i/>
          <w:lang w:val="ar-SA" w:bidi="ar-EG"/>
        </w:rPr>
      </w:pPr>
      <w:r w:rsidRPr="00325C4E">
        <w:rPr>
          <w:b/>
          <w:bCs/>
          <w:rtl/>
        </w:rPr>
        <w:t>الهدف</w:t>
      </w:r>
      <w:r w:rsidR="00200644">
        <w:rPr>
          <w:rtl/>
        </w:rPr>
        <w:t>:</w:t>
      </w:r>
      <w:r w:rsidRPr="00325C4E">
        <w:rPr>
          <w:i/>
          <w:iCs/>
          <w:rtl/>
        </w:rPr>
        <w:t xml:space="preserve"> إدارة معلومات الاتحاد بفعالية وكفاءة وأمان طوال دورة حياتها، وضمان موثوقيتها ودقتها واكتمالها وملاءمتها لدعم عملية اتخاذ القرار والمساءلة والشفافية واستمرارية الأعمال ونقل المعرفة</w:t>
      </w:r>
      <w:r w:rsidR="004547BA">
        <w:rPr>
          <w:rFonts w:hint="cs"/>
          <w:i/>
          <w:iCs/>
          <w:rtl/>
        </w:rPr>
        <w:t>.</w:t>
      </w:r>
    </w:p>
    <w:p w14:paraId="4BBCB4D0" w14:textId="0ACDD243"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وُضعت استراتيجية الاتحاد لإدارة المعلومات.</w:t>
      </w:r>
    </w:p>
    <w:p w14:paraId="21717F95" w14:textId="6288E570" w:rsidR="00325C4E" w:rsidRPr="00BB65D2" w:rsidRDefault="00503AFE" w:rsidP="006704EB">
      <w:pPr>
        <w:pStyle w:val="enumlev1"/>
        <w:rPr>
          <w:lang w:val="ar-SA" w:bidi="ar-EG"/>
        </w:rPr>
      </w:pPr>
      <w:r w:rsidRPr="00BB65D2">
        <w:rPr>
          <w:lang w:val="ar-SA" w:bidi="ar-EG"/>
        </w:rPr>
        <w:sym w:font="Wingdings" w:char="F0FC"/>
      </w:r>
      <w:r w:rsidR="00325C4E" w:rsidRPr="00BB65D2">
        <w:rPr>
          <w:lang w:val="ar-SA" w:bidi="ar-EG"/>
        </w:rPr>
        <w:tab/>
      </w:r>
      <w:r w:rsidR="00325C4E" w:rsidRPr="00BB65D2">
        <w:rPr>
          <w:rtl/>
        </w:rPr>
        <w:t>خطة لإنشاء فريق عمل تابع للجنة إدارة تكنولوجيا المعلومات والاتصالات لمعالجة قضايا حوكمة المعلومات</w:t>
      </w:r>
      <w:r w:rsidR="00784B33">
        <w:rPr>
          <w:rFonts w:hint="cs"/>
          <w:rtl/>
        </w:rPr>
        <w:t> </w:t>
      </w:r>
      <w:r w:rsidR="00325C4E" w:rsidRPr="00BB65D2">
        <w:rPr>
          <w:rtl/>
        </w:rPr>
        <w:t>وإدارتها.</w:t>
      </w:r>
    </w:p>
    <w:p w14:paraId="1A383FD0" w14:textId="51A705B2" w:rsidR="00325C4E" w:rsidRPr="00325C4E" w:rsidRDefault="00503AFE" w:rsidP="006704EB">
      <w:pPr>
        <w:pStyle w:val="enumlev1"/>
        <w:rPr>
          <w:lang w:val="ar-SA" w:bidi="ar-EG"/>
        </w:rPr>
      </w:pPr>
      <w:r w:rsidRPr="00503AFE">
        <w:rPr>
          <w:lang w:val="ar-SA" w:bidi="ar-EG"/>
        </w:rPr>
        <w:sym w:font="Wingdings" w:char="F0FC"/>
      </w:r>
      <w:r w:rsidR="00325C4E" w:rsidRPr="00325C4E">
        <w:rPr>
          <w:lang w:val="ar-SA" w:bidi="ar-EG"/>
        </w:rPr>
        <w:tab/>
      </w:r>
      <w:r w:rsidR="00325C4E" w:rsidRPr="00325C4E">
        <w:rPr>
          <w:rtl/>
        </w:rPr>
        <w:t xml:space="preserve">المرحلة الأولى - يجري تنفيذ إدارة المعلومات في خدمة </w:t>
      </w:r>
      <w:r w:rsidR="00325C4E" w:rsidRPr="00325C4E">
        <w:rPr>
          <w:lang w:bidi="ar-EG"/>
        </w:rPr>
        <w:t>M365</w:t>
      </w:r>
      <w:r w:rsidR="004547BA">
        <w:rPr>
          <w:rFonts w:hint="cs"/>
          <w:rtl/>
          <w:lang w:bidi="ar-EG"/>
        </w:rPr>
        <w:t>.</w:t>
      </w:r>
    </w:p>
    <w:p w14:paraId="7AF4C961" w14:textId="77777777" w:rsidR="00325C4E" w:rsidRPr="00325C4E" w:rsidRDefault="00325C4E" w:rsidP="00325C4E">
      <w:pPr>
        <w:rPr>
          <w:lang w:val="ar-SA" w:bidi="ar-EG"/>
        </w:rPr>
      </w:pPr>
      <w:r w:rsidRPr="00325C4E">
        <w:rPr>
          <w:b/>
          <w:bCs/>
          <w:rtl/>
        </w:rPr>
        <w:t>مؤشرات الأداء الرئيسية:</w:t>
      </w:r>
      <w:r w:rsidRPr="00325C4E">
        <w:rPr>
          <w:rtl/>
        </w:rPr>
        <w:tab/>
        <w:t>عدد التوصيات المنفَّذة.</w:t>
      </w:r>
    </w:p>
    <w:p w14:paraId="1BDE7EA2" w14:textId="77777777" w:rsidR="00325C4E" w:rsidRPr="00325C4E" w:rsidRDefault="00325C4E" w:rsidP="00401A04">
      <w:pPr>
        <w:pStyle w:val="Heading1"/>
        <w:rPr>
          <w:lang w:val="ar-SA" w:bidi="ar-EG"/>
        </w:rPr>
      </w:pPr>
      <w:r w:rsidRPr="00325C4E">
        <w:rPr>
          <w:rtl/>
        </w:rPr>
        <w:t>الاستعمال الأمثل للموارد</w:t>
      </w:r>
    </w:p>
    <w:p w14:paraId="41ACD203" w14:textId="55B67F5C" w:rsidR="00325C4E" w:rsidRPr="00E53F65" w:rsidRDefault="002A7099" w:rsidP="007D6CA4">
      <w:pPr>
        <w:pStyle w:val="Heading3"/>
        <w:rPr>
          <w:lang w:val="ar-SA" w:bidi="ar-EG"/>
        </w:rPr>
      </w:pPr>
      <w:r w:rsidRPr="00E53F65">
        <w:t>4.2.3</w:t>
      </w:r>
      <w:r w:rsidR="00325C4E" w:rsidRPr="00E53F65">
        <w:rPr>
          <w:rtl/>
        </w:rPr>
        <w:tab/>
        <w:t>إدارة الأموال الخارجة عن الميزانية</w:t>
      </w:r>
    </w:p>
    <w:p w14:paraId="1E0189AB" w14:textId="61E778AF" w:rsidR="00325C4E" w:rsidRPr="00325C4E" w:rsidRDefault="00325C4E" w:rsidP="00325C4E">
      <w:pPr>
        <w:rPr>
          <w:lang w:val="ar-SA" w:bidi="ar-EG"/>
        </w:rPr>
      </w:pPr>
      <w:r w:rsidRPr="00325C4E">
        <w:rPr>
          <w:b/>
          <w:bCs/>
          <w:rtl/>
        </w:rPr>
        <w:t>الهدف</w:t>
      </w:r>
      <w:r w:rsidRPr="00325C4E">
        <w:rPr>
          <w:rtl/>
          <w:lang w:bidi="ar-EG"/>
        </w:rPr>
        <w:t>:</w:t>
      </w:r>
      <w:r w:rsidRPr="00325C4E">
        <w:rPr>
          <w:rtl/>
        </w:rPr>
        <w:t xml:space="preserve"> </w:t>
      </w:r>
      <w:r w:rsidRPr="00325C4E">
        <w:rPr>
          <w:i/>
          <w:iCs/>
          <w:rtl/>
        </w:rPr>
        <w:t xml:space="preserve">من خلال تنفيذ عمليات أكثر تبسيطاً بشأن الأموال الخارجة عن الميزانية </w:t>
      </w:r>
      <w:r w:rsidRPr="00325C4E">
        <w:rPr>
          <w:i/>
          <w:iCs/>
          <w:lang w:bidi="ar-EG"/>
        </w:rPr>
        <w:t>(EXB</w:t>
      </w:r>
      <w:r w:rsidRPr="00325C4E">
        <w:rPr>
          <w:i/>
          <w:iCs/>
        </w:rPr>
        <w:t>)</w:t>
      </w:r>
      <w:r w:rsidRPr="00325C4E">
        <w:rPr>
          <w:i/>
          <w:iCs/>
          <w:rtl/>
        </w:rPr>
        <w:t>، تكفل الأمانة تحسين الإبلاغ عن الموارد الخارجة عن الميزانية مما يتيح تعزيز الامتثال المالي وعملية اتخاذ القرار</w:t>
      </w:r>
      <w:r w:rsidR="004547BA">
        <w:rPr>
          <w:rFonts w:hint="cs"/>
          <w:i/>
          <w:iCs/>
          <w:rtl/>
        </w:rPr>
        <w:t>.</w:t>
      </w:r>
    </w:p>
    <w:p w14:paraId="3C0B3106" w14:textId="18207245"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‏مواءمة عمليات التمويل من خارج الميزانية وإعداد التقارير بشكل أفضل مع متطلبات العمل</w:t>
      </w:r>
      <w:r w:rsidR="00325C4E" w:rsidRPr="00325C4E">
        <w:rPr>
          <w:cs/>
        </w:rPr>
        <w:t>‎</w:t>
      </w:r>
      <w:r w:rsidR="00325C4E" w:rsidRPr="00325C4E">
        <w:rPr>
          <w:rtl/>
        </w:rPr>
        <w:t>.</w:t>
      </w:r>
    </w:p>
    <w:p w14:paraId="14648D19" w14:textId="67502199" w:rsidR="00325C4E" w:rsidRPr="00325C4E" w:rsidRDefault="001A53FF" w:rsidP="006704EB">
      <w:pPr>
        <w:pStyle w:val="enumlev1"/>
        <w:rPr>
          <w:rtl/>
          <w:lang w:val="ar-SA" w:bidi="ar-EG"/>
        </w:rPr>
      </w:pPr>
      <w:r w:rsidRPr="001A53FF">
        <w:rPr>
          <w:lang w:val="ar-SA" w:bidi="ar-EG"/>
        </w:rPr>
        <w:sym w:font="Wingdings" w:char="F0FC"/>
      </w:r>
      <w:r w:rsidR="00325C4E" w:rsidRPr="00325C4E">
        <w:rPr>
          <w:lang w:val="ar-SA" w:bidi="ar-EG"/>
        </w:rPr>
        <w:tab/>
      </w:r>
      <w:r w:rsidR="00325C4E" w:rsidRPr="00325C4E">
        <w:rPr>
          <w:rtl/>
        </w:rPr>
        <w:t>الخطوة التالية هي تطوير لوحات معلومات تنفيذية</w:t>
      </w:r>
      <w:r w:rsidR="004547BA">
        <w:rPr>
          <w:rFonts w:hint="cs"/>
          <w:rtl/>
          <w:lang w:bidi="ar-EG"/>
        </w:rPr>
        <w:t>.</w:t>
      </w:r>
    </w:p>
    <w:p w14:paraId="7085AA5B" w14:textId="21BF273B" w:rsidR="00325C4E" w:rsidRPr="00325C4E" w:rsidRDefault="00325C4E" w:rsidP="00325C4E">
      <w:pPr>
        <w:rPr>
          <w:lang w:val="ar-SA" w:bidi="ar-EG"/>
        </w:rPr>
      </w:pPr>
      <w:r w:rsidRPr="00325C4E">
        <w:rPr>
          <w:b/>
          <w:bCs/>
          <w:rtl/>
        </w:rPr>
        <w:t>مؤشرات الأداء الرئيسية:</w:t>
      </w:r>
      <w:r w:rsidRPr="00325C4E">
        <w:rPr>
          <w:rtl/>
        </w:rPr>
        <w:tab/>
        <w:t>عمليات إدارة الأموال الخارجة عن الميزانية محددة بوضوح؛ ‏إصدار التقارير عن تنفيذ المنح في الوقت المحدد</w:t>
      </w:r>
      <w:r w:rsidRPr="00325C4E">
        <w:rPr>
          <w:cs/>
        </w:rPr>
        <w:t>‎</w:t>
      </w:r>
      <w:r w:rsidR="004547BA">
        <w:rPr>
          <w:rFonts w:hint="cs"/>
          <w:rtl/>
          <w:cs/>
        </w:rPr>
        <w:t>.</w:t>
      </w:r>
    </w:p>
    <w:p w14:paraId="52E560B1" w14:textId="77777777" w:rsidR="00325C4E" w:rsidRPr="00325C4E" w:rsidRDefault="00325C4E" w:rsidP="00401A04">
      <w:pPr>
        <w:pStyle w:val="Heading1"/>
        <w:rPr>
          <w:lang w:val="ar-SA" w:bidi="ar-EG"/>
        </w:rPr>
      </w:pPr>
      <w:r w:rsidRPr="00325C4E">
        <w:rPr>
          <w:rtl/>
        </w:rPr>
        <w:lastRenderedPageBreak/>
        <w:t>الأعضاء والشركاء</w:t>
      </w:r>
    </w:p>
    <w:p w14:paraId="44BB350D" w14:textId="3CC7A236" w:rsidR="00325C4E" w:rsidRPr="00E53F65" w:rsidRDefault="002A7099" w:rsidP="007D6CA4">
      <w:pPr>
        <w:pStyle w:val="Heading3"/>
        <w:rPr>
          <w:lang w:val="ar-SA" w:bidi="ar-EG"/>
        </w:rPr>
      </w:pPr>
      <w:r w:rsidRPr="00E53F65">
        <w:t>5.2.3</w:t>
      </w:r>
      <w:r w:rsidR="00325C4E" w:rsidRPr="00E53F65">
        <w:rPr>
          <w:rtl/>
        </w:rPr>
        <w:tab/>
        <w:t>الموقع الإلكتروني والعلامة التجارية والاتصالات الخارجية</w:t>
      </w:r>
    </w:p>
    <w:p w14:paraId="5CEF09E4" w14:textId="1990DC0F" w:rsidR="00325C4E" w:rsidRPr="00BB65D2" w:rsidRDefault="00325C4E" w:rsidP="00325C4E">
      <w:pPr>
        <w:rPr>
          <w:b/>
          <w:i/>
          <w:iCs/>
          <w:lang w:val="ar-SA" w:bidi="ar-EG"/>
        </w:rPr>
      </w:pPr>
      <w:r w:rsidRPr="00325C4E">
        <w:rPr>
          <w:b/>
          <w:bCs/>
          <w:rtl/>
        </w:rPr>
        <w:t>الهدف</w:t>
      </w:r>
      <w:r w:rsidR="0010645F" w:rsidRPr="00D74624">
        <w:rPr>
          <w:rFonts w:hint="cs"/>
          <w:b/>
          <w:rtl/>
        </w:rPr>
        <w:t xml:space="preserve">: </w:t>
      </w:r>
      <w:r w:rsidRPr="00BB65D2">
        <w:rPr>
          <w:b/>
          <w:i/>
          <w:iCs/>
          <w:rtl/>
        </w:rPr>
        <w:t>تحسين الموقع الإلكتروني للاتحاد من خلال مزايا حديثة ومتوافقة مع الأجهزة المتنقلة، وتعزيز وظائف البحث، والأمن، وتجربة المستعمل، وتحقيق المواءمة.</w:t>
      </w:r>
    </w:p>
    <w:p w14:paraId="595B4552" w14:textId="2B71CD05"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يجري تطوير موقع إلكتروني جديد بشكل مستمر، مع خطة لإطلاق موقع حديث ومتوافق مع الأجهزة المتنقلة وآمن ومتعدد اللغات ومتسق قبل مؤتمر المندوبين المفوضين لعام 2026.</w:t>
      </w:r>
    </w:p>
    <w:p w14:paraId="1D7F3E4C" w14:textId="2B46A74C" w:rsidR="00325C4E" w:rsidRPr="00325C4E" w:rsidRDefault="00325C4E" w:rsidP="00325C4E">
      <w:pPr>
        <w:rPr>
          <w:lang w:val="ar-SA" w:bidi="ar-EG"/>
        </w:rPr>
      </w:pPr>
      <w:r w:rsidRPr="00325C4E">
        <w:rPr>
          <w:b/>
          <w:bCs/>
          <w:rtl/>
        </w:rPr>
        <w:t>مؤشرات الأداء الرئيسية:</w:t>
      </w:r>
      <w:r w:rsidRPr="00325C4E">
        <w:rPr>
          <w:rtl/>
        </w:rPr>
        <w:tab/>
        <w:t>درجة تقييم رضا المستعملين عن الموقع الإلكتروني</w:t>
      </w:r>
      <w:r w:rsidR="004547BA">
        <w:rPr>
          <w:rFonts w:hint="cs"/>
          <w:rtl/>
        </w:rPr>
        <w:t>.</w:t>
      </w:r>
    </w:p>
    <w:p w14:paraId="3585A57A" w14:textId="1E5B0EC6" w:rsidR="00325C4E" w:rsidRPr="00E53F65" w:rsidRDefault="002A7099" w:rsidP="007D6CA4">
      <w:pPr>
        <w:pStyle w:val="Heading3"/>
        <w:rPr>
          <w:lang w:val="ar-SA" w:bidi="ar-EG"/>
        </w:rPr>
      </w:pPr>
      <w:r w:rsidRPr="00E53F65">
        <w:t>6.2.3</w:t>
      </w:r>
      <w:r w:rsidR="00325C4E" w:rsidRPr="00E53F65">
        <w:rPr>
          <w:rtl/>
        </w:rPr>
        <w:tab/>
        <w:t xml:space="preserve">إدارة المؤتمرات والأحداث </w:t>
      </w:r>
      <w:r w:rsidR="004547BA">
        <w:rPr>
          <w:rFonts w:hint="cs"/>
          <w:rtl/>
        </w:rPr>
        <w:t>-</w:t>
      </w:r>
      <w:r w:rsidR="00325C4E" w:rsidRPr="00E53F65">
        <w:rPr>
          <w:rtl/>
        </w:rPr>
        <w:t xml:space="preserve"> معالجة الوثائق</w:t>
      </w:r>
    </w:p>
    <w:p w14:paraId="632A182D" w14:textId="1F06C5A5" w:rsidR="00325C4E" w:rsidRPr="00325C4E" w:rsidRDefault="00325C4E" w:rsidP="00325C4E">
      <w:pPr>
        <w:rPr>
          <w:b/>
          <w:lang w:val="ar-SA" w:bidi="ar-EG"/>
        </w:rPr>
      </w:pPr>
      <w:r w:rsidRPr="00325C4E">
        <w:rPr>
          <w:b/>
          <w:bCs/>
          <w:rtl/>
        </w:rPr>
        <w:t>الهدف</w:t>
      </w:r>
      <w:r w:rsidRPr="00BA69EF">
        <w:rPr>
          <w:b/>
          <w:rtl/>
          <w:lang w:bidi="ar-EG"/>
        </w:rPr>
        <w:t>:</w:t>
      </w:r>
      <w:r w:rsidRPr="00325C4E">
        <w:rPr>
          <w:bCs/>
          <w:i/>
          <w:iCs/>
          <w:rtl/>
        </w:rPr>
        <w:t xml:space="preserve"> </w:t>
      </w:r>
      <w:r w:rsidRPr="00325C4E">
        <w:rPr>
          <w:b/>
          <w:i/>
          <w:iCs/>
          <w:rtl/>
        </w:rPr>
        <w:t>تبسيط وتنسيق وثائق المؤتمرات والأحداث في الاتحاد</w:t>
      </w:r>
      <w:r w:rsidR="004547BA">
        <w:rPr>
          <w:rFonts w:hint="cs"/>
          <w:b/>
          <w:i/>
          <w:iCs/>
          <w:rtl/>
        </w:rPr>
        <w:t>.</w:t>
      </w:r>
    </w:p>
    <w:p w14:paraId="60EE74E6" w14:textId="72386575"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يجري إعداد مشروع لتبسيط وتوحيد عملية إدارة الوثائق بهدف تحسين تجربة الأعضاء في مؤتمرات الاتحاد</w:t>
      </w:r>
      <w:r w:rsidR="00C46D04">
        <w:rPr>
          <w:rFonts w:hint="cs"/>
          <w:rtl/>
        </w:rPr>
        <w:t> </w:t>
      </w:r>
      <w:r w:rsidR="00325C4E" w:rsidRPr="00325C4E">
        <w:rPr>
          <w:rtl/>
        </w:rPr>
        <w:t>وجمعياته.</w:t>
      </w:r>
    </w:p>
    <w:p w14:paraId="370793BE" w14:textId="63335C58" w:rsidR="00325C4E" w:rsidRPr="00325C4E" w:rsidRDefault="00325C4E" w:rsidP="00325C4E">
      <w:pPr>
        <w:rPr>
          <w:lang w:val="ar-SA" w:bidi="ar-EG"/>
        </w:rPr>
      </w:pPr>
      <w:r w:rsidRPr="00325C4E">
        <w:rPr>
          <w:b/>
          <w:bCs/>
          <w:rtl/>
        </w:rPr>
        <w:t>مؤشرات الأداء الرئيسية:</w:t>
      </w:r>
      <w:r w:rsidRPr="00325C4E">
        <w:rPr>
          <w:rtl/>
        </w:rPr>
        <w:tab/>
        <w:t>مدة الإنجاز من التقديم إلى النشر؛ استقصاء رضا المستعملين</w:t>
      </w:r>
      <w:r w:rsidR="004547BA">
        <w:rPr>
          <w:rFonts w:hint="cs"/>
          <w:rtl/>
        </w:rPr>
        <w:t>.</w:t>
      </w:r>
    </w:p>
    <w:p w14:paraId="38BBA0FD" w14:textId="774C1554" w:rsidR="00325C4E" w:rsidRPr="00E53F65" w:rsidRDefault="002A7099" w:rsidP="007D6CA4">
      <w:pPr>
        <w:pStyle w:val="Heading3"/>
        <w:rPr>
          <w:lang w:val="ar-SA" w:bidi="ar-EG"/>
        </w:rPr>
      </w:pPr>
      <w:r w:rsidRPr="00E53F65">
        <w:t>7.2.3</w:t>
      </w:r>
      <w:r w:rsidR="00325C4E" w:rsidRPr="00E53F65">
        <w:rPr>
          <w:rtl/>
        </w:rPr>
        <w:tab/>
        <w:t>الاتصال</w:t>
      </w:r>
      <w:r w:rsidR="00D87D2D" w:rsidRPr="00E53F65">
        <w:rPr>
          <w:rFonts w:hint="cs"/>
          <w:rtl/>
        </w:rPr>
        <w:t>ات</w:t>
      </w:r>
      <w:r w:rsidR="00325C4E" w:rsidRPr="00E53F65">
        <w:rPr>
          <w:rtl/>
        </w:rPr>
        <w:t xml:space="preserve"> والإعلام</w:t>
      </w:r>
    </w:p>
    <w:p w14:paraId="111BCFE5" w14:textId="41783CFA" w:rsidR="00325C4E" w:rsidRPr="00325C4E" w:rsidRDefault="00325C4E" w:rsidP="00325C4E">
      <w:pPr>
        <w:rPr>
          <w:i/>
          <w:lang w:val="ar-SA" w:bidi="ar-EG"/>
        </w:rPr>
      </w:pPr>
      <w:r w:rsidRPr="00325C4E">
        <w:rPr>
          <w:b/>
          <w:bCs/>
          <w:rtl/>
        </w:rPr>
        <w:t>الهدف</w:t>
      </w:r>
      <w:r w:rsidRPr="00325C4E">
        <w:rPr>
          <w:rtl/>
          <w:lang w:bidi="ar-EG"/>
        </w:rPr>
        <w:t>:</w:t>
      </w:r>
      <w:r w:rsidRPr="00325C4E">
        <w:rPr>
          <w:i/>
          <w:iCs/>
          <w:rtl/>
        </w:rPr>
        <w:t xml:space="preserve"> تعزيز تجربة الموظفين ومشاركتهم من خلال منصة اتصال داخلية حديثة للموظفين</w:t>
      </w:r>
      <w:r w:rsidR="004547BA">
        <w:rPr>
          <w:rFonts w:hint="cs"/>
          <w:i/>
          <w:iCs/>
          <w:rtl/>
        </w:rPr>
        <w:t>.</w:t>
      </w:r>
    </w:p>
    <w:p w14:paraId="730350B1" w14:textId="6055A216" w:rsidR="00325C4E" w:rsidRPr="00717A98" w:rsidRDefault="001A53FF" w:rsidP="00E8055F">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تطوير وتنفيذ مشروع تجريبي لحل متكامل يهدف إلى تعزيز الاتصال والتعاون وتبادل المعرفة مع تيسير أساليب عمل جديدة بين موظفي الاتحاد.</w:t>
      </w:r>
    </w:p>
    <w:p w14:paraId="613B8199" w14:textId="4F8980FC" w:rsidR="00325C4E" w:rsidRPr="00325C4E" w:rsidRDefault="00325C4E" w:rsidP="00325C4E">
      <w:pPr>
        <w:rPr>
          <w:lang w:val="ar-SA" w:bidi="ar-EG"/>
        </w:rPr>
      </w:pPr>
      <w:r w:rsidRPr="00325C4E">
        <w:rPr>
          <w:b/>
          <w:bCs/>
          <w:rtl/>
        </w:rPr>
        <w:t>مؤشرات الأداء الرئيسية:</w:t>
      </w:r>
      <w:r w:rsidRPr="00325C4E">
        <w:rPr>
          <w:rtl/>
        </w:rPr>
        <w:tab/>
        <w:t>معدل الاعتماد: المشاركة الفعالة للمستعملين؛ التفاعل مع المنصة (الزيارات، المنشورات، التعليقات)؛ استقصاء رضا الموظفين عن استخدام المنصة؛ انخفاض حجم البريد الإلكتروني بشأن المستجدات الداخلية؛ المشاركة في الحملات أو المجموعات المشتركة بين الدوائر</w:t>
      </w:r>
      <w:r w:rsidR="004547BA">
        <w:rPr>
          <w:rFonts w:hint="cs"/>
          <w:rtl/>
        </w:rPr>
        <w:t>.</w:t>
      </w:r>
    </w:p>
    <w:p w14:paraId="42E7A89E" w14:textId="157CDE04" w:rsidR="00325C4E" w:rsidRPr="00E53F65" w:rsidRDefault="002A7099" w:rsidP="007D6CA4">
      <w:pPr>
        <w:pStyle w:val="Heading3"/>
        <w:rPr>
          <w:lang w:val="ar-SA" w:bidi="ar-EG"/>
        </w:rPr>
      </w:pPr>
      <w:r w:rsidRPr="00E53F65">
        <w:t>8.2.3</w:t>
      </w:r>
      <w:r w:rsidR="00325C4E" w:rsidRPr="00E53F65">
        <w:rPr>
          <w:rtl/>
        </w:rPr>
        <w:tab/>
        <w:t>تعبئة الموارد ونظام إدارة العلاقة مع العملاء</w:t>
      </w:r>
    </w:p>
    <w:p w14:paraId="4C3C8DAA" w14:textId="077F9224" w:rsidR="00325C4E" w:rsidRPr="00325C4E" w:rsidRDefault="00325C4E" w:rsidP="00325C4E">
      <w:pPr>
        <w:rPr>
          <w:lang w:val="ar-SA" w:bidi="ar-EG"/>
        </w:rPr>
      </w:pPr>
      <w:r w:rsidRPr="00325C4E">
        <w:rPr>
          <w:b/>
          <w:bCs/>
          <w:rtl/>
        </w:rPr>
        <w:t>الهدف</w:t>
      </w:r>
      <w:r w:rsidR="00200644">
        <w:rPr>
          <w:rtl/>
        </w:rPr>
        <w:t>:</w:t>
      </w:r>
      <w:r w:rsidRPr="00325C4E">
        <w:rPr>
          <w:i/>
          <w:iCs/>
          <w:rtl/>
        </w:rPr>
        <w:t xml:space="preserve"> تعزيز التنسيق على مستوى الاتحاد فيما يتعلق بمشاركة الأعضاء والشركاء، وجمع الأموال، وإدارة الأحداث</w:t>
      </w:r>
      <w:r w:rsidR="004547BA">
        <w:rPr>
          <w:rFonts w:hint="cs"/>
          <w:i/>
          <w:iCs/>
          <w:rtl/>
        </w:rPr>
        <w:t>.</w:t>
      </w:r>
    </w:p>
    <w:p w14:paraId="4A138B8C" w14:textId="7840F05A"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وُضعت خارطة طريق لتنفيذ إدارة العلاقة مع العملاء.</w:t>
      </w:r>
    </w:p>
    <w:p w14:paraId="6ADD5D10" w14:textId="50DEA963"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أُعدت حالات استخدام الخطوة الأولى لتنسيق تعبئة الموارد وإشراك الشركاء على مستوى الاتحاد ككل فضلاً عن التحضير للاجتماعات التنفيذية الثنائية ومتابعتها بهدف تحسين الكفاءة والتأثير.</w:t>
      </w:r>
    </w:p>
    <w:p w14:paraId="49481B89" w14:textId="6CD903AB"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تتضمن خارطة الطريق أيضاً</w:t>
      </w:r>
      <w:r w:rsidR="00433B95">
        <w:rPr>
          <w:rFonts w:hint="cs"/>
          <w:rtl/>
        </w:rPr>
        <w:t>:</w:t>
      </w:r>
    </w:p>
    <w:p w14:paraId="6E551FD2" w14:textId="75941F01" w:rsidR="00325C4E" w:rsidRPr="00325C4E" w:rsidRDefault="004547BA" w:rsidP="006704EB">
      <w:pPr>
        <w:pStyle w:val="enumlev2"/>
        <w:rPr>
          <w:lang w:val="ar-SA" w:bidi="ar-EG"/>
        </w:rPr>
      </w:pPr>
      <w:r>
        <w:rPr>
          <w:rFonts w:ascii="Courier New" w:hAnsi="Courier New" w:cs="Courier New"/>
          <w:lang w:val="ar-SA" w:bidi="ar-EG"/>
        </w:rPr>
        <w:t>o</w:t>
      </w:r>
      <w:r w:rsidR="00325C4E" w:rsidRPr="00325C4E">
        <w:rPr>
          <w:lang w:val="ar-SA" w:bidi="ar-EG"/>
        </w:rPr>
        <w:tab/>
      </w:r>
      <w:r w:rsidR="00325C4E" w:rsidRPr="00325C4E">
        <w:rPr>
          <w:rtl/>
        </w:rPr>
        <w:t>وحدة إدارة الخدمة التي يدعمها الذكاء الاصطناعي لتحديث وتحسين كفاءة عمليات تقديم الخدمات على مستوى الاتحاد، بما في ذلك مكتب خدمات تكنولوجيا المعلومات والخدمات الداخلية وخدمات الوفود الأخرى.</w:t>
      </w:r>
    </w:p>
    <w:p w14:paraId="52B2BF50" w14:textId="47474734" w:rsidR="00325C4E" w:rsidRPr="00325C4E" w:rsidRDefault="004547BA" w:rsidP="006704EB">
      <w:pPr>
        <w:pStyle w:val="enumlev2"/>
        <w:rPr>
          <w:lang w:val="ar-SA" w:bidi="ar-EG"/>
        </w:rPr>
      </w:pPr>
      <w:r>
        <w:rPr>
          <w:rFonts w:ascii="Courier New" w:hAnsi="Courier New" w:cs="Courier New"/>
          <w:lang w:val="ar-SA" w:bidi="ar-EG"/>
        </w:rPr>
        <w:t>o</w:t>
      </w:r>
      <w:r w:rsidR="00325C4E" w:rsidRPr="00325C4E">
        <w:rPr>
          <w:lang w:val="ar-SA" w:bidi="ar-EG"/>
        </w:rPr>
        <w:tab/>
      </w:r>
      <w:r w:rsidR="00325C4E" w:rsidRPr="00325C4E">
        <w:rPr>
          <w:rtl/>
        </w:rPr>
        <w:t>وحدة التسويق لتعزيز رحلة المستعمل وتجربته ومشاركته الشخصية</w:t>
      </w:r>
      <w:r>
        <w:rPr>
          <w:rFonts w:hint="cs"/>
          <w:rtl/>
        </w:rPr>
        <w:t>.</w:t>
      </w:r>
    </w:p>
    <w:p w14:paraId="2E623C00" w14:textId="188A2E3C" w:rsidR="00325C4E" w:rsidRPr="00325C4E" w:rsidRDefault="004547BA" w:rsidP="006704EB">
      <w:pPr>
        <w:pStyle w:val="enumlev2"/>
        <w:rPr>
          <w:lang w:val="ar-SA" w:bidi="ar-EG"/>
        </w:rPr>
      </w:pPr>
      <w:r>
        <w:rPr>
          <w:rFonts w:ascii="Courier New" w:hAnsi="Courier New" w:cs="Courier New"/>
          <w:lang w:val="ar-SA" w:bidi="ar-EG"/>
        </w:rPr>
        <w:t>o</w:t>
      </w:r>
      <w:r w:rsidR="00325C4E" w:rsidRPr="00325C4E">
        <w:rPr>
          <w:lang w:val="ar-SA" w:bidi="ar-EG"/>
        </w:rPr>
        <w:tab/>
      </w:r>
      <w:r w:rsidR="00325C4E" w:rsidRPr="00325C4E">
        <w:rPr>
          <w:rtl/>
        </w:rPr>
        <w:t>مواصلة إدارة الأحداث لتحسين تجربة المندوبين، وتقليل الإجراءات الإدارية الداخلية من خلال الأتمتة واستخدام أدوات الذكاء الاصطناعي، وإتاحة نماذج أعمال جديدة محتملة مدرة للإيرادات.</w:t>
      </w:r>
    </w:p>
    <w:p w14:paraId="09A4A0F9" w14:textId="74DACEBA" w:rsidR="00325C4E" w:rsidRPr="004547BA" w:rsidRDefault="00325C4E" w:rsidP="00325C4E">
      <w:pPr>
        <w:rPr>
          <w:spacing w:val="-2"/>
          <w:lang w:val="ar-SA" w:bidi="ar-EG"/>
        </w:rPr>
      </w:pPr>
      <w:r w:rsidRPr="004547BA">
        <w:rPr>
          <w:b/>
          <w:bCs/>
          <w:spacing w:val="-2"/>
          <w:rtl/>
        </w:rPr>
        <w:t>مؤشرات الأداء الرئيسية:</w:t>
      </w:r>
      <w:r w:rsidRPr="004547BA">
        <w:rPr>
          <w:spacing w:val="-2"/>
          <w:rtl/>
        </w:rPr>
        <w:tab/>
        <w:t>فيما يخص تعبئة الموارد: تقرير عن الشركاء/الجهات المانحة/الراعية والأعضاء المحتملين، ومعدلات المحادثة، وإجمالي الإيرادات والنمو على أساس سنوي</w:t>
      </w:r>
      <w:r w:rsidR="00600DEF" w:rsidRPr="004547BA">
        <w:rPr>
          <w:spacing w:val="-2"/>
          <w:rtl/>
        </w:rPr>
        <w:t>،</w:t>
      </w:r>
      <w:r w:rsidRPr="004547BA">
        <w:rPr>
          <w:spacing w:val="-2"/>
          <w:rtl/>
        </w:rPr>
        <w:t xml:space="preserve"> </w:t>
      </w:r>
      <w:r w:rsidRPr="004547BA">
        <w:rPr>
          <w:spacing w:val="-2"/>
          <w:cs/>
        </w:rPr>
        <w:t>‎</w:t>
      </w:r>
      <w:r w:rsidRPr="004547BA">
        <w:rPr>
          <w:spacing w:val="-2"/>
          <w:rtl/>
        </w:rPr>
        <w:t xml:space="preserve"> وفيما يخص إدارة الخدمة: قياس التحسينات في الكفاءة، بما في ذلك تقليل متوسط الوقت لمعالجة الطلبات وتقليل متوسط التكلفة للتعامل مع بطاقات الدعم التقني وحلها بفضل الأتمتة/وكلاء الذكاء الاصطناعي، وتحسين رضا العملاء. وفيما يخص إدارة الأحداث: تحسين رضا المشاركين، وتبسيط الإجراءات للموظفين والمشاركين، وخفض التكاليف ووقت الموظفين المخصص لتنظيم الحدث.</w:t>
      </w:r>
    </w:p>
    <w:p w14:paraId="0BC02330" w14:textId="4508EECD" w:rsidR="00325C4E" w:rsidRPr="00E53F65" w:rsidRDefault="002A7099" w:rsidP="0056321C">
      <w:pPr>
        <w:pStyle w:val="Heading2"/>
        <w:rPr>
          <w:lang w:val="ar-SA" w:bidi="ar-EG"/>
        </w:rPr>
      </w:pPr>
      <w:r w:rsidRPr="00E53F65">
        <w:lastRenderedPageBreak/>
        <w:t>3.3</w:t>
      </w:r>
      <w:r w:rsidR="00325C4E" w:rsidRPr="00E53F65">
        <w:rPr>
          <w:rtl/>
        </w:rPr>
        <w:tab/>
        <w:t>مبادرات التحول المكتملة</w:t>
      </w:r>
    </w:p>
    <w:p w14:paraId="65129ACA" w14:textId="23E5916E" w:rsidR="00325C4E" w:rsidRPr="00E53F65" w:rsidRDefault="002A7099" w:rsidP="007D6CA4">
      <w:pPr>
        <w:pStyle w:val="Heading3"/>
        <w:rPr>
          <w:lang w:val="ar-SA" w:bidi="ar-EG"/>
        </w:rPr>
      </w:pPr>
      <w:r w:rsidRPr="00E53F65">
        <w:t>1.3.3</w:t>
      </w:r>
      <w:r w:rsidR="00325C4E" w:rsidRPr="00E53F65">
        <w:rPr>
          <w:rtl/>
        </w:rPr>
        <w:tab/>
        <w:t>إدارة مخصصات الميزانية</w:t>
      </w:r>
    </w:p>
    <w:p w14:paraId="15C9139F" w14:textId="2BBC37F0" w:rsidR="00325C4E" w:rsidRPr="00325C4E" w:rsidRDefault="00325C4E" w:rsidP="00325C4E">
      <w:pPr>
        <w:rPr>
          <w:b/>
          <w:lang w:val="ar-SA" w:bidi="ar-EG"/>
        </w:rPr>
      </w:pPr>
      <w:r w:rsidRPr="00325C4E">
        <w:rPr>
          <w:b/>
          <w:bCs/>
          <w:rtl/>
        </w:rPr>
        <w:t>الهدف</w:t>
      </w:r>
      <w:r w:rsidRPr="00BA69EF">
        <w:rPr>
          <w:b/>
          <w:rtl/>
          <w:lang w:bidi="ar-EG"/>
        </w:rPr>
        <w:t>:</w:t>
      </w:r>
      <w:r w:rsidRPr="00325C4E">
        <w:rPr>
          <w:bCs/>
          <w:rtl/>
          <w:lang w:bidi="ar-EG"/>
        </w:rPr>
        <w:t xml:space="preserve"> </w:t>
      </w:r>
      <w:r w:rsidRPr="00325C4E">
        <w:rPr>
          <w:b/>
          <w:i/>
          <w:iCs/>
          <w:rtl/>
        </w:rPr>
        <w:t>ضمان إدارة مخصصات الميزانية على مستوى الاتحاد بفعالية وبما يتماشى مع الموارد لضمان الاستمرارية نحو المبادرات ذات الأولوية، وتعظيم الأثر من خلال ترشيد إدارة الأموال</w:t>
      </w:r>
      <w:r w:rsidR="004547BA">
        <w:rPr>
          <w:rFonts w:hint="cs"/>
          <w:b/>
          <w:i/>
          <w:iCs/>
          <w:rtl/>
        </w:rPr>
        <w:t>.</w:t>
      </w:r>
    </w:p>
    <w:p w14:paraId="5E02853D" w14:textId="17902C21" w:rsidR="00325C4E" w:rsidRPr="00325C4E" w:rsidRDefault="006704EB" w:rsidP="006704EB">
      <w:pPr>
        <w:pStyle w:val="enumlev1"/>
        <w:rPr>
          <w:lang w:val="ar-SA" w:bidi="ar-EG"/>
        </w:rPr>
      </w:pPr>
      <w:r w:rsidRPr="006704EB">
        <w:rPr>
          <w:lang w:val="ar-SA" w:bidi="ar-EG"/>
        </w:rPr>
        <w:sym w:font="Wingdings" w:char="F0FC"/>
      </w:r>
      <w:r w:rsidR="00325C4E" w:rsidRPr="00325C4E">
        <w:rPr>
          <w:lang w:val="ar-SA" w:bidi="ar-EG"/>
        </w:rPr>
        <w:tab/>
      </w:r>
      <w:r w:rsidR="00325C4E" w:rsidRPr="00325C4E">
        <w:rPr>
          <w:rtl/>
        </w:rPr>
        <w:t xml:space="preserve">ضمان توافق مخصصات الميزانية والإيرادات في عام </w:t>
      </w:r>
      <w:r w:rsidR="00325C4E" w:rsidRPr="00325C4E">
        <w:t>2025</w:t>
      </w:r>
      <w:r w:rsidR="00325C4E" w:rsidRPr="00325C4E">
        <w:rPr>
          <w:rtl/>
        </w:rPr>
        <w:t>.</w:t>
      </w:r>
    </w:p>
    <w:p w14:paraId="21BE6422" w14:textId="5313EB0A" w:rsidR="00325C4E" w:rsidRPr="00325C4E" w:rsidRDefault="00325C4E" w:rsidP="00325C4E">
      <w:pPr>
        <w:rPr>
          <w:lang w:val="ar-SA" w:bidi="ar-EG"/>
        </w:rPr>
      </w:pPr>
      <w:r w:rsidRPr="00325C4E">
        <w:rPr>
          <w:b/>
          <w:bCs/>
          <w:rtl/>
        </w:rPr>
        <w:t>مؤشرات الأداء الرئيسية:</w:t>
      </w:r>
      <w:r w:rsidRPr="00325C4E">
        <w:rPr>
          <w:rtl/>
        </w:rPr>
        <w:tab/>
        <w:t>توافق الميزانية المعتمدة مع الإيرادات المتوقعة في بداية السنة؛ واستعراضات ربع سنوية لتوقعات الإيرادات والتعديلات التي أدخلت على الميزانية المخصصة</w:t>
      </w:r>
      <w:r w:rsidR="004547BA">
        <w:rPr>
          <w:rFonts w:hint="cs"/>
          <w:rtl/>
        </w:rPr>
        <w:t>.</w:t>
      </w:r>
    </w:p>
    <w:p w14:paraId="20142034" w14:textId="0C830867" w:rsidR="00325C4E" w:rsidRPr="00E53F65" w:rsidRDefault="002A7099" w:rsidP="007D6CA4">
      <w:pPr>
        <w:pStyle w:val="Heading3"/>
        <w:rPr>
          <w:lang w:val="ar-SA" w:bidi="ar-EG"/>
        </w:rPr>
      </w:pPr>
      <w:r w:rsidRPr="00E53F65">
        <w:t>2.3.3</w:t>
      </w:r>
      <w:r w:rsidR="00325C4E" w:rsidRPr="00E53F65">
        <w:rPr>
          <w:rtl/>
        </w:rPr>
        <w:tab/>
        <w:t>اللوائح المالية والقواعد المالية</w:t>
      </w:r>
    </w:p>
    <w:p w14:paraId="3F24390B" w14:textId="44405F68" w:rsidR="00325C4E" w:rsidRPr="00325C4E" w:rsidRDefault="00325C4E" w:rsidP="00325C4E">
      <w:pPr>
        <w:rPr>
          <w:b/>
          <w:lang w:val="ar-SA" w:bidi="ar-EG"/>
        </w:rPr>
      </w:pPr>
      <w:r w:rsidRPr="00325C4E">
        <w:rPr>
          <w:b/>
          <w:bCs/>
          <w:rtl/>
        </w:rPr>
        <w:t>الهدف</w:t>
      </w:r>
      <w:r w:rsidRPr="00BA69EF">
        <w:rPr>
          <w:b/>
          <w:rtl/>
          <w:lang w:bidi="ar-EG"/>
        </w:rPr>
        <w:t xml:space="preserve">: </w:t>
      </w:r>
      <w:r w:rsidRPr="00325C4E">
        <w:rPr>
          <w:b/>
          <w:i/>
          <w:iCs/>
          <w:rtl/>
        </w:rPr>
        <w:t>كفالة تحسين الإدارة المالية وزيادة الشفافية والمساءلة</w:t>
      </w:r>
      <w:r w:rsidR="004547BA">
        <w:rPr>
          <w:rFonts w:hint="cs"/>
          <w:b/>
          <w:i/>
          <w:iCs/>
          <w:rtl/>
        </w:rPr>
        <w:t>.</w:t>
      </w:r>
    </w:p>
    <w:p w14:paraId="6BAD1FC7" w14:textId="50C40672"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ضمان امتثال الاتحاد امتثالاً تاماً للمعايير المحاسبية الدولية للقطاع العام.</w:t>
      </w:r>
    </w:p>
    <w:p w14:paraId="6BA90BC1" w14:textId="2597DDE3" w:rsidR="00325C4E" w:rsidRPr="00325C4E" w:rsidRDefault="00325C4E" w:rsidP="00325C4E">
      <w:pPr>
        <w:rPr>
          <w:lang w:val="ar-SA" w:bidi="ar-EG"/>
        </w:rPr>
      </w:pPr>
      <w:r w:rsidRPr="00325C4E">
        <w:rPr>
          <w:b/>
          <w:bCs/>
          <w:rtl/>
        </w:rPr>
        <w:t>مؤشرات الأداء الرئيسية:</w:t>
      </w:r>
      <w:r w:rsidRPr="00325C4E">
        <w:rPr>
          <w:rtl/>
        </w:rPr>
        <w:tab/>
        <w:t xml:space="preserve">الامتثال بنسبة </w:t>
      </w:r>
      <w:r w:rsidRPr="00325C4E">
        <w:t>100</w:t>
      </w:r>
      <w:r w:rsidRPr="00325C4E">
        <w:rPr>
          <w:rtl/>
        </w:rPr>
        <w:t xml:space="preserve"> في المائة للمعايير المحاسبية الدولية للقطاع العام عند إصدار التقرير المالي؛ التقرير المالي الصادر بحلول </w:t>
      </w:r>
      <w:r w:rsidRPr="00325C4E">
        <w:t>31</w:t>
      </w:r>
      <w:r w:rsidRPr="00325C4E">
        <w:rPr>
          <w:rtl/>
        </w:rPr>
        <w:t xml:space="preserve"> مارس من العام التالي</w:t>
      </w:r>
      <w:r w:rsidR="004547BA">
        <w:rPr>
          <w:rFonts w:hint="cs"/>
          <w:rtl/>
        </w:rPr>
        <w:t>.</w:t>
      </w:r>
    </w:p>
    <w:p w14:paraId="4F34CBB2" w14:textId="256C7084" w:rsidR="00325C4E" w:rsidRPr="00E53F65" w:rsidRDefault="002A7099" w:rsidP="007D6CA4">
      <w:pPr>
        <w:pStyle w:val="Heading3"/>
        <w:rPr>
          <w:lang w:val="ar-SA" w:bidi="ar-EG"/>
        </w:rPr>
      </w:pPr>
      <w:r w:rsidRPr="00E53F65">
        <w:t>3.3.3</w:t>
      </w:r>
      <w:r w:rsidR="00325C4E" w:rsidRPr="00E53F65">
        <w:rPr>
          <w:rtl/>
        </w:rPr>
        <w:tab/>
        <w:t>إدارة الخزانة</w:t>
      </w:r>
    </w:p>
    <w:p w14:paraId="37774AC0" w14:textId="0FA26266" w:rsidR="00325C4E" w:rsidRPr="00325C4E" w:rsidRDefault="00325C4E" w:rsidP="00325C4E">
      <w:pPr>
        <w:rPr>
          <w:b/>
          <w:lang w:val="ar-SA" w:bidi="ar-EG"/>
        </w:rPr>
      </w:pPr>
      <w:r w:rsidRPr="00325C4E">
        <w:rPr>
          <w:b/>
          <w:bCs/>
          <w:rtl/>
        </w:rPr>
        <w:t>الهدف</w:t>
      </w:r>
      <w:r w:rsidRPr="00BA69EF">
        <w:rPr>
          <w:b/>
          <w:rtl/>
        </w:rPr>
        <w:t xml:space="preserve">: </w:t>
      </w:r>
      <w:r w:rsidRPr="00EE34DF">
        <w:rPr>
          <w:b/>
          <w:i/>
          <w:iCs/>
          <w:rtl/>
        </w:rPr>
        <w:t>تحسين القرارات المتعلقة بالاستثمار في الاتحاد</w:t>
      </w:r>
      <w:r w:rsidR="004547BA">
        <w:rPr>
          <w:rFonts w:hint="cs"/>
          <w:b/>
          <w:i/>
          <w:iCs/>
          <w:rtl/>
        </w:rPr>
        <w:t>.</w:t>
      </w:r>
    </w:p>
    <w:p w14:paraId="767B6E7B" w14:textId="0DBE72E2"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التأكد من حصول الاتحاد على معلومات كاملة قبل اتخاذ قرارات الاستثمار بما في ذلك الوعي بمخاطر العملة</w:t>
      </w:r>
      <w:r w:rsidR="00CE0096">
        <w:rPr>
          <w:rFonts w:hint="cs"/>
          <w:rtl/>
        </w:rPr>
        <w:t> </w:t>
      </w:r>
      <w:r w:rsidR="00325C4E" w:rsidRPr="00325C4E">
        <w:rPr>
          <w:rtl/>
        </w:rPr>
        <w:t>والسوق.</w:t>
      </w:r>
    </w:p>
    <w:p w14:paraId="784A5081" w14:textId="33F6A68D"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تم إنشاء لجنة الخزانة رسمياً.</w:t>
      </w:r>
    </w:p>
    <w:p w14:paraId="55FF4D63" w14:textId="35C1B842"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تم اعتماد سياسة الاستثمار ذات الصلة.</w:t>
      </w:r>
    </w:p>
    <w:p w14:paraId="3E48B7CA" w14:textId="239E6F43" w:rsidR="00325C4E" w:rsidRPr="00325C4E" w:rsidRDefault="001A53FF" w:rsidP="006704EB">
      <w:pPr>
        <w:pStyle w:val="enumlev1"/>
        <w:rPr>
          <w:lang w:val="ar-SA" w:bidi="ar-EG"/>
        </w:rPr>
      </w:pPr>
      <w:r w:rsidRPr="001A53FF">
        <w:rPr>
          <w:lang w:val="ar-SA" w:bidi="ar-EG"/>
        </w:rPr>
        <w:sym w:font="Wingdings" w:char="F0FC"/>
      </w:r>
      <w:r w:rsidR="00325C4E" w:rsidRPr="00325C4E">
        <w:rPr>
          <w:lang w:val="ar-SA" w:bidi="ar-EG"/>
        </w:rPr>
        <w:tab/>
      </w:r>
      <w:r w:rsidR="00325C4E" w:rsidRPr="00325C4E">
        <w:rPr>
          <w:rtl/>
        </w:rPr>
        <w:t>يجب دمج إدارة مخاطر العملة في عمليات الخزانة.</w:t>
      </w:r>
    </w:p>
    <w:p w14:paraId="06BF9EA5" w14:textId="097BF721" w:rsidR="00325C4E" w:rsidRPr="00325C4E" w:rsidRDefault="00325C4E" w:rsidP="00325C4E">
      <w:pPr>
        <w:rPr>
          <w:lang w:bidi="ar-EG"/>
        </w:rPr>
      </w:pPr>
      <w:r w:rsidRPr="00325C4E">
        <w:rPr>
          <w:b/>
          <w:bCs/>
          <w:rtl/>
        </w:rPr>
        <w:t>مؤشرات الأداء الرئيسية:</w:t>
      </w:r>
      <w:r w:rsidRPr="00325C4E">
        <w:rPr>
          <w:rtl/>
        </w:rPr>
        <w:tab/>
        <w:t>تم إنشاء لجنة الخزانة رسمياً. تتخذ اللجنة قرار الاستثمار وفقاً لسياسة الاستثمار</w:t>
      </w:r>
      <w:r w:rsidR="004547BA">
        <w:rPr>
          <w:rFonts w:hint="cs"/>
          <w:rtl/>
          <w:lang w:bidi="ar-EG"/>
        </w:rPr>
        <w:t>.</w:t>
      </w:r>
    </w:p>
    <w:p w14:paraId="33F942AE" w14:textId="4A58DD1D" w:rsidR="00325C4E" w:rsidRPr="00325C4E" w:rsidRDefault="002A7099" w:rsidP="007D6CA4">
      <w:pPr>
        <w:pStyle w:val="Heading1"/>
        <w:rPr>
          <w:lang w:val="ar-SA" w:bidi="ar-EG"/>
        </w:rPr>
      </w:pPr>
      <w:r>
        <w:rPr>
          <w:lang w:bidi="ar-EG"/>
        </w:rPr>
        <w:t>4</w:t>
      </w:r>
      <w:r w:rsidR="00325C4E" w:rsidRPr="00325C4E">
        <w:rPr>
          <w:lang w:val="ar-SA" w:bidi="ar-EG"/>
        </w:rPr>
        <w:tab/>
      </w:r>
      <w:r w:rsidR="00325C4E" w:rsidRPr="00325C4E">
        <w:rPr>
          <w:rtl/>
        </w:rPr>
        <w:t>الفوائد ومكاسب الكفاءة</w:t>
      </w:r>
    </w:p>
    <w:p w14:paraId="7C7FD763" w14:textId="0154BE7E" w:rsidR="00325C4E" w:rsidRPr="00325C4E" w:rsidRDefault="00325C4E" w:rsidP="00325C4E">
      <w:pPr>
        <w:rPr>
          <w:lang w:val="ar-SA" w:bidi="ar-EG"/>
        </w:rPr>
      </w:pPr>
      <w:r w:rsidRPr="00325C4E">
        <w:rPr>
          <w:rtl/>
        </w:rPr>
        <w:t xml:space="preserve">بدأت مبادرات التحول التي نُفذت حتى الآن تحقق فوائد قابلة للقياس على مستوى الاتحاد، سواء من حيث الكفاءة التشغيلية أو التحول </w:t>
      </w:r>
      <w:r w:rsidR="004547BA">
        <w:rPr>
          <w:rFonts w:hint="cs"/>
          <w:rtl/>
        </w:rPr>
        <w:t>التنظيمي</w:t>
      </w:r>
      <w:r w:rsidRPr="00325C4E">
        <w:rPr>
          <w:rtl/>
        </w:rPr>
        <w:t>.</w:t>
      </w:r>
    </w:p>
    <w:p w14:paraId="4F76EA6C" w14:textId="76BEDED1" w:rsidR="00325C4E" w:rsidRPr="00325C4E" w:rsidRDefault="00325C4E" w:rsidP="006C58F6">
      <w:pPr>
        <w:rPr>
          <w:lang w:bidi="en-GB"/>
        </w:rPr>
      </w:pPr>
      <w:r w:rsidRPr="00325C4E">
        <w:rPr>
          <w:b/>
          <w:bCs/>
          <w:rtl/>
        </w:rPr>
        <w:t>تعزيز المشاركة والقيادة والثقافة</w:t>
      </w:r>
      <w:r w:rsidR="004547BA" w:rsidRPr="004547BA">
        <w:rPr>
          <w:rFonts w:hint="cs"/>
          <w:rtl/>
          <w:lang w:bidi="ar-EG"/>
        </w:rPr>
        <w:t>:</w:t>
      </w:r>
      <w:r w:rsidRPr="00325C4E">
        <w:rPr>
          <w:rtl/>
        </w:rPr>
        <w:t xml:space="preserve"> أتاح إطلاق أول استقصاء لمشاركة جميع الموظفين، بنسبة مشاركة بلغت </w:t>
      </w:r>
      <w:r w:rsidR="006C58F6" w:rsidRPr="00325C4E">
        <w:t>%</w:t>
      </w:r>
      <w:r w:rsidRPr="00325C4E">
        <w:rPr>
          <w:lang w:bidi="ar-EG"/>
        </w:rPr>
        <w:t>72</w:t>
      </w:r>
      <w:r w:rsidRPr="00325C4E">
        <w:rPr>
          <w:rtl/>
        </w:rPr>
        <w:t>، اتباع نهج قائم على البيانات لتحسين تجربة الموظفين وتحديد مجالات واضحة لتحسين القيادة، وذلك بدعم من برنامج تدريبي مُصمَّم خصيصاً لبناء المهارات القيادية.</w:t>
      </w:r>
    </w:p>
    <w:p w14:paraId="200C1C02" w14:textId="74017B06" w:rsidR="00325C4E" w:rsidRPr="00325C4E" w:rsidRDefault="00325C4E" w:rsidP="00325C4E">
      <w:pPr>
        <w:rPr>
          <w:lang w:val="ar-SA" w:bidi="ar-EG"/>
        </w:rPr>
      </w:pPr>
      <w:r w:rsidRPr="00325C4E">
        <w:rPr>
          <w:b/>
          <w:bCs/>
          <w:rtl/>
        </w:rPr>
        <w:t>تعزيز الكفاءة التشغيلية والفعالية من حيث التكلفة</w:t>
      </w:r>
      <w:r w:rsidR="004547BA" w:rsidRPr="004547BA">
        <w:rPr>
          <w:rFonts w:hint="cs"/>
          <w:rtl/>
          <w:lang w:bidi="ar-EG"/>
        </w:rPr>
        <w:t>:</w:t>
      </w:r>
      <w:r w:rsidRPr="00325C4E">
        <w:rPr>
          <w:rtl/>
        </w:rPr>
        <w:t xml:space="preserve"> تستغرق تقييمات الأداء الآن وقتاً أقل بنسبة </w:t>
      </w:r>
      <w:r w:rsidR="00264361">
        <w:t>%50</w:t>
      </w:r>
      <w:r w:rsidRPr="00325C4E">
        <w:rPr>
          <w:rtl/>
        </w:rPr>
        <w:t>. أدت إعادة مواءمة الميزانية والإيرادات في إطار مشاريع تخصيص الموارد وإدارة الأموال الخارجة عن الميزانية إلى تحسين استخدام الموارد، وضمان توجيه الأموال نحو المبادرات ذات الأولوية القصوى. وأدت التحسينات التي أدخلت على إدارة الخزانة والتنظيم المالي إلى تعزيز الشفافية المالية والامتثال المالي.</w:t>
      </w:r>
    </w:p>
    <w:p w14:paraId="0B9B4C5A" w14:textId="1364A142" w:rsidR="00325C4E" w:rsidRPr="00325C4E" w:rsidRDefault="00325C4E" w:rsidP="00325C4E">
      <w:pPr>
        <w:rPr>
          <w:lang w:val="ar-SA" w:bidi="ar-EG"/>
        </w:rPr>
      </w:pPr>
      <w:r w:rsidRPr="00325C4E">
        <w:rPr>
          <w:b/>
          <w:bCs/>
          <w:rtl/>
        </w:rPr>
        <w:t>تعزيز المرونة المؤسسية والإنتاجية من خلال الأدوات الرقمية والابتكار</w:t>
      </w:r>
      <w:r w:rsidRPr="004547BA">
        <w:rPr>
          <w:rtl/>
        </w:rPr>
        <w:t>:</w:t>
      </w:r>
      <w:r w:rsidRPr="00325C4E">
        <w:rPr>
          <w:rtl/>
        </w:rPr>
        <w:t> أسهم اعتماد أدوات الذكاء الاصطناعي في</w:t>
      </w:r>
      <w:r w:rsidR="00256F59">
        <w:rPr>
          <w:rFonts w:hint="cs"/>
          <w:rtl/>
        </w:rPr>
        <w:t> </w:t>
      </w:r>
      <w:r w:rsidRPr="00325C4E">
        <w:rPr>
          <w:rtl/>
        </w:rPr>
        <w:t xml:space="preserve">إرساء أسس اتخاذ قرارات أكثر ذكاءً وسرعة، مما ساعد الموظفين على تقليل الوقت المخصص للمهام اليدوية والمتكررة بنسبة تتراوح بين </w:t>
      </w:r>
      <w:r w:rsidR="006C58F6">
        <w:t>%</w:t>
      </w:r>
      <w:r w:rsidRPr="00325C4E">
        <w:t>8</w:t>
      </w:r>
      <w:r w:rsidRPr="00325C4E">
        <w:rPr>
          <w:rtl/>
        </w:rPr>
        <w:t xml:space="preserve"> و</w:t>
      </w:r>
      <w:r w:rsidR="006C58F6">
        <w:t>%</w:t>
      </w:r>
      <w:r w:rsidRPr="00325C4E">
        <w:rPr>
          <w:lang w:bidi="ar-EG"/>
        </w:rPr>
        <w:t>10</w:t>
      </w:r>
      <w:r w:rsidRPr="00325C4E">
        <w:rPr>
          <w:rtl/>
        </w:rPr>
        <w:t xml:space="preserve"> والتركيز على الأعمال ذات القيمة العالية. </w:t>
      </w:r>
      <w:r w:rsidR="00433B95">
        <w:rPr>
          <w:rFonts w:hint="cs"/>
          <w:rtl/>
        </w:rPr>
        <w:t>ومن</w:t>
      </w:r>
      <w:r w:rsidRPr="00325C4E">
        <w:rPr>
          <w:rtl/>
        </w:rPr>
        <w:t xml:space="preserve"> الآن فصاعداً، سيتم رصد الفوائد والمكاسب الناتجة عن زيادة الكفاءة في جميع المبادرات والإبلاغ عنها باستمرار طوال فترة التنفيذ.</w:t>
      </w:r>
    </w:p>
    <w:p w14:paraId="5FCCC114" w14:textId="5C449D14" w:rsidR="00325C4E" w:rsidRPr="00325C4E" w:rsidRDefault="002A7099" w:rsidP="007D6CA4">
      <w:pPr>
        <w:pStyle w:val="Heading1"/>
        <w:rPr>
          <w:lang w:val="ar-SA" w:bidi="ar-EG"/>
        </w:rPr>
      </w:pPr>
      <w:r>
        <w:rPr>
          <w:lang w:bidi="ar-EG"/>
        </w:rPr>
        <w:lastRenderedPageBreak/>
        <w:t>5</w:t>
      </w:r>
      <w:r w:rsidR="00325C4E" w:rsidRPr="00325C4E">
        <w:rPr>
          <w:lang w:val="ar-SA" w:bidi="ar-EG"/>
        </w:rPr>
        <w:tab/>
      </w:r>
      <w:r w:rsidR="00325C4E" w:rsidRPr="00325C4E">
        <w:rPr>
          <w:rtl/>
        </w:rPr>
        <w:t>الإطار الزمني</w:t>
      </w:r>
    </w:p>
    <w:p w14:paraId="4D1818CC" w14:textId="77777777" w:rsidR="00325C4E" w:rsidRPr="00325C4E" w:rsidRDefault="00325C4E" w:rsidP="00325C4E">
      <w:pPr>
        <w:rPr>
          <w:lang w:val="ar-SA" w:bidi="ar-EG"/>
        </w:rPr>
      </w:pPr>
      <w:r w:rsidRPr="00325C4E">
        <w:rPr>
          <w:rtl/>
        </w:rPr>
        <w:t xml:space="preserve">بدأت جهود التحول في المبادرات الست المسرَّعة في عام </w:t>
      </w:r>
      <w:r w:rsidRPr="00325C4E">
        <w:t>2024</w:t>
      </w:r>
      <w:r w:rsidRPr="00325C4E">
        <w:rPr>
          <w:rtl/>
        </w:rPr>
        <w:t xml:space="preserve">. ومنذ يناير </w:t>
      </w:r>
      <w:r w:rsidRPr="00325C4E">
        <w:t>2025</w:t>
      </w:r>
      <w:r w:rsidRPr="00325C4E">
        <w:rPr>
          <w:rtl/>
        </w:rPr>
        <w:t>، عزز برنامج التحول توحيد محفظة مبادراته وأتاح للعديد من المبادرات الأخرى الانتقال إلى مرحلة التنفيذ. ويقدم الجدول أدناه نظرة عامة على الجدول الزمني للمبادرات الجارية.</w:t>
      </w:r>
    </w:p>
    <w:p w14:paraId="24D53A74" w14:textId="2B2EE896" w:rsidR="00325C4E" w:rsidRPr="00325C4E" w:rsidRDefault="00C35780" w:rsidP="00C35780">
      <w:pPr>
        <w:pStyle w:val="Figure"/>
        <w:rPr>
          <w:lang w:bidi="ar-EG"/>
        </w:rPr>
      </w:pPr>
      <w:r w:rsidRPr="00C35780">
        <w:rPr>
          <w:noProof/>
        </w:rPr>
        <w:drawing>
          <wp:inline distT="0" distB="0" distL="0" distR="0" wp14:anchorId="1DCA795E" wp14:editId="43A6AC78">
            <wp:extent cx="5760000" cy="3589200"/>
            <wp:effectExtent l="0" t="0" r="0" b="0"/>
            <wp:docPr id="1396132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1512" t="567" r="586" b="5527"/>
                    <a:stretch/>
                  </pic:blipFill>
                  <pic:spPr bwMode="auto">
                    <a:xfrm>
                      <a:off x="0" y="0"/>
                      <a:ext cx="5760000" cy="3589200"/>
                    </a:xfrm>
                    <a:prstGeom prst="rect">
                      <a:avLst/>
                    </a:prstGeom>
                    <a:noFill/>
                    <a:ln>
                      <a:noFill/>
                    </a:ln>
                    <a:extLst>
                      <a:ext uri="{53640926-AAD7-44D8-BBD7-CCE9431645EC}">
                        <a14:shadowObscured xmlns:a14="http://schemas.microsoft.com/office/drawing/2010/main"/>
                      </a:ext>
                    </a:extLst>
                  </pic:spPr>
                </pic:pic>
              </a:graphicData>
            </a:graphic>
          </wp:inline>
        </w:drawing>
      </w:r>
    </w:p>
    <w:p w14:paraId="0AAE9B97" w14:textId="2913F6CC" w:rsidR="00325C4E" w:rsidRPr="00325C4E" w:rsidRDefault="002A7099" w:rsidP="007D6CA4">
      <w:pPr>
        <w:pStyle w:val="Heading1"/>
        <w:rPr>
          <w:rtl/>
          <w:lang w:bidi="en-GB"/>
        </w:rPr>
      </w:pPr>
      <w:r w:rsidRPr="00695027">
        <w:rPr>
          <w:lang w:bidi="ar-EG"/>
        </w:rPr>
        <w:t>6</w:t>
      </w:r>
      <w:r w:rsidR="00325C4E" w:rsidRPr="00695027">
        <w:rPr>
          <w:lang w:val="ar-SA" w:bidi="ar-EG"/>
        </w:rPr>
        <w:tab/>
      </w:r>
      <w:r w:rsidR="00325C4E" w:rsidRPr="00695027">
        <w:rPr>
          <w:rtl/>
        </w:rPr>
        <w:t>‏الإبلاغ عن التغيير</w:t>
      </w:r>
      <w:r w:rsidR="00325C4E" w:rsidRPr="00695027">
        <w:rPr>
          <w:cs/>
        </w:rPr>
        <w:t>‎</w:t>
      </w:r>
    </w:p>
    <w:p w14:paraId="6793A1AE" w14:textId="0C269153" w:rsidR="00325C4E" w:rsidRPr="00325C4E" w:rsidRDefault="00325C4E" w:rsidP="00325C4E">
      <w:pPr>
        <w:rPr>
          <w:lang w:val="ar-SA" w:bidi="ar-EG"/>
        </w:rPr>
      </w:pPr>
      <w:r w:rsidRPr="00325C4E">
        <w:rPr>
          <w:rtl/>
        </w:rPr>
        <w:t xml:space="preserve">يشارك العديد من الموظفين في عملية التحول التي يقوم بها الاتحاد. وهناك حوار منتظم بين فريق التحول ومجلس الموظفين لضمان الاستماع إلى آراء الموظفين بشكل مستمر؛ وهناك مساحة مخصصة لمستجدات التحول في النشرة الداخلية للموظفين، ويركز أحد أعضاء فريق التحول على تيسير شبكة صناع التغيير - وهي مجموعة تضم أكثر من </w:t>
      </w:r>
      <w:r w:rsidRPr="00325C4E">
        <w:t>90</w:t>
      </w:r>
      <w:r w:rsidRPr="00325C4E">
        <w:rPr>
          <w:rtl/>
        </w:rPr>
        <w:t xml:space="preserve"> موظفاً متطوعاً منخرطين في عملية التحول </w:t>
      </w:r>
      <w:r w:rsidR="0001653C">
        <w:rPr>
          <w:rFonts w:hint="cs"/>
          <w:rtl/>
        </w:rPr>
        <w:t>-</w:t>
      </w:r>
      <w:r w:rsidR="0001653C" w:rsidRPr="00325C4E">
        <w:rPr>
          <w:rtl/>
        </w:rPr>
        <w:t xml:space="preserve"> </w:t>
      </w:r>
      <w:r w:rsidRPr="00325C4E">
        <w:rPr>
          <w:rtl/>
        </w:rPr>
        <w:t>بهدف الحفاظ على زخم إيجابي للعملية. وسيتم إطلاق موقع إنترانت مخصص للتحول لتعزيز بوابة صناع التغيير، ومركز الذكاء الاصطناعي وسيكون بمثابة وسيلة تواصل مع الموظفين لنقل جميع مستجدات مشروع التحول.</w:t>
      </w:r>
    </w:p>
    <w:p w14:paraId="25AE8866" w14:textId="5702D5DB" w:rsidR="00325C4E" w:rsidRPr="00325C4E" w:rsidRDefault="00325C4E" w:rsidP="00325C4E">
      <w:pPr>
        <w:rPr>
          <w:lang w:val="ar-SA" w:bidi="ar-EG"/>
        </w:rPr>
      </w:pPr>
      <w:r w:rsidRPr="00325C4E">
        <w:rPr>
          <w:rtl/>
        </w:rPr>
        <w:t>وسيكون تدريب القيادة التكيفية عاملاً أساسياً في بناء لغة قيادية مشتركة على مستوى الاتحاد. وسيُدرَّب عدد كبير من الموظفين على التعامل مع التغيير والتحديات المرتبطة به بعقلية تكيفية، سواء على المستوى الفردي أو الجماعي أو</w:t>
      </w:r>
      <w:r w:rsidR="00256F59">
        <w:rPr>
          <w:rFonts w:hint="eastAsia"/>
          <w:rtl/>
          <w:lang w:bidi="ar-EG"/>
        </w:rPr>
        <w:t> </w:t>
      </w:r>
      <w:r w:rsidRPr="00325C4E">
        <w:rPr>
          <w:rtl/>
        </w:rPr>
        <w:t>المؤسسي. وهذا التدريب جزء من استراتيجية إدارة التغيير الشاملة لتزويد الموظفين بالمهارات اللازمة للتعامل مع التعقيد، ودفع التغيير، والقيادة بمرونة في بيئة اليوم الدينامية.</w:t>
      </w:r>
    </w:p>
    <w:p w14:paraId="33B37205" w14:textId="15BCBE34" w:rsidR="00325C4E" w:rsidRPr="00325C4E" w:rsidRDefault="002A7099" w:rsidP="007D6CA4">
      <w:pPr>
        <w:pStyle w:val="Heading1"/>
        <w:rPr>
          <w:lang w:val="ar-SA" w:bidi="ar-EG"/>
        </w:rPr>
      </w:pPr>
      <w:r>
        <w:rPr>
          <w:lang w:bidi="ar-EG"/>
        </w:rPr>
        <w:t>7</w:t>
      </w:r>
      <w:r w:rsidR="00325C4E" w:rsidRPr="00325C4E">
        <w:rPr>
          <w:lang w:val="ar-SA" w:bidi="ar-EG"/>
        </w:rPr>
        <w:tab/>
      </w:r>
      <w:r w:rsidR="00325C4E" w:rsidRPr="00325C4E">
        <w:rPr>
          <w:rtl/>
        </w:rPr>
        <w:t>الآثار المالية</w:t>
      </w:r>
    </w:p>
    <w:p w14:paraId="0629EFCE" w14:textId="3085558E" w:rsidR="00325C4E" w:rsidRPr="00325C4E" w:rsidRDefault="00325C4E" w:rsidP="00325C4E">
      <w:pPr>
        <w:rPr>
          <w:lang w:val="ar-SA" w:bidi="ar-EG"/>
        </w:rPr>
      </w:pPr>
      <w:r w:rsidRPr="00325C4E">
        <w:rPr>
          <w:rtl/>
        </w:rPr>
        <w:t>سيأتي تمويل عملية التحول في الاتحاد من مخصصات الميزانية العادية. ويمكن طلب اعتمادات إضافية لضمان توفر القدرات والخبرات الكافية لتنفيذ المبادرات.</w:t>
      </w:r>
    </w:p>
    <w:p w14:paraId="11E157FA" w14:textId="77777777" w:rsidR="00325C4E" w:rsidRPr="00C46D04" w:rsidRDefault="00325C4E" w:rsidP="00325C4E">
      <w:pPr>
        <w:rPr>
          <w:spacing w:val="-2"/>
          <w:lang w:val="ar-SA" w:bidi="ar-EG"/>
        </w:rPr>
      </w:pPr>
      <w:r w:rsidRPr="00C46D04">
        <w:rPr>
          <w:spacing w:val="-2"/>
          <w:rtl/>
        </w:rPr>
        <w:t xml:space="preserve">وخلال عام </w:t>
      </w:r>
      <w:r w:rsidRPr="00C46D04">
        <w:rPr>
          <w:spacing w:val="-2"/>
        </w:rPr>
        <w:t>2025</w:t>
      </w:r>
      <w:r w:rsidRPr="00C46D04">
        <w:rPr>
          <w:spacing w:val="-2"/>
          <w:rtl/>
        </w:rPr>
        <w:t>، أُدرِجت بعض مبادرات التحول التي تتطلب الدعم من خلال تمويل إضافي في الميزانية. ومع ذلك، عمل فريق التحول على ضمان استفادة الاتحاد من موارده الحالية إلى أقصى حد ممكن والحفاظ على الحد الأدنى من التكاليف.</w:t>
      </w:r>
    </w:p>
    <w:p w14:paraId="0CF8D6C2" w14:textId="77777777" w:rsidR="00325C4E" w:rsidRPr="00325C4E" w:rsidRDefault="00325C4E" w:rsidP="00325C4E">
      <w:pPr>
        <w:rPr>
          <w:lang w:bidi="ar-EG"/>
        </w:rPr>
      </w:pPr>
      <w:r w:rsidRPr="00325C4E">
        <w:rPr>
          <w:lang w:bidi="ar-EG"/>
        </w:rPr>
        <w:br w:type="page"/>
      </w:r>
    </w:p>
    <w:p w14:paraId="41538826" w14:textId="77777777" w:rsidR="00325C4E" w:rsidRPr="00325C4E" w:rsidRDefault="00325C4E" w:rsidP="00EE34DF">
      <w:pPr>
        <w:pStyle w:val="Annextitle"/>
        <w:rPr>
          <w:lang w:val="ar-SA" w:bidi="ar-EG"/>
        </w:rPr>
      </w:pPr>
      <w:r w:rsidRPr="00325C4E">
        <w:rPr>
          <w:rtl/>
        </w:rPr>
        <w:lastRenderedPageBreak/>
        <w:t>ملحق - معلومات محدّثة بشأن تقدم مشروع الموقع الإلكتروني</w:t>
      </w:r>
    </w:p>
    <w:p w14:paraId="3C9AF212" w14:textId="2B4FB270" w:rsidR="00325C4E" w:rsidRPr="00325C4E" w:rsidRDefault="002A7099" w:rsidP="007D6CA4">
      <w:pPr>
        <w:pStyle w:val="Heading1"/>
        <w:rPr>
          <w:lang w:val="ar-SA" w:bidi="ar-EG"/>
        </w:rPr>
      </w:pPr>
      <w:r>
        <w:rPr>
          <w:lang w:bidi="ar-EG"/>
        </w:rPr>
        <w:t>1</w:t>
      </w:r>
      <w:r w:rsidR="00325C4E" w:rsidRPr="00325C4E">
        <w:rPr>
          <w:lang w:val="ar-SA" w:bidi="ar-EG"/>
        </w:rPr>
        <w:tab/>
      </w:r>
      <w:r w:rsidR="00325C4E" w:rsidRPr="00325C4E">
        <w:rPr>
          <w:rtl/>
        </w:rPr>
        <w:t>مقدمة</w:t>
      </w:r>
    </w:p>
    <w:p w14:paraId="1F457555" w14:textId="37679DFB" w:rsidR="00325C4E" w:rsidRPr="00325C4E" w:rsidRDefault="00325C4E" w:rsidP="00CC0D0A">
      <w:pPr>
        <w:rPr>
          <w:lang w:val="ar-SA" w:bidi="ar-EG"/>
        </w:rPr>
      </w:pPr>
      <w:r w:rsidRPr="00325C4E">
        <w:rPr>
          <w:rtl/>
        </w:rPr>
        <w:t xml:space="preserve">بعد الموافقة على خارطة الطريق (الوثيقة </w:t>
      </w:r>
      <w:hyperlink r:id="rId28" w:history="1">
        <w:r w:rsidR="00CC0D0A" w:rsidRPr="00CC0D0A">
          <w:rPr>
            <w:rStyle w:val="Hyperlink"/>
            <w:rFonts w:ascii="Dubai" w:eastAsiaTheme="minorEastAsia" w:hAnsi="Dubai" w:cs="Dubai"/>
            <w:noProof w:val="0"/>
            <w:sz w:val="22"/>
            <w:lang w:val="en-US" w:eastAsia="zh-CN" w:bidi="ar-EG"/>
          </w:rPr>
          <w:t>C24/53</w:t>
        </w:r>
      </w:hyperlink>
      <w:r w:rsidRPr="00325C4E">
        <w:rPr>
          <w:rtl/>
        </w:rPr>
        <w:t xml:space="preserve">) في دورة المجلس لعام </w:t>
      </w:r>
      <w:r w:rsidRPr="00325C4E">
        <w:t>2024</w:t>
      </w:r>
      <w:r w:rsidRPr="00325C4E">
        <w:rPr>
          <w:rtl/>
        </w:rPr>
        <w:t xml:space="preserve">، أُطلق مشروع الموقع الإلكتروني الجديد. ونظراً لأن تحسين الموقع الإلكتروني مسألة شاملة تترتب عليها آثار مالية، فقد نوقشت بالتوازي في الاجتماع السادس عشر لفريق العمل التابع للمجلس والمعني باللغات والاجتماع العشرين للفريق </w:t>
      </w:r>
      <w:r w:rsidRPr="00325C4E">
        <w:rPr>
          <w:lang w:bidi="ar-EG"/>
        </w:rPr>
        <w:t>CWG-FHR</w:t>
      </w:r>
      <w:r w:rsidRPr="00325C4E">
        <w:rPr>
          <w:rtl/>
        </w:rPr>
        <w:t xml:space="preserve"> في فبراير </w:t>
      </w:r>
      <w:r w:rsidRPr="00325C4E">
        <w:t>2025</w:t>
      </w:r>
      <w:r w:rsidRPr="00325C4E">
        <w:rPr>
          <w:rtl/>
        </w:rPr>
        <w:t xml:space="preserve"> تماشياً مع مساهمة إحدى الدول الأعضاء (الوثيقة </w:t>
      </w:r>
      <w:hyperlink r:id="rId29" w:history="1">
        <w:r w:rsidR="00CC0D0A" w:rsidRPr="00CC0D0A">
          <w:rPr>
            <w:rStyle w:val="Hyperlink"/>
            <w:rFonts w:ascii="Dubai" w:eastAsiaTheme="minorEastAsia" w:hAnsi="Dubai" w:cs="Dubai"/>
            <w:noProof w:val="0"/>
            <w:sz w:val="22"/>
            <w:lang w:val="en-US" w:eastAsia="zh-CN" w:bidi="ar-EG"/>
          </w:rPr>
          <w:t>CWG-FHR-20/21</w:t>
        </w:r>
      </w:hyperlink>
      <w:r w:rsidRPr="00325C4E">
        <w:rPr>
          <w:rtl/>
        </w:rPr>
        <w:t xml:space="preserve">). وفي وقت لاحق، طُلب إلى الأمانة تقديم تحديث إلى المجلس في يونيو </w:t>
      </w:r>
      <w:r w:rsidRPr="00325C4E">
        <w:t>2025</w:t>
      </w:r>
      <w:r w:rsidRPr="00325C4E">
        <w:rPr>
          <w:rtl/>
        </w:rPr>
        <w:t>.</w:t>
      </w:r>
    </w:p>
    <w:p w14:paraId="46B2FAB8" w14:textId="7EB48251" w:rsidR="00325C4E" w:rsidRPr="00325C4E" w:rsidRDefault="002A7099" w:rsidP="007D6CA4">
      <w:pPr>
        <w:pStyle w:val="Heading1"/>
        <w:rPr>
          <w:lang w:val="ar-SA" w:bidi="ar-EG"/>
        </w:rPr>
      </w:pPr>
      <w:r>
        <w:rPr>
          <w:lang w:bidi="ar-EG"/>
        </w:rPr>
        <w:t>2</w:t>
      </w:r>
      <w:r w:rsidR="00325C4E" w:rsidRPr="00325C4E">
        <w:rPr>
          <w:lang w:val="ar-SA" w:bidi="ar-EG"/>
        </w:rPr>
        <w:tab/>
      </w:r>
      <w:r w:rsidR="00325C4E" w:rsidRPr="00325C4E">
        <w:rPr>
          <w:rtl/>
        </w:rPr>
        <w:t>الجدول الزمني لتحسين البحث في الموقع الإلكتروني للاتحاد ومواءمته</w:t>
      </w:r>
    </w:p>
    <w:p w14:paraId="5B495190" w14:textId="637817F4" w:rsidR="00325C4E" w:rsidRPr="00325C4E" w:rsidRDefault="00325C4E" w:rsidP="00325C4E">
      <w:pPr>
        <w:rPr>
          <w:lang w:val="ar-SA" w:bidi="ar-EG"/>
        </w:rPr>
      </w:pPr>
      <w:r w:rsidRPr="00325C4E">
        <w:rPr>
          <w:rtl/>
        </w:rPr>
        <w:t xml:space="preserve">يركز المشروع على تطوير موقع إلكتروني حديث ومتعدد اللغات وآمن ومتوافق مع الأجهزة المتنقلة، يتميز بمعمارية معلومات موحدة وتصنيف محدد بوضوح. </w:t>
      </w:r>
      <w:r w:rsidR="00F544B8" w:rsidRPr="00325C4E">
        <w:rPr>
          <w:rFonts w:hint="cs"/>
          <w:rtl/>
        </w:rPr>
        <w:t>والغرض</w:t>
      </w:r>
      <w:r w:rsidRPr="00325C4E">
        <w:rPr>
          <w:rtl/>
        </w:rPr>
        <w:t xml:space="preserve"> من ذلك توفير قدرات بحث متقدمة، وتصفح سهل الاستخدام، والترويج للعلامة التجارية والتواصل بشكل متسق وذلك بغية ضمان تصميم يعطي الأولوية لتجربة المستعمل ويعمل على تحسينها‏.</w:t>
      </w:r>
    </w:p>
    <w:p w14:paraId="26CAF0A8" w14:textId="6A39B231" w:rsidR="00325C4E" w:rsidRPr="00325C4E" w:rsidRDefault="00325C4E" w:rsidP="00325C4E">
      <w:pPr>
        <w:rPr>
          <w:lang w:val="ar-SA" w:bidi="ar-EG"/>
        </w:rPr>
      </w:pPr>
      <w:r w:rsidRPr="00325C4E">
        <w:rPr>
          <w:rtl/>
        </w:rPr>
        <w:t xml:space="preserve">وهناك طلبَيْ عروض </w:t>
      </w:r>
      <w:r w:rsidRPr="00325C4E">
        <w:rPr>
          <w:lang w:bidi="ar-EG"/>
        </w:rPr>
        <w:t>(RFP</w:t>
      </w:r>
      <w:r w:rsidRPr="00325C4E">
        <w:t>)</w:t>
      </w:r>
      <w:r w:rsidRPr="00325C4E">
        <w:rPr>
          <w:rtl/>
        </w:rPr>
        <w:t>، أحدهما يخص معمارية المعلومات والتصنيف، والآخر بشأن وكالة تطوير مواقع الويب، وهما قيد التنفيذ. وقد وردت مقترحات لكلا الطلبين ويجري تقييمها.</w:t>
      </w:r>
    </w:p>
    <w:p w14:paraId="527F33B9" w14:textId="4275F1AB" w:rsidR="00325C4E" w:rsidRPr="00325C4E" w:rsidRDefault="00325C4E" w:rsidP="00325C4E">
      <w:pPr>
        <w:rPr>
          <w:lang w:val="ar-SA" w:bidi="ar-EG"/>
        </w:rPr>
      </w:pPr>
      <w:r w:rsidRPr="00325C4E">
        <w:rPr>
          <w:rtl/>
        </w:rPr>
        <w:t>وجُمّعت متطلبات العمل المتعلقة بالموقع الإلكتروني من المكاتب الثلاثة والأمانة العامة.</w:t>
      </w:r>
    </w:p>
    <w:p w14:paraId="74F0201D" w14:textId="3B6B982F" w:rsidR="00325C4E" w:rsidRPr="00325C4E" w:rsidRDefault="00325C4E" w:rsidP="00325C4E">
      <w:pPr>
        <w:rPr>
          <w:lang w:val="ar-SA" w:bidi="ar-EG"/>
        </w:rPr>
      </w:pPr>
      <w:r w:rsidRPr="00325C4E">
        <w:rPr>
          <w:rtl/>
        </w:rPr>
        <w:t>ويجري حالياً تحليل الصفحات الإلكترونية لمكتب تقييس الاتصالات. وسيلي ذلك صفحات الويب الخاصة بالأمانة العامة ومكتب الاتصالات الراديوية ومكتب تنمية الاتصالات. ونظراً لكبر حجم البيانات، فإن مرحلة التنظيف تستغرق وقتاً أطول مما كان مقدراً في الأصل ومن المفترض أن تنتهي قبل بدء التشغيل</w:t>
      </w:r>
      <w:r w:rsidRPr="00325C4E">
        <w:rPr>
          <w:cs/>
        </w:rPr>
        <w:t>‎</w:t>
      </w:r>
      <w:r w:rsidRPr="00325C4E">
        <w:rPr>
          <w:rtl/>
        </w:rPr>
        <w:t xml:space="preserve"> الفعلي.</w:t>
      </w:r>
      <w:r w:rsidR="00457827">
        <w:rPr>
          <w:rFonts w:hint="cs"/>
          <w:rtl/>
        </w:rPr>
        <w:t xml:space="preserve"> </w:t>
      </w:r>
      <w:r w:rsidR="00F544B8" w:rsidRPr="00325C4E">
        <w:rPr>
          <w:rFonts w:hint="cs"/>
          <w:rtl/>
        </w:rPr>
        <w:t>وستكون</w:t>
      </w:r>
      <w:r w:rsidRPr="00325C4E">
        <w:rPr>
          <w:rtl/>
        </w:rPr>
        <w:t xml:space="preserve"> نتيجة مرحلة التنظيف كمدخل لإطار الإدارة لضمان تحديث محتوى الموقع الإلكتروني</w:t>
      </w:r>
      <w:r w:rsidRPr="00325C4E">
        <w:rPr>
          <w:cs/>
        </w:rPr>
        <w:t>‎</w:t>
      </w:r>
      <w:r w:rsidRPr="00325C4E">
        <w:rPr>
          <w:rtl/>
        </w:rPr>
        <w:t xml:space="preserve"> باستمرار.</w:t>
      </w:r>
    </w:p>
    <w:p w14:paraId="3B0CE58E" w14:textId="77777777" w:rsidR="00325C4E" w:rsidRPr="00325C4E" w:rsidRDefault="00325C4E" w:rsidP="00325C4E">
      <w:pPr>
        <w:rPr>
          <w:lang w:val="ar-SA" w:bidi="ar-EG"/>
        </w:rPr>
      </w:pPr>
      <w:r w:rsidRPr="00325C4E">
        <w:rPr>
          <w:rtl/>
        </w:rPr>
        <w:t>تم تعديل خارطة الطريق منذ بدء تنفيذ المشروع. ويُعرض أدناه الجدول الزمني للمشروع مع الإنجازات الرئيسية.</w:t>
      </w:r>
    </w:p>
    <w:p w14:paraId="264799C1" w14:textId="6A9D9869" w:rsidR="00314B9A" w:rsidRPr="00325C4E" w:rsidRDefault="004D5B14" w:rsidP="008B5836">
      <w:pPr>
        <w:pStyle w:val="Figure"/>
        <w:rPr>
          <w:lang w:bidi="ar-EG"/>
        </w:rPr>
      </w:pPr>
      <w:r w:rsidRPr="004D5B14">
        <w:rPr>
          <w:noProof/>
          <w:rtl/>
        </w:rPr>
        <w:drawing>
          <wp:inline distT="0" distB="0" distL="0" distR="0" wp14:anchorId="5990E4F5" wp14:editId="177124CD">
            <wp:extent cx="5760085" cy="3046095"/>
            <wp:effectExtent l="0" t="0" r="0" b="1905"/>
            <wp:docPr id="389967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85" cy="3046095"/>
                    </a:xfrm>
                    <a:prstGeom prst="rect">
                      <a:avLst/>
                    </a:prstGeom>
                    <a:noFill/>
                    <a:ln>
                      <a:noFill/>
                    </a:ln>
                  </pic:spPr>
                </pic:pic>
              </a:graphicData>
            </a:graphic>
          </wp:inline>
        </w:drawing>
      </w:r>
    </w:p>
    <w:p w14:paraId="1E9A1D7B" w14:textId="498E5972" w:rsidR="00325C4E" w:rsidRPr="00E53F65" w:rsidRDefault="002A7099" w:rsidP="007D6CA4">
      <w:pPr>
        <w:pStyle w:val="Heading2"/>
        <w:rPr>
          <w:rtl/>
          <w:lang w:bidi="en-GB"/>
        </w:rPr>
      </w:pPr>
      <w:r w:rsidRPr="00E53F65">
        <w:lastRenderedPageBreak/>
        <w:t>2.2</w:t>
      </w:r>
      <w:r w:rsidR="00325C4E" w:rsidRPr="00E53F65">
        <w:rPr>
          <w:rtl/>
        </w:rPr>
        <w:tab/>
        <w:t>الآثار المالية</w:t>
      </w:r>
    </w:p>
    <w:p w14:paraId="1969CB15" w14:textId="3D0F876D" w:rsidR="00325C4E" w:rsidRPr="00325C4E" w:rsidRDefault="00325C4E" w:rsidP="000D7221">
      <w:pPr>
        <w:keepLines/>
        <w:rPr>
          <w:lang w:val="ar-SA" w:bidi="ar-EG"/>
        </w:rPr>
      </w:pPr>
      <w:r w:rsidRPr="00325C4E">
        <w:rPr>
          <w:rtl/>
        </w:rPr>
        <w:t xml:space="preserve">يتطلب المشروع ميزانية تقديرية تبلغ </w:t>
      </w:r>
      <w:r w:rsidRPr="00325C4E">
        <w:t>600</w:t>
      </w:r>
      <w:r w:rsidR="00D13E92">
        <w:t> 000</w:t>
      </w:r>
      <w:r w:rsidRPr="00325C4E">
        <w:rPr>
          <w:rtl/>
        </w:rPr>
        <w:t xml:space="preserve"> فرنك سويسري (كجزء من خارطة طريق التحول والميزانية). وكما </w:t>
      </w:r>
      <w:bookmarkStart w:id="4" w:name="_Hlk199234127"/>
      <w:r w:rsidRPr="00325C4E">
        <w:rPr>
          <w:rtl/>
        </w:rPr>
        <w:t>أ</w:t>
      </w:r>
      <w:r w:rsidR="00200644">
        <w:rPr>
          <w:rFonts w:hint="cs"/>
          <w:rtl/>
        </w:rPr>
        <w:t>ُ</w:t>
      </w:r>
      <w:r w:rsidRPr="00325C4E">
        <w:rPr>
          <w:rtl/>
        </w:rPr>
        <w:t xml:space="preserve">بلغ </w:t>
      </w:r>
      <w:bookmarkEnd w:id="4"/>
      <w:r w:rsidRPr="00325C4E">
        <w:rPr>
          <w:rtl/>
        </w:rPr>
        <w:t xml:space="preserve">شفهياً إلى فريق العمل التابع للمجلس والمعني بالموارد المالية والبشرية في أكتوبر </w:t>
      </w:r>
      <w:r w:rsidRPr="00325C4E">
        <w:t>2024</w:t>
      </w:r>
      <w:r w:rsidRPr="00325C4E">
        <w:rPr>
          <w:rtl/>
        </w:rPr>
        <w:t xml:space="preserve">، وفي فبراير </w:t>
      </w:r>
      <w:r w:rsidRPr="00325C4E">
        <w:t>2025</w:t>
      </w:r>
      <w:r w:rsidRPr="00325C4E">
        <w:rPr>
          <w:rtl/>
        </w:rPr>
        <w:t>، تم</w:t>
      </w:r>
      <w:r w:rsidR="00200644">
        <w:rPr>
          <w:rFonts w:hint="cs"/>
          <w:rtl/>
        </w:rPr>
        <w:t> </w:t>
      </w:r>
      <w:r w:rsidRPr="00325C4E">
        <w:rPr>
          <w:rtl/>
        </w:rPr>
        <w:t xml:space="preserve">تخصيص </w:t>
      </w:r>
      <w:r w:rsidRPr="00325C4E">
        <w:t>350</w:t>
      </w:r>
      <w:r w:rsidR="00D13E92">
        <w:t> 000</w:t>
      </w:r>
      <w:r w:rsidRPr="00325C4E">
        <w:rPr>
          <w:rtl/>
        </w:rPr>
        <w:t xml:space="preserve"> فرنك سويسري من مبلغ </w:t>
      </w:r>
      <w:r w:rsidRPr="00325C4E">
        <w:t>600</w:t>
      </w:r>
      <w:r w:rsidR="00D13E92">
        <w:t> 000</w:t>
      </w:r>
      <w:r w:rsidRPr="00325C4E">
        <w:rPr>
          <w:rtl/>
        </w:rPr>
        <w:t xml:space="preserve"> فرنك سويسري المطلوب، مما أتاح بدء المشروع. وترد متطلبات الميزانية المتبقية البالغة </w:t>
      </w:r>
      <w:r w:rsidRPr="00325C4E">
        <w:t>250</w:t>
      </w:r>
      <w:r w:rsidR="002F2C7A">
        <w:t> 000</w:t>
      </w:r>
      <w:r w:rsidRPr="00325C4E">
        <w:rPr>
          <w:rtl/>
        </w:rPr>
        <w:t xml:space="preserve"> فرنك سويسري في الوثيقة </w:t>
      </w:r>
      <w:hyperlink r:id="rId31" w:history="1">
        <w:r w:rsidR="00CC0D0A" w:rsidRPr="00CC0D0A">
          <w:rPr>
            <w:rStyle w:val="Hyperlink"/>
            <w:rFonts w:ascii="Dubai" w:eastAsiaTheme="minorEastAsia" w:hAnsi="Dubai" w:cs="Dubai"/>
            <w:noProof w:val="0"/>
            <w:sz w:val="22"/>
            <w:lang w:val="en-US" w:eastAsia="zh-CN" w:bidi="ar-EG"/>
          </w:rPr>
          <w:t>C25/43</w:t>
        </w:r>
      </w:hyperlink>
      <w:r w:rsidRPr="00325C4E">
        <w:rPr>
          <w:rtl/>
        </w:rPr>
        <w:t xml:space="preserve">، بشأن مخصصات الوفورات المحققة في </w:t>
      </w:r>
      <w:r w:rsidRPr="00325C4E">
        <w:t>2024</w:t>
      </w:r>
      <w:r w:rsidRPr="00325C4E">
        <w:rPr>
          <w:rtl/>
        </w:rPr>
        <w:t>، لكي ينظر فيها المجلس.</w:t>
      </w:r>
    </w:p>
    <w:p w14:paraId="0AA09E7A" w14:textId="77777777" w:rsidR="00325C4E" w:rsidRPr="00325C4E" w:rsidRDefault="00325C4E" w:rsidP="008B5836">
      <w:pPr>
        <w:pStyle w:val="Heading1"/>
        <w:rPr>
          <w:lang w:val="ar-SA" w:bidi="ar-EG"/>
        </w:rPr>
      </w:pPr>
      <w:r w:rsidRPr="00325C4E">
        <w:rPr>
          <w:rtl/>
        </w:rPr>
        <w:t>التفاصيل التقديرية</w:t>
      </w:r>
    </w:p>
    <w:p w14:paraId="4EEC6A7D" w14:textId="3838A801" w:rsidR="00325C4E" w:rsidRPr="00E53F65" w:rsidRDefault="00200644" w:rsidP="007D6CA4">
      <w:pPr>
        <w:pStyle w:val="Heading2"/>
        <w:rPr>
          <w:lang w:val="ar-SA" w:bidi="ar-EG"/>
        </w:rPr>
      </w:pPr>
      <w:r w:rsidRPr="00E53F65">
        <w:t>3.2</w:t>
      </w:r>
      <w:r w:rsidR="00325C4E" w:rsidRPr="00E53F65">
        <w:rPr>
          <w:rtl/>
        </w:rPr>
        <w:tab/>
        <w:t>النفقات التقديرية حسب مراحل المشروع</w:t>
      </w:r>
    </w:p>
    <w:tbl>
      <w:tblPr>
        <w:tblStyle w:val="TableGrid"/>
        <w:bidiVisual/>
        <w:tblW w:w="6446" w:type="dxa"/>
        <w:jc w:val="center"/>
        <w:tblLayout w:type="fixed"/>
        <w:tblLook w:val="04A0" w:firstRow="1" w:lastRow="0" w:firstColumn="1" w:lastColumn="0" w:noHBand="0" w:noVBand="1"/>
      </w:tblPr>
      <w:tblGrid>
        <w:gridCol w:w="3469"/>
        <w:gridCol w:w="2977"/>
      </w:tblGrid>
      <w:tr w:rsidR="00325C4E" w:rsidRPr="00325C4E" w14:paraId="36EADC1B" w14:textId="77777777" w:rsidTr="008B5836">
        <w:trPr>
          <w:trHeight w:val="571"/>
          <w:jc w:val="center"/>
        </w:trPr>
        <w:tc>
          <w:tcPr>
            <w:tcW w:w="3469" w:type="dxa"/>
            <w:tcBorders>
              <w:top w:val="single" w:sz="4" w:space="0" w:color="auto"/>
              <w:left w:val="single" w:sz="4" w:space="0" w:color="auto"/>
              <w:bottom w:val="single" w:sz="4" w:space="0" w:color="auto"/>
              <w:right w:val="single" w:sz="4" w:space="0" w:color="auto"/>
            </w:tcBorders>
            <w:vAlign w:val="center"/>
            <w:hideMark/>
          </w:tcPr>
          <w:p w14:paraId="5EBE11C7" w14:textId="7C950B42" w:rsidR="00325C4E" w:rsidRPr="00325C4E" w:rsidRDefault="00325C4E" w:rsidP="008B5836">
            <w:pPr>
              <w:pStyle w:val="Tablehead"/>
              <w:rPr>
                <w:lang w:val="ar-SA" w:bidi="ar-EG"/>
              </w:rPr>
            </w:pPr>
            <w:r w:rsidRPr="00325C4E">
              <w:rPr>
                <w:rtl/>
              </w:rPr>
              <w:t>المراحل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BCED5D" w14:textId="77777777" w:rsidR="00325C4E" w:rsidRPr="00325C4E" w:rsidRDefault="00325C4E" w:rsidP="008B5836">
            <w:pPr>
              <w:pStyle w:val="Tablehead"/>
              <w:rPr>
                <w:lang w:val="ar-SA" w:bidi="ar-EG"/>
              </w:rPr>
            </w:pPr>
            <w:r w:rsidRPr="00325C4E">
              <w:rPr>
                <w:rtl/>
              </w:rPr>
              <w:t xml:space="preserve">تقديرات </w:t>
            </w:r>
            <w:r w:rsidRPr="00325C4E">
              <w:t>2025</w:t>
            </w:r>
            <w:r w:rsidRPr="00325C4E">
              <w:rPr>
                <w:rtl/>
              </w:rPr>
              <w:t xml:space="preserve"> بالفرنك السويسري</w:t>
            </w:r>
          </w:p>
        </w:tc>
      </w:tr>
      <w:tr w:rsidR="00325C4E" w:rsidRPr="00325C4E" w14:paraId="14C1673D" w14:textId="77777777" w:rsidTr="008B5836">
        <w:trPr>
          <w:jc w:val="center"/>
        </w:trPr>
        <w:tc>
          <w:tcPr>
            <w:tcW w:w="3469" w:type="dxa"/>
            <w:tcBorders>
              <w:top w:val="single" w:sz="4" w:space="0" w:color="auto"/>
              <w:left w:val="single" w:sz="4" w:space="0" w:color="auto"/>
              <w:bottom w:val="single" w:sz="4" w:space="0" w:color="auto"/>
              <w:right w:val="single" w:sz="4" w:space="0" w:color="auto"/>
            </w:tcBorders>
            <w:hideMark/>
          </w:tcPr>
          <w:p w14:paraId="6B0AD10C" w14:textId="7F340847" w:rsidR="00325C4E" w:rsidRPr="00325C4E" w:rsidRDefault="00325C4E" w:rsidP="007D6CA4">
            <w:pPr>
              <w:pStyle w:val="Tabletexte"/>
              <w:rPr>
                <w:lang w:val="ar-SA" w:bidi="ar-EG"/>
              </w:rPr>
            </w:pPr>
            <w:r w:rsidRPr="00325C4E">
              <w:rPr>
                <w:rtl/>
              </w:rPr>
              <w:t>المرحلة</w:t>
            </w:r>
            <w:r w:rsidR="00310E81">
              <w:rPr>
                <w:rFonts w:hint="cs"/>
                <w:rtl/>
              </w:rPr>
              <w:t xml:space="preserve"> </w:t>
            </w:r>
            <w:r w:rsidRPr="00325C4E">
              <w:rPr>
                <w:lang w:bidi="ar-EG"/>
              </w:rPr>
              <w:t>C</w:t>
            </w:r>
            <w:r w:rsidR="00310E81">
              <w:rPr>
                <w:rFonts w:hint="cs"/>
                <w:rtl/>
                <w:lang w:bidi="ar-EG"/>
              </w:rPr>
              <w:t xml:space="preserve"> </w:t>
            </w:r>
            <w:r w:rsidRPr="00325C4E">
              <w:rPr>
                <w:rFonts w:hint="cs"/>
                <w:rtl/>
              </w:rPr>
              <w:t xml:space="preserve">(معمارية المعلومات والتصنيف، بما في ذلك تجربة المستعمل </w:t>
            </w:r>
            <w:r w:rsidRPr="00325C4E">
              <w:rPr>
                <w:rFonts w:hint="cs"/>
              </w:rPr>
              <w:t>(</w:t>
            </w:r>
            <w:r w:rsidRPr="00325C4E">
              <w:rPr>
                <w:lang w:bidi="ar-EG"/>
              </w:rPr>
              <w:t>UX</w:t>
            </w:r>
            <w:r w:rsidRPr="00325C4E">
              <w:t>)</w:t>
            </w:r>
            <w:r w:rsidRPr="00325C4E">
              <w:rPr>
                <w:rtl/>
              </w:rPr>
              <w:t>)</w:t>
            </w:r>
          </w:p>
        </w:tc>
        <w:tc>
          <w:tcPr>
            <w:tcW w:w="2977" w:type="dxa"/>
            <w:tcBorders>
              <w:top w:val="single" w:sz="4" w:space="0" w:color="auto"/>
              <w:left w:val="single" w:sz="4" w:space="0" w:color="auto"/>
              <w:bottom w:val="single" w:sz="4" w:space="0" w:color="auto"/>
              <w:right w:val="single" w:sz="4" w:space="0" w:color="auto"/>
            </w:tcBorders>
            <w:hideMark/>
          </w:tcPr>
          <w:p w14:paraId="1902A004" w14:textId="3DE0BD44" w:rsidR="00325C4E" w:rsidRPr="00325C4E" w:rsidRDefault="00325C4E" w:rsidP="007D6CA4">
            <w:pPr>
              <w:pStyle w:val="Tabletexte"/>
              <w:rPr>
                <w:lang w:val="ar-SA" w:bidi="ar-EG"/>
              </w:rPr>
            </w:pPr>
            <w:r w:rsidRPr="00325C4E">
              <w:t>200</w:t>
            </w:r>
            <w:r w:rsidR="00D13E92">
              <w:t> 000</w:t>
            </w:r>
          </w:p>
        </w:tc>
      </w:tr>
      <w:tr w:rsidR="00325C4E" w:rsidRPr="00325C4E" w14:paraId="50907CD6" w14:textId="77777777" w:rsidTr="008B5836">
        <w:trPr>
          <w:jc w:val="center"/>
        </w:trPr>
        <w:tc>
          <w:tcPr>
            <w:tcW w:w="3469" w:type="dxa"/>
            <w:tcBorders>
              <w:top w:val="single" w:sz="4" w:space="0" w:color="auto"/>
              <w:left w:val="single" w:sz="4" w:space="0" w:color="auto"/>
              <w:bottom w:val="single" w:sz="4" w:space="0" w:color="auto"/>
              <w:right w:val="single" w:sz="4" w:space="0" w:color="auto"/>
            </w:tcBorders>
            <w:hideMark/>
          </w:tcPr>
          <w:p w14:paraId="5AA241F6" w14:textId="76F85D90" w:rsidR="00325C4E" w:rsidRPr="00325C4E" w:rsidRDefault="00325C4E" w:rsidP="007D6CA4">
            <w:pPr>
              <w:pStyle w:val="Tabletexte"/>
              <w:rPr>
                <w:lang w:val="ar-SA" w:bidi="ar-EG"/>
              </w:rPr>
            </w:pPr>
            <w:r w:rsidRPr="00325C4E">
              <w:rPr>
                <w:rtl/>
              </w:rPr>
              <w:t>المرحلة</w:t>
            </w:r>
            <w:r w:rsidR="00310E81">
              <w:rPr>
                <w:rFonts w:hint="cs"/>
                <w:rtl/>
              </w:rPr>
              <w:t xml:space="preserve"> </w:t>
            </w:r>
            <w:r w:rsidRPr="00325C4E">
              <w:rPr>
                <w:lang w:bidi="ar-EG"/>
              </w:rPr>
              <w:t>D</w:t>
            </w:r>
            <w:r w:rsidR="00310E81">
              <w:rPr>
                <w:rFonts w:hint="cs"/>
                <w:rtl/>
                <w:lang w:bidi="ar-EG"/>
              </w:rPr>
              <w:t xml:space="preserve"> </w:t>
            </w:r>
            <w:r w:rsidRPr="00325C4E">
              <w:rPr>
                <w:rtl/>
              </w:rPr>
              <w:t>(مرحلة الاكتشاف)</w:t>
            </w:r>
          </w:p>
        </w:tc>
        <w:tc>
          <w:tcPr>
            <w:tcW w:w="2977" w:type="dxa"/>
            <w:tcBorders>
              <w:top w:val="single" w:sz="4" w:space="0" w:color="auto"/>
              <w:left w:val="single" w:sz="4" w:space="0" w:color="auto"/>
              <w:bottom w:val="single" w:sz="4" w:space="0" w:color="auto"/>
              <w:right w:val="single" w:sz="4" w:space="0" w:color="auto"/>
            </w:tcBorders>
            <w:hideMark/>
          </w:tcPr>
          <w:p w14:paraId="1DC95A0E" w14:textId="040E8F41" w:rsidR="00325C4E" w:rsidRPr="00325C4E" w:rsidRDefault="00325C4E" w:rsidP="007D6CA4">
            <w:pPr>
              <w:pStyle w:val="Tabletexte"/>
              <w:rPr>
                <w:lang w:val="ar-SA" w:bidi="ar-EG"/>
              </w:rPr>
            </w:pPr>
            <w:r w:rsidRPr="00325C4E">
              <w:t>150</w:t>
            </w:r>
            <w:r w:rsidR="00D13E92">
              <w:t> 000</w:t>
            </w:r>
          </w:p>
        </w:tc>
      </w:tr>
      <w:tr w:rsidR="00325C4E" w:rsidRPr="00325C4E" w14:paraId="10B4FFC1" w14:textId="77777777" w:rsidTr="008B5836">
        <w:trPr>
          <w:trHeight w:val="68"/>
          <w:jc w:val="center"/>
        </w:trPr>
        <w:tc>
          <w:tcPr>
            <w:tcW w:w="3469" w:type="dxa"/>
            <w:tcBorders>
              <w:top w:val="single" w:sz="4" w:space="0" w:color="auto"/>
              <w:left w:val="single" w:sz="4" w:space="0" w:color="auto"/>
              <w:bottom w:val="single" w:sz="4" w:space="0" w:color="auto"/>
              <w:right w:val="single" w:sz="4" w:space="0" w:color="auto"/>
            </w:tcBorders>
            <w:hideMark/>
          </w:tcPr>
          <w:p w14:paraId="52120EF5" w14:textId="1761F8D0" w:rsidR="00325C4E" w:rsidRPr="00325C4E" w:rsidRDefault="00325C4E" w:rsidP="007D6CA4">
            <w:pPr>
              <w:pStyle w:val="Tabletexte"/>
              <w:rPr>
                <w:lang w:val="ar-SA" w:bidi="ar-EG"/>
              </w:rPr>
            </w:pPr>
            <w:r w:rsidRPr="00325C4E">
              <w:rPr>
                <w:rtl/>
              </w:rPr>
              <w:t>المرحلة</w:t>
            </w:r>
            <w:r w:rsidR="00310E81">
              <w:rPr>
                <w:rFonts w:hint="cs"/>
                <w:rtl/>
              </w:rPr>
              <w:t xml:space="preserve"> </w:t>
            </w:r>
            <w:r w:rsidRPr="00325C4E">
              <w:rPr>
                <w:lang w:bidi="ar-EG"/>
              </w:rPr>
              <w:t>E</w:t>
            </w:r>
            <w:r w:rsidR="00310E81">
              <w:rPr>
                <w:rFonts w:hint="cs"/>
                <w:rtl/>
                <w:lang w:bidi="ar-EG"/>
              </w:rPr>
              <w:t xml:space="preserve"> </w:t>
            </w:r>
            <w:r w:rsidRPr="00325C4E">
              <w:rPr>
                <w:rtl/>
              </w:rPr>
              <w:t xml:space="preserve">(السطح البيني للمستعمل </w:t>
            </w:r>
            <w:r w:rsidRPr="00325C4E">
              <w:t>(</w:t>
            </w:r>
            <w:r w:rsidRPr="00325C4E">
              <w:rPr>
                <w:lang w:bidi="ar-EG"/>
              </w:rPr>
              <w:t>UI</w:t>
            </w:r>
            <w:r w:rsidRPr="00325C4E">
              <w:t>)</w:t>
            </w:r>
            <w:r w:rsidRPr="00325C4E">
              <w:rPr>
                <w:rtl/>
              </w:rPr>
              <w:t>)</w:t>
            </w:r>
          </w:p>
        </w:tc>
        <w:tc>
          <w:tcPr>
            <w:tcW w:w="2977" w:type="dxa"/>
            <w:tcBorders>
              <w:top w:val="single" w:sz="4" w:space="0" w:color="auto"/>
              <w:left w:val="single" w:sz="4" w:space="0" w:color="auto"/>
              <w:bottom w:val="single" w:sz="4" w:space="0" w:color="auto"/>
              <w:right w:val="single" w:sz="4" w:space="0" w:color="auto"/>
            </w:tcBorders>
            <w:hideMark/>
          </w:tcPr>
          <w:p w14:paraId="19D4B874" w14:textId="3D9A733A" w:rsidR="00325C4E" w:rsidRPr="00325C4E" w:rsidRDefault="00325C4E" w:rsidP="007D6CA4">
            <w:pPr>
              <w:pStyle w:val="Tabletexte"/>
              <w:rPr>
                <w:lang w:val="ar-SA" w:bidi="ar-EG"/>
              </w:rPr>
            </w:pPr>
            <w:r w:rsidRPr="00325C4E">
              <w:t>50</w:t>
            </w:r>
            <w:r w:rsidR="00D13E92">
              <w:t> 000</w:t>
            </w:r>
          </w:p>
        </w:tc>
      </w:tr>
      <w:tr w:rsidR="00325C4E" w:rsidRPr="00325C4E" w14:paraId="62B720C1" w14:textId="77777777" w:rsidTr="008B5836">
        <w:trPr>
          <w:trHeight w:val="68"/>
          <w:jc w:val="center"/>
        </w:trPr>
        <w:tc>
          <w:tcPr>
            <w:tcW w:w="3469" w:type="dxa"/>
            <w:tcBorders>
              <w:top w:val="single" w:sz="4" w:space="0" w:color="auto"/>
              <w:left w:val="single" w:sz="4" w:space="0" w:color="auto"/>
              <w:bottom w:val="single" w:sz="4" w:space="0" w:color="auto"/>
              <w:right w:val="single" w:sz="4" w:space="0" w:color="auto"/>
            </w:tcBorders>
            <w:hideMark/>
          </w:tcPr>
          <w:p w14:paraId="0AC438C7" w14:textId="3D446BBC" w:rsidR="00325C4E" w:rsidRPr="00325C4E" w:rsidRDefault="00325C4E" w:rsidP="007D6CA4">
            <w:pPr>
              <w:pStyle w:val="Tabletexte"/>
              <w:rPr>
                <w:lang w:val="ar-SA" w:bidi="ar-EG"/>
              </w:rPr>
            </w:pPr>
            <w:r w:rsidRPr="00325C4E">
              <w:rPr>
                <w:rtl/>
              </w:rPr>
              <w:t>المرحلة</w:t>
            </w:r>
            <w:r w:rsidR="00310E81">
              <w:rPr>
                <w:rFonts w:hint="cs"/>
                <w:rtl/>
              </w:rPr>
              <w:t xml:space="preserve"> </w:t>
            </w:r>
            <w:r w:rsidRPr="00325C4E">
              <w:rPr>
                <w:lang w:bidi="ar-EG"/>
              </w:rPr>
              <w:t>F</w:t>
            </w:r>
            <w:r w:rsidR="00310E81">
              <w:rPr>
                <w:rFonts w:hint="cs"/>
                <w:rtl/>
                <w:lang w:bidi="ar-EG"/>
              </w:rPr>
              <w:t xml:space="preserve"> </w:t>
            </w:r>
            <w:r w:rsidRPr="00325C4E">
              <w:rPr>
                <w:rFonts w:hint="cs"/>
                <w:rtl/>
              </w:rPr>
              <w:t>(مرحلة التنفيذ)</w:t>
            </w:r>
          </w:p>
        </w:tc>
        <w:tc>
          <w:tcPr>
            <w:tcW w:w="2977" w:type="dxa"/>
            <w:tcBorders>
              <w:top w:val="single" w:sz="4" w:space="0" w:color="auto"/>
              <w:left w:val="single" w:sz="4" w:space="0" w:color="auto"/>
              <w:bottom w:val="single" w:sz="4" w:space="0" w:color="auto"/>
              <w:right w:val="single" w:sz="4" w:space="0" w:color="auto"/>
            </w:tcBorders>
            <w:hideMark/>
          </w:tcPr>
          <w:p w14:paraId="24C2DD79" w14:textId="5507C347" w:rsidR="00325C4E" w:rsidRPr="00325C4E" w:rsidRDefault="00FE0FE0" w:rsidP="007D6CA4">
            <w:pPr>
              <w:pStyle w:val="Tabletexte"/>
              <w:rPr>
                <w:lang w:val="ar-SA" w:bidi="ar-EG"/>
              </w:rPr>
            </w:pPr>
            <w:r>
              <w:t>20</w:t>
            </w:r>
            <w:r w:rsidR="00325C4E" w:rsidRPr="00325C4E">
              <w:t>0</w:t>
            </w:r>
            <w:r w:rsidR="00D13E92">
              <w:t> 000</w:t>
            </w:r>
          </w:p>
        </w:tc>
      </w:tr>
      <w:tr w:rsidR="00325C4E" w:rsidRPr="00325C4E" w14:paraId="0342420F" w14:textId="77777777" w:rsidTr="008B5836">
        <w:trPr>
          <w:jc w:val="center"/>
        </w:trPr>
        <w:tc>
          <w:tcPr>
            <w:tcW w:w="3469" w:type="dxa"/>
            <w:tcBorders>
              <w:top w:val="single" w:sz="4" w:space="0" w:color="auto"/>
              <w:left w:val="single" w:sz="4" w:space="0" w:color="auto"/>
              <w:bottom w:val="single" w:sz="4" w:space="0" w:color="auto"/>
              <w:right w:val="single" w:sz="4" w:space="0" w:color="auto"/>
            </w:tcBorders>
            <w:hideMark/>
          </w:tcPr>
          <w:p w14:paraId="267075FD" w14:textId="77777777" w:rsidR="00325C4E" w:rsidRPr="007D6CA4" w:rsidRDefault="00325C4E" w:rsidP="007D6CA4">
            <w:pPr>
              <w:pStyle w:val="Tabletexte"/>
              <w:rPr>
                <w:b/>
                <w:bCs/>
                <w:lang w:val="ar-SA" w:bidi="ar-EG"/>
              </w:rPr>
            </w:pPr>
            <w:r w:rsidRPr="007D6CA4">
              <w:rPr>
                <w:b/>
                <w:bCs/>
                <w:rtl/>
              </w:rPr>
              <w:t>المجموع</w:t>
            </w:r>
          </w:p>
        </w:tc>
        <w:tc>
          <w:tcPr>
            <w:tcW w:w="2977" w:type="dxa"/>
            <w:tcBorders>
              <w:top w:val="single" w:sz="4" w:space="0" w:color="auto"/>
              <w:left w:val="single" w:sz="4" w:space="0" w:color="auto"/>
              <w:bottom w:val="single" w:sz="4" w:space="0" w:color="auto"/>
              <w:right w:val="single" w:sz="4" w:space="0" w:color="auto"/>
            </w:tcBorders>
            <w:hideMark/>
          </w:tcPr>
          <w:p w14:paraId="436B37A3" w14:textId="66000B17" w:rsidR="00325C4E" w:rsidRPr="007D6CA4" w:rsidRDefault="00325C4E" w:rsidP="007D6CA4">
            <w:pPr>
              <w:pStyle w:val="Tabletexte"/>
              <w:rPr>
                <w:b/>
                <w:bCs/>
                <w:rtl/>
                <w:lang w:val="ar-SA" w:bidi="ar-EG"/>
              </w:rPr>
            </w:pPr>
            <w:r w:rsidRPr="008B5836">
              <w:rPr>
                <w:b/>
                <w:bCs/>
              </w:rPr>
              <w:t>600</w:t>
            </w:r>
            <w:r w:rsidR="00D13E92">
              <w:rPr>
                <w:b/>
                <w:bCs/>
              </w:rPr>
              <w:t> 000</w:t>
            </w:r>
            <w:r w:rsidR="00D13E92">
              <w:rPr>
                <w:rFonts w:hint="cs"/>
                <w:b/>
                <w:bCs/>
                <w:rtl/>
              </w:rPr>
              <w:t xml:space="preserve"> </w:t>
            </w:r>
            <w:r w:rsidRPr="007D6CA4">
              <w:rPr>
                <w:b/>
                <w:bCs/>
                <w:rtl/>
              </w:rPr>
              <w:t>فرنك سويسري</w:t>
            </w:r>
          </w:p>
        </w:tc>
      </w:tr>
    </w:tbl>
    <w:p w14:paraId="42C9CC7E"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32"/>
      <w:headerReference w:type="first" r:id="rId33"/>
      <w:footerReference w:type="first" r:id="rId34"/>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6094" w14:textId="77777777" w:rsidR="00AB257B" w:rsidRDefault="00AB257B" w:rsidP="006C3242">
      <w:pPr>
        <w:spacing w:before="0" w:line="240" w:lineRule="auto"/>
      </w:pPr>
      <w:r>
        <w:separator/>
      </w:r>
    </w:p>
  </w:endnote>
  <w:endnote w:type="continuationSeparator" w:id="0">
    <w:p w14:paraId="06528F3E" w14:textId="77777777" w:rsidR="00AB257B" w:rsidRDefault="00AB257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4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65"/>
      <w:gridCol w:w="431"/>
    </w:tblGrid>
    <w:tr w:rsidR="00F50E3F" w:rsidRPr="007B0AA0" w14:paraId="1507053A" w14:textId="77777777" w:rsidTr="00CF2113">
      <w:trPr>
        <w:jc w:val="center"/>
      </w:trPr>
      <w:tc>
        <w:tcPr>
          <w:tcW w:w="868" w:type="pct"/>
          <w:vAlign w:val="center"/>
        </w:tcPr>
        <w:p w14:paraId="0CD6762D" w14:textId="4AE7E5A0" w:rsidR="00F50E3F" w:rsidRPr="007B0AA0" w:rsidRDefault="0088597F"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88597F">
            <w:rPr>
              <w:rFonts w:ascii="Calibri" w:hAnsi="Calibri" w:cs="Arial"/>
              <w:sz w:val="18"/>
              <w:szCs w:val="14"/>
            </w:rPr>
            <w:t>2501246</w:t>
          </w:r>
        </w:p>
      </w:tc>
      <w:tc>
        <w:tcPr>
          <w:tcW w:w="3912" w:type="pct"/>
        </w:tcPr>
        <w:p w14:paraId="1A804722" w14:textId="243D3D89"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88597F">
            <w:rPr>
              <w:rFonts w:ascii="Calibri" w:hAnsi="Calibri" w:cs="Arial"/>
              <w:bCs/>
              <w:color w:val="7F7F7F"/>
              <w:sz w:val="18"/>
            </w:rPr>
            <w:t>55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635B253"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9604B33"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7E0CFCAA" w14:textId="77777777" w:rsidTr="00A67F05">
      <w:trPr>
        <w:jc w:val="center"/>
      </w:trPr>
      <w:tc>
        <w:tcPr>
          <w:tcW w:w="1013" w:type="pct"/>
          <w:vAlign w:val="center"/>
        </w:tcPr>
        <w:p w14:paraId="507E7BA2"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1F59DF94" w14:textId="1EB0276F"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88597F">
            <w:rPr>
              <w:rFonts w:ascii="Calibri" w:hAnsi="Calibri" w:cs="Arial"/>
              <w:bCs/>
              <w:color w:val="7F7F7F"/>
              <w:sz w:val="18"/>
            </w:rPr>
            <w:t>55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5E2EF8E"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345FD0B"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DFE6D" w14:textId="77777777" w:rsidR="00AB257B" w:rsidRDefault="00AB257B" w:rsidP="006C3242">
      <w:pPr>
        <w:spacing w:before="0" w:line="240" w:lineRule="auto"/>
      </w:pPr>
      <w:r>
        <w:separator/>
      </w:r>
    </w:p>
  </w:footnote>
  <w:footnote w:type="continuationSeparator" w:id="0">
    <w:p w14:paraId="37C846C2" w14:textId="77777777" w:rsidR="00AB257B" w:rsidRDefault="00AB257B" w:rsidP="006C3242">
      <w:pPr>
        <w:spacing w:before="0" w:line="240" w:lineRule="auto"/>
      </w:pPr>
      <w:r>
        <w:continuationSeparator/>
      </w:r>
    </w:p>
  </w:footnote>
  <w:footnote w:id="1">
    <w:p w14:paraId="4FB3056A" w14:textId="4A1A4DF9" w:rsidR="00457C13" w:rsidRPr="00457C13" w:rsidRDefault="00457C13" w:rsidP="00457C13">
      <w:pPr>
        <w:pStyle w:val="FootnoteText"/>
        <w:tabs>
          <w:tab w:val="clear" w:pos="794"/>
          <w:tab w:val="left" w:pos="284"/>
        </w:tabs>
        <w:ind w:left="284" w:hanging="284"/>
        <w:rPr>
          <w:sz w:val="18"/>
          <w:szCs w:val="18"/>
        </w:rPr>
      </w:pPr>
      <w:r w:rsidRPr="00457C13">
        <w:rPr>
          <w:rStyle w:val="FootnoteReference"/>
          <w:rtl/>
        </w:rPr>
        <w:t>1</w:t>
      </w:r>
      <w:r w:rsidRPr="00457C13">
        <w:rPr>
          <w:sz w:val="18"/>
          <w:szCs w:val="18"/>
          <w:rtl/>
        </w:rPr>
        <w:tab/>
        <w:t xml:space="preserve">يمكن الاطلاع على معلومات عن الاستقصاء بشأن مشاركة الموظفين في الوثيقة </w:t>
      </w:r>
      <w:hyperlink r:id="rId1" w:history="1">
        <w:r w:rsidRPr="00457C13">
          <w:rPr>
            <w:rStyle w:val="Hyperlink"/>
            <w:rFonts w:ascii="Dubai" w:eastAsiaTheme="minorEastAsia" w:hAnsi="Dubai" w:cs="Dubai"/>
            <w:noProof w:val="0"/>
            <w:szCs w:val="18"/>
            <w:lang w:val="en-US" w:eastAsia="zh-CN"/>
          </w:rPr>
          <w:t>C25/66</w:t>
        </w:r>
      </w:hyperlink>
      <w:r w:rsidRPr="00457C13">
        <w:rPr>
          <w:sz w:val="18"/>
          <w:szCs w:val="18"/>
          <w:rtl/>
        </w:rPr>
        <w:t>.</w:t>
      </w:r>
    </w:p>
  </w:footnote>
  <w:footnote w:id="2">
    <w:p w14:paraId="1D4F0E9C" w14:textId="7C128082" w:rsidR="002A7099" w:rsidRPr="00457C13" w:rsidRDefault="002A7099" w:rsidP="00457C13">
      <w:pPr>
        <w:pStyle w:val="FootnoteText"/>
        <w:tabs>
          <w:tab w:val="clear" w:pos="794"/>
          <w:tab w:val="left" w:pos="284"/>
        </w:tabs>
        <w:ind w:left="284" w:hanging="284"/>
        <w:rPr>
          <w:sz w:val="18"/>
          <w:szCs w:val="18"/>
        </w:rPr>
      </w:pPr>
      <w:r w:rsidRPr="00457C13">
        <w:rPr>
          <w:rStyle w:val="FootnoteReference"/>
          <w:rtl/>
        </w:rPr>
        <w:t>2</w:t>
      </w:r>
      <w:r w:rsidRPr="00457C13">
        <w:rPr>
          <w:sz w:val="18"/>
          <w:szCs w:val="18"/>
        </w:rPr>
        <w:tab/>
      </w:r>
      <w:r w:rsidRPr="00457C13">
        <w:rPr>
          <w:sz w:val="18"/>
          <w:szCs w:val="18"/>
          <w:rtl/>
        </w:rPr>
        <w:t xml:space="preserve">تتضمن الوثيقة </w:t>
      </w:r>
      <w:hyperlink r:id="rId2" w:history="1">
        <w:r w:rsidR="00A75D7B" w:rsidRPr="00457C13">
          <w:rPr>
            <w:rStyle w:val="Hyperlink"/>
            <w:rFonts w:ascii="Dubai" w:eastAsiaTheme="minorEastAsia" w:hAnsi="Dubai" w:cs="Dubai"/>
            <w:noProof w:val="0"/>
            <w:szCs w:val="18"/>
            <w:lang w:val="en-US" w:eastAsia="zh-CN"/>
          </w:rPr>
          <w:t>C25/44</w:t>
        </w:r>
      </w:hyperlink>
      <w:r w:rsidRPr="00457C13">
        <w:rPr>
          <w:sz w:val="18"/>
          <w:szCs w:val="18"/>
          <w:rtl/>
        </w:rPr>
        <w:t xml:space="preserve"> مزيداً من المعلومات عن المراج</w:t>
      </w:r>
      <w:r w:rsidR="00457827" w:rsidRPr="00457C13">
        <w:rPr>
          <w:rFonts w:hint="cs"/>
          <w:sz w:val="18"/>
          <w:szCs w:val="18"/>
          <w:rtl/>
        </w:rPr>
        <w:t>َ</w:t>
      </w:r>
      <w:r w:rsidRPr="00457C13">
        <w:rPr>
          <w:sz w:val="18"/>
          <w:szCs w:val="18"/>
          <w:rtl/>
        </w:rPr>
        <w:t>عة والرقابة.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7E33"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7C4147" wp14:editId="7DE1099F">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1AB15"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3D3B07E2" wp14:editId="1CAA2AF7">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01006613">
    <w:abstractNumId w:val="9"/>
  </w:num>
  <w:num w:numId="2" w16cid:durableId="1386874718">
    <w:abstractNumId w:val="7"/>
  </w:num>
  <w:num w:numId="3" w16cid:durableId="216209761">
    <w:abstractNumId w:val="6"/>
  </w:num>
  <w:num w:numId="4" w16cid:durableId="674963522">
    <w:abstractNumId w:val="5"/>
  </w:num>
  <w:num w:numId="5" w16cid:durableId="791750889">
    <w:abstractNumId w:val="4"/>
  </w:num>
  <w:num w:numId="6" w16cid:durableId="2140565499">
    <w:abstractNumId w:val="8"/>
  </w:num>
  <w:num w:numId="7" w16cid:durableId="371156405">
    <w:abstractNumId w:val="3"/>
  </w:num>
  <w:num w:numId="8" w16cid:durableId="621041333">
    <w:abstractNumId w:val="2"/>
  </w:num>
  <w:num w:numId="9" w16cid:durableId="1676225068">
    <w:abstractNumId w:val="1"/>
  </w:num>
  <w:num w:numId="10" w16cid:durableId="215237895">
    <w:abstractNumId w:val="0"/>
  </w:num>
  <w:num w:numId="11" w16cid:durableId="365761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46"/>
    <w:rsid w:val="0001653C"/>
    <w:rsid w:val="00032A7F"/>
    <w:rsid w:val="00034570"/>
    <w:rsid w:val="0006468A"/>
    <w:rsid w:val="000654FF"/>
    <w:rsid w:val="00090574"/>
    <w:rsid w:val="000B6221"/>
    <w:rsid w:val="000C1C0E"/>
    <w:rsid w:val="000C548A"/>
    <w:rsid w:val="000D7221"/>
    <w:rsid w:val="000E102D"/>
    <w:rsid w:val="000E60D2"/>
    <w:rsid w:val="0010645F"/>
    <w:rsid w:val="001556C6"/>
    <w:rsid w:val="001604E7"/>
    <w:rsid w:val="00160840"/>
    <w:rsid w:val="00174940"/>
    <w:rsid w:val="00174E2F"/>
    <w:rsid w:val="00191059"/>
    <w:rsid w:val="00192729"/>
    <w:rsid w:val="001A53FF"/>
    <w:rsid w:val="001B6E2B"/>
    <w:rsid w:val="001C0169"/>
    <w:rsid w:val="001C0C21"/>
    <w:rsid w:val="001D100B"/>
    <w:rsid w:val="001D1D50"/>
    <w:rsid w:val="001D64C7"/>
    <w:rsid w:val="001D6745"/>
    <w:rsid w:val="001E446E"/>
    <w:rsid w:val="001F5554"/>
    <w:rsid w:val="00200644"/>
    <w:rsid w:val="002134CC"/>
    <w:rsid w:val="002154EE"/>
    <w:rsid w:val="002276D2"/>
    <w:rsid w:val="0023283D"/>
    <w:rsid w:val="00254393"/>
    <w:rsid w:val="00256F59"/>
    <w:rsid w:val="0026373E"/>
    <w:rsid w:val="00264361"/>
    <w:rsid w:val="00271C43"/>
    <w:rsid w:val="00290728"/>
    <w:rsid w:val="002978F4"/>
    <w:rsid w:val="002A7099"/>
    <w:rsid w:val="002B028D"/>
    <w:rsid w:val="002B5962"/>
    <w:rsid w:val="002C3F32"/>
    <w:rsid w:val="002E6541"/>
    <w:rsid w:val="002F1D19"/>
    <w:rsid w:val="002F2C7A"/>
    <w:rsid w:val="00310E81"/>
    <w:rsid w:val="00314B9A"/>
    <w:rsid w:val="00321397"/>
    <w:rsid w:val="00325C4E"/>
    <w:rsid w:val="00334924"/>
    <w:rsid w:val="003409BC"/>
    <w:rsid w:val="00357185"/>
    <w:rsid w:val="00357D59"/>
    <w:rsid w:val="003716AE"/>
    <w:rsid w:val="00383829"/>
    <w:rsid w:val="003F4B29"/>
    <w:rsid w:val="00401A04"/>
    <w:rsid w:val="00405A73"/>
    <w:rsid w:val="00420F8A"/>
    <w:rsid w:val="0042686F"/>
    <w:rsid w:val="004317D8"/>
    <w:rsid w:val="0043260A"/>
    <w:rsid w:val="00433B95"/>
    <w:rsid w:val="00434183"/>
    <w:rsid w:val="00443869"/>
    <w:rsid w:val="00447F32"/>
    <w:rsid w:val="004547BA"/>
    <w:rsid w:val="00457827"/>
    <w:rsid w:val="00457C13"/>
    <w:rsid w:val="00484527"/>
    <w:rsid w:val="00487300"/>
    <w:rsid w:val="00491BA9"/>
    <w:rsid w:val="004A4701"/>
    <w:rsid w:val="004B7334"/>
    <w:rsid w:val="004C2889"/>
    <w:rsid w:val="004D5B14"/>
    <w:rsid w:val="004E11DC"/>
    <w:rsid w:val="00503AFE"/>
    <w:rsid w:val="005130DE"/>
    <w:rsid w:val="00513157"/>
    <w:rsid w:val="005202AB"/>
    <w:rsid w:val="00525DDD"/>
    <w:rsid w:val="00537A35"/>
    <w:rsid w:val="00537F2E"/>
    <w:rsid w:val="005409AC"/>
    <w:rsid w:val="0054200D"/>
    <w:rsid w:val="005434E0"/>
    <w:rsid w:val="005546CF"/>
    <w:rsid w:val="0055516A"/>
    <w:rsid w:val="0056321C"/>
    <w:rsid w:val="00580C5A"/>
    <w:rsid w:val="0058491B"/>
    <w:rsid w:val="00592EA5"/>
    <w:rsid w:val="005A3170"/>
    <w:rsid w:val="00600DEF"/>
    <w:rsid w:val="00620F14"/>
    <w:rsid w:val="00635CDC"/>
    <w:rsid w:val="00650137"/>
    <w:rsid w:val="00660DEA"/>
    <w:rsid w:val="006704EB"/>
    <w:rsid w:val="006752F1"/>
    <w:rsid w:val="00677396"/>
    <w:rsid w:val="0069200F"/>
    <w:rsid w:val="00693400"/>
    <w:rsid w:val="00695027"/>
    <w:rsid w:val="006A65CB"/>
    <w:rsid w:val="006B12E5"/>
    <w:rsid w:val="006C3242"/>
    <w:rsid w:val="006C451A"/>
    <w:rsid w:val="006C58F6"/>
    <w:rsid w:val="006C7CC0"/>
    <w:rsid w:val="006E2466"/>
    <w:rsid w:val="006F363C"/>
    <w:rsid w:val="006F63F7"/>
    <w:rsid w:val="007025C7"/>
    <w:rsid w:val="00706D7A"/>
    <w:rsid w:val="00717A98"/>
    <w:rsid w:val="00721EEA"/>
    <w:rsid w:val="00722F0D"/>
    <w:rsid w:val="0074420E"/>
    <w:rsid w:val="007648A6"/>
    <w:rsid w:val="0077110E"/>
    <w:rsid w:val="00783E26"/>
    <w:rsid w:val="00784B33"/>
    <w:rsid w:val="00790A1C"/>
    <w:rsid w:val="00797AAD"/>
    <w:rsid w:val="007A5841"/>
    <w:rsid w:val="007A6684"/>
    <w:rsid w:val="007A7FD0"/>
    <w:rsid w:val="007B0AA0"/>
    <w:rsid w:val="007C3BC7"/>
    <w:rsid w:val="007C3BCD"/>
    <w:rsid w:val="007D2437"/>
    <w:rsid w:val="007D4ACF"/>
    <w:rsid w:val="007D6CA4"/>
    <w:rsid w:val="007D76C6"/>
    <w:rsid w:val="007E20D3"/>
    <w:rsid w:val="007F0787"/>
    <w:rsid w:val="00810B7B"/>
    <w:rsid w:val="0082358A"/>
    <w:rsid w:val="008235CD"/>
    <w:rsid w:val="008247DE"/>
    <w:rsid w:val="008339C0"/>
    <w:rsid w:val="00840B10"/>
    <w:rsid w:val="008513CB"/>
    <w:rsid w:val="00874E9F"/>
    <w:rsid w:val="00881E86"/>
    <w:rsid w:val="0088597F"/>
    <w:rsid w:val="008A6178"/>
    <w:rsid w:val="008A7F84"/>
    <w:rsid w:val="008B5836"/>
    <w:rsid w:val="008E702D"/>
    <w:rsid w:val="0091702E"/>
    <w:rsid w:val="00923B0C"/>
    <w:rsid w:val="00924F46"/>
    <w:rsid w:val="009278C3"/>
    <w:rsid w:val="00935AAC"/>
    <w:rsid w:val="0094021C"/>
    <w:rsid w:val="00945D24"/>
    <w:rsid w:val="00952F86"/>
    <w:rsid w:val="009668D4"/>
    <w:rsid w:val="00982B28"/>
    <w:rsid w:val="009B40AC"/>
    <w:rsid w:val="009D313F"/>
    <w:rsid w:val="00A07582"/>
    <w:rsid w:val="00A21571"/>
    <w:rsid w:val="00A22072"/>
    <w:rsid w:val="00A2339E"/>
    <w:rsid w:val="00A43931"/>
    <w:rsid w:val="00A456DA"/>
    <w:rsid w:val="00A47A5A"/>
    <w:rsid w:val="00A63AE6"/>
    <w:rsid w:val="00A6683B"/>
    <w:rsid w:val="00A67F05"/>
    <w:rsid w:val="00A75D7B"/>
    <w:rsid w:val="00A97F94"/>
    <w:rsid w:val="00AA7EA2"/>
    <w:rsid w:val="00AB257B"/>
    <w:rsid w:val="00B03099"/>
    <w:rsid w:val="00B05BC8"/>
    <w:rsid w:val="00B064CA"/>
    <w:rsid w:val="00B23FC0"/>
    <w:rsid w:val="00B30F5E"/>
    <w:rsid w:val="00B3262A"/>
    <w:rsid w:val="00B54834"/>
    <w:rsid w:val="00B623FB"/>
    <w:rsid w:val="00B64B47"/>
    <w:rsid w:val="00B95654"/>
    <w:rsid w:val="00B97F32"/>
    <w:rsid w:val="00BA04B2"/>
    <w:rsid w:val="00BA69EF"/>
    <w:rsid w:val="00BB65D2"/>
    <w:rsid w:val="00BE346E"/>
    <w:rsid w:val="00C002DE"/>
    <w:rsid w:val="00C0602B"/>
    <w:rsid w:val="00C10744"/>
    <w:rsid w:val="00C224DA"/>
    <w:rsid w:val="00C35780"/>
    <w:rsid w:val="00C46D04"/>
    <w:rsid w:val="00C53BF8"/>
    <w:rsid w:val="00C54DBC"/>
    <w:rsid w:val="00C66157"/>
    <w:rsid w:val="00C674FE"/>
    <w:rsid w:val="00C67501"/>
    <w:rsid w:val="00C75633"/>
    <w:rsid w:val="00CB2646"/>
    <w:rsid w:val="00CC0D0A"/>
    <w:rsid w:val="00CE0096"/>
    <w:rsid w:val="00CE2EE1"/>
    <w:rsid w:val="00CE3349"/>
    <w:rsid w:val="00CE36E5"/>
    <w:rsid w:val="00CE4360"/>
    <w:rsid w:val="00CF2113"/>
    <w:rsid w:val="00CF27F5"/>
    <w:rsid w:val="00CF3FFD"/>
    <w:rsid w:val="00CF7B6F"/>
    <w:rsid w:val="00D10CCF"/>
    <w:rsid w:val="00D1173E"/>
    <w:rsid w:val="00D13941"/>
    <w:rsid w:val="00D13E92"/>
    <w:rsid w:val="00D23F5F"/>
    <w:rsid w:val="00D311AB"/>
    <w:rsid w:val="00D33179"/>
    <w:rsid w:val="00D41E3C"/>
    <w:rsid w:val="00D43F7D"/>
    <w:rsid w:val="00D63735"/>
    <w:rsid w:val="00D74624"/>
    <w:rsid w:val="00D77D0F"/>
    <w:rsid w:val="00D87061"/>
    <w:rsid w:val="00D87D2D"/>
    <w:rsid w:val="00D9499A"/>
    <w:rsid w:val="00D95121"/>
    <w:rsid w:val="00DA1CF0"/>
    <w:rsid w:val="00DC1E02"/>
    <w:rsid w:val="00DC24B4"/>
    <w:rsid w:val="00DC5FB0"/>
    <w:rsid w:val="00DE7664"/>
    <w:rsid w:val="00DF16DC"/>
    <w:rsid w:val="00E25FC8"/>
    <w:rsid w:val="00E34B39"/>
    <w:rsid w:val="00E45211"/>
    <w:rsid w:val="00E473C5"/>
    <w:rsid w:val="00E53F65"/>
    <w:rsid w:val="00E61BE8"/>
    <w:rsid w:val="00E8055F"/>
    <w:rsid w:val="00E83FF1"/>
    <w:rsid w:val="00E92863"/>
    <w:rsid w:val="00E932E4"/>
    <w:rsid w:val="00E979B2"/>
    <w:rsid w:val="00EB796D"/>
    <w:rsid w:val="00ED5BE6"/>
    <w:rsid w:val="00EE34DF"/>
    <w:rsid w:val="00EE629D"/>
    <w:rsid w:val="00F058DC"/>
    <w:rsid w:val="00F07BC7"/>
    <w:rsid w:val="00F24FC4"/>
    <w:rsid w:val="00F2676C"/>
    <w:rsid w:val="00F363FE"/>
    <w:rsid w:val="00F50E3F"/>
    <w:rsid w:val="00F544B8"/>
    <w:rsid w:val="00F84366"/>
    <w:rsid w:val="00F85089"/>
    <w:rsid w:val="00F96D37"/>
    <w:rsid w:val="00F974C5"/>
    <w:rsid w:val="00FA3763"/>
    <w:rsid w:val="00FA6F46"/>
    <w:rsid w:val="00FA7C90"/>
    <w:rsid w:val="00FC0E94"/>
    <w:rsid w:val="00FC4592"/>
    <w:rsid w:val="00FD527F"/>
    <w:rsid w:val="00FE0FE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9AC15"/>
  <w15:chartTrackingRefBased/>
  <w15:docId w15:val="{50438DE5-D91D-4363-B04B-BAC6C81C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CA4"/>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1D100B"/>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CC0D0A"/>
    <w:rPr>
      <w:color w:val="954F72" w:themeColor="followedHyperlink"/>
      <w:u w:val="single"/>
    </w:rPr>
  </w:style>
  <w:style w:type="paragraph" w:styleId="Revision">
    <w:name w:val="Revision"/>
    <w:hidden/>
    <w:uiPriority w:val="99"/>
    <w:semiHidden/>
    <w:rsid w:val="007E20D3"/>
    <w:pPr>
      <w:spacing w:after="0" w:line="240" w:lineRule="auto"/>
    </w:pPr>
    <w:rPr>
      <w:rFonts w:ascii="Dubai" w:hAnsi="Dubai" w:cs="Dubai"/>
    </w:rPr>
  </w:style>
  <w:style w:type="paragraph" w:customStyle="1" w:styleId="Figure">
    <w:name w:val="Figure"/>
    <w:basedOn w:val="Normal"/>
    <w:qFormat/>
    <w:rsid w:val="00200644"/>
    <w:pPr>
      <w:spacing w:before="240" w:after="24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742030">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40/en" TargetMode="External"/><Relationship Id="rId18" Type="http://schemas.openxmlformats.org/officeDocument/2006/relationships/hyperlink" Target="https://www.itu.int/md/S23-CL-INF-0011/en" TargetMode="External"/><Relationship Id="rId26" Type="http://schemas.openxmlformats.org/officeDocument/2006/relationships/hyperlink" Target="https://app.powerbi.com/view?r=eyJrIjoiMGNjYTlkZmEtZGNkOC00ZjA5LTgzOTgtOGM2ZjE1OWIzYTU2IiwidCI6IjIzZTQ2NGQ3LTA0ZTYtNGI4Ny05MTNjLTI0YmQ4OTIxOWZkMyIsImMiOjl9" TargetMode="External"/><Relationship Id="rId3" Type="http://schemas.openxmlformats.org/officeDocument/2006/relationships/styles" Target="styles.xml"/><Relationship Id="rId21" Type="http://schemas.openxmlformats.org/officeDocument/2006/relationships/hyperlink" Target="https://www.itu.int/md/S24-CL-C-0053/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2-CL-INF-0013/en" TargetMode="External"/><Relationship Id="rId17" Type="http://schemas.openxmlformats.org/officeDocument/2006/relationships/hyperlink" Target="https://www.itu.int/md/S23-CL-C-0063/en" TargetMode="External"/><Relationship Id="rId25" Type="http://schemas.openxmlformats.org/officeDocument/2006/relationships/hyperlink" Target="https://www.itu.int/md/S25-CL-C-0050/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3-CL-C-0050/en" TargetMode="External"/><Relationship Id="rId20" Type="http://schemas.openxmlformats.org/officeDocument/2006/relationships/hyperlink" Target="https://www.itu.int/md/S24-CL-C-0019/en" TargetMode="External"/><Relationship Id="rId29" Type="http://schemas.openxmlformats.org/officeDocument/2006/relationships/hyperlink" Target="https://www.itu.int/md/S25-CWGFHR20-C-002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INF-0015/en" TargetMode="External"/><Relationship Id="rId24" Type="http://schemas.openxmlformats.org/officeDocument/2006/relationships/hyperlink" Target="https://www.itu.int/md/S25-CL-C-0066/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3-CL-C-0036/en" TargetMode="External"/><Relationship Id="rId23" Type="http://schemas.openxmlformats.org/officeDocument/2006/relationships/hyperlink" Target="https://www.itu.int/md/S25-CL-C-0050/en" TargetMode="External"/><Relationship Id="rId28" Type="http://schemas.openxmlformats.org/officeDocument/2006/relationships/hyperlink" Target="https://www.itu.int/md/S24-CL-C-0053/en" TargetMode="External"/><Relationship Id="rId36" Type="http://schemas.openxmlformats.org/officeDocument/2006/relationships/theme" Target="theme/theme1.xml"/><Relationship Id="rId10" Type="http://schemas.openxmlformats.org/officeDocument/2006/relationships/hyperlink" Target="https://www.itu.int/md/S20-CL-C-0074/en" TargetMode="External"/><Relationship Id="rId19" Type="http://schemas.openxmlformats.org/officeDocument/2006/relationships/hyperlink" Target="https://www.itu.int/md/S23-CL-INF-0013/en" TargetMode="External"/><Relationship Id="rId31" Type="http://schemas.openxmlformats.org/officeDocument/2006/relationships/hyperlink" Target="https://www.itu.int/md/S25-CL-C-0043/en" TargetMode="External"/><Relationship Id="rId4" Type="http://schemas.openxmlformats.org/officeDocument/2006/relationships/settings" Target="settings.xml"/><Relationship Id="rId9" Type="http://schemas.openxmlformats.org/officeDocument/2006/relationships/hyperlink" Target="https://www.itu.int/md/S20-CL-C-0061/en" TargetMode="External"/><Relationship Id="rId14" Type="http://schemas.openxmlformats.org/officeDocument/2006/relationships/hyperlink" Target="https://www.itu.int/md/S22-CL-C-0057/en" TargetMode="External"/><Relationship Id="rId22" Type="http://schemas.openxmlformats.org/officeDocument/2006/relationships/hyperlink" Target="https://www.itu.int/md/S24-CL-C-0031/en" TargetMode="External"/><Relationship Id="rId27" Type="http://schemas.openxmlformats.org/officeDocument/2006/relationships/image" Target="media/image1.png"/><Relationship Id="rId30" Type="http://schemas.openxmlformats.org/officeDocument/2006/relationships/image" Target="media/image2.emf"/><Relationship Id="rId35" Type="http://schemas.openxmlformats.org/officeDocument/2006/relationships/fontTable" Target="fontTable.xml"/><Relationship Id="rId8" Type="http://schemas.openxmlformats.org/officeDocument/2006/relationships/hyperlink" Target="https://www.itu.int/md/S25-CL-C-004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5-CL-C-0044/en" TargetMode="External"/><Relationship Id="rId1" Type="http://schemas.openxmlformats.org/officeDocument/2006/relationships/hyperlink" Target="https://www.itu.int/md/S25-CL-C-006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26\2501246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22</TotalTime>
  <Pages>10</Pages>
  <Words>2807</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2024</dc:subject>
  <dc:creator>PC-28</dc:creator>
  <cp:keywords>C2024, C24, Council-24</cp:keywords>
  <dc:description/>
  <cp:lastModifiedBy>GBS</cp:lastModifiedBy>
  <cp:revision>2</cp:revision>
  <dcterms:created xsi:type="dcterms:W3CDTF">2025-05-30T08:03:00Z</dcterms:created>
  <dcterms:modified xsi:type="dcterms:W3CDTF">2025-05-30T08:03:00Z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