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5A89CCFC" w14:textId="77777777" w:rsidTr="00C538FC">
        <w:trPr>
          <w:cantSplit/>
          <w:trHeight w:val="23"/>
        </w:trPr>
        <w:tc>
          <w:tcPr>
            <w:tcW w:w="3969" w:type="dxa"/>
            <w:vMerge w:val="restart"/>
            <w:tcMar>
              <w:left w:w="0" w:type="dxa"/>
            </w:tcMar>
          </w:tcPr>
          <w:p w14:paraId="6FE45FE6" w14:textId="074E3702" w:rsidR="00FE57F6" w:rsidRPr="00BB6FD8" w:rsidRDefault="00061806" w:rsidP="00C538FC">
            <w:pPr>
              <w:tabs>
                <w:tab w:val="left" w:pos="851"/>
              </w:tabs>
              <w:spacing w:before="0" w:line="240" w:lineRule="atLeast"/>
              <w:rPr>
                <w:b/>
              </w:rPr>
            </w:pPr>
            <w:bookmarkStart w:id="0" w:name="_Hlk133421839"/>
            <w:r>
              <w:rPr>
                <w:b/>
              </w:rPr>
              <w:t>Punto del o</w:t>
            </w:r>
            <w:r w:rsidR="00BB6FD8" w:rsidRPr="00BB6FD8">
              <w:rPr>
                <w:b/>
              </w:rPr>
              <w:t>rden del día</w:t>
            </w:r>
            <w:r w:rsidR="00FE57F6" w:rsidRPr="00BB6FD8">
              <w:rPr>
                <w:b/>
              </w:rPr>
              <w:t xml:space="preserve">: </w:t>
            </w:r>
            <w:r>
              <w:rPr>
                <w:b/>
              </w:rPr>
              <w:t>ADM 1</w:t>
            </w:r>
          </w:p>
        </w:tc>
        <w:tc>
          <w:tcPr>
            <w:tcW w:w="5245" w:type="dxa"/>
          </w:tcPr>
          <w:p w14:paraId="273FED92" w14:textId="00178D4C" w:rsidR="00FE57F6" w:rsidRPr="00BB6FD8" w:rsidRDefault="00FE57F6" w:rsidP="00C538FC">
            <w:pPr>
              <w:tabs>
                <w:tab w:val="left" w:pos="851"/>
              </w:tabs>
              <w:spacing w:before="0" w:line="240" w:lineRule="atLeast"/>
              <w:jc w:val="right"/>
              <w:rPr>
                <w:b/>
              </w:rPr>
            </w:pPr>
            <w:r w:rsidRPr="00BB6FD8">
              <w:rPr>
                <w:b/>
              </w:rPr>
              <w:t>Document</w:t>
            </w:r>
            <w:r w:rsidR="00F24B71" w:rsidRPr="00BB6FD8">
              <w:rPr>
                <w:b/>
              </w:rPr>
              <w:t>o</w:t>
            </w:r>
            <w:r w:rsidRPr="00BB6FD8">
              <w:rPr>
                <w:b/>
              </w:rPr>
              <w:t xml:space="preserve"> C2</w:t>
            </w:r>
            <w:r w:rsidR="00BB6FD8" w:rsidRPr="00BB6FD8">
              <w:rPr>
                <w:b/>
              </w:rPr>
              <w:t>5</w:t>
            </w:r>
            <w:r w:rsidRPr="00BB6FD8">
              <w:rPr>
                <w:b/>
              </w:rPr>
              <w:t>/</w:t>
            </w:r>
            <w:r w:rsidR="00061806">
              <w:rPr>
                <w:b/>
              </w:rPr>
              <w:t>54</w:t>
            </w:r>
            <w:r w:rsidRPr="00BB6FD8">
              <w:rPr>
                <w:b/>
              </w:rPr>
              <w:t>-</w:t>
            </w:r>
            <w:r w:rsidR="00F24B71" w:rsidRPr="00BB6FD8">
              <w:rPr>
                <w:b/>
              </w:rPr>
              <w:t>S</w:t>
            </w:r>
          </w:p>
        </w:tc>
      </w:tr>
      <w:tr w:rsidR="00FE57F6" w:rsidRPr="00666D09" w14:paraId="476C546A" w14:textId="77777777" w:rsidTr="00C538FC">
        <w:trPr>
          <w:cantSplit/>
        </w:trPr>
        <w:tc>
          <w:tcPr>
            <w:tcW w:w="3969" w:type="dxa"/>
            <w:vMerge/>
          </w:tcPr>
          <w:p w14:paraId="7389BC4E" w14:textId="77777777" w:rsidR="00FE57F6" w:rsidRPr="00BB6FD8" w:rsidRDefault="00FE57F6" w:rsidP="00C538FC">
            <w:pPr>
              <w:tabs>
                <w:tab w:val="left" w:pos="851"/>
              </w:tabs>
              <w:spacing w:line="240" w:lineRule="atLeast"/>
              <w:rPr>
                <w:b/>
              </w:rPr>
            </w:pPr>
          </w:p>
        </w:tc>
        <w:tc>
          <w:tcPr>
            <w:tcW w:w="5245" w:type="dxa"/>
          </w:tcPr>
          <w:p w14:paraId="0609F799" w14:textId="4C9E40F8" w:rsidR="00FE57F6" w:rsidRPr="00666D09" w:rsidRDefault="00061806" w:rsidP="00C538FC">
            <w:pPr>
              <w:tabs>
                <w:tab w:val="left" w:pos="851"/>
              </w:tabs>
              <w:spacing w:before="0"/>
              <w:jc w:val="right"/>
              <w:rPr>
                <w:b/>
                <w:lang w:val="en-GB"/>
              </w:rPr>
            </w:pPr>
            <w:r>
              <w:rPr>
                <w:b/>
              </w:rPr>
              <w:t>16 de mayo de 2025</w:t>
            </w:r>
          </w:p>
        </w:tc>
      </w:tr>
      <w:tr w:rsidR="00FE57F6" w:rsidRPr="00BB6FD8" w14:paraId="272BCB36" w14:textId="77777777" w:rsidTr="00C538FC">
        <w:trPr>
          <w:cantSplit/>
          <w:trHeight w:val="23"/>
        </w:trPr>
        <w:tc>
          <w:tcPr>
            <w:tcW w:w="3969" w:type="dxa"/>
            <w:vMerge/>
          </w:tcPr>
          <w:p w14:paraId="21EF4A51" w14:textId="77777777" w:rsidR="00FE57F6" w:rsidRPr="00666D09" w:rsidRDefault="00FE57F6" w:rsidP="00C538FC">
            <w:pPr>
              <w:tabs>
                <w:tab w:val="left" w:pos="851"/>
              </w:tabs>
              <w:spacing w:line="240" w:lineRule="atLeast"/>
              <w:rPr>
                <w:b/>
                <w:lang w:val="en-GB"/>
              </w:rPr>
            </w:pPr>
          </w:p>
        </w:tc>
        <w:tc>
          <w:tcPr>
            <w:tcW w:w="5245" w:type="dxa"/>
          </w:tcPr>
          <w:p w14:paraId="7402B6CD" w14:textId="77777777" w:rsidR="00FE57F6" w:rsidRPr="00BB6FD8" w:rsidRDefault="00F24B71" w:rsidP="00C538FC">
            <w:pPr>
              <w:tabs>
                <w:tab w:val="left" w:pos="851"/>
              </w:tabs>
              <w:spacing w:before="0" w:line="240" w:lineRule="atLeast"/>
              <w:jc w:val="right"/>
              <w:rPr>
                <w:b/>
                <w:bCs/>
              </w:rPr>
            </w:pPr>
            <w:r w:rsidRPr="00BB6FD8">
              <w:rPr>
                <w:rFonts w:cstheme="minorHAnsi"/>
                <w:b/>
                <w:bCs/>
              </w:rPr>
              <w:t>Original: inglés</w:t>
            </w:r>
          </w:p>
        </w:tc>
      </w:tr>
      <w:tr w:rsidR="00FE57F6" w:rsidRPr="00BB6FD8" w14:paraId="4A4779BD" w14:textId="77777777" w:rsidTr="00C538FC">
        <w:trPr>
          <w:cantSplit/>
          <w:trHeight w:val="23"/>
        </w:trPr>
        <w:tc>
          <w:tcPr>
            <w:tcW w:w="3969" w:type="dxa"/>
          </w:tcPr>
          <w:p w14:paraId="561FB075" w14:textId="77777777" w:rsidR="00FE57F6" w:rsidRPr="00BB6FD8" w:rsidRDefault="00FE57F6" w:rsidP="00C538FC">
            <w:pPr>
              <w:tabs>
                <w:tab w:val="left" w:pos="851"/>
              </w:tabs>
              <w:spacing w:line="240" w:lineRule="atLeast"/>
              <w:rPr>
                <w:b/>
              </w:rPr>
            </w:pPr>
          </w:p>
        </w:tc>
        <w:tc>
          <w:tcPr>
            <w:tcW w:w="5245" w:type="dxa"/>
          </w:tcPr>
          <w:p w14:paraId="18C14A2E" w14:textId="77777777" w:rsidR="00FE57F6" w:rsidRPr="00BB6FD8" w:rsidRDefault="00FE57F6" w:rsidP="00C538FC">
            <w:pPr>
              <w:tabs>
                <w:tab w:val="left" w:pos="851"/>
              </w:tabs>
              <w:spacing w:before="0" w:line="240" w:lineRule="atLeast"/>
              <w:jc w:val="right"/>
              <w:rPr>
                <w:b/>
              </w:rPr>
            </w:pPr>
          </w:p>
        </w:tc>
      </w:tr>
      <w:tr w:rsidR="00FE57F6" w:rsidRPr="00BB6FD8" w14:paraId="71527137" w14:textId="77777777" w:rsidTr="00C538FC">
        <w:trPr>
          <w:cantSplit/>
        </w:trPr>
        <w:tc>
          <w:tcPr>
            <w:tcW w:w="9214" w:type="dxa"/>
            <w:gridSpan w:val="2"/>
            <w:tcMar>
              <w:left w:w="0" w:type="dxa"/>
            </w:tcMar>
          </w:tcPr>
          <w:p w14:paraId="331615E3"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3D1353D2" w14:textId="77777777" w:rsidTr="00C538FC">
        <w:trPr>
          <w:cantSplit/>
        </w:trPr>
        <w:tc>
          <w:tcPr>
            <w:tcW w:w="9214" w:type="dxa"/>
            <w:gridSpan w:val="2"/>
            <w:tcMar>
              <w:left w:w="0" w:type="dxa"/>
            </w:tcMar>
          </w:tcPr>
          <w:p w14:paraId="02CE3D53" w14:textId="31C1BC57" w:rsidR="00FE57F6" w:rsidRPr="00F92BED" w:rsidRDefault="00061806" w:rsidP="00F92BED">
            <w:pPr>
              <w:pStyle w:val="Subtitle"/>
              <w:framePr w:hSpace="0" w:wrap="auto" w:vAnchor="margin" w:hAnchor="text" w:xAlign="left" w:yAlign="inline"/>
            </w:pPr>
            <w:bookmarkStart w:id="1" w:name="_Hlk68696326"/>
            <w:r w:rsidRPr="00061806">
              <w:rPr>
                <w:lang w:val="es-ES"/>
              </w:rPr>
              <w:t>IMPORTE PRELIMINAR DE LA UNIDAD CONTRIBUTIVA</w:t>
            </w:r>
            <w:bookmarkEnd w:id="1"/>
          </w:p>
        </w:tc>
      </w:tr>
      <w:tr w:rsidR="00FE57F6" w:rsidRPr="00BB6FD8" w14:paraId="7A96506D" w14:textId="77777777" w:rsidTr="00C538FC">
        <w:trPr>
          <w:cantSplit/>
        </w:trPr>
        <w:tc>
          <w:tcPr>
            <w:tcW w:w="9214" w:type="dxa"/>
            <w:gridSpan w:val="2"/>
            <w:tcBorders>
              <w:top w:val="single" w:sz="4" w:space="0" w:color="auto"/>
              <w:bottom w:val="single" w:sz="4" w:space="0" w:color="auto"/>
            </w:tcBorders>
            <w:tcMar>
              <w:left w:w="0" w:type="dxa"/>
            </w:tcMar>
          </w:tcPr>
          <w:p w14:paraId="298381C0" w14:textId="77777777" w:rsidR="00FE57F6" w:rsidRPr="00BB6FD8" w:rsidRDefault="00F24B71" w:rsidP="00C538FC">
            <w:pPr>
              <w:spacing w:before="160"/>
              <w:rPr>
                <w:b/>
                <w:bCs/>
                <w:sz w:val="26"/>
                <w:szCs w:val="26"/>
              </w:rPr>
            </w:pPr>
            <w:r w:rsidRPr="00BB6FD8">
              <w:rPr>
                <w:b/>
                <w:bCs/>
                <w:sz w:val="26"/>
                <w:szCs w:val="26"/>
              </w:rPr>
              <w:t>Finalidad</w:t>
            </w:r>
          </w:p>
          <w:p w14:paraId="39432FD8" w14:textId="0F14C789" w:rsidR="00061806" w:rsidRPr="00061806" w:rsidRDefault="00061806" w:rsidP="00471997">
            <w:pPr>
              <w:jc w:val="both"/>
              <w:rPr>
                <w:lang w:val="es-ES"/>
              </w:rPr>
            </w:pPr>
            <w:r w:rsidRPr="00061806">
              <w:rPr>
                <w:lang w:val="es-ES"/>
              </w:rPr>
              <w:t>La Secretaria General tiene la intención de proponer que la unidad contributiva (UC) se mantenga en el nivel actual de 318</w:t>
            </w:r>
            <w:r w:rsidR="00E2325C">
              <w:rPr>
                <w:lang w:val="es-ES"/>
              </w:rPr>
              <w:t> </w:t>
            </w:r>
            <w:r w:rsidRPr="00061806">
              <w:rPr>
                <w:lang w:val="es-ES"/>
              </w:rPr>
              <w:t>000</w:t>
            </w:r>
            <w:r w:rsidR="00E2325C">
              <w:rPr>
                <w:lang w:val="es-ES"/>
              </w:rPr>
              <w:t> </w:t>
            </w:r>
            <w:r w:rsidRPr="00061806">
              <w:rPr>
                <w:lang w:val="es-ES"/>
              </w:rPr>
              <w:t>CHF. Al igual que en la última Conferencia de Plenipotenciarios, esta será una buena base para debatir el Plan Financiero para todos los Estados Miembros y permitirá una preparación adecuada antes de la Conferencia de Plenipotenciarios de 2026.</w:t>
            </w:r>
          </w:p>
          <w:p w14:paraId="351560CB" w14:textId="618F53C6" w:rsidR="00FE57F6" w:rsidRPr="00BB6FD8" w:rsidRDefault="00061806" w:rsidP="00471997">
            <w:pPr>
              <w:jc w:val="both"/>
            </w:pPr>
            <w:r w:rsidRPr="00061806">
              <w:rPr>
                <w:lang w:val="es-ES"/>
              </w:rPr>
              <w:t>Sobre la base de los debates del Grupo de Trabajo del Consejo sobre los Planes Estratégico y Financiero, la Secretaria General propone también que el Consejo inicie los trabajos encaminados a establecer una metodología para considerar en el futuro los cambios de la unidad contributiva.</w:t>
            </w:r>
          </w:p>
          <w:p w14:paraId="102F0E83"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84C64FE" w14:textId="035A1033" w:rsidR="00F92BED" w:rsidRPr="00F92BED" w:rsidRDefault="00061806" w:rsidP="00471997">
            <w:pPr>
              <w:spacing w:before="160"/>
              <w:jc w:val="both"/>
              <w:rPr>
                <w:szCs w:val="24"/>
                <w:lang w:val="es-ES"/>
              </w:rPr>
            </w:pPr>
            <w:r w:rsidRPr="00061806">
              <w:rPr>
                <w:szCs w:val="24"/>
                <w:lang w:val="es-ES"/>
              </w:rPr>
              <w:t xml:space="preserve">Se invita al Consejo a </w:t>
            </w:r>
            <w:r w:rsidRPr="00061806">
              <w:rPr>
                <w:b/>
                <w:bCs/>
                <w:szCs w:val="24"/>
                <w:lang w:val="es-ES"/>
              </w:rPr>
              <w:t>considerar</w:t>
            </w:r>
            <w:r w:rsidRPr="00061806">
              <w:rPr>
                <w:szCs w:val="24"/>
                <w:lang w:val="es-ES"/>
              </w:rPr>
              <w:t xml:space="preserve"> y </w:t>
            </w:r>
            <w:r w:rsidRPr="00061806">
              <w:rPr>
                <w:b/>
                <w:bCs/>
                <w:szCs w:val="24"/>
                <w:lang w:val="es-ES"/>
              </w:rPr>
              <w:t>aprobar</w:t>
            </w:r>
            <w:r w:rsidRPr="00061806">
              <w:rPr>
                <w:szCs w:val="24"/>
                <w:lang w:val="es-ES"/>
              </w:rPr>
              <w:t xml:space="preserve"> esta propuesta e iniciar los trabajos para desarrollar una metodología para futuros cambios de la unidad contributiva que se someterá a la consideración del Consejo en 2026.</w:t>
            </w:r>
          </w:p>
          <w:p w14:paraId="25CB6753"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0747A928" w14:textId="29551C6C" w:rsidR="00F92BED" w:rsidRPr="00F24B71" w:rsidRDefault="00061806" w:rsidP="00F92BED">
            <w:pPr>
              <w:rPr>
                <w:lang w:val="es-ES"/>
              </w:rPr>
            </w:pPr>
            <w:proofErr w:type="spellStart"/>
            <w:r>
              <w:rPr>
                <w:lang w:val="es-ES"/>
              </w:rPr>
              <w:t>n.a</w:t>
            </w:r>
            <w:proofErr w:type="spellEnd"/>
            <w:r>
              <w:rPr>
                <w:lang w:val="es-ES"/>
              </w:rPr>
              <w:t>.</w:t>
            </w:r>
          </w:p>
          <w:p w14:paraId="63311A60" w14:textId="77777777" w:rsidR="00F92BED" w:rsidRDefault="00F92BED" w:rsidP="00F92BED">
            <w:pPr>
              <w:spacing w:before="160"/>
              <w:rPr>
                <w:b/>
                <w:bCs/>
                <w:sz w:val="26"/>
                <w:szCs w:val="26"/>
              </w:rPr>
            </w:pPr>
            <w:r w:rsidRPr="00F24B71">
              <w:rPr>
                <w:b/>
                <w:bCs/>
                <w:sz w:val="26"/>
                <w:szCs w:val="26"/>
              </w:rPr>
              <w:t>Repercusiones financieras</w:t>
            </w:r>
          </w:p>
          <w:p w14:paraId="6DCDD394" w14:textId="13FC3E41" w:rsidR="00F92BED" w:rsidRPr="00BB6FD8" w:rsidRDefault="00061806" w:rsidP="00F92BED">
            <w:r>
              <w:t>Ninguna.</w:t>
            </w:r>
          </w:p>
          <w:p w14:paraId="0C3AB487" w14:textId="77777777" w:rsidR="00FE57F6" w:rsidRPr="00BB6FD8" w:rsidRDefault="00FE57F6" w:rsidP="00C538FC">
            <w:pPr>
              <w:spacing w:before="160"/>
              <w:rPr>
                <w:caps/>
                <w:sz w:val="22"/>
              </w:rPr>
            </w:pPr>
            <w:r w:rsidRPr="00BB6FD8">
              <w:rPr>
                <w:sz w:val="22"/>
              </w:rPr>
              <w:t>__________________</w:t>
            </w:r>
          </w:p>
          <w:p w14:paraId="432C57EA"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173580AE" w14:textId="75673F15" w:rsidR="00FE57F6" w:rsidRPr="004D3A3C" w:rsidRDefault="00061806" w:rsidP="00C538FC">
            <w:pPr>
              <w:spacing w:after="160"/>
              <w:rPr>
                <w:i/>
                <w:iCs/>
                <w:sz w:val="22"/>
                <w:szCs w:val="22"/>
              </w:rPr>
            </w:pPr>
            <w:hyperlink r:id="rId6" w:history="1">
              <w:r w:rsidRPr="00061806">
                <w:rPr>
                  <w:i/>
                  <w:iCs/>
                  <w:sz w:val="22"/>
                  <w:szCs w:val="22"/>
                  <w:lang w:val="es-ES"/>
                </w:rPr>
                <w:t>Artículo</w:t>
              </w:r>
              <w:r w:rsidRPr="00061806">
                <w:rPr>
                  <w:i/>
                  <w:iCs/>
                  <w:sz w:val="22"/>
                  <w:szCs w:val="18"/>
                  <w:lang w:val="es-ES"/>
                </w:rPr>
                <w:t>s</w:t>
              </w:r>
              <w:r w:rsidRPr="00061806">
                <w:rPr>
                  <w:i/>
                  <w:iCs/>
                  <w:sz w:val="22"/>
                  <w:szCs w:val="16"/>
                  <w:lang w:val="es-ES"/>
                </w:rPr>
                <w:t xml:space="preserve"> </w:t>
              </w:r>
              <w:r w:rsidRPr="00061806">
                <w:rPr>
                  <w:rStyle w:val="Hyperlink"/>
                  <w:i/>
                  <w:iCs/>
                  <w:sz w:val="22"/>
                  <w:szCs w:val="22"/>
                  <w:lang w:val="es-ES"/>
                </w:rPr>
                <w:t>8</w:t>
              </w:r>
              <w:r w:rsidRPr="00061806">
                <w:rPr>
                  <w:i/>
                  <w:iCs/>
                  <w:lang w:val="es-ES"/>
                </w:rPr>
                <w:t>,</w:t>
              </w:r>
              <w:r w:rsidRPr="00061806">
                <w:rPr>
                  <w:lang w:val="es-ES"/>
                </w:rPr>
                <w:t xml:space="preserve"> </w:t>
              </w:r>
              <w:r w:rsidRPr="00061806">
                <w:rPr>
                  <w:rStyle w:val="Hyperlink"/>
                  <w:i/>
                  <w:iCs/>
                  <w:sz w:val="22"/>
                  <w:szCs w:val="22"/>
                  <w:lang w:val="es-ES"/>
                </w:rPr>
                <w:t>28</w:t>
              </w:r>
              <w:r w:rsidRPr="00061806">
                <w:rPr>
                  <w:i/>
                  <w:iCs/>
                  <w:lang w:val="es-ES"/>
                </w:rPr>
                <w:t xml:space="preserve"> y </w:t>
              </w:r>
              <w:r w:rsidRPr="00061806">
                <w:rPr>
                  <w:rStyle w:val="Hyperlink"/>
                  <w:i/>
                  <w:iCs/>
                  <w:sz w:val="22"/>
                  <w:szCs w:val="22"/>
                  <w:lang w:val="es-ES"/>
                </w:rPr>
                <w:t xml:space="preserve">33 </w:t>
              </w:r>
              <w:r w:rsidRPr="00061806">
                <w:rPr>
                  <w:i/>
                  <w:iCs/>
                  <w:sz w:val="22"/>
                  <w:szCs w:val="22"/>
                  <w:lang w:val="es-ES"/>
                </w:rPr>
                <w:t>de la Constitución de la UIT</w:t>
              </w:r>
            </w:hyperlink>
            <w:r w:rsidRPr="00061806">
              <w:rPr>
                <w:i/>
                <w:iCs/>
                <w:sz w:val="22"/>
                <w:szCs w:val="22"/>
                <w:lang w:val="es-ES"/>
              </w:rPr>
              <w:t xml:space="preserve">; </w:t>
            </w:r>
            <w:hyperlink r:id="rId7" w:history="1">
              <w:r w:rsidRPr="00FF4EBC">
                <w:rPr>
                  <w:rStyle w:val="Hyperlink"/>
                  <w:i/>
                  <w:iCs/>
                  <w:sz w:val="22"/>
                  <w:szCs w:val="22"/>
                  <w:lang w:val="es-ES"/>
                </w:rPr>
                <w:t>Decisión 5 (Rev. Bucarest, 2022)</w:t>
              </w:r>
            </w:hyperlink>
            <w:r w:rsidRPr="00061806">
              <w:rPr>
                <w:i/>
                <w:iCs/>
                <w:sz w:val="22"/>
                <w:szCs w:val="22"/>
                <w:lang w:val="es-ES"/>
              </w:rPr>
              <w:t xml:space="preserve"> de la Conferencia de</w:t>
            </w:r>
            <w:r>
              <w:rPr>
                <w:i/>
                <w:iCs/>
                <w:sz w:val="22"/>
                <w:szCs w:val="22"/>
                <w:lang w:val="es-ES"/>
              </w:rPr>
              <w:t> </w:t>
            </w:r>
            <w:r w:rsidRPr="00061806">
              <w:rPr>
                <w:i/>
                <w:iCs/>
                <w:sz w:val="22"/>
                <w:szCs w:val="22"/>
                <w:lang w:val="es-ES"/>
              </w:rPr>
              <w:t>Plenipotenciarios</w:t>
            </w:r>
          </w:p>
        </w:tc>
      </w:tr>
      <w:bookmarkEnd w:id="0"/>
    </w:tbl>
    <w:p w14:paraId="3513C2D9"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14565F58" w14:textId="77777777" w:rsidR="00FF4EBC" w:rsidRPr="00FF4EBC" w:rsidRDefault="00FF4EBC" w:rsidP="00FF4EBC">
      <w:pPr>
        <w:pStyle w:val="Headingb"/>
        <w:rPr>
          <w:lang w:val="es-ES"/>
        </w:rPr>
      </w:pPr>
      <w:r w:rsidRPr="00FF4EBC">
        <w:rPr>
          <w:lang w:val="es-ES"/>
        </w:rPr>
        <w:lastRenderedPageBreak/>
        <w:t>Propuesta</w:t>
      </w:r>
    </w:p>
    <w:p w14:paraId="50946E3D" w14:textId="0A1649BC" w:rsidR="00FF4EBC" w:rsidRPr="00FF4EBC" w:rsidRDefault="00FF4EBC" w:rsidP="00471997">
      <w:pPr>
        <w:jc w:val="both"/>
        <w:rPr>
          <w:lang w:val="es-ES"/>
        </w:rPr>
      </w:pPr>
      <w:r w:rsidRPr="00FF4EBC">
        <w:rPr>
          <w:lang w:val="es-ES"/>
        </w:rPr>
        <w:t>1</w:t>
      </w:r>
      <w:r w:rsidRPr="00FF4EBC">
        <w:rPr>
          <w:lang w:val="es-ES"/>
        </w:rPr>
        <w:tab/>
        <w:t>El objetivo del proyecto de Plan Financiero para 2028-2031 es proporcionar una referencia para que la Conferencia de Plenipotenciarios de 202</w:t>
      </w:r>
      <w:r w:rsidR="00E25E13">
        <w:rPr>
          <w:lang w:val="es-ES"/>
        </w:rPr>
        <w:t>6</w:t>
      </w:r>
      <w:r w:rsidRPr="00FF4EBC">
        <w:rPr>
          <w:lang w:val="es-ES"/>
        </w:rPr>
        <w:t xml:space="preserve"> establezca las bases del presupuesto de la Unión y determine los límites financieros correspondientes, hasta la próxima Conferencia de Plenipotenciarios, tras considerar todos los aspectos pertinentes de la labor de la Unión en el periodo de que se trate (Artículo 8, número 51 de la Constitución).</w:t>
      </w:r>
    </w:p>
    <w:p w14:paraId="6955E7A2" w14:textId="77777777" w:rsidR="00FF4EBC" w:rsidRPr="00FF4EBC" w:rsidRDefault="00FF4EBC" w:rsidP="00471997">
      <w:pPr>
        <w:jc w:val="both"/>
        <w:rPr>
          <w:bCs/>
          <w:lang w:val="es-ES"/>
        </w:rPr>
      </w:pPr>
      <w:r w:rsidRPr="00FF4EBC">
        <w:rPr>
          <w:lang w:val="es-ES"/>
        </w:rPr>
        <w:t>2</w:t>
      </w:r>
      <w:r w:rsidRPr="00FF4EBC">
        <w:rPr>
          <w:lang w:val="es-ES"/>
        </w:rPr>
        <w:tab/>
        <w:t>De conformidad con el número 161B del Artículo 28 de la Constitución, en su reunión anterior a la Conferencia de Plenipotenciarios, el Consejo fijará el importe provisional de la unidad contributiva (UC), basándose en el proyecto de Plan Financiero para el periodo correspondiente y en el número total de unidades contributivas.</w:t>
      </w:r>
    </w:p>
    <w:p w14:paraId="1FA42B03" w14:textId="0B2651C2" w:rsidR="00FF4EBC" w:rsidRPr="00FF4EBC" w:rsidRDefault="00FF4EBC" w:rsidP="00471997">
      <w:pPr>
        <w:jc w:val="both"/>
        <w:rPr>
          <w:lang w:val="es-ES"/>
        </w:rPr>
      </w:pPr>
      <w:r w:rsidRPr="00FF4EBC">
        <w:rPr>
          <w:lang w:val="es-ES"/>
        </w:rPr>
        <w:t>3</w:t>
      </w:r>
      <w:r w:rsidRPr="00FF4EBC">
        <w:rPr>
          <w:lang w:val="es-ES"/>
        </w:rPr>
        <w:tab/>
        <w:t xml:space="preserve">En este contexto, en la Decisión 5 (Rev. Bucarest, 2022) </w:t>
      </w:r>
      <w:r w:rsidRPr="00FF4EBC">
        <w:rPr>
          <w:i/>
          <w:iCs/>
          <w:lang w:val="es-ES"/>
        </w:rPr>
        <w:t>se invita al Consejo</w:t>
      </w:r>
      <w:r w:rsidRPr="00FF4EBC">
        <w:rPr>
          <w:lang w:val="es-ES"/>
        </w:rPr>
        <w:t xml:space="preserve"> a fijar, en la medida de lo posible, el importe provisional de la unidad contributiva para el periodo</w:t>
      </w:r>
      <w:r w:rsidR="00DD3276">
        <w:rPr>
          <w:lang w:val="es-ES"/>
        </w:rPr>
        <w:t> </w:t>
      </w:r>
      <w:r w:rsidRPr="00FF4EBC">
        <w:rPr>
          <w:lang w:val="es-ES"/>
        </w:rPr>
        <w:t>2028</w:t>
      </w:r>
      <w:r w:rsidR="00B07FFA">
        <w:rPr>
          <w:lang w:val="es-ES"/>
        </w:rPr>
        <w:noBreakHyphen/>
      </w:r>
      <w:r w:rsidRPr="00FF4EBC">
        <w:rPr>
          <w:lang w:val="es-ES"/>
        </w:rPr>
        <w:t>2031 en su reunión ordinaria de 2025 e invita a los Estados Miembros a anunciar su clase de contribución provisional para el periodo 2028-2031 antes del final del año civil 2025. El valor de la unidad contributiva se ha mantenido en 318</w:t>
      </w:r>
      <w:r w:rsidR="00863238">
        <w:rPr>
          <w:lang w:val="es-ES"/>
        </w:rPr>
        <w:t> </w:t>
      </w:r>
      <w:r w:rsidRPr="00FF4EBC">
        <w:rPr>
          <w:lang w:val="es-ES"/>
        </w:rPr>
        <w:t>000</w:t>
      </w:r>
      <w:r w:rsidR="00863238">
        <w:rPr>
          <w:lang w:val="es-ES"/>
        </w:rPr>
        <w:t> </w:t>
      </w:r>
      <w:r w:rsidRPr="00FF4EBC">
        <w:rPr>
          <w:lang w:val="es-ES"/>
        </w:rPr>
        <w:t>CHF de conformidad con la</w:t>
      </w:r>
      <w:r w:rsidR="00B07FFA">
        <w:rPr>
          <w:lang w:val="es-ES"/>
        </w:rPr>
        <w:t> </w:t>
      </w:r>
      <w:r w:rsidRPr="00FF4EBC">
        <w:rPr>
          <w:lang w:val="es-ES"/>
        </w:rPr>
        <w:t>Decisión 5 (Rev. Bucarest, 2022), es decir, un crecimiento nominal cero, desde el año</w:t>
      </w:r>
      <w:r w:rsidR="00B07FFA">
        <w:rPr>
          <w:lang w:val="es-ES"/>
        </w:rPr>
        <w:t> </w:t>
      </w:r>
      <w:r w:rsidRPr="00FF4EBC">
        <w:rPr>
          <w:lang w:val="es-ES"/>
        </w:rPr>
        <w:t>2006.</w:t>
      </w:r>
    </w:p>
    <w:p w14:paraId="7812E0E9" w14:textId="74A123F8" w:rsidR="00FF4EBC" w:rsidRPr="00FF4EBC" w:rsidRDefault="00FF4EBC" w:rsidP="00471997">
      <w:pPr>
        <w:jc w:val="both"/>
        <w:rPr>
          <w:lang w:val="es-ES"/>
        </w:rPr>
      </w:pPr>
      <w:r w:rsidRPr="00FF4EBC">
        <w:rPr>
          <w:lang w:val="es-ES"/>
        </w:rPr>
        <w:t>4</w:t>
      </w:r>
      <w:r w:rsidRPr="00FF4EBC">
        <w:rPr>
          <w:lang w:val="es-ES"/>
        </w:rPr>
        <w:tab/>
        <w:t>En las reuniones del Grupo de Trabajo del Consejo sobre los Planes Estratégico y Financiero 2028</w:t>
      </w:r>
      <w:r w:rsidR="00692B94">
        <w:rPr>
          <w:lang w:val="es-ES"/>
        </w:rPr>
        <w:t>-</w:t>
      </w:r>
      <w:r w:rsidRPr="00FF4EBC">
        <w:rPr>
          <w:lang w:val="es-ES"/>
        </w:rPr>
        <w:t xml:space="preserve">2031 (GTC-PEF) celebradas en octubre de 2024 y febrero de 2025, la Secretaría presentó disposiciones para que los Estados Miembros consideraran un aumento de la unidad contributiva. En los Documentos </w:t>
      </w:r>
      <w:hyperlink r:id="rId8" w:history="1">
        <w:r w:rsidRPr="00FF4EBC">
          <w:rPr>
            <w:rStyle w:val="Hyperlink"/>
            <w:lang w:val="es-ES"/>
          </w:rPr>
          <w:t>CWG-SFP-1/5</w:t>
        </w:r>
      </w:hyperlink>
      <w:r w:rsidRPr="00FF4EBC">
        <w:rPr>
          <w:lang w:val="es-ES"/>
        </w:rPr>
        <w:t xml:space="preserve">, </w:t>
      </w:r>
      <w:hyperlink r:id="rId9" w:history="1">
        <w:r w:rsidRPr="00FF4EBC">
          <w:rPr>
            <w:rStyle w:val="Hyperlink"/>
            <w:lang w:val="es-ES"/>
          </w:rPr>
          <w:t>CWG-SFP-2/7</w:t>
        </w:r>
      </w:hyperlink>
      <w:r w:rsidRPr="00FF4EBC">
        <w:rPr>
          <w:lang w:val="es-ES"/>
        </w:rPr>
        <w:t xml:space="preserve"> y </w:t>
      </w:r>
      <w:hyperlink r:id="rId10" w:history="1">
        <w:r w:rsidRPr="00FF4EBC">
          <w:rPr>
            <w:rStyle w:val="Hyperlink"/>
            <w:lang w:val="es-ES"/>
          </w:rPr>
          <w:t>CWG</w:t>
        </w:r>
        <w:r w:rsidR="00E2325C">
          <w:rPr>
            <w:rStyle w:val="Hyperlink"/>
            <w:lang w:val="es-ES"/>
          </w:rPr>
          <w:noBreakHyphen/>
        </w:r>
        <w:r w:rsidRPr="00FF4EBC">
          <w:rPr>
            <w:rStyle w:val="Hyperlink"/>
            <w:lang w:val="es-ES"/>
          </w:rPr>
          <w:t>SFP</w:t>
        </w:r>
        <w:r w:rsidR="00E2325C">
          <w:rPr>
            <w:rStyle w:val="Hyperlink"/>
            <w:lang w:val="es-ES"/>
          </w:rPr>
          <w:noBreakHyphen/>
        </w:r>
        <w:r w:rsidRPr="00FF4EBC">
          <w:rPr>
            <w:rStyle w:val="Hyperlink"/>
            <w:lang w:val="es-ES"/>
          </w:rPr>
          <w:t>2/INF/1</w:t>
        </w:r>
      </w:hyperlink>
      <w:r w:rsidRPr="00FF4EBC">
        <w:rPr>
          <w:lang w:val="es-ES"/>
        </w:rPr>
        <w:t xml:space="preserve">, la Secretaría presenta varias consideraciones sobre la situación financiera de la Unión para su consideración por el GTC-PEF. La Secretaría observó que, habida cuenta de los aumentos de costes desde que la UC se estableciera en su nivel actual en 2006, y en el contexto de la disminución de los ingresos por recuperación de costes, la UIT se ha visto obligada a economizar restando prioridad a varios gastos importantes en los últimos años debido a la insuficiencia de recursos financieros. La Secretaría propuso que se garantizase una financiación adecuada para la Unión durante el periodo financiero 2028-2031 mediante la aprobación por el Consejo de un aumento de las tasas de las </w:t>
      </w:r>
      <w:r w:rsidR="00E25E13">
        <w:rPr>
          <w:lang w:val="es-ES"/>
        </w:rPr>
        <w:t>n</w:t>
      </w:r>
      <w:r w:rsidRPr="00FF4EBC">
        <w:rPr>
          <w:lang w:val="es-ES"/>
        </w:rPr>
        <w:t>otificaciones de redes de satélites (NRS) para recuperar todos los costes de los trabajos inherentes a esos esfuerzos, y el acuerdo de los Estados Miembros de aumentar el CU para cubrir cualquier déficit de financiación restante. Esta propuesta no fue aprobada por los Estados Miembros, especialmente en lo que respecta al aumento de la unidad contributiva, y los miembros del</w:t>
      </w:r>
      <w:r w:rsidR="00E2325C">
        <w:rPr>
          <w:lang w:val="es-ES"/>
        </w:rPr>
        <w:t> </w:t>
      </w:r>
      <w:r w:rsidRPr="00FF4EBC">
        <w:rPr>
          <w:lang w:val="es-ES"/>
        </w:rPr>
        <w:t>GTC señalaron las siguientes consideraciones:</w:t>
      </w:r>
    </w:p>
    <w:p w14:paraId="074B4E26" w14:textId="77777777" w:rsidR="00FF4EBC" w:rsidRPr="00FF4EBC" w:rsidRDefault="00FF4EBC" w:rsidP="00471997">
      <w:pPr>
        <w:pStyle w:val="enumlev1"/>
        <w:jc w:val="both"/>
        <w:rPr>
          <w:lang w:val="es-ES"/>
        </w:rPr>
      </w:pPr>
      <w:r w:rsidRPr="00FF4EBC">
        <w:rPr>
          <w:lang w:val="es-ES"/>
        </w:rPr>
        <w:t>–</w:t>
      </w:r>
      <w:r w:rsidRPr="00FF4EBC">
        <w:rPr>
          <w:lang w:val="es-ES"/>
        </w:rPr>
        <w:tab/>
        <w:t>Necesidad de información adicional adecuada y detallada en las propuestas presentadas sobre la utilización de los recursos financieros de la UIT.</w:t>
      </w:r>
    </w:p>
    <w:p w14:paraId="6F01B2E3" w14:textId="77777777" w:rsidR="00FF4EBC" w:rsidRPr="00FF4EBC" w:rsidRDefault="00FF4EBC" w:rsidP="00471997">
      <w:pPr>
        <w:pStyle w:val="enumlev1"/>
        <w:jc w:val="both"/>
        <w:rPr>
          <w:lang w:val="es-ES"/>
        </w:rPr>
      </w:pPr>
      <w:r w:rsidRPr="00FF4EBC">
        <w:rPr>
          <w:lang w:val="es-ES"/>
        </w:rPr>
        <w:t>–</w:t>
      </w:r>
      <w:r w:rsidRPr="00FF4EBC">
        <w:rPr>
          <w:lang w:val="es-ES"/>
        </w:rPr>
        <w:tab/>
        <w:t>La necesidad de que la Secretaría aumente la eficiencia de las actividades de la UIT.</w:t>
      </w:r>
    </w:p>
    <w:p w14:paraId="2F389950" w14:textId="77777777" w:rsidR="00FF4EBC" w:rsidRPr="00FF4EBC" w:rsidRDefault="00FF4EBC" w:rsidP="00471997">
      <w:pPr>
        <w:pStyle w:val="enumlev1"/>
        <w:jc w:val="both"/>
        <w:rPr>
          <w:lang w:val="es-ES"/>
        </w:rPr>
      </w:pPr>
      <w:r w:rsidRPr="00FF4EBC">
        <w:rPr>
          <w:lang w:val="es-ES"/>
        </w:rPr>
        <w:t>–</w:t>
      </w:r>
      <w:r w:rsidRPr="00FF4EBC">
        <w:rPr>
          <w:lang w:val="es-ES"/>
        </w:rPr>
        <w:tab/>
        <w:t>Necesidad de que la UIT preste mayor atención a las actividades clave.</w:t>
      </w:r>
    </w:p>
    <w:p w14:paraId="295E6CCD" w14:textId="77777777" w:rsidR="00FF4EBC" w:rsidRPr="00FF4EBC" w:rsidRDefault="00FF4EBC" w:rsidP="00471997">
      <w:pPr>
        <w:pStyle w:val="enumlev1"/>
        <w:jc w:val="both"/>
        <w:rPr>
          <w:lang w:val="es-ES"/>
        </w:rPr>
      </w:pPr>
      <w:r w:rsidRPr="00FF4EBC">
        <w:rPr>
          <w:lang w:val="es-ES"/>
        </w:rPr>
        <w:t>–</w:t>
      </w:r>
      <w:r w:rsidRPr="00FF4EBC">
        <w:rPr>
          <w:lang w:val="es-ES"/>
        </w:rPr>
        <w:tab/>
        <w:t>La necesidad de movilizar recursos adicionales para cumplir el mandato de la UIT.</w:t>
      </w:r>
    </w:p>
    <w:p w14:paraId="2680CD0A" w14:textId="77777777" w:rsidR="00FF4EBC" w:rsidRPr="00FF4EBC" w:rsidRDefault="00FF4EBC" w:rsidP="00471997">
      <w:pPr>
        <w:pStyle w:val="enumlev1"/>
        <w:jc w:val="both"/>
        <w:rPr>
          <w:lang w:val="es-ES"/>
        </w:rPr>
      </w:pPr>
      <w:r w:rsidRPr="00FF4EBC">
        <w:rPr>
          <w:lang w:val="es-ES"/>
        </w:rPr>
        <w:t>–</w:t>
      </w:r>
      <w:r w:rsidRPr="00FF4EBC">
        <w:rPr>
          <w:lang w:val="es-ES"/>
        </w:rPr>
        <w:tab/>
        <w:t>Desafíos relacionados con el actual entorno financiero mundial.</w:t>
      </w:r>
    </w:p>
    <w:p w14:paraId="3646C6EF" w14:textId="26AC8A3F" w:rsidR="00FF4EBC" w:rsidRPr="00FF4EBC" w:rsidRDefault="00FF4EBC" w:rsidP="00471997">
      <w:pPr>
        <w:jc w:val="both"/>
        <w:rPr>
          <w:lang w:val="es-ES"/>
        </w:rPr>
      </w:pPr>
      <w:r w:rsidRPr="00FF4EBC">
        <w:rPr>
          <w:lang w:val="es-ES"/>
        </w:rPr>
        <w:t>5</w:t>
      </w:r>
      <w:r w:rsidRPr="00FF4EBC">
        <w:rPr>
          <w:lang w:val="es-ES"/>
        </w:rPr>
        <w:tab/>
        <w:t xml:space="preserve">Si bien la Secretaría considera que un aumento de la UC sigue siendo apropiado teniendo en cuenta la situación financiera de la UIT, la Secretaria General ha tomado nota de los comentarios y preocupaciones planteados por los delegados al GTC-PEF. Habida cuenta de estas preocupaciones, del actual entorno económico que afecta a los Estados Miembros y al sistema multilateral, así como de la consiguiente falta de apoyo a un aumento de la UC en este </w:t>
      </w:r>
      <w:r w:rsidRPr="00FF4EBC">
        <w:rPr>
          <w:lang w:val="es-ES"/>
        </w:rPr>
        <w:lastRenderedPageBreak/>
        <w:t>momento, la Secretaria General propone que la unidad contributiva se mantenga en el nivel actual de 318</w:t>
      </w:r>
      <w:r w:rsidR="00B07FFA">
        <w:rPr>
          <w:lang w:val="es-ES"/>
        </w:rPr>
        <w:t> </w:t>
      </w:r>
      <w:r w:rsidRPr="00FF4EBC">
        <w:rPr>
          <w:lang w:val="es-ES"/>
        </w:rPr>
        <w:t>000</w:t>
      </w:r>
      <w:r w:rsidR="00B07FFA">
        <w:rPr>
          <w:lang w:val="es-ES"/>
        </w:rPr>
        <w:t> </w:t>
      </w:r>
      <w:r w:rsidRPr="00FF4EBC">
        <w:rPr>
          <w:lang w:val="es-ES"/>
        </w:rPr>
        <w:t>CHF. Esto sentará una base clara para los debates sobre el Plan</w:t>
      </w:r>
      <w:r w:rsidR="00DD3276">
        <w:rPr>
          <w:lang w:val="es-ES"/>
        </w:rPr>
        <w:t> </w:t>
      </w:r>
      <w:r w:rsidRPr="00FF4EBC">
        <w:rPr>
          <w:lang w:val="es-ES"/>
        </w:rPr>
        <w:t>Estratégico y Financiero para 2028-2031 en todos los Estados Miembros y permitirá una preparación adecuada antes de la Conferencia de Plenipotenciarios de 2026. Cabe señalar que, en ausencia de un aumento de la UC, la dotación financiera para el Plan Estratégico de la Unión se basará en la disminución de los ingresos y el aumento de los costes. En las reuniones del GTC-PEF celebradas en febrero, los delegados consideraron que debía elaborarse una metodología clara que permitiera considerar en el futuro cambios en la CU. La Secretaría considera que sería un ejercicio valioso, ya que aportaría una mayor estabilidad a los procesos de planificación y presupuestación de la UIT.</w:t>
      </w:r>
    </w:p>
    <w:p w14:paraId="544A918B" w14:textId="7B492610" w:rsidR="00FF4EBC" w:rsidRPr="00FF4EBC" w:rsidRDefault="00FF4EBC" w:rsidP="00C019E6">
      <w:pPr>
        <w:jc w:val="both"/>
        <w:rPr>
          <w:lang w:val="es-ES"/>
        </w:rPr>
      </w:pPr>
      <w:r w:rsidRPr="00FF4EBC">
        <w:rPr>
          <w:lang w:val="es-ES"/>
        </w:rPr>
        <w:t>6</w:t>
      </w:r>
      <w:r w:rsidRPr="00FF4EBC">
        <w:rPr>
          <w:lang w:val="es-ES"/>
        </w:rPr>
        <w:tab/>
        <w:t>Una vez que el Consejo haya aprobado el importe provisional de la unidad contributiva, la Secretaria General enviará una carta a todos los Estados Miembros invitándoles a anunciar su elección provisional de la clase de contribución para el periodo</w:t>
      </w:r>
      <w:r w:rsidR="00B07FFA">
        <w:rPr>
          <w:lang w:val="es-ES"/>
        </w:rPr>
        <w:t> </w:t>
      </w:r>
      <w:r w:rsidRPr="00FF4EBC">
        <w:rPr>
          <w:lang w:val="es-ES"/>
        </w:rPr>
        <w:t>2028-2031 antes del 31 de diciembre de 2025.</w:t>
      </w:r>
    </w:p>
    <w:p w14:paraId="4BBE6FB7" w14:textId="29012BEA" w:rsidR="00FF4EBC" w:rsidRPr="00FF4EBC" w:rsidRDefault="00FF4EBC" w:rsidP="00C019E6">
      <w:pPr>
        <w:jc w:val="both"/>
        <w:rPr>
          <w:lang w:val="es-ES"/>
        </w:rPr>
      </w:pPr>
      <w:r w:rsidRPr="00FF4EBC">
        <w:rPr>
          <w:lang w:val="es-ES"/>
        </w:rPr>
        <w:t>7</w:t>
      </w:r>
      <w:r w:rsidRPr="00FF4EBC">
        <w:rPr>
          <w:lang w:val="es-ES"/>
        </w:rPr>
        <w:tab/>
        <w:t>Se espera que la Conferencia de Plenipotenciarios de 2026 establezca el marco y las directrices con arreglo a los cuales se elaborarán los dos presupuestos bienales para 2028</w:t>
      </w:r>
      <w:r w:rsidR="00E2325C">
        <w:rPr>
          <w:lang w:val="es-ES"/>
        </w:rPr>
        <w:noBreakHyphen/>
      </w:r>
      <w:r w:rsidRPr="00FF4EBC">
        <w:rPr>
          <w:lang w:val="es-ES"/>
        </w:rPr>
        <w:t>2029 y 2030-2031.</w:t>
      </w:r>
    </w:p>
    <w:p w14:paraId="63D0A0BC" w14:textId="77777777" w:rsidR="00FF4EBC" w:rsidRPr="00FF4EBC" w:rsidRDefault="00FF4EBC" w:rsidP="00C019E6">
      <w:pPr>
        <w:jc w:val="both"/>
        <w:rPr>
          <w:lang w:val="es-ES"/>
        </w:rPr>
      </w:pPr>
      <w:bookmarkStart w:id="2" w:name="_Hlk68691388"/>
      <w:bookmarkStart w:id="3" w:name="_Hlk68691419"/>
      <w:r w:rsidRPr="00FF4EBC">
        <w:rPr>
          <w:lang w:val="es-ES"/>
        </w:rPr>
        <w:t>8</w:t>
      </w:r>
      <w:r w:rsidRPr="00FF4EBC">
        <w:rPr>
          <w:lang w:val="es-ES"/>
        </w:rPr>
        <w:tab/>
        <w:t>El proyecto de Plan Financiero para 2028-2031 se presentará y debatirá en la reunión del GTC-PEF de 2026.</w:t>
      </w:r>
      <w:bookmarkEnd w:id="2"/>
    </w:p>
    <w:bookmarkEnd w:id="3"/>
    <w:p w14:paraId="55B343A8" w14:textId="77777777" w:rsidR="00FF4EBC" w:rsidRPr="00FF4EBC" w:rsidRDefault="00FF4EBC" w:rsidP="00C019E6">
      <w:pPr>
        <w:jc w:val="both"/>
        <w:rPr>
          <w:lang w:val="es-ES"/>
        </w:rPr>
      </w:pPr>
      <w:r w:rsidRPr="00FF4EBC">
        <w:rPr>
          <w:lang w:val="es-ES"/>
        </w:rPr>
        <w:t>9</w:t>
      </w:r>
      <w:r w:rsidRPr="00FF4EBC">
        <w:rPr>
          <w:lang w:val="es-ES"/>
        </w:rPr>
        <w:tab/>
        <w:t xml:space="preserve">En el </w:t>
      </w:r>
      <w:hyperlink w:anchor="Annex1" w:history="1">
        <w:r w:rsidRPr="00FF4EBC">
          <w:rPr>
            <w:rStyle w:val="Hyperlink"/>
            <w:lang w:val="es-ES"/>
          </w:rPr>
          <w:t>Anexo 1</w:t>
        </w:r>
      </w:hyperlink>
      <w:r w:rsidRPr="00FF4EBC">
        <w:rPr>
          <w:lang w:val="es-ES"/>
        </w:rPr>
        <w:t xml:space="preserve"> figura la situación actual de las clases de contribución elegidas por los Estados Miembros.</w:t>
      </w:r>
    </w:p>
    <w:p w14:paraId="59376B6E" w14:textId="6E26BBF5" w:rsidR="00FF4EBC" w:rsidRPr="00FF4EBC" w:rsidRDefault="00FF4EBC" w:rsidP="00C019E6">
      <w:pPr>
        <w:jc w:val="both"/>
        <w:rPr>
          <w:lang w:val="es-ES"/>
        </w:rPr>
      </w:pPr>
      <w:r w:rsidRPr="00FF4EBC">
        <w:rPr>
          <w:lang w:val="es-ES"/>
        </w:rPr>
        <w:t>10</w:t>
      </w:r>
      <w:r w:rsidRPr="00FF4EBC">
        <w:rPr>
          <w:lang w:val="es-ES"/>
        </w:rPr>
        <w:tab/>
        <w:t xml:space="preserve">En el </w:t>
      </w:r>
      <w:hyperlink w:anchor="Annex2" w:history="1">
        <w:r w:rsidRPr="00FF4EBC">
          <w:rPr>
            <w:rStyle w:val="Hyperlink"/>
            <w:lang w:val="es-ES"/>
          </w:rPr>
          <w:t>Anexo 2</w:t>
        </w:r>
      </w:hyperlink>
      <w:r w:rsidRPr="00FF4EBC">
        <w:rPr>
          <w:lang w:val="es-ES"/>
        </w:rPr>
        <w:t xml:space="preserve"> se muestra la evolución de las unidades contributivas elegidas por los</w:t>
      </w:r>
      <w:r w:rsidR="00B07FFA">
        <w:rPr>
          <w:lang w:val="es-ES"/>
        </w:rPr>
        <w:t> </w:t>
      </w:r>
      <w:r w:rsidRPr="00FF4EBC">
        <w:rPr>
          <w:lang w:val="es-ES"/>
        </w:rPr>
        <w:t>Miembros de Sector y la evolución del número de Asociados e instituciones académicas entre la última Conferencia de Plenipotenciarios (Bucarest, 2022) y la situación actual.</w:t>
      </w:r>
    </w:p>
    <w:p w14:paraId="3E214E47" w14:textId="77777777" w:rsidR="00FF4EBC" w:rsidRPr="00FF4EBC" w:rsidRDefault="00FF4EBC" w:rsidP="00C019E6">
      <w:pPr>
        <w:spacing w:before="2400"/>
        <w:rPr>
          <w:i/>
          <w:iCs/>
          <w:lang w:val="en-GB"/>
        </w:rPr>
      </w:pPr>
      <w:r w:rsidRPr="00FF4EBC">
        <w:rPr>
          <w:b/>
          <w:bCs/>
          <w:i/>
          <w:iCs/>
          <w:lang w:val="es-ES"/>
        </w:rPr>
        <w:t>Anexos</w:t>
      </w:r>
      <w:r w:rsidRPr="00FF4EBC">
        <w:rPr>
          <w:i/>
          <w:iCs/>
          <w:lang w:val="es-ES"/>
        </w:rPr>
        <w:t>: 2</w:t>
      </w:r>
    </w:p>
    <w:p w14:paraId="1EC4C22D" w14:textId="77777777" w:rsidR="00FF4EBC" w:rsidRPr="00FF4EBC" w:rsidRDefault="00FF4EBC" w:rsidP="00FF4EBC">
      <w:pPr>
        <w:rPr>
          <w:lang w:val="en-GB"/>
        </w:rPr>
      </w:pPr>
      <w:r w:rsidRPr="00FF4EBC">
        <w:rPr>
          <w:lang w:val="en-GB"/>
        </w:rPr>
        <w:br w:type="page"/>
      </w:r>
    </w:p>
    <w:p w14:paraId="7D59FDA7" w14:textId="77777777" w:rsidR="00FF4EBC" w:rsidRPr="00FF4EBC" w:rsidRDefault="00FF4EBC" w:rsidP="00E2325C">
      <w:pPr>
        <w:pStyle w:val="AnnexNo"/>
        <w:spacing w:after="120"/>
        <w:rPr>
          <w:lang w:val="en-GB"/>
        </w:rPr>
      </w:pPr>
      <w:bookmarkStart w:id="4" w:name="Annex1"/>
      <w:bookmarkEnd w:id="4"/>
      <w:r w:rsidRPr="00FF4EBC">
        <w:rPr>
          <w:lang w:val="es-ES"/>
        </w:rPr>
        <w:lastRenderedPageBreak/>
        <w:t>ANEXO 1</w:t>
      </w:r>
    </w:p>
    <w:tbl>
      <w:tblPr>
        <w:tblW w:w="6080" w:type="dxa"/>
        <w:jc w:val="center"/>
        <w:tblLayout w:type="fixed"/>
        <w:tblLook w:val="04A0" w:firstRow="1" w:lastRow="0" w:firstColumn="1" w:lastColumn="0" w:noHBand="0" w:noVBand="1"/>
      </w:tblPr>
      <w:tblGrid>
        <w:gridCol w:w="4180"/>
        <w:gridCol w:w="1900"/>
      </w:tblGrid>
      <w:tr w:rsidR="00FF4EBC" w:rsidRPr="00FF4EBC" w14:paraId="5D073EFB" w14:textId="77777777" w:rsidTr="009C3A7D">
        <w:trPr>
          <w:cantSplit/>
          <w:tblHeader/>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4F08D" w14:textId="77777777" w:rsidR="00FF4EBC" w:rsidRPr="00FF4EBC" w:rsidRDefault="00FF4EBC" w:rsidP="00B07FFA">
            <w:pPr>
              <w:pStyle w:val="Tablehead"/>
              <w:jc w:val="left"/>
              <w:rPr>
                <w:lang w:val="en-GB"/>
              </w:rPr>
            </w:pPr>
            <w:r w:rsidRPr="00FF4EBC">
              <w:rPr>
                <w:lang w:val="es-ES"/>
              </w:rPr>
              <w:t>Estados Miembros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CEE85" w14:textId="77777777" w:rsidR="00FF4EBC" w:rsidRPr="00FF4EBC" w:rsidRDefault="00FF4EBC" w:rsidP="00C019E6">
            <w:pPr>
              <w:pStyle w:val="Tablehead"/>
              <w:rPr>
                <w:lang w:val="en-GB"/>
              </w:rPr>
            </w:pPr>
            <w:r w:rsidRPr="00FF4EBC">
              <w:rPr>
                <w:lang w:val="es-ES"/>
              </w:rPr>
              <w:t>Número de unidades a 28/02/2025</w:t>
            </w:r>
          </w:p>
        </w:tc>
      </w:tr>
      <w:tr w:rsidR="00FF4EBC" w:rsidRPr="00FF4EBC" w14:paraId="656709E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8658D58" w14:textId="77777777" w:rsidR="00FF4EBC" w:rsidRPr="00FF4EBC" w:rsidRDefault="00FF4EBC" w:rsidP="00B07FFA">
            <w:pPr>
              <w:pStyle w:val="Tabletext"/>
              <w:rPr>
                <w:lang w:val="en-GB"/>
              </w:rPr>
            </w:pPr>
            <w:r w:rsidRPr="00FF4EBC">
              <w:rPr>
                <w:lang w:val="es-ES"/>
              </w:rPr>
              <w:t>Afganistán</w:t>
            </w:r>
          </w:p>
        </w:tc>
        <w:tc>
          <w:tcPr>
            <w:tcW w:w="1900" w:type="dxa"/>
            <w:tcBorders>
              <w:top w:val="nil"/>
              <w:left w:val="single" w:sz="4" w:space="0" w:color="auto"/>
              <w:bottom w:val="nil"/>
              <w:right w:val="single" w:sz="4" w:space="0" w:color="auto"/>
            </w:tcBorders>
            <w:shd w:val="clear" w:color="000000" w:fill="FFFFFF"/>
            <w:noWrap/>
            <w:vAlign w:val="bottom"/>
            <w:hideMark/>
          </w:tcPr>
          <w:p w14:paraId="4AEC46DB" w14:textId="77777777" w:rsidR="00FF4EBC" w:rsidRPr="00FF4EBC" w:rsidRDefault="00FF4EBC" w:rsidP="00C019E6">
            <w:pPr>
              <w:pStyle w:val="Tabletext"/>
              <w:jc w:val="center"/>
              <w:rPr>
                <w:lang w:val="en-GB"/>
              </w:rPr>
            </w:pPr>
            <w:r w:rsidRPr="00FF4EBC">
              <w:rPr>
                <w:lang w:val="es-ES"/>
              </w:rPr>
              <w:t>1/16</w:t>
            </w:r>
          </w:p>
        </w:tc>
      </w:tr>
      <w:tr w:rsidR="00FF4EBC" w:rsidRPr="00FF4EBC" w14:paraId="6965909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CF32A7F" w14:textId="0C769930" w:rsidR="00FF4EBC" w:rsidRPr="00FF4EBC" w:rsidRDefault="00FF4EBC" w:rsidP="00B07FFA">
            <w:pPr>
              <w:pStyle w:val="Tabletext"/>
              <w:rPr>
                <w:lang w:val="en-GB"/>
              </w:rPr>
            </w:pPr>
            <w:r w:rsidRPr="00FF4EBC">
              <w:rPr>
                <w:lang w:val="es-ES"/>
              </w:rPr>
              <w:t>Albania</w:t>
            </w:r>
          </w:p>
        </w:tc>
        <w:tc>
          <w:tcPr>
            <w:tcW w:w="1900" w:type="dxa"/>
            <w:tcBorders>
              <w:top w:val="nil"/>
              <w:left w:val="single" w:sz="4" w:space="0" w:color="auto"/>
              <w:bottom w:val="nil"/>
              <w:right w:val="single" w:sz="4" w:space="0" w:color="auto"/>
            </w:tcBorders>
            <w:shd w:val="clear" w:color="000000" w:fill="FFFFFF"/>
            <w:noWrap/>
            <w:vAlign w:val="bottom"/>
            <w:hideMark/>
          </w:tcPr>
          <w:p w14:paraId="57B22C97" w14:textId="77777777" w:rsidR="00FF4EBC" w:rsidRPr="00FF4EBC" w:rsidRDefault="00FF4EBC" w:rsidP="00C019E6">
            <w:pPr>
              <w:pStyle w:val="Tabletext"/>
              <w:jc w:val="center"/>
              <w:rPr>
                <w:lang w:val="en-GB"/>
              </w:rPr>
            </w:pPr>
            <w:r w:rsidRPr="00FF4EBC">
              <w:rPr>
                <w:lang w:val="es-ES"/>
              </w:rPr>
              <w:t>1/4</w:t>
            </w:r>
          </w:p>
        </w:tc>
      </w:tr>
      <w:tr w:rsidR="00FF4EBC" w:rsidRPr="00FF4EBC" w14:paraId="4BBE034F"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869EF96" w14:textId="77777777" w:rsidR="00FF4EBC" w:rsidRPr="00FF4EBC" w:rsidRDefault="00FF4EBC" w:rsidP="00B07FFA">
            <w:pPr>
              <w:pStyle w:val="Tabletext"/>
              <w:rPr>
                <w:lang w:val="en-GB"/>
              </w:rPr>
            </w:pPr>
            <w:r w:rsidRPr="00FF4EBC">
              <w:rPr>
                <w:lang w:val="es-ES"/>
              </w:rPr>
              <w:t>Argelia</w:t>
            </w:r>
          </w:p>
        </w:tc>
        <w:tc>
          <w:tcPr>
            <w:tcW w:w="1900" w:type="dxa"/>
            <w:tcBorders>
              <w:top w:val="nil"/>
              <w:left w:val="single" w:sz="4" w:space="0" w:color="auto"/>
              <w:bottom w:val="nil"/>
              <w:right w:val="single" w:sz="4" w:space="0" w:color="auto"/>
            </w:tcBorders>
            <w:shd w:val="clear" w:color="000000" w:fill="FFFFFF"/>
            <w:noWrap/>
            <w:vAlign w:val="bottom"/>
            <w:hideMark/>
          </w:tcPr>
          <w:p w14:paraId="131946CE" w14:textId="77777777" w:rsidR="00FF4EBC" w:rsidRPr="00FF4EBC" w:rsidRDefault="00FF4EBC" w:rsidP="00C019E6">
            <w:pPr>
              <w:pStyle w:val="Tabletext"/>
              <w:jc w:val="center"/>
              <w:rPr>
                <w:lang w:val="en-GB"/>
              </w:rPr>
            </w:pPr>
            <w:r w:rsidRPr="00FF4EBC">
              <w:rPr>
                <w:lang w:val="es-ES"/>
              </w:rPr>
              <w:t>1</w:t>
            </w:r>
          </w:p>
        </w:tc>
      </w:tr>
      <w:tr w:rsidR="00FF4EBC" w:rsidRPr="00FF4EBC" w14:paraId="46FE454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391C98F" w14:textId="77777777" w:rsidR="00FF4EBC" w:rsidRPr="00FF4EBC" w:rsidRDefault="00FF4EBC" w:rsidP="00B07FFA">
            <w:pPr>
              <w:pStyle w:val="Tabletext"/>
              <w:rPr>
                <w:lang w:val="en-GB"/>
              </w:rPr>
            </w:pPr>
            <w:r w:rsidRPr="00FF4EBC">
              <w:rPr>
                <w:lang w:val="es-ES"/>
              </w:rPr>
              <w:t>Andorra</w:t>
            </w:r>
          </w:p>
        </w:tc>
        <w:tc>
          <w:tcPr>
            <w:tcW w:w="1900" w:type="dxa"/>
            <w:tcBorders>
              <w:top w:val="nil"/>
              <w:left w:val="single" w:sz="4" w:space="0" w:color="auto"/>
              <w:bottom w:val="nil"/>
              <w:right w:val="single" w:sz="4" w:space="0" w:color="auto"/>
            </w:tcBorders>
            <w:shd w:val="clear" w:color="000000" w:fill="FFFFFF"/>
            <w:noWrap/>
            <w:vAlign w:val="bottom"/>
            <w:hideMark/>
          </w:tcPr>
          <w:p w14:paraId="1AEE6751" w14:textId="77777777" w:rsidR="00FF4EBC" w:rsidRPr="00FF4EBC" w:rsidRDefault="00FF4EBC" w:rsidP="00C019E6">
            <w:pPr>
              <w:pStyle w:val="Tabletext"/>
              <w:jc w:val="center"/>
              <w:rPr>
                <w:lang w:val="en-GB"/>
              </w:rPr>
            </w:pPr>
            <w:r w:rsidRPr="00FF4EBC">
              <w:rPr>
                <w:lang w:val="es-ES"/>
              </w:rPr>
              <w:t>1/4</w:t>
            </w:r>
          </w:p>
        </w:tc>
      </w:tr>
      <w:tr w:rsidR="00FF4EBC" w:rsidRPr="00FF4EBC" w14:paraId="1670163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3B466C6" w14:textId="77777777" w:rsidR="00FF4EBC" w:rsidRPr="00FF4EBC" w:rsidRDefault="00FF4EBC" w:rsidP="00B07FFA">
            <w:pPr>
              <w:pStyle w:val="Tabletext"/>
              <w:rPr>
                <w:lang w:val="en-GB"/>
              </w:rPr>
            </w:pPr>
            <w:r w:rsidRPr="00FF4EBC">
              <w:rPr>
                <w:lang w:val="es-ES"/>
              </w:rPr>
              <w:t>Angola</w:t>
            </w:r>
          </w:p>
        </w:tc>
        <w:tc>
          <w:tcPr>
            <w:tcW w:w="1900" w:type="dxa"/>
            <w:tcBorders>
              <w:top w:val="nil"/>
              <w:left w:val="single" w:sz="4" w:space="0" w:color="auto"/>
              <w:bottom w:val="nil"/>
              <w:right w:val="single" w:sz="4" w:space="0" w:color="auto"/>
            </w:tcBorders>
            <w:shd w:val="clear" w:color="000000" w:fill="FFFFFF"/>
            <w:noWrap/>
            <w:vAlign w:val="bottom"/>
            <w:hideMark/>
          </w:tcPr>
          <w:p w14:paraId="5AD77353" w14:textId="77777777" w:rsidR="00FF4EBC" w:rsidRPr="00FF4EBC" w:rsidRDefault="00FF4EBC" w:rsidP="00C019E6">
            <w:pPr>
              <w:pStyle w:val="Tabletext"/>
              <w:jc w:val="center"/>
              <w:rPr>
                <w:lang w:val="en-GB"/>
              </w:rPr>
            </w:pPr>
            <w:r w:rsidRPr="00FF4EBC">
              <w:rPr>
                <w:lang w:val="en-GB"/>
              </w:rPr>
              <w:t>1/8</w:t>
            </w:r>
          </w:p>
        </w:tc>
      </w:tr>
      <w:tr w:rsidR="00FF4EBC" w:rsidRPr="00FF4EBC" w14:paraId="23DBEEC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511E8E4" w14:textId="77777777" w:rsidR="00FF4EBC" w:rsidRPr="00FF4EBC" w:rsidRDefault="00FF4EBC" w:rsidP="00B07FFA">
            <w:pPr>
              <w:pStyle w:val="Tabletext"/>
              <w:rPr>
                <w:lang w:val="en-GB"/>
              </w:rPr>
            </w:pPr>
            <w:r w:rsidRPr="00FF4EBC">
              <w:rPr>
                <w:lang w:val="es-ES"/>
              </w:rPr>
              <w:t>Antigua y Barbuda</w:t>
            </w:r>
          </w:p>
        </w:tc>
        <w:tc>
          <w:tcPr>
            <w:tcW w:w="1900" w:type="dxa"/>
            <w:tcBorders>
              <w:top w:val="nil"/>
              <w:left w:val="single" w:sz="4" w:space="0" w:color="auto"/>
              <w:bottom w:val="nil"/>
              <w:right w:val="single" w:sz="4" w:space="0" w:color="auto"/>
            </w:tcBorders>
            <w:shd w:val="clear" w:color="000000" w:fill="FFFFFF"/>
            <w:noWrap/>
            <w:vAlign w:val="bottom"/>
            <w:hideMark/>
          </w:tcPr>
          <w:p w14:paraId="7B205EA6" w14:textId="77777777" w:rsidR="00FF4EBC" w:rsidRPr="00FF4EBC" w:rsidRDefault="00FF4EBC" w:rsidP="00C019E6">
            <w:pPr>
              <w:pStyle w:val="Tabletext"/>
              <w:jc w:val="center"/>
              <w:rPr>
                <w:lang w:val="en-GB"/>
              </w:rPr>
            </w:pPr>
            <w:r w:rsidRPr="00FF4EBC">
              <w:rPr>
                <w:lang w:val="es-ES"/>
              </w:rPr>
              <w:t>1/16</w:t>
            </w:r>
          </w:p>
        </w:tc>
      </w:tr>
      <w:tr w:rsidR="00FF4EBC" w:rsidRPr="00FF4EBC" w14:paraId="2AC26FA5"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763440B" w14:textId="77777777" w:rsidR="00FF4EBC" w:rsidRPr="00FF4EBC" w:rsidRDefault="00FF4EBC" w:rsidP="00B07FFA">
            <w:pPr>
              <w:pStyle w:val="Tabletext"/>
              <w:rPr>
                <w:lang w:val="en-GB"/>
              </w:rPr>
            </w:pPr>
            <w:r w:rsidRPr="00FF4EBC">
              <w:rPr>
                <w:lang w:val="es-ES"/>
              </w:rPr>
              <w:t>Argentina</w:t>
            </w:r>
          </w:p>
        </w:tc>
        <w:tc>
          <w:tcPr>
            <w:tcW w:w="1900" w:type="dxa"/>
            <w:tcBorders>
              <w:top w:val="nil"/>
              <w:left w:val="single" w:sz="4" w:space="0" w:color="auto"/>
              <w:bottom w:val="nil"/>
              <w:right w:val="single" w:sz="4" w:space="0" w:color="auto"/>
            </w:tcBorders>
            <w:shd w:val="clear" w:color="000000" w:fill="FFFFFF"/>
            <w:noWrap/>
            <w:vAlign w:val="bottom"/>
            <w:hideMark/>
          </w:tcPr>
          <w:p w14:paraId="46364358" w14:textId="77777777" w:rsidR="00FF4EBC" w:rsidRPr="00FF4EBC" w:rsidRDefault="00FF4EBC" w:rsidP="00C019E6">
            <w:pPr>
              <w:pStyle w:val="Tabletext"/>
              <w:jc w:val="center"/>
              <w:rPr>
                <w:lang w:val="en-GB"/>
              </w:rPr>
            </w:pPr>
            <w:r w:rsidRPr="00FF4EBC">
              <w:rPr>
                <w:lang w:val="es-ES"/>
              </w:rPr>
              <w:t>1/2</w:t>
            </w:r>
          </w:p>
        </w:tc>
      </w:tr>
      <w:tr w:rsidR="00FF4EBC" w:rsidRPr="00FF4EBC" w14:paraId="133DDFC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041DD45" w14:textId="6526AE3D" w:rsidR="00FF4EBC" w:rsidRPr="00FF4EBC" w:rsidRDefault="00FF4EBC" w:rsidP="00B07FFA">
            <w:pPr>
              <w:pStyle w:val="Tabletext"/>
              <w:rPr>
                <w:lang w:val="en-GB"/>
              </w:rPr>
            </w:pPr>
            <w:r w:rsidRPr="00FF4EBC">
              <w:rPr>
                <w:lang w:val="es-ES"/>
              </w:rPr>
              <w:t>Armenia</w:t>
            </w:r>
          </w:p>
        </w:tc>
        <w:tc>
          <w:tcPr>
            <w:tcW w:w="1900" w:type="dxa"/>
            <w:tcBorders>
              <w:top w:val="nil"/>
              <w:left w:val="single" w:sz="4" w:space="0" w:color="auto"/>
              <w:bottom w:val="nil"/>
              <w:right w:val="single" w:sz="4" w:space="0" w:color="auto"/>
            </w:tcBorders>
            <w:shd w:val="clear" w:color="000000" w:fill="FFFFFF"/>
            <w:noWrap/>
            <w:vAlign w:val="bottom"/>
            <w:hideMark/>
          </w:tcPr>
          <w:p w14:paraId="79D248C0" w14:textId="77777777" w:rsidR="00FF4EBC" w:rsidRPr="00FF4EBC" w:rsidRDefault="00FF4EBC" w:rsidP="00C019E6">
            <w:pPr>
              <w:pStyle w:val="Tabletext"/>
              <w:jc w:val="center"/>
              <w:rPr>
                <w:lang w:val="en-GB"/>
              </w:rPr>
            </w:pPr>
            <w:r w:rsidRPr="00FF4EBC">
              <w:rPr>
                <w:lang w:val="es-ES"/>
              </w:rPr>
              <w:t>1/4</w:t>
            </w:r>
          </w:p>
        </w:tc>
      </w:tr>
      <w:tr w:rsidR="00FF4EBC" w:rsidRPr="00FF4EBC" w14:paraId="6DDDB60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7BF4224" w14:textId="77777777" w:rsidR="00FF4EBC" w:rsidRPr="00FF4EBC" w:rsidRDefault="00FF4EBC" w:rsidP="00B07FFA">
            <w:pPr>
              <w:pStyle w:val="Tabletext"/>
              <w:rPr>
                <w:lang w:val="en-GB"/>
              </w:rPr>
            </w:pPr>
            <w:r w:rsidRPr="00FF4EBC">
              <w:rPr>
                <w:lang w:val="es-ES"/>
              </w:rPr>
              <w:t xml:space="preserve">Australia </w:t>
            </w:r>
          </w:p>
        </w:tc>
        <w:tc>
          <w:tcPr>
            <w:tcW w:w="1900" w:type="dxa"/>
            <w:tcBorders>
              <w:top w:val="nil"/>
              <w:left w:val="single" w:sz="4" w:space="0" w:color="auto"/>
              <w:bottom w:val="nil"/>
              <w:right w:val="single" w:sz="4" w:space="0" w:color="auto"/>
            </w:tcBorders>
            <w:shd w:val="clear" w:color="000000" w:fill="FFFFFF"/>
            <w:noWrap/>
            <w:vAlign w:val="bottom"/>
            <w:hideMark/>
          </w:tcPr>
          <w:p w14:paraId="0F593F4A" w14:textId="77777777" w:rsidR="00FF4EBC" w:rsidRPr="00FF4EBC" w:rsidRDefault="00FF4EBC" w:rsidP="00C019E6">
            <w:pPr>
              <w:pStyle w:val="Tabletext"/>
              <w:jc w:val="center"/>
              <w:rPr>
                <w:lang w:val="en-GB"/>
              </w:rPr>
            </w:pPr>
            <w:r w:rsidRPr="00FF4EBC">
              <w:rPr>
                <w:lang w:val="es-ES"/>
              </w:rPr>
              <w:t>13</w:t>
            </w:r>
          </w:p>
        </w:tc>
      </w:tr>
      <w:tr w:rsidR="00FF4EBC" w:rsidRPr="00FF4EBC" w14:paraId="5C5F95B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D9DE517" w14:textId="77777777" w:rsidR="00FF4EBC" w:rsidRPr="00FF4EBC" w:rsidRDefault="00FF4EBC" w:rsidP="00B07FFA">
            <w:pPr>
              <w:pStyle w:val="Tabletext"/>
              <w:rPr>
                <w:lang w:val="en-GB"/>
              </w:rPr>
            </w:pPr>
            <w:r w:rsidRPr="00FF4EBC">
              <w:rPr>
                <w:lang w:val="es-ES"/>
              </w:rPr>
              <w:t>Austria</w:t>
            </w:r>
          </w:p>
        </w:tc>
        <w:tc>
          <w:tcPr>
            <w:tcW w:w="1900" w:type="dxa"/>
            <w:tcBorders>
              <w:top w:val="nil"/>
              <w:left w:val="single" w:sz="4" w:space="0" w:color="auto"/>
              <w:bottom w:val="nil"/>
              <w:right w:val="single" w:sz="4" w:space="0" w:color="auto"/>
            </w:tcBorders>
            <w:shd w:val="clear" w:color="000000" w:fill="FFFFFF"/>
            <w:noWrap/>
            <w:vAlign w:val="bottom"/>
            <w:hideMark/>
          </w:tcPr>
          <w:p w14:paraId="5D6A9193" w14:textId="77777777" w:rsidR="00FF4EBC" w:rsidRPr="00FF4EBC" w:rsidRDefault="00FF4EBC" w:rsidP="00C019E6">
            <w:pPr>
              <w:pStyle w:val="Tabletext"/>
              <w:jc w:val="center"/>
              <w:rPr>
                <w:lang w:val="en-GB"/>
              </w:rPr>
            </w:pPr>
            <w:r w:rsidRPr="00FF4EBC">
              <w:rPr>
                <w:lang w:val="es-ES"/>
              </w:rPr>
              <w:t>1</w:t>
            </w:r>
          </w:p>
        </w:tc>
      </w:tr>
      <w:tr w:rsidR="00FF4EBC" w:rsidRPr="00FF4EBC" w14:paraId="3A14C717"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A002543" w14:textId="77777777" w:rsidR="00FF4EBC" w:rsidRPr="00FF4EBC" w:rsidRDefault="00FF4EBC" w:rsidP="00B07FFA">
            <w:pPr>
              <w:pStyle w:val="Tabletext"/>
              <w:rPr>
                <w:lang w:val="en-GB"/>
              </w:rPr>
            </w:pPr>
            <w:r w:rsidRPr="00FF4EBC">
              <w:rPr>
                <w:lang w:val="es-ES"/>
              </w:rPr>
              <w:t>Azerbaiyán</w:t>
            </w:r>
          </w:p>
        </w:tc>
        <w:tc>
          <w:tcPr>
            <w:tcW w:w="1900" w:type="dxa"/>
            <w:tcBorders>
              <w:top w:val="nil"/>
              <w:left w:val="single" w:sz="4" w:space="0" w:color="auto"/>
              <w:bottom w:val="nil"/>
              <w:right w:val="single" w:sz="4" w:space="0" w:color="auto"/>
            </w:tcBorders>
            <w:shd w:val="clear" w:color="000000" w:fill="FFFFFF"/>
            <w:noWrap/>
            <w:vAlign w:val="bottom"/>
            <w:hideMark/>
          </w:tcPr>
          <w:p w14:paraId="52A25E9E" w14:textId="77777777" w:rsidR="00FF4EBC" w:rsidRPr="00FF4EBC" w:rsidRDefault="00FF4EBC" w:rsidP="00C019E6">
            <w:pPr>
              <w:pStyle w:val="Tabletext"/>
              <w:jc w:val="center"/>
              <w:rPr>
                <w:lang w:val="en-GB"/>
              </w:rPr>
            </w:pPr>
            <w:r w:rsidRPr="00FF4EBC">
              <w:rPr>
                <w:lang w:val="es-ES"/>
              </w:rPr>
              <w:t>1</w:t>
            </w:r>
          </w:p>
        </w:tc>
      </w:tr>
      <w:tr w:rsidR="00FF4EBC" w:rsidRPr="00FF4EBC" w14:paraId="370B5BBF"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A268237" w14:textId="77777777" w:rsidR="00FF4EBC" w:rsidRPr="00FF4EBC" w:rsidRDefault="00FF4EBC" w:rsidP="00B07FFA">
            <w:pPr>
              <w:pStyle w:val="Tabletext"/>
              <w:rPr>
                <w:lang w:val="en-GB"/>
              </w:rPr>
            </w:pPr>
            <w:r w:rsidRPr="00FF4EBC">
              <w:rPr>
                <w:lang w:val="es-ES"/>
              </w:rPr>
              <w:t xml:space="preserve">Bahamas </w:t>
            </w:r>
          </w:p>
        </w:tc>
        <w:tc>
          <w:tcPr>
            <w:tcW w:w="1900" w:type="dxa"/>
            <w:tcBorders>
              <w:top w:val="nil"/>
              <w:left w:val="single" w:sz="4" w:space="0" w:color="auto"/>
              <w:bottom w:val="nil"/>
              <w:right w:val="single" w:sz="4" w:space="0" w:color="auto"/>
            </w:tcBorders>
            <w:shd w:val="clear" w:color="000000" w:fill="FFFFFF"/>
            <w:noWrap/>
            <w:vAlign w:val="bottom"/>
            <w:hideMark/>
          </w:tcPr>
          <w:p w14:paraId="425E4F0C" w14:textId="77777777" w:rsidR="00FF4EBC" w:rsidRPr="00FF4EBC" w:rsidRDefault="00FF4EBC" w:rsidP="00C019E6">
            <w:pPr>
              <w:pStyle w:val="Tabletext"/>
              <w:jc w:val="center"/>
              <w:rPr>
                <w:lang w:val="en-GB"/>
              </w:rPr>
            </w:pPr>
            <w:r w:rsidRPr="00FF4EBC">
              <w:rPr>
                <w:lang w:val="es-ES"/>
              </w:rPr>
              <w:t>1/4</w:t>
            </w:r>
          </w:p>
        </w:tc>
      </w:tr>
      <w:tr w:rsidR="00FF4EBC" w:rsidRPr="00FF4EBC" w14:paraId="2041787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9CB86CD" w14:textId="026A4BFA" w:rsidR="00FF4EBC" w:rsidRPr="00FF4EBC" w:rsidRDefault="00FF4EBC" w:rsidP="00B07FFA">
            <w:pPr>
              <w:pStyle w:val="Tabletext"/>
              <w:rPr>
                <w:lang w:val="en-GB"/>
              </w:rPr>
            </w:pPr>
            <w:proofErr w:type="spellStart"/>
            <w:r w:rsidRPr="00FF4EBC">
              <w:rPr>
                <w:lang w:val="es-ES"/>
              </w:rPr>
              <w:t>Bahrein</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1FFF4D34" w14:textId="77777777" w:rsidR="00FF4EBC" w:rsidRPr="00FF4EBC" w:rsidRDefault="00FF4EBC" w:rsidP="00C019E6">
            <w:pPr>
              <w:pStyle w:val="Tabletext"/>
              <w:jc w:val="center"/>
              <w:rPr>
                <w:lang w:val="en-GB"/>
              </w:rPr>
            </w:pPr>
            <w:r w:rsidRPr="00FF4EBC">
              <w:rPr>
                <w:lang w:val="es-ES"/>
              </w:rPr>
              <w:t>1</w:t>
            </w:r>
          </w:p>
        </w:tc>
      </w:tr>
      <w:tr w:rsidR="00FF4EBC" w:rsidRPr="00FF4EBC" w14:paraId="18A8B37B"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AB840E2" w14:textId="77777777" w:rsidR="00FF4EBC" w:rsidRPr="00FF4EBC" w:rsidRDefault="00FF4EBC" w:rsidP="00B07FFA">
            <w:pPr>
              <w:pStyle w:val="Tabletext"/>
              <w:rPr>
                <w:lang w:val="en-GB"/>
              </w:rPr>
            </w:pPr>
            <w:r w:rsidRPr="00FF4EBC">
              <w:rPr>
                <w:lang w:val="es-ES"/>
              </w:rPr>
              <w:t>Bangladesh</w:t>
            </w:r>
          </w:p>
        </w:tc>
        <w:tc>
          <w:tcPr>
            <w:tcW w:w="1900" w:type="dxa"/>
            <w:tcBorders>
              <w:top w:val="nil"/>
              <w:left w:val="single" w:sz="4" w:space="0" w:color="auto"/>
              <w:bottom w:val="nil"/>
              <w:right w:val="single" w:sz="4" w:space="0" w:color="auto"/>
            </w:tcBorders>
            <w:shd w:val="clear" w:color="000000" w:fill="FFFFFF"/>
            <w:noWrap/>
            <w:vAlign w:val="bottom"/>
            <w:hideMark/>
          </w:tcPr>
          <w:p w14:paraId="599DE00A" w14:textId="77777777" w:rsidR="00FF4EBC" w:rsidRPr="00FF4EBC" w:rsidRDefault="00FF4EBC" w:rsidP="00C019E6">
            <w:pPr>
              <w:pStyle w:val="Tabletext"/>
              <w:jc w:val="center"/>
              <w:rPr>
                <w:lang w:val="en-GB"/>
              </w:rPr>
            </w:pPr>
            <w:r w:rsidRPr="00FF4EBC">
              <w:rPr>
                <w:lang w:val="es-ES"/>
              </w:rPr>
              <w:t>1/8</w:t>
            </w:r>
          </w:p>
        </w:tc>
      </w:tr>
      <w:tr w:rsidR="00FF4EBC" w:rsidRPr="00FF4EBC" w14:paraId="254152B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AFA32FA" w14:textId="77777777" w:rsidR="00FF4EBC" w:rsidRPr="00FF4EBC" w:rsidRDefault="00FF4EBC" w:rsidP="00B07FFA">
            <w:pPr>
              <w:pStyle w:val="Tabletext"/>
              <w:rPr>
                <w:lang w:val="en-GB"/>
              </w:rPr>
            </w:pPr>
            <w:r w:rsidRPr="00FF4EBC">
              <w:rPr>
                <w:lang w:val="es-ES"/>
              </w:rPr>
              <w:t xml:space="preserve">Barbados </w:t>
            </w:r>
          </w:p>
        </w:tc>
        <w:tc>
          <w:tcPr>
            <w:tcW w:w="1900" w:type="dxa"/>
            <w:tcBorders>
              <w:top w:val="nil"/>
              <w:left w:val="single" w:sz="4" w:space="0" w:color="auto"/>
              <w:bottom w:val="nil"/>
              <w:right w:val="single" w:sz="4" w:space="0" w:color="auto"/>
            </w:tcBorders>
            <w:shd w:val="clear" w:color="000000" w:fill="FFFFFF"/>
            <w:noWrap/>
            <w:vAlign w:val="bottom"/>
            <w:hideMark/>
          </w:tcPr>
          <w:p w14:paraId="0B826AA1" w14:textId="77777777" w:rsidR="00FF4EBC" w:rsidRPr="00FF4EBC" w:rsidRDefault="00FF4EBC" w:rsidP="00C019E6">
            <w:pPr>
              <w:pStyle w:val="Tabletext"/>
              <w:jc w:val="center"/>
              <w:rPr>
                <w:lang w:val="en-GB"/>
              </w:rPr>
            </w:pPr>
            <w:r w:rsidRPr="00FF4EBC">
              <w:rPr>
                <w:lang w:val="es-ES"/>
              </w:rPr>
              <w:t>1/4</w:t>
            </w:r>
          </w:p>
        </w:tc>
      </w:tr>
      <w:tr w:rsidR="00FF4EBC" w:rsidRPr="00FF4EBC" w14:paraId="7C6068B4"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6101BF6" w14:textId="77777777" w:rsidR="00FF4EBC" w:rsidRPr="00FF4EBC" w:rsidRDefault="00FF4EBC" w:rsidP="00B07FFA">
            <w:pPr>
              <w:pStyle w:val="Tabletext"/>
              <w:rPr>
                <w:lang w:val="en-GB"/>
              </w:rPr>
            </w:pPr>
            <w:proofErr w:type="spellStart"/>
            <w:r w:rsidRPr="00FF4EBC">
              <w:rPr>
                <w:lang w:val="es-ES"/>
              </w:rPr>
              <w:t>Belarús</w:t>
            </w:r>
            <w:proofErr w:type="spellEnd"/>
          </w:p>
        </w:tc>
        <w:tc>
          <w:tcPr>
            <w:tcW w:w="1900" w:type="dxa"/>
            <w:tcBorders>
              <w:top w:val="nil"/>
              <w:left w:val="single" w:sz="4" w:space="0" w:color="auto"/>
              <w:bottom w:val="nil"/>
              <w:right w:val="single" w:sz="4" w:space="0" w:color="auto"/>
            </w:tcBorders>
            <w:shd w:val="clear" w:color="000000" w:fill="FFFFFF"/>
            <w:vAlign w:val="bottom"/>
            <w:hideMark/>
          </w:tcPr>
          <w:p w14:paraId="430D9D82" w14:textId="77777777" w:rsidR="00FF4EBC" w:rsidRPr="00FF4EBC" w:rsidRDefault="00FF4EBC" w:rsidP="00C019E6">
            <w:pPr>
              <w:pStyle w:val="Tabletext"/>
              <w:jc w:val="center"/>
              <w:rPr>
                <w:lang w:val="en-GB"/>
              </w:rPr>
            </w:pPr>
            <w:r w:rsidRPr="00FF4EBC">
              <w:rPr>
                <w:lang w:val="es-ES"/>
              </w:rPr>
              <w:t>1/4</w:t>
            </w:r>
          </w:p>
        </w:tc>
      </w:tr>
      <w:tr w:rsidR="00FF4EBC" w:rsidRPr="00FF4EBC" w14:paraId="35E3D6B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99DB17C" w14:textId="77777777" w:rsidR="00FF4EBC" w:rsidRPr="00FF4EBC" w:rsidRDefault="00FF4EBC" w:rsidP="00B07FFA">
            <w:pPr>
              <w:pStyle w:val="Tabletext"/>
              <w:rPr>
                <w:lang w:val="en-GB"/>
              </w:rPr>
            </w:pPr>
            <w:r w:rsidRPr="00FF4EBC">
              <w:rPr>
                <w:lang w:val="es-ES"/>
              </w:rPr>
              <w:t xml:space="preserve">Bélgica </w:t>
            </w:r>
          </w:p>
        </w:tc>
        <w:tc>
          <w:tcPr>
            <w:tcW w:w="1900" w:type="dxa"/>
            <w:tcBorders>
              <w:top w:val="nil"/>
              <w:left w:val="single" w:sz="4" w:space="0" w:color="auto"/>
              <w:bottom w:val="nil"/>
              <w:right w:val="single" w:sz="4" w:space="0" w:color="auto"/>
            </w:tcBorders>
            <w:shd w:val="clear" w:color="000000" w:fill="FFFFFF"/>
            <w:noWrap/>
            <w:vAlign w:val="bottom"/>
            <w:hideMark/>
          </w:tcPr>
          <w:p w14:paraId="51AEB1B2" w14:textId="77777777" w:rsidR="00FF4EBC" w:rsidRPr="00FF4EBC" w:rsidRDefault="00FF4EBC" w:rsidP="00C019E6">
            <w:pPr>
              <w:pStyle w:val="Tabletext"/>
              <w:jc w:val="center"/>
              <w:rPr>
                <w:lang w:val="en-GB"/>
              </w:rPr>
            </w:pPr>
            <w:r w:rsidRPr="00FF4EBC">
              <w:rPr>
                <w:lang w:val="es-ES"/>
              </w:rPr>
              <w:t>3</w:t>
            </w:r>
          </w:p>
        </w:tc>
      </w:tr>
      <w:tr w:rsidR="00FF4EBC" w:rsidRPr="00FF4EBC" w14:paraId="4E019DD7"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0B167FA" w14:textId="77777777" w:rsidR="00FF4EBC" w:rsidRPr="00FF4EBC" w:rsidRDefault="00FF4EBC" w:rsidP="00B07FFA">
            <w:pPr>
              <w:pStyle w:val="Tabletext"/>
              <w:rPr>
                <w:lang w:val="en-GB"/>
              </w:rPr>
            </w:pPr>
            <w:r w:rsidRPr="00FF4EBC">
              <w:rPr>
                <w:lang w:val="es-ES"/>
              </w:rPr>
              <w:t xml:space="preserve">Belice </w:t>
            </w:r>
          </w:p>
        </w:tc>
        <w:tc>
          <w:tcPr>
            <w:tcW w:w="1900" w:type="dxa"/>
            <w:tcBorders>
              <w:top w:val="nil"/>
              <w:left w:val="single" w:sz="4" w:space="0" w:color="auto"/>
              <w:bottom w:val="nil"/>
              <w:right w:val="single" w:sz="4" w:space="0" w:color="auto"/>
            </w:tcBorders>
            <w:shd w:val="clear" w:color="000000" w:fill="FFFFFF"/>
            <w:noWrap/>
            <w:vAlign w:val="bottom"/>
            <w:hideMark/>
          </w:tcPr>
          <w:p w14:paraId="30EEA375" w14:textId="77777777" w:rsidR="00FF4EBC" w:rsidRPr="00FF4EBC" w:rsidRDefault="00FF4EBC" w:rsidP="00C019E6">
            <w:pPr>
              <w:pStyle w:val="Tabletext"/>
              <w:jc w:val="center"/>
              <w:rPr>
                <w:lang w:val="en-GB"/>
              </w:rPr>
            </w:pPr>
            <w:r w:rsidRPr="00FF4EBC">
              <w:rPr>
                <w:lang w:val="es-ES"/>
              </w:rPr>
              <w:t>1/8</w:t>
            </w:r>
          </w:p>
        </w:tc>
      </w:tr>
      <w:tr w:rsidR="00FF4EBC" w:rsidRPr="00FF4EBC" w14:paraId="04A3D4C5"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F111A62" w14:textId="28CF2B49" w:rsidR="00FF4EBC" w:rsidRPr="00FF4EBC" w:rsidRDefault="00FF4EBC" w:rsidP="00B07FFA">
            <w:pPr>
              <w:pStyle w:val="Tabletext"/>
              <w:rPr>
                <w:lang w:val="en-GB"/>
              </w:rPr>
            </w:pPr>
            <w:proofErr w:type="spellStart"/>
            <w:r w:rsidRPr="00FF4EBC">
              <w:rPr>
                <w:lang w:val="es-ES"/>
              </w:rPr>
              <w:t>Benin</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3E2DF885" w14:textId="77777777" w:rsidR="00FF4EBC" w:rsidRPr="00FF4EBC" w:rsidRDefault="00FF4EBC" w:rsidP="00C019E6">
            <w:pPr>
              <w:pStyle w:val="Tabletext"/>
              <w:jc w:val="center"/>
              <w:rPr>
                <w:lang w:val="en-GB"/>
              </w:rPr>
            </w:pPr>
            <w:r w:rsidRPr="00FF4EBC">
              <w:rPr>
                <w:lang w:val="es-ES"/>
              </w:rPr>
              <w:t>1/4</w:t>
            </w:r>
          </w:p>
        </w:tc>
      </w:tr>
      <w:tr w:rsidR="00FF4EBC" w:rsidRPr="00FF4EBC" w14:paraId="20283D90"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C2643DD" w14:textId="41FCBECF" w:rsidR="00FF4EBC" w:rsidRPr="00FF4EBC" w:rsidRDefault="00FF4EBC" w:rsidP="00B07FFA">
            <w:pPr>
              <w:pStyle w:val="Tabletext"/>
              <w:rPr>
                <w:lang w:val="en-GB"/>
              </w:rPr>
            </w:pPr>
            <w:proofErr w:type="spellStart"/>
            <w:r w:rsidRPr="00FF4EBC">
              <w:rPr>
                <w:lang w:val="es-ES"/>
              </w:rPr>
              <w:t>Bhután</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030634E7" w14:textId="77777777" w:rsidR="00FF4EBC" w:rsidRPr="00FF4EBC" w:rsidRDefault="00FF4EBC" w:rsidP="00C019E6">
            <w:pPr>
              <w:pStyle w:val="Tabletext"/>
              <w:jc w:val="center"/>
              <w:rPr>
                <w:lang w:val="en-GB"/>
              </w:rPr>
            </w:pPr>
            <w:r w:rsidRPr="00FF4EBC">
              <w:rPr>
                <w:lang w:val="es-ES"/>
              </w:rPr>
              <w:t>1/8</w:t>
            </w:r>
          </w:p>
        </w:tc>
      </w:tr>
      <w:tr w:rsidR="00FF4EBC" w:rsidRPr="00FF4EBC" w14:paraId="09DCCCF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2CE8745" w14:textId="77777777" w:rsidR="00FF4EBC" w:rsidRPr="00FF4EBC" w:rsidRDefault="00FF4EBC" w:rsidP="00B07FFA">
            <w:pPr>
              <w:pStyle w:val="Tabletext"/>
              <w:rPr>
                <w:lang w:val="en-GB"/>
              </w:rPr>
            </w:pPr>
            <w:r w:rsidRPr="00FF4EBC">
              <w:rPr>
                <w:lang w:val="es-ES"/>
              </w:rPr>
              <w:t>Bolivia</w:t>
            </w:r>
          </w:p>
        </w:tc>
        <w:tc>
          <w:tcPr>
            <w:tcW w:w="1900" w:type="dxa"/>
            <w:tcBorders>
              <w:top w:val="nil"/>
              <w:left w:val="single" w:sz="4" w:space="0" w:color="auto"/>
              <w:bottom w:val="nil"/>
              <w:right w:val="single" w:sz="4" w:space="0" w:color="auto"/>
            </w:tcBorders>
            <w:shd w:val="clear" w:color="000000" w:fill="FFFFFF"/>
            <w:noWrap/>
            <w:vAlign w:val="bottom"/>
            <w:hideMark/>
          </w:tcPr>
          <w:p w14:paraId="08283743" w14:textId="77777777" w:rsidR="00FF4EBC" w:rsidRPr="00FF4EBC" w:rsidRDefault="00FF4EBC" w:rsidP="00C019E6">
            <w:pPr>
              <w:pStyle w:val="Tabletext"/>
              <w:jc w:val="center"/>
              <w:rPr>
                <w:lang w:val="en-GB"/>
              </w:rPr>
            </w:pPr>
            <w:r w:rsidRPr="00FF4EBC">
              <w:rPr>
                <w:lang w:val="es-ES"/>
              </w:rPr>
              <w:t>1/4</w:t>
            </w:r>
          </w:p>
        </w:tc>
      </w:tr>
      <w:tr w:rsidR="00FF4EBC" w:rsidRPr="00FF4EBC" w14:paraId="0F536661"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6B038CE" w14:textId="77777777" w:rsidR="00FF4EBC" w:rsidRPr="00FF4EBC" w:rsidRDefault="00FF4EBC" w:rsidP="00B07FFA">
            <w:pPr>
              <w:pStyle w:val="Tabletext"/>
              <w:rPr>
                <w:lang w:val="en-GB"/>
              </w:rPr>
            </w:pPr>
            <w:r w:rsidRPr="00FF4EBC">
              <w:rPr>
                <w:lang w:val="es-ES"/>
              </w:rPr>
              <w:t xml:space="preserve">Bosnia y Herzegovina </w:t>
            </w:r>
          </w:p>
        </w:tc>
        <w:tc>
          <w:tcPr>
            <w:tcW w:w="1900" w:type="dxa"/>
            <w:tcBorders>
              <w:top w:val="nil"/>
              <w:left w:val="single" w:sz="4" w:space="0" w:color="auto"/>
              <w:bottom w:val="nil"/>
              <w:right w:val="single" w:sz="4" w:space="0" w:color="auto"/>
            </w:tcBorders>
            <w:shd w:val="clear" w:color="000000" w:fill="FFFFFF"/>
            <w:noWrap/>
            <w:vAlign w:val="bottom"/>
            <w:hideMark/>
          </w:tcPr>
          <w:p w14:paraId="61803A8F" w14:textId="77777777" w:rsidR="00FF4EBC" w:rsidRPr="00FF4EBC" w:rsidRDefault="00FF4EBC" w:rsidP="00C019E6">
            <w:pPr>
              <w:pStyle w:val="Tabletext"/>
              <w:jc w:val="center"/>
              <w:rPr>
                <w:lang w:val="en-GB"/>
              </w:rPr>
            </w:pPr>
            <w:r w:rsidRPr="00FF4EBC">
              <w:rPr>
                <w:lang w:val="es-ES"/>
              </w:rPr>
              <w:t>1/16</w:t>
            </w:r>
          </w:p>
        </w:tc>
      </w:tr>
      <w:tr w:rsidR="00FF4EBC" w:rsidRPr="00FF4EBC" w14:paraId="64866E9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D8B5655" w14:textId="77777777" w:rsidR="00FF4EBC" w:rsidRPr="00FF4EBC" w:rsidRDefault="00FF4EBC" w:rsidP="00B07FFA">
            <w:pPr>
              <w:pStyle w:val="Tabletext"/>
              <w:rPr>
                <w:lang w:val="en-GB"/>
              </w:rPr>
            </w:pPr>
            <w:proofErr w:type="spellStart"/>
            <w:r w:rsidRPr="00FF4EBC">
              <w:rPr>
                <w:lang w:val="es-ES"/>
              </w:rPr>
              <w:t>Botswana</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357BAC1C" w14:textId="77777777" w:rsidR="00FF4EBC" w:rsidRPr="00FF4EBC" w:rsidRDefault="00FF4EBC" w:rsidP="00C019E6">
            <w:pPr>
              <w:pStyle w:val="Tabletext"/>
              <w:jc w:val="center"/>
              <w:rPr>
                <w:lang w:val="en-GB"/>
              </w:rPr>
            </w:pPr>
            <w:r w:rsidRPr="00FF4EBC">
              <w:rPr>
                <w:lang w:val="es-ES"/>
              </w:rPr>
              <w:t>1/2</w:t>
            </w:r>
          </w:p>
        </w:tc>
      </w:tr>
      <w:tr w:rsidR="00FF4EBC" w:rsidRPr="00FF4EBC" w14:paraId="477B06E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44E389B" w14:textId="77777777" w:rsidR="00FF4EBC" w:rsidRPr="00FF4EBC" w:rsidRDefault="00FF4EBC" w:rsidP="00B07FFA">
            <w:pPr>
              <w:pStyle w:val="Tabletext"/>
              <w:rPr>
                <w:lang w:val="en-GB"/>
              </w:rPr>
            </w:pPr>
            <w:r w:rsidRPr="00FF4EBC">
              <w:rPr>
                <w:lang w:val="es-ES"/>
              </w:rPr>
              <w:t>Brasil</w:t>
            </w:r>
          </w:p>
        </w:tc>
        <w:tc>
          <w:tcPr>
            <w:tcW w:w="1900" w:type="dxa"/>
            <w:tcBorders>
              <w:top w:val="nil"/>
              <w:left w:val="single" w:sz="4" w:space="0" w:color="auto"/>
              <w:bottom w:val="nil"/>
              <w:right w:val="single" w:sz="4" w:space="0" w:color="auto"/>
            </w:tcBorders>
            <w:shd w:val="clear" w:color="000000" w:fill="FFFFFF"/>
            <w:noWrap/>
            <w:vAlign w:val="bottom"/>
            <w:hideMark/>
          </w:tcPr>
          <w:p w14:paraId="17DE554C" w14:textId="77777777" w:rsidR="00FF4EBC" w:rsidRPr="00FF4EBC" w:rsidRDefault="00FF4EBC" w:rsidP="00C019E6">
            <w:pPr>
              <w:pStyle w:val="Tabletext"/>
              <w:jc w:val="center"/>
              <w:rPr>
                <w:lang w:val="en-GB"/>
              </w:rPr>
            </w:pPr>
            <w:r w:rsidRPr="00FF4EBC">
              <w:rPr>
                <w:lang w:val="es-ES"/>
              </w:rPr>
              <w:t>11</w:t>
            </w:r>
          </w:p>
        </w:tc>
      </w:tr>
      <w:tr w:rsidR="00FF4EBC" w:rsidRPr="00FF4EBC" w14:paraId="5C8D4C2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5C55C0E" w14:textId="77777777" w:rsidR="00FF4EBC" w:rsidRPr="00FF4EBC" w:rsidRDefault="00FF4EBC" w:rsidP="00B07FFA">
            <w:pPr>
              <w:pStyle w:val="Tabletext"/>
              <w:rPr>
                <w:lang w:val="en-GB"/>
              </w:rPr>
            </w:pPr>
            <w:proofErr w:type="spellStart"/>
            <w:r w:rsidRPr="00FF4EBC">
              <w:rPr>
                <w:lang w:val="es-ES"/>
              </w:rPr>
              <w:t>Brunei</w:t>
            </w:r>
            <w:proofErr w:type="spellEnd"/>
            <w:r w:rsidRPr="00FF4EBC">
              <w:rPr>
                <w:lang w:val="es-ES"/>
              </w:rPr>
              <w:t xml:space="preserve"> Darussalam </w:t>
            </w:r>
          </w:p>
        </w:tc>
        <w:tc>
          <w:tcPr>
            <w:tcW w:w="1900" w:type="dxa"/>
            <w:tcBorders>
              <w:top w:val="nil"/>
              <w:left w:val="single" w:sz="4" w:space="0" w:color="auto"/>
              <w:bottom w:val="nil"/>
              <w:right w:val="single" w:sz="4" w:space="0" w:color="auto"/>
            </w:tcBorders>
            <w:shd w:val="clear" w:color="000000" w:fill="FFFFFF"/>
            <w:vAlign w:val="bottom"/>
            <w:hideMark/>
          </w:tcPr>
          <w:p w14:paraId="0F697A80" w14:textId="77777777" w:rsidR="00FF4EBC" w:rsidRPr="00FF4EBC" w:rsidRDefault="00FF4EBC" w:rsidP="00C019E6">
            <w:pPr>
              <w:pStyle w:val="Tabletext"/>
              <w:jc w:val="center"/>
              <w:rPr>
                <w:lang w:val="en-GB"/>
              </w:rPr>
            </w:pPr>
            <w:r w:rsidRPr="00FF4EBC">
              <w:rPr>
                <w:lang w:val="es-ES"/>
              </w:rPr>
              <w:t>1/2</w:t>
            </w:r>
          </w:p>
        </w:tc>
      </w:tr>
      <w:tr w:rsidR="00FF4EBC" w:rsidRPr="00FF4EBC" w14:paraId="2DE1C0F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3B045B9" w14:textId="77777777" w:rsidR="00FF4EBC" w:rsidRPr="00FF4EBC" w:rsidRDefault="00FF4EBC" w:rsidP="00B07FFA">
            <w:pPr>
              <w:pStyle w:val="Tabletext"/>
              <w:rPr>
                <w:lang w:val="en-GB"/>
              </w:rPr>
            </w:pPr>
            <w:r w:rsidRPr="00FF4EBC">
              <w:rPr>
                <w:lang w:val="es-ES"/>
              </w:rPr>
              <w:t>Bulgaria</w:t>
            </w:r>
          </w:p>
        </w:tc>
        <w:tc>
          <w:tcPr>
            <w:tcW w:w="1900" w:type="dxa"/>
            <w:tcBorders>
              <w:top w:val="nil"/>
              <w:left w:val="single" w:sz="4" w:space="0" w:color="auto"/>
              <w:bottom w:val="nil"/>
              <w:right w:val="single" w:sz="4" w:space="0" w:color="auto"/>
            </w:tcBorders>
            <w:shd w:val="clear" w:color="000000" w:fill="FFFFFF"/>
            <w:noWrap/>
            <w:vAlign w:val="bottom"/>
            <w:hideMark/>
          </w:tcPr>
          <w:p w14:paraId="0C6F88DA" w14:textId="77777777" w:rsidR="00FF4EBC" w:rsidRPr="00FF4EBC" w:rsidRDefault="00FF4EBC" w:rsidP="00C019E6">
            <w:pPr>
              <w:pStyle w:val="Tabletext"/>
              <w:jc w:val="center"/>
              <w:rPr>
                <w:lang w:val="en-GB"/>
              </w:rPr>
            </w:pPr>
            <w:r w:rsidRPr="00FF4EBC">
              <w:rPr>
                <w:lang w:val="es-ES"/>
              </w:rPr>
              <w:t>1/4</w:t>
            </w:r>
          </w:p>
        </w:tc>
      </w:tr>
      <w:tr w:rsidR="00FF4EBC" w:rsidRPr="00FF4EBC" w14:paraId="73E8AD8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8B50FFC" w14:textId="77777777" w:rsidR="00FF4EBC" w:rsidRPr="00FF4EBC" w:rsidRDefault="00FF4EBC" w:rsidP="00B07FFA">
            <w:pPr>
              <w:pStyle w:val="Tabletext"/>
              <w:rPr>
                <w:lang w:val="en-GB"/>
              </w:rPr>
            </w:pPr>
            <w:r w:rsidRPr="00FF4EBC">
              <w:rPr>
                <w:lang w:val="es-ES"/>
              </w:rPr>
              <w:t>Burkina Faso</w:t>
            </w:r>
          </w:p>
        </w:tc>
        <w:tc>
          <w:tcPr>
            <w:tcW w:w="1900" w:type="dxa"/>
            <w:tcBorders>
              <w:top w:val="nil"/>
              <w:left w:val="single" w:sz="4" w:space="0" w:color="auto"/>
              <w:bottom w:val="nil"/>
              <w:right w:val="single" w:sz="4" w:space="0" w:color="auto"/>
            </w:tcBorders>
            <w:shd w:val="clear" w:color="000000" w:fill="FFFFFF"/>
            <w:noWrap/>
            <w:vAlign w:val="bottom"/>
            <w:hideMark/>
          </w:tcPr>
          <w:p w14:paraId="6533163A" w14:textId="77777777" w:rsidR="00FF4EBC" w:rsidRPr="00FF4EBC" w:rsidRDefault="00FF4EBC" w:rsidP="00C019E6">
            <w:pPr>
              <w:pStyle w:val="Tabletext"/>
              <w:jc w:val="center"/>
              <w:rPr>
                <w:lang w:val="en-GB"/>
              </w:rPr>
            </w:pPr>
            <w:r w:rsidRPr="00FF4EBC">
              <w:rPr>
                <w:lang w:val="es-ES"/>
              </w:rPr>
              <w:t>1/4</w:t>
            </w:r>
          </w:p>
        </w:tc>
      </w:tr>
      <w:tr w:rsidR="00FF4EBC" w:rsidRPr="00FF4EBC" w14:paraId="5581032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056C514" w14:textId="77777777" w:rsidR="00FF4EBC" w:rsidRPr="00FF4EBC" w:rsidRDefault="00FF4EBC" w:rsidP="00B07FFA">
            <w:pPr>
              <w:pStyle w:val="Tabletext"/>
              <w:rPr>
                <w:lang w:val="en-GB"/>
              </w:rPr>
            </w:pPr>
            <w:r w:rsidRPr="00FF4EBC">
              <w:rPr>
                <w:lang w:val="es-ES"/>
              </w:rPr>
              <w:t>Burundi</w:t>
            </w:r>
          </w:p>
        </w:tc>
        <w:tc>
          <w:tcPr>
            <w:tcW w:w="1900" w:type="dxa"/>
            <w:tcBorders>
              <w:top w:val="nil"/>
              <w:left w:val="single" w:sz="4" w:space="0" w:color="auto"/>
              <w:bottom w:val="nil"/>
              <w:right w:val="single" w:sz="4" w:space="0" w:color="auto"/>
            </w:tcBorders>
            <w:shd w:val="clear" w:color="000000" w:fill="FFFFFF"/>
            <w:noWrap/>
            <w:vAlign w:val="bottom"/>
            <w:hideMark/>
          </w:tcPr>
          <w:p w14:paraId="5BD3556C" w14:textId="77777777" w:rsidR="00FF4EBC" w:rsidRPr="00FF4EBC" w:rsidRDefault="00FF4EBC" w:rsidP="00C019E6">
            <w:pPr>
              <w:pStyle w:val="Tabletext"/>
              <w:jc w:val="center"/>
              <w:rPr>
                <w:lang w:val="en-GB"/>
              </w:rPr>
            </w:pPr>
            <w:r w:rsidRPr="00FF4EBC">
              <w:rPr>
                <w:lang w:val="es-ES"/>
              </w:rPr>
              <w:t>1/16</w:t>
            </w:r>
          </w:p>
        </w:tc>
      </w:tr>
      <w:tr w:rsidR="00FF4EBC" w:rsidRPr="00FF4EBC" w14:paraId="5B1699E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163A140" w14:textId="77777777" w:rsidR="00FF4EBC" w:rsidRPr="00FF4EBC" w:rsidRDefault="00FF4EBC" w:rsidP="00B07FFA">
            <w:pPr>
              <w:pStyle w:val="Tabletext"/>
              <w:rPr>
                <w:lang w:val="en-GB"/>
              </w:rPr>
            </w:pPr>
            <w:r w:rsidRPr="00FF4EBC">
              <w:rPr>
                <w:lang w:val="es-ES"/>
              </w:rPr>
              <w:t>Camboya</w:t>
            </w:r>
          </w:p>
        </w:tc>
        <w:tc>
          <w:tcPr>
            <w:tcW w:w="1900" w:type="dxa"/>
            <w:tcBorders>
              <w:top w:val="nil"/>
              <w:left w:val="single" w:sz="4" w:space="0" w:color="auto"/>
              <w:bottom w:val="nil"/>
              <w:right w:val="single" w:sz="4" w:space="0" w:color="auto"/>
            </w:tcBorders>
            <w:shd w:val="clear" w:color="000000" w:fill="FFFFFF"/>
            <w:vAlign w:val="bottom"/>
            <w:hideMark/>
          </w:tcPr>
          <w:p w14:paraId="762DEE29" w14:textId="77777777" w:rsidR="00FF4EBC" w:rsidRPr="00FF4EBC" w:rsidRDefault="00FF4EBC" w:rsidP="00C019E6">
            <w:pPr>
              <w:pStyle w:val="Tabletext"/>
              <w:jc w:val="center"/>
              <w:rPr>
                <w:lang w:val="en-GB"/>
              </w:rPr>
            </w:pPr>
            <w:r w:rsidRPr="00FF4EBC">
              <w:rPr>
                <w:lang w:val="es-ES"/>
              </w:rPr>
              <w:t>1/8</w:t>
            </w:r>
          </w:p>
        </w:tc>
      </w:tr>
      <w:tr w:rsidR="00FF4EBC" w:rsidRPr="00FF4EBC" w14:paraId="01E631BD" w14:textId="77777777" w:rsidTr="006A2D3E">
        <w:trPr>
          <w:cantSplit/>
          <w:jc w:val="center"/>
        </w:trPr>
        <w:tc>
          <w:tcPr>
            <w:tcW w:w="4180" w:type="dxa"/>
            <w:tcBorders>
              <w:top w:val="nil"/>
              <w:left w:val="single" w:sz="4" w:space="0" w:color="auto"/>
              <w:right w:val="single" w:sz="4" w:space="0" w:color="auto"/>
            </w:tcBorders>
            <w:shd w:val="clear" w:color="000000" w:fill="FFFFFF"/>
            <w:vAlign w:val="bottom"/>
            <w:hideMark/>
          </w:tcPr>
          <w:p w14:paraId="0D1AE1E7" w14:textId="77777777" w:rsidR="00FF4EBC" w:rsidRPr="00FF4EBC" w:rsidRDefault="00FF4EBC" w:rsidP="00B07FFA">
            <w:pPr>
              <w:pStyle w:val="Tabletext"/>
              <w:rPr>
                <w:lang w:val="en-GB"/>
              </w:rPr>
            </w:pPr>
            <w:r w:rsidRPr="00FF4EBC">
              <w:rPr>
                <w:lang w:val="es-ES"/>
              </w:rPr>
              <w:t xml:space="preserve">Camerún </w:t>
            </w:r>
          </w:p>
        </w:tc>
        <w:tc>
          <w:tcPr>
            <w:tcW w:w="1900" w:type="dxa"/>
            <w:tcBorders>
              <w:top w:val="nil"/>
              <w:left w:val="single" w:sz="4" w:space="0" w:color="auto"/>
              <w:right w:val="single" w:sz="4" w:space="0" w:color="auto"/>
            </w:tcBorders>
            <w:shd w:val="clear" w:color="000000" w:fill="FFFFFF"/>
            <w:noWrap/>
            <w:vAlign w:val="bottom"/>
            <w:hideMark/>
          </w:tcPr>
          <w:p w14:paraId="5B590A1F" w14:textId="77777777" w:rsidR="00FF4EBC" w:rsidRPr="00FF4EBC" w:rsidRDefault="00FF4EBC" w:rsidP="00C019E6">
            <w:pPr>
              <w:pStyle w:val="Tabletext"/>
              <w:jc w:val="center"/>
              <w:rPr>
                <w:lang w:val="en-GB"/>
              </w:rPr>
            </w:pPr>
            <w:r w:rsidRPr="00FF4EBC">
              <w:rPr>
                <w:lang w:val="es-ES"/>
              </w:rPr>
              <w:t>1</w:t>
            </w:r>
          </w:p>
        </w:tc>
      </w:tr>
      <w:tr w:rsidR="00FF4EBC" w:rsidRPr="00FF4EBC" w14:paraId="0623D521" w14:textId="77777777" w:rsidTr="006A2D3E">
        <w:trPr>
          <w:cantSplit/>
          <w:jc w:val="center"/>
        </w:trPr>
        <w:tc>
          <w:tcPr>
            <w:tcW w:w="4180" w:type="dxa"/>
            <w:tcBorders>
              <w:top w:val="nil"/>
              <w:left w:val="single" w:sz="4" w:space="0" w:color="auto"/>
              <w:right w:val="single" w:sz="4" w:space="0" w:color="auto"/>
            </w:tcBorders>
            <w:shd w:val="clear" w:color="000000" w:fill="FFFFFF"/>
            <w:vAlign w:val="bottom"/>
            <w:hideMark/>
          </w:tcPr>
          <w:p w14:paraId="770ED767" w14:textId="77777777" w:rsidR="00FF4EBC" w:rsidRPr="00FF4EBC" w:rsidRDefault="00FF4EBC" w:rsidP="00B07FFA">
            <w:pPr>
              <w:pStyle w:val="Tabletext"/>
              <w:rPr>
                <w:lang w:val="en-GB"/>
              </w:rPr>
            </w:pPr>
            <w:r w:rsidRPr="00FF4EBC">
              <w:rPr>
                <w:lang w:val="es-ES"/>
              </w:rPr>
              <w:t>Canadá</w:t>
            </w:r>
          </w:p>
        </w:tc>
        <w:tc>
          <w:tcPr>
            <w:tcW w:w="1900" w:type="dxa"/>
            <w:tcBorders>
              <w:top w:val="nil"/>
              <w:left w:val="single" w:sz="4" w:space="0" w:color="auto"/>
              <w:right w:val="single" w:sz="4" w:space="0" w:color="auto"/>
            </w:tcBorders>
            <w:shd w:val="clear" w:color="000000" w:fill="FFFFFF"/>
            <w:noWrap/>
            <w:vAlign w:val="bottom"/>
            <w:hideMark/>
          </w:tcPr>
          <w:p w14:paraId="0F6A9005" w14:textId="77777777" w:rsidR="00FF4EBC" w:rsidRPr="00FF4EBC" w:rsidRDefault="00FF4EBC" w:rsidP="00C019E6">
            <w:pPr>
              <w:pStyle w:val="Tabletext"/>
              <w:jc w:val="center"/>
              <w:rPr>
                <w:lang w:val="en-GB"/>
              </w:rPr>
            </w:pPr>
            <w:r w:rsidRPr="00FF4EBC">
              <w:rPr>
                <w:lang w:val="es-ES"/>
              </w:rPr>
              <w:t>11</w:t>
            </w:r>
          </w:p>
        </w:tc>
      </w:tr>
      <w:tr w:rsidR="00FF4EBC" w:rsidRPr="00FF4EBC" w14:paraId="71363452" w14:textId="77777777" w:rsidTr="006A2D3E">
        <w:trPr>
          <w:cantSplit/>
          <w:jc w:val="center"/>
        </w:trPr>
        <w:tc>
          <w:tcPr>
            <w:tcW w:w="4180" w:type="dxa"/>
            <w:tcBorders>
              <w:left w:val="single" w:sz="4" w:space="0" w:color="auto"/>
              <w:bottom w:val="nil"/>
              <w:right w:val="single" w:sz="4" w:space="0" w:color="auto"/>
            </w:tcBorders>
            <w:shd w:val="clear" w:color="000000" w:fill="FFFFFF"/>
            <w:vAlign w:val="bottom"/>
            <w:hideMark/>
          </w:tcPr>
          <w:p w14:paraId="27B40724" w14:textId="77777777" w:rsidR="00FF4EBC" w:rsidRPr="00FF4EBC" w:rsidRDefault="00FF4EBC" w:rsidP="00B07FFA">
            <w:pPr>
              <w:pStyle w:val="Tabletext"/>
              <w:rPr>
                <w:lang w:val="en-GB"/>
              </w:rPr>
            </w:pPr>
            <w:r w:rsidRPr="00FF4EBC">
              <w:rPr>
                <w:lang w:val="es-ES"/>
              </w:rPr>
              <w:t>Cabo Verde</w:t>
            </w:r>
          </w:p>
        </w:tc>
        <w:tc>
          <w:tcPr>
            <w:tcW w:w="1900" w:type="dxa"/>
            <w:tcBorders>
              <w:left w:val="single" w:sz="4" w:space="0" w:color="auto"/>
              <w:bottom w:val="nil"/>
              <w:right w:val="single" w:sz="4" w:space="0" w:color="auto"/>
            </w:tcBorders>
            <w:shd w:val="clear" w:color="000000" w:fill="FFFFFF"/>
            <w:vAlign w:val="bottom"/>
            <w:hideMark/>
          </w:tcPr>
          <w:p w14:paraId="4082B3BD" w14:textId="77777777" w:rsidR="00FF4EBC" w:rsidRPr="00FF4EBC" w:rsidRDefault="00FF4EBC" w:rsidP="00C019E6">
            <w:pPr>
              <w:pStyle w:val="Tabletext"/>
              <w:jc w:val="center"/>
              <w:rPr>
                <w:lang w:val="en-GB"/>
              </w:rPr>
            </w:pPr>
            <w:r w:rsidRPr="00FF4EBC">
              <w:rPr>
                <w:lang w:val="es-ES"/>
              </w:rPr>
              <w:t>1/16</w:t>
            </w:r>
          </w:p>
        </w:tc>
      </w:tr>
      <w:tr w:rsidR="00FF4EBC" w:rsidRPr="00FF4EBC" w14:paraId="7B428F3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78225C0" w14:textId="362D7C17" w:rsidR="00FF4EBC" w:rsidRPr="00FF4EBC" w:rsidRDefault="00FF4EBC" w:rsidP="00B07FFA">
            <w:pPr>
              <w:pStyle w:val="Tabletext"/>
              <w:rPr>
                <w:lang w:val="en-GB"/>
              </w:rPr>
            </w:pPr>
            <w:r w:rsidRPr="00FF4EBC">
              <w:rPr>
                <w:lang w:val="es-ES"/>
              </w:rPr>
              <w:lastRenderedPageBreak/>
              <w:t>Centroafricana</w:t>
            </w:r>
            <w:r w:rsidR="00093767">
              <w:rPr>
                <w:lang w:val="es-ES"/>
              </w:rPr>
              <w:t xml:space="preserve"> (R</w:t>
            </w:r>
            <w:r w:rsidR="00093767" w:rsidRPr="00FF4EBC">
              <w:rPr>
                <w:lang w:val="es-ES"/>
              </w:rPr>
              <w:t>epública</w:t>
            </w:r>
            <w:r w:rsidR="00093767">
              <w:rPr>
                <w:lang w:val="es-ES"/>
              </w:rPr>
              <w:t>)</w:t>
            </w:r>
          </w:p>
        </w:tc>
        <w:tc>
          <w:tcPr>
            <w:tcW w:w="1900" w:type="dxa"/>
            <w:tcBorders>
              <w:top w:val="nil"/>
              <w:left w:val="single" w:sz="4" w:space="0" w:color="auto"/>
              <w:bottom w:val="nil"/>
              <w:right w:val="single" w:sz="4" w:space="0" w:color="auto"/>
            </w:tcBorders>
            <w:shd w:val="clear" w:color="000000" w:fill="FFFFFF"/>
            <w:noWrap/>
            <w:vAlign w:val="bottom"/>
            <w:hideMark/>
          </w:tcPr>
          <w:p w14:paraId="66EF093E" w14:textId="77777777" w:rsidR="00FF4EBC" w:rsidRPr="00FF4EBC" w:rsidRDefault="00FF4EBC" w:rsidP="00C019E6">
            <w:pPr>
              <w:pStyle w:val="Tabletext"/>
              <w:jc w:val="center"/>
              <w:rPr>
                <w:lang w:val="en-GB"/>
              </w:rPr>
            </w:pPr>
            <w:r w:rsidRPr="00FF4EBC">
              <w:rPr>
                <w:lang w:val="es-ES"/>
              </w:rPr>
              <w:t>1/16</w:t>
            </w:r>
          </w:p>
        </w:tc>
      </w:tr>
      <w:tr w:rsidR="00FF4EBC" w:rsidRPr="00FF4EBC" w14:paraId="55FE08AF"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37C8526" w14:textId="77777777" w:rsidR="00FF4EBC" w:rsidRPr="00FF4EBC" w:rsidRDefault="00FF4EBC" w:rsidP="00B07FFA">
            <w:pPr>
              <w:pStyle w:val="Tabletext"/>
              <w:rPr>
                <w:lang w:val="en-GB"/>
              </w:rPr>
            </w:pPr>
            <w:r w:rsidRPr="00FF4EBC">
              <w:rPr>
                <w:lang w:val="es-ES"/>
              </w:rPr>
              <w:t>Chad</w:t>
            </w:r>
          </w:p>
        </w:tc>
        <w:tc>
          <w:tcPr>
            <w:tcW w:w="1900" w:type="dxa"/>
            <w:tcBorders>
              <w:top w:val="nil"/>
              <w:left w:val="single" w:sz="4" w:space="0" w:color="auto"/>
              <w:bottom w:val="nil"/>
              <w:right w:val="single" w:sz="4" w:space="0" w:color="auto"/>
            </w:tcBorders>
            <w:shd w:val="clear" w:color="000000" w:fill="FFFFFF"/>
            <w:noWrap/>
            <w:vAlign w:val="bottom"/>
            <w:hideMark/>
          </w:tcPr>
          <w:p w14:paraId="1B0CD2C1" w14:textId="77777777" w:rsidR="00FF4EBC" w:rsidRPr="00FF4EBC" w:rsidRDefault="00FF4EBC" w:rsidP="00C019E6">
            <w:pPr>
              <w:pStyle w:val="Tabletext"/>
              <w:jc w:val="center"/>
              <w:rPr>
                <w:lang w:val="en-GB"/>
              </w:rPr>
            </w:pPr>
            <w:r w:rsidRPr="00FF4EBC">
              <w:rPr>
                <w:lang w:val="es-ES"/>
              </w:rPr>
              <w:t>1/16</w:t>
            </w:r>
          </w:p>
        </w:tc>
      </w:tr>
      <w:tr w:rsidR="00FF4EBC" w:rsidRPr="00FF4EBC" w14:paraId="56CBC7B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DA001DC" w14:textId="77777777" w:rsidR="00FF4EBC" w:rsidRPr="00FF4EBC" w:rsidRDefault="00FF4EBC" w:rsidP="00B07FFA">
            <w:pPr>
              <w:pStyle w:val="Tabletext"/>
              <w:rPr>
                <w:lang w:val="en-GB"/>
              </w:rPr>
            </w:pPr>
            <w:r w:rsidRPr="00FF4EBC">
              <w:rPr>
                <w:lang w:val="es-ES"/>
              </w:rPr>
              <w:t>Chile</w:t>
            </w:r>
          </w:p>
        </w:tc>
        <w:tc>
          <w:tcPr>
            <w:tcW w:w="1900" w:type="dxa"/>
            <w:tcBorders>
              <w:top w:val="nil"/>
              <w:left w:val="single" w:sz="4" w:space="0" w:color="auto"/>
              <w:bottom w:val="nil"/>
              <w:right w:val="single" w:sz="4" w:space="0" w:color="auto"/>
            </w:tcBorders>
            <w:shd w:val="clear" w:color="000000" w:fill="FFFFFF"/>
            <w:vAlign w:val="bottom"/>
            <w:hideMark/>
          </w:tcPr>
          <w:p w14:paraId="4E74180F" w14:textId="77777777" w:rsidR="00FF4EBC" w:rsidRPr="00FF4EBC" w:rsidRDefault="00FF4EBC" w:rsidP="00C019E6">
            <w:pPr>
              <w:pStyle w:val="Tabletext"/>
              <w:jc w:val="center"/>
              <w:rPr>
                <w:lang w:val="en-GB"/>
              </w:rPr>
            </w:pPr>
            <w:r w:rsidRPr="00FF4EBC">
              <w:rPr>
                <w:lang w:val="es-ES"/>
              </w:rPr>
              <w:t>1/2</w:t>
            </w:r>
          </w:p>
        </w:tc>
      </w:tr>
      <w:tr w:rsidR="00FF4EBC" w:rsidRPr="00FF4EBC" w14:paraId="1580081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2B8E61B" w14:textId="77777777" w:rsidR="00FF4EBC" w:rsidRPr="00FF4EBC" w:rsidRDefault="00FF4EBC" w:rsidP="00B07FFA">
            <w:pPr>
              <w:pStyle w:val="Tabletext"/>
              <w:rPr>
                <w:lang w:val="en-GB"/>
              </w:rPr>
            </w:pPr>
            <w:r w:rsidRPr="00FF4EBC">
              <w:rPr>
                <w:lang w:val="es-ES"/>
              </w:rPr>
              <w:t>China</w:t>
            </w:r>
          </w:p>
        </w:tc>
        <w:tc>
          <w:tcPr>
            <w:tcW w:w="1900" w:type="dxa"/>
            <w:tcBorders>
              <w:top w:val="nil"/>
              <w:left w:val="single" w:sz="4" w:space="0" w:color="auto"/>
              <w:bottom w:val="nil"/>
              <w:right w:val="single" w:sz="4" w:space="0" w:color="auto"/>
            </w:tcBorders>
            <w:shd w:val="clear" w:color="000000" w:fill="FFFFFF"/>
            <w:noWrap/>
            <w:vAlign w:val="bottom"/>
            <w:hideMark/>
          </w:tcPr>
          <w:p w14:paraId="6A608FF8" w14:textId="77777777" w:rsidR="00FF4EBC" w:rsidRPr="00FF4EBC" w:rsidRDefault="00FF4EBC" w:rsidP="00C019E6">
            <w:pPr>
              <w:pStyle w:val="Tabletext"/>
              <w:jc w:val="center"/>
              <w:rPr>
                <w:lang w:val="en-GB"/>
              </w:rPr>
            </w:pPr>
            <w:r w:rsidRPr="00FF4EBC">
              <w:rPr>
                <w:lang w:val="es-ES"/>
              </w:rPr>
              <w:t>20</w:t>
            </w:r>
          </w:p>
        </w:tc>
      </w:tr>
      <w:tr w:rsidR="00FF4EBC" w:rsidRPr="00FF4EBC" w14:paraId="68D884D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BC342E1" w14:textId="77777777" w:rsidR="00FF4EBC" w:rsidRPr="00FF4EBC" w:rsidRDefault="00FF4EBC" w:rsidP="00B07FFA">
            <w:pPr>
              <w:pStyle w:val="Tabletext"/>
              <w:rPr>
                <w:lang w:val="en-GB"/>
              </w:rPr>
            </w:pPr>
            <w:r w:rsidRPr="00FF4EBC">
              <w:rPr>
                <w:lang w:val="es-ES"/>
              </w:rPr>
              <w:t>Colombia</w:t>
            </w:r>
          </w:p>
        </w:tc>
        <w:tc>
          <w:tcPr>
            <w:tcW w:w="1900" w:type="dxa"/>
            <w:tcBorders>
              <w:top w:val="nil"/>
              <w:left w:val="single" w:sz="4" w:space="0" w:color="auto"/>
              <w:bottom w:val="nil"/>
              <w:right w:val="single" w:sz="4" w:space="0" w:color="auto"/>
            </w:tcBorders>
            <w:shd w:val="clear" w:color="000000" w:fill="FFFFFF"/>
            <w:noWrap/>
            <w:vAlign w:val="bottom"/>
            <w:hideMark/>
          </w:tcPr>
          <w:p w14:paraId="3CE99A7D" w14:textId="77777777" w:rsidR="00FF4EBC" w:rsidRPr="00FF4EBC" w:rsidRDefault="00FF4EBC" w:rsidP="00C019E6">
            <w:pPr>
              <w:pStyle w:val="Tabletext"/>
              <w:jc w:val="center"/>
              <w:rPr>
                <w:lang w:val="en-GB"/>
              </w:rPr>
            </w:pPr>
            <w:r w:rsidRPr="00FF4EBC">
              <w:rPr>
                <w:lang w:val="es-ES"/>
              </w:rPr>
              <w:t>1</w:t>
            </w:r>
          </w:p>
        </w:tc>
      </w:tr>
      <w:tr w:rsidR="00FF4EBC" w:rsidRPr="00FF4EBC" w14:paraId="1C47D95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556D780F" w14:textId="77777777" w:rsidR="00FF4EBC" w:rsidRPr="00FF4EBC" w:rsidRDefault="00FF4EBC" w:rsidP="00B07FFA">
            <w:pPr>
              <w:pStyle w:val="Tabletext"/>
              <w:rPr>
                <w:lang w:val="en-GB"/>
              </w:rPr>
            </w:pPr>
            <w:r w:rsidRPr="00FF4EBC">
              <w:rPr>
                <w:lang w:val="es-ES"/>
              </w:rPr>
              <w:t>Comoras</w:t>
            </w:r>
          </w:p>
        </w:tc>
        <w:tc>
          <w:tcPr>
            <w:tcW w:w="1900" w:type="dxa"/>
            <w:tcBorders>
              <w:top w:val="nil"/>
              <w:left w:val="single" w:sz="4" w:space="0" w:color="auto"/>
              <w:bottom w:val="nil"/>
              <w:right w:val="single" w:sz="4" w:space="0" w:color="auto"/>
            </w:tcBorders>
            <w:shd w:val="clear" w:color="000000" w:fill="FFFFFF"/>
            <w:noWrap/>
            <w:vAlign w:val="bottom"/>
            <w:hideMark/>
          </w:tcPr>
          <w:p w14:paraId="63A3C19F" w14:textId="77777777" w:rsidR="00FF4EBC" w:rsidRPr="00FF4EBC" w:rsidRDefault="00FF4EBC" w:rsidP="00C019E6">
            <w:pPr>
              <w:pStyle w:val="Tabletext"/>
              <w:jc w:val="center"/>
              <w:rPr>
                <w:lang w:val="en-GB"/>
              </w:rPr>
            </w:pPr>
            <w:r w:rsidRPr="00FF4EBC">
              <w:rPr>
                <w:lang w:val="es-ES"/>
              </w:rPr>
              <w:t>1/16</w:t>
            </w:r>
          </w:p>
        </w:tc>
      </w:tr>
      <w:tr w:rsidR="00FF4EBC" w:rsidRPr="00FF4EBC" w14:paraId="3884388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B6A8E25" w14:textId="6A5683DE" w:rsidR="00FF4EBC" w:rsidRPr="00FF4EBC" w:rsidRDefault="00FF4EBC" w:rsidP="00B07FFA">
            <w:pPr>
              <w:pStyle w:val="Tabletext"/>
              <w:rPr>
                <w:lang w:val="en-GB"/>
              </w:rPr>
            </w:pPr>
            <w:r w:rsidRPr="00FF4EBC">
              <w:rPr>
                <w:lang w:val="es-ES"/>
              </w:rPr>
              <w:t xml:space="preserve">Congo </w:t>
            </w:r>
            <w:r w:rsidR="00093767">
              <w:rPr>
                <w:lang w:val="es-ES"/>
              </w:rPr>
              <w:t>(Rep. del)</w:t>
            </w:r>
          </w:p>
        </w:tc>
        <w:tc>
          <w:tcPr>
            <w:tcW w:w="1900" w:type="dxa"/>
            <w:tcBorders>
              <w:top w:val="nil"/>
              <w:left w:val="single" w:sz="4" w:space="0" w:color="auto"/>
              <w:bottom w:val="nil"/>
              <w:right w:val="single" w:sz="4" w:space="0" w:color="auto"/>
            </w:tcBorders>
            <w:shd w:val="clear" w:color="000000" w:fill="FFFFFF"/>
            <w:noWrap/>
            <w:vAlign w:val="bottom"/>
            <w:hideMark/>
          </w:tcPr>
          <w:p w14:paraId="11DBCE40" w14:textId="77777777" w:rsidR="00FF4EBC" w:rsidRPr="00FF4EBC" w:rsidRDefault="00FF4EBC" w:rsidP="00C019E6">
            <w:pPr>
              <w:pStyle w:val="Tabletext"/>
              <w:jc w:val="center"/>
              <w:rPr>
                <w:lang w:val="en-GB"/>
              </w:rPr>
            </w:pPr>
            <w:r w:rsidRPr="00FF4EBC">
              <w:rPr>
                <w:lang w:val="es-ES"/>
              </w:rPr>
              <w:t>1/4</w:t>
            </w:r>
          </w:p>
        </w:tc>
      </w:tr>
      <w:tr w:rsidR="00FF4EBC" w:rsidRPr="00FF4EBC" w14:paraId="746CCFB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37A681E" w14:textId="77777777" w:rsidR="00FF4EBC" w:rsidRPr="00FF4EBC" w:rsidRDefault="00FF4EBC" w:rsidP="00B07FFA">
            <w:pPr>
              <w:pStyle w:val="Tabletext"/>
              <w:rPr>
                <w:lang w:val="en-GB"/>
              </w:rPr>
            </w:pPr>
            <w:r w:rsidRPr="00FF4EBC">
              <w:rPr>
                <w:lang w:val="es-ES"/>
              </w:rPr>
              <w:t xml:space="preserve">Costa Rica </w:t>
            </w:r>
          </w:p>
        </w:tc>
        <w:tc>
          <w:tcPr>
            <w:tcW w:w="1900" w:type="dxa"/>
            <w:tcBorders>
              <w:top w:val="nil"/>
              <w:left w:val="single" w:sz="4" w:space="0" w:color="auto"/>
              <w:bottom w:val="nil"/>
              <w:right w:val="single" w:sz="4" w:space="0" w:color="auto"/>
            </w:tcBorders>
            <w:shd w:val="clear" w:color="000000" w:fill="FFFFFF"/>
            <w:noWrap/>
            <w:vAlign w:val="bottom"/>
            <w:hideMark/>
          </w:tcPr>
          <w:p w14:paraId="49F91A25" w14:textId="77777777" w:rsidR="00FF4EBC" w:rsidRPr="00FF4EBC" w:rsidRDefault="00FF4EBC" w:rsidP="00C019E6">
            <w:pPr>
              <w:pStyle w:val="Tabletext"/>
              <w:jc w:val="center"/>
              <w:rPr>
                <w:lang w:val="en-GB"/>
              </w:rPr>
            </w:pPr>
            <w:r w:rsidRPr="00FF4EBC">
              <w:rPr>
                <w:lang w:val="es-ES"/>
              </w:rPr>
              <w:t>1/4</w:t>
            </w:r>
          </w:p>
        </w:tc>
      </w:tr>
      <w:tr w:rsidR="00FF4EBC" w:rsidRPr="00FF4EBC" w14:paraId="27BCEB6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D6963E5" w14:textId="77777777" w:rsidR="00FF4EBC" w:rsidRPr="00FF4EBC" w:rsidRDefault="00FF4EBC" w:rsidP="00B07FFA">
            <w:pPr>
              <w:pStyle w:val="Tabletext"/>
              <w:rPr>
                <w:lang w:val="en-GB"/>
              </w:rPr>
            </w:pPr>
            <w:proofErr w:type="spellStart"/>
            <w:r w:rsidRPr="00FF4EBC">
              <w:rPr>
                <w:lang w:val="es-ES"/>
              </w:rPr>
              <w:t>Côte</w:t>
            </w:r>
            <w:proofErr w:type="spellEnd"/>
            <w:r w:rsidRPr="00FF4EBC">
              <w:rPr>
                <w:lang w:val="es-ES"/>
              </w:rPr>
              <w:t xml:space="preserve"> </w:t>
            </w:r>
            <w:proofErr w:type="spellStart"/>
            <w:r w:rsidRPr="00FF4EBC">
              <w:rPr>
                <w:lang w:val="es-ES"/>
              </w:rPr>
              <w:t>d'Ivoire</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1F29F586" w14:textId="77777777" w:rsidR="00FF4EBC" w:rsidRPr="00FF4EBC" w:rsidRDefault="00FF4EBC" w:rsidP="00C019E6">
            <w:pPr>
              <w:pStyle w:val="Tabletext"/>
              <w:jc w:val="center"/>
              <w:rPr>
                <w:lang w:val="en-GB"/>
              </w:rPr>
            </w:pPr>
            <w:r w:rsidRPr="00FF4EBC">
              <w:rPr>
                <w:lang w:val="es-ES"/>
              </w:rPr>
              <w:t>2</w:t>
            </w:r>
          </w:p>
        </w:tc>
      </w:tr>
      <w:tr w:rsidR="00FF4EBC" w:rsidRPr="00FF4EBC" w14:paraId="2937960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59F7A1B" w14:textId="77777777" w:rsidR="00FF4EBC" w:rsidRPr="00FF4EBC" w:rsidRDefault="00FF4EBC" w:rsidP="00B07FFA">
            <w:pPr>
              <w:pStyle w:val="Tabletext"/>
              <w:rPr>
                <w:lang w:val="en-GB"/>
              </w:rPr>
            </w:pPr>
            <w:r w:rsidRPr="00FF4EBC">
              <w:rPr>
                <w:lang w:val="es-ES"/>
              </w:rPr>
              <w:t>Croacia</w:t>
            </w:r>
          </w:p>
        </w:tc>
        <w:tc>
          <w:tcPr>
            <w:tcW w:w="1900" w:type="dxa"/>
            <w:tcBorders>
              <w:top w:val="nil"/>
              <w:left w:val="single" w:sz="4" w:space="0" w:color="auto"/>
              <w:bottom w:val="nil"/>
              <w:right w:val="single" w:sz="4" w:space="0" w:color="auto"/>
            </w:tcBorders>
            <w:shd w:val="clear" w:color="000000" w:fill="FFFFFF"/>
            <w:vAlign w:val="bottom"/>
            <w:hideMark/>
          </w:tcPr>
          <w:p w14:paraId="221C0D51" w14:textId="77777777" w:rsidR="00FF4EBC" w:rsidRPr="00FF4EBC" w:rsidRDefault="00FF4EBC" w:rsidP="00C019E6">
            <w:pPr>
              <w:pStyle w:val="Tabletext"/>
              <w:jc w:val="center"/>
              <w:rPr>
                <w:lang w:val="en-GB"/>
              </w:rPr>
            </w:pPr>
            <w:r w:rsidRPr="00FF4EBC">
              <w:rPr>
                <w:lang w:val="es-ES"/>
              </w:rPr>
              <w:t>1/4</w:t>
            </w:r>
          </w:p>
        </w:tc>
      </w:tr>
      <w:tr w:rsidR="00FF4EBC" w:rsidRPr="00FF4EBC" w14:paraId="0A8633B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48417FC" w14:textId="77777777" w:rsidR="00FF4EBC" w:rsidRPr="00FF4EBC" w:rsidRDefault="00FF4EBC" w:rsidP="00B07FFA">
            <w:pPr>
              <w:pStyle w:val="Tabletext"/>
              <w:rPr>
                <w:lang w:val="en-GB"/>
              </w:rPr>
            </w:pPr>
            <w:r w:rsidRPr="00FF4EBC">
              <w:rPr>
                <w:lang w:val="es-ES"/>
              </w:rPr>
              <w:t xml:space="preserve">Cuba </w:t>
            </w:r>
          </w:p>
        </w:tc>
        <w:tc>
          <w:tcPr>
            <w:tcW w:w="1900" w:type="dxa"/>
            <w:tcBorders>
              <w:top w:val="nil"/>
              <w:left w:val="single" w:sz="4" w:space="0" w:color="auto"/>
              <w:bottom w:val="nil"/>
              <w:right w:val="single" w:sz="4" w:space="0" w:color="auto"/>
            </w:tcBorders>
            <w:shd w:val="clear" w:color="000000" w:fill="FFFFFF"/>
            <w:noWrap/>
            <w:vAlign w:val="bottom"/>
            <w:hideMark/>
          </w:tcPr>
          <w:p w14:paraId="6A98FF47" w14:textId="77777777" w:rsidR="00FF4EBC" w:rsidRPr="00FF4EBC" w:rsidRDefault="00FF4EBC" w:rsidP="00C019E6">
            <w:pPr>
              <w:pStyle w:val="Tabletext"/>
              <w:jc w:val="center"/>
              <w:rPr>
                <w:lang w:val="en-GB"/>
              </w:rPr>
            </w:pPr>
            <w:r w:rsidRPr="00FF4EBC">
              <w:rPr>
                <w:lang w:val="es-ES"/>
              </w:rPr>
              <w:t>1/4</w:t>
            </w:r>
          </w:p>
        </w:tc>
      </w:tr>
      <w:tr w:rsidR="00FF4EBC" w:rsidRPr="00FF4EBC" w14:paraId="1AD4527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97BB78B" w14:textId="0C5F48E4" w:rsidR="00FF4EBC" w:rsidRPr="00FF4EBC" w:rsidRDefault="00FF4EBC" w:rsidP="00B07FFA">
            <w:pPr>
              <w:pStyle w:val="Tabletext"/>
              <w:rPr>
                <w:lang w:val="en-GB"/>
              </w:rPr>
            </w:pPr>
            <w:r w:rsidRPr="00FF4EBC">
              <w:rPr>
                <w:lang w:val="es-ES"/>
              </w:rPr>
              <w:t>Chipre</w:t>
            </w:r>
          </w:p>
        </w:tc>
        <w:tc>
          <w:tcPr>
            <w:tcW w:w="1900" w:type="dxa"/>
            <w:tcBorders>
              <w:top w:val="nil"/>
              <w:left w:val="single" w:sz="4" w:space="0" w:color="auto"/>
              <w:bottom w:val="nil"/>
              <w:right w:val="single" w:sz="4" w:space="0" w:color="auto"/>
            </w:tcBorders>
            <w:shd w:val="clear" w:color="000000" w:fill="FFFFFF"/>
            <w:noWrap/>
            <w:vAlign w:val="bottom"/>
            <w:hideMark/>
          </w:tcPr>
          <w:p w14:paraId="7A3D402F" w14:textId="77777777" w:rsidR="00FF4EBC" w:rsidRPr="00FF4EBC" w:rsidRDefault="00FF4EBC" w:rsidP="00C019E6">
            <w:pPr>
              <w:pStyle w:val="Tabletext"/>
              <w:jc w:val="center"/>
              <w:rPr>
                <w:lang w:val="en-GB"/>
              </w:rPr>
            </w:pPr>
            <w:r w:rsidRPr="00FF4EBC">
              <w:rPr>
                <w:lang w:val="es-ES"/>
              </w:rPr>
              <w:t>1/4</w:t>
            </w:r>
          </w:p>
        </w:tc>
      </w:tr>
      <w:tr w:rsidR="00FF4EBC" w:rsidRPr="00FF4EBC" w14:paraId="418BA95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E6CA81F" w14:textId="77777777" w:rsidR="00FF4EBC" w:rsidRPr="00FF4EBC" w:rsidRDefault="00FF4EBC" w:rsidP="00B07FFA">
            <w:pPr>
              <w:pStyle w:val="Tabletext"/>
              <w:rPr>
                <w:lang w:val="en-GB"/>
              </w:rPr>
            </w:pPr>
            <w:r w:rsidRPr="00FF4EBC">
              <w:rPr>
                <w:lang w:val="es-ES"/>
              </w:rPr>
              <w:t>República Checa</w:t>
            </w:r>
          </w:p>
        </w:tc>
        <w:tc>
          <w:tcPr>
            <w:tcW w:w="1900" w:type="dxa"/>
            <w:tcBorders>
              <w:top w:val="nil"/>
              <w:left w:val="single" w:sz="4" w:space="0" w:color="auto"/>
              <w:bottom w:val="nil"/>
              <w:right w:val="single" w:sz="4" w:space="0" w:color="auto"/>
            </w:tcBorders>
            <w:shd w:val="clear" w:color="000000" w:fill="FFFFFF"/>
            <w:noWrap/>
            <w:vAlign w:val="bottom"/>
            <w:hideMark/>
          </w:tcPr>
          <w:p w14:paraId="097AA7FF" w14:textId="77777777" w:rsidR="00FF4EBC" w:rsidRPr="00FF4EBC" w:rsidRDefault="00FF4EBC" w:rsidP="00C019E6">
            <w:pPr>
              <w:pStyle w:val="Tabletext"/>
              <w:jc w:val="center"/>
              <w:rPr>
                <w:lang w:val="en-GB"/>
              </w:rPr>
            </w:pPr>
            <w:r w:rsidRPr="00FF4EBC">
              <w:rPr>
                <w:lang w:val="es-ES"/>
              </w:rPr>
              <w:t>1</w:t>
            </w:r>
          </w:p>
        </w:tc>
      </w:tr>
      <w:tr w:rsidR="00FF4EBC" w:rsidRPr="00FF4EBC" w14:paraId="67C963E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5EC684A" w14:textId="77777777" w:rsidR="00FF4EBC" w:rsidRPr="00FF4EBC" w:rsidRDefault="00FF4EBC" w:rsidP="00B07FFA">
            <w:pPr>
              <w:pStyle w:val="Tabletext"/>
              <w:rPr>
                <w:lang w:val="en-GB"/>
              </w:rPr>
            </w:pPr>
            <w:r w:rsidRPr="00FF4EBC">
              <w:rPr>
                <w:lang w:val="es-ES"/>
              </w:rPr>
              <w:t xml:space="preserve">Rep. </w:t>
            </w:r>
            <w:proofErr w:type="spellStart"/>
            <w:r w:rsidRPr="00FF4EBC">
              <w:rPr>
                <w:lang w:val="es-ES"/>
              </w:rPr>
              <w:t>Dem</w:t>
            </w:r>
            <w:proofErr w:type="spellEnd"/>
            <w:r w:rsidRPr="00FF4EBC">
              <w:rPr>
                <w:lang w:val="es-ES"/>
              </w:rPr>
              <w:t>. del Congo</w:t>
            </w:r>
          </w:p>
        </w:tc>
        <w:tc>
          <w:tcPr>
            <w:tcW w:w="1900" w:type="dxa"/>
            <w:tcBorders>
              <w:top w:val="nil"/>
              <w:left w:val="single" w:sz="4" w:space="0" w:color="auto"/>
              <w:bottom w:val="nil"/>
              <w:right w:val="single" w:sz="4" w:space="0" w:color="auto"/>
            </w:tcBorders>
            <w:shd w:val="clear" w:color="000000" w:fill="FFFFFF"/>
            <w:noWrap/>
            <w:vAlign w:val="bottom"/>
            <w:hideMark/>
          </w:tcPr>
          <w:p w14:paraId="7969B81F" w14:textId="77777777" w:rsidR="00FF4EBC" w:rsidRPr="00FF4EBC" w:rsidRDefault="00FF4EBC" w:rsidP="00C019E6">
            <w:pPr>
              <w:pStyle w:val="Tabletext"/>
              <w:jc w:val="center"/>
              <w:rPr>
                <w:lang w:val="en-GB"/>
              </w:rPr>
            </w:pPr>
            <w:r w:rsidRPr="00FF4EBC">
              <w:rPr>
                <w:lang w:val="es-ES"/>
              </w:rPr>
              <w:t>1/16</w:t>
            </w:r>
          </w:p>
        </w:tc>
      </w:tr>
      <w:tr w:rsidR="00FF4EBC" w:rsidRPr="00FF4EBC" w14:paraId="3C1CA590"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40ADC27" w14:textId="77777777" w:rsidR="00FF4EBC" w:rsidRPr="00FF4EBC" w:rsidRDefault="00FF4EBC" w:rsidP="00B07FFA">
            <w:pPr>
              <w:pStyle w:val="Tabletext"/>
              <w:rPr>
                <w:lang w:val="es-ES"/>
              </w:rPr>
            </w:pPr>
            <w:r w:rsidRPr="00FF4EBC">
              <w:rPr>
                <w:lang w:val="es-ES"/>
              </w:rPr>
              <w:t>República Popular Democrática de Corea</w:t>
            </w:r>
          </w:p>
        </w:tc>
        <w:tc>
          <w:tcPr>
            <w:tcW w:w="1900" w:type="dxa"/>
            <w:tcBorders>
              <w:top w:val="nil"/>
              <w:left w:val="single" w:sz="4" w:space="0" w:color="auto"/>
              <w:bottom w:val="nil"/>
              <w:right w:val="single" w:sz="4" w:space="0" w:color="auto"/>
            </w:tcBorders>
            <w:shd w:val="clear" w:color="000000" w:fill="FFFFFF"/>
            <w:noWrap/>
            <w:vAlign w:val="bottom"/>
            <w:hideMark/>
          </w:tcPr>
          <w:p w14:paraId="1FAC9D56" w14:textId="77777777" w:rsidR="00FF4EBC" w:rsidRPr="00FF4EBC" w:rsidRDefault="00FF4EBC" w:rsidP="00C019E6">
            <w:pPr>
              <w:pStyle w:val="Tabletext"/>
              <w:jc w:val="center"/>
              <w:rPr>
                <w:lang w:val="en-GB"/>
              </w:rPr>
            </w:pPr>
            <w:r w:rsidRPr="00FF4EBC">
              <w:rPr>
                <w:lang w:val="es-ES"/>
              </w:rPr>
              <w:t>1/8</w:t>
            </w:r>
          </w:p>
        </w:tc>
      </w:tr>
      <w:tr w:rsidR="00FF4EBC" w:rsidRPr="00FF4EBC" w14:paraId="256C8A0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2085D6E" w14:textId="77777777" w:rsidR="00FF4EBC" w:rsidRPr="00FF4EBC" w:rsidRDefault="00FF4EBC" w:rsidP="00B07FFA">
            <w:pPr>
              <w:pStyle w:val="Tabletext"/>
              <w:rPr>
                <w:lang w:val="en-GB"/>
              </w:rPr>
            </w:pPr>
            <w:r w:rsidRPr="00FF4EBC">
              <w:rPr>
                <w:lang w:val="es-ES"/>
              </w:rPr>
              <w:t>Dinamarca</w:t>
            </w:r>
          </w:p>
        </w:tc>
        <w:tc>
          <w:tcPr>
            <w:tcW w:w="1900" w:type="dxa"/>
            <w:tcBorders>
              <w:top w:val="nil"/>
              <w:left w:val="single" w:sz="4" w:space="0" w:color="auto"/>
              <w:bottom w:val="nil"/>
              <w:right w:val="single" w:sz="4" w:space="0" w:color="auto"/>
            </w:tcBorders>
            <w:shd w:val="clear" w:color="000000" w:fill="FFFFFF"/>
            <w:noWrap/>
            <w:vAlign w:val="bottom"/>
            <w:hideMark/>
          </w:tcPr>
          <w:p w14:paraId="05F50FD1" w14:textId="09FE45B1" w:rsidR="00FF4EBC" w:rsidRPr="00FF4EBC" w:rsidRDefault="00FF4EBC" w:rsidP="00C019E6">
            <w:pPr>
              <w:pStyle w:val="Tabletext"/>
              <w:jc w:val="center"/>
              <w:rPr>
                <w:lang w:val="en-GB"/>
              </w:rPr>
            </w:pPr>
            <w:r w:rsidRPr="00FF4EBC">
              <w:rPr>
                <w:lang w:val="es-ES"/>
              </w:rPr>
              <w:t>1 1/2</w:t>
            </w:r>
          </w:p>
        </w:tc>
      </w:tr>
      <w:tr w:rsidR="00FF4EBC" w:rsidRPr="00FF4EBC" w14:paraId="674EAD4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FF75AB3" w14:textId="77777777" w:rsidR="00FF4EBC" w:rsidRPr="00FF4EBC" w:rsidRDefault="00FF4EBC" w:rsidP="00B07FFA">
            <w:pPr>
              <w:pStyle w:val="Tabletext"/>
              <w:rPr>
                <w:lang w:val="en-GB"/>
              </w:rPr>
            </w:pPr>
            <w:r w:rsidRPr="00FF4EBC">
              <w:rPr>
                <w:lang w:val="es-ES"/>
              </w:rPr>
              <w:t>Djibouti</w:t>
            </w:r>
          </w:p>
        </w:tc>
        <w:tc>
          <w:tcPr>
            <w:tcW w:w="1900" w:type="dxa"/>
            <w:tcBorders>
              <w:top w:val="nil"/>
              <w:left w:val="single" w:sz="4" w:space="0" w:color="auto"/>
              <w:bottom w:val="nil"/>
              <w:right w:val="single" w:sz="4" w:space="0" w:color="auto"/>
            </w:tcBorders>
            <w:shd w:val="clear" w:color="000000" w:fill="FFFFFF"/>
            <w:noWrap/>
            <w:vAlign w:val="bottom"/>
            <w:hideMark/>
          </w:tcPr>
          <w:p w14:paraId="5F5F550D" w14:textId="77777777" w:rsidR="00FF4EBC" w:rsidRPr="00FF4EBC" w:rsidRDefault="00FF4EBC" w:rsidP="00C019E6">
            <w:pPr>
              <w:pStyle w:val="Tabletext"/>
              <w:jc w:val="center"/>
              <w:rPr>
                <w:lang w:val="en-GB"/>
              </w:rPr>
            </w:pPr>
            <w:r w:rsidRPr="00FF4EBC">
              <w:rPr>
                <w:lang w:val="es-ES"/>
              </w:rPr>
              <w:t>1/16</w:t>
            </w:r>
          </w:p>
        </w:tc>
      </w:tr>
      <w:tr w:rsidR="00FF4EBC" w:rsidRPr="00FF4EBC" w14:paraId="12CDDE9B"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059BF80" w14:textId="77777777" w:rsidR="00FF4EBC" w:rsidRPr="00FF4EBC" w:rsidRDefault="00FF4EBC" w:rsidP="00B07FFA">
            <w:pPr>
              <w:pStyle w:val="Tabletext"/>
              <w:rPr>
                <w:lang w:val="en-GB"/>
              </w:rPr>
            </w:pPr>
            <w:r w:rsidRPr="00FF4EBC">
              <w:rPr>
                <w:lang w:val="es-ES"/>
              </w:rPr>
              <w:t>Dominica</w:t>
            </w:r>
          </w:p>
        </w:tc>
        <w:tc>
          <w:tcPr>
            <w:tcW w:w="1900" w:type="dxa"/>
            <w:tcBorders>
              <w:top w:val="nil"/>
              <w:left w:val="single" w:sz="4" w:space="0" w:color="auto"/>
              <w:bottom w:val="nil"/>
              <w:right w:val="single" w:sz="4" w:space="0" w:color="auto"/>
            </w:tcBorders>
            <w:shd w:val="clear" w:color="000000" w:fill="FFFFFF"/>
            <w:noWrap/>
            <w:vAlign w:val="bottom"/>
            <w:hideMark/>
          </w:tcPr>
          <w:p w14:paraId="1E147B60" w14:textId="77777777" w:rsidR="00FF4EBC" w:rsidRPr="00FF4EBC" w:rsidRDefault="00FF4EBC" w:rsidP="00C019E6">
            <w:pPr>
              <w:pStyle w:val="Tabletext"/>
              <w:jc w:val="center"/>
              <w:rPr>
                <w:lang w:val="en-GB"/>
              </w:rPr>
            </w:pPr>
            <w:r w:rsidRPr="00FF4EBC">
              <w:rPr>
                <w:lang w:val="es-ES"/>
              </w:rPr>
              <w:t>1/16</w:t>
            </w:r>
          </w:p>
        </w:tc>
      </w:tr>
      <w:tr w:rsidR="00FF4EBC" w:rsidRPr="00FF4EBC" w14:paraId="2F03FAD7"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EE193C8" w14:textId="77777777" w:rsidR="00FF4EBC" w:rsidRPr="00FF4EBC" w:rsidRDefault="00FF4EBC" w:rsidP="00B07FFA">
            <w:pPr>
              <w:pStyle w:val="Tabletext"/>
              <w:rPr>
                <w:lang w:val="en-GB"/>
              </w:rPr>
            </w:pPr>
            <w:r w:rsidRPr="00FF4EBC">
              <w:rPr>
                <w:lang w:val="es-ES"/>
              </w:rPr>
              <w:t>República Dominicana</w:t>
            </w:r>
          </w:p>
        </w:tc>
        <w:tc>
          <w:tcPr>
            <w:tcW w:w="1900" w:type="dxa"/>
            <w:tcBorders>
              <w:top w:val="nil"/>
              <w:left w:val="single" w:sz="4" w:space="0" w:color="auto"/>
              <w:bottom w:val="nil"/>
              <w:right w:val="single" w:sz="4" w:space="0" w:color="auto"/>
            </w:tcBorders>
            <w:shd w:val="clear" w:color="000000" w:fill="FFFFFF"/>
            <w:noWrap/>
            <w:vAlign w:val="bottom"/>
            <w:hideMark/>
          </w:tcPr>
          <w:p w14:paraId="2EEF57B1" w14:textId="77777777" w:rsidR="00FF4EBC" w:rsidRPr="00FF4EBC" w:rsidRDefault="00FF4EBC" w:rsidP="00C019E6">
            <w:pPr>
              <w:pStyle w:val="Tabletext"/>
              <w:jc w:val="center"/>
              <w:rPr>
                <w:lang w:val="en-GB"/>
              </w:rPr>
            </w:pPr>
            <w:r w:rsidRPr="00FF4EBC">
              <w:rPr>
                <w:lang w:val="es-ES"/>
              </w:rPr>
              <w:t>1/4</w:t>
            </w:r>
          </w:p>
        </w:tc>
      </w:tr>
      <w:tr w:rsidR="00FF4EBC" w:rsidRPr="00FF4EBC" w14:paraId="7EF0027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6BAE644" w14:textId="77777777" w:rsidR="00FF4EBC" w:rsidRPr="00FF4EBC" w:rsidRDefault="00FF4EBC" w:rsidP="00B07FFA">
            <w:pPr>
              <w:pStyle w:val="Tabletext"/>
              <w:rPr>
                <w:lang w:val="en-GB"/>
              </w:rPr>
            </w:pPr>
            <w:r w:rsidRPr="00FF4EBC">
              <w:rPr>
                <w:lang w:val="es-ES"/>
              </w:rPr>
              <w:t xml:space="preserve">Ecuador </w:t>
            </w:r>
          </w:p>
        </w:tc>
        <w:tc>
          <w:tcPr>
            <w:tcW w:w="1900" w:type="dxa"/>
            <w:tcBorders>
              <w:top w:val="nil"/>
              <w:left w:val="single" w:sz="4" w:space="0" w:color="auto"/>
              <w:bottom w:val="nil"/>
              <w:right w:val="single" w:sz="4" w:space="0" w:color="auto"/>
            </w:tcBorders>
            <w:shd w:val="clear" w:color="000000" w:fill="FFFFFF"/>
            <w:noWrap/>
            <w:vAlign w:val="bottom"/>
            <w:hideMark/>
          </w:tcPr>
          <w:p w14:paraId="0B20A895" w14:textId="77777777" w:rsidR="00FF4EBC" w:rsidRPr="00FF4EBC" w:rsidRDefault="00FF4EBC" w:rsidP="00C019E6">
            <w:pPr>
              <w:pStyle w:val="Tabletext"/>
              <w:jc w:val="center"/>
              <w:rPr>
                <w:lang w:val="en-GB"/>
              </w:rPr>
            </w:pPr>
            <w:r w:rsidRPr="00FF4EBC">
              <w:rPr>
                <w:lang w:val="es-ES"/>
              </w:rPr>
              <w:t>1/4</w:t>
            </w:r>
          </w:p>
        </w:tc>
      </w:tr>
      <w:tr w:rsidR="00FF4EBC" w:rsidRPr="00FF4EBC" w14:paraId="3CA7AE04"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89C759C" w14:textId="77777777" w:rsidR="00FF4EBC" w:rsidRPr="00FF4EBC" w:rsidRDefault="00FF4EBC" w:rsidP="00B07FFA">
            <w:pPr>
              <w:pStyle w:val="Tabletext"/>
              <w:rPr>
                <w:lang w:val="en-GB"/>
              </w:rPr>
            </w:pPr>
            <w:r w:rsidRPr="00FF4EBC">
              <w:rPr>
                <w:lang w:val="es-ES"/>
              </w:rPr>
              <w:t>Egipto</w:t>
            </w:r>
          </w:p>
        </w:tc>
        <w:tc>
          <w:tcPr>
            <w:tcW w:w="1900" w:type="dxa"/>
            <w:tcBorders>
              <w:top w:val="nil"/>
              <w:left w:val="single" w:sz="4" w:space="0" w:color="auto"/>
              <w:bottom w:val="nil"/>
              <w:right w:val="single" w:sz="4" w:space="0" w:color="auto"/>
            </w:tcBorders>
            <w:shd w:val="clear" w:color="000000" w:fill="FFFFFF"/>
            <w:noWrap/>
            <w:vAlign w:val="bottom"/>
            <w:hideMark/>
          </w:tcPr>
          <w:p w14:paraId="0558D9C9" w14:textId="77777777" w:rsidR="00FF4EBC" w:rsidRPr="00FF4EBC" w:rsidRDefault="00FF4EBC" w:rsidP="00C019E6">
            <w:pPr>
              <w:pStyle w:val="Tabletext"/>
              <w:jc w:val="center"/>
              <w:rPr>
                <w:lang w:val="en-GB"/>
              </w:rPr>
            </w:pPr>
            <w:r w:rsidRPr="00FF4EBC">
              <w:rPr>
                <w:lang w:val="es-ES"/>
              </w:rPr>
              <w:t>1/2</w:t>
            </w:r>
          </w:p>
        </w:tc>
      </w:tr>
      <w:tr w:rsidR="00FF4EBC" w:rsidRPr="00FF4EBC" w14:paraId="20EAFAB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7CB9990" w14:textId="77777777" w:rsidR="00FF4EBC" w:rsidRPr="00FF4EBC" w:rsidRDefault="00FF4EBC" w:rsidP="00B07FFA">
            <w:pPr>
              <w:pStyle w:val="Tabletext"/>
              <w:rPr>
                <w:lang w:val="en-GB"/>
              </w:rPr>
            </w:pPr>
            <w:r w:rsidRPr="00FF4EBC">
              <w:rPr>
                <w:lang w:val="es-ES"/>
              </w:rPr>
              <w:t>El Salvador</w:t>
            </w:r>
          </w:p>
        </w:tc>
        <w:tc>
          <w:tcPr>
            <w:tcW w:w="1900" w:type="dxa"/>
            <w:tcBorders>
              <w:top w:val="nil"/>
              <w:left w:val="single" w:sz="4" w:space="0" w:color="auto"/>
              <w:bottom w:val="nil"/>
              <w:right w:val="single" w:sz="4" w:space="0" w:color="auto"/>
            </w:tcBorders>
            <w:shd w:val="clear" w:color="000000" w:fill="FFFFFF"/>
            <w:noWrap/>
            <w:vAlign w:val="bottom"/>
            <w:hideMark/>
          </w:tcPr>
          <w:p w14:paraId="28CECF14" w14:textId="77777777" w:rsidR="00FF4EBC" w:rsidRPr="00FF4EBC" w:rsidRDefault="00FF4EBC" w:rsidP="00C019E6">
            <w:pPr>
              <w:pStyle w:val="Tabletext"/>
              <w:jc w:val="center"/>
              <w:rPr>
                <w:lang w:val="en-GB"/>
              </w:rPr>
            </w:pPr>
            <w:r w:rsidRPr="00FF4EBC">
              <w:rPr>
                <w:lang w:val="es-ES"/>
              </w:rPr>
              <w:t>1/4</w:t>
            </w:r>
          </w:p>
        </w:tc>
      </w:tr>
      <w:tr w:rsidR="00FF4EBC" w:rsidRPr="00FF4EBC" w14:paraId="5D51E12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1A1577B" w14:textId="77777777" w:rsidR="00FF4EBC" w:rsidRPr="00FF4EBC" w:rsidRDefault="00FF4EBC" w:rsidP="00B07FFA">
            <w:pPr>
              <w:pStyle w:val="Tabletext"/>
              <w:rPr>
                <w:lang w:val="en-GB"/>
              </w:rPr>
            </w:pPr>
            <w:r w:rsidRPr="00FF4EBC">
              <w:rPr>
                <w:lang w:val="es-ES"/>
              </w:rPr>
              <w:t xml:space="preserve">Guinea Ecuatorial </w:t>
            </w:r>
          </w:p>
        </w:tc>
        <w:tc>
          <w:tcPr>
            <w:tcW w:w="1900" w:type="dxa"/>
            <w:tcBorders>
              <w:top w:val="nil"/>
              <w:left w:val="single" w:sz="4" w:space="0" w:color="auto"/>
              <w:bottom w:val="nil"/>
              <w:right w:val="single" w:sz="4" w:space="0" w:color="auto"/>
            </w:tcBorders>
            <w:shd w:val="clear" w:color="000000" w:fill="FFFFFF"/>
            <w:noWrap/>
            <w:vAlign w:val="bottom"/>
            <w:hideMark/>
          </w:tcPr>
          <w:p w14:paraId="55A60670" w14:textId="77777777" w:rsidR="00FF4EBC" w:rsidRPr="00FF4EBC" w:rsidRDefault="00FF4EBC" w:rsidP="00C019E6">
            <w:pPr>
              <w:pStyle w:val="Tabletext"/>
              <w:jc w:val="center"/>
              <w:rPr>
                <w:lang w:val="en-GB"/>
              </w:rPr>
            </w:pPr>
            <w:r w:rsidRPr="00FF4EBC">
              <w:rPr>
                <w:lang w:val="es-ES"/>
              </w:rPr>
              <w:t>1/4</w:t>
            </w:r>
          </w:p>
        </w:tc>
      </w:tr>
      <w:tr w:rsidR="00FF4EBC" w:rsidRPr="00FF4EBC" w14:paraId="23225341"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937C002" w14:textId="77777777" w:rsidR="00FF4EBC" w:rsidRPr="00FF4EBC" w:rsidRDefault="00FF4EBC" w:rsidP="00B07FFA">
            <w:pPr>
              <w:pStyle w:val="Tabletext"/>
              <w:rPr>
                <w:lang w:val="en-GB"/>
              </w:rPr>
            </w:pPr>
            <w:r w:rsidRPr="00FF4EBC">
              <w:rPr>
                <w:lang w:val="es-ES"/>
              </w:rPr>
              <w:t>Eritrea</w:t>
            </w:r>
          </w:p>
        </w:tc>
        <w:tc>
          <w:tcPr>
            <w:tcW w:w="1900" w:type="dxa"/>
            <w:tcBorders>
              <w:top w:val="nil"/>
              <w:left w:val="single" w:sz="4" w:space="0" w:color="auto"/>
              <w:bottom w:val="nil"/>
              <w:right w:val="single" w:sz="4" w:space="0" w:color="auto"/>
            </w:tcBorders>
            <w:shd w:val="clear" w:color="000000" w:fill="FFFFFF"/>
            <w:noWrap/>
            <w:vAlign w:val="bottom"/>
            <w:hideMark/>
          </w:tcPr>
          <w:p w14:paraId="5ACDC599" w14:textId="77777777" w:rsidR="00FF4EBC" w:rsidRPr="00FF4EBC" w:rsidRDefault="00FF4EBC" w:rsidP="00C019E6">
            <w:pPr>
              <w:pStyle w:val="Tabletext"/>
              <w:jc w:val="center"/>
              <w:rPr>
                <w:lang w:val="en-GB"/>
              </w:rPr>
            </w:pPr>
            <w:r w:rsidRPr="00FF4EBC">
              <w:rPr>
                <w:lang w:val="es-ES"/>
              </w:rPr>
              <w:t>1/16</w:t>
            </w:r>
          </w:p>
        </w:tc>
      </w:tr>
      <w:tr w:rsidR="00FF4EBC" w:rsidRPr="00FF4EBC" w14:paraId="685FB7B7"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6E0A1D4" w14:textId="77777777" w:rsidR="00FF4EBC" w:rsidRPr="00FF4EBC" w:rsidRDefault="00FF4EBC" w:rsidP="00B07FFA">
            <w:pPr>
              <w:pStyle w:val="Tabletext"/>
              <w:rPr>
                <w:lang w:val="en-GB"/>
              </w:rPr>
            </w:pPr>
            <w:r w:rsidRPr="00FF4EBC">
              <w:rPr>
                <w:lang w:val="es-ES"/>
              </w:rPr>
              <w:t>Estonia</w:t>
            </w:r>
          </w:p>
        </w:tc>
        <w:tc>
          <w:tcPr>
            <w:tcW w:w="1900" w:type="dxa"/>
            <w:tcBorders>
              <w:top w:val="nil"/>
              <w:left w:val="single" w:sz="4" w:space="0" w:color="auto"/>
              <w:bottom w:val="nil"/>
              <w:right w:val="single" w:sz="4" w:space="0" w:color="auto"/>
            </w:tcBorders>
            <w:shd w:val="clear" w:color="000000" w:fill="FFFFFF"/>
            <w:noWrap/>
            <w:vAlign w:val="bottom"/>
            <w:hideMark/>
          </w:tcPr>
          <w:p w14:paraId="22AD2B38" w14:textId="77777777" w:rsidR="00FF4EBC" w:rsidRPr="00FF4EBC" w:rsidRDefault="00FF4EBC" w:rsidP="00C019E6">
            <w:pPr>
              <w:pStyle w:val="Tabletext"/>
              <w:jc w:val="center"/>
              <w:rPr>
                <w:lang w:val="en-GB"/>
              </w:rPr>
            </w:pPr>
            <w:r w:rsidRPr="00FF4EBC">
              <w:rPr>
                <w:lang w:val="es-ES"/>
              </w:rPr>
              <w:t>1/4</w:t>
            </w:r>
          </w:p>
        </w:tc>
      </w:tr>
      <w:tr w:rsidR="00FF4EBC" w:rsidRPr="00FF4EBC" w14:paraId="5589A02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B17E669" w14:textId="77777777" w:rsidR="00FF4EBC" w:rsidRPr="00FF4EBC" w:rsidRDefault="00FF4EBC" w:rsidP="00B07FFA">
            <w:pPr>
              <w:pStyle w:val="Tabletext"/>
              <w:rPr>
                <w:lang w:val="en-GB"/>
              </w:rPr>
            </w:pPr>
            <w:proofErr w:type="spellStart"/>
            <w:r w:rsidRPr="00FF4EBC">
              <w:rPr>
                <w:lang w:val="es-ES"/>
              </w:rPr>
              <w:t>Eswatini</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1EEF1872" w14:textId="77777777" w:rsidR="00FF4EBC" w:rsidRPr="00FF4EBC" w:rsidRDefault="00FF4EBC" w:rsidP="00C019E6">
            <w:pPr>
              <w:pStyle w:val="Tabletext"/>
              <w:jc w:val="center"/>
              <w:rPr>
                <w:lang w:val="en-GB"/>
              </w:rPr>
            </w:pPr>
            <w:r w:rsidRPr="00FF4EBC">
              <w:rPr>
                <w:lang w:val="es-ES"/>
              </w:rPr>
              <w:t>1/8</w:t>
            </w:r>
          </w:p>
        </w:tc>
      </w:tr>
      <w:tr w:rsidR="00FF4EBC" w:rsidRPr="00FF4EBC" w14:paraId="39C9849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BD12693" w14:textId="77777777" w:rsidR="00FF4EBC" w:rsidRPr="00FF4EBC" w:rsidRDefault="00FF4EBC" w:rsidP="00B07FFA">
            <w:pPr>
              <w:pStyle w:val="Tabletext"/>
              <w:rPr>
                <w:lang w:val="en-GB"/>
              </w:rPr>
            </w:pPr>
            <w:r w:rsidRPr="00FF4EBC">
              <w:rPr>
                <w:lang w:val="es-ES"/>
              </w:rPr>
              <w:t>Etiopía</w:t>
            </w:r>
          </w:p>
        </w:tc>
        <w:tc>
          <w:tcPr>
            <w:tcW w:w="1900" w:type="dxa"/>
            <w:tcBorders>
              <w:top w:val="nil"/>
              <w:left w:val="single" w:sz="4" w:space="0" w:color="auto"/>
              <w:bottom w:val="nil"/>
              <w:right w:val="single" w:sz="4" w:space="0" w:color="auto"/>
            </w:tcBorders>
            <w:shd w:val="clear" w:color="000000" w:fill="FFFFFF"/>
            <w:noWrap/>
            <w:vAlign w:val="bottom"/>
            <w:hideMark/>
          </w:tcPr>
          <w:p w14:paraId="41C1904C" w14:textId="77777777" w:rsidR="00FF4EBC" w:rsidRPr="00FF4EBC" w:rsidRDefault="00FF4EBC" w:rsidP="00C019E6">
            <w:pPr>
              <w:pStyle w:val="Tabletext"/>
              <w:jc w:val="center"/>
              <w:rPr>
                <w:lang w:val="en-GB"/>
              </w:rPr>
            </w:pPr>
            <w:r w:rsidRPr="00FF4EBC">
              <w:rPr>
                <w:lang w:val="es-ES"/>
              </w:rPr>
              <w:t>1/16</w:t>
            </w:r>
          </w:p>
        </w:tc>
      </w:tr>
      <w:tr w:rsidR="00FF4EBC" w:rsidRPr="00FF4EBC" w14:paraId="623ADEE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2F115B7" w14:textId="503A408D" w:rsidR="00FF4EBC" w:rsidRPr="00FF4EBC" w:rsidRDefault="00FF4EBC" w:rsidP="00B07FFA">
            <w:pPr>
              <w:pStyle w:val="Tabletext"/>
              <w:rPr>
                <w:lang w:val="en-GB"/>
              </w:rPr>
            </w:pPr>
            <w:proofErr w:type="spellStart"/>
            <w:r w:rsidRPr="00FF4EBC">
              <w:rPr>
                <w:lang w:val="es-ES"/>
              </w:rPr>
              <w:t>Fiji</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75DAB411" w14:textId="77777777" w:rsidR="00FF4EBC" w:rsidRPr="00FF4EBC" w:rsidRDefault="00FF4EBC" w:rsidP="00C019E6">
            <w:pPr>
              <w:pStyle w:val="Tabletext"/>
              <w:jc w:val="center"/>
              <w:rPr>
                <w:lang w:val="en-GB"/>
              </w:rPr>
            </w:pPr>
            <w:r w:rsidRPr="00FF4EBC">
              <w:rPr>
                <w:lang w:val="es-ES"/>
              </w:rPr>
              <w:t>1/4</w:t>
            </w:r>
          </w:p>
        </w:tc>
      </w:tr>
      <w:tr w:rsidR="00FF4EBC" w:rsidRPr="00FF4EBC" w14:paraId="25551C94"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786E020" w14:textId="77777777" w:rsidR="00FF4EBC" w:rsidRPr="00FF4EBC" w:rsidRDefault="00FF4EBC" w:rsidP="00B07FFA">
            <w:pPr>
              <w:pStyle w:val="Tabletext"/>
              <w:rPr>
                <w:lang w:val="en-GB"/>
              </w:rPr>
            </w:pPr>
            <w:r w:rsidRPr="00FF4EBC">
              <w:rPr>
                <w:lang w:val="es-ES"/>
              </w:rPr>
              <w:t xml:space="preserve">Finlandia </w:t>
            </w:r>
          </w:p>
        </w:tc>
        <w:tc>
          <w:tcPr>
            <w:tcW w:w="1900" w:type="dxa"/>
            <w:tcBorders>
              <w:top w:val="nil"/>
              <w:left w:val="single" w:sz="4" w:space="0" w:color="auto"/>
              <w:bottom w:val="nil"/>
              <w:right w:val="single" w:sz="4" w:space="0" w:color="auto"/>
            </w:tcBorders>
            <w:shd w:val="clear" w:color="000000" w:fill="FFFFFF"/>
            <w:noWrap/>
            <w:vAlign w:val="bottom"/>
            <w:hideMark/>
          </w:tcPr>
          <w:p w14:paraId="5C50DDAD" w14:textId="77777777" w:rsidR="00FF4EBC" w:rsidRPr="00FF4EBC" w:rsidRDefault="00FF4EBC" w:rsidP="00C019E6">
            <w:pPr>
              <w:pStyle w:val="Tabletext"/>
              <w:jc w:val="center"/>
              <w:rPr>
                <w:lang w:val="en-GB"/>
              </w:rPr>
            </w:pPr>
            <w:r w:rsidRPr="00FF4EBC">
              <w:rPr>
                <w:lang w:val="es-ES"/>
              </w:rPr>
              <w:t>2</w:t>
            </w:r>
          </w:p>
        </w:tc>
      </w:tr>
      <w:tr w:rsidR="00FF4EBC" w:rsidRPr="00FF4EBC" w14:paraId="6A6DECE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D360E5D" w14:textId="77777777" w:rsidR="00FF4EBC" w:rsidRPr="00FF4EBC" w:rsidRDefault="00FF4EBC" w:rsidP="00B07FFA">
            <w:pPr>
              <w:pStyle w:val="Tabletext"/>
              <w:rPr>
                <w:lang w:val="en-GB"/>
              </w:rPr>
            </w:pPr>
            <w:r w:rsidRPr="00FF4EBC">
              <w:rPr>
                <w:lang w:val="es-ES"/>
              </w:rPr>
              <w:t>Francia</w:t>
            </w:r>
          </w:p>
        </w:tc>
        <w:tc>
          <w:tcPr>
            <w:tcW w:w="1900" w:type="dxa"/>
            <w:tcBorders>
              <w:top w:val="nil"/>
              <w:left w:val="single" w:sz="4" w:space="0" w:color="auto"/>
              <w:bottom w:val="nil"/>
              <w:right w:val="single" w:sz="4" w:space="0" w:color="auto"/>
            </w:tcBorders>
            <w:shd w:val="clear" w:color="000000" w:fill="FFFFFF"/>
            <w:noWrap/>
            <w:vAlign w:val="bottom"/>
            <w:hideMark/>
          </w:tcPr>
          <w:p w14:paraId="2DD1F342" w14:textId="77777777" w:rsidR="00FF4EBC" w:rsidRPr="00FF4EBC" w:rsidRDefault="00FF4EBC" w:rsidP="00C019E6">
            <w:pPr>
              <w:pStyle w:val="Tabletext"/>
              <w:jc w:val="center"/>
              <w:rPr>
                <w:lang w:val="en-GB"/>
              </w:rPr>
            </w:pPr>
            <w:r w:rsidRPr="00FF4EBC">
              <w:rPr>
                <w:lang w:val="es-ES"/>
              </w:rPr>
              <w:t>21</w:t>
            </w:r>
          </w:p>
        </w:tc>
      </w:tr>
      <w:tr w:rsidR="00FF4EBC" w:rsidRPr="00FF4EBC" w14:paraId="0641AB01" w14:textId="77777777" w:rsidTr="006A2D3E">
        <w:trPr>
          <w:cantSplit/>
          <w:jc w:val="center"/>
        </w:trPr>
        <w:tc>
          <w:tcPr>
            <w:tcW w:w="4180" w:type="dxa"/>
            <w:tcBorders>
              <w:top w:val="nil"/>
              <w:left w:val="single" w:sz="4" w:space="0" w:color="auto"/>
              <w:right w:val="single" w:sz="4" w:space="0" w:color="auto"/>
            </w:tcBorders>
            <w:shd w:val="clear" w:color="000000" w:fill="FFFFFF"/>
            <w:vAlign w:val="bottom"/>
            <w:hideMark/>
          </w:tcPr>
          <w:p w14:paraId="1626A0DB" w14:textId="77777777" w:rsidR="00FF4EBC" w:rsidRPr="00FF4EBC" w:rsidRDefault="00FF4EBC" w:rsidP="00B07FFA">
            <w:pPr>
              <w:pStyle w:val="Tabletext"/>
              <w:rPr>
                <w:lang w:val="en-GB"/>
              </w:rPr>
            </w:pPr>
            <w:r w:rsidRPr="00FF4EBC">
              <w:rPr>
                <w:lang w:val="es-ES"/>
              </w:rPr>
              <w:t>Gabón</w:t>
            </w:r>
          </w:p>
        </w:tc>
        <w:tc>
          <w:tcPr>
            <w:tcW w:w="1900" w:type="dxa"/>
            <w:tcBorders>
              <w:top w:val="nil"/>
              <w:left w:val="single" w:sz="4" w:space="0" w:color="auto"/>
              <w:right w:val="single" w:sz="4" w:space="0" w:color="auto"/>
            </w:tcBorders>
            <w:shd w:val="clear" w:color="000000" w:fill="FFFFFF"/>
            <w:noWrap/>
            <w:vAlign w:val="bottom"/>
            <w:hideMark/>
          </w:tcPr>
          <w:p w14:paraId="62F5AED9" w14:textId="77777777" w:rsidR="00FF4EBC" w:rsidRPr="00FF4EBC" w:rsidRDefault="00FF4EBC" w:rsidP="00C019E6">
            <w:pPr>
              <w:pStyle w:val="Tabletext"/>
              <w:jc w:val="center"/>
              <w:rPr>
                <w:lang w:val="en-GB"/>
              </w:rPr>
            </w:pPr>
            <w:r w:rsidRPr="00FF4EBC">
              <w:rPr>
                <w:lang w:val="es-ES"/>
              </w:rPr>
              <w:t>1/4</w:t>
            </w:r>
          </w:p>
        </w:tc>
      </w:tr>
      <w:tr w:rsidR="00FF4EBC" w:rsidRPr="00FF4EBC" w14:paraId="2234DF63" w14:textId="77777777" w:rsidTr="006A2D3E">
        <w:trPr>
          <w:cantSplit/>
          <w:jc w:val="center"/>
        </w:trPr>
        <w:tc>
          <w:tcPr>
            <w:tcW w:w="4180" w:type="dxa"/>
            <w:tcBorders>
              <w:top w:val="nil"/>
              <w:left w:val="single" w:sz="4" w:space="0" w:color="auto"/>
              <w:right w:val="single" w:sz="4" w:space="0" w:color="auto"/>
            </w:tcBorders>
            <w:shd w:val="clear" w:color="000000" w:fill="FFFFFF"/>
            <w:vAlign w:val="bottom"/>
            <w:hideMark/>
          </w:tcPr>
          <w:p w14:paraId="2049F59F" w14:textId="77777777" w:rsidR="00FF4EBC" w:rsidRPr="00FF4EBC" w:rsidRDefault="00FF4EBC" w:rsidP="00B07FFA">
            <w:pPr>
              <w:pStyle w:val="Tabletext"/>
              <w:rPr>
                <w:lang w:val="en-GB"/>
              </w:rPr>
            </w:pPr>
            <w:r w:rsidRPr="00FF4EBC">
              <w:rPr>
                <w:lang w:val="es-ES"/>
              </w:rPr>
              <w:t>Gambia</w:t>
            </w:r>
          </w:p>
        </w:tc>
        <w:tc>
          <w:tcPr>
            <w:tcW w:w="1900" w:type="dxa"/>
            <w:tcBorders>
              <w:top w:val="nil"/>
              <w:left w:val="single" w:sz="4" w:space="0" w:color="auto"/>
              <w:right w:val="single" w:sz="4" w:space="0" w:color="auto"/>
            </w:tcBorders>
            <w:shd w:val="clear" w:color="000000" w:fill="FFFFFF"/>
            <w:noWrap/>
            <w:vAlign w:val="bottom"/>
            <w:hideMark/>
          </w:tcPr>
          <w:p w14:paraId="50608756" w14:textId="77777777" w:rsidR="00FF4EBC" w:rsidRPr="00FF4EBC" w:rsidRDefault="00FF4EBC" w:rsidP="00C019E6">
            <w:pPr>
              <w:pStyle w:val="Tabletext"/>
              <w:jc w:val="center"/>
              <w:rPr>
                <w:lang w:val="en-GB"/>
              </w:rPr>
            </w:pPr>
            <w:r w:rsidRPr="00FF4EBC">
              <w:rPr>
                <w:lang w:val="es-ES"/>
              </w:rPr>
              <w:t>1/8</w:t>
            </w:r>
          </w:p>
        </w:tc>
      </w:tr>
      <w:tr w:rsidR="00FF4EBC" w:rsidRPr="00FF4EBC" w14:paraId="2489FB13" w14:textId="77777777" w:rsidTr="006A2D3E">
        <w:trPr>
          <w:cantSplit/>
          <w:jc w:val="center"/>
        </w:trPr>
        <w:tc>
          <w:tcPr>
            <w:tcW w:w="4180" w:type="dxa"/>
            <w:tcBorders>
              <w:left w:val="single" w:sz="4" w:space="0" w:color="auto"/>
              <w:right w:val="single" w:sz="4" w:space="0" w:color="auto"/>
            </w:tcBorders>
            <w:shd w:val="clear" w:color="000000" w:fill="FFFFFF"/>
            <w:vAlign w:val="bottom"/>
            <w:hideMark/>
          </w:tcPr>
          <w:p w14:paraId="616A9714" w14:textId="77777777" w:rsidR="00FF4EBC" w:rsidRPr="00FF4EBC" w:rsidRDefault="00FF4EBC" w:rsidP="00B07FFA">
            <w:pPr>
              <w:pStyle w:val="Tabletext"/>
              <w:rPr>
                <w:lang w:val="en-GB"/>
              </w:rPr>
            </w:pPr>
            <w:r w:rsidRPr="00FF4EBC">
              <w:rPr>
                <w:lang w:val="es-ES"/>
              </w:rPr>
              <w:t>Georgia</w:t>
            </w:r>
          </w:p>
        </w:tc>
        <w:tc>
          <w:tcPr>
            <w:tcW w:w="1900" w:type="dxa"/>
            <w:tcBorders>
              <w:left w:val="single" w:sz="4" w:space="0" w:color="auto"/>
              <w:right w:val="single" w:sz="4" w:space="0" w:color="auto"/>
            </w:tcBorders>
            <w:shd w:val="clear" w:color="000000" w:fill="FFFFFF"/>
            <w:vAlign w:val="bottom"/>
            <w:hideMark/>
          </w:tcPr>
          <w:p w14:paraId="5132CA5C" w14:textId="77777777" w:rsidR="00FF4EBC" w:rsidRPr="00FF4EBC" w:rsidRDefault="00FF4EBC" w:rsidP="00C019E6">
            <w:pPr>
              <w:pStyle w:val="Tabletext"/>
              <w:jc w:val="center"/>
              <w:rPr>
                <w:lang w:val="en-GB"/>
              </w:rPr>
            </w:pPr>
            <w:r w:rsidRPr="00FF4EBC">
              <w:rPr>
                <w:lang w:val="es-ES"/>
              </w:rPr>
              <w:t>1/4</w:t>
            </w:r>
          </w:p>
        </w:tc>
      </w:tr>
      <w:tr w:rsidR="00FF4EBC" w:rsidRPr="00FF4EBC" w14:paraId="1AAA1256" w14:textId="77777777" w:rsidTr="006A2D3E">
        <w:trPr>
          <w:cantSplit/>
          <w:jc w:val="center"/>
        </w:trPr>
        <w:tc>
          <w:tcPr>
            <w:tcW w:w="4180" w:type="dxa"/>
            <w:tcBorders>
              <w:left w:val="single" w:sz="4" w:space="0" w:color="auto"/>
              <w:bottom w:val="nil"/>
              <w:right w:val="single" w:sz="4" w:space="0" w:color="auto"/>
            </w:tcBorders>
            <w:shd w:val="clear" w:color="000000" w:fill="FFFFFF"/>
            <w:vAlign w:val="bottom"/>
            <w:hideMark/>
          </w:tcPr>
          <w:p w14:paraId="5C71BE99" w14:textId="77777777" w:rsidR="00FF4EBC" w:rsidRPr="00FF4EBC" w:rsidRDefault="00FF4EBC" w:rsidP="00B07FFA">
            <w:pPr>
              <w:pStyle w:val="Tabletext"/>
              <w:rPr>
                <w:lang w:val="en-GB"/>
              </w:rPr>
            </w:pPr>
            <w:r w:rsidRPr="00FF4EBC">
              <w:rPr>
                <w:lang w:val="es-ES"/>
              </w:rPr>
              <w:lastRenderedPageBreak/>
              <w:t>Alemania</w:t>
            </w:r>
          </w:p>
        </w:tc>
        <w:tc>
          <w:tcPr>
            <w:tcW w:w="1900" w:type="dxa"/>
            <w:tcBorders>
              <w:left w:val="single" w:sz="4" w:space="0" w:color="auto"/>
              <w:bottom w:val="nil"/>
              <w:right w:val="single" w:sz="4" w:space="0" w:color="auto"/>
            </w:tcBorders>
            <w:shd w:val="clear" w:color="000000" w:fill="FFFFFF"/>
            <w:noWrap/>
            <w:vAlign w:val="bottom"/>
            <w:hideMark/>
          </w:tcPr>
          <w:p w14:paraId="12A9E45A" w14:textId="77777777" w:rsidR="00FF4EBC" w:rsidRPr="00FF4EBC" w:rsidRDefault="00FF4EBC" w:rsidP="00C019E6">
            <w:pPr>
              <w:pStyle w:val="Tabletext"/>
              <w:jc w:val="center"/>
              <w:rPr>
                <w:lang w:val="en-GB"/>
              </w:rPr>
            </w:pPr>
            <w:r w:rsidRPr="00FF4EBC">
              <w:rPr>
                <w:lang w:val="es-ES"/>
              </w:rPr>
              <w:t>25</w:t>
            </w:r>
          </w:p>
        </w:tc>
      </w:tr>
      <w:tr w:rsidR="00FF4EBC" w:rsidRPr="00FF4EBC" w14:paraId="1E5CE6C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98E2538" w14:textId="77777777" w:rsidR="00FF4EBC" w:rsidRPr="00FF4EBC" w:rsidRDefault="00FF4EBC" w:rsidP="00B07FFA">
            <w:pPr>
              <w:pStyle w:val="Tabletext"/>
              <w:rPr>
                <w:lang w:val="en-GB"/>
              </w:rPr>
            </w:pPr>
            <w:r w:rsidRPr="00FF4EBC">
              <w:rPr>
                <w:lang w:val="es-ES"/>
              </w:rPr>
              <w:t>Ghana</w:t>
            </w:r>
          </w:p>
        </w:tc>
        <w:tc>
          <w:tcPr>
            <w:tcW w:w="1900" w:type="dxa"/>
            <w:tcBorders>
              <w:top w:val="nil"/>
              <w:left w:val="single" w:sz="4" w:space="0" w:color="auto"/>
              <w:bottom w:val="nil"/>
              <w:right w:val="single" w:sz="4" w:space="0" w:color="auto"/>
            </w:tcBorders>
            <w:shd w:val="clear" w:color="000000" w:fill="FFFFFF"/>
            <w:noWrap/>
            <w:vAlign w:val="bottom"/>
            <w:hideMark/>
          </w:tcPr>
          <w:p w14:paraId="2D367CC2" w14:textId="77777777" w:rsidR="00FF4EBC" w:rsidRPr="00FF4EBC" w:rsidRDefault="00FF4EBC" w:rsidP="00C019E6">
            <w:pPr>
              <w:pStyle w:val="Tabletext"/>
              <w:jc w:val="center"/>
              <w:rPr>
                <w:lang w:val="en-GB"/>
              </w:rPr>
            </w:pPr>
            <w:r w:rsidRPr="00FF4EBC">
              <w:rPr>
                <w:lang w:val="es-ES"/>
              </w:rPr>
              <w:t>1/4</w:t>
            </w:r>
          </w:p>
        </w:tc>
      </w:tr>
      <w:tr w:rsidR="00FF4EBC" w:rsidRPr="00FF4EBC" w14:paraId="02FF0DD0"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D0E6B5C" w14:textId="77777777" w:rsidR="00FF4EBC" w:rsidRPr="00FF4EBC" w:rsidRDefault="00FF4EBC" w:rsidP="00B07FFA">
            <w:pPr>
              <w:pStyle w:val="Tabletext"/>
              <w:rPr>
                <w:lang w:val="en-GB"/>
              </w:rPr>
            </w:pPr>
            <w:r w:rsidRPr="00FF4EBC">
              <w:rPr>
                <w:lang w:val="es-ES"/>
              </w:rPr>
              <w:t>Grecia</w:t>
            </w:r>
          </w:p>
        </w:tc>
        <w:tc>
          <w:tcPr>
            <w:tcW w:w="1900" w:type="dxa"/>
            <w:tcBorders>
              <w:top w:val="nil"/>
              <w:left w:val="single" w:sz="4" w:space="0" w:color="auto"/>
              <w:bottom w:val="nil"/>
              <w:right w:val="single" w:sz="4" w:space="0" w:color="auto"/>
            </w:tcBorders>
            <w:shd w:val="clear" w:color="000000" w:fill="FFFFFF"/>
            <w:noWrap/>
            <w:vAlign w:val="bottom"/>
            <w:hideMark/>
          </w:tcPr>
          <w:p w14:paraId="5D39870E" w14:textId="77777777" w:rsidR="00FF4EBC" w:rsidRPr="00FF4EBC" w:rsidRDefault="00FF4EBC" w:rsidP="00C019E6">
            <w:pPr>
              <w:pStyle w:val="Tabletext"/>
              <w:jc w:val="center"/>
              <w:rPr>
                <w:lang w:val="en-GB"/>
              </w:rPr>
            </w:pPr>
            <w:r w:rsidRPr="00FF4EBC">
              <w:rPr>
                <w:lang w:val="es-ES"/>
              </w:rPr>
              <w:t>1</w:t>
            </w:r>
          </w:p>
        </w:tc>
      </w:tr>
      <w:tr w:rsidR="00FF4EBC" w:rsidRPr="00FF4EBC" w14:paraId="3D12DB3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DC1A35B" w14:textId="77777777" w:rsidR="00FF4EBC" w:rsidRPr="00FF4EBC" w:rsidRDefault="00FF4EBC" w:rsidP="00B07FFA">
            <w:pPr>
              <w:pStyle w:val="Tabletext"/>
              <w:rPr>
                <w:lang w:val="en-GB"/>
              </w:rPr>
            </w:pPr>
            <w:r w:rsidRPr="00FF4EBC">
              <w:rPr>
                <w:lang w:val="es-ES"/>
              </w:rPr>
              <w:t>Granada</w:t>
            </w:r>
          </w:p>
        </w:tc>
        <w:tc>
          <w:tcPr>
            <w:tcW w:w="1900" w:type="dxa"/>
            <w:tcBorders>
              <w:top w:val="nil"/>
              <w:left w:val="single" w:sz="4" w:space="0" w:color="auto"/>
              <w:bottom w:val="nil"/>
              <w:right w:val="single" w:sz="4" w:space="0" w:color="auto"/>
            </w:tcBorders>
            <w:shd w:val="clear" w:color="000000" w:fill="FFFFFF"/>
            <w:noWrap/>
            <w:vAlign w:val="bottom"/>
            <w:hideMark/>
          </w:tcPr>
          <w:p w14:paraId="58A495C7" w14:textId="77777777" w:rsidR="00FF4EBC" w:rsidRPr="00FF4EBC" w:rsidRDefault="00FF4EBC" w:rsidP="00C019E6">
            <w:pPr>
              <w:pStyle w:val="Tabletext"/>
              <w:jc w:val="center"/>
              <w:rPr>
                <w:lang w:val="en-GB"/>
              </w:rPr>
            </w:pPr>
            <w:r w:rsidRPr="00FF4EBC">
              <w:rPr>
                <w:lang w:val="es-ES"/>
              </w:rPr>
              <w:t>1/16</w:t>
            </w:r>
          </w:p>
        </w:tc>
      </w:tr>
      <w:tr w:rsidR="00FF4EBC" w:rsidRPr="00FF4EBC" w14:paraId="4EDEB36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770CAB7" w14:textId="77777777" w:rsidR="00FF4EBC" w:rsidRPr="00FF4EBC" w:rsidRDefault="00FF4EBC" w:rsidP="00B07FFA">
            <w:pPr>
              <w:pStyle w:val="Tabletext"/>
              <w:rPr>
                <w:lang w:val="en-GB"/>
              </w:rPr>
            </w:pPr>
            <w:r w:rsidRPr="00FF4EBC">
              <w:rPr>
                <w:lang w:val="es-ES"/>
              </w:rPr>
              <w:t>Guatemala</w:t>
            </w:r>
          </w:p>
        </w:tc>
        <w:tc>
          <w:tcPr>
            <w:tcW w:w="1900" w:type="dxa"/>
            <w:tcBorders>
              <w:top w:val="nil"/>
              <w:left w:val="single" w:sz="4" w:space="0" w:color="auto"/>
              <w:bottom w:val="nil"/>
              <w:right w:val="single" w:sz="4" w:space="0" w:color="auto"/>
            </w:tcBorders>
            <w:shd w:val="clear" w:color="000000" w:fill="FFFFFF"/>
            <w:noWrap/>
            <w:vAlign w:val="bottom"/>
            <w:hideMark/>
          </w:tcPr>
          <w:p w14:paraId="5D1D7A03" w14:textId="77777777" w:rsidR="00FF4EBC" w:rsidRPr="00FF4EBC" w:rsidRDefault="00FF4EBC" w:rsidP="00C019E6">
            <w:pPr>
              <w:pStyle w:val="Tabletext"/>
              <w:jc w:val="center"/>
              <w:rPr>
                <w:lang w:val="en-GB"/>
              </w:rPr>
            </w:pPr>
            <w:r w:rsidRPr="00FF4EBC">
              <w:rPr>
                <w:lang w:val="es-ES"/>
              </w:rPr>
              <w:t>1/4</w:t>
            </w:r>
          </w:p>
        </w:tc>
      </w:tr>
      <w:tr w:rsidR="00FF4EBC" w:rsidRPr="00FF4EBC" w14:paraId="773BCD9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0949ED3" w14:textId="77777777" w:rsidR="00FF4EBC" w:rsidRPr="00FF4EBC" w:rsidRDefault="00FF4EBC" w:rsidP="00B07FFA">
            <w:pPr>
              <w:pStyle w:val="Tabletext"/>
              <w:rPr>
                <w:lang w:val="en-GB"/>
              </w:rPr>
            </w:pPr>
            <w:r w:rsidRPr="00FF4EBC">
              <w:rPr>
                <w:lang w:val="es-ES"/>
              </w:rPr>
              <w:t>Guinea</w:t>
            </w:r>
          </w:p>
        </w:tc>
        <w:tc>
          <w:tcPr>
            <w:tcW w:w="1900" w:type="dxa"/>
            <w:tcBorders>
              <w:top w:val="nil"/>
              <w:left w:val="single" w:sz="4" w:space="0" w:color="auto"/>
              <w:bottom w:val="nil"/>
              <w:right w:val="single" w:sz="4" w:space="0" w:color="auto"/>
            </w:tcBorders>
            <w:shd w:val="clear" w:color="000000" w:fill="FFFFFF"/>
            <w:noWrap/>
            <w:vAlign w:val="bottom"/>
            <w:hideMark/>
          </w:tcPr>
          <w:p w14:paraId="709DF7E4" w14:textId="77777777" w:rsidR="00FF4EBC" w:rsidRPr="00FF4EBC" w:rsidRDefault="00FF4EBC" w:rsidP="00C019E6">
            <w:pPr>
              <w:pStyle w:val="Tabletext"/>
              <w:jc w:val="center"/>
              <w:rPr>
                <w:lang w:val="en-GB"/>
              </w:rPr>
            </w:pPr>
            <w:r w:rsidRPr="00FF4EBC">
              <w:rPr>
                <w:lang w:val="es-ES"/>
              </w:rPr>
              <w:t>1</w:t>
            </w:r>
          </w:p>
        </w:tc>
      </w:tr>
      <w:tr w:rsidR="00FF4EBC" w:rsidRPr="00FF4EBC" w14:paraId="29C2216B"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C4B7CD0" w14:textId="77777777" w:rsidR="00FF4EBC" w:rsidRPr="00FF4EBC" w:rsidRDefault="00FF4EBC" w:rsidP="00B07FFA">
            <w:pPr>
              <w:pStyle w:val="Tabletext"/>
              <w:rPr>
                <w:lang w:val="en-GB"/>
              </w:rPr>
            </w:pPr>
            <w:r w:rsidRPr="00FF4EBC">
              <w:rPr>
                <w:lang w:val="es-ES"/>
              </w:rPr>
              <w:t>Guinea-Bissau</w:t>
            </w:r>
          </w:p>
        </w:tc>
        <w:tc>
          <w:tcPr>
            <w:tcW w:w="1900" w:type="dxa"/>
            <w:tcBorders>
              <w:top w:val="nil"/>
              <w:left w:val="single" w:sz="4" w:space="0" w:color="auto"/>
              <w:bottom w:val="nil"/>
              <w:right w:val="single" w:sz="4" w:space="0" w:color="auto"/>
            </w:tcBorders>
            <w:shd w:val="clear" w:color="000000" w:fill="FFFFFF"/>
            <w:noWrap/>
            <w:vAlign w:val="bottom"/>
            <w:hideMark/>
          </w:tcPr>
          <w:p w14:paraId="070018C0" w14:textId="77777777" w:rsidR="00FF4EBC" w:rsidRPr="00FF4EBC" w:rsidRDefault="00FF4EBC" w:rsidP="00C019E6">
            <w:pPr>
              <w:pStyle w:val="Tabletext"/>
              <w:jc w:val="center"/>
              <w:rPr>
                <w:lang w:val="en-GB"/>
              </w:rPr>
            </w:pPr>
            <w:r w:rsidRPr="00FF4EBC">
              <w:rPr>
                <w:lang w:val="es-ES"/>
              </w:rPr>
              <w:t>1/16</w:t>
            </w:r>
          </w:p>
        </w:tc>
      </w:tr>
      <w:tr w:rsidR="00FF4EBC" w:rsidRPr="00FF4EBC" w14:paraId="705566F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788CB08" w14:textId="57028B23" w:rsidR="00FF4EBC" w:rsidRPr="00FF4EBC" w:rsidRDefault="00FF4EBC" w:rsidP="00B07FFA">
            <w:pPr>
              <w:pStyle w:val="Tabletext"/>
              <w:rPr>
                <w:lang w:val="en-GB"/>
              </w:rPr>
            </w:pPr>
            <w:r w:rsidRPr="00FF4EBC">
              <w:rPr>
                <w:lang w:val="es-ES"/>
              </w:rPr>
              <w:t>Guyana</w:t>
            </w:r>
          </w:p>
        </w:tc>
        <w:tc>
          <w:tcPr>
            <w:tcW w:w="1900" w:type="dxa"/>
            <w:tcBorders>
              <w:top w:val="nil"/>
              <w:left w:val="single" w:sz="4" w:space="0" w:color="auto"/>
              <w:bottom w:val="nil"/>
              <w:right w:val="single" w:sz="4" w:space="0" w:color="auto"/>
            </w:tcBorders>
            <w:shd w:val="clear" w:color="000000" w:fill="FFFFFF"/>
            <w:noWrap/>
            <w:vAlign w:val="bottom"/>
            <w:hideMark/>
          </w:tcPr>
          <w:p w14:paraId="75E1BE7B" w14:textId="77777777" w:rsidR="00FF4EBC" w:rsidRPr="00FF4EBC" w:rsidRDefault="00FF4EBC" w:rsidP="00C019E6">
            <w:pPr>
              <w:pStyle w:val="Tabletext"/>
              <w:jc w:val="center"/>
              <w:rPr>
                <w:lang w:val="en-GB"/>
              </w:rPr>
            </w:pPr>
            <w:r w:rsidRPr="00FF4EBC">
              <w:rPr>
                <w:lang w:val="es-ES"/>
              </w:rPr>
              <w:t>1/4</w:t>
            </w:r>
          </w:p>
        </w:tc>
      </w:tr>
      <w:tr w:rsidR="00FF4EBC" w:rsidRPr="00FF4EBC" w14:paraId="4F19E014"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75B5245" w14:textId="77777777" w:rsidR="00FF4EBC" w:rsidRPr="00FF4EBC" w:rsidRDefault="00FF4EBC" w:rsidP="00B07FFA">
            <w:pPr>
              <w:pStyle w:val="Tabletext"/>
              <w:rPr>
                <w:lang w:val="en-GB"/>
              </w:rPr>
            </w:pPr>
            <w:r w:rsidRPr="00FF4EBC">
              <w:rPr>
                <w:lang w:val="es-ES"/>
              </w:rPr>
              <w:t>Haití</w:t>
            </w:r>
          </w:p>
        </w:tc>
        <w:tc>
          <w:tcPr>
            <w:tcW w:w="1900" w:type="dxa"/>
            <w:tcBorders>
              <w:top w:val="nil"/>
              <w:left w:val="single" w:sz="4" w:space="0" w:color="auto"/>
              <w:bottom w:val="nil"/>
              <w:right w:val="single" w:sz="4" w:space="0" w:color="auto"/>
            </w:tcBorders>
            <w:shd w:val="clear" w:color="000000" w:fill="FFFFFF"/>
            <w:noWrap/>
            <w:vAlign w:val="bottom"/>
            <w:hideMark/>
          </w:tcPr>
          <w:p w14:paraId="256FDA63" w14:textId="77777777" w:rsidR="00FF4EBC" w:rsidRPr="00FF4EBC" w:rsidRDefault="00FF4EBC" w:rsidP="00C019E6">
            <w:pPr>
              <w:pStyle w:val="Tabletext"/>
              <w:jc w:val="center"/>
              <w:rPr>
                <w:lang w:val="en-GB"/>
              </w:rPr>
            </w:pPr>
            <w:r w:rsidRPr="00FF4EBC">
              <w:rPr>
                <w:lang w:val="es-ES"/>
              </w:rPr>
              <w:t>1/16</w:t>
            </w:r>
          </w:p>
        </w:tc>
      </w:tr>
      <w:tr w:rsidR="00FF4EBC" w:rsidRPr="00FF4EBC" w14:paraId="13065FF7"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EB6507C" w14:textId="77777777" w:rsidR="00FF4EBC" w:rsidRPr="00FF4EBC" w:rsidRDefault="00FF4EBC" w:rsidP="00B07FFA">
            <w:pPr>
              <w:pStyle w:val="Tabletext"/>
              <w:rPr>
                <w:lang w:val="en-GB"/>
              </w:rPr>
            </w:pPr>
            <w:r w:rsidRPr="00FF4EBC">
              <w:rPr>
                <w:lang w:val="es-ES"/>
              </w:rPr>
              <w:t>Honduras</w:t>
            </w:r>
          </w:p>
        </w:tc>
        <w:tc>
          <w:tcPr>
            <w:tcW w:w="1900" w:type="dxa"/>
            <w:tcBorders>
              <w:top w:val="nil"/>
              <w:left w:val="single" w:sz="4" w:space="0" w:color="auto"/>
              <w:bottom w:val="nil"/>
              <w:right w:val="single" w:sz="4" w:space="0" w:color="auto"/>
            </w:tcBorders>
            <w:shd w:val="clear" w:color="000000" w:fill="FFFFFF"/>
            <w:noWrap/>
            <w:vAlign w:val="bottom"/>
            <w:hideMark/>
          </w:tcPr>
          <w:p w14:paraId="233A6A22" w14:textId="77777777" w:rsidR="00FF4EBC" w:rsidRPr="00FF4EBC" w:rsidRDefault="00FF4EBC" w:rsidP="00C019E6">
            <w:pPr>
              <w:pStyle w:val="Tabletext"/>
              <w:jc w:val="center"/>
              <w:rPr>
                <w:lang w:val="en-GB"/>
              </w:rPr>
            </w:pPr>
            <w:r w:rsidRPr="00FF4EBC">
              <w:rPr>
                <w:lang w:val="es-ES"/>
              </w:rPr>
              <w:t>1/4</w:t>
            </w:r>
          </w:p>
        </w:tc>
      </w:tr>
      <w:tr w:rsidR="00FF4EBC" w:rsidRPr="00FF4EBC" w14:paraId="55FA31E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69C3063" w14:textId="77777777" w:rsidR="00FF4EBC" w:rsidRPr="00FF4EBC" w:rsidRDefault="00FF4EBC" w:rsidP="00B07FFA">
            <w:pPr>
              <w:pStyle w:val="Tabletext"/>
              <w:rPr>
                <w:lang w:val="en-GB"/>
              </w:rPr>
            </w:pPr>
            <w:r w:rsidRPr="00FF4EBC">
              <w:rPr>
                <w:lang w:val="es-ES"/>
              </w:rPr>
              <w:t>Hungría</w:t>
            </w:r>
          </w:p>
        </w:tc>
        <w:tc>
          <w:tcPr>
            <w:tcW w:w="1900" w:type="dxa"/>
            <w:tcBorders>
              <w:top w:val="nil"/>
              <w:left w:val="single" w:sz="4" w:space="0" w:color="auto"/>
              <w:bottom w:val="nil"/>
              <w:right w:val="single" w:sz="4" w:space="0" w:color="auto"/>
            </w:tcBorders>
            <w:shd w:val="clear" w:color="000000" w:fill="FFFFFF"/>
            <w:noWrap/>
            <w:vAlign w:val="bottom"/>
            <w:hideMark/>
          </w:tcPr>
          <w:p w14:paraId="60F945DE" w14:textId="77777777" w:rsidR="00FF4EBC" w:rsidRPr="00FF4EBC" w:rsidRDefault="00FF4EBC" w:rsidP="00C019E6">
            <w:pPr>
              <w:pStyle w:val="Tabletext"/>
              <w:jc w:val="center"/>
              <w:rPr>
                <w:lang w:val="en-GB"/>
              </w:rPr>
            </w:pPr>
            <w:r w:rsidRPr="00FF4EBC">
              <w:rPr>
                <w:lang w:val="es-ES"/>
              </w:rPr>
              <w:t>1/2</w:t>
            </w:r>
          </w:p>
        </w:tc>
      </w:tr>
      <w:tr w:rsidR="00FF4EBC" w:rsidRPr="00FF4EBC" w14:paraId="62BAD79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A589BF1" w14:textId="77777777" w:rsidR="00FF4EBC" w:rsidRPr="00FF4EBC" w:rsidRDefault="00FF4EBC" w:rsidP="00B07FFA">
            <w:pPr>
              <w:pStyle w:val="Tabletext"/>
              <w:rPr>
                <w:lang w:val="en-GB"/>
              </w:rPr>
            </w:pPr>
            <w:r w:rsidRPr="00FF4EBC">
              <w:rPr>
                <w:lang w:val="es-ES"/>
              </w:rPr>
              <w:t xml:space="preserve">Islandia </w:t>
            </w:r>
          </w:p>
        </w:tc>
        <w:tc>
          <w:tcPr>
            <w:tcW w:w="1900" w:type="dxa"/>
            <w:tcBorders>
              <w:top w:val="nil"/>
              <w:left w:val="single" w:sz="4" w:space="0" w:color="auto"/>
              <w:bottom w:val="nil"/>
              <w:right w:val="single" w:sz="4" w:space="0" w:color="auto"/>
            </w:tcBorders>
            <w:shd w:val="clear" w:color="000000" w:fill="FFFFFF"/>
            <w:noWrap/>
            <w:vAlign w:val="bottom"/>
            <w:hideMark/>
          </w:tcPr>
          <w:p w14:paraId="34635B85" w14:textId="77777777" w:rsidR="00FF4EBC" w:rsidRPr="00FF4EBC" w:rsidRDefault="00FF4EBC" w:rsidP="00C019E6">
            <w:pPr>
              <w:pStyle w:val="Tabletext"/>
              <w:jc w:val="center"/>
              <w:rPr>
                <w:lang w:val="en-GB"/>
              </w:rPr>
            </w:pPr>
            <w:r w:rsidRPr="00FF4EBC">
              <w:rPr>
                <w:lang w:val="es-ES"/>
              </w:rPr>
              <w:t>1/4</w:t>
            </w:r>
          </w:p>
        </w:tc>
      </w:tr>
      <w:tr w:rsidR="00FF4EBC" w:rsidRPr="00FF4EBC" w14:paraId="05AC909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4EE2A6E" w14:textId="77777777" w:rsidR="00FF4EBC" w:rsidRPr="00FF4EBC" w:rsidRDefault="00FF4EBC" w:rsidP="00B07FFA">
            <w:pPr>
              <w:pStyle w:val="Tabletext"/>
              <w:rPr>
                <w:lang w:val="en-GB"/>
              </w:rPr>
            </w:pPr>
            <w:r w:rsidRPr="00FF4EBC">
              <w:rPr>
                <w:lang w:val="es-ES"/>
              </w:rPr>
              <w:t>India</w:t>
            </w:r>
          </w:p>
        </w:tc>
        <w:tc>
          <w:tcPr>
            <w:tcW w:w="1900" w:type="dxa"/>
            <w:tcBorders>
              <w:top w:val="nil"/>
              <w:left w:val="single" w:sz="4" w:space="0" w:color="auto"/>
              <w:bottom w:val="nil"/>
              <w:right w:val="single" w:sz="4" w:space="0" w:color="auto"/>
            </w:tcBorders>
            <w:shd w:val="clear" w:color="000000" w:fill="FFFFFF"/>
            <w:noWrap/>
            <w:vAlign w:val="bottom"/>
            <w:hideMark/>
          </w:tcPr>
          <w:p w14:paraId="2FDE7EA0" w14:textId="77777777" w:rsidR="00FF4EBC" w:rsidRPr="00FF4EBC" w:rsidRDefault="00FF4EBC" w:rsidP="00C019E6">
            <w:pPr>
              <w:pStyle w:val="Tabletext"/>
              <w:jc w:val="center"/>
              <w:rPr>
                <w:lang w:val="en-GB"/>
              </w:rPr>
            </w:pPr>
            <w:r w:rsidRPr="00FF4EBC">
              <w:rPr>
                <w:lang w:val="es-ES"/>
              </w:rPr>
              <w:t>10</w:t>
            </w:r>
          </w:p>
        </w:tc>
      </w:tr>
      <w:tr w:rsidR="00FF4EBC" w:rsidRPr="00FF4EBC" w14:paraId="29270C15"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8341A91" w14:textId="77777777" w:rsidR="00FF4EBC" w:rsidRPr="00FF4EBC" w:rsidRDefault="00FF4EBC" w:rsidP="00B07FFA">
            <w:pPr>
              <w:pStyle w:val="Tabletext"/>
              <w:rPr>
                <w:lang w:val="en-GB"/>
              </w:rPr>
            </w:pPr>
            <w:r w:rsidRPr="00FF4EBC">
              <w:rPr>
                <w:lang w:val="es-ES"/>
              </w:rPr>
              <w:t>Indonesia</w:t>
            </w:r>
          </w:p>
        </w:tc>
        <w:tc>
          <w:tcPr>
            <w:tcW w:w="1900" w:type="dxa"/>
            <w:tcBorders>
              <w:top w:val="nil"/>
              <w:left w:val="single" w:sz="4" w:space="0" w:color="auto"/>
              <w:bottom w:val="nil"/>
              <w:right w:val="single" w:sz="4" w:space="0" w:color="auto"/>
            </w:tcBorders>
            <w:shd w:val="clear" w:color="000000" w:fill="FFFFFF"/>
            <w:noWrap/>
            <w:vAlign w:val="bottom"/>
            <w:hideMark/>
          </w:tcPr>
          <w:p w14:paraId="11EC167A" w14:textId="77777777" w:rsidR="00FF4EBC" w:rsidRPr="00FF4EBC" w:rsidRDefault="00FF4EBC" w:rsidP="00C019E6">
            <w:pPr>
              <w:pStyle w:val="Tabletext"/>
              <w:jc w:val="center"/>
              <w:rPr>
                <w:lang w:val="en-GB"/>
              </w:rPr>
            </w:pPr>
            <w:r w:rsidRPr="00FF4EBC">
              <w:rPr>
                <w:lang w:val="es-ES"/>
              </w:rPr>
              <w:t>1</w:t>
            </w:r>
          </w:p>
        </w:tc>
      </w:tr>
      <w:tr w:rsidR="00FF4EBC" w:rsidRPr="00FF4EBC" w14:paraId="2EF7EE10"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A073939" w14:textId="77777777" w:rsidR="00FF4EBC" w:rsidRPr="00FF4EBC" w:rsidRDefault="00FF4EBC" w:rsidP="00B07FFA">
            <w:pPr>
              <w:pStyle w:val="Tabletext"/>
              <w:rPr>
                <w:lang w:val="en-GB"/>
              </w:rPr>
            </w:pPr>
            <w:r w:rsidRPr="00FF4EBC">
              <w:rPr>
                <w:lang w:val="es-ES"/>
              </w:rPr>
              <w:t>Irán</w:t>
            </w:r>
          </w:p>
        </w:tc>
        <w:tc>
          <w:tcPr>
            <w:tcW w:w="1900" w:type="dxa"/>
            <w:tcBorders>
              <w:top w:val="nil"/>
              <w:left w:val="single" w:sz="4" w:space="0" w:color="auto"/>
              <w:bottom w:val="nil"/>
              <w:right w:val="single" w:sz="4" w:space="0" w:color="auto"/>
            </w:tcBorders>
            <w:shd w:val="clear" w:color="000000" w:fill="FFFFFF"/>
            <w:noWrap/>
            <w:vAlign w:val="bottom"/>
            <w:hideMark/>
          </w:tcPr>
          <w:p w14:paraId="622B375E" w14:textId="77777777" w:rsidR="00FF4EBC" w:rsidRPr="00FF4EBC" w:rsidRDefault="00FF4EBC" w:rsidP="00C019E6">
            <w:pPr>
              <w:pStyle w:val="Tabletext"/>
              <w:jc w:val="center"/>
              <w:rPr>
                <w:lang w:val="en-GB"/>
              </w:rPr>
            </w:pPr>
            <w:r w:rsidRPr="00FF4EBC">
              <w:rPr>
                <w:lang w:val="es-ES"/>
              </w:rPr>
              <w:t>1</w:t>
            </w:r>
          </w:p>
        </w:tc>
      </w:tr>
      <w:tr w:rsidR="00FF4EBC" w:rsidRPr="00FF4EBC" w14:paraId="025A530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8749847" w14:textId="77777777" w:rsidR="00FF4EBC" w:rsidRPr="00FF4EBC" w:rsidRDefault="00FF4EBC" w:rsidP="00B07FFA">
            <w:pPr>
              <w:pStyle w:val="Tabletext"/>
              <w:rPr>
                <w:lang w:val="en-GB"/>
              </w:rPr>
            </w:pPr>
            <w:r w:rsidRPr="00FF4EBC">
              <w:rPr>
                <w:lang w:val="es-ES"/>
              </w:rPr>
              <w:t>Iraq</w:t>
            </w:r>
          </w:p>
        </w:tc>
        <w:tc>
          <w:tcPr>
            <w:tcW w:w="1900" w:type="dxa"/>
            <w:tcBorders>
              <w:top w:val="nil"/>
              <w:left w:val="single" w:sz="4" w:space="0" w:color="auto"/>
              <w:bottom w:val="nil"/>
              <w:right w:val="single" w:sz="4" w:space="0" w:color="auto"/>
            </w:tcBorders>
            <w:shd w:val="clear" w:color="000000" w:fill="FFFFFF"/>
            <w:noWrap/>
            <w:vAlign w:val="bottom"/>
            <w:hideMark/>
          </w:tcPr>
          <w:p w14:paraId="2C02CC09" w14:textId="77777777" w:rsidR="00FF4EBC" w:rsidRPr="00FF4EBC" w:rsidRDefault="00FF4EBC" w:rsidP="00C019E6">
            <w:pPr>
              <w:pStyle w:val="Tabletext"/>
              <w:jc w:val="center"/>
              <w:rPr>
                <w:lang w:val="en-GB"/>
              </w:rPr>
            </w:pPr>
            <w:r w:rsidRPr="00FF4EBC">
              <w:rPr>
                <w:lang w:val="es-ES"/>
              </w:rPr>
              <w:t>1</w:t>
            </w:r>
          </w:p>
        </w:tc>
      </w:tr>
      <w:tr w:rsidR="00FF4EBC" w:rsidRPr="00FF4EBC" w14:paraId="1F5308B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E2F301E" w14:textId="77777777" w:rsidR="00FF4EBC" w:rsidRPr="00FF4EBC" w:rsidRDefault="00FF4EBC" w:rsidP="00B07FFA">
            <w:pPr>
              <w:pStyle w:val="Tabletext"/>
              <w:rPr>
                <w:lang w:val="en-GB"/>
              </w:rPr>
            </w:pPr>
            <w:r w:rsidRPr="00FF4EBC">
              <w:rPr>
                <w:lang w:val="es-ES"/>
              </w:rPr>
              <w:t xml:space="preserve">Irlanda </w:t>
            </w:r>
          </w:p>
        </w:tc>
        <w:tc>
          <w:tcPr>
            <w:tcW w:w="1900" w:type="dxa"/>
            <w:tcBorders>
              <w:top w:val="nil"/>
              <w:left w:val="single" w:sz="4" w:space="0" w:color="auto"/>
              <w:bottom w:val="nil"/>
              <w:right w:val="single" w:sz="4" w:space="0" w:color="auto"/>
            </w:tcBorders>
            <w:shd w:val="clear" w:color="000000" w:fill="FFFFFF"/>
            <w:noWrap/>
            <w:vAlign w:val="bottom"/>
            <w:hideMark/>
          </w:tcPr>
          <w:p w14:paraId="5355D82D" w14:textId="77777777" w:rsidR="00FF4EBC" w:rsidRPr="00FF4EBC" w:rsidRDefault="00FF4EBC" w:rsidP="00C019E6">
            <w:pPr>
              <w:pStyle w:val="Tabletext"/>
              <w:jc w:val="center"/>
              <w:rPr>
                <w:lang w:val="en-GB"/>
              </w:rPr>
            </w:pPr>
            <w:r w:rsidRPr="00FF4EBC">
              <w:rPr>
                <w:lang w:val="es-ES"/>
              </w:rPr>
              <w:t>2</w:t>
            </w:r>
          </w:p>
        </w:tc>
      </w:tr>
      <w:tr w:rsidR="00FF4EBC" w:rsidRPr="00FF4EBC" w14:paraId="2532B84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F81600B" w14:textId="77777777" w:rsidR="00FF4EBC" w:rsidRPr="00FF4EBC" w:rsidRDefault="00FF4EBC" w:rsidP="00B07FFA">
            <w:pPr>
              <w:pStyle w:val="Tabletext"/>
              <w:rPr>
                <w:lang w:val="en-GB"/>
              </w:rPr>
            </w:pPr>
            <w:r w:rsidRPr="00FF4EBC">
              <w:rPr>
                <w:lang w:val="es-ES"/>
              </w:rPr>
              <w:t>Israel</w:t>
            </w:r>
          </w:p>
        </w:tc>
        <w:tc>
          <w:tcPr>
            <w:tcW w:w="1900" w:type="dxa"/>
            <w:tcBorders>
              <w:top w:val="nil"/>
              <w:left w:val="single" w:sz="4" w:space="0" w:color="auto"/>
              <w:bottom w:val="nil"/>
              <w:right w:val="single" w:sz="4" w:space="0" w:color="auto"/>
            </w:tcBorders>
            <w:shd w:val="clear" w:color="000000" w:fill="FFFFFF"/>
            <w:noWrap/>
            <w:vAlign w:val="bottom"/>
            <w:hideMark/>
          </w:tcPr>
          <w:p w14:paraId="314E557F" w14:textId="77777777" w:rsidR="00FF4EBC" w:rsidRPr="00FF4EBC" w:rsidRDefault="00FF4EBC" w:rsidP="00C019E6">
            <w:pPr>
              <w:pStyle w:val="Tabletext"/>
              <w:jc w:val="center"/>
              <w:rPr>
                <w:lang w:val="en-GB"/>
              </w:rPr>
            </w:pPr>
            <w:r w:rsidRPr="00FF4EBC">
              <w:rPr>
                <w:lang w:val="es-ES"/>
              </w:rPr>
              <w:t>1</w:t>
            </w:r>
          </w:p>
        </w:tc>
      </w:tr>
      <w:tr w:rsidR="00FF4EBC" w:rsidRPr="00FF4EBC" w14:paraId="4CEB8D7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5D3B4FD" w14:textId="77777777" w:rsidR="00FF4EBC" w:rsidRPr="00FF4EBC" w:rsidRDefault="00FF4EBC" w:rsidP="00B07FFA">
            <w:pPr>
              <w:pStyle w:val="Tabletext"/>
              <w:rPr>
                <w:lang w:val="en-GB"/>
              </w:rPr>
            </w:pPr>
            <w:r w:rsidRPr="00FF4EBC">
              <w:rPr>
                <w:lang w:val="es-ES"/>
              </w:rPr>
              <w:t xml:space="preserve">Italia </w:t>
            </w:r>
          </w:p>
        </w:tc>
        <w:tc>
          <w:tcPr>
            <w:tcW w:w="1900" w:type="dxa"/>
            <w:tcBorders>
              <w:top w:val="nil"/>
              <w:left w:val="single" w:sz="4" w:space="0" w:color="auto"/>
              <w:bottom w:val="nil"/>
              <w:right w:val="single" w:sz="4" w:space="0" w:color="auto"/>
            </w:tcBorders>
            <w:shd w:val="clear" w:color="000000" w:fill="FFFFFF"/>
            <w:noWrap/>
            <w:vAlign w:val="bottom"/>
            <w:hideMark/>
          </w:tcPr>
          <w:p w14:paraId="45D30ECC" w14:textId="77777777" w:rsidR="00FF4EBC" w:rsidRPr="00FF4EBC" w:rsidRDefault="00FF4EBC" w:rsidP="00C019E6">
            <w:pPr>
              <w:pStyle w:val="Tabletext"/>
              <w:jc w:val="center"/>
              <w:rPr>
                <w:lang w:val="en-GB"/>
              </w:rPr>
            </w:pPr>
            <w:r w:rsidRPr="00FF4EBC">
              <w:rPr>
                <w:lang w:val="es-ES"/>
              </w:rPr>
              <w:t>15</w:t>
            </w:r>
          </w:p>
        </w:tc>
      </w:tr>
      <w:tr w:rsidR="00FF4EBC" w:rsidRPr="00FF4EBC" w14:paraId="4F7DDC9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39FC509" w14:textId="77777777" w:rsidR="00FF4EBC" w:rsidRPr="00FF4EBC" w:rsidRDefault="00FF4EBC" w:rsidP="00B07FFA">
            <w:pPr>
              <w:pStyle w:val="Tabletext"/>
              <w:rPr>
                <w:lang w:val="en-GB"/>
              </w:rPr>
            </w:pPr>
            <w:r w:rsidRPr="00FF4EBC">
              <w:rPr>
                <w:lang w:val="es-ES"/>
              </w:rPr>
              <w:t>Jamaica</w:t>
            </w:r>
          </w:p>
        </w:tc>
        <w:tc>
          <w:tcPr>
            <w:tcW w:w="1900" w:type="dxa"/>
            <w:tcBorders>
              <w:top w:val="nil"/>
              <w:left w:val="single" w:sz="4" w:space="0" w:color="auto"/>
              <w:bottom w:val="nil"/>
              <w:right w:val="single" w:sz="4" w:space="0" w:color="auto"/>
            </w:tcBorders>
            <w:shd w:val="clear" w:color="000000" w:fill="FFFFFF"/>
            <w:vAlign w:val="bottom"/>
            <w:hideMark/>
          </w:tcPr>
          <w:p w14:paraId="2356AED5" w14:textId="77777777" w:rsidR="00FF4EBC" w:rsidRPr="00FF4EBC" w:rsidRDefault="00FF4EBC" w:rsidP="00C019E6">
            <w:pPr>
              <w:pStyle w:val="Tabletext"/>
              <w:jc w:val="center"/>
              <w:rPr>
                <w:lang w:val="en-GB"/>
              </w:rPr>
            </w:pPr>
            <w:r w:rsidRPr="00FF4EBC">
              <w:rPr>
                <w:lang w:val="es-ES"/>
              </w:rPr>
              <w:t>1/4</w:t>
            </w:r>
          </w:p>
        </w:tc>
      </w:tr>
      <w:tr w:rsidR="00FF4EBC" w:rsidRPr="00FF4EBC" w14:paraId="3A22C0C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A83B9E9" w14:textId="77777777" w:rsidR="00FF4EBC" w:rsidRPr="00FF4EBC" w:rsidRDefault="00FF4EBC" w:rsidP="00B07FFA">
            <w:pPr>
              <w:pStyle w:val="Tabletext"/>
              <w:rPr>
                <w:lang w:val="en-GB"/>
              </w:rPr>
            </w:pPr>
            <w:r w:rsidRPr="00FF4EBC">
              <w:rPr>
                <w:lang w:val="es-ES"/>
              </w:rPr>
              <w:t>Japón</w:t>
            </w:r>
          </w:p>
        </w:tc>
        <w:tc>
          <w:tcPr>
            <w:tcW w:w="1900" w:type="dxa"/>
            <w:tcBorders>
              <w:top w:val="nil"/>
              <w:left w:val="single" w:sz="4" w:space="0" w:color="auto"/>
              <w:bottom w:val="nil"/>
              <w:right w:val="single" w:sz="4" w:space="0" w:color="auto"/>
            </w:tcBorders>
            <w:shd w:val="clear" w:color="000000" w:fill="FFFFFF"/>
            <w:noWrap/>
            <w:vAlign w:val="bottom"/>
            <w:hideMark/>
          </w:tcPr>
          <w:p w14:paraId="1A7FF690" w14:textId="77777777" w:rsidR="00FF4EBC" w:rsidRPr="00FF4EBC" w:rsidRDefault="00FF4EBC" w:rsidP="00C019E6">
            <w:pPr>
              <w:pStyle w:val="Tabletext"/>
              <w:jc w:val="center"/>
              <w:rPr>
                <w:lang w:val="en-GB"/>
              </w:rPr>
            </w:pPr>
            <w:r w:rsidRPr="00FF4EBC">
              <w:rPr>
                <w:lang w:val="es-ES"/>
              </w:rPr>
              <w:t>30</w:t>
            </w:r>
          </w:p>
        </w:tc>
      </w:tr>
      <w:tr w:rsidR="00FF4EBC" w:rsidRPr="00FF4EBC" w14:paraId="4B2F118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249D97F" w14:textId="77777777" w:rsidR="00FF4EBC" w:rsidRPr="00FF4EBC" w:rsidRDefault="00FF4EBC" w:rsidP="00B07FFA">
            <w:pPr>
              <w:pStyle w:val="Tabletext"/>
              <w:rPr>
                <w:lang w:val="en-GB"/>
              </w:rPr>
            </w:pPr>
            <w:r w:rsidRPr="00FF4EBC">
              <w:rPr>
                <w:lang w:val="es-ES"/>
              </w:rPr>
              <w:t>Jordania</w:t>
            </w:r>
          </w:p>
        </w:tc>
        <w:tc>
          <w:tcPr>
            <w:tcW w:w="1900" w:type="dxa"/>
            <w:tcBorders>
              <w:top w:val="nil"/>
              <w:left w:val="single" w:sz="4" w:space="0" w:color="auto"/>
              <w:bottom w:val="nil"/>
              <w:right w:val="single" w:sz="4" w:space="0" w:color="auto"/>
            </w:tcBorders>
            <w:shd w:val="clear" w:color="000000" w:fill="FFFFFF"/>
            <w:noWrap/>
            <w:vAlign w:val="bottom"/>
            <w:hideMark/>
          </w:tcPr>
          <w:p w14:paraId="4629C31D" w14:textId="77777777" w:rsidR="00FF4EBC" w:rsidRPr="00FF4EBC" w:rsidRDefault="00FF4EBC" w:rsidP="00C019E6">
            <w:pPr>
              <w:pStyle w:val="Tabletext"/>
              <w:jc w:val="center"/>
              <w:rPr>
                <w:lang w:val="en-GB"/>
              </w:rPr>
            </w:pPr>
            <w:r w:rsidRPr="00FF4EBC">
              <w:rPr>
                <w:lang w:val="es-ES"/>
              </w:rPr>
              <w:t>1/2</w:t>
            </w:r>
          </w:p>
        </w:tc>
      </w:tr>
      <w:tr w:rsidR="00FF4EBC" w:rsidRPr="00FF4EBC" w14:paraId="2F099094"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7C0CB73" w14:textId="77777777" w:rsidR="00FF4EBC" w:rsidRPr="00FF4EBC" w:rsidRDefault="00FF4EBC" w:rsidP="00B07FFA">
            <w:pPr>
              <w:pStyle w:val="Tabletext"/>
              <w:rPr>
                <w:lang w:val="en-GB"/>
              </w:rPr>
            </w:pPr>
            <w:r w:rsidRPr="00FF4EBC">
              <w:rPr>
                <w:lang w:val="es-ES"/>
              </w:rPr>
              <w:t>Kazajstán</w:t>
            </w:r>
          </w:p>
        </w:tc>
        <w:tc>
          <w:tcPr>
            <w:tcW w:w="1900" w:type="dxa"/>
            <w:tcBorders>
              <w:top w:val="nil"/>
              <w:left w:val="single" w:sz="4" w:space="0" w:color="auto"/>
              <w:bottom w:val="nil"/>
              <w:right w:val="single" w:sz="4" w:space="0" w:color="auto"/>
            </w:tcBorders>
            <w:shd w:val="clear" w:color="000000" w:fill="FFFFFF"/>
            <w:noWrap/>
            <w:vAlign w:val="bottom"/>
            <w:hideMark/>
          </w:tcPr>
          <w:p w14:paraId="6A49DF54" w14:textId="77777777" w:rsidR="00FF4EBC" w:rsidRPr="00FF4EBC" w:rsidRDefault="00FF4EBC" w:rsidP="00C019E6">
            <w:pPr>
              <w:pStyle w:val="Tabletext"/>
              <w:jc w:val="center"/>
              <w:rPr>
                <w:lang w:val="en-GB"/>
              </w:rPr>
            </w:pPr>
            <w:r w:rsidRPr="00FF4EBC">
              <w:rPr>
                <w:lang w:val="es-ES"/>
              </w:rPr>
              <w:t>1/2</w:t>
            </w:r>
          </w:p>
        </w:tc>
      </w:tr>
      <w:tr w:rsidR="00FF4EBC" w:rsidRPr="00FF4EBC" w14:paraId="01BEC37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CFC494C" w14:textId="77777777" w:rsidR="00FF4EBC" w:rsidRPr="00FF4EBC" w:rsidRDefault="00FF4EBC" w:rsidP="00B07FFA">
            <w:pPr>
              <w:pStyle w:val="Tabletext"/>
              <w:rPr>
                <w:lang w:val="en-GB"/>
              </w:rPr>
            </w:pPr>
            <w:proofErr w:type="spellStart"/>
            <w:r w:rsidRPr="00FF4EBC">
              <w:rPr>
                <w:lang w:val="es-ES"/>
              </w:rPr>
              <w:t>Kenya</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15949FAF" w14:textId="77777777" w:rsidR="00FF4EBC" w:rsidRPr="00FF4EBC" w:rsidRDefault="00FF4EBC" w:rsidP="00C019E6">
            <w:pPr>
              <w:pStyle w:val="Tabletext"/>
              <w:jc w:val="center"/>
              <w:rPr>
                <w:lang w:val="en-GB"/>
              </w:rPr>
            </w:pPr>
            <w:r w:rsidRPr="00FF4EBC">
              <w:rPr>
                <w:lang w:val="es-ES"/>
              </w:rPr>
              <w:t>1</w:t>
            </w:r>
          </w:p>
        </w:tc>
      </w:tr>
      <w:tr w:rsidR="00FF4EBC" w:rsidRPr="00FF4EBC" w14:paraId="655D0F5F"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E5D32E7" w14:textId="77777777" w:rsidR="00FF4EBC" w:rsidRPr="00FF4EBC" w:rsidRDefault="00FF4EBC" w:rsidP="00B07FFA">
            <w:pPr>
              <w:pStyle w:val="Tabletext"/>
              <w:rPr>
                <w:lang w:val="en-GB"/>
              </w:rPr>
            </w:pPr>
            <w:r w:rsidRPr="00FF4EBC">
              <w:rPr>
                <w:lang w:val="es-ES"/>
              </w:rPr>
              <w:t>Kiribati</w:t>
            </w:r>
          </w:p>
        </w:tc>
        <w:tc>
          <w:tcPr>
            <w:tcW w:w="1900" w:type="dxa"/>
            <w:tcBorders>
              <w:top w:val="nil"/>
              <w:left w:val="single" w:sz="4" w:space="0" w:color="auto"/>
              <w:bottom w:val="nil"/>
              <w:right w:val="single" w:sz="4" w:space="0" w:color="auto"/>
            </w:tcBorders>
            <w:shd w:val="clear" w:color="000000" w:fill="FFFFFF"/>
            <w:noWrap/>
            <w:vAlign w:val="bottom"/>
            <w:hideMark/>
          </w:tcPr>
          <w:p w14:paraId="287681C4" w14:textId="77777777" w:rsidR="00FF4EBC" w:rsidRPr="00FF4EBC" w:rsidRDefault="00FF4EBC" w:rsidP="00C019E6">
            <w:pPr>
              <w:pStyle w:val="Tabletext"/>
              <w:jc w:val="center"/>
              <w:rPr>
                <w:lang w:val="en-GB"/>
              </w:rPr>
            </w:pPr>
            <w:r w:rsidRPr="00FF4EBC">
              <w:rPr>
                <w:lang w:val="es-ES"/>
              </w:rPr>
              <w:t>1/16</w:t>
            </w:r>
          </w:p>
        </w:tc>
      </w:tr>
      <w:tr w:rsidR="00FF4EBC" w:rsidRPr="00FF4EBC" w14:paraId="13C05FC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E23A12E" w14:textId="77777777" w:rsidR="00FF4EBC" w:rsidRPr="00FF4EBC" w:rsidRDefault="00FF4EBC" w:rsidP="00B07FFA">
            <w:pPr>
              <w:pStyle w:val="Tabletext"/>
              <w:rPr>
                <w:lang w:val="en-GB"/>
              </w:rPr>
            </w:pPr>
            <w:r w:rsidRPr="00FF4EBC">
              <w:rPr>
                <w:lang w:val="es-ES"/>
              </w:rPr>
              <w:t>Corea (República de)</w:t>
            </w:r>
          </w:p>
        </w:tc>
        <w:tc>
          <w:tcPr>
            <w:tcW w:w="1900" w:type="dxa"/>
            <w:tcBorders>
              <w:top w:val="nil"/>
              <w:left w:val="single" w:sz="4" w:space="0" w:color="auto"/>
              <w:bottom w:val="nil"/>
              <w:right w:val="single" w:sz="4" w:space="0" w:color="auto"/>
            </w:tcBorders>
            <w:shd w:val="clear" w:color="000000" w:fill="FFFFFF"/>
            <w:noWrap/>
            <w:vAlign w:val="bottom"/>
            <w:hideMark/>
          </w:tcPr>
          <w:p w14:paraId="77EB2A3D" w14:textId="77777777" w:rsidR="00FF4EBC" w:rsidRPr="00FF4EBC" w:rsidRDefault="00FF4EBC" w:rsidP="00C019E6">
            <w:pPr>
              <w:pStyle w:val="Tabletext"/>
              <w:jc w:val="center"/>
              <w:rPr>
                <w:lang w:val="en-GB"/>
              </w:rPr>
            </w:pPr>
            <w:r w:rsidRPr="00FF4EBC">
              <w:rPr>
                <w:lang w:val="es-ES"/>
              </w:rPr>
              <w:t>10</w:t>
            </w:r>
          </w:p>
        </w:tc>
      </w:tr>
      <w:tr w:rsidR="00FF4EBC" w:rsidRPr="00FF4EBC" w14:paraId="0F99BB7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626DAE9" w14:textId="77777777" w:rsidR="00FF4EBC" w:rsidRPr="00FF4EBC" w:rsidRDefault="00FF4EBC" w:rsidP="00B07FFA">
            <w:pPr>
              <w:pStyle w:val="Tabletext"/>
              <w:rPr>
                <w:lang w:val="en-GB"/>
              </w:rPr>
            </w:pPr>
            <w:r w:rsidRPr="00FF4EBC">
              <w:rPr>
                <w:lang w:val="es-ES"/>
              </w:rPr>
              <w:t>Kuwait</w:t>
            </w:r>
          </w:p>
        </w:tc>
        <w:tc>
          <w:tcPr>
            <w:tcW w:w="1900" w:type="dxa"/>
            <w:tcBorders>
              <w:top w:val="nil"/>
              <w:left w:val="single" w:sz="4" w:space="0" w:color="auto"/>
              <w:bottom w:val="nil"/>
              <w:right w:val="single" w:sz="4" w:space="0" w:color="auto"/>
            </w:tcBorders>
            <w:shd w:val="clear" w:color="000000" w:fill="FFFFFF"/>
            <w:noWrap/>
            <w:vAlign w:val="bottom"/>
            <w:hideMark/>
          </w:tcPr>
          <w:p w14:paraId="2BA90E63" w14:textId="77777777" w:rsidR="00FF4EBC" w:rsidRPr="00FF4EBC" w:rsidRDefault="00FF4EBC" w:rsidP="00C019E6">
            <w:pPr>
              <w:pStyle w:val="Tabletext"/>
              <w:jc w:val="center"/>
              <w:rPr>
                <w:lang w:val="en-GB"/>
              </w:rPr>
            </w:pPr>
            <w:r w:rsidRPr="00FF4EBC">
              <w:rPr>
                <w:lang w:val="es-ES"/>
              </w:rPr>
              <w:t>5</w:t>
            </w:r>
          </w:p>
        </w:tc>
      </w:tr>
      <w:tr w:rsidR="00FF4EBC" w:rsidRPr="00FF4EBC" w14:paraId="305DCCA5"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7B9935C" w14:textId="77777777" w:rsidR="00FF4EBC" w:rsidRPr="00FF4EBC" w:rsidRDefault="00FF4EBC" w:rsidP="00B07FFA">
            <w:pPr>
              <w:pStyle w:val="Tabletext"/>
              <w:rPr>
                <w:lang w:val="en-GB"/>
              </w:rPr>
            </w:pPr>
            <w:r w:rsidRPr="00FF4EBC">
              <w:rPr>
                <w:lang w:val="es-ES"/>
              </w:rPr>
              <w:t>Kirguistán</w:t>
            </w:r>
          </w:p>
        </w:tc>
        <w:tc>
          <w:tcPr>
            <w:tcW w:w="1900" w:type="dxa"/>
            <w:tcBorders>
              <w:top w:val="nil"/>
              <w:left w:val="single" w:sz="4" w:space="0" w:color="auto"/>
              <w:bottom w:val="nil"/>
              <w:right w:val="single" w:sz="4" w:space="0" w:color="auto"/>
            </w:tcBorders>
            <w:shd w:val="clear" w:color="000000" w:fill="FFFFFF"/>
            <w:noWrap/>
            <w:vAlign w:val="bottom"/>
            <w:hideMark/>
          </w:tcPr>
          <w:p w14:paraId="4556DCB4" w14:textId="77777777" w:rsidR="00FF4EBC" w:rsidRPr="00FF4EBC" w:rsidRDefault="00FF4EBC" w:rsidP="00C019E6">
            <w:pPr>
              <w:pStyle w:val="Tabletext"/>
              <w:jc w:val="center"/>
              <w:rPr>
                <w:lang w:val="en-GB"/>
              </w:rPr>
            </w:pPr>
            <w:r w:rsidRPr="00FF4EBC">
              <w:rPr>
                <w:lang w:val="es-ES"/>
              </w:rPr>
              <w:t>1/4</w:t>
            </w:r>
          </w:p>
        </w:tc>
      </w:tr>
      <w:tr w:rsidR="00FF4EBC" w:rsidRPr="00FF4EBC" w14:paraId="3565240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98094F5" w14:textId="7267AEFB" w:rsidR="00FF4EBC" w:rsidRPr="00FF4EBC" w:rsidRDefault="00093767" w:rsidP="00B07FFA">
            <w:pPr>
              <w:pStyle w:val="Tabletext"/>
              <w:rPr>
                <w:lang w:val="en-GB"/>
              </w:rPr>
            </w:pPr>
            <w:r w:rsidRPr="00FF4EBC">
              <w:rPr>
                <w:lang w:val="es-ES"/>
              </w:rPr>
              <w:t xml:space="preserve">Lao </w:t>
            </w:r>
            <w:r>
              <w:rPr>
                <w:lang w:val="es-ES"/>
              </w:rPr>
              <w:t>(</w:t>
            </w:r>
            <w:r w:rsidR="00FF4EBC" w:rsidRPr="00FF4EBC">
              <w:rPr>
                <w:lang w:val="es-ES"/>
              </w:rPr>
              <w:t>República Democrática Popular</w:t>
            </w:r>
            <w:r>
              <w:rPr>
                <w:lang w:val="es-ES"/>
              </w:rPr>
              <w:t>)</w:t>
            </w:r>
          </w:p>
        </w:tc>
        <w:tc>
          <w:tcPr>
            <w:tcW w:w="1900" w:type="dxa"/>
            <w:tcBorders>
              <w:top w:val="nil"/>
              <w:left w:val="single" w:sz="4" w:space="0" w:color="auto"/>
              <w:bottom w:val="nil"/>
              <w:right w:val="single" w:sz="4" w:space="0" w:color="auto"/>
            </w:tcBorders>
            <w:shd w:val="clear" w:color="000000" w:fill="FFFFFF"/>
            <w:noWrap/>
            <w:vAlign w:val="bottom"/>
            <w:hideMark/>
          </w:tcPr>
          <w:p w14:paraId="74DF4BA0" w14:textId="77777777" w:rsidR="00FF4EBC" w:rsidRPr="00FF4EBC" w:rsidRDefault="00FF4EBC" w:rsidP="00C019E6">
            <w:pPr>
              <w:pStyle w:val="Tabletext"/>
              <w:jc w:val="center"/>
              <w:rPr>
                <w:lang w:val="en-GB"/>
              </w:rPr>
            </w:pPr>
            <w:r w:rsidRPr="00FF4EBC">
              <w:rPr>
                <w:lang w:val="es-ES"/>
              </w:rPr>
              <w:t>1/16</w:t>
            </w:r>
          </w:p>
        </w:tc>
      </w:tr>
      <w:tr w:rsidR="00FF4EBC" w:rsidRPr="00FF4EBC" w14:paraId="6BCA6A8B"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424C1FF" w14:textId="77777777" w:rsidR="00FF4EBC" w:rsidRPr="00FF4EBC" w:rsidRDefault="00FF4EBC" w:rsidP="00B07FFA">
            <w:pPr>
              <w:pStyle w:val="Tabletext"/>
              <w:rPr>
                <w:lang w:val="en-GB"/>
              </w:rPr>
            </w:pPr>
            <w:r w:rsidRPr="00FF4EBC">
              <w:rPr>
                <w:lang w:val="es-ES"/>
              </w:rPr>
              <w:t>Letonia</w:t>
            </w:r>
          </w:p>
        </w:tc>
        <w:tc>
          <w:tcPr>
            <w:tcW w:w="1900" w:type="dxa"/>
            <w:tcBorders>
              <w:top w:val="nil"/>
              <w:left w:val="single" w:sz="4" w:space="0" w:color="auto"/>
              <w:bottom w:val="nil"/>
              <w:right w:val="single" w:sz="4" w:space="0" w:color="auto"/>
            </w:tcBorders>
            <w:shd w:val="clear" w:color="000000" w:fill="FFFFFF"/>
            <w:noWrap/>
            <w:vAlign w:val="bottom"/>
            <w:hideMark/>
          </w:tcPr>
          <w:p w14:paraId="1132FAC1" w14:textId="77777777" w:rsidR="00FF4EBC" w:rsidRPr="00FF4EBC" w:rsidRDefault="00FF4EBC" w:rsidP="00C019E6">
            <w:pPr>
              <w:pStyle w:val="Tabletext"/>
              <w:jc w:val="center"/>
              <w:rPr>
                <w:lang w:val="en-GB"/>
              </w:rPr>
            </w:pPr>
            <w:r w:rsidRPr="00FF4EBC">
              <w:rPr>
                <w:lang w:val="es-ES"/>
              </w:rPr>
              <w:t>1/4</w:t>
            </w:r>
          </w:p>
        </w:tc>
      </w:tr>
      <w:tr w:rsidR="00FF4EBC" w:rsidRPr="00FF4EBC" w14:paraId="174EF87E" w14:textId="77777777" w:rsidTr="006A2D3E">
        <w:trPr>
          <w:cantSplit/>
          <w:jc w:val="center"/>
        </w:trPr>
        <w:tc>
          <w:tcPr>
            <w:tcW w:w="4180" w:type="dxa"/>
            <w:tcBorders>
              <w:top w:val="nil"/>
              <w:left w:val="single" w:sz="4" w:space="0" w:color="auto"/>
              <w:right w:val="single" w:sz="4" w:space="0" w:color="auto"/>
            </w:tcBorders>
            <w:shd w:val="clear" w:color="000000" w:fill="FFFFFF"/>
            <w:vAlign w:val="bottom"/>
            <w:hideMark/>
          </w:tcPr>
          <w:p w14:paraId="4F664BAF" w14:textId="77777777" w:rsidR="00FF4EBC" w:rsidRPr="00FF4EBC" w:rsidRDefault="00FF4EBC" w:rsidP="00B07FFA">
            <w:pPr>
              <w:pStyle w:val="Tabletext"/>
              <w:rPr>
                <w:lang w:val="en-GB"/>
              </w:rPr>
            </w:pPr>
            <w:r w:rsidRPr="00FF4EBC">
              <w:rPr>
                <w:lang w:val="es-ES"/>
              </w:rPr>
              <w:t xml:space="preserve">Líbano </w:t>
            </w:r>
          </w:p>
        </w:tc>
        <w:tc>
          <w:tcPr>
            <w:tcW w:w="1900" w:type="dxa"/>
            <w:tcBorders>
              <w:top w:val="nil"/>
              <w:left w:val="single" w:sz="4" w:space="0" w:color="auto"/>
              <w:right w:val="single" w:sz="4" w:space="0" w:color="auto"/>
            </w:tcBorders>
            <w:shd w:val="clear" w:color="000000" w:fill="FFFFFF"/>
            <w:noWrap/>
            <w:vAlign w:val="bottom"/>
            <w:hideMark/>
          </w:tcPr>
          <w:p w14:paraId="227255B6" w14:textId="77777777" w:rsidR="00FF4EBC" w:rsidRPr="00FF4EBC" w:rsidRDefault="00FF4EBC" w:rsidP="00C019E6">
            <w:pPr>
              <w:pStyle w:val="Tabletext"/>
              <w:jc w:val="center"/>
              <w:rPr>
                <w:lang w:val="en-GB"/>
              </w:rPr>
            </w:pPr>
            <w:r w:rsidRPr="00FF4EBC">
              <w:rPr>
                <w:lang w:val="es-ES"/>
              </w:rPr>
              <w:t>1/4</w:t>
            </w:r>
          </w:p>
        </w:tc>
      </w:tr>
      <w:tr w:rsidR="00FF4EBC" w:rsidRPr="00FF4EBC" w14:paraId="54B74179" w14:textId="77777777" w:rsidTr="006A2D3E">
        <w:trPr>
          <w:cantSplit/>
          <w:jc w:val="center"/>
        </w:trPr>
        <w:tc>
          <w:tcPr>
            <w:tcW w:w="4180" w:type="dxa"/>
            <w:tcBorders>
              <w:top w:val="nil"/>
              <w:left w:val="single" w:sz="4" w:space="0" w:color="auto"/>
              <w:right w:val="single" w:sz="4" w:space="0" w:color="auto"/>
            </w:tcBorders>
            <w:shd w:val="clear" w:color="000000" w:fill="FFFFFF"/>
            <w:vAlign w:val="bottom"/>
            <w:hideMark/>
          </w:tcPr>
          <w:p w14:paraId="4B9FB74A" w14:textId="77777777" w:rsidR="00FF4EBC" w:rsidRPr="00FF4EBC" w:rsidRDefault="00FF4EBC" w:rsidP="00B07FFA">
            <w:pPr>
              <w:pStyle w:val="Tabletext"/>
              <w:rPr>
                <w:lang w:val="en-GB"/>
              </w:rPr>
            </w:pPr>
            <w:proofErr w:type="spellStart"/>
            <w:r w:rsidRPr="00FF4EBC">
              <w:rPr>
                <w:lang w:val="es-ES"/>
              </w:rPr>
              <w:t>Lesotho</w:t>
            </w:r>
            <w:proofErr w:type="spellEnd"/>
          </w:p>
        </w:tc>
        <w:tc>
          <w:tcPr>
            <w:tcW w:w="1900" w:type="dxa"/>
            <w:tcBorders>
              <w:top w:val="nil"/>
              <w:left w:val="single" w:sz="4" w:space="0" w:color="auto"/>
              <w:right w:val="single" w:sz="4" w:space="0" w:color="auto"/>
            </w:tcBorders>
            <w:shd w:val="clear" w:color="000000" w:fill="FFFFFF"/>
            <w:noWrap/>
            <w:vAlign w:val="bottom"/>
            <w:hideMark/>
          </w:tcPr>
          <w:p w14:paraId="49477098" w14:textId="77777777" w:rsidR="00FF4EBC" w:rsidRPr="00FF4EBC" w:rsidRDefault="00FF4EBC" w:rsidP="00C019E6">
            <w:pPr>
              <w:pStyle w:val="Tabletext"/>
              <w:jc w:val="center"/>
              <w:rPr>
                <w:lang w:val="en-GB"/>
              </w:rPr>
            </w:pPr>
            <w:r w:rsidRPr="00FF4EBC">
              <w:rPr>
                <w:lang w:val="es-ES"/>
              </w:rPr>
              <w:t>1/16</w:t>
            </w:r>
          </w:p>
        </w:tc>
      </w:tr>
      <w:tr w:rsidR="00FF4EBC" w:rsidRPr="00FF4EBC" w14:paraId="0A715EB9" w14:textId="77777777" w:rsidTr="006A2D3E">
        <w:trPr>
          <w:cantSplit/>
          <w:jc w:val="center"/>
        </w:trPr>
        <w:tc>
          <w:tcPr>
            <w:tcW w:w="4180" w:type="dxa"/>
            <w:tcBorders>
              <w:left w:val="single" w:sz="4" w:space="0" w:color="auto"/>
              <w:bottom w:val="nil"/>
              <w:right w:val="single" w:sz="4" w:space="0" w:color="auto"/>
            </w:tcBorders>
            <w:shd w:val="clear" w:color="000000" w:fill="FFFFFF"/>
            <w:vAlign w:val="bottom"/>
            <w:hideMark/>
          </w:tcPr>
          <w:p w14:paraId="15579906" w14:textId="77777777" w:rsidR="00FF4EBC" w:rsidRPr="00FF4EBC" w:rsidRDefault="00FF4EBC" w:rsidP="00B07FFA">
            <w:pPr>
              <w:pStyle w:val="Tabletext"/>
              <w:rPr>
                <w:lang w:val="en-GB"/>
              </w:rPr>
            </w:pPr>
            <w:r w:rsidRPr="00FF4EBC">
              <w:rPr>
                <w:lang w:val="es-ES"/>
              </w:rPr>
              <w:t>Liberia</w:t>
            </w:r>
          </w:p>
        </w:tc>
        <w:tc>
          <w:tcPr>
            <w:tcW w:w="1900" w:type="dxa"/>
            <w:tcBorders>
              <w:left w:val="single" w:sz="4" w:space="0" w:color="auto"/>
              <w:bottom w:val="nil"/>
              <w:right w:val="single" w:sz="4" w:space="0" w:color="auto"/>
            </w:tcBorders>
            <w:shd w:val="clear" w:color="000000" w:fill="FFFFFF"/>
            <w:noWrap/>
            <w:vAlign w:val="bottom"/>
            <w:hideMark/>
          </w:tcPr>
          <w:p w14:paraId="5C963B64" w14:textId="77777777" w:rsidR="00FF4EBC" w:rsidRPr="00FF4EBC" w:rsidRDefault="00FF4EBC" w:rsidP="00C019E6">
            <w:pPr>
              <w:pStyle w:val="Tabletext"/>
              <w:jc w:val="center"/>
              <w:rPr>
                <w:lang w:val="en-GB"/>
              </w:rPr>
            </w:pPr>
            <w:r w:rsidRPr="00FF4EBC">
              <w:rPr>
                <w:lang w:val="es-ES"/>
              </w:rPr>
              <w:t>1/16</w:t>
            </w:r>
          </w:p>
        </w:tc>
      </w:tr>
      <w:tr w:rsidR="00FF4EBC" w:rsidRPr="00FF4EBC" w14:paraId="73850295"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A4B8832" w14:textId="29D8DA02" w:rsidR="00FF4EBC" w:rsidRPr="00FF4EBC" w:rsidRDefault="00FF4EBC" w:rsidP="00B07FFA">
            <w:pPr>
              <w:pStyle w:val="Tabletext"/>
              <w:rPr>
                <w:lang w:val="en-GB"/>
              </w:rPr>
            </w:pPr>
            <w:r w:rsidRPr="00FF4EBC">
              <w:rPr>
                <w:lang w:val="es-ES"/>
              </w:rPr>
              <w:lastRenderedPageBreak/>
              <w:t>Libia</w:t>
            </w:r>
          </w:p>
        </w:tc>
        <w:tc>
          <w:tcPr>
            <w:tcW w:w="1900" w:type="dxa"/>
            <w:tcBorders>
              <w:top w:val="nil"/>
              <w:left w:val="single" w:sz="4" w:space="0" w:color="auto"/>
              <w:bottom w:val="nil"/>
              <w:right w:val="single" w:sz="4" w:space="0" w:color="auto"/>
            </w:tcBorders>
            <w:shd w:val="clear" w:color="000000" w:fill="FFFFFF"/>
            <w:vAlign w:val="bottom"/>
            <w:hideMark/>
          </w:tcPr>
          <w:p w14:paraId="7EB4A759" w14:textId="77777777" w:rsidR="00FF4EBC" w:rsidRPr="00FF4EBC" w:rsidRDefault="00FF4EBC" w:rsidP="00C019E6">
            <w:pPr>
              <w:pStyle w:val="Tabletext"/>
              <w:jc w:val="center"/>
              <w:rPr>
                <w:lang w:val="en-GB"/>
              </w:rPr>
            </w:pPr>
            <w:r w:rsidRPr="00FF4EBC">
              <w:rPr>
                <w:lang w:val="es-ES"/>
              </w:rPr>
              <w:t>1/4</w:t>
            </w:r>
          </w:p>
        </w:tc>
      </w:tr>
      <w:tr w:rsidR="00FF4EBC" w:rsidRPr="00FF4EBC" w14:paraId="4D59F7E0"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0C0F4B4" w14:textId="77777777" w:rsidR="00FF4EBC" w:rsidRPr="00FF4EBC" w:rsidRDefault="00FF4EBC" w:rsidP="00B07FFA">
            <w:pPr>
              <w:pStyle w:val="Tabletext"/>
              <w:rPr>
                <w:lang w:val="en-GB"/>
              </w:rPr>
            </w:pPr>
            <w:r w:rsidRPr="00FF4EBC">
              <w:rPr>
                <w:lang w:val="es-ES"/>
              </w:rPr>
              <w:t>Liechtenstein</w:t>
            </w:r>
          </w:p>
        </w:tc>
        <w:tc>
          <w:tcPr>
            <w:tcW w:w="1900" w:type="dxa"/>
            <w:tcBorders>
              <w:top w:val="nil"/>
              <w:left w:val="single" w:sz="4" w:space="0" w:color="auto"/>
              <w:bottom w:val="nil"/>
              <w:right w:val="single" w:sz="4" w:space="0" w:color="auto"/>
            </w:tcBorders>
            <w:shd w:val="clear" w:color="000000" w:fill="FFFFFF"/>
            <w:vAlign w:val="bottom"/>
            <w:hideMark/>
          </w:tcPr>
          <w:p w14:paraId="157890DC" w14:textId="77777777" w:rsidR="00FF4EBC" w:rsidRPr="00FF4EBC" w:rsidRDefault="00FF4EBC" w:rsidP="00C019E6">
            <w:pPr>
              <w:pStyle w:val="Tabletext"/>
              <w:jc w:val="center"/>
              <w:rPr>
                <w:lang w:val="en-GB"/>
              </w:rPr>
            </w:pPr>
            <w:r w:rsidRPr="00FF4EBC">
              <w:rPr>
                <w:lang w:val="es-ES"/>
              </w:rPr>
              <w:t>1/2</w:t>
            </w:r>
          </w:p>
        </w:tc>
      </w:tr>
      <w:tr w:rsidR="00FF4EBC" w:rsidRPr="00FF4EBC" w14:paraId="07661B11"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F872FCF" w14:textId="77777777" w:rsidR="00FF4EBC" w:rsidRPr="00FF4EBC" w:rsidRDefault="00FF4EBC" w:rsidP="00B07FFA">
            <w:pPr>
              <w:pStyle w:val="Tabletext"/>
              <w:rPr>
                <w:lang w:val="en-GB"/>
              </w:rPr>
            </w:pPr>
            <w:r w:rsidRPr="00FF4EBC">
              <w:rPr>
                <w:lang w:val="es-ES"/>
              </w:rPr>
              <w:t>Lituania</w:t>
            </w:r>
          </w:p>
        </w:tc>
        <w:tc>
          <w:tcPr>
            <w:tcW w:w="1900" w:type="dxa"/>
            <w:tcBorders>
              <w:top w:val="nil"/>
              <w:left w:val="single" w:sz="4" w:space="0" w:color="auto"/>
              <w:bottom w:val="nil"/>
              <w:right w:val="single" w:sz="4" w:space="0" w:color="auto"/>
            </w:tcBorders>
            <w:shd w:val="clear" w:color="000000" w:fill="FFFFFF"/>
            <w:noWrap/>
            <w:vAlign w:val="bottom"/>
            <w:hideMark/>
          </w:tcPr>
          <w:p w14:paraId="5041CD19" w14:textId="77777777" w:rsidR="00FF4EBC" w:rsidRPr="00FF4EBC" w:rsidRDefault="00FF4EBC" w:rsidP="00C019E6">
            <w:pPr>
              <w:pStyle w:val="Tabletext"/>
              <w:jc w:val="center"/>
              <w:rPr>
                <w:lang w:val="en-GB"/>
              </w:rPr>
            </w:pPr>
            <w:r w:rsidRPr="00FF4EBC">
              <w:rPr>
                <w:lang w:val="es-ES"/>
              </w:rPr>
              <w:t>1/4</w:t>
            </w:r>
          </w:p>
        </w:tc>
      </w:tr>
      <w:tr w:rsidR="00FF4EBC" w:rsidRPr="00FF4EBC" w14:paraId="210E2E0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3290CA0" w14:textId="77777777" w:rsidR="00FF4EBC" w:rsidRPr="00FF4EBC" w:rsidRDefault="00FF4EBC" w:rsidP="00B07FFA">
            <w:pPr>
              <w:pStyle w:val="Tabletext"/>
              <w:rPr>
                <w:lang w:val="en-GB"/>
              </w:rPr>
            </w:pPr>
            <w:r w:rsidRPr="00FF4EBC">
              <w:rPr>
                <w:lang w:val="es-ES"/>
              </w:rPr>
              <w:t>Luxemburgo</w:t>
            </w:r>
          </w:p>
        </w:tc>
        <w:tc>
          <w:tcPr>
            <w:tcW w:w="1900" w:type="dxa"/>
            <w:tcBorders>
              <w:top w:val="nil"/>
              <w:left w:val="single" w:sz="4" w:space="0" w:color="auto"/>
              <w:bottom w:val="nil"/>
              <w:right w:val="single" w:sz="4" w:space="0" w:color="auto"/>
            </w:tcBorders>
            <w:shd w:val="clear" w:color="000000" w:fill="FFFFFF"/>
            <w:noWrap/>
            <w:vAlign w:val="bottom"/>
            <w:hideMark/>
          </w:tcPr>
          <w:p w14:paraId="08D651D6" w14:textId="77777777" w:rsidR="00FF4EBC" w:rsidRPr="00FF4EBC" w:rsidRDefault="00FF4EBC" w:rsidP="00C019E6">
            <w:pPr>
              <w:pStyle w:val="Tabletext"/>
              <w:jc w:val="center"/>
              <w:rPr>
                <w:lang w:val="en-GB"/>
              </w:rPr>
            </w:pPr>
            <w:r w:rsidRPr="00FF4EBC">
              <w:rPr>
                <w:lang w:val="es-ES"/>
              </w:rPr>
              <w:t>1/2</w:t>
            </w:r>
          </w:p>
        </w:tc>
      </w:tr>
      <w:tr w:rsidR="00FF4EBC" w:rsidRPr="00FF4EBC" w14:paraId="5E266B5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8086742" w14:textId="77777777" w:rsidR="00FF4EBC" w:rsidRPr="00FF4EBC" w:rsidRDefault="00FF4EBC" w:rsidP="00B07FFA">
            <w:pPr>
              <w:pStyle w:val="Tabletext"/>
              <w:rPr>
                <w:lang w:val="en-GB"/>
              </w:rPr>
            </w:pPr>
            <w:r w:rsidRPr="00FF4EBC">
              <w:rPr>
                <w:lang w:val="es-ES"/>
              </w:rPr>
              <w:t>Madagascar</w:t>
            </w:r>
          </w:p>
        </w:tc>
        <w:tc>
          <w:tcPr>
            <w:tcW w:w="1900" w:type="dxa"/>
            <w:tcBorders>
              <w:top w:val="nil"/>
              <w:left w:val="single" w:sz="4" w:space="0" w:color="auto"/>
              <w:bottom w:val="nil"/>
              <w:right w:val="single" w:sz="4" w:space="0" w:color="auto"/>
            </w:tcBorders>
            <w:shd w:val="clear" w:color="000000" w:fill="FFFFFF"/>
            <w:noWrap/>
            <w:vAlign w:val="bottom"/>
            <w:hideMark/>
          </w:tcPr>
          <w:p w14:paraId="356E28F7" w14:textId="77777777" w:rsidR="00FF4EBC" w:rsidRPr="00FF4EBC" w:rsidRDefault="00FF4EBC" w:rsidP="00C019E6">
            <w:pPr>
              <w:pStyle w:val="Tabletext"/>
              <w:jc w:val="center"/>
              <w:rPr>
                <w:lang w:val="en-GB"/>
              </w:rPr>
            </w:pPr>
            <w:r w:rsidRPr="00FF4EBC">
              <w:rPr>
                <w:lang w:val="es-ES"/>
              </w:rPr>
              <w:t>1/8</w:t>
            </w:r>
          </w:p>
        </w:tc>
      </w:tr>
      <w:tr w:rsidR="00FF4EBC" w:rsidRPr="00FF4EBC" w14:paraId="39916711"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2F0B9C2" w14:textId="77777777" w:rsidR="00FF4EBC" w:rsidRPr="00FF4EBC" w:rsidRDefault="00FF4EBC" w:rsidP="00B07FFA">
            <w:pPr>
              <w:pStyle w:val="Tabletext"/>
              <w:rPr>
                <w:lang w:val="en-GB"/>
              </w:rPr>
            </w:pPr>
            <w:r w:rsidRPr="00FF4EBC">
              <w:rPr>
                <w:lang w:val="es-ES"/>
              </w:rPr>
              <w:t xml:space="preserve">Malawi </w:t>
            </w:r>
          </w:p>
        </w:tc>
        <w:tc>
          <w:tcPr>
            <w:tcW w:w="1900" w:type="dxa"/>
            <w:tcBorders>
              <w:top w:val="nil"/>
              <w:left w:val="single" w:sz="4" w:space="0" w:color="auto"/>
              <w:bottom w:val="nil"/>
              <w:right w:val="single" w:sz="4" w:space="0" w:color="auto"/>
            </w:tcBorders>
            <w:shd w:val="clear" w:color="000000" w:fill="FFFFFF"/>
            <w:noWrap/>
            <w:vAlign w:val="bottom"/>
            <w:hideMark/>
          </w:tcPr>
          <w:p w14:paraId="6812F016" w14:textId="77777777" w:rsidR="00FF4EBC" w:rsidRPr="00FF4EBC" w:rsidRDefault="00FF4EBC" w:rsidP="00C019E6">
            <w:pPr>
              <w:pStyle w:val="Tabletext"/>
              <w:jc w:val="center"/>
              <w:rPr>
                <w:lang w:val="en-GB"/>
              </w:rPr>
            </w:pPr>
            <w:r w:rsidRPr="00FF4EBC">
              <w:rPr>
                <w:lang w:val="es-ES"/>
              </w:rPr>
              <w:t>1/16</w:t>
            </w:r>
          </w:p>
        </w:tc>
      </w:tr>
      <w:tr w:rsidR="00FF4EBC" w:rsidRPr="00FF4EBC" w14:paraId="70A25BD4"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A2BD750" w14:textId="77777777" w:rsidR="00FF4EBC" w:rsidRPr="00FF4EBC" w:rsidRDefault="00FF4EBC" w:rsidP="00B07FFA">
            <w:pPr>
              <w:pStyle w:val="Tabletext"/>
              <w:rPr>
                <w:lang w:val="en-GB"/>
              </w:rPr>
            </w:pPr>
            <w:r w:rsidRPr="00FF4EBC">
              <w:rPr>
                <w:lang w:val="es-ES"/>
              </w:rPr>
              <w:t>Malasia</w:t>
            </w:r>
          </w:p>
        </w:tc>
        <w:tc>
          <w:tcPr>
            <w:tcW w:w="1900" w:type="dxa"/>
            <w:tcBorders>
              <w:top w:val="nil"/>
              <w:left w:val="single" w:sz="4" w:space="0" w:color="auto"/>
              <w:bottom w:val="nil"/>
              <w:right w:val="single" w:sz="4" w:space="0" w:color="auto"/>
            </w:tcBorders>
            <w:shd w:val="clear" w:color="000000" w:fill="FFFFFF"/>
            <w:noWrap/>
            <w:vAlign w:val="bottom"/>
            <w:hideMark/>
          </w:tcPr>
          <w:p w14:paraId="1EEFCD44" w14:textId="77777777" w:rsidR="00FF4EBC" w:rsidRPr="00FF4EBC" w:rsidRDefault="00FF4EBC" w:rsidP="00C019E6">
            <w:pPr>
              <w:pStyle w:val="Tabletext"/>
              <w:jc w:val="center"/>
              <w:rPr>
                <w:lang w:val="en-GB"/>
              </w:rPr>
            </w:pPr>
            <w:r w:rsidRPr="00FF4EBC">
              <w:rPr>
                <w:lang w:val="es-ES"/>
              </w:rPr>
              <w:t>2</w:t>
            </w:r>
          </w:p>
        </w:tc>
      </w:tr>
      <w:tr w:rsidR="00FF4EBC" w:rsidRPr="00FF4EBC" w14:paraId="1BB159D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FA9C1B7" w14:textId="77777777" w:rsidR="00FF4EBC" w:rsidRPr="00FF4EBC" w:rsidRDefault="00FF4EBC" w:rsidP="00B07FFA">
            <w:pPr>
              <w:pStyle w:val="Tabletext"/>
              <w:rPr>
                <w:lang w:val="en-GB"/>
              </w:rPr>
            </w:pPr>
            <w:r w:rsidRPr="00FF4EBC">
              <w:rPr>
                <w:lang w:val="es-ES"/>
              </w:rPr>
              <w:t>Maldivas</w:t>
            </w:r>
          </w:p>
        </w:tc>
        <w:tc>
          <w:tcPr>
            <w:tcW w:w="1900" w:type="dxa"/>
            <w:tcBorders>
              <w:top w:val="nil"/>
              <w:left w:val="single" w:sz="4" w:space="0" w:color="auto"/>
              <w:bottom w:val="nil"/>
              <w:right w:val="single" w:sz="4" w:space="0" w:color="auto"/>
            </w:tcBorders>
            <w:shd w:val="clear" w:color="000000" w:fill="FFFFFF"/>
            <w:noWrap/>
            <w:vAlign w:val="bottom"/>
            <w:hideMark/>
          </w:tcPr>
          <w:p w14:paraId="4E7939F5" w14:textId="77777777" w:rsidR="00FF4EBC" w:rsidRPr="00FF4EBC" w:rsidRDefault="00FF4EBC" w:rsidP="00C019E6">
            <w:pPr>
              <w:pStyle w:val="Tabletext"/>
              <w:jc w:val="center"/>
              <w:rPr>
                <w:lang w:val="en-GB"/>
              </w:rPr>
            </w:pPr>
            <w:r w:rsidRPr="00FF4EBC">
              <w:rPr>
                <w:lang w:val="es-ES"/>
              </w:rPr>
              <w:t>1/8</w:t>
            </w:r>
          </w:p>
        </w:tc>
      </w:tr>
      <w:tr w:rsidR="00FF4EBC" w:rsidRPr="00FF4EBC" w14:paraId="00D3FEF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DD0BE9B" w14:textId="77777777" w:rsidR="00FF4EBC" w:rsidRPr="00FF4EBC" w:rsidRDefault="00FF4EBC" w:rsidP="00B07FFA">
            <w:pPr>
              <w:pStyle w:val="Tabletext"/>
              <w:rPr>
                <w:lang w:val="en-GB"/>
              </w:rPr>
            </w:pPr>
            <w:r w:rsidRPr="00FF4EBC">
              <w:rPr>
                <w:lang w:val="es-ES"/>
              </w:rPr>
              <w:t>Malí</w:t>
            </w:r>
          </w:p>
        </w:tc>
        <w:tc>
          <w:tcPr>
            <w:tcW w:w="1900" w:type="dxa"/>
            <w:tcBorders>
              <w:top w:val="nil"/>
              <w:left w:val="single" w:sz="4" w:space="0" w:color="auto"/>
              <w:bottom w:val="nil"/>
              <w:right w:val="single" w:sz="4" w:space="0" w:color="auto"/>
            </w:tcBorders>
            <w:shd w:val="clear" w:color="000000" w:fill="FFFFFF"/>
            <w:noWrap/>
            <w:vAlign w:val="bottom"/>
            <w:hideMark/>
          </w:tcPr>
          <w:p w14:paraId="4C2D4C46" w14:textId="77777777" w:rsidR="00FF4EBC" w:rsidRPr="00FF4EBC" w:rsidRDefault="00FF4EBC" w:rsidP="00C019E6">
            <w:pPr>
              <w:pStyle w:val="Tabletext"/>
              <w:jc w:val="center"/>
              <w:rPr>
                <w:lang w:val="en-GB"/>
              </w:rPr>
            </w:pPr>
            <w:r w:rsidRPr="00FF4EBC">
              <w:rPr>
                <w:lang w:val="es-ES"/>
              </w:rPr>
              <w:t>1/4</w:t>
            </w:r>
          </w:p>
        </w:tc>
      </w:tr>
      <w:tr w:rsidR="00FF4EBC" w:rsidRPr="00FF4EBC" w14:paraId="30BECF0B"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FE8DB90" w14:textId="77777777" w:rsidR="00FF4EBC" w:rsidRPr="00FF4EBC" w:rsidRDefault="00FF4EBC" w:rsidP="00B07FFA">
            <w:pPr>
              <w:pStyle w:val="Tabletext"/>
              <w:rPr>
                <w:lang w:val="en-GB"/>
              </w:rPr>
            </w:pPr>
            <w:r w:rsidRPr="00FF4EBC">
              <w:rPr>
                <w:lang w:val="es-ES"/>
              </w:rPr>
              <w:t>Malta</w:t>
            </w:r>
          </w:p>
        </w:tc>
        <w:tc>
          <w:tcPr>
            <w:tcW w:w="1900" w:type="dxa"/>
            <w:tcBorders>
              <w:top w:val="nil"/>
              <w:left w:val="single" w:sz="4" w:space="0" w:color="auto"/>
              <w:bottom w:val="nil"/>
              <w:right w:val="single" w:sz="4" w:space="0" w:color="auto"/>
            </w:tcBorders>
            <w:shd w:val="clear" w:color="000000" w:fill="FFFFFF"/>
            <w:noWrap/>
            <w:vAlign w:val="bottom"/>
            <w:hideMark/>
          </w:tcPr>
          <w:p w14:paraId="033C0600" w14:textId="77777777" w:rsidR="00FF4EBC" w:rsidRPr="00FF4EBC" w:rsidRDefault="00FF4EBC" w:rsidP="00C019E6">
            <w:pPr>
              <w:pStyle w:val="Tabletext"/>
              <w:jc w:val="center"/>
              <w:rPr>
                <w:lang w:val="en-GB"/>
              </w:rPr>
            </w:pPr>
            <w:r w:rsidRPr="00FF4EBC">
              <w:rPr>
                <w:lang w:val="es-ES"/>
              </w:rPr>
              <w:t>1/4</w:t>
            </w:r>
          </w:p>
        </w:tc>
      </w:tr>
      <w:tr w:rsidR="00FF4EBC" w:rsidRPr="00FF4EBC" w14:paraId="51BA596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319B6D0" w14:textId="66933234" w:rsidR="00FF4EBC" w:rsidRPr="00FF4EBC" w:rsidRDefault="00FF4EBC" w:rsidP="00B07FFA">
            <w:pPr>
              <w:pStyle w:val="Tabletext"/>
              <w:rPr>
                <w:lang w:val="en-GB"/>
              </w:rPr>
            </w:pPr>
            <w:r w:rsidRPr="00FF4EBC">
              <w:rPr>
                <w:lang w:val="es-ES"/>
              </w:rPr>
              <w:t>Marshall</w:t>
            </w:r>
            <w:r w:rsidR="005B06AE">
              <w:rPr>
                <w:lang w:val="es-ES"/>
              </w:rPr>
              <w:t xml:space="preserve"> (</w:t>
            </w:r>
            <w:r w:rsidR="005B06AE" w:rsidRPr="00FF4EBC">
              <w:rPr>
                <w:lang w:val="es-ES"/>
              </w:rPr>
              <w:t>Islas</w:t>
            </w:r>
            <w:r w:rsidR="005B06AE">
              <w:rPr>
                <w:lang w:val="es-ES"/>
              </w:rPr>
              <w:t>)</w:t>
            </w:r>
          </w:p>
        </w:tc>
        <w:tc>
          <w:tcPr>
            <w:tcW w:w="1900" w:type="dxa"/>
            <w:tcBorders>
              <w:top w:val="nil"/>
              <w:left w:val="single" w:sz="4" w:space="0" w:color="auto"/>
              <w:bottom w:val="nil"/>
              <w:right w:val="single" w:sz="4" w:space="0" w:color="auto"/>
            </w:tcBorders>
            <w:shd w:val="clear" w:color="000000" w:fill="FFFFFF"/>
            <w:noWrap/>
            <w:vAlign w:val="bottom"/>
            <w:hideMark/>
          </w:tcPr>
          <w:p w14:paraId="2C86FD90" w14:textId="77777777" w:rsidR="00FF4EBC" w:rsidRPr="00FF4EBC" w:rsidRDefault="00FF4EBC" w:rsidP="00C019E6">
            <w:pPr>
              <w:pStyle w:val="Tabletext"/>
              <w:jc w:val="center"/>
              <w:rPr>
                <w:lang w:val="en-GB"/>
              </w:rPr>
            </w:pPr>
            <w:r w:rsidRPr="00FF4EBC">
              <w:rPr>
                <w:lang w:val="es-ES"/>
              </w:rPr>
              <w:t>1/16</w:t>
            </w:r>
          </w:p>
        </w:tc>
      </w:tr>
      <w:tr w:rsidR="00FF4EBC" w:rsidRPr="00FF4EBC" w14:paraId="0EFDCD8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50480F5" w14:textId="77777777" w:rsidR="00FF4EBC" w:rsidRPr="00FF4EBC" w:rsidRDefault="00FF4EBC" w:rsidP="00B07FFA">
            <w:pPr>
              <w:pStyle w:val="Tabletext"/>
              <w:rPr>
                <w:lang w:val="en-GB"/>
              </w:rPr>
            </w:pPr>
            <w:r w:rsidRPr="00FF4EBC">
              <w:rPr>
                <w:lang w:val="es-ES"/>
              </w:rPr>
              <w:t>Mauritania</w:t>
            </w:r>
          </w:p>
        </w:tc>
        <w:tc>
          <w:tcPr>
            <w:tcW w:w="1900" w:type="dxa"/>
            <w:tcBorders>
              <w:top w:val="nil"/>
              <w:left w:val="single" w:sz="4" w:space="0" w:color="auto"/>
              <w:bottom w:val="nil"/>
              <w:right w:val="single" w:sz="4" w:space="0" w:color="auto"/>
            </w:tcBorders>
            <w:shd w:val="clear" w:color="000000" w:fill="FFFFFF"/>
            <w:noWrap/>
            <w:vAlign w:val="bottom"/>
            <w:hideMark/>
          </w:tcPr>
          <w:p w14:paraId="48D42E37" w14:textId="77777777" w:rsidR="00FF4EBC" w:rsidRPr="00FF4EBC" w:rsidRDefault="00FF4EBC" w:rsidP="00C019E6">
            <w:pPr>
              <w:pStyle w:val="Tabletext"/>
              <w:jc w:val="center"/>
              <w:rPr>
                <w:lang w:val="en-GB"/>
              </w:rPr>
            </w:pPr>
            <w:r w:rsidRPr="00FF4EBC">
              <w:rPr>
                <w:lang w:val="es-ES"/>
              </w:rPr>
              <w:t>1/16</w:t>
            </w:r>
          </w:p>
        </w:tc>
      </w:tr>
      <w:tr w:rsidR="00FF4EBC" w:rsidRPr="00FF4EBC" w14:paraId="58D30FE4"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9C2437B" w14:textId="77777777" w:rsidR="00FF4EBC" w:rsidRPr="00FF4EBC" w:rsidRDefault="00FF4EBC" w:rsidP="00B07FFA">
            <w:pPr>
              <w:pStyle w:val="Tabletext"/>
              <w:rPr>
                <w:lang w:val="en-GB"/>
              </w:rPr>
            </w:pPr>
            <w:r w:rsidRPr="00FF4EBC">
              <w:rPr>
                <w:lang w:val="es-ES"/>
              </w:rPr>
              <w:t>Mauricio</w:t>
            </w:r>
          </w:p>
        </w:tc>
        <w:tc>
          <w:tcPr>
            <w:tcW w:w="1900" w:type="dxa"/>
            <w:tcBorders>
              <w:top w:val="nil"/>
              <w:left w:val="single" w:sz="4" w:space="0" w:color="auto"/>
              <w:bottom w:val="nil"/>
              <w:right w:val="single" w:sz="4" w:space="0" w:color="auto"/>
            </w:tcBorders>
            <w:shd w:val="clear" w:color="000000" w:fill="FFFFFF"/>
            <w:noWrap/>
            <w:vAlign w:val="bottom"/>
            <w:hideMark/>
          </w:tcPr>
          <w:p w14:paraId="6CA38931" w14:textId="77777777" w:rsidR="00FF4EBC" w:rsidRPr="00FF4EBC" w:rsidRDefault="00FF4EBC" w:rsidP="00C019E6">
            <w:pPr>
              <w:pStyle w:val="Tabletext"/>
              <w:jc w:val="center"/>
              <w:rPr>
                <w:lang w:val="en-GB"/>
              </w:rPr>
            </w:pPr>
            <w:r w:rsidRPr="00FF4EBC">
              <w:rPr>
                <w:lang w:val="es-ES"/>
              </w:rPr>
              <w:t>1/4</w:t>
            </w:r>
          </w:p>
        </w:tc>
      </w:tr>
      <w:tr w:rsidR="00FF4EBC" w:rsidRPr="00FF4EBC" w14:paraId="339DC12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41577AB" w14:textId="77777777" w:rsidR="00FF4EBC" w:rsidRPr="00FF4EBC" w:rsidRDefault="00FF4EBC" w:rsidP="00B07FFA">
            <w:pPr>
              <w:pStyle w:val="Tabletext"/>
              <w:rPr>
                <w:lang w:val="en-GB"/>
              </w:rPr>
            </w:pPr>
            <w:r w:rsidRPr="00FF4EBC">
              <w:rPr>
                <w:lang w:val="es-ES"/>
              </w:rPr>
              <w:t>México</w:t>
            </w:r>
          </w:p>
        </w:tc>
        <w:tc>
          <w:tcPr>
            <w:tcW w:w="1900" w:type="dxa"/>
            <w:tcBorders>
              <w:top w:val="nil"/>
              <w:left w:val="single" w:sz="4" w:space="0" w:color="auto"/>
              <w:bottom w:val="nil"/>
              <w:right w:val="single" w:sz="4" w:space="0" w:color="auto"/>
            </w:tcBorders>
            <w:shd w:val="clear" w:color="000000" w:fill="FFFFFF"/>
            <w:noWrap/>
            <w:vAlign w:val="bottom"/>
            <w:hideMark/>
          </w:tcPr>
          <w:p w14:paraId="369CACCB" w14:textId="77777777" w:rsidR="00FF4EBC" w:rsidRPr="00FF4EBC" w:rsidRDefault="00FF4EBC" w:rsidP="00C019E6">
            <w:pPr>
              <w:pStyle w:val="Tabletext"/>
              <w:jc w:val="center"/>
              <w:rPr>
                <w:lang w:val="en-GB"/>
              </w:rPr>
            </w:pPr>
            <w:r w:rsidRPr="00FF4EBC">
              <w:rPr>
                <w:lang w:val="es-ES"/>
              </w:rPr>
              <w:t>3</w:t>
            </w:r>
          </w:p>
        </w:tc>
      </w:tr>
      <w:tr w:rsidR="00FF4EBC" w:rsidRPr="00FF4EBC" w14:paraId="1A575251"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60729F1" w14:textId="77777777" w:rsidR="00FF4EBC" w:rsidRPr="00FF4EBC" w:rsidRDefault="00FF4EBC" w:rsidP="00B07FFA">
            <w:pPr>
              <w:pStyle w:val="Tabletext"/>
              <w:rPr>
                <w:lang w:val="en-GB"/>
              </w:rPr>
            </w:pPr>
            <w:r w:rsidRPr="00FF4EBC">
              <w:rPr>
                <w:lang w:val="es-ES"/>
              </w:rPr>
              <w:t xml:space="preserve">Micronesia </w:t>
            </w:r>
          </w:p>
        </w:tc>
        <w:tc>
          <w:tcPr>
            <w:tcW w:w="1900" w:type="dxa"/>
            <w:tcBorders>
              <w:top w:val="nil"/>
              <w:left w:val="single" w:sz="4" w:space="0" w:color="auto"/>
              <w:bottom w:val="nil"/>
              <w:right w:val="single" w:sz="4" w:space="0" w:color="auto"/>
            </w:tcBorders>
            <w:shd w:val="clear" w:color="000000" w:fill="FFFFFF"/>
            <w:noWrap/>
            <w:vAlign w:val="bottom"/>
            <w:hideMark/>
          </w:tcPr>
          <w:p w14:paraId="1BE0CE4E" w14:textId="77777777" w:rsidR="00FF4EBC" w:rsidRPr="00FF4EBC" w:rsidRDefault="00FF4EBC" w:rsidP="00C019E6">
            <w:pPr>
              <w:pStyle w:val="Tabletext"/>
              <w:jc w:val="center"/>
              <w:rPr>
                <w:lang w:val="en-GB"/>
              </w:rPr>
            </w:pPr>
            <w:r w:rsidRPr="00FF4EBC">
              <w:rPr>
                <w:lang w:val="es-ES"/>
              </w:rPr>
              <w:t>1/16</w:t>
            </w:r>
          </w:p>
        </w:tc>
      </w:tr>
      <w:tr w:rsidR="00FF4EBC" w:rsidRPr="00FF4EBC" w14:paraId="1BF64EF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2FDA7F2" w14:textId="5ADDC948" w:rsidR="00FF4EBC" w:rsidRPr="00FF4EBC" w:rsidRDefault="00FF4EBC" w:rsidP="00B07FFA">
            <w:pPr>
              <w:pStyle w:val="Tabletext"/>
              <w:rPr>
                <w:lang w:val="en-GB"/>
              </w:rPr>
            </w:pPr>
            <w:r w:rsidRPr="00FF4EBC">
              <w:rPr>
                <w:lang w:val="es-ES"/>
              </w:rPr>
              <w:t>Mold</w:t>
            </w:r>
            <w:r w:rsidR="00093767">
              <w:rPr>
                <w:lang w:val="es-ES"/>
              </w:rPr>
              <w:t>o</w:t>
            </w:r>
            <w:r w:rsidRPr="00FF4EBC">
              <w:rPr>
                <w:lang w:val="es-ES"/>
              </w:rPr>
              <w:t>va</w:t>
            </w:r>
          </w:p>
        </w:tc>
        <w:tc>
          <w:tcPr>
            <w:tcW w:w="1900" w:type="dxa"/>
            <w:tcBorders>
              <w:top w:val="nil"/>
              <w:left w:val="single" w:sz="4" w:space="0" w:color="auto"/>
              <w:bottom w:val="nil"/>
              <w:right w:val="single" w:sz="4" w:space="0" w:color="auto"/>
            </w:tcBorders>
            <w:shd w:val="clear" w:color="000000" w:fill="FFFFFF"/>
            <w:noWrap/>
            <w:vAlign w:val="bottom"/>
            <w:hideMark/>
          </w:tcPr>
          <w:p w14:paraId="7820C36E" w14:textId="77777777" w:rsidR="00FF4EBC" w:rsidRPr="00FF4EBC" w:rsidRDefault="00FF4EBC" w:rsidP="00C019E6">
            <w:pPr>
              <w:pStyle w:val="Tabletext"/>
              <w:jc w:val="center"/>
              <w:rPr>
                <w:lang w:val="en-GB"/>
              </w:rPr>
            </w:pPr>
            <w:r w:rsidRPr="00FF4EBC">
              <w:rPr>
                <w:lang w:val="es-ES"/>
              </w:rPr>
              <w:t>1/4</w:t>
            </w:r>
          </w:p>
        </w:tc>
      </w:tr>
      <w:tr w:rsidR="00FF4EBC" w:rsidRPr="00FF4EBC" w14:paraId="0C2889F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3404B3F" w14:textId="77777777" w:rsidR="00FF4EBC" w:rsidRPr="00FF4EBC" w:rsidRDefault="00FF4EBC" w:rsidP="00B07FFA">
            <w:pPr>
              <w:pStyle w:val="Tabletext"/>
              <w:rPr>
                <w:lang w:val="en-GB"/>
              </w:rPr>
            </w:pPr>
            <w:r w:rsidRPr="00FF4EBC">
              <w:rPr>
                <w:lang w:val="es-ES"/>
              </w:rPr>
              <w:t>Mónaco</w:t>
            </w:r>
          </w:p>
        </w:tc>
        <w:tc>
          <w:tcPr>
            <w:tcW w:w="1900" w:type="dxa"/>
            <w:tcBorders>
              <w:top w:val="nil"/>
              <w:left w:val="single" w:sz="4" w:space="0" w:color="auto"/>
              <w:bottom w:val="nil"/>
              <w:right w:val="single" w:sz="4" w:space="0" w:color="auto"/>
            </w:tcBorders>
            <w:shd w:val="clear" w:color="000000" w:fill="FFFFFF"/>
            <w:vAlign w:val="bottom"/>
            <w:hideMark/>
          </w:tcPr>
          <w:p w14:paraId="649390D8" w14:textId="77777777" w:rsidR="00FF4EBC" w:rsidRPr="00FF4EBC" w:rsidRDefault="00FF4EBC" w:rsidP="00C019E6">
            <w:pPr>
              <w:pStyle w:val="Tabletext"/>
              <w:jc w:val="center"/>
              <w:rPr>
                <w:lang w:val="en-GB"/>
              </w:rPr>
            </w:pPr>
            <w:r w:rsidRPr="00FF4EBC">
              <w:rPr>
                <w:lang w:val="es-ES"/>
              </w:rPr>
              <w:t>1/4</w:t>
            </w:r>
          </w:p>
        </w:tc>
      </w:tr>
      <w:tr w:rsidR="00FF4EBC" w:rsidRPr="00FF4EBC" w14:paraId="1321819B"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A414D88" w14:textId="77777777" w:rsidR="00FF4EBC" w:rsidRPr="00FF4EBC" w:rsidRDefault="00FF4EBC" w:rsidP="00B07FFA">
            <w:pPr>
              <w:pStyle w:val="Tabletext"/>
              <w:rPr>
                <w:lang w:val="en-GB"/>
              </w:rPr>
            </w:pPr>
            <w:r w:rsidRPr="00FF4EBC">
              <w:rPr>
                <w:lang w:val="es-ES"/>
              </w:rPr>
              <w:t>Mongolia</w:t>
            </w:r>
          </w:p>
        </w:tc>
        <w:tc>
          <w:tcPr>
            <w:tcW w:w="1900" w:type="dxa"/>
            <w:tcBorders>
              <w:top w:val="nil"/>
              <w:left w:val="single" w:sz="4" w:space="0" w:color="auto"/>
              <w:bottom w:val="nil"/>
              <w:right w:val="single" w:sz="4" w:space="0" w:color="auto"/>
            </w:tcBorders>
            <w:shd w:val="clear" w:color="000000" w:fill="FFFFFF"/>
            <w:noWrap/>
            <w:vAlign w:val="bottom"/>
            <w:hideMark/>
          </w:tcPr>
          <w:p w14:paraId="0647FF80" w14:textId="77777777" w:rsidR="00FF4EBC" w:rsidRPr="00FF4EBC" w:rsidRDefault="00FF4EBC" w:rsidP="00C019E6">
            <w:pPr>
              <w:pStyle w:val="Tabletext"/>
              <w:jc w:val="center"/>
              <w:rPr>
                <w:lang w:val="en-GB"/>
              </w:rPr>
            </w:pPr>
            <w:r w:rsidRPr="00FF4EBC">
              <w:rPr>
                <w:lang w:val="es-ES"/>
              </w:rPr>
              <w:t>1/4</w:t>
            </w:r>
          </w:p>
        </w:tc>
      </w:tr>
      <w:tr w:rsidR="00FF4EBC" w:rsidRPr="00FF4EBC" w14:paraId="235C0B5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775E251" w14:textId="77777777" w:rsidR="00FF4EBC" w:rsidRPr="00FF4EBC" w:rsidRDefault="00FF4EBC" w:rsidP="00B07FFA">
            <w:pPr>
              <w:pStyle w:val="Tabletext"/>
              <w:rPr>
                <w:lang w:val="en-GB"/>
              </w:rPr>
            </w:pPr>
            <w:r w:rsidRPr="00FF4EBC">
              <w:rPr>
                <w:lang w:val="es-ES"/>
              </w:rPr>
              <w:t>Montenegro</w:t>
            </w:r>
          </w:p>
        </w:tc>
        <w:tc>
          <w:tcPr>
            <w:tcW w:w="1900" w:type="dxa"/>
            <w:tcBorders>
              <w:top w:val="nil"/>
              <w:left w:val="single" w:sz="4" w:space="0" w:color="auto"/>
              <w:bottom w:val="nil"/>
              <w:right w:val="single" w:sz="4" w:space="0" w:color="auto"/>
            </w:tcBorders>
            <w:shd w:val="clear" w:color="000000" w:fill="FFFFFF"/>
            <w:noWrap/>
            <w:vAlign w:val="bottom"/>
            <w:hideMark/>
          </w:tcPr>
          <w:p w14:paraId="5077EA15" w14:textId="77777777" w:rsidR="00FF4EBC" w:rsidRPr="00FF4EBC" w:rsidRDefault="00FF4EBC" w:rsidP="00C019E6">
            <w:pPr>
              <w:pStyle w:val="Tabletext"/>
              <w:jc w:val="center"/>
              <w:rPr>
                <w:lang w:val="en-GB"/>
              </w:rPr>
            </w:pPr>
            <w:r w:rsidRPr="00FF4EBC">
              <w:rPr>
                <w:lang w:val="es-ES"/>
              </w:rPr>
              <w:t>1/8</w:t>
            </w:r>
          </w:p>
        </w:tc>
      </w:tr>
      <w:tr w:rsidR="00FF4EBC" w:rsidRPr="00FF4EBC" w14:paraId="71605DB5"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D2C9932" w14:textId="77777777" w:rsidR="00FF4EBC" w:rsidRPr="00FF4EBC" w:rsidRDefault="00FF4EBC" w:rsidP="00B07FFA">
            <w:pPr>
              <w:pStyle w:val="Tabletext"/>
              <w:rPr>
                <w:lang w:val="en-GB"/>
              </w:rPr>
            </w:pPr>
            <w:r w:rsidRPr="00FF4EBC">
              <w:rPr>
                <w:lang w:val="es-ES"/>
              </w:rPr>
              <w:t>Marruecos</w:t>
            </w:r>
          </w:p>
        </w:tc>
        <w:tc>
          <w:tcPr>
            <w:tcW w:w="1900" w:type="dxa"/>
            <w:tcBorders>
              <w:top w:val="nil"/>
              <w:left w:val="single" w:sz="4" w:space="0" w:color="auto"/>
              <w:bottom w:val="nil"/>
              <w:right w:val="single" w:sz="4" w:space="0" w:color="auto"/>
            </w:tcBorders>
            <w:shd w:val="clear" w:color="000000" w:fill="FFFFFF"/>
            <w:noWrap/>
            <w:vAlign w:val="bottom"/>
            <w:hideMark/>
          </w:tcPr>
          <w:p w14:paraId="52FDE5A9" w14:textId="77777777" w:rsidR="00FF4EBC" w:rsidRPr="00FF4EBC" w:rsidRDefault="00FF4EBC" w:rsidP="00C019E6">
            <w:pPr>
              <w:pStyle w:val="Tabletext"/>
              <w:jc w:val="center"/>
              <w:rPr>
                <w:lang w:val="en-GB"/>
              </w:rPr>
            </w:pPr>
            <w:r w:rsidRPr="00FF4EBC">
              <w:rPr>
                <w:lang w:val="es-ES"/>
              </w:rPr>
              <w:t>1</w:t>
            </w:r>
          </w:p>
        </w:tc>
      </w:tr>
      <w:tr w:rsidR="00FF4EBC" w:rsidRPr="00FF4EBC" w14:paraId="3B0EA13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8F7D660" w14:textId="77777777" w:rsidR="00FF4EBC" w:rsidRPr="00FF4EBC" w:rsidRDefault="00FF4EBC" w:rsidP="00B07FFA">
            <w:pPr>
              <w:pStyle w:val="Tabletext"/>
              <w:rPr>
                <w:lang w:val="en-GB"/>
              </w:rPr>
            </w:pPr>
            <w:r w:rsidRPr="00FF4EBC">
              <w:rPr>
                <w:lang w:val="es-ES"/>
              </w:rPr>
              <w:t>Mozambique</w:t>
            </w:r>
          </w:p>
        </w:tc>
        <w:tc>
          <w:tcPr>
            <w:tcW w:w="1900" w:type="dxa"/>
            <w:tcBorders>
              <w:top w:val="nil"/>
              <w:left w:val="single" w:sz="4" w:space="0" w:color="auto"/>
              <w:bottom w:val="nil"/>
              <w:right w:val="single" w:sz="4" w:space="0" w:color="auto"/>
            </w:tcBorders>
            <w:shd w:val="clear" w:color="000000" w:fill="FFFFFF"/>
            <w:noWrap/>
            <w:vAlign w:val="bottom"/>
            <w:hideMark/>
          </w:tcPr>
          <w:p w14:paraId="76E7F0D2" w14:textId="77777777" w:rsidR="00FF4EBC" w:rsidRPr="00FF4EBC" w:rsidRDefault="00FF4EBC" w:rsidP="00C019E6">
            <w:pPr>
              <w:pStyle w:val="Tabletext"/>
              <w:jc w:val="center"/>
              <w:rPr>
                <w:lang w:val="en-GB"/>
              </w:rPr>
            </w:pPr>
            <w:r w:rsidRPr="00FF4EBC">
              <w:rPr>
                <w:lang w:val="es-ES"/>
              </w:rPr>
              <w:t>1/16</w:t>
            </w:r>
          </w:p>
        </w:tc>
      </w:tr>
      <w:tr w:rsidR="00FF4EBC" w:rsidRPr="00FF4EBC" w14:paraId="5595662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B4BE824" w14:textId="77777777" w:rsidR="00FF4EBC" w:rsidRPr="00FF4EBC" w:rsidRDefault="00FF4EBC" w:rsidP="00B07FFA">
            <w:pPr>
              <w:pStyle w:val="Tabletext"/>
              <w:rPr>
                <w:lang w:val="en-GB"/>
              </w:rPr>
            </w:pPr>
            <w:r w:rsidRPr="00FF4EBC">
              <w:rPr>
                <w:lang w:val="es-ES"/>
              </w:rPr>
              <w:t>Myanmar</w:t>
            </w:r>
          </w:p>
        </w:tc>
        <w:tc>
          <w:tcPr>
            <w:tcW w:w="1900" w:type="dxa"/>
            <w:tcBorders>
              <w:top w:val="nil"/>
              <w:left w:val="single" w:sz="4" w:space="0" w:color="auto"/>
              <w:bottom w:val="nil"/>
              <w:right w:val="single" w:sz="4" w:space="0" w:color="auto"/>
            </w:tcBorders>
            <w:shd w:val="clear" w:color="000000" w:fill="FFFFFF"/>
            <w:vAlign w:val="bottom"/>
            <w:hideMark/>
          </w:tcPr>
          <w:p w14:paraId="6A157E26" w14:textId="77777777" w:rsidR="00FF4EBC" w:rsidRPr="00FF4EBC" w:rsidRDefault="00FF4EBC" w:rsidP="00C019E6">
            <w:pPr>
              <w:pStyle w:val="Tabletext"/>
              <w:jc w:val="center"/>
              <w:rPr>
                <w:lang w:val="en-GB"/>
              </w:rPr>
            </w:pPr>
            <w:r w:rsidRPr="00FF4EBC">
              <w:rPr>
                <w:lang w:val="es-ES"/>
              </w:rPr>
              <w:t>1/8</w:t>
            </w:r>
          </w:p>
        </w:tc>
      </w:tr>
      <w:tr w:rsidR="00FF4EBC" w:rsidRPr="00FF4EBC" w14:paraId="388D936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F7D952D" w14:textId="77777777" w:rsidR="00FF4EBC" w:rsidRPr="00FF4EBC" w:rsidRDefault="00FF4EBC" w:rsidP="00B07FFA">
            <w:pPr>
              <w:pStyle w:val="Tabletext"/>
              <w:rPr>
                <w:lang w:val="en-GB"/>
              </w:rPr>
            </w:pPr>
            <w:r w:rsidRPr="00FF4EBC">
              <w:rPr>
                <w:lang w:val="es-ES"/>
              </w:rPr>
              <w:t>Namibia</w:t>
            </w:r>
          </w:p>
        </w:tc>
        <w:tc>
          <w:tcPr>
            <w:tcW w:w="1900" w:type="dxa"/>
            <w:tcBorders>
              <w:top w:val="nil"/>
              <w:left w:val="single" w:sz="4" w:space="0" w:color="auto"/>
              <w:bottom w:val="nil"/>
              <w:right w:val="single" w:sz="4" w:space="0" w:color="auto"/>
            </w:tcBorders>
            <w:shd w:val="clear" w:color="000000" w:fill="FFFFFF"/>
            <w:noWrap/>
            <w:vAlign w:val="bottom"/>
            <w:hideMark/>
          </w:tcPr>
          <w:p w14:paraId="6FD0CE77" w14:textId="77777777" w:rsidR="00FF4EBC" w:rsidRPr="00FF4EBC" w:rsidRDefault="00FF4EBC" w:rsidP="00C019E6">
            <w:pPr>
              <w:pStyle w:val="Tabletext"/>
              <w:jc w:val="center"/>
              <w:rPr>
                <w:lang w:val="en-GB"/>
              </w:rPr>
            </w:pPr>
            <w:r w:rsidRPr="00FF4EBC">
              <w:rPr>
                <w:lang w:val="es-ES"/>
              </w:rPr>
              <w:t>1/4</w:t>
            </w:r>
          </w:p>
        </w:tc>
      </w:tr>
      <w:tr w:rsidR="00FF4EBC" w:rsidRPr="00FF4EBC" w14:paraId="59398F7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A5BDCA9" w14:textId="77777777" w:rsidR="00FF4EBC" w:rsidRPr="00FF4EBC" w:rsidRDefault="00FF4EBC" w:rsidP="00B07FFA">
            <w:pPr>
              <w:pStyle w:val="Tabletext"/>
              <w:rPr>
                <w:lang w:val="en-GB"/>
              </w:rPr>
            </w:pPr>
            <w:r w:rsidRPr="00FF4EBC">
              <w:rPr>
                <w:lang w:val="es-ES"/>
              </w:rPr>
              <w:t>Nauru</w:t>
            </w:r>
          </w:p>
        </w:tc>
        <w:tc>
          <w:tcPr>
            <w:tcW w:w="1900" w:type="dxa"/>
            <w:tcBorders>
              <w:top w:val="nil"/>
              <w:left w:val="single" w:sz="4" w:space="0" w:color="auto"/>
              <w:bottom w:val="nil"/>
              <w:right w:val="single" w:sz="4" w:space="0" w:color="auto"/>
            </w:tcBorders>
            <w:shd w:val="clear" w:color="000000" w:fill="FFFFFF"/>
            <w:noWrap/>
            <w:vAlign w:val="bottom"/>
            <w:hideMark/>
          </w:tcPr>
          <w:p w14:paraId="212D12DE" w14:textId="77777777" w:rsidR="00FF4EBC" w:rsidRPr="00FF4EBC" w:rsidRDefault="00FF4EBC" w:rsidP="00C019E6">
            <w:pPr>
              <w:pStyle w:val="Tabletext"/>
              <w:jc w:val="center"/>
              <w:rPr>
                <w:lang w:val="en-GB"/>
              </w:rPr>
            </w:pPr>
            <w:r w:rsidRPr="00FF4EBC">
              <w:rPr>
                <w:lang w:val="es-ES"/>
              </w:rPr>
              <w:t>1/16</w:t>
            </w:r>
          </w:p>
        </w:tc>
      </w:tr>
      <w:tr w:rsidR="00FF4EBC" w:rsidRPr="00FF4EBC" w14:paraId="0D658A5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0418048" w14:textId="77777777" w:rsidR="00FF4EBC" w:rsidRPr="00FF4EBC" w:rsidRDefault="00FF4EBC" w:rsidP="00B07FFA">
            <w:pPr>
              <w:pStyle w:val="Tabletext"/>
              <w:rPr>
                <w:lang w:val="en-GB"/>
              </w:rPr>
            </w:pPr>
            <w:r w:rsidRPr="00FF4EBC">
              <w:rPr>
                <w:lang w:val="es-ES"/>
              </w:rPr>
              <w:t xml:space="preserve">Nepal </w:t>
            </w:r>
          </w:p>
        </w:tc>
        <w:tc>
          <w:tcPr>
            <w:tcW w:w="1900" w:type="dxa"/>
            <w:tcBorders>
              <w:top w:val="nil"/>
              <w:left w:val="single" w:sz="4" w:space="0" w:color="auto"/>
              <w:bottom w:val="nil"/>
              <w:right w:val="single" w:sz="4" w:space="0" w:color="auto"/>
            </w:tcBorders>
            <w:shd w:val="clear" w:color="000000" w:fill="FFFFFF"/>
            <w:noWrap/>
            <w:vAlign w:val="bottom"/>
            <w:hideMark/>
          </w:tcPr>
          <w:p w14:paraId="3BE2F88A" w14:textId="77777777" w:rsidR="00FF4EBC" w:rsidRPr="00FF4EBC" w:rsidRDefault="00FF4EBC" w:rsidP="00C019E6">
            <w:pPr>
              <w:pStyle w:val="Tabletext"/>
              <w:jc w:val="center"/>
              <w:rPr>
                <w:lang w:val="en-GB"/>
              </w:rPr>
            </w:pPr>
            <w:r w:rsidRPr="00FF4EBC">
              <w:rPr>
                <w:lang w:val="es-ES"/>
              </w:rPr>
              <w:t>1/16</w:t>
            </w:r>
          </w:p>
        </w:tc>
      </w:tr>
      <w:tr w:rsidR="00FF4EBC" w:rsidRPr="00FF4EBC" w14:paraId="4B3858D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B782A82" w14:textId="77777777" w:rsidR="00FF4EBC" w:rsidRPr="00FF4EBC" w:rsidRDefault="00FF4EBC" w:rsidP="00B07FFA">
            <w:pPr>
              <w:pStyle w:val="Tabletext"/>
              <w:rPr>
                <w:lang w:val="en-GB"/>
              </w:rPr>
            </w:pPr>
            <w:r w:rsidRPr="00FF4EBC">
              <w:rPr>
                <w:lang w:val="es-ES"/>
              </w:rPr>
              <w:t>Países Bajos</w:t>
            </w:r>
          </w:p>
        </w:tc>
        <w:tc>
          <w:tcPr>
            <w:tcW w:w="1900" w:type="dxa"/>
            <w:tcBorders>
              <w:top w:val="nil"/>
              <w:left w:val="single" w:sz="4" w:space="0" w:color="auto"/>
              <w:bottom w:val="nil"/>
              <w:right w:val="single" w:sz="4" w:space="0" w:color="auto"/>
            </w:tcBorders>
            <w:shd w:val="clear" w:color="000000" w:fill="FFFFFF"/>
            <w:noWrap/>
            <w:vAlign w:val="bottom"/>
            <w:hideMark/>
          </w:tcPr>
          <w:p w14:paraId="1C0371FB" w14:textId="77777777" w:rsidR="00FF4EBC" w:rsidRPr="00FF4EBC" w:rsidRDefault="00FF4EBC" w:rsidP="00C019E6">
            <w:pPr>
              <w:pStyle w:val="Tabletext"/>
              <w:jc w:val="center"/>
              <w:rPr>
                <w:lang w:val="en-GB"/>
              </w:rPr>
            </w:pPr>
            <w:r w:rsidRPr="00FF4EBC">
              <w:rPr>
                <w:lang w:val="es-ES"/>
              </w:rPr>
              <w:t>5</w:t>
            </w:r>
          </w:p>
        </w:tc>
      </w:tr>
      <w:tr w:rsidR="00FF4EBC" w:rsidRPr="00FF4EBC" w14:paraId="22AA0AE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BB5F658" w14:textId="77777777" w:rsidR="00FF4EBC" w:rsidRPr="00FF4EBC" w:rsidRDefault="00FF4EBC" w:rsidP="00B07FFA">
            <w:pPr>
              <w:pStyle w:val="Tabletext"/>
              <w:rPr>
                <w:lang w:val="en-GB"/>
              </w:rPr>
            </w:pPr>
            <w:r w:rsidRPr="00FF4EBC">
              <w:rPr>
                <w:lang w:val="es-ES"/>
              </w:rPr>
              <w:t>Nueva Zelandia</w:t>
            </w:r>
          </w:p>
        </w:tc>
        <w:tc>
          <w:tcPr>
            <w:tcW w:w="1900" w:type="dxa"/>
            <w:tcBorders>
              <w:top w:val="nil"/>
              <w:left w:val="single" w:sz="4" w:space="0" w:color="auto"/>
              <w:bottom w:val="nil"/>
              <w:right w:val="single" w:sz="4" w:space="0" w:color="auto"/>
            </w:tcBorders>
            <w:shd w:val="clear" w:color="000000" w:fill="FFFFFF"/>
            <w:noWrap/>
            <w:vAlign w:val="bottom"/>
            <w:hideMark/>
          </w:tcPr>
          <w:p w14:paraId="1EB86291" w14:textId="77777777" w:rsidR="00FF4EBC" w:rsidRPr="00FF4EBC" w:rsidRDefault="00FF4EBC" w:rsidP="00C019E6">
            <w:pPr>
              <w:pStyle w:val="Tabletext"/>
              <w:jc w:val="center"/>
              <w:rPr>
                <w:lang w:val="en-GB"/>
              </w:rPr>
            </w:pPr>
            <w:r w:rsidRPr="00FF4EBC">
              <w:rPr>
                <w:lang w:val="es-ES"/>
              </w:rPr>
              <w:t>2</w:t>
            </w:r>
          </w:p>
        </w:tc>
      </w:tr>
      <w:tr w:rsidR="00FF4EBC" w:rsidRPr="00FF4EBC" w14:paraId="600A740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071ED0D" w14:textId="77777777" w:rsidR="00FF4EBC" w:rsidRPr="00FF4EBC" w:rsidRDefault="00FF4EBC" w:rsidP="00B07FFA">
            <w:pPr>
              <w:pStyle w:val="Tabletext"/>
              <w:rPr>
                <w:lang w:val="en-GB"/>
              </w:rPr>
            </w:pPr>
            <w:r w:rsidRPr="00FF4EBC">
              <w:rPr>
                <w:lang w:val="es-ES"/>
              </w:rPr>
              <w:t>Nicaragua</w:t>
            </w:r>
          </w:p>
        </w:tc>
        <w:tc>
          <w:tcPr>
            <w:tcW w:w="1900" w:type="dxa"/>
            <w:tcBorders>
              <w:top w:val="nil"/>
              <w:left w:val="single" w:sz="4" w:space="0" w:color="auto"/>
              <w:bottom w:val="nil"/>
              <w:right w:val="single" w:sz="4" w:space="0" w:color="auto"/>
            </w:tcBorders>
            <w:shd w:val="clear" w:color="000000" w:fill="FFFFFF"/>
            <w:noWrap/>
            <w:vAlign w:val="bottom"/>
            <w:hideMark/>
          </w:tcPr>
          <w:p w14:paraId="5DA00C73" w14:textId="77777777" w:rsidR="00FF4EBC" w:rsidRPr="00FF4EBC" w:rsidRDefault="00FF4EBC" w:rsidP="00C019E6">
            <w:pPr>
              <w:pStyle w:val="Tabletext"/>
              <w:jc w:val="center"/>
              <w:rPr>
                <w:lang w:val="en-GB"/>
              </w:rPr>
            </w:pPr>
            <w:r w:rsidRPr="00FF4EBC">
              <w:rPr>
                <w:lang w:val="es-ES"/>
              </w:rPr>
              <w:t>1/4</w:t>
            </w:r>
          </w:p>
        </w:tc>
      </w:tr>
      <w:tr w:rsidR="00FF4EBC" w:rsidRPr="00FF4EBC" w14:paraId="55E8EA2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C1187EF" w14:textId="77777777" w:rsidR="00FF4EBC" w:rsidRPr="00FF4EBC" w:rsidRDefault="00FF4EBC" w:rsidP="00B07FFA">
            <w:pPr>
              <w:pStyle w:val="Tabletext"/>
              <w:rPr>
                <w:lang w:val="en-GB"/>
              </w:rPr>
            </w:pPr>
            <w:r w:rsidRPr="00FF4EBC">
              <w:rPr>
                <w:lang w:val="es-ES"/>
              </w:rPr>
              <w:t>Níger</w:t>
            </w:r>
          </w:p>
        </w:tc>
        <w:tc>
          <w:tcPr>
            <w:tcW w:w="1900" w:type="dxa"/>
            <w:tcBorders>
              <w:top w:val="nil"/>
              <w:left w:val="single" w:sz="4" w:space="0" w:color="auto"/>
              <w:bottom w:val="nil"/>
              <w:right w:val="single" w:sz="4" w:space="0" w:color="auto"/>
            </w:tcBorders>
            <w:shd w:val="clear" w:color="000000" w:fill="FFFFFF"/>
            <w:noWrap/>
            <w:vAlign w:val="bottom"/>
            <w:hideMark/>
          </w:tcPr>
          <w:p w14:paraId="1798A46F" w14:textId="77777777" w:rsidR="00FF4EBC" w:rsidRPr="00FF4EBC" w:rsidRDefault="00FF4EBC" w:rsidP="00C019E6">
            <w:pPr>
              <w:pStyle w:val="Tabletext"/>
              <w:jc w:val="center"/>
              <w:rPr>
                <w:lang w:val="en-GB"/>
              </w:rPr>
            </w:pPr>
            <w:r w:rsidRPr="00FF4EBC">
              <w:rPr>
                <w:lang w:val="es-ES"/>
              </w:rPr>
              <w:t>1/8</w:t>
            </w:r>
          </w:p>
        </w:tc>
      </w:tr>
      <w:tr w:rsidR="00FF4EBC" w:rsidRPr="00FF4EBC" w14:paraId="5AD6859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36C8E7F" w14:textId="77777777" w:rsidR="00FF4EBC" w:rsidRPr="00FF4EBC" w:rsidRDefault="00FF4EBC" w:rsidP="00B07FFA">
            <w:pPr>
              <w:pStyle w:val="Tabletext"/>
              <w:rPr>
                <w:lang w:val="en-GB"/>
              </w:rPr>
            </w:pPr>
            <w:r w:rsidRPr="00FF4EBC">
              <w:rPr>
                <w:lang w:val="es-ES"/>
              </w:rPr>
              <w:t>Nigeria</w:t>
            </w:r>
          </w:p>
        </w:tc>
        <w:tc>
          <w:tcPr>
            <w:tcW w:w="1900" w:type="dxa"/>
            <w:tcBorders>
              <w:top w:val="nil"/>
              <w:left w:val="single" w:sz="4" w:space="0" w:color="auto"/>
              <w:bottom w:val="nil"/>
              <w:right w:val="single" w:sz="4" w:space="0" w:color="auto"/>
            </w:tcBorders>
            <w:shd w:val="clear" w:color="000000" w:fill="FFFFFF"/>
            <w:noWrap/>
            <w:vAlign w:val="bottom"/>
            <w:hideMark/>
          </w:tcPr>
          <w:p w14:paraId="56A38948" w14:textId="77777777" w:rsidR="00FF4EBC" w:rsidRPr="00FF4EBC" w:rsidRDefault="00FF4EBC" w:rsidP="00C019E6">
            <w:pPr>
              <w:pStyle w:val="Tabletext"/>
              <w:jc w:val="center"/>
              <w:rPr>
                <w:lang w:val="en-GB"/>
              </w:rPr>
            </w:pPr>
            <w:r w:rsidRPr="00FF4EBC">
              <w:rPr>
                <w:lang w:val="es-ES"/>
              </w:rPr>
              <w:t>2</w:t>
            </w:r>
          </w:p>
        </w:tc>
      </w:tr>
      <w:tr w:rsidR="00FF4EBC" w:rsidRPr="00FF4EBC" w14:paraId="08712E1E" w14:textId="77777777" w:rsidTr="006A2D3E">
        <w:trPr>
          <w:cantSplit/>
          <w:jc w:val="center"/>
        </w:trPr>
        <w:tc>
          <w:tcPr>
            <w:tcW w:w="4180" w:type="dxa"/>
            <w:tcBorders>
              <w:top w:val="nil"/>
              <w:left w:val="single" w:sz="4" w:space="0" w:color="auto"/>
              <w:right w:val="single" w:sz="4" w:space="0" w:color="auto"/>
            </w:tcBorders>
            <w:shd w:val="clear" w:color="000000" w:fill="FFFFFF"/>
            <w:vAlign w:val="bottom"/>
            <w:hideMark/>
          </w:tcPr>
          <w:p w14:paraId="72D0DEE7" w14:textId="77777777" w:rsidR="00FF4EBC" w:rsidRPr="00FF4EBC" w:rsidRDefault="00FF4EBC" w:rsidP="00B07FFA">
            <w:pPr>
              <w:pStyle w:val="Tabletext"/>
              <w:rPr>
                <w:lang w:val="en-GB"/>
              </w:rPr>
            </w:pPr>
            <w:r w:rsidRPr="00FF4EBC">
              <w:rPr>
                <w:lang w:val="es-ES"/>
              </w:rPr>
              <w:t>Macedonia del Norte</w:t>
            </w:r>
          </w:p>
        </w:tc>
        <w:tc>
          <w:tcPr>
            <w:tcW w:w="1900" w:type="dxa"/>
            <w:tcBorders>
              <w:top w:val="nil"/>
              <w:left w:val="single" w:sz="4" w:space="0" w:color="auto"/>
              <w:right w:val="single" w:sz="4" w:space="0" w:color="auto"/>
            </w:tcBorders>
            <w:shd w:val="clear" w:color="000000" w:fill="FFFFFF"/>
            <w:noWrap/>
            <w:vAlign w:val="bottom"/>
            <w:hideMark/>
          </w:tcPr>
          <w:p w14:paraId="52044252" w14:textId="77777777" w:rsidR="00FF4EBC" w:rsidRPr="00FF4EBC" w:rsidRDefault="00FF4EBC" w:rsidP="00C019E6">
            <w:pPr>
              <w:pStyle w:val="Tabletext"/>
              <w:jc w:val="center"/>
              <w:rPr>
                <w:lang w:val="en-GB"/>
              </w:rPr>
            </w:pPr>
            <w:r w:rsidRPr="00FF4EBC">
              <w:rPr>
                <w:lang w:val="es-ES"/>
              </w:rPr>
              <w:t>1/8</w:t>
            </w:r>
          </w:p>
        </w:tc>
      </w:tr>
      <w:tr w:rsidR="00FF4EBC" w:rsidRPr="00FF4EBC" w14:paraId="2CD0846E" w14:textId="77777777" w:rsidTr="006A2D3E">
        <w:trPr>
          <w:cantSplit/>
          <w:jc w:val="center"/>
        </w:trPr>
        <w:tc>
          <w:tcPr>
            <w:tcW w:w="4180" w:type="dxa"/>
            <w:tcBorders>
              <w:top w:val="nil"/>
              <w:left w:val="single" w:sz="4" w:space="0" w:color="auto"/>
              <w:right w:val="single" w:sz="4" w:space="0" w:color="auto"/>
            </w:tcBorders>
            <w:shd w:val="clear" w:color="000000" w:fill="FFFFFF"/>
            <w:vAlign w:val="bottom"/>
            <w:hideMark/>
          </w:tcPr>
          <w:p w14:paraId="7902DEB5" w14:textId="77777777" w:rsidR="00FF4EBC" w:rsidRPr="00FF4EBC" w:rsidRDefault="00FF4EBC" w:rsidP="00B07FFA">
            <w:pPr>
              <w:pStyle w:val="Tabletext"/>
              <w:rPr>
                <w:lang w:val="en-GB"/>
              </w:rPr>
            </w:pPr>
            <w:r w:rsidRPr="00FF4EBC">
              <w:rPr>
                <w:lang w:val="es-ES"/>
              </w:rPr>
              <w:t>Noruega</w:t>
            </w:r>
          </w:p>
        </w:tc>
        <w:tc>
          <w:tcPr>
            <w:tcW w:w="1900" w:type="dxa"/>
            <w:tcBorders>
              <w:top w:val="nil"/>
              <w:left w:val="single" w:sz="4" w:space="0" w:color="auto"/>
              <w:right w:val="single" w:sz="4" w:space="0" w:color="auto"/>
            </w:tcBorders>
            <w:shd w:val="clear" w:color="000000" w:fill="FFFFFF"/>
            <w:noWrap/>
            <w:vAlign w:val="bottom"/>
            <w:hideMark/>
          </w:tcPr>
          <w:p w14:paraId="7E26AD3A" w14:textId="77777777" w:rsidR="00FF4EBC" w:rsidRPr="00FF4EBC" w:rsidRDefault="00FF4EBC" w:rsidP="00C019E6">
            <w:pPr>
              <w:pStyle w:val="Tabletext"/>
              <w:jc w:val="center"/>
              <w:rPr>
                <w:lang w:val="en-GB"/>
              </w:rPr>
            </w:pPr>
            <w:r w:rsidRPr="00FF4EBC">
              <w:rPr>
                <w:lang w:val="es-ES"/>
              </w:rPr>
              <w:t>5</w:t>
            </w:r>
          </w:p>
        </w:tc>
      </w:tr>
      <w:tr w:rsidR="00FF4EBC" w:rsidRPr="00FF4EBC" w14:paraId="4EFE990B" w14:textId="77777777" w:rsidTr="006A2D3E">
        <w:trPr>
          <w:cantSplit/>
          <w:jc w:val="center"/>
        </w:trPr>
        <w:tc>
          <w:tcPr>
            <w:tcW w:w="4180" w:type="dxa"/>
            <w:tcBorders>
              <w:left w:val="single" w:sz="4" w:space="0" w:color="auto"/>
              <w:bottom w:val="nil"/>
              <w:right w:val="single" w:sz="4" w:space="0" w:color="auto"/>
            </w:tcBorders>
            <w:shd w:val="clear" w:color="000000" w:fill="FFFFFF"/>
            <w:vAlign w:val="bottom"/>
            <w:hideMark/>
          </w:tcPr>
          <w:p w14:paraId="56753B43" w14:textId="77777777" w:rsidR="00FF4EBC" w:rsidRPr="00FF4EBC" w:rsidRDefault="00FF4EBC" w:rsidP="00B07FFA">
            <w:pPr>
              <w:pStyle w:val="Tabletext"/>
              <w:rPr>
                <w:lang w:val="en-GB"/>
              </w:rPr>
            </w:pPr>
            <w:r w:rsidRPr="00FF4EBC">
              <w:rPr>
                <w:lang w:val="es-ES"/>
              </w:rPr>
              <w:t>Omán</w:t>
            </w:r>
          </w:p>
        </w:tc>
        <w:tc>
          <w:tcPr>
            <w:tcW w:w="1900" w:type="dxa"/>
            <w:tcBorders>
              <w:left w:val="single" w:sz="4" w:space="0" w:color="auto"/>
              <w:bottom w:val="nil"/>
              <w:right w:val="single" w:sz="4" w:space="0" w:color="auto"/>
            </w:tcBorders>
            <w:shd w:val="clear" w:color="000000" w:fill="FFFFFF"/>
            <w:noWrap/>
            <w:vAlign w:val="bottom"/>
            <w:hideMark/>
          </w:tcPr>
          <w:p w14:paraId="6A6F683B" w14:textId="77777777" w:rsidR="00FF4EBC" w:rsidRPr="00FF4EBC" w:rsidRDefault="00FF4EBC" w:rsidP="00C019E6">
            <w:pPr>
              <w:pStyle w:val="Tabletext"/>
              <w:jc w:val="center"/>
              <w:rPr>
                <w:lang w:val="en-GB"/>
              </w:rPr>
            </w:pPr>
            <w:r w:rsidRPr="00FF4EBC">
              <w:rPr>
                <w:lang w:val="es-ES"/>
              </w:rPr>
              <w:t>1</w:t>
            </w:r>
          </w:p>
        </w:tc>
      </w:tr>
      <w:tr w:rsidR="00FF4EBC" w:rsidRPr="00FF4EBC" w14:paraId="62FB1FF0"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8420D45" w14:textId="77777777" w:rsidR="00FF4EBC" w:rsidRPr="00FF4EBC" w:rsidRDefault="00FF4EBC" w:rsidP="00B07FFA">
            <w:pPr>
              <w:pStyle w:val="Tabletext"/>
              <w:rPr>
                <w:lang w:val="en-GB"/>
              </w:rPr>
            </w:pPr>
            <w:r w:rsidRPr="00FF4EBC">
              <w:rPr>
                <w:lang w:val="es-ES"/>
              </w:rPr>
              <w:lastRenderedPageBreak/>
              <w:t>Pakistán</w:t>
            </w:r>
          </w:p>
        </w:tc>
        <w:tc>
          <w:tcPr>
            <w:tcW w:w="1900" w:type="dxa"/>
            <w:tcBorders>
              <w:top w:val="nil"/>
              <w:left w:val="single" w:sz="4" w:space="0" w:color="auto"/>
              <w:bottom w:val="nil"/>
              <w:right w:val="single" w:sz="4" w:space="0" w:color="auto"/>
            </w:tcBorders>
            <w:shd w:val="clear" w:color="000000" w:fill="FFFFFF"/>
            <w:noWrap/>
            <w:vAlign w:val="bottom"/>
            <w:hideMark/>
          </w:tcPr>
          <w:p w14:paraId="3903D47A" w14:textId="77777777" w:rsidR="00FF4EBC" w:rsidRPr="00FF4EBC" w:rsidRDefault="00FF4EBC" w:rsidP="00C019E6">
            <w:pPr>
              <w:pStyle w:val="Tabletext"/>
              <w:jc w:val="center"/>
              <w:rPr>
                <w:lang w:val="en-GB"/>
              </w:rPr>
            </w:pPr>
            <w:r w:rsidRPr="00FF4EBC">
              <w:rPr>
                <w:lang w:val="es-ES"/>
              </w:rPr>
              <w:t>1</w:t>
            </w:r>
          </w:p>
        </w:tc>
      </w:tr>
      <w:tr w:rsidR="00FF4EBC" w:rsidRPr="00FF4EBC" w14:paraId="48F2019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7052F4D" w14:textId="77777777" w:rsidR="00FF4EBC" w:rsidRPr="00FF4EBC" w:rsidRDefault="00FF4EBC" w:rsidP="00B07FFA">
            <w:pPr>
              <w:pStyle w:val="Tabletext"/>
              <w:rPr>
                <w:lang w:val="en-GB"/>
              </w:rPr>
            </w:pPr>
            <w:r w:rsidRPr="00FF4EBC">
              <w:rPr>
                <w:lang w:val="es-ES"/>
              </w:rPr>
              <w:t>Palau</w:t>
            </w:r>
          </w:p>
        </w:tc>
        <w:tc>
          <w:tcPr>
            <w:tcW w:w="1900" w:type="dxa"/>
            <w:tcBorders>
              <w:top w:val="nil"/>
              <w:left w:val="single" w:sz="4" w:space="0" w:color="auto"/>
              <w:bottom w:val="nil"/>
              <w:right w:val="single" w:sz="4" w:space="0" w:color="auto"/>
            </w:tcBorders>
            <w:shd w:val="clear" w:color="000000" w:fill="FFFFFF"/>
            <w:noWrap/>
            <w:vAlign w:val="bottom"/>
            <w:hideMark/>
          </w:tcPr>
          <w:p w14:paraId="7CF47323" w14:textId="77777777" w:rsidR="00FF4EBC" w:rsidRPr="00FF4EBC" w:rsidRDefault="00FF4EBC" w:rsidP="00C019E6">
            <w:pPr>
              <w:pStyle w:val="Tabletext"/>
              <w:jc w:val="center"/>
              <w:rPr>
                <w:lang w:val="en-GB"/>
              </w:rPr>
            </w:pPr>
            <w:r w:rsidRPr="00FF4EBC">
              <w:rPr>
                <w:lang w:val="es-ES"/>
              </w:rPr>
              <w:t>1/16</w:t>
            </w:r>
          </w:p>
        </w:tc>
      </w:tr>
      <w:tr w:rsidR="00FF4EBC" w:rsidRPr="00FF4EBC" w14:paraId="6B342F51"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733219F" w14:textId="77777777" w:rsidR="00FF4EBC" w:rsidRPr="00FF4EBC" w:rsidRDefault="00FF4EBC" w:rsidP="00B07FFA">
            <w:pPr>
              <w:pStyle w:val="Tabletext"/>
              <w:rPr>
                <w:lang w:val="en-GB"/>
              </w:rPr>
            </w:pPr>
            <w:r w:rsidRPr="00FF4EBC">
              <w:rPr>
                <w:lang w:val="es-ES"/>
              </w:rPr>
              <w:t>Panamá</w:t>
            </w:r>
          </w:p>
        </w:tc>
        <w:tc>
          <w:tcPr>
            <w:tcW w:w="1900" w:type="dxa"/>
            <w:tcBorders>
              <w:top w:val="nil"/>
              <w:left w:val="single" w:sz="4" w:space="0" w:color="auto"/>
              <w:bottom w:val="nil"/>
              <w:right w:val="single" w:sz="4" w:space="0" w:color="auto"/>
            </w:tcBorders>
            <w:shd w:val="clear" w:color="000000" w:fill="FFFFFF"/>
            <w:noWrap/>
            <w:vAlign w:val="bottom"/>
            <w:hideMark/>
          </w:tcPr>
          <w:p w14:paraId="4F9D9399" w14:textId="77777777" w:rsidR="00FF4EBC" w:rsidRPr="00FF4EBC" w:rsidRDefault="00FF4EBC" w:rsidP="00C019E6">
            <w:pPr>
              <w:pStyle w:val="Tabletext"/>
              <w:jc w:val="center"/>
              <w:rPr>
                <w:lang w:val="en-GB"/>
              </w:rPr>
            </w:pPr>
            <w:r w:rsidRPr="00FF4EBC">
              <w:rPr>
                <w:lang w:val="es-ES"/>
              </w:rPr>
              <w:t>1/4</w:t>
            </w:r>
          </w:p>
        </w:tc>
      </w:tr>
      <w:tr w:rsidR="00FF4EBC" w:rsidRPr="00FF4EBC" w14:paraId="2D1405E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C08355B" w14:textId="77777777" w:rsidR="00FF4EBC" w:rsidRPr="00FF4EBC" w:rsidRDefault="00FF4EBC" w:rsidP="00B07FFA">
            <w:pPr>
              <w:pStyle w:val="Tabletext"/>
              <w:rPr>
                <w:lang w:val="en-GB"/>
              </w:rPr>
            </w:pPr>
            <w:proofErr w:type="spellStart"/>
            <w:r w:rsidRPr="00FF4EBC">
              <w:rPr>
                <w:lang w:val="es-ES"/>
              </w:rPr>
              <w:t>Papua</w:t>
            </w:r>
            <w:proofErr w:type="spellEnd"/>
            <w:r w:rsidRPr="00FF4EBC">
              <w:rPr>
                <w:lang w:val="es-ES"/>
              </w:rPr>
              <w:t xml:space="preserve"> Nueva Guinea</w:t>
            </w:r>
          </w:p>
        </w:tc>
        <w:tc>
          <w:tcPr>
            <w:tcW w:w="1900" w:type="dxa"/>
            <w:tcBorders>
              <w:top w:val="nil"/>
              <w:left w:val="single" w:sz="4" w:space="0" w:color="auto"/>
              <w:bottom w:val="nil"/>
              <w:right w:val="single" w:sz="4" w:space="0" w:color="auto"/>
            </w:tcBorders>
            <w:shd w:val="clear" w:color="000000" w:fill="FFFFFF"/>
            <w:vAlign w:val="bottom"/>
            <w:hideMark/>
          </w:tcPr>
          <w:p w14:paraId="71F3B281" w14:textId="77777777" w:rsidR="00FF4EBC" w:rsidRPr="00FF4EBC" w:rsidRDefault="00FF4EBC" w:rsidP="00C019E6">
            <w:pPr>
              <w:pStyle w:val="Tabletext"/>
              <w:jc w:val="center"/>
              <w:rPr>
                <w:lang w:val="en-GB"/>
              </w:rPr>
            </w:pPr>
            <w:r w:rsidRPr="00FF4EBC">
              <w:rPr>
                <w:lang w:val="es-ES"/>
              </w:rPr>
              <w:t>1/2</w:t>
            </w:r>
          </w:p>
        </w:tc>
      </w:tr>
      <w:tr w:rsidR="00FF4EBC" w:rsidRPr="00FF4EBC" w14:paraId="6686D550"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432953A" w14:textId="77777777" w:rsidR="00FF4EBC" w:rsidRPr="00FF4EBC" w:rsidRDefault="00FF4EBC" w:rsidP="00B07FFA">
            <w:pPr>
              <w:pStyle w:val="Tabletext"/>
              <w:rPr>
                <w:lang w:val="en-GB"/>
              </w:rPr>
            </w:pPr>
            <w:r w:rsidRPr="00FF4EBC">
              <w:rPr>
                <w:lang w:val="es-ES"/>
              </w:rPr>
              <w:t>Paraguay</w:t>
            </w:r>
          </w:p>
        </w:tc>
        <w:tc>
          <w:tcPr>
            <w:tcW w:w="1900" w:type="dxa"/>
            <w:tcBorders>
              <w:top w:val="nil"/>
              <w:left w:val="single" w:sz="4" w:space="0" w:color="auto"/>
              <w:bottom w:val="nil"/>
              <w:right w:val="single" w:sz="4" w:space="0" w:color="auto"/>
            </w:tcBorders>
            <w:shd w:val="clear" w:color="000000" w:fill="FFFFFF"/>
            <w:noWrap/>
            <w:vAlign w:val="bottom"/>
            <w:hideMark/>
          </w:tcPr>
          <w:p w14:paraId="5393C203" w14:textId="77777777" w:rsidR="00FF4EBC" w:rsidRPr="00FF4EBC" w:rsidRDefault="00FF4EBC" w:rsidP="00C019E6">
            <w:pPr>
              <w:pStyle w:val="Tabletext"/>
              <w:jc w:val="center"/>
              <w:rPr>
                <w:lang w:val="en-GB"/>
              </w:rPr>
            </w:pPr>
            <w:r w:rsidRPr="00FF4EBC">
              <w:rPr>
                <w:lang w:val="es-ES"/>
              </w:rPr>
              <w:t>1/2</w:t>
            </w:r>
          </w:p>
        </w:tc>
      </w:tr>
      <w:tr w:rsidR="00FF4EBC" w:rsidRPr="00FF4EBC" w14:paraId="399F352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DB2514D" w14:textId="77777777" w:rsidR="00FF4EBC" w:rsidRPr="00FF4EBC" w:rsidRDefault="00FF4EBC" w:rsidP="00B07FFA">
            <w:pPr>
              <w:pStyle w:val="Tabletext"/>
              <w:rPr>
                <w:lang w:val="en-GB"/>
              </w:rPr>
            </w:pPr>
            <w:r w:rsidRPr="00FF4EBC">
              <w:rPr>
                <w:lang w:val="es-ES"/>
              </w:rPr>
              <w:t>Perú</w:t>
            </w:r>
          </w:p>
        </w:tc>
        <w:tc>
          <w:tcPr>
            <w:tcW w:w="1900" w:type="dxa"/>
            <w:tcBorders>
              <w:top w:val="nil"/>
              <w:left w:val="single" w:sz="4" w:space="0" w:color="auto"/>
              <w:bottom w:val="nil"/>
              <w:right w:val="single" w:sz="4" w:space="0" w:color="auto"/>
            </w:tcBorders>
            <w:shd w:val="clear" w:color="000000" w:fill="FFFFFF"/>
            <w:noWrap/>
            <w:vAlign w:val="bottom"/>
            <w:hideMark/>
          </w:tcPr>
          <w:p w14:paraId="1CE5DEC0" w14:textId="77777777" w:rsidR="00FF4EBC" w:rsidRPr="00FF4EBC" w:rsidRDefault="00FF4EBC" w:rsidP="00C019E6">
            <w:pPr>
              <w:pStyle w:val="Tabletext"/>
              <w:jc w:val="center"/>
              <w:rPr>
                <w:lang w:val="en-GB"/>
              </w:rPr>
            </w:pPr>
            <w:r w:rsidRPr="00FF4EBC">
              <w:rPr>
                <w:lang w:val="es-ES"/>
              </w:rPr>
              <w:t>1/4</w:t>
            </w:r>
          </w:p>
        </w:tc>
      </w:tr>
      <w:tr w:rsidR="00FF4EBC" w:rsidRPr="00FF4EBC" w14:paraId="01D3F32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BC7FFDA" w14:textId="77777777" w:rsidR="00FF4EBC" w:rsidRPr="00FF4EBC" w:rsidRDefault="00FF4EBC" w:rsidP="00B07FFA">
            <w:pPr>
              <w:pStyle w:val="Tabletext"/>
              <w:rPr>
                <w:lang w:val="en-GB"/>
              </w:rPr>
            </w:pPr>
            <w:r w:rsidRPr="00FF4EBC">
              <w:rPr>
                <w:lang w:val="es-ES"/>
              </w:rPr>
              <w:t>Filipinas</w:t>
            </w:r>
          </w:p>
        </w:tc>
        <w:tc>
          <w:tcPr>
            <w:tcW w:w="1900" w:type="dxa"/>
            <w:tcBorders>
              <w:top w:val="nil"/>
              <w:left w:val="single" w:sz="4" w:space="0" w:color="auto"/>
              <w:bottom w:val="nil"/>
              <w:right w:val="single" w:sz="4" w:space="0" w:color="auto"/>
            </w:tcBorders>
            <w:shd w:val="clear" w:color="000000" w:fill="FFFFFF"/>
            <w:noWrap/>
            <w:vAlign w:val="bottom"/>
            <w:hideMark/>
          </w:tcPr>
          <w:p w14:paraId="32AF1561" w14:textId="77777777" w:rsidR="00FF4EBC" w:rsidRPr="00FF4EBC" w:rsidRDefault="00FF4EBC" w:rsidP="00C019E6">
            <w:pPr>
              <w:pStyle w:val="Tabletext"/>
              <w:jc w:val="center"/>
              <w:rPr>
                <w:lang w:val="en-GB"/>
              </w:rPr>
            </w:pPr>
            <w:r w:rsidRPr="00FF4EBC">
              <w:rPr>
                <w:lang w:val="es-ES"/>
              </w:rPr>
              <w:t>1/2</w:t>
            </w:r>
          </w:p>
        </w:tc>
      </w:tr>
      <w:tr w:rsidR="00FF4EBC" w:rsidRPr="00FF4EBC" w14:paraId="659E392B"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B23A22A" w14:textId="77777777" w:rsidR="00FF4EBC" w:rsidRPr="00FF4EBC" w:rsidRDefault="00FF4EBC" w:rsidP="00B07FFA">
            <w:pPr>
              <w:pStyle w:val="Tabletext"/>
              <w:rPr>
                <w:lang w:val="en-GB"/>
              </w:rPr>
            </w:pPr>
            <w:r w:rsidRPr="00FF4EBC">
              <w:rPr>
                <w:lang w:val="es-ES"/>
              </w:rPr>
              <w:t>Polonia</w:t>
            </w:r>
          </w:p>
        </w:tc>
        <w:tc>
          <w:tcPr>
            <w:tcW w:w="1900" w:type="dxa"/>
            <w:tcBorders>
              <w:top w:val="nil"/>
              <w:left w:val="single" w:sz="4" w:space="0" w:color="auto"/>
              <w:bottom w:val="nil"/>
              <w:right w:val="single" w:sz="4" w:space="0" w:color="auto"/>
            </w:tcBorders>
            <w:shd w:val="clear" w:color="000000" w:fill="FFFFFF"/>
            <w:noWrap/>
            <w:vAlign w:val="bottom"/>
            <w:hideMark/>
          </w:tcPr>
          <w:p w14:paraId="6111094A" w14:textId="77777777" w:rsidR="00FF4EBC" w:rsidRPr="00FF4EBC" w:rsidRDefault="00FF4EBC" w:rsidP="00C019E6">
            <w:pPr>
              <w:pStyle w:val="Tabletext"/>
              <w:jc w:val="center"/>
              <w:rPr>
                <w:lang w:val="en-GB"/>
              </w:rPr>
            </w:pPr>
            <w:r w:rsidRPr="00FF4EBC">
              <w:rPr>
                <w:lang w:val="es-ES"/>
              </w:rPr>
              <w:t>1</w:t>
            </w:r>
          </w:p>
        </w:tc>
      </w:tr>
      <w:tr w:rsidR="00FF4EBC" w:rsidRPr="00FF4EBC" w14:paraId="776E398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20405EF" w14:textId="77777777" w:rsidR="00FF4EBC" w:rsidRPr="00FF4EBC" w:rsidRDefault="00FF4EBC" w:rsidP="00B07FFA">
            <w:pPr>
              <w:pStyle w:val="Tabletext"/>
              <w:rPr>
                <w:lang w:val="en-GB"/>
              </w:rPr>
            </w:pPr>
            <w:r w:rsidRPr="00FF4EBC">
              <w:rPr>
                <w:lang w:val="es-ES"/>
              </w:rPr>
              <w:t>Portugal</w:t>
            </w:r>
          </w:p>
        </w:tc>
        <w:tc>
          <w:tcPr>
            <w:tcW w:w="1900" w:type="dxa"/>
            <w:tcBorders>
              <w:top w:val="nil"/>
              <w:left w:val="single" w:sz="4" w:space="0" w:color="auto"/>
              <w:bottom w:val="nil"/>
              <w:right w:val="single" w:sz="4" w:space="0" w:color="auto"/>
            </w:tcBorders>
            <w:shd w:val="clear" w:color="000000" w:fill="FFFFFF"/>
            <w:noWrap/>
            <w:vAlign w:val="bottom"/>
            <w:hideMark/>
          </w:tcPr>
          <w:p w14:paraId="6F645718" w14:textId="77777777" w:rsidR="00FF4EBC" w:rsidRPr="00FF4EBC" w:rsidRDefault="00FF4EBC" w:rsidP="00C019E6">
            <w:pPr>
              <w:pStyle w:val="Tabletext"/>
              <w:jc w:val="center"/>
              <w:rPr>
                <w:lang w:val="en-GB"/>
              </w:rPr>
            </w:pPr>
            <w:r w:rsidRPr="00FF4EBC">
              <w:rPr>
                <w:lang w:val="es-ES"/>
              </w:rPr>
              <w:t>1</w:t>
            </w:r>
          </w:p>
        </w:tc>
      </w:tr>
      <w:tr w:rsidR="00FF4EBC" w:rsidRPr="00FF4EBC" w14:paraId="437E649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AA263C9" w14:textId="77777777" w:rsidR="00FF4EBC" w:rsidRPr="00FF4EBC" w:rsidRDefault="00FF4EBC" w:rsidP="00B07FFA">
            <w:pPr>
              <w:pStyle w:val="Tabletext"/>
              <w:rPr>
                <w:lang w:val="en-GB"/>
              </w:rPr>
            </w:pPr>
            <w:r w:rsidRPr="00FF4EBC">
              <w:rPr>
                <w:lang w:val="es-ES"/>
              </w:rPr>
              <w:t>Qatar</w:t>
            </w:r>
          </w:p>
        </w:tc>
        <w:tc>
          <w:tcPr>
            <w:tcW w:w="1900" w:type="dxa"/>
            <w:tcBorders>
              <w:top w:val="nil"/>
              <w:left w:val="single" w:sz="4" w:space="0" w:color="auto"/>
              <w:bottom w:val="nil"/>
              <w:right w:val="single" w:sz="4" w:space="0" w:color="auto"/>
            </w:tcBorders>
            <w:shd w:val="clear" w:color="000000" w:fill="FFFFFF"/>
            <w:noWrap/>
            <w:vAlign w:val="bottom"/>
            <w:hideMark/>
          </w:tcPr>
          <w:p w14:paraId="22DAEB37" w14:textId="77777777" w:rsidR="00FF4EBC" w:rsidRPr="00FF4EBC" w:rsidRDefault="00FF4EBC" w:rsidP="00C019E6">
            <w:pPr>
              <w:pStyle w:val="Tabletext"/>
              <w:jc w:val="center"/>
              <w:rPr>
                <w:lang w:val="en-GB"/>
              </w:rPr>
            </w:pPr>
            <w:r w:rsidRPr="00FF4EBC">
              <w:rPr>
                <w:lang w:val="es-ES"/>
              </w:rPr>
              <w:t>2</w:t>
            </w:r>
          </w:p>
        </w:tc>
      </w:tr>
      <w:tr w:rsidR="00FF4EBC" w:rsidRPr="00FF4EBC" w14:paraId="1A1F7C6F"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2E6A763" w14:textId="77777777" w:rsidR="00FF4EBC" w:rsidRPr="00FF4EBC" w:rsidRDefault="00FF4EBC" w:rsidP="00B07FFA">
            <w:pPr>
              <w:pStyle w:val="Tabletext"/>
              <w:rPr>
                <w:lang w:val="en-GB"/>
              </w:rPr>
            </w:pPr>
            <w:r w:rsidRPr="00FF4EBC">
              <w:rPr>
                <w:lang w:val="es-ES"/>
              </w:rPr>
              <w:t>Rumanía</w:t>
            </w:r>
          </w:p>
        </w:tc>
        <w:tc>
          <w:tcPr>
            <w:tcW w:w="1900" w:type="dxa"/>
            <w:tcBorders>
              <w:top w:val="nil"/>
              <w:left w:val="single" w:sz="4" w:space="0" w:color="auto"/>
              <w:bottom w:val="nil"/>
              <w:right w:val="single" w:sz="4" w:space="0" w:color="auto"/>
            </w:tcBorders>
            <w:shd w:val="clear" w:color="000000" w:fill="FFFFFF"/>
            <w:noWrap/>
            <w:vAlign w:val="bottom"/>
            <w:hideMark/>
          </w:tcPr>
          <w:p w14:paraId="45B05E53" w14:textId="77777777" w:rsidR="00FF4EBC" w:rsidRPr="00FF4EBC" w:rsidRDefault="00FF4EBC" w:rsidP="00C019E6">
            <w:pPr>
              <w:pStyle w:val="Tabletext"/>
              <w:jc w:val="center"/>
              <w:rPr>
                <w:lang w:val="en-GB"/>
              </w:rPr>
            </w:pPr>
            <w:r w:rsidRPr="00FF4EBC">
              <w:rPr>
                <w:lang w:val="es-ES"/>
              </w:rPr>
              <w:t>1</w:t>
            </w:r>
          </w:p>
        </w:tc>
      </w:tr>
      <w:tr w:rsidR="00FF4EBC" w:rsidRPr="00FF4EBC" w14:paraId="421EDD3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4F55F7A" w14:textId="77777777" w:rsidR="00FF4EBC" w:rsidRPr="00FF4EBC" w:rsidRDefault="00FF4EBC" w:rsidP="00B07FFA">
            <w:pPr>
              <w:pStyle w:val="Tabletext"/>
              <w:rPr>
                <w:lang w:val="en-GB"/>
              </w:rPr>
            </w:pPr>
            <w:r w:rsidRPr="00FF4EBC">
              <w:rPr>
                <w:lang w:val="es-ES"/>
              </w:rPr>
              <w:t>Federación de Rusia</w:t>
            </w:r>
          </w:p>
        </w:tc>
        <w:tc>
          <w:tcPr>
            <w:tcW w:w="1900" w:type="dxa"/>
            <w:tcBorders>
              <w:top w:val="nil"/>
              <w:left w:val="single" w:sz="4" w:space="0" w:color="auto"/>
              <w:bottom w:val="nil"/>
              <w:right w:val="single" w:sz="4" w:space="0" w:color="auto"/>
            </w:tcBorders>
            <w:shd w:val="clear" w:color="000000" w:fill="FFFFFF"/>
            <w:noWrap/>
            <w:vAlign w:val="bottom"/>
            <w:hideMark/>
          </w:tcPr>
          <w:p w14:paraId="145CAB28" w14:textId="77777777" w:rsidR="00FF4EBC" w:rsidRPr="00FF4EBC" w:rsidRDefault="00FF4EBC" w:rsidP="00C019E6">
            <w:pPr>
              <w:pStyle w:val="Tabletext"/>
              <w:jc w:val="center"/>
              <w:rPr>
                <w:lang w:val="en-GB"/>
              </w:rPr>
            </w:pPr>
            <w:r w:rsidRPr="00FF4EBC">
              <w:rPr>
                <w:lang w:val="es-ES"/>
              </w:rPr>
              <w:t>15</w:t>
            </w:r>
          </w:p>
        </w:tc>
      </w:tr>
      <w:tr w:rsidR="00FF4EBC" w:rsidRPr="00FF4EBC" w14:paraId="2A4DF1B1"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5199652" w14:textId="77777777" w:rsidR="00FF4EBC" w:rsidRPr="00FF4EBC" w:rsidRDefault="00FF4EBC" w:rsidP="00B07FFA">
            <w:pPr>
              <w:pStyle w:val="Tabletext"/>
              <w:rPr>
                <w:lang w:val="en-GB"/>
              </w:rPr>
            </w:pPr>
            <w:proofErr w:type="spellStart"/>
            <w:r w:rsidRPr="00FF4EBC">
              <w:rPr>
                <w:lang w:val="es-ES"/>
              </w:rPr>
              <w:t>Rwanda</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31A88DA0" w14:textId="77777777" w:rsidR="00FF4EBC" w:rsidRPr="00FF4EBC" w:rsidRDefault="00FF4EBC" w:rsidP="00C019E6">
            <w:pPr>
              <w:pStyle w:val="Tabletext"/>
              <w:jc w:val="center"/>
              <w:rPr>
                <w:lang w:val="en-GB"/>
              </w:rPr>
            </w:pPr>
            <w:r w:rsidRPr="00FF4EBC">
              <w:rPr>
                <w:lang w:val="es-ES"/>
              </w:rPr>
              <w:t>1/4</w:t>
            </w:r>
          </w:p>
        </w:tc>
      </w:tr>
      <w:tr w:rsidR="00FF4EBC" w:rsidRPr="00FF4EBC" w14:paraId="36E76A9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B3DE07B" w14:textId="77777777" w:rsidR="00FF4EBC" w:rsidRPr="00FF4EBC" w:rsidRDefault="00FF4EBC" w:rsidP="00B07FFA">
            <w:pPr>
              <w:pStyle w:val="Tabletext"/>
              <w:rPr>
                <w:lang w:val="en-GB"/>
              </w:rPr>
            </w:pPr>
            <w:r w:rsidRPr="00FF4EBC">
              <w:rPr>
                <w:lang w:val="es-ES"/>
              </w:rPr>
              <w:t xml:space="preserve">Saint </w:t>
            </w:r>
            <w:proofErr w:type="spellStart"/>
            <w:r w:rsidRPr="00FF4EBC">
              <w:rPr>
                <w:lang w:val="es-ES"/>
              </w:rPr>
              <w:t>Kitts</w:t>
            </w:r>
            <w:proofErr w:type="spellEnd"/>
            <w:r w:rsidRPr="00FF4EBC">
              <w:rPr>
                <w:lang w:val="es-ES"/>
              </w:rPr>
              <w:t xml:space="preserve"> y </w:t>
            </w:r>
            <w:proofErr w:type="spellStart"/>
            <w:r w:rsidRPr="00FF4EBC">
              <w:rPr>
                <w:lang w:val="es-ES"/>
              </w:rPr>
              <w:t>Nevis</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5FD9859B" w14:textId="77777777" w:rsidR="00FF4EBC" w:rsidRPr="00FF4EBC" w:rsidRDefault="00FF4EBC" w:rsidP="00C019E6">
            <w:pPr>
              <w:pStyle w:val="Tabletext"/>
              <w:jc w:val="center"/>
              <w:rPr>
                <w:lang w:val="en-GB"/>
              </w:rPr>
            </w:pPr>
            <w:r w:rsidRPr="00FF4EBC">
              <w:rPr>
                <w:lang w:val="es-ES"/>
              </w:rPr>
              <w:t>1/16</w:t>
            </w:r>
          </w:p>
        </w:tc>
      </w:tr>
      <w:tr w:rsidR="00FF4EBC" w:rsidRPr="00FF4EBC" w14:paraId="46CCC425"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6F20B09" w14:textId="77777777" w:rsidR="00FF4EBC" w:rsidRPr="00FF4EBC" w:rsidRDefault="00FF4EBC" w:rsidP="00B07FFA">
            <w:pPr>
              <w:pStyle w:val="Tabletext"/>
              <w:rPr>
                <w:lang w:val="en-GB"/>
              </w:rPr>
            </w:pPr>
            <w:r w:rsidRPr="00FF4EBC">
              <w:rPr>
                <w:lang w:val="es-ES"/>
              </w:rPr>
              <w:t>Santa Lucía</w:t>
            </w:r>
          </w:p>
        </w:tc>
        <w:tc>
          <w:tcPr>
            <w:tcW w:w="1900" w:type="dxa"/>
            <w:tcBorders>
              <w:top w:val="nil"/>
              <w:left w:val="single" w:sz="4" w:space="0" w:color="auto"/>
              <w:bottom w:val="nil"/>
              <w:right w:val="single" w:sz="4" w:space="0" w:color="auto"/>
            </w:tcBorders>
            <w:shd w:val="clear" w:color="000000" w:fill="FFFFFF"/>
            <w:noWrap/>
            <w:vAlign w:val="bottom"/>
            <w:hideMark/>
          </w:tcPr>
          <w:p w14:paraId="6E9E37BA" w14:textId="77777777" w:rsidR="00FF4EBC" w:rsidRPr="00FF4EBC" w:rsidRDefault="00FF4EBC" w:rsidP="00C019E6">
            <w:pPr>
              <w:pStyle w:val="Tabletext"/>
              <w:jc w:val="center"/>
              <w:rPr>
                <w:lang w:val="en-GB"/>
              </w:rPr>
            </w:pPr>
            <w:r w:rsidRPr="00FF4EBC">
              <w:rPr>
                <w:lang w:val="es-ES"/>
              </w:rPr>
              <w:t>1/16</w:t>
            </w:r>
          </w:p>
        </w:tc>
      </w:tr>
      <w:tr w:rsidR="00FF4EBC" w:rsidRPr="00FF4EBC" w14:paraId="6689FE1F"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88D96BC" w14:textId="77777777" w:rsidR="00FF4EBC" w:rsidRPr="00FF4EBC" w:rsidRDefault="00FF4EBC" w:rsidP="00B07FFA">
            <w:pPr>
              <w:pStyle w:val="Tabletext"/>
              <w:rPr>
                <w:lang w:val="es-ES"/>
              </w:rPr>
            </w:pPr>
            <w:r w:rsidRPr="00FF4EBC">
              <w:rPr>
                <w:lang w:val="es-ES"/>
              </w:rPr>
              <w:t>San Vicente y las Granadinas</w:t>
            </w:r>
          </w:p>
        </w:tc>
        <w:tc>
          <w:tcPr>
            <w:tcW w:w="1900" w:type="dxa"/>
            <w:tcBorders>
              <w:top w:val="nil"/>
              <w:left w:val="single" w:sz="4" w:space="0" w:color="auto"/>
              <w:bottom w:val="nil"/>
              <w:right w:val="single" w:sz="4" w:space="0" w:color="auto"/>
            </w:tcBorders>
            <w:shd w:val="clear" w:color="000000" w:fill="FFFFFF"/>
            <w:noWrap/>
            <w:vAlign w:val="bottom"/>
            <w:hideMark/>
          </w:tcPr>
          <w:p w14:paraId="2ADC753A" w14:textId="77777777" w:rsidR="00FF4EBC" w:rsidRPr="00FF4EBC" w:rsidRDefault="00FF4EBC" w:rsidP="00C019E6">
            <w:pPr>
              <w:pStyle w:val="Tabletext"/>
              <w:jc w:val="center"/>
              <w:rPr>
                <w:lang w:val="en-GB"/>
              </w:rPr>
            </w:pPr>
            <w:r w:rsidRPr="00FF4EBC">
              <w:rPr>
                <w:lang w:val="es-ES"/>
              </w:rPr>
              <w:t>1/16</w:t>
            </w:r>
          </w:p>
        </w:tc>
      </w:tr>
      <w:tr w:rsidR="00FF4EBC" w:rsidRPr="00FF4EBC" w14:paraId="0E5ED9D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6E6D31C" w14:textId="77777777" w:rsidR="00FF4EBC" w:rsidRPr="00FF4EBC" w:rsidRDefault="00FF4EBC" w:rsidP="00B07FFA">
            <w:pPr>
              <w:pStyle w:val="Tabletext"/>
              <w:rPr>
                <w:lang w:val="en-GB"/>
              </w:rPr>
            </w:pPr>
            <w:r w:rsidRPr="00FF4EBC">
              <w:rPr>
                <w:lang w:val="es-ES"/>
              </w:rPr>
              <w:t>Samoa</w:t>
            </w:r>
          </w:p>
        </w:tc>
        <w:tc>
          <w:tcPr>
            <w:tcW w:w="1900" w:type="dxa"/>
            <w:tcBorders>
              <w:top w:val="nil"/>
              <w:left w:val="single" w:sz="4" w:space="0" w:color="auto"/>
              <w:bottom w:val="nil"/>
              <w:right w:val="single" w:sz="4" w:space="0" w:color="auto"/>
            </w:tcBorders>
            <w:shd w:val="clear" w:color="000000" w:fill="FFFFFF"/>
            <w:noWrap/>
            <w:vAlign w:val="bottom"/>
            <w:hideMark/>
          </w:tcPr>
          <w:p w14:paraId="703DCFEE" w14:textId="77777777" w:rsidR="00FF4EBC" w:rsidRPr="00FF4EBC" w:rsidRDefault="00FF4EBC" w:rsidP="00C019E6">
            <w:pPr>
              <w:pStyle w:val="Tabletext"/>
              <w:jc w:val="center"/>
              <w:rPr>
                <w:lang w:val="en-GB"/>
              </w:rPr>
            </w:pPr>
            <w:r w:rsidRPr="00FF4EBC">
              <w:rPr>
                <w:lang w:val="es-ES"/>
              </w:rPr>
              <w:t>1/16</w:t>
            </w:r>
          </w:p>
        </w:tc>
      </w:tr>
      <w:tr w:rsidR="00FF4EBC" w:rsidRPr="00FF4EBC" w14:paraId="3E1E6594"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7D7FB06" w14:textId="77777777" w:rsidR="00FF4EBC" w:rsidRPr="00FF4EBC" w:rsidRDefault="00FF4EBC" w:rsidP="00B07FFA">
            <w:pPr>
              <w:pStyle w:val="Tabletext"/>
              <w:rPr>
                <w:lang w:val="en-GB"/>
              </w:rPr>
            </w:pPr>
            <w:r w:rsidRPr="00FF4EBC">
              <w:rPr>
                <w:lang w:val="es-ES"/>
              </w:rPr>
              <w:t>San Marino</w:t>
            </w:r>
          </w:p>
        </w:tc>
        <w:tc>
          <w:tcPr>
            <w:tcW w:w="1900" w:type="dxa"/>
            <w:tcBorders>
              <w:top w:val="nil"/>
              <w:left w:val="single" w:sz="4" w:space="0" w:color="auto"/>
              <w:bottom w:val="nil"/>
              <w:right w:val="single" w:sz="4" w:space="0" w:color="auto"/>
            </w:tcBorders>
            <w:shd w:val="clear" w:color="000000" w:fill="FFFFFF"/>
            <w:noWrap/>
            <w:vAlign w:val="bottom"/>
            <w:hideMark/>
          </w:tcPr>
          <w:p w14:paraId="63C600ED" w14:textId="77777777" w:rsidR="00FF4EBC" w:rsidRPr="00FF4EBC" w:rsidRDefault="00FF4EBC" w:rsidP="00C019E6">
            <w:pPr>
              <w:pStyle w:val="Tabletext"/>
              <w:jc w:val="center"/>
              <w:rPr>
                <w:lang w:val="en-GB"/>
              </w:rPr>
            </w:pPr>
            <w:r w:rsidRPr="00FF4EBC">
              <w:rPr>
                <w:lang w:val="es-ES"/>
              </w:rPr>
              <w:t>1/4</w:t>
            </w:r>
          </w:p>
        </w:tc>
      </w:tr>
      <w:tr w:rsidR="00FF4EBC" w:rsidRPr="00FF4EBC" w14:paraId="436085F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F2BC4AB" w14:textId="77777777" w:rsidR="00FF4EBC" w:rsidRPr="00FF4EBC" w:rsidRDefault="00FF4EBC" w:rsidP="00B07FFA">
            <w:pPr>
              <w:pStyle w:val="Tabletext"/>
              <w:rPr>
                <w:lang w:val="en-GB"/>
              </w:rPr>
            </w:pPr>
            <w:r w:rsidRPr="00FF4EBC">
              <w:rPr>
                <w:lang w:val="es-ES"/>
              </w:rPr>
              <w:t>Santo Tomé y Príncipe</w:t>
            </w:r>
          </w:p>
        </w:tc>
        <w:tc>
          <w:tcPr>
            <w:tcW w:w="1900" w:type="dxa"/>
            <w:tcBorders>
              <w:top w:val="nil"/>
              <w:left w:val="single" w:sz="4" w:space="0" w:color="auto"/>
              <w:bottom w:val="nil"/>
              <w:right w:val="single" w:sz="4" w:space="0" w:color="auto"/>
            </w:tcBorders>
            <w:shd w:val="clear" w:color="000000" w:fill="FFFFFF"/>
            <w:noWrap/>
            <w:vAlign w:val="bottom"/>
            <w:hideMark/>
          </w:tcPr>
          <w:p w14:paraId="3D24AF29" w14:textId="77777777" w:rsidR="00FF4EBC" w:rsidRPr="00FF4EBC" w:rsidRDefault="00FF4EBC" w:rsidP="00C019E6">
            <w:pPr>
              <w:pStyle w:val="Tabletext"/>
              <w:jc w:val="center"/>
              <w:rPr>
                <w:lang w:val="en-GB"/>
              </w:rPr>
            </w:pPr>
            <w:r w:rsidRPr="00FF4EBC">
              <w:rPr>
                <w:lang w:val="es-ES"/>
              </w:rPr>
              <w:t>1/16</w:t>
            </w:r>
          </w:p>
        </w:tc>
      </w:tr>
      <w:tr w:rsidR="00FF4EBC" w:rsidRPr="00FF4EBC" w14:paraId="0111C471"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9005F45" w14:textId="77777777" w:rsidR="00FF4EBC" w:rsidRPr="00FF4EBC" w:rsidRDefault="00FF4EBC" w:rsidP="00B07FFA">
            <w:pPr>
              <w:pStyle w:val="Tabletext"/>
              <w:rPr>
                <w:lang w:val="en-GB"/>
              </w:rPr>
            </w:pPr>
            <w:r w:rsidRPr="00FF4EBC">
              <w:rPr>
                <w:lang w:val="es-ES"/>
              </w:rPr>
              <w:t>Arabia Saudita</w:t>
            </w:r>
          </w:p>
        </w:tc>
        <w:tc>
          <w:tcPr>
            <w:tcW w:w="1900" w:type="dxa"/>
            <w:tcBorders>
              <w:top w:val="nil"/>
              <w:left w:val="single" w:sz="4" w:space="0" w:color="auto"/>
              <w:bottom w:val="nil"/>
              <w:right w:val="single" w:sz="4" w:space="0" w:color="auto"/>
            </w:tcBorders>
            <w:shd w:val="clear" w:color="000000" w:fill="FFFFFF"/>
            <w:noWrap/>
            <w:vAlign w:val="bottom"/>
            <w:hideMark/>
          </w:tcPr>
          <w:p w14:paraId="4E53D4A6" w14:textId="77777777" w:rsidR="00FF4EBC" w:rsidRPr="00FF4EBC" w:rsidRDefault="00FF4EBC" w:rsidP="00C019E6">
            <w:pPr>
              <w:pStyle w:val="Tabletext"/>
              <w:jc w:val="center"/>
              <w:rPr>
                <w:lang w:val="en-GB"/>
              </w:rPr>
            </w:pPr>
            <w:r w:rsidRPr="00FF4EBC">
              <w:rPr>
                <w:lang w:val="es-ES"/>
              </w:rPr>
              <w:t>13</w:t>
            </w:r>
          </w:p>
        </w:tc>
      </w:tr>
      <w:tr w:rsidR="00FF4EBC" w:rsidRPr="00FF4EBC" w14:paraId="419C36DB"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1A9D841" w14:textId="77777777" w:rsidR="00FF4EBC" w:rsidRPr="00FF4EBC" w:rsidRDefault="00FF4EBC" w:rsidP="00B07FFA">
            <w:pPr>
              <w:pStyle w:val="Tabletext"/>
              <w:rPr>
                <w:lang w:val="en-GB"/>
              </w:rPr>
            </w:pPr>
            <w:r w:rsidRPr="00FF4EBC">
              <w:rPr>
                <w:lang w:val="es-ES"/>
              </w:rPr>
              <w:t>Senegal</w:t>
            </w:r>
          </w:p>
        </w:tc>
        <w:tc>
          <w:tcPr>
            <w:tcW w:w="1900" w:type="dxa"/>
            <w:tcBorders>
              <w:top w:val="nil"/>
              <w:left w:val="single" w:sz="4" w:space="0" w:color="auto"/>
              <w:bottom w:val="nil"/>
              <w:right w:val="single" w:sz="4" w:space="0" w:color="auto"/>
            </w:tcBorders>
            <w:shd w:val="clear" w:color="000000" w:fill="FFFFFF"/>
            <w:noWrap/>
            <w:vAlign w:val="bottom"/>
            <w:hideMark/>
          </w:tcPr>
          <w:p w14:paraId="0BD9E7BF" w14:textId="77777777" w:rsidR="00FF4EBC" w:rsidRPr="00FF4EBC" w:rsidRDefault="00FF4EBC" w:rsidP="00C019E6">
            <w:pPr>
              <w:pStyle w:val="Tabletext"/>
              <w:jc w:val="center"/>
              <w:rPr>
                <w:lang w:val="en-GB"/>
              </w:rPr>
            </w:pPr>
            <w:r w:rsidRPr="00FF4EBC">
              <w:rPr>
                <w:lang w:val="es-ES"/>
              </w:rPr>
              <w:t>1</w:t>
            </w:r>
          </w:p>
        </w:tc>
      </w:tr>
      <w:tr w:rsidR="00FF4EBC" w:rsidRPr="00FF4EBC" w14:paraId="13583DE5"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0F1550D" w14:textId="77777777" w:rsidR="00FF4EBC" w:rsidRPr="00FF4EBC" w:rsidRDefault="00FF4EBC" w:rsidP="00B07FFA">
            <w:pPr>
              <w:pStyle w:val="Tabletext"/>
              <w:rPr>
                <w:lang w:val="en-GB"/>
              </w:rPr>
            </w:pPr>
            <w:r w:rsidRPr="00FF4EBC">
              <w:rPr>
                <w:lang w:val="es-ES"/>
              </w:rPr>
              <w:t>Serbia</w:t>
            </w:r>
          </w:p>
        </w:tc>
        <w:tc>
          <w:tcPr>
            <w:tcW w:w="1900" w:type="dxa"/>
            <w:tcBorders>
              <w:top w:val="nil"/>
              <w:left w:val="single" w:sz="4" w:space="0" w:color="auto"/>
              <w:bottom w:val="nil"/>
              <w:right w:val="single" w:sz="4" w:space="0" w:color="auto"/>
            </w:tcBorders>
            <w:shd w:val="clear" w:color="000000" w:fill="FFFFFF"/>
            <w:noWrap/>
            <w:vAlign w:val="bottom"/>
            <w:hideMark/>
          </w:tcPr>
          <w:p w14:paraId="65589BA7" w14:textId="77777777" w:rsidR="00FF4EBC" w:rsidRPr="00FF4EBC" w:rsidRDefault="00FF4EBC" w:rsidP="00C019E6">
            <w:pPr>
              <w:pStyle w:val="Tabletext"/>
              <w:jc w:val="center"/>
              <w:rPr>
                <w:lang w:val="en-GB"/>
              </w:rPr>
            </w:pPr>
            <w:r w:rsidRPr="00FF4EBC">
              <w:rPr>
                <w:lang w:val="es-ES"/>
              </w:rPr>
              <w:t>1/4</w:t>
            </w:r>
          </w:p>
        </w:tc>
      </w:tr>
      <w:tr w:rsidR="00FF4EBC" w:rsidRPr="00FF4EBC" w14:paraId="5565E01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B4B4712" w14:textId="77777777" w:rsidR="00FF4EBC" w:rsidRPr="00FF4EBC" w:rsidRDefault="00FF4EBC" w:rsidP="00B07FFA">
            <w:pPr>
              <w:pStyle w:val="Tabletext"/>
              <w:rPr>
                <w:lang w:val="en-GB"/>
              </w:rPr>
            </w:pPr>
            <w:r w:rsidRPr="00FF4EBC">
              <w:rPr>
                <w:lang w:val="es-ES"/>
              </w:rPr>
              <w:t xml:space="preserve">Seychelles </w:t>
            </w:r>
          </w:p>
        </w:tc>
        <w:tc>
          <w:tcPr>
            <w:tcW w:w="1900" w:type="dxa"/>
            <w:tcBorders>
              <w:top w:val="nil"/>
              <w:left w:val="single" w:sz="4" w:space="0" w:color="auto"/>
              <w:bottom w:val="nil"/>
              <w:right w:val="single" w:sz="4" w:space="0" w:color="auto"/>
            </w:tcBorders>
            <w:shd w:val="clear" w:color="000000" w:fill="FFFFFF"/>
            <w:noWrap/>
            <w:vAlign w:val="bottom"/>
            <w:hideMark/>
          </w:tcPr>
          <w:p w14:paraId="51F23EF3" w14:textId="77777777" w:rsidR="00FF4EBC" w:rsidRPr="00FF4EBC" w:rsidRDefault="00FF4EBC" w:rsidP="00C019E6">
            <w:pPr>
              <w:pStyle w:val="Tabletext"/>
              <w:jc w:val="center"/>
              <w:rPr>
                <w:lang w:val="en-GB"/>
              </w:rPr>
            </w:pPr>
            <w:r w:rsidRPr="00FF4EBC">
              <w:rPr>
                <w:lang w:val="es-ES"/>
              </w:rPr>
              <w:t>1/16</w:t>
            </w:r>
          </w:p>
        </w:tc>
      </w:tr>
      <w:tr w:rsidR="00FF4EBC" w:rsidRPr="00FF4EBC" w14:paraId="4C23699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051ECAE" w14:textId="77777777" w:rsidR="00FF4EBC" w:rsidRPr="00FF4EBC" w:rsidRDefault="00FF4EBC" w:rsidP="00B07FFA">
            <w:pPr>
              <w:pStyle w:val="Tabletext"/>
              <w:rPr>
                <w:lang w:val="en-GB"/>
              </w:rPr>
            </w:pPr>
            <w:r w:rsidRPr="00FF4EBC">
              <w:rPr>
                <w:lang w:val="es-ES"/>
              </w:rPr>
              <w:t>Sierra Leona</w:t>
            </w:r>
          </w:p>
        </w:tc>
        <w:tc>
          <w:tcPr>
            <w:tcW w:w="1900" w:type="dxa"/>
            <w:tcBorders>
              <w:top w:val="nil"/>
              <w:left w:val="single" w:sz="4" w:space="0" w:color="auto"/>
              <w:bottom w:val="nil"/>
              <w:right w:val="single" w:sz="4" w:space="0" w:color="auto"/>
            </w:tcBorders>
            <w:shd w:val="clear" w:color="000000" w:fill="FFFFFF"/>
            <w:noWrap/>
            <w:vAlign w:val="bottom"/>
            <w:hideMark/>
          </w:tcPr>
          <w:p w14:paraId="21F19665" w14:textId="77777777" w:rsidR="00FF4EBC" w:rsidRPr="00FF4EBC" w:rsidRDefault="00FF4EBC" w:rsidP="00C019E6">
            <w:pPr>
              <w:pStyle w:val="Tabletext"/>
              <w:jc w:val="center"/>
              <w:rPr>
                <w:lang w:val="en-GB"/>
              </w:rPr>
            </w:pPr>
            <w:r w:rsidRPr="00FF4EBC">
              <w:rPr>
                <w:lang w:val="es-ES"/>
              </w:rPr>
              <w:t>1/8</w:t>
            </w:r>
          </w:p>
        </w:tc>
      </w:tr>
      <w:tr w:rsidR="00FF4EBC" w:rsidRPr="00FF4EBC" w14:paraId="7F52126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596E24F" w14:textId="77777777" w:rsidR="00FF4EBC" w:rsidRPr="00FF4EBC" w:rsidRDefault="00FF4EBC" w:rsidP="00B07FFA">
            <w:pPr>
              <w:pStyle w:val="Tabletext"/>
              <w:rPr>
                <w:lang w:val="en-GB"/>
              </w:rPr>
            </w:pPr>
            <w:r w:rsidRPr="00FF4EBC">
              <w:rPr>
                <w:lang w:val="es-ES"/>
              </w:rPr>
              <w:t>Singapur</w:t>
            </w:r>
          </w:p>
        </w:tc>
        <w:tc>
          <w:tcPr>
            <w:tcW w:w="1900" w:type="dxa"/>
            <w:tcBorders>
              <w:top w:val="nil"/>
              <w:left w:val="single" w:sz="4" w:space="0" w:color="auto"/>
              <w:bottom w:val="nil"/>
              <w:right w:val="single" w:sz="4" w:space="0" w:color="auto"/>
            </w:tcBorders>
            <w:shd w:val="clear" w:color="000000" w:fill="FFFFFF"/>
            <w:noWrap/>
            <w:vAlign w:val="bottom"/>
            <w:hideMark/>
          </w:tcPr>
          <w:p w14:paraId="0874AE5E" w14:textId="77777777" w:rsidR="00FF4EBC" w:rsidRPr="00FF4EBC" w:rsidRDefault="00FF4EBC" w:rsidP="00C019E6">
            <w:pPr>
              <w:pStyle w:val="Tabletext"/>
              <w:jc w:val="center"/>
              <w:rPr>
                <w:lang w:val="en-GB"/>
              </w:rPr>
            </w:pPr>
            <w:r w:rsidRPr="00FF4EBC">
              <w:rPr>
                <w:lang w:val="es-ES"/>
              </w:rPr>
              <w:t>1</w:t>
            </w:r>
          </w:p>
        </w:tc>
      </w:tr>
      <w:tr w:rsidR="00FF4EBC" w:rsidRPr="00FF4EBC" w14:paraId="4F31BC7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A99EE57" w14:textId="77777777" w:rsidR="00FF4EBC" w:rsidRPr="00FF4EBC" w:rsidRDefault="00FF4EBC" w:rsidP="00B07FFA">
            <w:pPr>
              <w:pStyle w:val="Tabletext"/>
              <w:rPr>
                <w:lang w:val="en-GB"/>
              </w:rPr>
            </w:pPr>
            <w:r w:rsidRPr="00FF4EBC">
              <w:rPr>
                <w:lang w:val="es-ES"/>
              </w:rPr>
              <w:t>Eslovaquia</w:t>
            </w:r>
          </w:p>
        </w:tc>
        <w:tc>
          <w:tcPr>
            <w:tcW w:w="1900" w:type="dxa"/>
            <w:tcBorders>
              <w:top w:val="nil"/>
              <w:left w:val="single" w:sz="4" w:space="0" w:color="auto"/>
              <w:bottom w:val="nil"/>
              <w:right w:val="single" w:sz="4" w:space="0" w:color="auto"/>
            </w:tcBorders>
            <w:shd w:val="clear" w:color="000000" w:fill="FFFFFF"/>
            <w:vAlign w:val="bottom"/>
            <w:hideMark/>
          </w:tcPr>
          <w:p w14:paraId="4E593421" w14:textId="77777777" w:rsidR="00FF4EBC" w:rsidRPr="00FF4EBC" w:rsidRDefault="00FF4EBC" w:rsidP="00C019E6">
            <w:pPr>
              <w:pStyle w:val="Tabletext"/>
              <w:jc w:val="center"/>
              <w:rPr>
                <w:lang w:val="en-GB"/>
              </w:rPr>
            </w:pPr>
            <w:r w:rsidRPr="00FF4EBC">
              <w:rPr>
                <w:lang w:val="es-ES"/>
              </w:rPr>
              <w:t>1/2</w:t>
            </w:r>
          </w:p>
        </w:tc>
      </w:tr>
      <w:tr w:rsidR="00FF4EBC" w:rsidRPr="00FF4EBC" w14:paraId="3CA03D0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218F3D5" w14:textId="77777777" w:rsidR="00FF4EBC" w:rsidRPr="00FF4EBC" w:rsidRDefault="00FF4EBC" w:rsidP="00B07FFA">
            <w:pPr>
              <w:pStyle w:val="Tabletext"/>
              <w:rPr>
                <w:lang w:val="en-GB"/>
              </w:rPr>
            </w:pPr>
            <w:r w:rsidRPr="00FF4EBC">
              <w:rPr>
                <w:lang w:val="es-ES"/>
              </w:rPr>
              <w:t>Eslovenia</w:t>
            </w:r>
          </w:p>
        </w:tc>
        <w:tc>
          <w:tcPr>
            <w:tcW w:w="1900" w:type="dxa"/>
            <w:tcBorders>
              <w:top w:val="nil"/>
              <w:left w:val="single" w:sz="4" w:space="0" w:color="auto"/>
              <w:bottom w:val="nil"/>
              <w:right w:val="single" w:sz="4" w:space="0" w:color="auto"/>
            </w:tcBorders>
            <w:shd w:val="clear" w:color="000000" w:fill="FFFFFF"/>
            <w:vAlign w:val="bottom"/>
            <w:hideMark/>
          </w:tcPr>
          <w:p w14:paraId="524F05D9" w14:textId="77777777" w:rsidR="00FF4EBC" w:rsidRPr="00FF4EBC" w:rsidRDefault="00FF4EBC" w:rsidP="00C019E6">
            <w:pPr>
              <w:pStyle w:val="Tabletext"/>
              <w:jc w:val="center"/>
              <w:rPr>
                <w:lang w:val="en-GB"/>
              </w:rPr>
            </w:pPr>
            <w:r w:rsidRPr="00FF4EBC">
              <w:rPr>
                <w:lang w:val="es-ES"/>
              </w:rPr>
              <w:t>1/4</w:t>
            </w:r>
          </w:p>
        </w:tc>
      </w:tr>
      <w:tr w:rsidR="00FF4EBC" w:rsidRPr="00FF4EBC" w14:paraId="50604E0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A515422" w14:textId="1565F1F7" w:rsidR="00FF4EBC" w:rsidRPr="00FF4EBC" w:rsidRDefault="00FF4EBC" w:rsidP="00B07FFA">
            <w:pPr>
              <w:pStyle w:val="Tabletext"/>
              <w:rPr>
                <w:lang w:val="en-GB"/>
              </w:rPr>
            </w:pPr>
            <w:r w:rsidRPr="00FF4EBC">
              <w:rPr>
                <w:lang w:val="es-ES"/>
              </w:rPr>
              <w:t>Salomón</w:t>
            </w:r>
            <w:r w:rsidR="005B06AE">
              <w:rPr>
                <w:lang w:val="es-ES"/>
              </w:rPr>
              <w:t xml:space="preserve"> (</w:t>
            </w:r>
            <w:r w:rsidR="005B06AE" w:rsidRPr="00FF4EBC">
              <w:rPr>
                <w:lang w:val="es-ES"/>
              </w:rPr>
              <w:t>Islas</w:t>
            </w:r>
            <w:r w:rsidR="005B06AE">
              <w:rPr>
                <w:lang w:val="es-ES"/>
              </w:rPr>
              <w:t>)</w:t>
            </w:r>
          </w:p>
        </w:tc>
        <w:tc>
          <w:tcPr>
            <w:tcW w:w="1900" w:type="dxa"/>
            <w:tcBorders>
              <w:top w:val="nil"/>
              <w:left w:val="single" w:sz="4" w:space="0" w:color="auto"/>
              <w:bottom w:val="nil"/>
              <w:right w:val="single" w:sz="4" w:space="0" w:color="auto"/>
            </w:tcBorders>
            <w:shd w:val="clear" w:color="000000" w:fill="FFFFFF"/>
            <w:noWrap/>
            <w:vAlign w:val="bottom"/>
            <w:hideMark/>
          </w:tcPr>
          <w:p w14:paraId="4D159775" w14:textId="77777777" w:rsidR="00FF4EBC" w:rsidRPr="00FF4EBC" w:rsidRDefault="00FF4EBC" w:rsidP="00C019E6">
            <w:pPr>
              <w:pStyle w:val="Tabletext"/>
              <w:jc w:val="center"/>
              <w:rPr>
                <w:lang w:val="en-GB"/>
              </w:rPr>
            </w:pPr>
            <w:r w:rsidRPr="00FF4EBC">
              <w:rPr>
                <w:lang w:val="es-ES"/>
              </w:rPr>
              <w:t>1/16</w:t>
            </w:r>
          </w:p>
        </w:tc>
      </w:tr>
      <w:tr w:rsidR="00FF4EBC" w:rsidRPr="00FF4EBC" w14:paraId="26FD0B8A"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99F2DCE" w14:textId="77777777" w:rsidR="00FF4EBC" w:rsidRPr="00FF4EBC" w:rsidRDefault="00FF4EBC" w:rsidP="00B07FFA">
            <w:pPr>
              <w:pStyle w:val="Tabletext"/>
              <w:rPr>
                <w:lang w:val="en-GB"/>
              </w:rPr>
            </w:pPr>
            <w:r w:rsidRPr="00FF4EBC">
              <w:rPr>
                <w:lang w:val="es-ES"/>
              </w:rPr>
              <w:t>Somalia</w:t>
            </w:r>
          </w:p>
        </w:tc>
        <w:tc>
          <w:tcPr>
            <w:tcW w:w="1900" w:type="dxa"/>
            <w:tcBorders>
              <w:top w:val="nil"/>
              <w:left w:val="single" w:sz="4" w:space="0" w:color="auto"/>
              <w:bottom w:val="nil"/>
              <w:right w:val="single" w:sz="4" w:space="0" w:color="auto"/>
            </w:tcBorders>
            <w:shd w:val="clear" w:color="000000" w:fill="FFFFFF"/>
            <w:noWrap/>
            <w:vAlign w:val="bottom"/>
            <w:hideMark/>
          </w:tcPr>
          <w:p w14:paraId="0AACEC97" w14:textId="77777777" w:rsidR="00FF4EBC" w:rsidRPr="00FF4EBC" w:rsidRDefault="00FF4EBC" w:rsidP="00C019E6">
            <w:pPr>
              <w:pStyle w:val="Tabletext"/>
              <w:jc w:val="center"/>
              <w:rPr>
                <w:lang w:val="en-GB"/>
              </w:rPr>
            </w:pPr>
            <w:r w:rsidRPr="00FF4EBC">
              <w:rPr>
                <w:lang w:val="es-ES"/>
              </w:rPr>
              <w:t>1/16</w:t>
            </w:r>
          </w:p>
        </w:tc>
      </w:tr>
      <w:tr w:rsidR="00FF4EBC" w:rsidRPr="00FF4EBC" w14:paraId="6CDBE84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4B066D4" w14:textId="77777777" w:rsidR="00FF4EBC" w:rsidRPr="00FF4EBC" w:rsidRDefault="00FF4EBC" w:rsidP="00B07FFA">
            <w:pPr>
              <w:pStyle w:val="Tabletext"/>
              <w:rPr>
                <w:lang w:val="en-GB"/>
              </w:rPr>
            </w:pPr>
            <w:r w:rsidRPr="00FF4EBC">
              <w:rPr>
                <w:lang w:val="es-ES"/>
              </w:rPr>
              <w:t>Sudáfrica</w:t>
            </w:r>
          </w:p>
        </w:tc>
        <w:tc>
          <w:tcPr>
            <w:tcW w:w="1900" w:type="dxa"/>
            <w:tcBorders>
              <w:top w:val="nil"/>
              <w:left w:val="single" w:sz="4" w:space="0" w:color="auto"/>
              <w:bottom w:val="nil"/>
              <w:right w:val="single" w:sz="4" w:space="0" w:color="auto"/>
            </w:tcBorders>
            <w:shd w:val="clear" w:color="000000" w:fill="FFFFFF"/>
            <w:noWrap/>
            <w:vAlign w:val="bottom"/>
            <w:hideMark/>
          </w:tcPr>
          <w:p w14:paraId="0E65A79D" w14:textId="77777777" w:rsidR="00FF4EBC" w:rsidRPr="00FF4EBC" w:rsidRDefault="00FF4EBC" w:rsidP="00C019E6">
            <w:pPr>
              <w:pStyle w:val="Tabletext"/>
              <w:jc w:val="center"/>
              <w:rPr>
                <w:lang w:val="en-GB"/>
              </w:rPr>
            </w:pPr>
            <w:r w:rsidRPr="00FF4EBC">
              <w:rPr>
                <w:lang w:val="es-ES"/>
              </w:rPr>
              <w:t>4</w:t>
            </w:r>
          </w:p>
        </w:tc>
      </w:tr>
      <w:tr w:rsidR="00FF4EBC" w:rsidRPr="00FF4EBC" w14:paraId="0ACA8689" w14:textId="77777777" w:rsidTr="006B3294">
        <w:trPr>
          <w:cantSplit/>
          <w:jc w:val="center"/>
        </w:trPr>
        <w:tc>
          <w:tcPr>
            <w:tcW w:w="4180" w:type="dxa"/>
            <w:tcBorders>
              <w:top w:val="nil"/>
              <w:left w:val="single" w:sz="4" w:space="0" w:color="auto"/>
              <w:right w:val="single" w:sz="4" w:space="0" w:color="auto"/>
            </w:tcBorders>
            <w:shd w:val="clear" w:color="000000" w:fill="FFFFFF"/>
            <w:vAlign w:val="bottom"/>
            <w:hideMark/>
          </w:tcPr>
          <w:p w14:paraId="4B6AFF7A" w14:textId="77777777" w:rsidR="00FF4EBC" w:rsidRPr="00FF4EBC" w:rsidRDefault="00FF4EBC" w:rsidP="00B07FFA">
            <w:pPr>
              <w:pStyle w:val="Tabletext"/>
              <w:rPr>
                <w:lang w:val="en-GB"/>
              </w:rPr>
            </w:pPr>
            <w:r w:rsidRPr="00FF4EBC">
              <w:rPr>
                <w:lang w:val="es-ES"/>
              </w:rPr>
              <w:t>Sudán del Sur</w:t>
            </w:r>
          </w:p>
        </w:tc>
        <w:tc>
          <w:tcPr>
            <w:tcW w:w="1900" w:type="dxa"/>
            <w:tcBorders>
              <w:top w:val="nil"/>
              <w:left w:val="single" w:sz="4" w:space="0" w:color="auto"/>
              <w:right w:val="single" w:sz="4" w:space="0" w:color="auto"/>
            </w:tcBorders>
            <w:shd w:val="clear" w:color="000000" w:fill="FFFFFF"/>
            <w:noWrap/>
            <w:vAlign w:val="bottom"/>
            <w:hideMark/>
          </w:tcPr>
          <w:p w14:paraId="62D7C5C2" w14:textId="77777777" w:rsidR="00FF4EBC" w:rsidRPr="00FF4EBC" w:rsidRDefault="00FF4EBC" w:rsidP="00C019E6">
            <w:pPr>
              <w:pStyle w:val="Tabletext"/>
              <w:jc w:val="center"/>
              <w:rPr>
                <w:lang w:val="en-GB"/>
              </w:rPr>
            </w:pPr>
            <w:r w:rsidRPr="00FF4EBC">
              <w:rPr>
                <w:lang w:val="es-ES"/>
              </w:rPr>
              <w:t>1/16</w:t>
            </w:r>
          </w:p>
        </w:tc>
      </w:tr>
      <w:tr w:rsidR="00FF4EBC" w:rsidRPr="00FF4EBC" w14:paraId="69767F1F" w14:textId="77777777" w:rsidTr="006B3294">
        <w:trPr>
          <w:cantSplit/>
          <w:jc w:val="center"/>
        </w:trPr>
        <w:tc>
          <w:tcPr>
            <w:tcW w:w="4180" w:type="dxa"/>
            <w:tcBorders>
              <w:top w:val="nil"/>
              <w:left w:val="single" w:sz="4" w:space="0" w:color="auto"/>
              <w:right w:val="single" w:sz="4" w:space="0" w:color="auto"/>
            </w:tcBorders>
            <w:shd w:val="clear" w:color="000000" w:fill="FFFFFF"/>
            <w:vAlign w:val="bottom"/>
            <w:hideMark/>
          </w:tcPr>
          <w:p w14:paraId="1697EE32" w14:textId="77777777" w:rsidR="00FF4EBC" w:rsidRPr="00FF4EBC" w:rsidRDefault="00FF4EBC" w:rsidP="00B07FFA">
            <w:pPr>
              <w:pStyle w:val="Tabletext"/>
              <w:rPr>
                <w:lang w:val="en-GB"/>
              </w:rPr>
            </w:pPr>
            <w:r w:rsidRPr="00FF4EBC">
              <w:rPr>
                <w:lang w:val="es-ES"/>
              </w:rPr>
              <w:t xml:space="preserve">España </w:t>
            </w:r>
          </w:p>
        </w:tc>
        <w:tc>
          <w:tcPr>
            <w:tcW w:w="1900" w:type="dxa"/>
            <w:tcBorders>
              <w:top w:val="nil"/>
              <w:left w:val="single" w:sz="4" w:space="0" w:color="auto"/>
              <w:right w:val="single" w:sz="4" w:space="0" w:color="auto"/>
            </w:tcBorders>
            <w:shd w:val="clear" w:color="000000" w:fill="FFFFFF"/>
            <w:noWrap/>
            <w:vAlign w:val="bottom"/>
            <w:hideMark/>
          </w:tcPr>
          <w:p w14:paraId="5D999F06" w14:textId="77777777" w:rsidR="00FF4EBC" w:rsidRPr="00FF4EBC" w:rsidRDefault="00FF4EBC" w:rsidP="00C019E6">
            <w:pPr>
              <w:pStyle w:val="Tabletext"/>
              <w:jc w:val="center"/>
              <w:rPr>
                <w:lang w:val="en-GB"/>
              </w:rPr>
            </w:pPr>
            <w:r w:rsidRPr="00FF4EBC">
              <w:rPr>
                <w:lang w:val="es-ES"/>
              </w:rPr>
              <w:t>6</w:t>
            </w:r>
          </w:p>
        </w:tc>
      </w:tr>
      <w:tr w:rsidR="00FF4EBC" w:rsidRPr="00FF4EBC" w14:paraId="09786829" w14:textId="77777777" w:rsidTr="006B3294">
        <w:trPr>
          <w:cantSplit/>
          <w:jc w:val="center"/>
        </w:trPr>
        <w:tc>
          <w:tcPr>
            <w:tcW w:w="4180" w:type="dxa"/>
            <w:tcBorders>
              <w:left w:val="single" w:sz="4" w:space="0" w:color="auto"/>
              <w:bottom w:val="nil"/>
              <w:right w:val="single" w:sz="4" w:space="0" w:color="auto"/>
            </w:tcBorders>
            <w:shd w:val="clear" w:color="000000" w:fill="FFFFFF"/>
            <w:vAlign w:val="bottom"/>
            <w:hideMark/>
          </w:tcPr>
          <w:p w14:paraId="01F7AF38" w14:textId="77777777" w:rsidR="00FF4EBC" w:rsidRPr="00FF4EBC" w:rsidRDefault="00FF4EBC" w:rsidP="00B07FFA">
            <w:pPr>
              <w:pStyle w:val="Tabletext"/>
              <w:rPr>
                <w:lang w:val="en-GB"/>
              </w:rPr>
            </w:pPr>
            <w:r w:rsidRPr="00FF4EBC">
              <w:rPr>
                <w:lang w:val="es-ES"/>
              </w:rPr>
              <w:t>Sri Lanka</w:t>
            </w:r>
          </w:p>
        </w:tc>
        <w:tc>
          <w:tcPr>
            <w:tcW w:w="1900" w:type="dxa"/>
            <w:tcBorders>
              <w:left w:val="single" w:sz="4" w:space="0" w:color="auto"/>
              <w:bottom w:val="nil"/>
              <w:right w:val="single" w:sz="4" w:space="0" w:color="auto"/>
            </w:tcBorders>
            <w:shd w:val="clear" w:color="000000" w:fill="FFFFFF"/>
            <w:noWrap/>
            <w:vAlign w:val="bottom"/>
            <w:hideMark/>
          </w:tcPr>
          <w:p w14:paraId="16099A7D" w14:textId="77777777" w:rsidR="00FF4EBC" w:rsidRPr="00FF4EBC" w:rsidRDefault="00FF4EBC" w:rsidP="00C019E6">
            <w:pPr>
              <w:pStyle w:val="Tabletext"/>
              <w:jc w:val="center"/>
              <w:rPr>
                <w:lang w:val="en-GB"/>
              </w:rPr>
            </w:pPr>
            <w:r w:rsidRPr="00FF4EBC">
              <w:rPr>
                <w:lang w:val="es-ES"/>
              </w:rPr>
              <w:t>1/4</w:t>
            </w:r>
          </w:p>
        </w:tc>
      </w:tr>
      <w:tr w:rsidR="00FF4EBC" w:rsidRPr="00FF4EBC" w14:paraId="0EACD837"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B40A098" w14:textId="77777777" w:rsidR="00FF4EBC" w:rsidRPr="00FF4EBC" w:rsidRDefault="00FF4EBC" w:rsidP="00B07FFA">
            <w:pPr>
              <w:pStyle w:val="Tabletext"/>
              <w:rPr>
                <w:lang w:val="en-GB"/>
              </w:rPr>
            </w:pPr>
            <w:r w:rsidRPr="00FF4EBC">
              <w:rPr>
                <w:lang w:val="es-ES"/>
              </w:rPr>
              <w:lastRenderedPageBreak/>
              <w:t>Sudán</w:t>
            </w:r>
          </w:p>
        </w:tc>
        <w:tc>
          <w:tcPr>
            <w:tcW w:w="1900" w:type="dxa"/>
            <w:tcBorders>
              <w:top w:val="nil"/>
              <w:left w:val="single" w:sz="4" w:space="0" w:color="auto"/>
              <w:bottom w:val="nil"/>
              <w:right w:val="single" w:sz="4" w:space="0" w:color="auto"/>
            </w:tcBorders>
            <w:shd w:val="clear" w:color="000000" w:fill="FFFFFF"/>
            <w:noWrap/>
            <w:vAlign w:val="bottom"/>
            <w:hideMark/>
          </w:tcPr>
          <w:p w14:paraId="295DCDCC" w14:textId="77777777" w:rsidR="00FF4EBC" w:rsidRPr="00FF4EBC" w:rsidRDefault="00FF4EBC" w:rsidP="00C019E6">
            <w:pPr>
              <w:pStyle w:val="Tabletext"/>
              <w:jc w:val="center"/>
              <w:rPr>
                <w:lang w:val="en-GB"/>
              </w:rPr>
            </w:pPr>
            <w:r w:rsidRPr="00FF4EBC">
              <w:rPr>
                <w:lang w:val="es-ES"/>
              </w:rPr>
              <w:t>1/16</w:t>
            </w:r>
          </w:p>
        </w:tc>
      </w:tr>
      <w:tr w:rsidR="00FF4EBC" w:rsidRPr="00FF4EBC" w14:paraId="1A0749E1"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7EF65F0" w14:textId="77777777" w:rsidR="00FF4EBC" w:rsidRPr="00FF4EBC" w:rsidRDefault="00FF4EBC" w:rsidP="00B07FFA">
            <w:pPr>
              <w:pStyle w:val="Tabletext"/>
              <w:rPr>
                <w:lang w:val="en-GB"/>
              </w:rPr>
            </w:pPr>
            <w:proofErr w:type="spellStart"/>
            <w:r w:rsidRPr="00FF4EBC">
              <w:rPr>
                <w:lang w:val="es-ES"/>
              </w:rPr>
              <w:t>Suriname</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56266541" w14:textId="77777777" w:rsidR="00FF4EBC" w:rsidRPr="00FF4EBC" w:rsidRDefault="00FF4EBC" w:rsidP="00C019E6">
            <w:pPr>
              <w:pStyle w:val="Tabletext"/>
              <w:jc w:val="center"/>
              <w:rPr>
                <w:lang w:val="en-GB"/>
              </w:rPr>
            </w:pPr>
            <w:r w:rsidRPr="00FF4EBC">
              <w:rPr>
                <w:lang w:val="es-ES"/>
              </w:rPr>
              <w:t>1/4</w:t>
            </w:r>
          </w:p>
        </w:tc>
      </w:tr>
      <w:tr w:rsidR="00FF4EBC" w:rsidRPr="00FF4EBC" w14:paraId="6F3239B7"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4A9F95B" w14:textId="77777777" w:rsidR="00FF4EBC" w:rsidRPr="00FF4EBC" w:rsidRDefault="00FF4EBC" w:rsidP="00B07FFA">
            <w:pPr>
              <w:pStyle w:val="Tabletext"/>
              <w:rPr>
                <w:lang w:val="en-GB"/>
              </w:rPr>
            </w:pPr>
            <w:r w:rsidRPr="00FF4EBC">
              <w:rPr>
                <w:lang w:val="es-ES"/>
              </w:rPr>
              <w:t>Suecia</w:t>
            </w:r>
          </w:p>
        </w:tc>
        <w:tc>
          <w:tcPr>
            <w:tcW w:w="1900" w:type="dxa"/>
            <w:tcBorders>
              <w:top w:val="nil"/>
              <w:left w:val="single" w:sz="4" w:space="0" w:color="auto"/>
              <w:bottom w:val="nil"/>
              <w:right w:val="single" w:sz="4" w:space="0" w:color="auto"/>
            </w:tcBorders>
            <w:shd w:val="clear" w:color="000000" w:fill="FFFFFF"/>
            <w:noWrap/>
            <w:vAlign w:val="bottom"/>
            <w:hideMark/>
          </w:tcPr>
          <w:p w14:paraId="27CFEFE0" w14:textId="77777777" w:rsidR="00FF4EBC" w:rsidRPr="00FF4EBC" w:rsidRDefault="00FF4EBC" w:rsidP="00C019E6">
            <w:pPr>
              <w:pStyle w:val="Tabletext"/>
              <w:jc w:val="center"/>
              <w:rPr>
                <w:lang w:val="en-GB"/>
              </w:rPr>
            </w:pPr>
            <w:r w:rsidRPr="00FF4EBC">
              <w:rPr>
                <w:lang w:val="es-ES"/>
              </w:rPr>
              <w:t>4</w:t>
            </w:r>
          </w:p>
        </w:tc>
      </w:tr>
      <w:tr w:rsidR="00FF4EBC" w:rsidRPr="00FF4EBC" w14:paraId="583B5E5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4DD1D69" w14:textId="77777777" w:rsidR="00FF4EBC" w:rsidRPr="00FF4EBC" w:rsidRDefault="00FF4EBC" w:rsidP="00B07FFA">
            <w:pPr>
              <w:pStyle w:val="Tabletext"/>
              <w:rPr>
                <w:lang w:val="en-GB"/>
              </w:rPr>
            </w:pPr>
            <w:r w:rsidRPr="00FF4EBC">
              <w:rPr>
                <w:lang w:val="es-ES"/>
              </w:rPr>
              <w:t>Suiza</w:t>
            </w:r>
          </w:p>
        </w:tc>
        <w:tc>
          <w:tcPr>
            <w:tcW w:w="1900" w:type="dxa"/>
            <w:tcBorders>
              <w:top w:val="nil"/>
              <w:left w:val="single" w:sz="4" w:space="0" w:color="auto"/>
              <w:bottom w:val="nil"/>
              <w:right w:val="single" w:sz="4" w:space="0" w:color="auto"/>
            </w:tcBorders>
            <w:shd w:val="clear" w:color="000000" w:fill="FFFFFF"/>
            <w:noWrap/>
            <w:vAlign w:val="bottom"/>
            <w:hideMark/>
          </w:tcPr>
          <w:p w14:paraId="61BE2FC4" w14:textId="77777777" w:rsidR="00FF4EBC" w:rsidRPr="00FF4EBC" w:rsidRDefault="00FF4EBC" w:rsidP="00C019E6">
            <w:pPr>
              <w:pStyle w:val="Tabletext"/>
              <w:jc w:val="center"/>
              <w:rPr>
                <w:lang w:val="en-GB"/>
              </w:rPr>
            </w:pPr>
            <w:r w:rsidRPr="00FF4EBC">
              <w:rPr>
                <w:lang w:val="es-ES"/>
              </w:rPr>
              <w:t>10</w:t>
            </w:r>
          </w:p>
        </w:tc>
      </w:tr>
      <w:tr w:rsidR="00FF4EBC" w:rsidRPr="00FF4EBC" w14:paraId="388BC15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89E741C" w14:textId="77777777" w:rsidR="00FF4EBC" w:rsidRPr="00FF4EBC" w:rsidRDefault="00FF4EBC" w:rsidP="00B07FFA">
            <w:pPr>
              <w:pStyle w:val="Tabletext"/>
              <w:rPr>
                <w:lang w:val="en-GB"/>
              </w:rPr>
            </w:pPr>
            <w:r w:rsidRPr="00FF4EBC">
              <w:rPr>
                <w:lang w:val="es-ES"/>
              </w:rPr>
              <w:t>República Árabe Siria</w:t>
            </w:r>
          </w:p>
        </w:tc>
        <w:tc>
          <w:tcPr>
            <w:tcW w:w="1900" w:type="dxa"/>
            <w:tcBorders>
              <w:top w:val="nil"/>
              <w:left w:val="single" w:sz="4" w:space="0" w:color="auto"/>
              <w:bottom w:val="nil"/>
              <w:right w:val="single" w:sz="4" w:space="0" w:color="auto"/>
            </w:tcBorders>
            <w:shd w:val="clear" w:color="000000" w:fill="FFFFFF"/>
            <w:noWrap/>
            <w:vAlign w:val="bottom"/>
            <w:hideMark/>
          </w:tcPr>
          <w:p w14:paraId="71D94DD4" w14:textId="77777777" w:rsidR="00FF4EBC" w:rsidRPr="00FF4EBC" w:rsidRDefault="00FF4EBC" w:rsidP="00C019E6">
            <w:pPr>
              <w:pStyle w:val="Tabletext"/>
              <w:jc w:val="center"/>
              <w:rPr>
                <w:lang w:val="en-GB"/>
              </w:rPr>
            </w:pPr>
            <w:r w:rsidRPr="00FF4EBC">
              <w:rPr>
                <w:lang w:val="es-ES"/>
              </w:rPr>
              <w:t>1/4</w:t>
            </w:r>
          </w:p>
        </w:tc>
      </w:tr>
      <w:tr w:rsidR="00FF4EBC" w:rsidRPr="00FF4EBC" w14:paraId="7E77451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485F6A8" w14:textId="77777777" w:rsidR="00FF4EBC" w:rsidRPr="00FF4EBC" w:rsidRDefault="00FF4EBC" w:rsidP="00B07FFA">
            <w:pPr>
              <w:pStyle w:val="Tabletext"/>
              <w:rPr>
                <w:lang w:val="en-GB"/>
              </w:rPr>
            </w:pPr>
            <w:r w:rsidRPr="00FF4EBC">
              <w:rPr>
                <w:lang w:val="es-ES"/>
              </w:rPr>
              <w:t>Tayikistán</w:t>
            </w:r>
          </w:p>
        </w:tc>
        <w:tc>
          <w:tcPr>
            <w:tcW w:w="1900" w:type="dxa"/>
            <w:tcBorders>
              <w:top w:val="nil"/>
              <w:left w:val="single" w:sz="4" w:space="0" w:color="auto"/>
              <w:bottom w:val="nil"/>
              <w:right w:val="single" w:sz="4" w:space="0" w:color="auto"/>
            </w:tcBorders>
            <w:shd w:val="clear" w:color="000000" w:fill="FFFFFF"/>
            <w:noWrap/>
            <w:vAlign w:val="bottom"/>
            <w:hideMark/>
          </w:tcPr>
          <w:p w14:paraId="02547E20" w14:textId="77777777" w:rsidR="00FF4EBC" w:rsidRPr="00FF4EBC" w:rsidRDefault="00FF4EBC" w:rsidP="00C019E6">
            <w:pPr>
              <w:pStyle w:val="Tabletext"/>
              <w:jc w:val="center"/>
              <w:rPr>
                <w:lang w:val="en-GB"/>
              </w:rPr>
            </w:pPr>
            <w:r w:rsidRPr="00FF4EBC">
              <w:rPr>
                <w:lang w:val="es-ES"/>
              </w:rPr>
              <w:t>1/16</w:t>
            </w:r>
          </w:p>
        </w:tc>
      </w:tr>
      <w:tr w:rsidR="00FF4EBC" w:rsidRPr="00FF4EBC" w14:paraId="2C613D47"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0A2C81F" w14:textId="77777777" w:rsidR="00FF4EBC" w:rsidRPr="00FF4EBC" w:rsidRDefault="00FF4EBC" w:rsidP="00B07FFA">
            <w:pPr>
              <w:pStyle w:val="Tabletext"/>
              <w:rPr>
                <w:lang w:val="en-GB"/>
              </w:rPr>
            </w:pPr>
            <w:proofErr w:type="spellStart"/>
            <w:r w:rsidRPr="00FF4EBC">
              <w:rPr>
                <w:lang w:val="es-ES"/>
              </w:rPr>
              <w:t>Tanzanía</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3FE4175E" w14:textId="77777777" w:rsidR="00FF4EBC" w:rsidRPr="00FF4EBC" w:rsidRDefault="00FF4EBC" w:rsidP="00C019E6">
            <w:pPr>
              <w:pStyle w:val="Tabletext"/>
              <w:jc w:val="center"/>
              <w:rPr>
                <w:lang w:val="en-GB"/>
              </w:rPr>
            </w:pPr>
            <w:r w:rsidRPr="00FF4EBC">
              <w:rPr>
                <w:lang w:val="es-ES"/>
              </w:rPr>
              <w:t>1/4</w:t>
            </w:r>
          </w:p>
        </w:tc>
      </w:tr>
      <w:tr w:rsidR="00FF4EBC" w:rsidRPr="00FF4EBC" w14:paraId="05A30570"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9789540" w14:textId="77777777" w:rsidR="00FF4EBC" w:rsidRPr="00FF4EBC" w:rsidRDefault="00FF4EBC" w:rsidP="00B07FFA">
            <w:pPr>
              <w:pStyle w:val="Tabletext"/>
              <w:rPr>
                <w:lang w:val="en-GB"/>
              </w:rPr>
            </w:pPr>
            <w:r w:rsidRPr="00FF4EBC">
              <w:rPr>
                <w:lang w:val="es-ES"/>
              </w:rPr>
              <w:t>Tailandia</w:t>
            </w:r>
          </w:p>
        </w:tc>
        <w:tc>
          <w:tcPr>
            <w:tcW w:w="1900" w:type="dxa"/>
            <w:tcBorders>
              <w:top w:val="nil"/>
              <w:left w:val="single" w:sz="4" w:space="0" w:color="auto"/>
              <w:bottom w:val="nil"/>
              <w:right w:val="single" w:sz="4" w:space="0" w:color="auto"/>
            </w:tcBorders>
            <w:shd w:val="clear" w:color="000000" w:fill="FFFFFF"/>
            <w:noWrap/>
            <w:vAlign w:val="bottom"/>
            <w:hideMark/>
          </w:tcPr>
          <w:p w14:paraId="12028488" w14:textId="17A0A2A5" w:rsidR="00FF4EBC" w:rsidRPr="00FF4EBC" w:rsidRDefault="00FF4EBC" w:rsidP="00C019E6">
            <w:pPr>
              <w:pStyle w:val="Tabletext"/>
              <w:jc w:val="center"/>
              <w:rPr>
                <w:lang w:val="en-GB"/>
              </w:rPr>
            </w:pPr>
            <w:r w:rsidRPr="00FF4EBC">
              <w:rPr>
                <w:lang w:val="es-ES"/>
              </w:rPr>
              <w:t>1 1/2</w:t>
            </w:r>
          </w:p>
        </w:tc>
      </w:tr>
      <w:tr w:rsidR="00FF4EBC" w:rsidRPr="00FF4EBC" w14:paraId="23DC8EB0"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A145DB9" w14:textId="77777777" w:rsidR="00FF4EBC" w:rsidRPr="00FF4EBC" w:rsidRDefault="00FF4EBC" w:rsidP="00B07FFA">
            <w:pPr>
              <w:pStyle w:val="Tabletext"/>
              <w:rPr>
                <w:lang w:val="en-GB"/>
              </w:rPr>
            </w:pPr>
            <w:r w:rsidRPr="00FF4EBC">
              <w:rPr>
                <w:lang w:val="es-ES"/>
              </w:rPr>
              <w:t>Timor-Leste</w:t>
            </w:r>
          </w:p>
        </w:tc>
        <w:tc>
          <w:tcPr>
            <w:tcW w:w="1900" w:type="dxa"/>
            <w:tcBorders>
              <w:top w:val="nil"/>
              <w:left w:val="single" w:sz="4" w:space="0" w:color="auto"/>
              <w:bottom w:val="nil"/>
              <w:right w:val="single" w:sz="4" w:space="0" w:color="auto"/>
            </w:tcBorders>
            <w:shd w:val="clear" w:color="000000" w:fill="FFFFFF"/>
            <w:noWrap/>
            <w:vAlign w:val="bottom"/>
            <w:hideMark/>
          </w:tcPr>
          <w:p w14:paraId="5A5C5959" w14:textId="77777777" w:rsidR="00FF4EBC" w:rsidRPr="00FF4EBC" w:rsidRDefault="00FF4EBC" w:rsidP="00C019E6">
            <w:pPr>
              <w:pStyle w:val="Tabletext"/>
              <w:jc w:val="center"/>
              <w:rPr>
                <w:lang w:val="en-GB"/>
              </w:rPr>
            </w:pPr>
            <w:r w:rsidRPr="00FF4EBC">
              <w:rPr>
                <w:lang w:val="es-ES"/>
              </w:rPr>
              <w:t>1/16</w:t>
            </w:r>
          </w:p>
        </w:tc>
      </w:tr>
      <w:tr w:rsidR="00FF4EBC" w:rsidRPr="00FF4EBC" w14:paraId="47A5FF36"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F5ACA3B" w14:textId="77777777" w:rsidR="00FF4EBC" w:rsidRPr="00FF4EBC" w:rsidRDefault="00FF4EBC" w:rsidP="00B07FFA">
            <w:pPr>
              <w:pStyle w:val="Tabletext"/>
              <w:rPr>
                <w:lang w:val="en-GB"/>
              </w:rPr>
            </w:pPr>
            <w:r w:rsidRPr="00FF4EBC">
              <w:rPr>
                <w:lang w:val="es-ES"/>
              </w:rPr>
              <w:t>Togo</w:t>
            </w:r>
          </w:p>
        </w:tc>
        <w:tc>
          <w:tcPr>
            <w:tcW w:w="1900" w:type="dxa"/>
            <w:tcBorders>
              <w:top w:val="nil"/>
              <w:left w:val="single" w:sz="4" w:space="0" w:color="auto"/>
              <w:bottom w:val="nil"/>
              <w:right w:val="single" w:sz="4" w:space="0" w:color="auto"/>
            </w:tcBorders>
            <w:shd w:val="clear" w:color="000000" w:fill="FFFFFF"/>
            <w:noWrap/>
            <w:vAlign w:val="bottom"/>
            <w:hideMark/>
          </w:tcPr>
          <w:p w14:paraId="390D2089" w14:textId="77777777" w:rsidR="00FF4EBC" w:rsidRPr="00FF4EBC" w:rsidRDefault="00FF4EBC" w:rsidP="00C019E6">
            <w:pPr>
              <w:pStyle w:val="Tabletext"/>
              <w:jc w:val="center"/>
              <w:rPr>
                <w:lang w:val="en-GB"/>
              </w:rPr>
            </w:pPr>
            <w:r w:rsidRPr="00FF4EBC">
              <w:rPr>
                <w:lang w:val="es-ES"/>
              </w:rPr>
              <w:t>1/4</w:t>
            </w:r>
          </w:p>
        </w:tc>
      </w:tr>
      <w:tr w:rsidR="00FF4EBC" w:rsidRPr="00FF4EBC" w14:paraId="27B71D2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63C937B" w14:textId="77777777" w:rsidR="00FF4EBC" w:rsidRPr="00FF4EBC" w:rsidRDefault="00FF4EBC" w:rsidP="00B07FFA">
            <w:pPr>
              <w:pStyle w:val="Tabletext"/>
              <w:rPr>
                <w:lang w:val="en-GB"/>
              </w:rPr>
            </w:pPr>
            <w:r w:rsidRPr="00FF4EBC">
              <w:rPr>
                <w:lang w:val="es-ES"/>
              </w:rPr>
              <w:t>Tonga</w:t>
            </w:r>
          </w:p>
        </w:tc>
        <w:tc>
          <w:tcPr>
            <w:tcW w:w="1900" w:type="dxa"/>
            <w:tcBorders>
              <w:top w:val="nil"/>
              <w:left w:val="single" w:sz="4" w:space="0" w:color="auto"/>
              <w:bottom w:val="nil"/>
              <w:right w:val="single" w:sz="4" w:space="0" w:color="auto"/>
            </w:tcBorders>
            <w:shd w:val="clear" w:color="000000" w:fill="FFFFFF"/>
            <w:noWrap/>
            <w:vAlign w:val="bottom"/>
            <w:hideMark/>
          </w:tcPr>
          <w:p w14:paraId="1CF2BFDC" w14:textId="77777777" w:rsidR="00FF4EBC" w:rsidRPr="00FF4EBC" w:rsidRDefault="00FF4EBC" w:rsidP="00C019E6">
            <w:pPr>
              <w:pStyle w:val="Tabletext"/>
              <w:jc w:val="center"/>
              <w:rPr>
                <w:lang w:val="en-GB"/>
              </w:rPr>
            </w:pPr>
            <w:r w:rsidRPr="00FF4EBC">
              <w:rPr>
                <w:lang w:val="es-ES"/>
              </w:rPr>
              <w:t>1/16</w:t>
            </w:r>
          </w:p>
        </w:tc>
      </w:tr>
      <w:tr w:rsidR="00FF4EBC" w:rsidRPr="00FF4EBC" w14:paraId="4FCBEB8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6E67740" w14:textId="77777777" w:rsidR="00FF4EBC" w:rsidRPr="00FF4EBC" w:rsidRDefault="00FF4EBC" w:rsidP="00B07FFA">
            <w:pPr>
              <w:pStyle w:val="Tabletext"/>
              <w:rPr>
                <w:lang w:val="en-GB"/>
              </w:rPr>
            </w:pPr>
            <w:r w:rsidRPr="00FF4EBC">
              <w:rPr>
                <w:lang w:val="es-ES"/>
              </w:rPr>
              <w:t xml:space="preserve">Trinidad y </w:t>
            </w:r>
            <w:proofErr w:type="spellStart"/>
            <w:r w:rsidRPr="00FF4EBC">
              <w:rPr>
                <w:lang w:val="es-ES"/>
              </w:rPr>
              <w:t>Tabago</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4279A56C" w14:textId="77777777" w:rsidR="00FF4EBC" w:rsidRPr="00FF4EBC" w:rsidRDefault="00FF4EBC" w:rsidP="00C019E6">
            <w:pPr>
              <w:pStyle w:val="Tabletext"/>
              <w:jc w:val="center"/>
              <w:rPr>
                <w:lang w:val="en-GB"/>
              </w:rPr>
            </w:pPr>
            <w:r w:rsidRPr="00FF4EBC">
              <w:rPr>
                <w:lang w:val="es-ES"/>
              </w:rPr>
              <w:t>1/2</w:t>
            </w:r>
          </w:p>
        </w:tc>
      </w:tr>
      <w:tr w:rsidR="00FF4EBC" w:rsidRPr="00FF4EBC" w14:paraId="425C2EA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D17D5A9" w14:textId="77777777" w:rsidR="00FF4EBC" w:rsidRPr="00FF4EBC" w:rsidRDefault="00FF4EBC" w:rsidP="00B07FFA">
            <w:pPr>
              <w:pStyle w:val="Tabletext"/>
              <w:rPr>
                <w:lang w:val="en-GB"/>
              </w:rPr>
            </w:pPr>
            <w:r w:rsidRPr="00FF4EBC">
              <w:rPr>
                <w:lang w:val="es-ES"/>
              </w:rPr>
              <w:t>Túnez</w:t>
            </w:r>
          </w:p>
        </w:tc>
        <w:tc>
          <w:tcPr>
            <w:tcW w:w="1900" w:type="dxa"/>
            <w:tcBorders>
              <w:top w:val="nil"/>
              <w:left w:val="single" w:sz="4" w:space="0" w:color="auto"/>
              <w:bottom w:val="nil"/>
              <w:right w:val="single" w:sz="4" w:space="0" w:color="auto"/>
            </w:tcBorders>
            <w:shd w:val="clear" w:color="000000" w:fill="FFFFFF"/>
            <w:noWrap/>
            <w:vAlign w:val="bottom"/>
            <w:hideMark/>
          </w:tcPr>
          <w:p w14:paraId="766CAE00" w14:textId="77777777" w:rsidR="00FF4EBC" w:rsidRPr="00FF4EBC" w:rsidRDefault="00FF4EBC" w:rsidP="00C019E6">
            <w:pPr>
              <w:pStyle w:val="Tabletext"/>
              <w:jc w:val="center"/>
              <w:rPr>
                <w:lang w:val="en-GB"/>
              </w:rPr>
            </w:pPr>
            <w:r w:rsidRPr="00FF4EBC">
              <w:rPr>
                <w:lang w:val="es-ES"/>
              </w:rPr>
              <w:t>1/2</w:t>
            </w:r>
          </w:p>
        </w:tc>
      </w:tr>
      <w:tr w:rsidR="00FF4EBC" w:rsidRPr="00FF4EBC" w14:paraId="58A019EB"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575E7C6" w14:textId="77777777" w:rsidR="00FF4EBC" w:rsidRPr="00FF4EBC" w:rsidRDefault="00FF4EBC" w:rsidP="00B07FFA">
            <w:pPr>
              <w:pStyle w:val="Tabletext"/>
              <w:rPr>
                <w:lang w:val="en-GB"/>
              </w:rPr>
            </w:pPr>
            <w:proofErr w:type="spellStart"/>
            <w:r w:rsidRPr="00FF4EBC">
              <w:rPr>
                <w:lang w:val="es-ES"/>
              </w:rPr>
              <w:t>Türkiye</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7749787C" w14:textId="77777777" w:rsidR="00FF4EBC" w:rsidRPr="00FF4EBC" w:rsidRDefault="00FF4EBC" w:rsidP="00C019E6">
            <w:pPr>
              <w:pStyle w:val="Tabletext"/>
              <w:jc w:val="center"/>
              <w:rPr>
                <w:lang w:val="en-GB"/>
              </w:rPr>
            </w:pPr>
            <w:r w:rsidRPr="00FF4EBC">
              <w:rPr>
                <w:lang w:val="es-ES"/>
              </w:rPr>
              <w:t>1</w:t>
            </w:r>
          </w:p>
        </w:tc>
      </w:tr>
      <w:tr w:rsidR="00FF4EBC" w:rsidRPr="00FF4EBC" w14:paraId="1BC5B36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10F235E" w14:textId="77777777" w:rsidR="00FF4EBC" w:rsidRPr="00FF4EBC" w:rsidRDefault="00FF4EBC" w:rsidP="00B07FFA">
            <w:pPr>
              <w:pStyle w:val="Tabletext"/>
              <w:rPr>
                <w:lang w:val="en-GB"/>
              </w:rPr>
            </w:pPr>
            <w:r w:rsidRPr="00FF4EBC">
              <w:rPr>
                <w:lang w:val="es-ES"/>
              </w:rPr>
              <w:t>Turkmenistán</w:t>
            </w:r>
          </w:p>
        </w:tc>
        <w:tc>
          <w:tcPr>
            <w:tcW w:w="1900" w:type="dxa"/>
            <w:tcBorders>
              <w:top w:val="nil"/>
              <w:left w:val="single" w:sz="4" w:space="0" w:color="auto"/>
              <w:bottom w:val="nil"/>
              <w:right w:val="single" w:sz="4" w:space="0" w:color="auto"/>
            </w:tcBorders>
            <w:shd w:val="clear" w:color="000000" w:fill="FFFFFF"/>
            <w:noWrap/>
            <w:vAlign w:val="bottom"/>
            <w:hideMark/>
          </w:tcPr>
          <w:p w14:paraId="0CCC7C35" w14:textId="77777777" w:rsidR="00FF4EBC" w:rsidRPr="00FF4EBC" w:rsidRDefault="00FF4EBC" w:rsidP="00C019E6">
            <w:pPr>
              <w:pStyle w:val="Tabletext"/>
              <w:jc w:val="center"/>
              <w:rPr>
                <w:lang w:val="en-GB"/>
              </w:rPr>
            </w:pPr>
            <w:r w:rsidRPr="00FF4EBC">
              <w:rPr>
                <w:lang w:val="es-ES"/>
              </w:rPr>
              <w:t>1/4</w:t>
            </w:r>
          </w:p>
        </w:tc>
      </w:tr>
      <w:tr w:rsidR="00FF4EBC" w:rsidRPr="00FF4EBC" w14:paraId="37F80E8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A8142F4" w14:textId="77777777" w:rsidR="00FF4EBC" w:rsidRPr="00FF4EBC" w:rsidRDefault="00FF4EBC" w:rsidP="00B07FFA">
            <w:pPr>
              <w:pStyle w:val="Tabletext"/>
              <w:rPr>
                <w:lang w:val="en-GB"/>
              </w:rPr>
            </w:pPr>
            <w:r w:rsidRPr="00FF4EBC">
              <w:rPr>
                <w:lang w:val="es-ES"/>
              </w:rPr>
              <w:t>Tuvalu</w:t>
            </w:r>
          </w:p>
        </w:tc>
        <w:tc>
          <w:tcPr>
            <w:tcW w:w="1900" w:type="dxa"/>
            <w:tcBorders>
              <w:top w:val="nil"/>
              <w:left w:val="single" w:sz="4" w:space="0" w:color="auto"/>
              <w:bottom w:val="nil"/>
              <w:right w:val="single" w:sz="4" w:space="0" w:color="auto"/>
            </w:tcBorders>
            <w:shd w:val="clear" w:color="000000" w:fill="FFFFFF"/>
            <w:noWrap/>
            <w:vAlign w:val="bottom"/>
            <w:hideMark/>
          </w:tcPr>
          <w:p w14:paraId="1BF242C4" w14:textId="77777777" w:rsidR="00FF4EBC" w:rsidRPr="00FF4EBC" w:rsidRDefault="00FF4EBC" w:rsidP="00C019E6">
            <w:pPr>
              <w:pStyle w:val="Tabletext"/>
              <w:jc w:val="center"/>
              <w:rPr>
                <w:lang w:val="en-GB"/>
              </w:rPr>
            </w:pPr>
            <w:r w:rsidRPr="00FF4EBC">
              <w:rPr>
                <w:lang w:val="es-ES"/>
              </w:rPr>
              <w:t>1/16</w:t>
            </w:r>
          </w:p>
        </w:tc>
      </w:tr>
      <w:tr w:rsidR="00FF4EBC" w:rsidRPr="00FF4EBC" w14:paraId="25CB401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2531DA6" w14:textId="77777777" w:rsidR="00FF4EBC" w:rsidRPr="00FF4EBC" w:rsidRDefault="00FF4EBC" w:rsidP="00B07FFA">
            <w:pPr>
              <w:pStyle w:val="Tabletext"/>
              <w:rPr>
                <w:lang w:val="en-GB"/>
              </w:rPr>
            </w:pPr>
            <w:r w:rsidRPr="00FF4EBC">
              <w:rPr>
                <w:lang w:val="es-ES"/>
              </w:rPr>
              <w:t>Uganda</w:t>
            </w:r>
          </w:p>
        </w:tc>
        <w:tc>
          <w:tcPr>
            <w:tcW w:w="1900" w:type="dxa"/>
            <w:tcBorders>
              <w:top w:val="nil"/>
              <w:left w:val="single" w:sz="4" w:space="0" w:color="auto"/>
              <w:bottom w:val="nil"/>
              <w:right w:val="single" w:sz="4" w:space="0" w:color="auto"/>
            </w:tcBorders>
            <w:shd w:val="clear" w:color="000000" w:fill="FFFFFF"/>
            <w:noWrap/>
            <w:vAlign w:val="bottom"/>
            <w:hideMark/>
          </w:tcPr>
          <w:p w14:paraId="09A54EC3" w14:textId="77777777" w:rsidR="00FF4EBC" w:rsidRPr="00FF4EBC" w:rsidRDefault="00FF4EBC" w:rsidP="00C019E6">
            <w:pPr>
              <w:pStyle w:val="Tabletext"/>
              <w:jc w:val="center"/>
              <w:rPr>
                <w:lang w:val="en-GB"/>
              </w:rPr>
            </w:pPr>
            <w:r w:rsidRPr="00FF4EBC">
              <w:rPr>
                <w:lang w:val="es-ES"/>
              </w:rPr>
              <w:t>1/4</w:t>
            </w:r>
          </w:p>
        </w:tc>
      </w:tr>
      <w:tr w:rsidR="00FF4EBC" w:rsidRPr="00FF4EBC" w14:paraId="70C6691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165B2FB" w14:textId="77777777" w:rsidR="00FF4EBC" w:rsidRPr="00FF4EBC" w:rsidRDefault="00FF4EBC" w:rsidP="00B07FFA">
            <w:pPr>
              <w:pStyle w:val="Tabletext"/>
              <w:rPr>
                <w:lang w:val="en-GB"/>
              </w:rPr>
            </w:pPr>
            <w:r w:rsidRPr="00FF4EBC">
              <w:rPr>
                <w:lang w:val="es-ES"/>
              </w:rPr>
              <w:t>Ucrania</w:t>
            </w:r>
          </w:p>
        </w:tc>
        <w:tc>
          <w:tcPr>
            <w:tcW w:w="1900" w:type="dxa"/>
            <w:tcBorders>
              <w:top w:val="nil"/>
              <w:left w:val="single" w:sz="4" w:space="0" w:color="auto"/>
              <w:bottom w:val="nil"/>
              <w:right w:val="single" w:sz="4" w:space="0" w:color="auto"/>
            </w:tcBorders>
            <w:shd w:val="clear" w:color="000000" w:fill="FFFFFF"/>
            <w:vAlign w:val="bottom"/>
            <w:hideMark/>
          </w:tcPr>
          <w:p w14:paraId="359002C1" w14:textId="77777777" w:rsidR="00FF4EBC" w:rsidRPr="00FF4EBC" w:rsidRDefault="00FF4EBC" w:rsidP="00C019E6">
            <w:pPr>
              <w:pStyle w:val="Tabletext"/>
              <w:jc w:val="center"/>
              <w:rPr>
                <w:lang w:val="en-GB"/>
              </w:rPr>
            </w:pPr>
            <w:r w:rsidRPr="00FF4EBC">
              <w:rPr>
                <w:lang w:val="es-ES"/>
              </w:rPr>
              <w:t>1/4</w:t>
            </w:r>
          </w:p>
        </w:tc>
      </w:tr>
      <w:tr w:rsidR="00FF4EBC" w:rsidRPr="00FF4EBC" w14:paraId="7E4FD688"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6BAD83A" w14:textId="77777777" w:rsidR="00FF4EBC" w:rsidRPr="00FF4EBC" w:rsidRDefault="00FF4EBC" w:rsidP="00B07FFA">
            <w:pPr>
              <w:pStyle w:val="Tabletext"/>
              <w:rPr>
                <w:lang w:val="en-GB"/>
              </w:rPr>
            </w:pPr>
            <w:r w:rsidRPr="00FF4EBC">
              <w:rPr>
                <w:lang w:val="es-ES"/>
              </w:rPr>
              <w:t>Emiratos Árabes Unidos</w:t>
            </w:r>
          </w:p>
        </w:tc>
        <w:tc>
          <w:tcPr>
            <w:tcW w:w="1900" w:type="dxa"/>
            <w:tcBorders>
              <w:top w:val="nil"/>
              <w:left w:val="single" w:sz="4" w:space="0" w:color="auto"/>
              <w:bottom w:val="nil"/>
              <w:right w:val="single" w:sz="4" w:space="0" w:color="auto"/>
            </w:tcBorders>
            <w:shd w:val="clear" w:color="000000" w:fill="FFFFFF"/>
            <w:noWrap/>
            <w:vAlign w:val="bottom"/>
            <w:hideMark/>
          </w:tcPr>
          <w:p w14:paraId="4905CB2A" w14:textId="77777777" w:rsidR="00FF4EBC" w:rsidRPr="00FF4EBC" w:rsidRDefault="00FF4EBC" w:rsidP="00C019E6">
            <w:pPr>
              <w:pStyle w:val="Tabletext"/>
              <w:jc w:val="center"/>
              <w:rPr>
                <w:lang w:val="en-GB"/>
              </w:rPr>
            </w:pPr>
            <w:r w:rsidRPr="00FF4EBC">
              <w:rPr>
                <w:lang w:val="es-ES"/>
              </w:rPr>
              <w:t>3</w:t>
            </w:r>
          </w:p>
        </w:tc>
      </w:tr>
      <w:tr w:rsidR="00FF4EBC" w:rsidRPr="00FF4EBC" w14:paraId="0F996343"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7E61C29" w14:textId="77777777" w:rsidR="00FF4EBC" w:rsidRPr="00FF4EBC" w:rsidRDefault="00FF4EBC" w:rsidP="00B07FFA">
            <w:pPr>
              <w:pStyle w:val="Tabletext"/>
              <w:rPr>
                <w:lang w:val="en-GB"/>
              </w:rPr>
            </w:pPr>
            <w:r w:rsidRPr="00FF4EBC">
              <w:rPr>
                <w:lang w:val="es-ES"/>
              </w:rPr>
              <w:t>Reino Unido</w:t>
            </w:r>
          </w:p>
        </w:tc>
        <w:tc>
          <w:tcPr>
            <w:tcW w:w="1900" w:type="dxa"/>
            <w:tcBorders>
              <w:top w:val="nil"/>
              <w:left w:val="single" w:sz="4" w:space="0" w:color="auto"/>
              <w:bottom w:val="nil"/>
              <w:right w:val="single" w:sz="4" w:space="0" w:color="auto"/>
            </w:tcBorders>
            <w:shd w:val="clear" w:color="000000" w:fill="FFFFFF"/>
            <w:noWrap/>
            <w:vAlign w:val="bottom"/>
            <w:hideMark/>
          </w:tcPr>
          <w:p w14:paraId="31D33B5E" w14:textId="77777777" w:rsidR="00FF4EBC" w:rsidRPr="00FF4EBC" w:rsidRDefault="00FF4EBC" w:rsidP="00C019E6">
            <w:pPr>
              <w:pStyle w:val="Tabletext"/>
              <w:jc w:val="center"/>
              <w:rPr>
                <w:lang w:val="en-GB"/>
              </w:rPr>
            </w:pPr>
            <w:r w:rsidRPr="00FF4EBC">
              <w:rPr>
                <w:lang w:val="es-ES"/>
              </w:rPr>
              <w:t>10</w:t>
            </w:r>
          </w:p>
        </w:tc>
      </w:tr>
      <w:tr w:rsidR="00FF4EBC" w:rsidRPr="00FF4EBC" w14:paraId="58E69A19"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A81BA37" w14:textId="77777777" w:rsidR="00FF4EBC" w:rsidRPr="00FF4EBC" w:rsidRDefault="00FF4EBC" w:rsidP="00B07FFA">
            <w:pPr>
              <w:pStyle w:val="Tabletext"/>
              <w:rPr>
                <w:lang w:val="en-GB"/>
              </w:rPr>
            </w:pPr>
            <w:r w:rsidRPr="00FF4EBC">
              <w:rPr>
                <w:lang w:val="es-ES"/>
              </w:rPr>
              <w:t>Estados Unidos de América</w:t>
            </w:r>
          </w:p>
        </w:tc>
        <w:tc>
          <w:tcPr>
            <w:tcW w:w="1900" w:type="dxa"/>
            <w:tcBorders>
              <w:top w:val="nil"/>
              <w:left w:val="single" w:sz="4" w:space="0" w:color="auto"/>
              <w:bottom w:val="nil"/>
              <w:right w:val="single" w:sz="4" w:space="0" w:color="auto"/>
            </w:tcBorders>
            <w:shd w:val="clear" w:color="000000" w:fill="FFFFFF"/>
            <w:noWrap/>
            <w:vAlign w:val="bottom"/>
            <w:hideMark/>
          </w:tcPr>
          <w:p w14:paraId="2DD17E4A" w14:textId="77777777" w:rsidR="00FF4EBC" w:rsidRPr="00FF4EBC" w:rsidRDefault="00FF4EBC" w:rsidP="00C019E6">
            <w:pPr>
              <w:pStyle w:val="Tabletext"/>
              <w:jc w:val="center"/>
              <w:rPr>
                <w:lang w:val="en-GB"/>
              </w:rPr>
            </w:pPr>
            <w:r w:rsidRPr="00FF4EBC">
              <w:rPr>
                <w:lang w:val="es-ES"/>
              </w:rPr>
              <w:t>35</w:t>
            </w:r>
          </w:p>
        </w:tc>
      </w:tr>
      <w:tr w:rsidR="00FF4EBC" w:rsidRPr="00FF4EBC" w14:paraId="2C0AA7C2"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1B29A49" w14:textId="77777777" w:rsidR="00FF4EBC" w:rsidRPr="00FF4EBC" w:rsidRDefault="00FF4EBC" w:rsidP="00B07FFA">
            <w:pPr>
              <w:pStyle w:val="Tabletext"/>
              <w:rPr>
                <w:lang w:val="en-GB"/>
              </w:rPr>
            </w:pPr>
            <w:r w:rsidRPr="00FF4EBC">
              <w:rPr>
                <w:lang w:val="es-ES"/>
              </w:rPr>
              <w:t>Uruguay</w:t>
            </w:r>
          </w:p>
        </w:tc>
        <w:tc>
          <w:tcPr>
            <w:tcW w:w="1900" w:type="dxa"/>
            <w:tcBorders>
              <w:top w:val="nil"/>
              <w:left w:val="single" w:sz="4" w:space="0" w:color="auto"/>
              <w:bottom w:val="nil"/>
              <w:right w:val="single" w:sz="4" w:space="0" w:color="auto"/>
            </w:tcBorders>
            <w:shd w:val="clear" w:color="000000" w:fill="FFFFFF"/>
            <w:vAlign w:val="bottom"/>
            <w:hideMark/>
          </w:tcPr>
          <w:p w14:paraId="5BD596E5" w14:textId="77777777" w:rsidR="00FF4EBC" w:rsidRPr="00FF4EBC" w:rsidRDefault="00FF4EBC" w:rsidP="00C019E6">
            <w:pPr>
              <w:pStyle w:val="Tabletext"/>
              <w:jc w:val="center"/>
              <w:rPr>
                <w:lang w:val="en-GB"/>
              </w:rPr>
            </w:pPr>
            <w:r w:rsidRPr="00FF4EBC">
              <w:rPr>
                <w:lang w:val="es-ES"/>
              </w:rPr>
              <w:t>1/4</w:t>
            </w:r>
          </w:p>
        </w:tc>
      </w:tr>
      <w:tr w:rsidR="00FF4EBC" w:rsidRPr="00FF4EBC" w14:paraId="7FF7754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FD28BC7" w14:textId="77777777" w:rsidR="00FF4EBC" w:rsidRPr="00FF4EBC" w:rsidRDefault="00FF4EBC" w:rsidP="00B07FFA">
            <w:pPr>
              <w:pStyle w:val="Tabletext"/>
              <w:rPr>
                <w:lang w:val="en-GB"/>
              </w:rPr>
            </w:pPr>
            <w:r w:rsidRPr="00FF4EBC">
              <w:rPr>
                <w:lang w:val="es-ES"/>
              </w:rPr>
              <w:t>Uzbekistán</w:t>
            </w:r>
          </w:p>
        </w:tc>
        <w:tc>
          <w:tcPr>
            <w:tcW w:w="1900" w:type="dxa"/>
            <w:tcBorders>
              <w:top w:val="nil"/>
              <w:left w:val="single" w:sz="4" w:space="0" w:color="auto"/>
              <w:bottom w:val="nil"/>
              <w:right w:val="single" w:sz="4" w:space="0" w:color="auto"/>
            </w:tcBorders>
            <w:shd w:val="clear" w:color="000000" w:fill="FFFFFF"/>
            <w:noWrap/>
            <w:vAlign w:val="bottom"/>
            <w:hideMark/>
          </w:tcPr>
          <w:p w14:paraId="3B492404" w14:textId="77777777" w:rsidR="00FF4EBC" w:rsidRPr="00FF4EBC" w:rsidRDefault="00FF4EBC" w:rsidP="00C019E6">
            <w:pPr>
              <w:pStyle w:val="Tabletext"/>
              <w:jc w:val="center"/>
              <w:rPr>
                <w:lang w:val="en-GB"/>
              </w:rPr>
            </w:pPr>
            <w:r w:rsidRPr="00FF4EBC">
              <w:rPr>
                <w:lang w:val="es-ES"/>
              </w:rPr>
              <w:t>1/4</w:t>
            </w:r>
          </w:p>
        </w:tc>
      </w:tr>
      <w:tr w:rsidR="00FF4EBC" w:rsidRPr="00FF4EBC" w14:paraId="27010725"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35C38F5" w14:textId="77777777" w:rsidR="00FF4EBC" w:rsidRPr="00FF4EBC" w:rsidRDefault="00FF4EBC" w:rsidP="00B07FFA">
            <w:pPr>
              <w:pStyle w:val="Tabletext"/>
              <w:rPr>
                <w:lang w:val="en-GB"/>
              </w:rPr>
            </w:pPr>
            <w:r w:rsidRPr="00FF4EBC">
              <w:rPr>
                <w:lang w:val="es-ES"/>
              </w:rPr>
              <w:t>Vanuatu</w:t>
            </w:r>
          </w:p>
        </w:tc>
        <w:tc>
          <w:tcPr>
            <w:tcW w:w="1900" w:type="dxa"/>
            <w:tcBorders>
              <w:top w:val="nil"/>
              <w:left w:val="single" w:sz="4" w:space="0" w:color="auto"/>
              <w:bottom w:val="nil"/>
              <w:right w:val="single" w:sz="4" w:space="0" w:color="auto"/>
            </w:tcBorders>
            <w:shd w:val="clear" w:color="000000" w:fill="FFFFFF"/>
            <w:vAlign w:val="bottom"/>
            <w:hideMark/>
          </w:tcPr>
          <w:p w14:paraId="1401E027" w14:textId="77777777" w:rsidR="00FF4EBC" w:rsidRPr="00FF4EBC" w:rsidRDefault="00FF4EBC" w:rsidP="00C019E6">
            <w:pPr>
              <w:pStyle w:val="Tabletext"/>
              <w:jc w:val="center"/>
              <w:rPr>
                <w:lang w:val="en-GB"/>
              </w:rPr>
            </w:pPr>
            <w:r w:rsidRPr="00FF4EBC">
              <w:rPr>
                <w:lang w:val="es-ES"/>
              </w:rPr>
              <w:t>1/16</w:t>
            </w:r>
          </w:p>
        </w:tc>
      </w:tr>
      <w:tr w:rsidR="00FF4EBC" w:rsidRPr="00FF4EBC" w14:paraId="00B0B83E"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D7BDB26" w14:textId="77777777" w:rsidR="00FF4EBC" w:rsidRPr="00FF4EBC" w:rsidRDefault="00FF4EBC" w:rsidP="00B07FFA">
            <w:pPr>
              <w:pStyle w:val="Tabletext"/>
              <w:rPr>
                <w:lang w:val="en-GB"/>
              </w:rPr>
            </w:pPr>
            <w:r w:rsidRPr="00FF4EBC">
              <w:rPr>
                <w:lang w:val="es-ES"/>
              </w:rPr>
              <w:t>Vaticano</w:t>
            </w:r>
          </w:p>
        </w:tc>
        <w:tc>
          <w:tcPr>
            <w:tcW w:w="1900" w:type="dxa"/>
            <w:tcBorders>
              <w:top w:val="nil"/>
              <w:left w:val="single" w:sz="4" w:space="0" w:color="auto"/>
              <w:bottom w:val="nil"/>
              <w:right w:val="single" w:sz="4" w:space="0" w:color="auto"/>
            </w:tcBorders>
            <w:shd w:val="clear" w:color="000000" w:fill="FFFFFF"/>
            <w:noWrap/>
            <w:vAlign w:val="bottom"/>
            <w:hideMark/>
          </w:tcPr>
          <w:p w14:paraId="4393304C" w14:textId="77777777" w:rsidR="00FF4EBC" w:rsidRPr="00FF4EBC" w:rsidRDefault="00FF4EBC" w:rsidP="00C019E6">
            <w:pPr>
              <w:pStyle w:val="Tabletext"/>
              <w:jc w:val="center"/>
              <w:rPr>
                <w:lang w:val="en-GB"/>
              </w:rPr>
            </w:pPr>
            <w:r w:rsidRPr="00FF4EBC">
              <w:rPr>
                <w:lang w:val="es-ES"/>
              </w:rPr>
              <w:t>1/4</w:t>
            </w:r>
          </w:p>
        </w:tc>
      </w:tr>
      <w:tr w:rsidR="00FF4EBC" w:rsidRPr="00FF4EBC" w14:paraId="15D89F8D"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698D3D4" w14:textId="77777777" w:rsidR="00FF4EBC" w:rsidRPr="00FF4EBC" w:rsidRDefault="00FF4EBC" w:rsidP="00B07FFA">
            <w:pPr>
              <w:pStyle w:val="Tabletext"/>
              <w:rPr>
                <w:lang w:val="en-GB"/>
              </w:rPr>
            </w:pPr>
            <w:r w:rsidRPr="00FF4EBC">
              <w:rPr>
                <w:lang w:val="es-ES"/>
              </w:rPr>
              <w:t>Venezuela</w:t>
            </w:r>
          </w:p>
        </w:tc>
        <w:tc>
          <w:tcPr>
            <w:tcW w:w="1900" w:type="dxa"/>
            <w:tcBorders>
              <w:top w:val="nil"/>
              <w:left w:val="single" w:sz="4" w:space="0" w:color="auto"/>
              <w:bottom w:val="nil"/>
              <w:right w:val="single" w:sz="4" w:space="0" w:color="auto"/>
            </w:tcBorders>
            <w:shd w:val="clear" w:color="000000" w:fill="FFFFFF"/>
            <w:vAlign w:val="bottom"/>
            <w:hideMark/>
          </w:tcPr>
          <w:p w14:paraId="0003336D" w14:textId="77777777" w:rsidR="00FF4EBC" w:rsidRPr="00FF4EBC" w:rsidRDefault="00FF4EBC" w:rsidP="00C019E6">
            <w:pPr>
              <w:pStyle w:val="Tabletext"/>
              <w:jc w:val="center"/>
              <w:rPr>
                <w:lang w:val="en-GB"/>
              </w:rPr>
            </w:pPr>
            <w:r w:rsidRPr="00FF4EBC">
              <w:rPr>
                <w:lang w:val="es-ES"/>
              </w:rPr>
              <w:t>1/2</w:t>
            </w:r>
          </w:p>
        </w:tc>
      </w:tr>
      <w:tr w:rsidR="00FF4EBC" w:rsidRPr="00FF4EBC" w14:paraId="02C0EDFC"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26D8FDF" w14:textId="68FCEEF8" w:rsidR="00FF4EBC" w:rsidRPr="00FF4EBC" w:rsidRDefault="00FF4EBC" w:rsidP="00B07FFA">
            <w:pPr>
              <w:pStyle w:val="Tabletext"/>
              <w:rPr>
                <w:lang w:val="en-GB"/>
              </w:rPr>
            </w:pPr>
            <w:proofErr w:type="spellStart"/>
            <w:r w:rsidRPr="00FF4EBC">
              <w:rPr>
                <w:lang w:val="es-ES"/>
              </w:rPr>
              <w:t>Viet</w:t>
            </w:r>
            <w:proofErr w:type="spellEnd"/>
            <w:r w:rsidR="005B06AE">
              <w:rPr>
                <w:lang w:val="es-ES"/>
              </w:rPr>
              <w:t xml:space="preserve"> </w:t>
            </w:r>
            <w:proofErr w:type="spellStart"/>
            <w:r w:rsidR="005B06AE">
              <w:rPr>
                <w:lang w:val="es-ES"/>
              </w:rPr>
              <w:t>N</w:t>
            </w:r>
            <w:r w:rsidRPr="00FF4EBC">
              <w:rPr>
                <w:lang w:val="es-ES"/>
              </w:rPr>
              <w:t>am</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30352B0A" w14:textId="77777777" w:rsidR="00FF4EBC" w:rsidRPr="00FF4EBC" w:rsidRDefault="00FF4EBC" w:rsidP="00C019E6">
            <w:pPr>
              <w:pStyle w:val="Tabletext"/>
              <w:jc w:val="center"/>
              <w:rPr>
                <w:lang w:val="en-GB"/>
              </w:rPr>
            </w:pPr>
            <w:r w:rsidRPr="00FF4EBC">
              <w:rPr>
                <w:lang w:val="es-ES"/>
              </w:rPr>
              <w:t>1/2</w:t>
            </w:r>
          </w:p>
        </w:tc>
      </w:tr>
      <w:tr w:rsidR="00FF4EBC" w:rsidRPr="00FF4EBC" w14:paraId="500FD894"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E769DBC" w14:textId="77777777" w:rsidR="00FF4EBC" w:rsidRPr="00FF4EBC" w:rsidRDefault="00FF4EBC" w:rsidP="00B07FFA">
            <w:pPr>
              <w:pStyle w:val="Tabletext"/>
              <w:rPr>
                <w:lang w:val="en-GB"/>
              </w:rPr>
            </w:pPr>
            <w:r w:rsidRPr="00FF4EBC">
              <w:rPr>
                <w:lang w:val="es-ES"/>
              </w:rPr>
              <w:t>Yemen</w:t>
            </w:r>
          </w:p>
        </w:tc>
        <w:tc>
          <w:tcPr>
            <w:tcW w:w="1900" w:type="dxa"/>
            <w:tcBorders>
              <w:top w:val="nil"/>
              <w:left w:val="single" w:sz="4" w:space="0" w:color="auto"/>
              <w:bottom w:val="nil"/>
              <w:right w:val="single" w:sz="4" w:space="0" w:color="auto"/>
            </w:tcBorders>
            <w:shd w:val="clear" w:color="000000" w:fill="FFFFFF"/>
            <w:vAlign w:val="bottom"/>
            <w:hideMark/>
          </w:tcPr>
          <w:p w14:paraId="678E102F" w14:textId="77777777" w:rsidR="00FF4EBC" w:rsidRPr="00FF4EBC" w:rsidRDefault="00FF4EBC" w:rsidP="00C019E6">
            <w:pPr>
              <w:pStyle w:val="Tabletext"/>
              <w:jc w:val="center"/>
              <w:rPr>
                <w:lang w:val="en-GB"/>
              </w:rPr>
            </w:pPr>
            <w:r w:rsidRPr="00FF4EBC">
              <w:rPr>
                <w:lang w:val="es-ES"/>
              </w:rPr>
              <w:t>1/16</w:t>
            </w:r>
          </w:p>
        </w:tc>
      </w:tr>
      <w:tr w:rsidR="00FF4EBC" w:rsidRPr="00FF4EBC" w14:paraId="6295B4AF"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AF48920" w14:textId="77777777" w:rsidR="00FF4EBC" w:rsidRPr="00FF4EBC" w:rsidRDefault="00FF4EBC" w:rsidP="00B07FFA">
            <w:pPr>
              <w:pStyle w:val="Tabletext"/>
              <w:rPr>
                <w:lang w:val="en-GB"/>
              </w:rPr>
            </w:pPr>
            <w:r w:rsidRPr="00FF4EBC">
              <w:rPr>
                <w:lang w:val="es-ES"/>
              </w:rPr>
              <w:t>Zambia</w:t>
            </w:r>
          </w:p>
        </w:tc>
        <w:tc>
          <w:tcPr>
            <w:tcW w:w="1900" w:type="dxa"/>
            <w:tcBorders>
              <w:top w:val="nil"/>
              <w:left w:val="single" w:sz="4" w:space="0" w:color="auto"/>
              <w:bottom w:val="nil"/>
              <w:right w:val="single" w:sz="4" w:space="0" w:color="auto"/>
            </w:tcBorders>
            <w:shd w:val="clear" w:color="000000" w:fill="FFFFFF"/>
            <w:noWrap/>
            <w:vAlign w:val="bottom"/>
            <w:hideMark/>
          </w:tcPr>
          <w:p w14:paraId="623D3E8E" w14:textId="77777777" w:rsidR="00FF4EBC" w:rsidRPr="00FF4EBC" w:rsidRDefault="00FF4EBC" w:rsidP="00C019E6">
            <w:pPr>
              <w:pStyle w:val="Tabletext"/>
              <w:jc w:val="center"/>
              <w:rPr>
                <w:lang w:val="en-GB"/>
              </w:rPr>
            </w:pPr>
            <w:r w:rsidRPr="00FF4EBC">
              <w:rPr>
                <w:lang w:val="es-ES"/>
              </w:rPr>
              <w:t>1/8</w:t>
            </w:r>
          </w:p>
        </w:tc>
      </w:tr>
      <w:tr w:rsidR="00FF4EBC" w:rsidRPr="00FF4EBC" w14:paraId="10811C9F" w14:textId="77777777" w:rsidTr="009C3A7D">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4419B61" w14:textId="77777777" w:rsidR="00FF4EBC" w:rsidRPr="00FF4EBC" w:rsidRDefault="00FF4EBC" w:rsidP="00B07FFA">
            <w:pPr>
              <w:pStyle w:val="Tabletext"/>
              <w:rPr>
                <w:lang w:val="en-GB"/>
              </w:rPr>
            </w:pPr>
            <w:proofErr w:type="spellStart"/>
            <w:r w:rsidRPr="00FF4EBC">
              <w:rPr>
                <w:lang w:val="es-ES"/>
              </w:rPr>
              <w:t>Zimbabwe</w:t>
            </w:r>
            <w:proofErr w:type="spellEnd"/>
          </w:p>
        </w:tc>
        <w:tc>
          <w:tcPr>
            <w:tcW w:w="1900" w:type="dxa"/>
            <w:tcBorders>
              <w:top w:val="nil"/>
              <w:left w:val="single" w:sz="4" w:space="0" w:color="auto"/>
              <w:bottom w:val="nil"/>
              <w:right w:val="single" w:sz="4" w:space="0" w:color="auto"/>
            </w:tcBorders>
            <w:shd w:val="clear" w:color="000000" w:fill="FFFFFF"/>
            <w:noWrap/>
            <w:vAlign w:val="bottom"/>
            <w:hideMark/>
          </w:tcPr>
          <w:p w14:paraId="03F2B11B" w14:textId="77777777" w:rsidR="00FF4EBC" w:rsidRPr="00FF4EBC" w:rsidRDefault="00FF4EBC" w:rsidP="00C019E6">
            <w:pPr>
              <w:pStyle w:val="Tabletext"/>
              <w:jc w:val="center"/>
              <w:rPr>
                <w:lang w:val="en-GB"/>
              </w:rPr>
            </w:pPr>
            <w:r w:rsidRPr="00FF4EBC">
              <w:rPr>
                <w:lang w:val="es-ES"/>
              </w:rPr>
              <w:t>1/2</w:t>
            </w:r>
          </w:p>
        </w:tc>
      </w:tr>
      <w:tr w:rsidR="00FF4EBC" w:rsidRPr="00FF4EBC" w14:paraId="5572CD3A" w14:textId="77777777" w:rsidTr="009C3A7D">
        <w:trPr>
          <w:cantSplit/>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C200" w14:textId="77777777" w:rsidR="00FF4EBC" w:rsidRPr="00FF4EBC" w:rsidRDefault="00FF4EBC" w:rsidP="00B07FFA">
            <w:pPr>
              <w:pStyle w:val="Tabletext"/>
              <w:rPr>
                <w:b/>
                <w:bCs/>
                <w:lang w:val="en-GB"/>
              </w:rPr>
            </w:pPr>
            <w:r w:rsidRPr="00FF4EBC">
              <w:rPr>
                <w:b/>
                <w:bCs/>
                <w:lang w:val="es-ES"/>
              </w:rPr>
              <w:t>Total</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6435C" w14:textId="77777777" w:rsidR="00FF4EBC" w:rsidRPr="00FF4EBC" w:rsidRDefault="00FF4EBC" w:rsidP="00C019E6">
            <w:pPr>
              <w:pStyle w:val="Tabletext"/>
              <w:jc w:val="center"/>
              <w:rPr>
                <w:b/>
                <w:bCs/>
                <w:lang w:val="en-GB"/>
              </w:rPr>
            </w:pPr>
            <w:r w:rsidRPr="00FF4EBC">
              <w:rPr>
                <w:b/>
                <w:bCs/>
                <w:lang w:val="es-ES"/>
              </w:rPr>
              <w:t>356</w:t>
            </w:r>
          </w:p>
        </w:tc>
      </w:tr>
    </w:tbl>
    <w:p w14:paraId="35129CE2" w14:textId="77777777" w:rsidR="00C019E6" w:rsidRDefault="00FF4EBC" w:rsidP="00C019E6">
      <w:pPr>
        <w:rPr>
          <w:lang w:val="en-GB"/>
        </w:rPr>
      </w:pPr>
      <w:r w:rsidRPr="00FF4EBC">
        <w:rPr>
          <w:lang w:val="en-GB"/>
        </w:rPr>
        <w:br w:type="page"/>
      </w:r>
      <w:bookmarkStart w:id="5" w:name="Annex2"/>
      <w:bookmarkEnd w:id="5"/>
    </w:p>
    <w:p w14:paraId="738CEA30" w14:textId="7A94AF36" w:rsidR="00FF4EBC" w:rsidRPr="00FF4EBC" w:rsidRDefault="00FF4EBC" w:rsidP="00B07FFA">
      <w:pPr>
        <w:pStyle w:val="AnnexNo"/>
        <w:spacing w:after="120"/>
        <w:rPr>
          <w:lang w:val="en-GB"/>
        </w:rPr>
      </w:pPr>
      <w:r w:rsidRPr="00FF4EBC">
        <w:rPr>
          <w:lang w:val="es-ES"/>
        </w:rPr>
        <w:lastRenderedPageBreak/>
        <w:t>ANEXO 2</w:t>
      </w:r>
    </w:p>
    <w:tbl>
      <w:tblPr>
        <w:tblW w:w="9760" w:type="dxa"/>
        <w:jc w:val="center"/>
        <w:tblLayout w:type="fixed"/>
        <w:tblCellMar>
          <w:left w:w="57" w:type="dxa"/>
          <w:right w:w="57" w:type="dxa"/>
        </w:tblCellMar>
        <w:tblLook w:val="04A0" w:firstRow="1" w:lastRow="0" w:firstColumn="1" w:lastColumn="0" w:noHBand="0" w:noVBand="1"/>
      </w:tblPr>
      <w:tblGrid>
        <w:gridCol w:w="4248"/>
        <w:gridCol w:w="1417"/>
        <w:gridCol w:w="1560"/>
        <w:gridCol w:w="1255"/>
        <w:gridCol w:w="1280"/>
      </w:tblGrid>
      <w:tr w:rsidR="00FF4EBC" w:rsidRPr="00FF4EBC" w14:paraId="52399135" w14:textId="77777777" w:rsidTr="00B07FFA">
        <w:trPr>
          <w:cantSplit/>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2D0D" w14:textId="77777777" w:rsidR="00FF4EBC" w:rsidRPr="00FF4EBC" w:rsidRDefault="00FF4EBC" w:rsidP="00B07FFA">
            <w:pPr>
              <w:pStyle w:val="Tablehead"/>
              <w:jc w:val="left"/>
              <w:rPr>
                <w:lang w:val="en-GB"/>
              </w:rPr>
            </w:pPr>
            <w:r w:rsidRPr="00FF4EBC">
              <w:rPr>
                <w:lang w:val="es-ES"/>
              </w:rPr>
              <w:t>Miembros de Sector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29F7B5" w14:textId="1F2C110C" w:rsidR="00FF4EBC" w:rsidRPr="00FF4EBC" w:rsidRDefault="00FF4EBC" w:rsidP="00B07FFA">
            <w:pPr>
              <w:pStyle w:val="Tablehead"/>
              <w:rPr>
                <w:lang w:val="en-GB"/>
              </w:rPr>
            </w:pPr>
            <w:r w:rsidRPr="00FF4EBC">
              <w:rPr>
                <w:lang w:val="es-ES"/>
              </w:rPr>
              <w:t>No. de unidades</w:t>
            </w:r>
            <w:r w:rsidR="00B07FFA">
              <w:rPr>
                <w:lang w:val="es-ES"/>
              </w:rPr>
              <w:br/>
            </w:r>
            <w:r w:rsidRPr="00FF4EBC">
              <w:rPr>
                <w:lang w:val="es-ES"/>
              </w:rPr>
              <w:t>PP-22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D10A623" w14:textId="77777777" w:rsidR="00FF4EBC" w:rsidRPr="00FF4EBC" w:rsidRDefault="00FF4EBC" w:rsidP="00B07FFA">
            <w:pPr>
              <w:pStyle w:val="Tablehead"/>
              <w:rPr>
                <w:lang w:val="en-GB"/>
              </w:rPr>
            </w:pPr>
            <w:r w:rsidRPr="00FF4EBC">
              <w:rPr>
                <w:lang w:val="es-ES"/>
              </w:rPr>
              <w:t>Número de unidades a 28/02/2025</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2C243B6" w14:textId="77777777" w:rsidR="00FF4EBC" w:rsidRPr="00FF4EBC" w:rsidRDefault="00FF4EBC" w:rsidP="00B07FFA">
            <w:pPr>
              <w:pStyle w:val="Tablehead"/>
              <w:rPr>
                <w:lang w:val="en-GB"/>
              </w:rPr>
            </w:pPr>
            <w:r w:rsidRPr="00FF4EBC">
              <w:rPr>
                <w:lang w:val="es-ES"/>
              </w:rPr>
              <w:t>Diferencia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1AC8366" w14:textId="77777777" w:rsidR="00FF4EBC" w:rsidRPr="00FF4EBC" w:rsidRDefault="00FF4EBC" w:rsidP="00B07FFA">
            <w:pPr>
              <w:pStyle w:val="Tablehead"/>
              <w:rPr>
                <w:lang w:val="en-GB"/>
              </w:rPr>
            </w:pPr>
            <w:r w:rsidRPr="00FF4EBC">
              <w:rPr>
                <w:lang w:val="es-ES"/>
              </w:rPr>
              <w:t>Diferencia en %</w:t>
            </w:r>
          </w:p>
        </w:tc>
      </w:tr>
      <w:tr w:rsidR="00FF4EBC" w:rsidRPr="00FF4EBC" w14:paraId="0C580907"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05847E18" w14:textId="77777777" w:rsidR="00FF4EBC" w:rsidRPr="00FF4EBC" w:rsidRDefault="00FF4EBC" w:rsidP="00B07FFA">
            <w:pPr>
              <w:pStyle w:val="Tabletext"/>
              <w:rPr>
                <w:lang w:val="es-ES"/>
              </w:rPr>
            </w:pPr>
            <w:r w:rsidRPr="00FF4EBC">
              <w:rPr>
                <w:lang w:val="es-ES"/>
              </w:rPr>
              <w:t>Miembros de Sector del UIT-R</w:t>
            </w:r>
          </w:p>
        </w:tc>
        <w:tc>
          <w:tcPr>
            <w:tcW w:w="1417" w:type="dxa"/>
            <w:tcBorders>
              <w:top w:val="nil"/>
              <w:left w:val="nil"/>
              <w:bottom w:val="single" w:sz="4" w:space="0" w:color="auto"/>
              <w:right w:val="single" w:sz="4" w:space="0" w:color="auto"/>
            </w:tcBorders>
            <w:shd w:val="clear" w:color="000000" w:fill="FFFFFF"/>
            <w:noWrap/>
            <w:vAlign w:val="bottom"/>
            <w:hideMark/>
          </w:tcPr>
          <w:p w14:paraId="46E60F0C" w14:textId="77777777" w:rsidR="00FF4EBC" w:rsidRPr="00FF4EBC" w:rsidRDefault="00FF4EBC" w:rsidP="00C019E6">
            <w:pPr>
              <w:pStyle w:val="Tabletext"/>
              <w:jc w:val="center"/>
              <w:rPr>
                <w:lang w:val="en-GB"/>
              </w:rPr>
            </w:pPr>
            <w:r w:rsidRPr="00FF4EBC">
              <w:rPr>
                <w:lang w:val="es-ES"/>
              </w:rPr>
              <w:t>100 1/2</w:t>
            </w:r>
          </w:p>
        </w:tc>
        <w:tc>
          <w:tcPr>
            <w:tcW w:w="1560" w:type="dxa"/>
            <w:tcBorders>
              <w:top w:val="nil"/>
              <w:left w:val="nil"/>
              <w:bottom w:val="single" w:sz="4" w:space="0" w:color="auto"/>
              <w:right w:val="single" w:sz="4" w:space="0" w:color="auto"/>
            </w:tcBorders>
            <w:shd w:val="clear" w:color="auto" w:fill="auto"/>
            <w:noWrap/>
            <w:vAlign w:val="bottom"/>
            <w:hideMark/>
          </w:tcPr>
          <w:p w14:paraId="02DC1F46" w14:textId="77777777" w:rsidR="00FF4EBC" w:rsidRPr="00FF4EBC" w:rsidRDefault="00FF4EBC" w:rsidP="00C019E6">
            <w:pPr>
              <w:pStyle w:val="Tabletext"/>
              <w:jc w:val="center"/>
              <w:rPr>
                <w:lang w:val="en-GB"/>
              </w:rPr>
            </w:pPr>
            <w:r w:rsidRPr="00FF4EBC">
              <w:rPr>
                <w:lang w:val="es-ES"/>
              </w:rPr>
              <w:t>103</w:t>
            </w:r>
          </w:p>
        </w:tc>
        <w:tc>
          <w:tcPr>
            <w:tcW w:w="1255" w:type="dxa"/>
            <w:tcBorders>
              <w:top w:val="nil"/>
              <w:left w:val="nil"/>
              <w:bottom w:val="single" w:sz="4" w:space="0" w:color="auto"/>
              <w:right w:val="single" w:sz="4" w:space="0" w:color="auto"/>
            </w:tcBorders>
            <w:shd w:val="clear" w:color="000000" w:fill="FFFFFF"/>
            <w:noWrap/>
            <w:vAlign w:val="bottom"/>
            <w:hideMark/>
          </w:tcPr>
          <w:p w14:paraId="51A860B9" w14:textId="77777777" w:rsidR="00FF4EBC" w:rsidRPr="00FF4EBC" w:rsidRDefault="00FF4EBC" w:rsidP="00C019E6">
            <w:pPr>
              <w:pStyle w:val="Tabletext"/>
              <w:jc w:val="center"/>
              <w:rPr>
                <w:lang w:val="en-GB"/>
              </w:rPr>
            </w:pPr>
            <w:r w:rsidRPr="00FF4EBC">
              <w:rPr>
                <w:lang w:val="es-ES"/>
              </w:rPr>
              <w:t>3</w:t>
            </w:r>
          </w:p>
        </w:tc>
        <w:tc>
          <w:tcPr>
            <w:tcW w:w="1280" w:type="dxa"/>
            <w:tcBorders>
              <w:top w:val="nil"/>
              <w:left w:val="nil"/>
              <w:bottom w:val="single" w:sz="4" w:space="0" w:color="auto"/>
              <w:right w:val="single" w:sz="4" w:space="0" w:color="auto"/>
            </w:tcBorders>
            <w:shd w:val="clear" w:color="auto" w:fill="auto"/>
            <w:noWrap/>
            <w:vAlign w:val="bottom"/>
            <w:hideMark/>
          </w:tcPr>
          <w:p w14:paraId="43937E10" w14:textId="77777777" w:rsidR="00FF4EBC" w:rsidRPr="00FF4EBC" w:rsidRDefault="00FF4EBC" w:rsidP="00C019E6">
            <w:pPr>
              <w:pStyle w:val="Tabletext"/>
              <w:jc w:val="center"/>
              <w:rPr>
                <w:lang w:val="en-GB"/>
              </w:rPr>
            </w:pPr>
            <w:r w:rsidRPr="00FF4EBC">
              <w:rPr>
                <w:lang w:val="es-ES"/>
              </w:rPr>
              <w:t>3 %</w:t>
            </w:r>
          </w:p>
        </w:tc>
      </w:tr>
      <w:tr w:rsidR="00FF4EBC" w:rsidRPr="00FF4EBC" w14:paraId="0B6C0C95"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85F0386" w14:textId="77777777" w:rsidR="00FF4EBC" w:rsidRPr="00FF4EBC" w:rsidRDefault="00FF4EBC" w:rsidP="00B07FFA">
            <w:pPr>
              <w:pStyle w:val="Tabletext"/>
              <w:rPr>
                <w:lang w:val="es-ES"/>
              </w:rPr>
            </w:pPr>
            <w:r w:rsidRPr="00FF4EBC">
              <w:rPr>
                <w:lang w:val="es-ES"/>
              </w:rPr>
              <w:t>Miembros de Sector del UIT-T</w:t>
            </w:r>
          </w:p>
        </w:tc>
        <w:tc>
          <w:tcPr>
            <w:tcW w:w="1417" w:type="dxa"/>
            <w:tcBorders>
              <w:top w:val="nil"/>
              <w:left w:val="nil"/>
              <w:bottom w:val="single" w:sz="4" w:space="0" w:color="auto"/>
              <w:right w:val="single" w:sz="4" w:space="0" w:color="auto"/>
            </w:tcBorders>
            <w:shd w:val="clear" w:color="000000" w:fill="FFFFFF"/>
            <w:noWrap/>
            <w:vAlign w:val="bottom"/>
            <w:hideMark/>
          </w:tcPr>
          <w:p w14:paraId="6016E513" w14:textId="77777777" w:rsidR="00FF4EBC" w:rsidRPr="00FF4EBC" w:rsidRDefault="00FF4EBC" w:rsidP="00C019E6">
            <w:pPr>
              <w:pStyle w:val="Tabletext"/>
              <w:jc w:val="center"/>
              <w:rPr>
                <w:lang w:val="en-GB"/>
              </w:rPr>
            </w:pPr>
            <w:r w:rsidRPr="00FF4EBC">
              <w:rPr>
                <w:lang w:val="es-ES"/>
              </w:rPr>
              <w:t>94</w:t>
            </w:r>
          </w:p>
        </w:tc>
        <w:tc>
          <w:tcPr>
            <w:tcW w:w="1560" w:type="dxa"/>
            <w:tcBorders>
              <w:top w:val="nil"/>
              <w:left w:val="nil"/>
              <w:bottom w:val="single" w:sz="4" w:space="0" w:color="auto"/>
              <w:right w:val="single" w:sz="4" w:space="0" w:color="auto"/>
            </w:tcBorders>
            <w:shd w:val="clear" w:color="auto" w:fill="auto"/>
            <w:noWrap/>
            <w:vAlign w:val="bottom"/>
            <w:hideMark/>
          </w:tcPr>
          <w:p w14:paraId="695EE8FC" w14:textId="77777777" w:rsidR="00FF4EBC" w:rsidRPr="00FF4EBC" w:rsidRDefault="00FF4EBC" w:rsidP="00C019E6">
            <w:pPr>
              <w:pStyle w:val="Tabletext"/>
              <w:jc w:val="center"/>
              <w:rPr>
                <w:lang w:val="en-GB"/>
              </w:rPr>
            </w:pPr>
            <w:r w:rsidRPr="00FF4EBC">
              <w:rPr>
                <w:lang w:val="es-ES"/>
              </w:rPr>
              <w:t>90</w:t>
            </w:r>
          </w:p>
        </w:tc>
        <w:tc>
          <w:tcPr>
            <w:tcW w:w="1255" w:type="dxa"/>
            <w:tcBorders>
              <w:top w:val="nil"/>
              <w:left w:val="nil"/>
              <w:bottom w:val="single" w:sz="4" w:space="0" w:color="auto"/>
              <w:right w:val="single" w:sz="4" w:space="0" w:color="auto"/>
            </w:tcBorders>
            <w:shd w:val="clear" w:color="000000" w:fill="FFFFFF"/>
            <w:noWrap/>
            <w:vAlign w:val="bottom"/>
            <w:hideMark/>
          </w:tcPr>
          <w:p w14:paraId="791CF8A4" w14:textId="49BDE3BA" w:rsidR="00FF4EBC" w:rsidRPr="00FF4EBC" w:rsidRDefault="00DD3276" w:rsidP="00C019E6">
            <w:pPr>
              <w:pStyle w:val="Tabletext"/>
              <w:jc w:val="center"/>
              <w:rPr>
                <w:lang w:val="en-GB"/>
              </w:rPr>
            </w:pPr>
            <w:r w:rsidRPr="00FF4EBC">
              <w:rPr>
                <w:lang w:val="es-ES"/>
              </w:rPr>
              <w:t>−</w:t>
            </w:r>
            <w:r w:rsidR="00FF4EBC" w:rsidRPr="00FF4EBC">
              <w:rPr>
                <w:lang w:val="es-ES"/>
              </w:rPr>
              <w:t>4</w:t>
            </w:r>
          </w:p>
        </w:tc>
        <w:tc>
          <w:tcPr>
            <w:tcW w:w="1280" w:type="dxa"/>
            <w:tcBorders>
              <w:top w:val="nil"/>
              <w:left w:val="nil"/>
              <w:bottom w:val="single" w:sz="4" w:space="0" w:color="auto"/>
              <w:right w:val="single" w:sz="4" w:space="0" w:color="auto"/>
            </w:tcBorders>
            <w:shd w:val="clear" w:color="auto" w:fill="auto"/>
            <w:noWrap/>
            <w:vAlign w:val="bottom"/>
            <w:hideMark/>
          </w:tcPr>
          <w:p w14:paraId="677B9766" w14:textId="555321DD" w:rsidR="00FF4EBC" w:rsidRPr="00FF4EBC" w:rsidRDefault="00DD3276" w:rsidP="00C019E6">
            <w:pPr>
              <w:pStyle w:val="Tabletext"/>
              <w:jc w:val="center"/>
              <w:rPr>
                <w:lang w:val="en-GB"/>
              </w:rPr>
            </w:pPr>
            <w:r w:rsidRPr="00FF4EBC">
              <w:rPr>
                <w:lang w:val="es-ES"/>
              </w:rPr>
              <w:t>−</w:t>
            </w:r>
            <w:r w:rsidR="00FF4EBC" w:rsidRPr="00FF4EBC">
              <w:rPr>
                <w:lang w:val="es-ES"/>
              </w:rPr>
              <w:t>4 %</w:t>
            </w:r>
          </w:p>
        </w:tc>
      </w:tr>
      <w:tr w:rsidR="00FF4EBC" w:rsidRPr="00FF4EBC" w14:paraId="2787E1C1"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B2B7284" w14:textId="77777777" w:rsidR="00FF4EBC" w:rsidRPr="00FF4EBC" w:rsidRDefault="00FF4EBC" w:rsidP="00B07FFA">
            <w:pPr>
              <w:pStyle w:val="Tabletext"/>
              <w:rPr>
                <w:lang w:val="es-ES"/>
              </w:rPr>
            </w:pPr>
            <w:r w:rsidRPr="00FF4EBC">
              <w:rPr>
                <w:lang w:val="es-ES"/>
              </w:rPr>
              <w:t>Miembros de Sector del UIT-D</w:t>
            </w:r>
          </w:p>
        </w:tc>
        <w:tc>
          <w:tcPr>
            <w:tcW w:w="1417" w:type="dxa"/>
            <w:tcBorders>
              <w:top w:val="nil"/>
              <w:left w:val="nil"/>
              <w:bottom w:val="single" w:sz="4" w:space="0" w:color="auto"/>
              <w:right w:val="single" w:sz="4" w:space="0" w:color="auto"/>
            </w:tcBorders>
            <w:shd w:val="clear" w:color="000000" w:fill="FFFFFF"/>
            <w:noWrap/>
            <w:vAlign w:val="bottom"/>
            <w:hideMark/>
          </w:tcPr>
          <w:p w14:paraId="5CD5093E" w14:textId="77777777" w:rsidR="00FF4EBC" w:rsidRPr="00FF4EBC" w:rsidRDefault="00FF4EBC" w:rsidP="00C019E6">
            <w:pPr>
              <w:pStyle w:val="Tabletext"/>
              <w:jc w:val="center"/>
              <w:rPr>
                <w:lang w:val="en-GB"/>
              </w:rPr>
            </w:pPr>
            <w:r w:rsidRPr="00FF4EBC">
              <w:rPr>
                <w:lang w:val="es-ES"/>
              </w:rPr>
              <w:t>22</w:t>
            </w:r>
          </w:p>
        </w:tc>
        <w:tc>
          <w:tcPr>
            <w:tcW w:w="1560" w:type="dxa"/>
            <w:tcBorders>
              <w:top w:val="nil"/>
              <w:left w:val="nil"/>
              <w:bottom w:val="single" w:sz="4" w:space="0" w:color="auto"/>
              <w:right w:val="single" w:sz="4" w:space="0" w:color="auto"/>
            </w:tcBorders>
            <w:shd w:val="clear" w:color="auto" w:fill="auto"/>
            <w:noWrap/>
            <w:vAlign w:val="bottom"/>
            <w:hideMark/>
          </w:tcPr>
          <w:p w14:paraId="73D080D0" w14:textId="77777777" w:rsidR="00FF4EBC" w:rsidRPr="00FF4EBC" w:rsidRDefault="00FF4EBC" w:rsidP="00C019E6">
            <w:pPr>
              <w:pStyle w:val="Tabletext"/>
              <w:jc w:val="center"/>
              <w:rPr>
                <w:lang w:val="en-GB"/>
              </w:rPr>
            </w:pPr>
            <w:r w:rsidRPr="00FF4EBC">
              <w:rPr>
                <w:lang w:val="es-ES"/>
              </w:rPr>
              <w:t>24</w:t>
            </w:r>
          </w:p>
        </w:tc>
        <w:tc>
          <w:tcPr>
            <w:tcW w:w="1255" w:type="dxa"/>
            <w:tcBorders>
              <w:top w:val="nil"/>
              <w:left w:val="nil"/>
              <w:bottom w:val="single" w:sz="4" w:space="0" w:color="auto"/>
              <w:right w:val="single" w:sz="4" w:space="0" w:color="auto"/>
            </w:tcBorders>
            <w:shd w:val="clear" w:color="000000" w:fill="FFFFFF"/>
            <w:noWrap/>
            <w:vAlign w:val="bottom"/>
            <w:hideMark/>
          </w:tcPr>
          <w:p w14:paraId="20EA9DFB" w14:textId="77777777" w:rsidR="00FF4EBC" w:rsidRPr="00FF4EBC" w:rsidRDefault="00FF4EBC" w:rsidP="00C019E6">
            <w:pPr>
              <w:pStyle w:val="Tabletext"/>
              <w:jc w:val="center"/>
              <w:rPr>
                <w:lang w:val="en-GB"/>
              </w:rPr>
            </w:pPr>
            <w:r w:rsidRPr="00FF4EBC">
              <w:rPr>
                <w:lang w:val="es-ES"/>
              </w:rPr>
              <w:t>2</w:t>
            </w:r>
          </w:p>
        </w:tc>
        <w:tc>
          <w:tcPr>
            <w:tcW w:w="1280" w:type="dxa"/>
            <w:tcBorders>
              <w:top w:val="nil"/>
              <w:left w:val="nil"/>
              <w:bottom w:val="single" w:sz="4" w:space="0" w:color="auto"/>
              <w:right w:val="single" w:sz="4" w:space="0" w:color="auto"/>
            </w:tcBorders>
            <w:shd w:val="clear" w:color="auto" w:fill="auto"/>
            <w:noWrap/>
            <w:vAlign w:val="bottom"/>
            <w:hideMark/>
          </w:tcPr>
          <w:p w14:paraId="63BB67BE" w14:textId="77777777" w:rsidR="00FF4EBC" w:rsidRPr="00FF4EBC" w:rsidRDefault="00FF4EBC" w:rsidP="00C019E6">
            <w:pPr>
              <w:pStyle w:val="Tabletext"/>
              <w:jc w:val="center"/>
              <w:rPr>
                <w:lang w:val="en-GB"/>
              </w:rPr>
            </w:pPr>
            <w:r w:rsidRPr="00FF4EBC">
              <w:rPr>
                <w:lang w:val="es-ES"/>
              </w:rPr>
              <w:t>9 %</w:t>
            </w:r>
          </w:p>
        </w:tc>
      </w:tr>
      <w:tr w:rsidR="00FF4EBC" w:rsidRPr="00FF4EBC" w14:paraId="5DFCACD0"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22EC7B03" w14:textId="77777777" w:rsidR="00FF4EBC" w:rsidRPr="00FF4EBC" w:rsidRDefault="00FF4EBC" w:rsidP="00B07FFA">
            <w:pPr>
              <w:pStyle w:val="Tabletext"/>
              <w:rPr>
                <w:b/>
                <w:bCs/>
                <w:lang w:val="en-GB"/>
              </w:rPr>
            </w:pPr>
            <w:r w:rsidRPr="00FF4EBC">
              <w:rPr>
                <w:b/>
                <w:bCs/>
                <w:lang w:val="es-ES"/>
              </w:rPr>
              <w:t>Total</w:t>
            </w:r>
          </w:p>
        </w:tc>
        <w:tc>
          <w:tcPr>
            <w:tcW w:w="1417" w:type="dxa"/>
            <w:tcBorders>
              <w:top w:val="nil"/>
              <w:left w:val="nil"/>
              <w:bottom w:val="single" w:sz="4" w:space="0" w:color="auto"/>
              <w:right w:val="single" w:sz="4" w:space="0" w:color="auto"/>
            </w:tcBorders>
            <w:shd w:val="clear" w:color="000000" w:fill="FFFFFF"/>
            <w:noWrap/>
            <w:vAlign w:val="bottom"/>
            <w:hideMark/>
          </w:tcPr>
          <w:p w14:paraId="6537EA05" w14:textId="77777777" w:rsidR="00FF4EBC" w:rsidRPr="00FF4EBC" w:rsidRDefault="00FF4EBC" w:rsidP="00C019E6">
            <w:pPr>
              <w:pStyle w:val="Tabletext"/>
              <w:jc w:val="center"/>
              <w:rPr>
                <w:b/>
                <w:bCs/>
                <w:lang w:val="en-GB"/>
              </w:rPr>
            </w:pPr>
            <w:r w:rsidRPr="00FF4EBC">
              <w:rPr>
                <w:b/>
                <w:bCs/>
                <w:lang w:val="es-ES"/>
              </w:rPr>
              <w:t>216</w:t>
            </w:r>
          </w:p>
        </w:tc>
        <w:tc>
          <w:tcPr>
            <w:tcW w:w="1560" w:type="dxa"/>
            <w:tcBorders>
              <w:top w:val="nil"/>
              <w:left w:val="nil"/>
              <w:bottom w:val="single" w:sz="4" w:space="0" w:color="auto"/>
              <w:right w:val="single" w:sz="4" w:space="0" w:color="auto"/>
            </w:tcBorders>
            <w:shd w:val="clear" w:color="auto" w:fill="auto"/>
            <w:noWrap/>
            <w:vAlign w:val="bottom"/>
            <w:hideMark/>
          </w:tcPr>
          <w:p w14:paraId="2D19AA0B" w14:textId="77777777" w:rsidR="00FF4EBC" w:rsidRPr="00FF4EBC" w:rsidRDefault="00FF4EBC" w:rsidP="00C019E6">
            <w:pPr>
              <w:pStyle w:val="Tabletext"/>
              <w:jc w:val="center"/>
              <w:rPr>
                <w:b/>
                <w:bCs/>
                <w:lang w:val="en-GB"/>
              </w:rPr>
            </w:pPr>
            <w:r w:rsidRPr="00FF4EBC">
              <w:rPr>
                <w:b/>
                <w:bCs/>
                <w:lang w:val="es-ES"/>
              </w:rPr>
              <w:t>217</w:t>
            </w:r>
          </w:p>
        </w:tc>
        <w:tc>
          <w:tcPr>
            <w:tcW w:w="1255" w:type="dxa"/>
            <w:tcBorders>
              <w:top w:val="nil"/>
              <w:left w:val="nil"/>
              <w:bottom w:val="single" w:sz="4" w:space="0" w:color="auto"/>
              <w:right w:val="single" w:sz="4" w:space="0" w:color="auto"/>
            </w:tcBorders>
            <w:shd w:val="clear" w:color="auto" w:fill="auto"/>
            <w:noWrap/>
            <w:vAlign w:val="bottom"/>
            <w:hideMark/>
          </w:tcPr>
          <w:p w14:paraId="4C9D34DF" w14:textId="77777777" w:rsidR="00FF4EBC" w:rsidRPr="00FF4EBC" w:rsidRDefault="00FF4EBC" w:rsidP="00C019E6">
            <w:pPr>
              <w:pStyle w:val="Tabletext"/>
              <w:jc w:val="center"/>
              <w:rPr>
                <w:b/>
                <w:bCs/>
                <w:lang w:val="en-GB"/>
              </w:rPr>
            </w:pPr>
            <w:r w:rsidRPr="00FF4EBC">
              <w:rPr>
                <w:b/>
                <w:bCs/>
                <w:lang w:val="es-ES"/>
              </w:rPr>
              <w:t>1</w:t>
            </w:r>
          </w:p>
        </w:tc>
        <w:tc>
          <w:tcPr>
            <w:tcW w:w="1280" w:type="dxa"/>
            <w:tcBorders>
              <w:top w:val="nil"/>
              <w:left w:val="nil"/>
              <w:bottom w:val="single" w:sz="4" w:space="0" w:color="auto"/>
              <w:right w:val="single" w:sz="4" w:space="0" w:color="auto"/>
            </w:tcBorders>
            <w:shd w:val="clear" w:color="auto" w:fill="auto"/>
            <w:noWrap/>
            <w:vAlign w:val="bottom"/>
            <w:hideMark/>
          </w:tcPr>
          <w:p w14:paraId="460236CA" w14:textId="77777777" w:rsidR="00FF4EBC" w:rsidRPr="00FF4EBC" w:rsidRDefault="00FF4EBC" w:rsidP="00C019E6">
            <w:pPr>
              <w:pStyle w:val="Tabletext"/>
              <w:jc w:val="center"/>
              <w:rPr>
                <w:b/>
                <w:bCs/>
                <w:lang w:val="en-GB"/>
              </w:rPr>
            </w:pPr>
            <w:r w:rsidRPr="00FF4EBC">
              <w:rPr>
                <w:b/>
                <w:bCs/>
                <w:lang w:val="es-ES"/>
              </w:rPr>
              <w:t>0 %</w:t>
            </w:r>
          </w:p>
        </w:tc>
      </w:tr>
      <w:tr w:rsidR="00FF4EBC" w:rsidRPr="00FF4EBC" w14:paraId="231C7110" w14:textId="77777777" w:rsidTr="00B07FFA">
        <w:trPr>
          <w:cantSplit/>
          <w:jc w:val="center"/>
        </w:trPr>
        <w:tc>
          <w:tcPr>
            <w:tcW w:w="4248" w:type="dxa"/>
            <w:tcBorders>
              <w:top w:val="nil"/>
              <w:left w:val="nil"/>
              <w:bottom w:val="nil"/>
              <w:right w:val="nil"/>
            </w:tcBorders>
            <w:shd w:val="clear" w:color="000000" w:fill="FFFFFF"/>
            <w:vAlign w:val="bottom"/>
            <w:hideMark/>
          </w:tcPr>
          <w:p w14:paraId="417E81B4" w14:textId="77777777" w:rsidR="00FF4EBC" w:rsidRPr="00FF4EBC" w:rsidRDefault="00FF4EBC" w:rsidP="00B07FFA">
            <w:pPr>
              <w:pStyle w:val="Tabletext"/>
              <w:rPr>
                <w:lang w:val="en-GB"/>
              </w:rPr>
            </w:pPr>
            <w:r w:rsidRPr="00FF4EBC">
              <w:rPr>
                <w:lang w:val="en-GB"/>
              </w:rPr>
              <w:t> </w:t>
            </w:r>
          </w:p>
        </w:tc>
        <w:tc>
          <w:tcPr>
            <w:tcW w:w="1417" w:type="dxa"/>
            <w:tcBorders>
              <w:top w:val="nil"/>
              <w:left w:val="nil"/>
              <w:bottom w:val="nil"/>
              <w:right w:val="nil"/>
            </w:tcBorders>
            <w:shd w:val="clear" w:color="000000" w:fill="FFFFFF"/>
            <w:noWrap/>
            <w:vAlign w:val="bottom"/>
            <w:hideMark/>
          </w:tcPr>
          <w:p w14:paraId="2D429D93" w14:textId="77777777" w:rsidR="00FF4EBC" w:rsidRPr="00FF4EBC" w:rsidRDefault="00FF4EBC" w:rsidP="00B07FFA">
            <w:pPr>
              <w:pStyle w:val="Tabletext"/>
              <w:rPr>
                <w:lang w:val="en-GB"/>
              </w:rPr>
            </w:pPr>
            <w:r w:rsidRPr="00FF4EBC">
              <w:rPr>
                <w:lang w:val="en-GB"/>
              </w:rPr>
              <w:t> </w:t>
            </w:r>
          </w:p>
        </w:tc>
        <w:tc>
          <w:tcPr>
            <w:tcW w:w="1560" w:type="dxa"/>
            <w:tcBorders>
              <w:top w:val="nil"/>
              <w:left w:val="nil"/>
              <w:bottom w:val="nil"/>
              <w:right w:val="nil"/>
            </w:tcBorders>
            <w:shd w:val="clear" w:color="000000" w:fill="FFFFFF"/>
            <w:noWrap/>
            <w:vAlign w:val="bottom"/>
            <w:hideMark/>
          </w:tcPr>
          <w:p w14:paraId="6FA3D94E" w14:textId="77777777" w:rsidR="00FF4EBC" w:rsidRPr="00FF4EBC" w:rsidRDefault="00FF4EBC" w:rsidP="00B07FFA">
            <w:pPr>
              <w:pStyle w:val="Tabletext"/>
              <w:rPr>
                <w:lang w:val="en-GB"/>
              </w:rPr>
            </w:pPr>
            <w:r w:rsidRPr="00FF4EBC">
              <w:rPr>
                <w:lang w:val="en-GB"/>
              </w:rPr>
              <w:t> </w:t>
            </w:r>
          </w:p>
        </w:tc>
        <w:tc>
          <w:tcPr>
            <w:tcW w:w="1255" w:type="dxa"/>
            <w:tcBorders>
              <w:top w:val="nil"/>
              <w:left w:val="nil"/>
              <w:bottom w:val="nil"/>
              <w:right w:val="nil"/>
            </w:tcBorders>
            <w:shd w:val="clear" w:color="000000" w:fill="FFFFFF"/>
            <w:noWrap/>
            <w:vAlign w:val="bottom"/>
            <w:hideMark/>
          </w:tcPr>
          <w:p w14:paraId="7BD47B6B" w14:textId="77777777" w:rsidR="00FF4EBC" w:rsidRPr="00FF4EBC" w:rsidRDefault="00FF4EBC" w:rsidP="00B07FFA">
            <w:pPr>
              <w:pStyle w:val="Tabletext"/>
              <w:rPr>
                <w:lang w:val="en-GB"/>
              </w:rPr>
            </w:pPr>
            <w:r w:rsidRPr="00FF4EBC">
              <w:rPr>
                <w:lang w:val="en-GB"/>
              </w:rPr>
              <w:t> </w:t>
            </w:r>
          </w:p>
        </w:tc>
        <w:tc>
          <w:tcPr>
            <w:tcW w:w="1280" w:type="dxa"/>
            <w:tcBorders>
              <w:top w:val="nil"/>
              <w:left w:val="nil"/>
              <w:bottom w:val="nil"/>
              <w:right w:val="nil"/>
            </w:tcBorders>
            <w:shd w:val="clear" w:color="000000" w:fill="FFFFFF"/>
            <w:noWrap/>
            <w:vAlign w:val="bottom"/>
            <w:hideMark/>
          </w:tcPr>
          <w:p w14:paraId="218FC244" w14:textId="77777777" w:rsidR="00FF4EBC" w:rsidRPr="00FF4EBC" w:rsidRDefault="00FF4EBC" w:rsidP="00B07FFA">
            <w:pPr>
              <w:pStyle w:val="Tabletext"/>
              <w:rPr>
                <w:lang w:val="en-GB"/>
              </w:rPr>
            </w:pPr>
            <w:r w:rsidRPr="00FF4EBC">
              <w:rPr>
                <w:lang w:val="en-GB"/>
              </w:rPr>
              <w:t> </w:t>
            </w:r>
          </w:p>
        </w:tc>
      </w:tr>
      <w:tr w:rsidR="00FF4EBC" w:rsidRPr="00FF4EBC" w14:paraId="6470C1A9" w14:textId="77777777" w:rsidTr="00B07FFA">
        <w:trPr>
          <w:cantSplit/>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3BCC" w14:textId="77777777" w:rsidR="00FF4EBC" w:rsidRPr="00FF4EBC" w:rsidRDefault="00FF4EBC" w:rsidP="00B07FFA">
            <w:pPr>
              <w:pStyle w:val="Tabletext"/>
              <w:rPr>
                <w:b/>
                <w:lang w:val="en-GB"/>
              </w:rPr>
            </w:pPr>
            <w:r w:rsidRPr="00FF4EBC">
              <w:rPr>
                <w:b/>
                <w:bCs/>
                <w:lang w:val="es-ES"/>
              </w:rPr>
              <w:t>Asociados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44B171" w14:textId="4C34CC61" w:rsidR="00FF4EBC" w:rsidRPr="00FF4EBC" w:rsidRDefault="00FF4EBC" w:rsidP="00C019E6">
            <w:pPr>
              <w:pStyle w:val="Tabletext"/>
              <w:jc w:val="center"/>
              <w:rPr>
                <w:b/>
                <w:lang w:val="en-GB"/>
              </w:rPr>
            </w:pPr>
            <w:r w:rsidRPr="00FF4EBC">
              <w:rPr>
                <w:b/>
                <w:bCs/>
                <w:lang w:val="es-ES"/>
              </w:rPr>
              <w:t>Número de Asociados</w:t>
            </w:r>
            <w:r w:rsidR="00075C85">
              <w:rPr>
                <w:b/>
                <w:bCs/>
                <w:lang w:val="es-ES"/>
              </w:rPr>
              <w:br/>
            </w:r>
            <w:r w:rsidRPr="00FF4EBC">
              <w:rPr>
                <w:b/>
                <w:bCs/>
                <w:lang w:val="es-ES"/>
              </w:rPr>
              <w:t>PP-22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57F599" w14:textId="77777777" w:rsidR="00FF4EBC" w:rsidRPr="00FF4EBC" w:rsidRDefault="00FF4EBC" w:rsidP="00C019E6">
            <w:pPr>
              <w:pStyle w:val="Tabletext"/>
              <w:jc w:val="center"/>
              <w:rPr>
                <w:b/>
                <w:lang w:val="en-GB"/>
              </w:rPr>
            </w:pPr>
            <w:r w:rsidRPr="00FF4EBC">
              <w:rPr>
                <w:b/>
                <w:bCs/>
                <w:lang w:val="es-ES"/>
              </w:rPr>
              <w:t>Número de unidades a 28/02/2025</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775B53D" w14:textId="77777777" w:rsidR="00FF4EBC" w:rsidRPr="00FF4EBC" w:rsidRDefault="00FF4EBC" w:rsidP="00C019E6">
            <w:pPr>
              <w:pStyle w:val="Tabletext"/>
              <w:jc w:val="center"/>
              <w:rPr>
                <w:b/>
                <w:lang w:val="en-GB"/>
              </w:rPr>
            </w:pPr>
            <w:r w:rsidRPr="00FF4EBC">
              <w:rPr>
                <w:b/>
                <w:bCs/>
                <w:lang w:val="es-ES"/>
              </w:rPr>
              <w:t>Diferencia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9B6CA04" w14:textId="77777777" w:rsidR="00FF4EBC" w:rsidRPr="00FF4EBC" w:rsidRDefault="00FF4EBC" w:rsidP="00C019E6">
            <w:pPr>
              <w:pStyle w:val="Tabletext"/>
              <w:jc w:val="center"/>
              <w:rPr>
                <w:b/>
                <w:lang w:val="en-GB"/>
              </w:rPr>
            </w:pPr>
            <w:r w:rsidRPr="00FF4EBC">
              <w:rPr>
                <w:b/>
                <w:bCs/>
                <w:lang w:val="es-ES"/>
              </w:rPr>
              <w:t>Diferencia en %</w:t>
            </w:r>
          </w:p>
        </w:tc>
      </w:tr>
      <w:tr w:rsidR="00FF4EBC" w:rsidRPr="00FF4EBC" w14:paraId="44DF241A"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4C251CD" w14:textId="77777777" w:rsidR="00FF4EBC" w:rsidRPr="00FF4EBC" w:rsidRDefault="00FF4EBC" w:rsidP="00B07FFA">
            <w:pPr>
              <w:pStyle w:val="Tabletext"/>
              <w:rPr>
                <w:lang w:val="en-GB"/>
              </w:rPr>
            </w:pPr>
            <w:r w:rsidRPr="00FF4EBC">
              <w:rPr>
                <w:lang w:val="es-ES"/>
              </w:rPr>
              <w:t>Asociados del UIT-R</w:t>
            </w:r>
          </w:p>
        </w:tc>
        <w:tc>
          <w:tcPr>
            <w:tcW w:w="1417" w:type="dxa"/>
            <w:tcBorders>
              <w:top w:val="nil"/>
              <w:left w:val="nil"/>
              <w:bottom w:val="single" w:sz="4" w:space="0" w:color="auto"/>
              <w:right w:val="single" w:sz="4" w:space="0" w:color="auto"/>
            </w:tcBorders>
            <w:shd w:val="clear" w:color="000000" w:fill="FFFFFF"/>
            <w:noWrap/>
            <w:vAlign w:val="bottom"/>
            <w:hideMark/>
          </w:tcPr>
          <w:p w14:paraId="3DC90468" w14:textId="77777777" w:rsidR="00FF4EBC" w:rsidRPr="00FF4EBC" w:rsidRDefault="00FF4EBC" w:rsidP="00C019E6">
            <w:pPr>
              <w:pStyle w:val="Tabletext"/>
              <w:jc w:val="center"/>
              <w:rPr>
                <w:lang w:val="en-GB"/>
              </w:rPr>
            </w:pPr>
            <w:r w:rsidRPr="00FF4EBC">
              <w:rPr>
                <w:lang w:val="es-ES"/>
              </w:rPr>
              <w:t>20</w:t>
            </w:r>
          </w:p>
        </w:tc>
        <w:tc>
          <w:tcPr>
            <w:tcW w:w="1560" w:type="dxa"/>
            <w:tcBorders>
              <w:top w:val="nil"/>
              <w:left w:val="nil"/>
              <w:bottom w:val="single" w:sz="4" w:space="0" w:color="auto"/>
              <w:right w:val="single" w:sz="4" w:space="0" w:color="auto"/>
            </w:tcBorders>
            <w:shd w:val="clear" w:color="000000" w:fill="FFFFFF"/>
            <w:noWrap/>
            <w:vAlign w:val="bottom"/>
            <w:hideMark/>
          </w:tcPr>
          <w:p w14:paraId="63BAE8F0" w14:textId="77777777" w:rsidR="00FF4EBC" w:rsidRPr="00FF4EBC" w:rsidRDefault="00FF4EBC" w:rsidP="00C019E6">
            <w:pPr>
              <w:pStyle w:val="Tabletext"/>
              <w:jc w:val="center"/>
              <w:rPr>
                <w:lang w:val="en-GB"/>
              </w:rPr>
            </w:pPr>
            <w:r w:rsidRPr="00FF4EBC">
              <w:rPr>
                <w:lang w:val="es-ES"/>
              </w:rPr>
              <w:t>22</w:t>
            </w:r>
          </w:p>
        </w:tc>
        <w:tc>
          <w:tcPr>
            <w:tcW w:w="1255" w:type="dxa"/>
            <w:tcBorders>
              <w:top w:val="nil"/>
              <w:left w:val="nil"/>
              <w:bottom w:val="single" w:sz="4" w:space="0" w:color="auto"/>
              <w:right w:val="single" w:sz="4" w:space="0" w:color="auto"/>
            </w:tcBorders>
            <w:shd w:val="clear" w:color="000000" w:fill="FFFFFF"/>
            <w:noWrap/>
            <w:vAlign w:val="bottom"/>
            <w:hideMark/>
          </w:tcPr>
          <w:p w14:paraId="14873341" w14:textId="77777777" w:rsidR="00FF4EBC" w:rsidRPr="00FF4EBC" w:rsidRDefault="00FF4EBC" w:rsidP="00C019E6">
            <w:pPr>
              <w:pStyle w:val="Tabletext"/>
              <w:jc w:val="center"/>
              <w:rPr>
                <w:lang w:val="en-GB"/>
              </w:rPr>
            </w:pPr>
            <w:r w:rsidRPr="00FF4EBC">
              <w:rPr>
                <w:lang w:val="es-ES"/>
              </w:rPr>
              <w:t>2</w:t>
            </w:r>
          </w:p>
        </w:tc>
        <w:tc>
          <w:tcPr>
            <w:tcW w:w="1280" w:type="dxa"/>
            <w:tcBorders>
              <w:top w:val="nil"/>
              <w:left w:val="nil"/>
              <w:bottom w:val="single" w:sz="4" w:space="0" w:color="auto"/>
              <w:right w:val="single" w:sz="4" w:space="0" w:color="auto"/>
            </w:tcBorders>
            <w:shd w:val="clear" w:color="auto" w:fill="auto"/>
            <w:noWrap/>
            <w:vAlign w:val="bottom"/>
            <w:hideMark/>
          </w:tcPr>
          <w:p w14:paraId="21C605F4" w14:textId="77777777" w:rsidR="00FF4EBC" w:rsidRPr="00FF4EBC" w:rsidRDefault="00FF4EBC" w:rsidP="00C019E6">
            <w:pPr>
              <w:pStyle w:val="Tabletext"/>
              <w:jc w:val="center"/>
              <w:rPr>
                <w:lang w:val="en-GB"/>
              </w:rPr>
            </w:pPr>
            <w:r w:rsidRPr="00FF4EBC">
              <w:rPr>
                <w:lang w:val="es-ES"/>
              </w:rPr>
              <w:t>10 %</w:t>
            </w:r>
          </w:p>
        </w:tc>
      </w:tr>
      <w:tr w:rsidR="00FF4EBC" w:rsidRPr="00FF4EBC" w14:paraId="2F909711"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F78D7B5" w14:textId="77777777" w:rsidR="00FF4EBC" w:rsidRPr="00FF4EBC" w:rsidRDefault="00FF4EBC" w:rsidP="00B07FFA">
            <w:pPr>
              <w:pStyle w:val="Tabletext"/>
              <w:rPr>
                <w:lang w:val="en-GB"/>
              </w:rPr>
            </w:pPr>
            <w:r w:rsidRPr="00FF4EBC">
              <w:rPr>
                <w:lang w:val="es-ES"/>
              </w:rPr>
              <w:t>Asociados del UIT-T</w:t>
            </w:r>
          </w:p>
        </w:tc>
        <w:tc>
          <w:tcPr>
            <w:tcW w:w="1417" w:type="dxa"/>
            <w:tcBorders>
              <w:top w:val="nil"/>
              <w:left w:val="nil"/>
              <w:bottom w:val="single" w:sz="4" w:space="0" w:color="auto"/>
              <w:right w:val="single" w:sz="4" w:space="0" w:color="auto"/>
            </w:tcBorders>
            <w:shd w:val="clear" w:color="000000" w:fill="FFFFFF"/>
            <w:noWrap/>
            <w:vAlign w:val="bottom"/>
            <w:hideMark/>
          </w:tcPr>
          <w:p w14:paraId="19F80190" w14:textId="77777777" w:rsidR="00FF4EBC" w:rsidRPr="00FF4EBC" w:rsidRDefault="00FF4EBC" w:rsidP="00C019E6">
            <w:pPr>
              <w:pStyle w:val="Tabletext"/>
              <w:jc w:val="center"/>
              <w:rPr>
                <w:lang w:val="en-GB"/>
              </w:rPr>
            </w:pPr>
            <w:r w:rsidRPr="00FF4EBC">
              <w:rPr>
                <w:lang w:val="es-ES"/>
              </w:rPr>
              <w:t>162</w:t>
            </w:r>
          </w:p>
        </w:tc>
        <w:tc>
          <w:tcPr>
            <w:tcW w:w="1560" w:type="dxa"/>
            <w:tcBorders>
              <w:top w:val="nil"/>
              <w:left w:val="nil"/>
              <w:bottom w:val="single" w:sz="4" w:space="0" w:color="auto"/>
              <w:right w:val="single" w:sz="4" w:space="0" w:color="auto"/>
            </w:tcBorders>
            <w:shd w:val="clear" w:color="000000" w:fill="FFFFFF"/>
            <w:noWrap/>
            <w:vAlign w:val="bottom"/>
            <w:hideMark/>
          </w:tcPr>
          <w:p w14:paraId="5A60BDBD" w14:textId="77777777" w:rsidR="00FF4EBC" w:rsidRPr="00FF4EBC" w:rsidRDefault="00FF4EBC" w:rsidP="00C019E6">
            <w:pPr>
              <w:pStyle w:val="Tabletext"/>
              <w:jc w:val="center"/>
              <w:rPr>
                <w:lang w:val="en-GB"/>
              </w:rPr>
            </w:pPr>
            <w:r w:rsidRPr="00FF4EBC">
              <w:rPr>
                <w:lang w:val="es-ES"/>
              </w:rPr>
              <w:t>144</w:t>
            </w:r>
          </w:p>
        </w:tc>
        <w:tc>
          <w:tcPr>
            <w:tcW w:w="1255" w:type="dxa"/>
            <w:tcBorders>
              <w:top w:val="nil"/>
              <w:left w:val="nil"/>
              <w:bottom w:val="single" w:sz="4" w:space="0" w:color="auto"/>
              <w:right w:val="single" w:sz="4" w:space="0" w:color="auto"/>
            </w:tcBorders>
            <w:shd w:val="clear" w:color="000000" w:fill="FFFFFF"/>
            <w:noWrap/>
            <w:vAlign w:val="bottom"/>
            <w:hideMark/>
          </w:tcPr>
          <w:p w14:paraId="4C5BDFFD" w14:textId="77777777" w:rsidR="00FF4EBC" w:rsidRPr="00FF4EBC" w:rsidRDefault="00FF4EBC" w:rsidP="00C019E6">
            <w:pPr>
              <w:pStyle w:val="Tabletext"/>
              <w:jc w:val="center"/>
              <w:rPr>
                <w:lang w:val="en-GB"/>
              </w:rPr>
            </w:pPr>
            <w:r w:rsidRPr="00FF4EBC">
              <w:rPr>
                <w:lang w:val="es-ES"/>
              </w:rPr>
              <w:t>−18</w:t>
            </w:r>
          </w:p>
        </w:tc>
        <w:tc>
          <w:tcPr>
            <w:tcW w:w="1280" w:type="dxa"/>
            <w:tcBorders>
              <w:top w:val="nil"/>
              <w:left w:val="nil"/>
              <w:bottom w:val="single" w:sz="4" w:space="0" w:color="auto"/>
              <w:right w:val="single" w:sz="4" w:space="0" w:color="auto"/>
            </w:tcBorders>
            <w:shd w:val="clear" w:color="auto" w:fill="auto"/>
            <w:noWrap/>
            <w:vAlign w:val="bottom"/>
            <w:hideMark/>
          </w:tcPr>
          <w:p w14:paraId="7BACCF10" w14:textId="77777777" w:rsidR="00FF4EBC" w:rsidRPr="00FF4EBC" w:rsidRDefault="00FF4EBC" w:rsidP="00C019E6">
            <w:pPr>
              <w:pStyle w:val="Tabletext"/>
              <w:jc w:val="center"/>
              <w:rPr>
                <w:lang w:val="en-GB"/>
              </w:rPr>
            </w:pPr>
            <w:r w:rsidRPr="00FF4EBC">
              <w:rPr>
                <w:lang w:val="es-ES"/>
              </w:rPr>
              <w:t>−11%</w:t>
            </w:r>
          </w:p>
        </w:tc>
      </w:tr>
      <w:tr w:rsidR="00FF4EBC" w:rsidRPr="00FF4EBC" w14:paraId="32EA6292"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59004390" w14:textId="77777777" w:rsidR="00FF4EBC" w:rsidRPr="00FF4EBC" w:rsidRDefault="00FF4EBC" w:rsidP="00B07FFA">
            <w:pPr>
              <w:pStyle w:val="Tabletext"/>
              <w:rPr>
                <w:lang w:val="en-GB"/>
              </w:rPr>
            </w:pPr>
            <w:r w:rsidRPr="00FF4EBC">
              <w:rPr>
                <w:lang w:val="es-ES"/>
              </w:rPr>
              <w:t>Asociados del UIT-D</w:t>
            </w:r>
          </w:p>
        </w:tc>
        <w:tc>
          <w:tcPr>
            <w:tcW w:w="1417" w:type="dxa"/>
            <w:tcBorders>
              <w:top w:val="nil"/>
              <w:left w:val="nil"/>
              <w:bottom w:val="single" w:sz="4" w:space="0" w:color="auto"/>
              <w:right w:val="single" w:sz="4" w:space="0" w:color="auto"/>
            </w:tcBorders>
            <w:shd w:val="clear" w:color="000000" w:fill="FFFFFF"/>
            <w:noWrap/>
            <w:vAlign w:val="bottom"/>
            <w:hideMark/>
          </w:tcPr>
          <w:p w14:paraId="7A2CC3BA" w14:textId="77777777" w:rsidR="00FF4EBC" w:rsidRPr="00FF4EBC" w:rsidRDefault="00FF4EBC" w:rsidP="00C019E6">
            <w:pPr>
              <w:pStyle w:val="Tabletext"/>
              <w:jc w:val="center"/>
              <w:rPr>
                <w:lang w:val="en-GB"/>
              </w:rPr>
            </w:pPr>
            <w:r w:rsidRPr="00FF4EBC">
              <w:rPr>
                <w:lang w:val="es-ES"/>
              </w:rPr>
              <w:t>12</w:t>
            </w:r>
          </w:p>
        </w:tc>
        <w:tc>
          <w:tcPr>
            <w:tcW w:w="1560" w:type="dxa"/>
            <w:tcBorders>
              <w:top w:val="nil"/>
              <w:left w:val="nil"/>
              <w:bottom w:val="single" w:sz="4" w:space="0" w:color="auto"/>
              <w:right w:val="single" w:sz="4" w:space="0" w:color="auto"/>
            </w:tcBorders>
            <w:shd w:val="clear" w:color="000000" w:fill="FFFFFF"/>
            <w:noWrap/>
            <w:vAlign w:val="bottom"/>
            <w:hideMark/>
          </w:tcPr>
          <w:p w14:paraId="225D9D4D" w14:textId="77777777" w:rsidR="00FF4EBC" w:rsidRPr="00FF4EBC" w:rsidRDefault="00FF4EBC" w:rsidP="00C019E6">
            <w:pPr>
              <w:pStyle w:val="Tabletext"/>
              <w:jc w:val="center"/>
              <w:rPr>
                <w:lang w:val="en-GB"/>
              </w:rPr>
            </w:pPr>
            <w:r w:rsidRPr="00FF4EBC">
              <w:rPr>
                <w:lang w:val="es-ES"/>
              </w:rPr>
              <w:t>19</w:t>
            </w:r>
          </w:p>
        </w:tc>
        <w:tc>
          <w:tcPr>
            <w:tcW w:w="1255" w:type="dxa"/>
            <w:tcBorders>
              <w:top w:val="nil"/>
              <w:left w:val="nil"/>
              <w:bottom w:val="single" w:sz="4" w:space="0" w:color="auto"/>
              <w:right w:val="single" w:sz="4" w:space="0" w:color="auto"/>
            </w:tcBorders>
            <w:shd w:val="clear" w:color="000000" w:fill="FFFFFF"/>
            <w:noWrap/>
            <w:vAlign w:val="bottom"/>
            <w:hideMark/>
          </w:tcPr>
          <w:p w14:paraId="7C6847A5" w14:textId="77777777" w:rsidR="00FF4EBC" w:rsidRPr="00FF4EBC" w:rsidRDefault="00FF4EBC" w:rsidP="00C019E6">
            <w:pPr>
              <w:pStyle w:val="Tabletext"/>
              <w:jc w:val="center"/>
              <w:rPr>
                <w:lang w:val="en-GB"/>
              </w:rPr>
            </w:pPr>
            <w:r w:rsidRPr="00FF4EBC">
              <w:rPr>
                <w:lang w:val="es-ES"/>
              </w:rPr>
              <w:t>7</w:t>
            </w:r>
          </w:p>
        </w:tc>
        <w:tc>
          <w:tcPr>
            <w:tcW w:w="1280" w:type="dxa"/>
            <w:tcBorders>
              <w:top w:val="nil"/>
              <w:left w:val="nil"/>
              <w:bottom w:val="single" w:sz="4" w:space="0" w:color="auto"/>
              <w:right w:val="single" w:sz="4" w:space="0" w:color="auto"/>
            </w:tcBorders>
            <w:shd w:val="clear" w:color="auto" w:fill="auto"/>
            <w:noWrap/>
            <w:vAlign w:val="bottom"/>
            <w:hideMark/>
          </w:tcPr>
          <w:p w14:paraId="47917961" w14:textId="77777777" w:rsidR="00FF4EBC" w:rsidRPr="00FF4EBC" w:rsidRDefault="00FF4EBC" w:rsidP="00C019E6">
            <w:pPr>
              <w:pStyle w:val="Tabletext"/>
              <w:jc w:val="center"/>
              <w:rPr>
                <w:lang w:val="en-GB"/>
              </w:rPr>
            </w:pPr>
            <w:r w:rsidRPr="00FF4EBC">
              <w:rPr>
                <w:lang w:val="es-ES"/>
              </w:rPr>
              <w:t>58 %</w:t>
            </w:r>
          </w:p>
        </w:tc>
      </w:tr>
      <w:tr w:rsidR="00FF4EBC" w:rsidRPr="00FF4EBC" w14:paraId="0E02F7D3"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64D436D4" w14:textId="77777777" w:rsidR="00FF4EBC" w:rsidRPr="00FF4EBC" w:rsidRDefault="00FF4EBC" w:rsidP="00B07FFA">
            <w:pPr>
              <w:pStyle w:val="Tabletext"/>
              <w:rPr>
                <w:b/>
                <w:bCs/>
                <w:lang w:val="en-GB"/>
              </w:rPr>
            </w:pPr>
            <w:r w:rsidRPr="00FF4EBC">
              <w:rPr>
                <w:b/>
                <w:bCs/>
                <w:lang w:val="es-ES"/>
              </w:rPr>
              <w:t>Total</w:t>
            </w:r>
            <w:r w:rsidRPr="00FF4EBC">
              <w:rPr>
                <w:lang w:val="es-ES"/>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14:paraId="3C486145" w14:textId="77777777" w:rsidR="00FF4EBC" w:rsidRPr="00FF4EBC" w:rsidRDefault="00FF4EBC" w:rsidP="00C019E6">
            <w:pPr>
              <w:pStyle w:val="Tabletext"/>
              <w:jc w:val="center"/>
              <w:rPr>
                <w:b/>
                <w:bCs/>
                <w:lang w:val="en-GB"/>
              </w:rPr>
            </w:pPr>
            <w:r w:rsidRPr="00FF4EBC">
              <w:rPr>
                <w:b/>
                <w:bCs/>
                <w:lang w:val="es-ES"/>
              </w:rPr>
              <w:t>194</w:t>
            </w:r>
          </w:p>
        </w:tc>
        <w:tc>
          <w:tcPr>
            <w:tcW w:w="1560" w:type="dxa"/>
            <w:tcBorders>
              <w:top w:val="nil"/>
              <w:left w:val="nil"/>
              <w:bottom w:val="single" w:sz="4" w:space="0" w:color="auto"/>
              <w:right w:val="single" w:sz="4" w:space="0" w:color="auto"/>
            </w:tcBorders>
            <w:shd w:val="clear" w:color="000000" w:fill="FFFFFF"/>
            <w:noWrap/>
            <w:vAlign w:val="bottom"/>
            <w:hideMark/>
          </w:tcPr>
          <w:p w14:paraId="3FC87061" w14:textId="77777777" w:rsidR="00FF4EBC" w:rsidRPr="00FF4EBC" w:rsidRDefault="00FF4EBC" w:rsidP="00C019E6">
            <w:pPr>
              <w:pStyle w:val="Tabletext"/>
              <w:jc w:val="center"/>
              <w:rPr>
                <w:b/>
                <w:bCs/>
                <w:lang w:val="en-GB"/>
              </w:rPr>
            </w:pPr>
            <w:r w:rsidRPr="00FF4EBC">
              <w:rPr>
                <w:b/>
                <w:bCs/>
                <w:lang w:val="es-ES"/>
              </w:rPr>
              <w:t>185</w:t>
            </w:r>
          </w:p>
        </w:tc>
        <w:tc>
          <w:tcPr>
            <w:tcW w:w="1255" w:type="dxa"/>
            <w:tcBorders>
              <w:top w:val="nil"/>
              <w:left w:val="nil"/>
              <w:bottom w:val="single" w:sz="4" w:space="0" w:color="auto"/>
              <w:right w:val="single" w:sz="4" w:space="0" w:color="auto"/>
            </w:tcBorders>
            <w:shd w:val="clear" w:color="000000" w:fill="FFFFFF"/>
            <w:noWrap/>
            <w:vAlign w:val="bottom"/>
            <w:hideMark/>
          </w:tcPr>
          <w:p w14:paraId="078C0AB0" w14:textId="77777777" w:rsidR="00FF4EBC" w:rsidRPr="00FF4EBC" w:rsidRDefault="00FF4EBC" w:rsidP="00C019E6">
            <w:pPr>
              <w:pStyle w:val="Tabletext"/>
              <w:jc w:val="center"/>
              <w:rPr>
                <w:b/>
                <w:bCs/>
                <w:lang w:val="en-GB"/>
              </w:rPr>
            </w:pPr>
            <w:r w:rsidRPr="00FF4EBC">
              <w:rPr>
                <w:b/>
                <w:bCs/>
                <w:lang w:val="es-ES"/>
              </w:rPr>
              <w:t>−9</w:t>
            </w:r>
          </w:p>
        </w:tc>
        <w:tc>
          <w:tcPr>
            <w:tcW w:w="1280" w:type="dxa"/>
            <w:tcBorders>
              <w:top w:val="nil"/>
              <w:left w:val="nil"/>
              <w:bottom w:val="single" w:sz="4" w:space="0" w:color="auto"/>
              <w:right w:val="single" w:sz="4" w:space="0" w:color="auto"/>
            </w:tcBorders>
            <w:shd w:val="clear" w:color="auto" w:fill="auto"/>
            <w:noWrap/>
            <w:vAlign w:val="bottom"/>
            <w:hideMark/>
          </w:tcPr>
          <w:p w14:paraId="2282C66D" w14:textId="77777777" w:rsidR="00FF4EBC" w:rsidRPr="00FF4EBC" w:rsidRDefault="00FF4EBC" w:rsidP="00C019E6">
            <w:pPr>
              <w:pStyle w:val="Tabletext"/>
              <w:jc w:val="center"/>
              <w:rPr>
                <w:b/>
                <w:bCs/>
                <w:lang w:val="en-GB"/>
              </w:rPr>
            </w:pPr>
            <w:r w:rsidRPr="00FF4EBC">
              <w:rPr>
                <w:b/>
                <w:bCs/>
                <w:lang w:val="es-ES"/>
              </w:rPr>
              <w:t>−5%</w:t>
            </w:r>
          </w:p>
        </w:tc>
      </w:tr>
      <w:tr w:rsidR="00FF4EBC" w:rsidRPr="00FF4EBC" w14:paraId="428B1AA5" w14:textId="77777777" w:rsidTr="00B07FFA">
        <w:trPr>
          <w:cantSplit/>
          <w:jc w:val="center"/>
        </w:trPr>
        <w:tc>
          <w:tcPr>
            <w:tcW w:w="4248" w:type="dxa"/>
            <w:tcBorders>
              <w:top w:val="nil"/>
              <w:left w:val="nil"/>
              <w:bottom w:val="nil"/>
              <w:right w:val="nil"/>
            </w:tcBorders>
            <w:shd w:val="clear" w:color="000000" w:fill="FFFFFF"/>
            <w:vAlign w:val="bottom"/>
            <w:hideMark/>
          </w:tcPr>
          <w:p w14:paraId="22EA2448" w14:textId="77777777" w:rsidR="00FF4EBC" w:rsidRPr="00FF4EBC" w:rsidRDefault="00FF4EBC" w:rsidP="00B07FFA">
            <w:pPr>
              <w:pStyle w:val="Tabletext"/>
              <w:rPr>
                <w:lang w:val="en-GB"/>
              </w:rPr>
            </w:pPr>
            <w:r w:rsidRPr="00FF4EBC">
              <w:rPr>
                <w:lang w:val="en-GB"/>
              </w:rPr>
              <w:t> </w:t>
            </w:r>
          </w:p>
        </w:tc>
        <w:tc>
          <w:tcPr>
            <w:tcW w:w="1417" w:type="dxa"/>
            <w:tcBorders>
              <w:top w:val="nil"/>
              <w:left w:val="nil"/>
              <w:bottom w:val="nil"/>
              <w:right w:val="nil"/>
            </w:tcBorders>
            <w:shd w:val="clear" w:color="000000" w:fill="FFFFFF"/>
            <w:noWrap/>
            <w:vAlign w:val="bottom"/>
            <w:hideMark/>
          </w:tcPr>
          <w:p w14:paraId="0B7EB4B4" w14:textId="77777777" w:rsidR="00FF4EBC" w:rsidRPr="00FF4EBC" w:rsidRDefault="00FF4EBC" w:rsidP="00B07FFA">
            <w:pPr>
              <w:pStyle w:val="Tabletext"/>
              <w:rPr>
                <w:lang w:val="en-GB"/>
              </w:rPr>
            </w:pPr>
            <w:r w:rsidRPr="00FF4EBC">
              <w:rPr>
                <w:lang w:val="en-GB"/>
              </w:rPr>
              <w:t> </w:t>
            </w:r>
          </w:p>
        </w:tc>
        <w:tc>
          <w:tcPr>
            <w:tcW w:w="1560" w:type="dxa"/>
            <w:tcBorders>
              <w:top w:val="nil"/>
              <w:left w:val="nil"/>
              <w:bottom w:val="nil"/>
              <w:right w:val="nil"/>
            </w:tcBorders>
            <w:shd w:val="clear" w:color="000000" w:fill="FFFFFF"/>
            <w:noWrap/>
            <w:vAlign w:val="bottom"/>
            <w:hideMark/>
          </w:tcPr>
          <w:p w14:paraId="16E70900" w14:textId="77777777" w:rsidR="00FF4EBC" w:rsidRPr="00FF4EBC" w:rsidRDefault="00FF4EBC" w:rsidP="00B07FFA">
            <w:pPr>
              <w:pStyle w:val="Tabletext"/>
              <w:rPr>
                <w:lang w:val="en-GB"/>
              </w:rPr>
            </w:pPr>
            <w:r w:rsidRPr="00FF4EBC">
              <w:rPr>
                <w:lang w:val="en-GB"/>
              </w:rPr>
              <w:t> </w:t>
            </w:r>
          </w:p>
        </w:tc>
        <w:tc>
          <w:tcPr>
            <w:tcW w:w="1255" w:type="dxa"/>
            <w:tcBorders>
              <w:top w:val="nil"/>
              <w:left w:val="nil"/>
              <w:bottom w:val="nil"/>
              <w:right w:val="nil"/>
            </w:tcBorders>
            <w:shd w:val="clear" w:color="000000" w:fill="FFFFFF"/>
            <w:noWrap/>
            <w:vAlign w:val="bottom"/>
            <w:hideMark/>
          </w:tcPr>
          <w:p w14:paraId="385113E6" w14:textId="77777777" w:rsidR="00FF4EBC" w:rsidRPr="00FF4EBC" w:rsidRDefault="00FF4EBC" w:rsidP="00B07FFA">
            <w:pPr>
              <w:pStyle w:val="Tabletext"/>
              <w:rPr>
                <w:lang w:val="en-GB"/>
              </w:rPr>
            </w:pPr>
            <w:r w:rsidRPr="00FF4EBC">
              <w:rPr>
                <w:lang w:val="en-GB"/>
              </w:rPr>
              <w:t> </w:t>
            </w:r>
          </w:p>
        </w:tc>
        <w:tc>
          <w:tcPr>
            <w:tcW w:w="1280" w:type="dxa"/>
            <w:tcBorders>
              <w:top w:val="nil"/>
              <w:left w:val="nil"/>
              <w:bottom w:val="nil"/>
              <w:right w:val="nil"/>
            </w:tcBorders>
            <w:shd w:val="clear" w:color="auto" w:fill="auto"/>
            <w:noWrap/>
            <w:vAlign w:val="bottom"/>
            <w:hideMark/>
          </w:tcPr>
          <w:p w14:paraId="197542A9" w14:textId="77777777" w:rsidR="00FF4EBC" w:rsidRPr="00FF4EBC" w:rsidRDefault="00FF4EBC" w:rsidP="00B07FFA">
            <w:pPr>
              <w:pStyle w:val="Tabletext"/>
              <w:rPr>
                <w:lang w:val="en-GB"/>
              </w:rPr>
            </w:pPr>
          </w:p>
        </w:tc>
      </w:tr>
      <w:tr w:rsidR="00FF4EBC" w:rsidRPr="00FF4EBC" w14:paraId="2B24D35C" w14:textId="77777777" w:rsidTr="00B07FFA">
        <w:trPr>
          <w:cantSplit/>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A1031" w14:textId="77777777" w:rsidR="00FF4EBC" w:rsidRPr="00FF4EBC" w:rsidRDefault="00FF4EBC" w:rsidP="00B07FFA">
            <w:pPr>
              <w:pStyle w:val="Tabletext"/>
              <w:rPr>
                <w:b/>
                <w:lang w:val="en-GB"/>
              </w:rPr>
            </w:pPr>
            <w:r w:rsidRPr="00FF4EBC">
              <w:rPr>
                <w:b/>
                <w:bCs/>
                <w:lang w:val="es-ES"/>
              </w:rPr>
              <w:t>Pymes Asociadas*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9C295A" w14:textId="77777777" w:rsidR="00FF4EBC" w:rsidRPr="00FF4EBC" w:rsidRDefault="00FF4EBC" w:rsidP="00C019E6">
            <w:pPr>
              <w:pStyle w:val="Tabletext"/>
              <w:jc w:val="center"/>
              <w:rPr>
                <w:b/>
                <w:lang w:val="en-GB"/>
              </w:rPr>
            </w:pPr>
            <w:r w:rsidRPr="00FF4EBC">
              <w:rPr>
                <w:b/>
                <w:bCs/>
                <w:lang w:val="es-ES"/>
              </w:rPr>
              <w:t>Número de pymes PP-22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EB3DC8" w14:textId="77777777" w:rsidR="00FF4EBC" w:rsidRPr="00FF4EBC" w:rsidRDefault="00FF4EBC" w:rsidP="00C019E6">
            <w:pPr>
              <w:pStyle w:val="Tabletext"/>
              <w:jc w:val="center"/>
              <w:rPr>
                <w:b/>
                <w:lang w:val="en-GB"/>
              </w:rPr>
            </w:pPr>
            <w:r w:rsidRPr="00FF4EBC">
              <w:rPr>
                <w:b/>
                <w:bCs/>
                <w:lang w:val="es-ES"/>
              </w:rPr>
              <w:t>Núm. de pymes a 28/02/2025</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CAE0490" w14:textId="77777777" w:rsidR="00FF4EBC" w:rsidRPr="00FF4EBC" w:rsidRDefault="00FF4EBC" w:rsidP="00C019E6">
            <w:pPr>
              <w:pStyle w:val="Tabletext"/>
              <w:jc w:val="center"/>
              <w:rPr>
                <w:b/>
                <w:lang w:val="en-GB"/>
              </w:rPr>
            </w:pPr>
            <w:r w:rsidRPr="00FF4EBC">
              <w:rPr>
                <w:b/>
                <w:bCs/>
                <w:lang w:val="es-ES"/>
              </w:rPr>
              <w:t>Diferencia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AF1D928" w14:textId="77777777" w:rsidR="00FF4EBC" w:rsidRPr="00FF4EBC" w:rsidRDefault="00FF4EBC" w:rsidP="00C019E6">
            <w:pPr>
              <w:pStyle w:val="Tabletext"/>
              <w:jc w:val="center"/>
              <w:rPr>
                <w:b/>
                <w:lang w:val="en-GB"/>
              </w:rPr>
            </w:pPr>
            <w:r w:rsidRPr="00FF4EBC">
              <w:rPr>
                <w:b/>
                <w:bCs/>
                <w:lang w:val="es-ES"/>
              </w:rPr>
              <w:t>Diferencia en %</w:t>
            </w:r>
          </w:p>
        </w:tc>
      </w:tr>
      <w:tr w:rsidR="00FF4EBC" w:rsidRPr="00FF4EBC" w14:paraId="48853AA5"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ECD45C4" w14:textId="77777777" w:rsidR="00FF4EBC" w:rsidRPr="00FF4EBC" w:rsidRDefault="00FF4EBC" w:rsidP="00B07FFA">
            <w:pPr>
              <w:pStyle w:val="Tabletext"/>
              <w:rPr>
                <w:lang w:val="en-GB"/>
              </w:rPr>
            </w:pPr>
            <w:r w:rsidRPr="00FF4EBC">
              <w:rPr>
                <w:lang w:val="es-ES"/>
              </w:rPr>
              <w:t>Asociados del UIT-R</w:t>
            </w:r>
          </w:p>
        </w:tc>
        <w:tc>
          <w:tcPr>
            <w:tcW w:w="1417" w:type="dxa"/>
            <w:tcBorders>
              <w:top w:val="nil"/>
              <w:left w:val="nil"/>
              <w:bottom w:val="single" w:sz="4" w:space="0" w:color="auto"/>
              <w:right w:val="single" w:sz="4" w:space="0" w:color="auto"/>
            </w:tcBorders>
            <w:shd w:val="clear" w:color="000000" w:fill="FFFFFF"/>
            <w:noWrap/>
            <w:vAlign w:val="bottom"/>
            <w:hideMark/>
          </w:tcPr>
          <w:p w14:paraId="63FA45C5" w14:textId="77777777" w:rsidR="00FF4EBC" w:rsidRPr="00FF4EBC" w:rsidRDefault="00FF4EBC" w:rsidP="00C019E6">
            <w:pPr>
              <w:pStyle w:val="Tabletext"/>
              <w:jc w:val="center"/>
              <w:rPr>
                <w:lang w:val="en-GB"/>
              </w:rPr>
            </w:pPr>
            <w:r w:rsidRPr="00FF4EBC">
              <w:rPr>
                <w:lang w:val="es-ES"/>
              </w:rPr>
              <w:t>18</w:t>
            </w:r>
          </w:p>
        </w:tc>
        <w:tc>
          <w:tcPr>
            <w:tcW w:w="1560" w:type="dxa"/>
            <w:tcBorders>
              <w:top w:val="nil"/>
              <w:left w:val="nil"/>
              <w:bottom w:val="single" w:sz="4" w:space="0" w:color="auto"/>
              <w:right w:val="single" w:sz="4" w:space="0" w:color="auto"/>
            </w:tcBorders>
            <w:shd w:val="clear" w:color="000000" w:fill="FFFFFF"/>
            <w:noWrap/>
            <w:vAlign w:val="bottom"/>
            <w:hideMark/>
          </w:tcPr>
          <w:p w14:paraId="1353810B" w14:textId="77777777" w:rsidR="00FF4EBC" w:rsidRPr="00FF4EBC" w:rsidRDefault="00FF4EBC" w:rsidP="00C019E6">
            <w:pPr>
              <w:pStyle w:val="Tabletext"/>
              <w:jc w:val="center"/>
              <w:rPr>
                <w:lang w:val="en-GB"/>
              </w:rPr>
            </w:pPr>
            <w:r w:rsidRPr="00FF4EBC">
              <w:rPr>
                <w:lang w:val="es-ES"/>
              </w:rPr>
              <w:t>20</w:t>
            </w:r>
          </w:p>
        </w:tc>
        <w:tc>
          <w:tcPr>
            <w:tcW w:w="1255" w:type="dxa"/>
            <w:tcBorders>
              <w:top w:val="nil"/>
              <w:left w:val="nil"/>
              <w:bottom w:val="single" w:sz="4" w:space="0" w:color="auto"/>
              <w:right w:val="single" w:sz="4" w:space="0" w:color="auto"/>
            </w:tcBorders>
            <w:shd w:val="clear" w:color="000000" w:fill="FFFFFF"/>
            <w:noWrap/>
            <w:vAlign w:val="bottom"/>
            <w:hideMark/>
          </w:tcPr>
          <w:p w14:paraId="058A3ABF" w14:textId="77777777" w:rsidR="00FF4EBC" w:rsidRPr="00FF4EBC" w:rsidRDefault="00FF4EBC" w:rsidP="00C019E6">
            <w:pPr>
              <w:pStyle w:val="Tabletext"/>
              <w:jc w:val="center"/>
              <w:rPr>
                <w:lang w:val="en-GB"/>
              </w:rPr>
            </w:pPr>
            <w:r w:rsidRPr="00FF4EBC">
              <w:rPr>
                <w:lang w:val="es-ES"/>
              </w:rPr>
              <w:t>2</w:t>
            </w:r>
          </w:p>
        </w:tc>
        <w:tc>
          <w:tcPr>
            <w:tcW w:w="1280" w:type="dxa"/>
            <w:tcBorders>
              <w:top w:val="nil"/>
              <w:left w:val="nil"/>
              <w:bottom w:val="single" w:sz="4" w:space="0" w:color="auto"/>
              <w:right w:val="single" w:sz="4" w:space="0" w:color="auto"/>
            </w:tcBorders>
            <w:shd w:val="clear" w:color="auto" w:fill="auto"/>
            <w:noWrap/>
            <w:vAlign w:val="bottom"/>
            <w:hideMark/>
          </w:tcPr>
          <w:p w14:paraId="22FC6A42" w14:textId="77777777" w:rsidR="00FF4EBC" w:rsidRPr="00FF4EBC" w:rsidRDefault="00FF4EBC" w:rsidP="00C019E6">
            <w:pPr>
              <w:pStyle w:val="Tabletext"/>
              <w:jc w:val="center"/>
              <w:rPr>
                <w:lang w:val="en-GB"/>
              </w:rPr>
            </w:pPr>
            <w:r w:rsidRPr="00FF4EBC">
              <w:rPr>
                <w:lang w:val="es-ES"/>
              </w:rPr>
              <w:t>11 %</w:t>
            </w:r>
          </w:p>
        </w:tc>
      </w:tr>
      <w:tr w:rsidR="00FF4EBC" w:rsidRPr="00FF4EBC" w14:paraId="0BAD4900"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3A27AF86" w14:textId="77777777" w:rsidR="00FF4EBC" w:rsidRPr="00FF4EBC" w:rsidRDefault="00FF4EBC" w:rsidP="00B07FFA">
            <w:pPr>
              <w:pStyle w:val="Tabletext"/>
              <w:rPr>
                <w:lang w:val="en-GB"/>
              </w:rPr>
            </w:pPr>
            <w:r w:rsidRPr="00FF4EBC">
              <w:rPr>
                <w:lang w:val="es-ES"/>
              </w:rPr>
              <w:t>Asociados del UIT-T</w:t>
            </w:r>
          </w:p>
        </w:tc>
        <w:tc>
          <w:tcPr>
            <w:tcW w:w="1417" w:type="dxa"/>
            <w:tcBorders>
              <w:top w:val="nil"/>
              <w:left w:val="nil"/>
              <w:bottom w:val="single" w:sz="4" w:space="0" w:color="auto"/>
              <w:right w:val="single" w:sz="4" w:space="0" w:color="auto"/>
            </w:tcBorders>
            <w:shd w:val="clear" w:color="000000" w:fill="FFFFFF"/>
            <w:noWrap/>
            <w:vAlign w:val="bottom"/>
            <w:hideMark/>
          </w:tcPr>
          <w:p w14:paraId="1F856A85" w14:textId="77777777" w:rsidR="00FF4EBC" w:rsidRPr="00FF4EBC" w:rsidRDefault="00FF4EBC" w:rsidP="00C019E6">
            <w:pPr>
              <w:pStyle w:val="Tabletext"/>
              <w:jc w:val="center"/>
              <w:rPr>
                <w:lang w:val="en-GB"/>
              </w:rPr>
            </w:pPr>
            <w:r w:rsidRPr="00FF4EBC">
              <w:rPr>
                <w:lang w:val="es-ES"/>
              </w:rPr>
              <w:t>52</w:t>
            </w:r>
          </w:p>
        </w:tc>
        <w:tc>
          <w:tcPr>
            <w:tcW w:w="1560" w:type="dxa"/>
            <w:tcBorders>
              <w:top w:val="nil"/>
              <w:left w:val="nil"/>
              <w:bottom w:val="single" w:sz="4" w:space="0" w:color="auto"/>
              <w:right w:val="single" w:sz="4" w:space="0" w:color="auto"/>
            </w:tcBorders>
            <w:shd w:val="clear" w:color="000000" w:fill="FFFFFF"/>
            <w:noWrap/>
            <w:vAlign w:val="bottom"/>
            <w:hideMark/>
          </w:tcPr>
          <w:p w14:paraId="5C5424B1" w14:textId="77777777" w:rsidR="00FF4EBC" w:rsidRPr="00FF4EBC" w:rsidRDefault="00FF4EBC" w:rsidP="00C019E6">
            <w:pPr>
              <w:pStyle w:val="Tabletext"/>
              <w:jc w:val="center"/>
              <w:rPr>
                <w:lang w:val="en-GB"/>
              </w:rPr>
            </w:pPr>
            <w:r w:rsidRPr="00FF4EBC">
              <w:rPr>
                <w:lang w:val="es-ES"/>
              </w:rPr>
              <w:t>73</w:t>
            </w:r>
          </w:p>
        </w:tc>
        <w:tc>
          <w:tcPr>
            <w:tcW w:w="1255" w:type="dxa"/>
            <w:tcBorders>
              <w:top w:val="nil"/>
              <w:left w:val="nil"/>
              <w:bottom w:val="single" w:sz="4" w:space="0" w:color="auto"/>
              <w:right w:val="single" w:sz="4" w:space="0" w:color="auto"/>
            </w:tcBorders>
            <w:shd w:val="clear" w:color="000000" w:fill="FFFFFF"/>
            <w:noWrap/>
            <w:vAlign w:val="bottom"/>
            <w:hideMark/>
          </w:tcPr>
          <w:p w14:paraId="231072DE" w14:textId="77777777" w:rsidR="00FF4EBC" w:rsidRPr="00FF4EBC" w:rsidRDefault="00FF4EBC" w:rsidP="00C019E6">
            <w:pPr>
              <w:pStyle w:val="Tabletext"/>
              <w:jc w:val="center"/>
              <w:rPr>
                <w:lang w:val="en-GB"/>
              </w:rPr>
            </w:pPr>
            <w:r w:rsidRPr="00FF4EBC">
              <w:rPr>
                <w:lang w:val="es-ES"/>
              </w:rPr>
              <w:t>21</w:t>
            </w:r>
          </w:p>
        </w:tc>
        <w:tc>
          <w:tcPr>
            <w:tcW w:w="1280" w:type="dxa"/>
            <w:tcBorders>
              <w:top w:val="nil"/>
              <w:left w:val="nil"/>
              <w:bottom w:val="single" w:sz="4" w:space="0" w:color="auto"/>
              <w:right w:val="single" w:sz="4" w:space="0" w:color="auto"/>
            </w:tcBorders>
            <w:shd w:val="clear" w:color="auto" w:fill="auto"/>
            <w:noWrap/>
            <w:vAlign w:val="bottom"/>
            <w:hideMark/>
          </w:tcPr>
          <w:p w14:paraId="49137CF3" w14:textId="77777777" w:rsidR="00FF4EBC" w:rsidRPr="00FF4EBC" w:rsidRDefault="00FF4EBC" w:rsidP="00C019E6">
            <w:pPr>
              <w:pStyle w:val="Tabletext"/>
              <w:jc w:val="center"/>
              <w:rPr>
                <w:lang w:val="en-GB"/>
              </w:rPr>
            </w:pPr>
            <w:r w:rsidRPr="00FF4EBC">
              <w:rPr>
                <w:lang w:val="es-ES"/>
              </w:rPr>
              <w:t>40 %</w:t>
            </w:r>
          </w:p>
        </w:tc>
      </w:tr>
      <w:tr w:rsidR="00FF4EBC" w:rsidRPr="00FF4EBC" w14:paraId="7BBAEC80"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11D64CDC" w14:textId="77777777" w:rsidR="00FF4EBC" w:rsidRPr="00FF4EBC" w:rsidRDefault="00FF4EBC" w:rsidP="00B07FFA">
            <w:pPr>
              <w:pStyle w:val="Tabletext"/>
              <w:rPr>
                <w:lang w:val="en-GB"/>
              </w:rPr>
            </w:pPr>
            <w:r w:rsidRPr="00FF4EBC">
              <w:rPr>
                <w:lang w:val="es-ES"/>
              </w:rPr>
              <w:t>Asociados del UIT-D</w:t>
            </w:r>
          </w:p>
        </w:tc>
        <w:tc>
          <w:tcPr>
            <w:tcW w:w="1417" w:type="dxa"/>
            <w:tcBorders>
              <w:top w:val="nil"/>
              <w:left w:val="nil"/>
              <w:bottom w:val="single" w:sz="4" w:space="0" w:color="auto"/>
              <w:right w:val="single" w:sz="4" w:space="0" w:color="auto"/>
            </w:tcBorders>
            <w:shd w:val="clear" w:color="000000" w:fill="FFFFFF"/>
            <w:noWrap/>
            <w:vAlign w:val="bottom"/>
            <w:hideMark/>
          </w:tcPr>
          <w:p w14:paraId="654F4ED0" w14:textId="77777777" w:rsidR="00FF4EBC" w:rsidRPr="00FF4EBC" w:rsidRDefault="00FF4EBC" w:rsidP="00C019E6">
            <w:pPr>
              <w:pStyle w:val="Tabletext"/>
              <w:jc w:val="center"/>
              <w:rPr>
                <w:lang w:val="en-GB"/>
              </w:rPr>
            </w:pPr>
            <w:r w:rsidRPr="00FF4EBC">
              <w:rPr>
                <w:lang w:val="es-ES"/>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2E8F78ED" w14:textId="77777777" w:rsidR="00FF4EBC" w:rsidRPr="00FF4EBC" w:rsidRDefault="00FF4EBC" w:rsidP="00C019E6">
            <w:pPr>
              <w:pStyle w:val="Tabletext"/>
              <w:jc w:val="center"/>
              <w:rPr>
                <w:lang w:val="en-GB"/>
              </w:rPr>
            </w:pPr>
            <w:r w:rsidRPr="00FF4EBC">
              <w:rPr>
                <w:lang w:val="es-ES"/>
              </w:rPr>
              <w:t>0</w:t>
            </w:r>
          </w:p>
        </w:tc>
        <w:tc>
          <w:tcPr>
            <w:tcW w:w="1255" w:type="dxa"/>
            <w:tcBorders>
              <w:top w:val="nil"/>
              <w:left w:val="nil"/>
              <w:bottom w:val="single" w:sz="4" w:space="0" w:color="auto"/>
              <w:right w:val="single" w:sz="4" w:space="0" w:color="auto"/>
            </w:tcBorders>
            <w:shd w:val="clear" w:color="000000" w:fill="FFFFFF"/>
            <w:noWrap/>
            <w:vAlign w:val="bottom"/>
            <w:hideMark/>
          </w:tcPr>
          <w:p w14:paraId="511EDD22" w14:textId="77777777" w:rsidR="00FF4EBC" w:rsidRPr="00FF4EBC" w:rsidRDefault="00FF4EBC" w:rsidP="00C019E6">
            <w:pPr>
              <w:pStyle w:val="Tabletext"/>
              <w:jc w:val="center"/>
              <w:rPr>
                <w:lang w:val="en-GB"/>
              </w:rPr>
            </w:pPr>
            <w:r w:rsidRPr="00FF4EBC">
              <w:rPr>
                <w:lang w:val="es-ES"/>
              </w:rPr>
              <w:t>0</w:t>
            </w:r>
          </w:p>
        </w:tc>
        <w:tc>
          <w:tcPr>
            <w:tcW w:w="1280" w:type="dxa"/>
            <w:tcBorders>
              <w:top w:val="nil"/>
              <w:left w:val="nil"/>
              <w:bottom w:val="single" w:sz="4" w:space="0" w:color="auto"/>
              <w:right w:val="single" w:sz="4" w:space="0" w:color="auto"/>
            </w:tcBorders>
            <w:shd w:val="clear" w:color="auto" w:fill="auto"/>
            <w:noWrap/>
            <w:vAlign w:val="bottom"/>
            <w:hideMark/>
          </w:tcPr>
          <w:p w14:paraId="281654AB" w14:textId="77777777" w:rsidR="00FF4EBC" w:rsidRPr="00FF4EBC" w:rsidRDefault="00FF4EBC" w:rsidP="00C019E6">
            <w:pPr>
              <w:pStyle w:val="Tabletext"/>
              <w:jc w:val="center"/>
              <w:rPr>
                <w:lang w:val="en-GB"/>
              </w:rPr>
            </w:pPr>
            <w:r w:rsidRPr="00FF4EBC">
              <w:rPr>
                <w:lang w:val="es-ES"/>
              </w:rPr>
              <w:t>–</w:t>
            </w:r>
          </w:p>
        </w:tc>
      </w:tr>
      <w:tr w:rsidR="00FF4EBC" w:rsidRPr="00FF4EBC" w14:paraId="28F9A8A7"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D0FD62C" w14:textId="77777777" w:rsidR="00FF4EBC" w:rsidRPr="00FF4EBC" w:rsidRDefault="00FF4EBC" w:rsidP="00B07FFA">
            <w:pPr>
              <w:pStyle w:val="Tabletext"/>
              <w:rPr>
                <w:b/>
                <w:bCs/>
                <w:lang w:val="en-GB"/>
              </w:rPr>
            </w:pPr>
            <w:r w:rsidRPr="00FF4EBC">
              <w:rPr>
                <w:b/>
                <w:bCs/>
                <w:lang w:val="es-ES"/>
              </w:rPr>
              <w:t>Total</w:t>
            </w:r>
            <w:r w:rsidRPr="00FF4EBC">
              <w:rPr>
                <w:lang w:val="es-ES"/>
              </w:rPr>
              <w:t xml:space="preserve"> </w:t>
            </w:r>
          </w:p>
        </w:tc>
        <w:tc>
          <w:tcPr>
            <w:tcW w:w="1417" w:type="dxa"/>
            <w:tcBorders>
              <w:top w:val="nil"/>
              <w:left w:val="nil"/>
              <w:bottom w:val="single" w:sz="4" w:space="0" w:color="auto"/>
              <w:right w:val="single" w:sz="4" w:space="0" w:color="auto"/>
            </w:tcBorders>
            <w:shd w:val="clear" w:color="000000" w:fill="FFFFFF"/>
            <w:noWrap/>
            <w:vAlign w:val="bottom"/>
            <w:hideMark/>
          </w:tcPr>
          <w:p w14:paraId="73983092" w14:textId="77777777" w:rsidR="00FF4EBC" w:rsidRPr="00FF4EBC" w:rsidRDefault="00FF4EBC" w:rsidP="00C019E6">
            <w:pPr>
              <w:pStyle w:val="Tabletext"/>
              <w:jc w:val="center"/>
              <w:rPr>
                <w:b/>
                <w:bCs/>
                <w:lang w:val="en-GB"/>
              </w:rPr>
            </w:pPr>
            <w:r w:rsidRPr="00FF4EBC">
              <w:rPr>
                <w:b/>
                <w:bCs/>
                <w:lang w:val="es-ES"/>
              </w:rPr>
              <w:t>70</w:t>
            </w:r>
          </w:p>
        </w:tc>
        <w:tc>
          <w:tcPr>
            <w:tcW w:w="1560" w:type="dxa"/>
            <w:tcBorders>
              <w:top w:val="nil"/>
              <w:left w:val="nil"/>
              <w:bottom w:val="single" w:sz="4" w:space="0" w:color="auto"/>
              <w:right w:val="single" w:sz="4" w:space="0" w:color="auto"/>
            </w:tcBorders>
            <w:shd w:val="clear" w:color="000000" w:fill="FFFFFF"/>
            <w:noWrap/>
            <w:vAlign w:val="bottom"/>
            <w:hideMark/>
          </w:tcPr>
          <w:p w14:paraId="308C4208" w14:textId="77777777" w:rsidR="00FF4EBC" w:rsidRPr="00FF4EBC" w:rsidRDefault="00FF4EBC" w:rsidP="00C019E6">
            <w:pPr>
              <w:pStyle w:val="Tabletext"/>
              <w:jc w:val="center"/>
              <w:rPr>
                <w:b/>
                <w:bCs/>
                <w:lang w:val="en-GB"/>
              </w:rPr>
            </w:pPr>
            <w:r w:rsidRPr="00FF4EBC">
              <w:rPr>
                <w:b/>
                <w:bCs/>
                <w:lang w:val="es-ES"/>
              </w:rPr>
              <w:t>93</w:t>
            </w:r>
          </w:p>
        </w:tc>
        <w:tc>
          <w:tcPr>
            <w:tcW w:w="1255" w:type="dxa"/>
            <w:tcBorders>
              <w:top w:val="nil"/>
              <w:left w:val="nil"/>
              <w:bottom w:val="single" w:sz="4" w:space="0" w:color="auto"/>
              <w:right w:val="single" w:sz="4" w:space="0" w:color="auto"/>
            </w:tcBorders>
            <w:shd w:val="clear" w:color="000000" w:fill="FFFFFF"/>
            <w:noWrap/>
            <w:vAlign w:val="bottom"/>
            <w:hideMark/>
          </w:tcPr>
          <w:p w14:paraId="0FCE0374" w14:textId="77777777" w:rsidR="00FF4EBC" w:rsidRPr="00FF4EBC" w:rsidRDefault="00FF4EBC" w:rsidP="00C019E6">
            <w:pPr>
              <w:pStyle w:val="Tabletext"/>
              <w:jc w:val="center"/>
              <w:rPr>
                <w:b/>
                <w:bCs/>
                <w:lang w:val="en-GB"/>
              </w:rPr>
            </w:pPr>
            <w:r w:rsidRPr="00FF4EBC">
              <w:rPr>
                <w:b/>
                <w:bCs/>
                <w:lang w:val="es-ES"/>
              </w:rPr>
              <w:t>23</w:t>
            </w:r>
          </w:p>
        </w:tc>
        <w:tc>
          <w:tcPr>
            <w:tcW w:w="1280" w:type="dxa"/>
            <w:tcBorders>
              <w:top w:val="nil"/>
              <w:left w:val="nil"/>
              <w:bottom w:val="single" w:sz="4" w:space="0" w:color="auto"/>
              <w:right w:val="single" w:sz="4" w:space="0" w:color="auto"/>
            </w:tcBorders>
            <w:shd w:val="clear" w:color="auto" w:fill="auto"/>
            <w:noWrap/>
            <w:vAlign w:val="bottom"/>
            <w:hideMark/>
          </w:tcPr>
          <w:p w14:paraId="6D6724BF" w14:textId="77777777" w:rsidR="00FF4EBC" w:rsidRPr="00FF4EBC" w:rsidRDefault="00FF4EBC" w:rsidP="00C019E6">
            <w:pPr>
              <w:pStyle w:val="Tabletext"/>
              <w:jc w:val="center"/>
              <w:rPr>
                <w:b/>
                <w:bCs/>
                <w:lang w:val="en-GB"/>
              </w:rPr>
            </w:pPr>
            <w:r w:rsidRPr="00FF4EBC">
              <w:rPr>
                <w:b/>
                <w:bCs/>
                <w:lang w:val="es-ES"/>
              </w:rPr>
              <w:t>33 %</w:t>
            </w:r>
          </w:p>
        </w:tc>
      </w:tr>
      <w:tr w:rsidR="00FF4EBC" w:rsidRPr="00FF4EBC" w14:paraId="67FC8544" w14:textId="77777777" w:rsidTr="009C3A7D">
        <w:trPr>
          <w:cantSplit/>
          <w:jc w:val="center"/>
        </w:trPr>
        <w:tc>
          <w:tcPr>
            <w:tcW w:w="9760" w:type="dxa"/>
            <w:gridSpan w:val="5"/>
            <w:tcBorders>
              <w:top w:val="nil"/>
              <w:left w:val="nil"/>
              <w:bottom w:val="nil"/>
              <w:right w:val="nil"/>
            </w:tcBorders>
            <w:shd w:val="clear" w:color="000000" w:fill="FFFFFF"/>
            <w:vAlign w:val="center"/>
            <w:hideMark/>
          </w:tcPr>
          <w:p w14:paraId="0CC7CC7D" w14:textId="78000F92" w:rsidR="00FF4EBC" w:rsidRPr="00FF4EBC" w:rsidRDefault="00FF4EBC" w:rsidP="00C019E6">
            <w:pPr>
              <w:pStyle w:val="Tablelegend"/>
              <w:tabs>
                <w:tab w:val="left" w:pos="284"/>
              </w:tabs>
              <w:spacing w:before="60"/>
              <w:ind w:left="284" w:hanging="284"/>
              <w:rPr>
                <w:lang w:val="es-ES"/>
              </w:rPr>
            </w:pPr>
            <w:r w:rsidRPr="00FF4EBC">
              <w:rPr>
                <w:lang w:val="es-ES"/>
              </w:rPr>
              <w:t>*</w:t>
            </w:r>
            <w:r w:rsidRPr="00FF4EBC">
              <w:rPr>
                <w:lang w:val="es-ES"/>
              </w:rPr>
              <w:tab/>
              <w:t>Res</w:t>
            </w:r>
            <w:r w:rsidR="00E25E13">
              <w:rPr>
                <w:lang w:val="es-ES"/>
              </w:rPr>
              <w:t>olución</w:t>
            </w:r>
            <w:r w:rsidRPr="00FF4EBC">
              <w:rPr>
                <w:lang w:val="es-ES"/>
              </w:rPr>
              <w:t xml:space="preserve"> 209, Dubái 2018 – Nueva participación de las PYME como Asociadas en los Sectores de la</w:t>
            </w:r>
            <w:r w:rsidR="00B07FFA">
              <w:rPr>
                <w:lang w:val="es-ES"/>
              </w:rPr>
              <w:t> </w:t>
            </w:r>
            <w:r w:rsidRPr="00FF4EBC">
              <w:rPr>
                <w:lang w:val="es-ES"/>
              </w:rPr>
              <w:t>Unión.</w:t>
            </w:r>
          </w:p>
        </w:tc>
      </w:tr>
      <w:tr w:rsidR="00FF4EBC" w:rsidRPr="00FF4EBC" w14:paraId="012FBCD5" w14:textId="77777777" w:rsidTr="00B07FFA">
        <w:trPr>
          <w:cantSplit/>
          <w:jc w:val="center"/>
        </w:trPr>
        <w:tc>
          <w:tcPr>
            <w:tcW w:w="4248" w:type="dxa"/>
            <w:tcBorders>
              <w:top w:val="nil"/>
              <w:left w:val="nil"/>
              <w:bottom w:val="single" w:sz="4" w:space="0" w:color="auto"/>
              <w:right w:val="nil"/>
            </w:tcBorders>
            <w:shd w:val="clear" w:color="000000" w:fill="FFFFFF"/>
            <w:vAlign w:val="center"/>
            <w:hideMark/>
          </w:tcPr>
          <w:p w14:paraId="5D9161D6" w14:textId="77777777" w:rsidR="00FF4EBC" w:rsidRPr="00FF4EBC" w:rsidRDefault="00FF4EBC" w:rsidP="00FF4EBC">
            <w:pPr>
              <w:rPr>
                <w:lang w:val="es-ES"/>
              </w:rPr>
            </w:pPr>
            <w:r w:rsidRPr="00FF4EBC">
              <w:rPr>
                <w:lang w:val="es-ES"/>
              </w:rPr>
              <w:t> </w:t>
            </w:r>
          </w:p>
        </w:tc>
        <w:tc>
          <w:tcPr>
            <w:tcW w:w="1417" w:type="dxa"/>
            <w:tcBorders>
              <w:top w:val="nil"/>
              <w:left w:val="nil"/>
              <w:bottom w:val="single" w:sz="4" w:space="0" w:color="auto"/>
              <w:right w:val="nil"/>
            </w:tcBorders>
            <w:shd w:val="clear" w:color="000000" w:fill="FFFFFF"/>
            <w:vAlign w:val="center"/>
            <w:hideMark/>
          </w:tcPr>
          <w:p w14:paraId="2D632A4E" w14:textId="77777777" w:rsidR="00FF4EBC" w:rsidRPr="00FF4EBC" w:rsidRDefault="00FF4EBC" w:rsidP="00FF4EBC">
            <w:pPr>
              <w:rPr>
                <w:lang w:val="es-ES"/>
              </w:rPr>
            </w:pPr>
            <w:r w:rsidRPr="00FF4EBC">
              <w:rPr>
                <w:lang w:val="es-ES"/>
              </w:rPr>
              <w:t> </w:t>
            </w:r>
          </w:p>
        </w:tc>
        <w:tc>
          <w:tcPr>
            <w:tcW w:w="1560" w:type="dxa"/>
            <w:tcBorders>
              <w:top w:val="nil"/>
              <w:left w:val="nil"/>
              <w:bottom w:val="single" w:sz="4" w:space="0" w:color="auto"/>
              <w:right w:val="nil"/>
            </w:tcBorders>
            <w:shd w:val="clear" w:color="000000" w:fill="FFFFFF"/>
            <w:vAlign w:val="center"/>
            <w:hideMark/>
          </w:tcPr>
          <w:p w14:paraId="505ACAD3" w14:textId="77777777" w:rsidR="00FF4EBC" w:rsidRPr="00FF4EBC" w:rsidRDefault="00FF4EBC" w:rsidP="00FF4EBC">
            <w:pPr>
              <w:rPr>
                <w:lang w:val="es-ES"/>
              </w:rPr>
            </w:pPr>
            <w:r w:rsidRPr="00FF4EBC">
              <w:rPr>
                <w:lang w:val="es-ES"/>
              </w:rPr>
              <w:t> </w:t>
            </w:r>
          </w:p>
        </w:tc>
        <w:tc>
          <w:tcPr>
            <w:tcW w:w="1255" w:type="dxa"/>
            <w:tcBorders>
              <w:top w:val="nil"/>
              <w:left w:val="nil"/>
              <w:bottom w:val="single" w:sz="4" w:space="0" w:color="auto"/>
              <w:right w:val="nil"/>
            </w:tcBorders>
            <w:shd w:val="clear" w:color="000000" w:fill="FFFFFF"/>
            <w:vAlign w:val="center"/>
            <w:hideMark/>
          </w:tcPr>
          <w:p w14:paraId="4623EE59" w14:textId="77777777" w:rsidR="00FF4EBC" w:rsidRPr="00FF4EBC" w:rsidRDefault="00FF4EBC" w:rsidP="00FF4EBC">
            <w:pPr>
              <w:rPr>
                <w:lang w:val="es-ES"/>
              </w:rPr>
            </w:pPr>
            <w:r w:rsidRPr="00FF4EBC">
              <w:rPr>
                <w:lang w:val="es-ES"/>
              </w:rPr>
              <w:t> </w:t>
            </w:r>
          </w:p>
        </w:tc>
        <w:tc>
          <w:tcPr>
            <w:tcW w:w="1280" w:type="dxa"/>
            <w:tcBorders>
              <w:top w:val="nil"/>
              <w:left w:val="nil"/>
              <w:bottom w:val="single" w:sz="4" w:space="0" w:color="auto"/>
              <w:right w:val="nil"/>
            </w:tcBorders>
            <w:shd w:val="clear" w:color="000000" w:fill="FFFFFF"/>
            <w:vAlign w:val="center"/>
            <w:hideMark/>
          </w:tcPr>
          <w:p w14:paraId="6B7BA32C" w14:textId="77777777" w:rsidR="00FF4EBC" w:rsidRPr="00FF4EBC" w:rsidRDefault="00FF4EBC" w:rsidP="00FF4EBC">
            <w:pPr>
              <w:rPr>
                <w:lang w:val="es-ES"/>
              </w:rPr>
            </w:pPr>
            <w:r w:rsidRPr="00FF4EBC">
              <w:rPr>
                <w:lang w:val="es-ES"/>
              </w:rPr>
              <w:t> </w:t>
            </w:r>
          </w:p>
        </w:tc>
      </w:tr>
      <w:tr w:rsidR="00FF4EBC" w:rsidRPr="00FF4EBC" w14:paraId="05F96AF8"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F6BF5F2" w14:textId="77777777" w:rsidR="00FF4EBC" w:rsidRPr="00FF4EBC" w:rsidRDefault="00FF4EBC" w:rsidP="00FF4EBC">
            <w:pPr>
              <w:rPr>
                <w:b/>
                <w:lang w:val="en-GB"/>
              </w:rPr>
            </w:pPr>
            <w:r w:rsidRPr="00FF4EBC">
              <w:rPr>
                <w:b/>
                <w:bCs/>
                <w:lang w:val="es-ES"/>
              </w:rPr>
              <w:t>Instituciones Académicas</w:t>
            </w:r>
          </w:p>
        </w:tc>
        <w:tc>
          <w:tcPr>
            <w:tcW w:w="1417" w:type="dxa"/>
            <w:tcBorders>
              <w:top w:val="nil"/>
              <w:left w:val="nil"/>
              <w:bottom w:val="single" w:sz="4" w:space="0" w:color="auto"/>
              <w:right w:val="single" w:sz="4" w:space="0" w:color="auto"/>
            </w:tcBorders>
            <w:shd w:val="clear" w:color="auto" w:fill="auto"/>
            <w:vAlign w:val="center"/>
            <w:hideMark/>
          </w:tcPr>
          <w:p w14:paraId="0BC71218" w14:textId="77777777" w:rsidR="00FF4EBC" w:rsidRPr="00FF4EBC" w:rsidRDefault="00FF4EBC" w:rsidP="00C019E6">
            <w:pPr>
              <w:jc w:val="center"/>
              <w:rPr>
                <w:b/>
                <w:lang w:val="es-ES"/>
              </w:rPr>
            </w:pPr>
            <w:r w:rsidRPr="00FF4EBC">
              <w:rPr>
                <w:b/>
                <w:bCs/>
                <w:lang w:val="es-ES"/>
              </w:rPr>
              <w:t>Número de Instituciones Académicas PP-22</w:t>
            </w:r>
          </w:p>
        </w:tc>
        <w:tc>
          <w:tcPr>
            <w:tcW w:w="1560" w:type="dxa"/>
            <w:tcBorders>
              <w:top w:val="nil"/>
              <w:left w:val="nil"/>
              <w:bottom w:val="single" w:sz="4" w:space="0" w:color="auto"/>
              <w:right w:val="single" w:sz="4" w:space="0" w:color="auto"/>
            </w:tcBorders>
            <w:shd w:val="clear" w:color="auto" w:fill="auto"/>
            <w:vAlign w:val="center"/>
            <w:hideMark/>
          </w:tcPr>
          <w:p w14:paraId="6F0DE524" w14:textId="52597587" w:rsidR="00FF4EBC" w:rsidRPr="00FF4EBC" w:rsidRDefault="00FF4EBC" w:rsidP="00C019E6">
            <w:pPr>
              <w:jc w:val="center"/>
              <w:rPr>
                <w:b/>
                <w:lang w:val="es-ES"/>
              </w:rPr>
            </w:pPr>
            <w:r w:rsidRPr="00FF4EBC">
              <w:rPr>
                <w:b/>
                <w:bCs/>
                <w:lang w:val="es-ES"/>
              </w:rPr>
              <w:t>Núm. de Instituciones Académicas a 28/02/2025</w:t>
            </w:r>
          </w:p>
        </w:tc>
        <w:tc>
          <w:tcPr>
            <w:tcW w:w="1255" w:type="dxa"/>
            <w:tcBorders>
              <w:top w:val="nil"/>
              <w:left w:val="nil"/>
              <w:bottom w:val="single" w:sz="4" w:space="0" w:color="auto"/>
              <w:right w:val="single" w:sz="4" w:space="0" w:color="auto"/>
            </w:tcBorders>
            <w:shd w:val="clear" w:color="auto" w:fill="auto"/>
            <w:vAlign w:val="center"/>
            <w:hideMark/>
          </w:tcPr>
          <w:p w14:paraId="031C840A" w14:textId="77777777" w:rsidR="00FF4EBC" w:rsidRPr="00FF4EBC" w:rsidRDefault="00FF4EBC" w:rsidP="00C019E6">
            <w:pPr>
              <w:jc w:val="center"/>
              <w:rPr>
                <w:b/>
                <w:lang w:val="en-GB"/>
              </w:rPr>
            </w:pPr>
            <w:r w:rsidRPr="00FF4EBC">
              <w:rPr>
                <w:b/>
                <w:bCs/>
                <w:lang w:val="es-ES"/>
              </w:rPr>
              <w:t>Diferencia</w:t>
            </w:r>
          </w:p>
        </w:tc>
        <w:tc>
          <w:tcPr>
            <w:tcW w:w="1280" w:type="dxa"/>
            <w:tcBorders>
              <w:top w:val="nil"/>
              <w:left w:val="nil"/>
              <w:bottom w:val="single" w:sz="4" w:space="0" w:color="auto"/>
              <w:right w:val="single" w:sz="4" w:space="0" w:color="auto"/>
            </w:tcBorders>
            <w:shd w:val="clear" w:color="auto" w:fill="auto"/>
            <w:vAlign w:val="center"/>
            <w:hideMark/>
          </w:tcPr>
          <w:p w14:paraId="7802295A" w14:textId="77777777" w:rsidR="00FF4EBC" w:rsidRPr="00FF4EBC" w:rsidRDefault="00FF4EBC" w:rsidP="00C019E6">
            <w:pPr>
              <w:jc w:val="center"/>
              <w:rPr>
                <w:b/>
                <w:lang w:val="en-GB"/>
              </w:rPr>
            </w:pPr>
            <w:r w:rsidRPr="00FF4EBC">
              <w:rPr>
                <w:b/>
                <w:bCs/>
                <w:lang w:val="es-ES"/>
              </w:rPr>
              <w:t>Diferencia en %</w:t>
            </w:r>
          </w:p>
        </w:tc>
      </w:tr>
      <w:tr w:rsidR="00FF4EBC" w:rsidRPr="00FF4EBC" w14:paraId="4D0DC994" w14:textId="77777777" w:rsidTr="00B07FFA">
        <w:trPr>
          <w:cantSplit/>
          <w:jc w:val="center"/>
        </w:trPr>
        <w:tc>
          <w:tcPr>
            <w:tcW w:w="4248" w:type="dxa"/>
            <w:tcBorders>
              <w:top w:val="nil"/>
              <w:left w:val="single" w:sz="4" w:space="0" w:color="auto"/>
              <w:bottom w:val="single" w:sz="4" w:space="0" w:color="auto"/>
              <w:right w:val="single" w:sz="4" w:space="0" w:color="auto"/>
            </w:tcBorders>
            <w:shd w:val="clear" w:color="000000" w:fill="FFFFFF"/>
            <w:vAlign w:val="bottom"/>
            <w:hideMark/>
          </w:tcPr>
          <w:p w14:paraId="4C896DA8" w14:textId="77777777" w:rsidR="00FF4EBC" w:rsidRPr="00FF4EBC" w:rsidRDefault="00FF4EBC" w:rsidP="00FF4EBC">
            <w:pPr>
              <w:rPr>
                <w:b/>
                <w:bCs/>
                <w:lang w:val="en-GB"/>
              </w:rPr>
            </w:pPr>
            <w:r w:rsidRPr="00FF4EBC">
              <w:rPr>
                <w:b/>
                <w:bCs/>
                <w:lang w:val="es-ES"/>
              </w:rPr>
              <w:t>Total</w:t>
            </w:r>
          </w:p>
        </w:tc>
        <w:tc>
          <w:tcPr>
            <w:tcW w:w="1417" w:type="dxa"/>
            <w:tcBorders>
              <w:top w:val="nil"/>
              <w:left w:val="nil"/>
              <w:bottom w:val="single" w:sz="4" w:space="0" w:color="auto"/>
              <w:right w:val="single" w:sz="4" w:space="0" w:color="auto"/>
            </w:tcBorders>
            <w:shd w:val="clear" w:color="000000" w:fill="FFFFFF"/>
            <w:noWrap/>
            <w:vAlign w:val="bottom"/>
            <w:hideMark/>
          </w:tcPr>
          <w:p w14:paraId="4F409D66" w14:textId="77777777" w:rsidR="00FF4EBC" w:rsidRPr="00FF4EBC" w:rsidRDefault="00FF4EBC" w:rsidP="00C019E6">
            <w:pPr>
              <w:jc w:val="center"/>
              <w:rPr>
                <w:b/>
                <w:bCs/>
                <w:lang w:val="en-GB"/>
              </w:rPr>
            </w:pPr>
            <w:r w:rsidRPr="00FF4EBC">
              <w:rPr>
                <w:b/>
                <w:bCs/>
                <w:lang w:val="es-ES"/>
              </w:rPr>
              <w:t>151</w:t>
            </w:r>
          </w:p>
        </w:tc>
        <w:tc>
          <w:tcPr>
            <w:tcW w:w="1560" w:type="dxa"/>
            <w:tcBorders>
              <w:top w:val="nil"/>
              <w:left w:val="nil"/>
              <w:bottom w:val="single" w:sz="4" w:space="0" w:color="auto"/>
              <w:right w:val="single" w:sz="4" w:space="0" w:color="auto"/>
            </w:tcBorders>
            <w:shd w:val="clear" w:color="000000" w:fill="FFFFFF"/>
            <w:noWrap/>
            <w:vAlign w:val="bottom"/>
            <w:hideMark/>
          </w:tcPr>
          <w:p w14:paraId="7CE323F3" w14:textId="77777777" w:rsidR="00FF4EBC" w:rsidRPr="00FF4EBC" w:rsidRDefault="00FF4EBC" w:rsidP="00C019E6">
            <w:pPr>
              <w:jc w:val="center"/>
              <w:rPr>
                <w:b/>
                <w:bCs/>
                <w:lang w:val="en-GB"/>
              </w:rPr>
            </w:pPr>
            <w:r w:rsidRPr="00FF4EBC">
              <w:rPr>
                <w:b/>
                <w:bCs/>
                <w:lang w:val="es-ES"/>
              </w:rPr>
              <w:t>162</w:t>
            </w:r>
          </w:p>
        </w:tc>
        <w:tc>
          <w:tcPr>
            <w:tcW w:w="1255" w:type="dxa"/>
            <w:tcBorders>
              <w:top w:val="nil"/>
              <w:left w:val="nil"/>
              <w:bottom w:val="single" w:sz="4" w:space="0" w:color="auto"/>
              <w:right w:val="single" w:sz="4" w:space="0" w:color="auto"/>
            </w:tcBorders>
            <w:shd w:val="clear" w:color="000000" w:fill="FFFFFF"/>
            <w:noWrap/>
            <w:vAlign w:val="bottom"/>
            <w:hideMark/>
          </w:tcPr>
          <w:p w14:paraId="30E70F93" w14:textId="77777777" w:rsidR="00FF4EBC" w:rsidRPr="00FF4EBC" w:rsidRDefault="00FF4EBC" w:rsidP="00C019E6">
            <w:pPr>
              <w:jc w:val="center"/>
              <w:rPr>
                <w:b/>
                <w:bCs/>
                <w:lang w:val="en-GB"/>
              </w:rPr>
            </w:pPr>
            <w:r w:rsidRPr="00FF4EBC">
              <w:rPr>
                <w:b/>
                <w:bCs/>
                <w:lang w:val="es-ES"/>
              </w:rPr>
              <w:t>11</w:t>
            </w:r>
          </w:p>
        </w:tc>
        <w:tc>
          <w:tcPr>
            <w:tcW w:w="1280" w:type="dxa"/>
            <w:tcBorders>
              <w:top w:val="nil"/>
              <w:left w:val="nil"/>
              <w:bottom w:val="single" w:sz="4" w:space="0" w:color="auto"/>
              <w:right w:val="single" w:sz="4" w:space="0" w:color="auto"/>
            </w:tcBorders>
            <w:shd w:val="clear" w:color="auto" w:fill="auto"/>
            <w:noWrap/>
            <w:vAlign w:val="bottom"/>
            <w:hideMark/>
          </w:tcPr>
          <w:p w14:paraId="2B4D3C44" w14:textId="77777777" w:rsidR="00FF4EBC" w:rsidRPr="00FF4EBC" w:rsidRDefault="00FF4EBC" w:rsidP="00C019E6">
            <w:pPr>
              <w:jc w:val="center"/>
              <w:rPr>
                <w:b/>
                <w:bCs/>
                <w:lang w:val="en-GB"/>
              </w:rPr>
            </w:pPr>
            <w:r w:rsidRPr="00FF4EBC">
              <w:rPr>
                <w:b/>
                <w:bCs/>
                <w:lang w:val="es-ES"/>
              </w:rPr>
              <w:t>7 %</w:t>
            </w:r>
          </w:p>
        </w:tc>
      </w:tr>
    </w:tbl>
    <w:p w14:paraId="243909AC" w14:textId="77777777" w:rsidR="00F92BED" w:rsidRDefault="00F92BED" w:rsidP="0032202E">
      <w:pPr>
        <w:pStyle w:val="Reasons"/>
      </w:pPr>
    </w:p>
    <w:p w14:paraId="3B34D3B7" w14:textId="77777777" w:rsidR="00F92BED" w:rsidRPr="00F92BED" w:rsidRDefault="00F92BED" w:rsidP="00F92BED">
      <w:pPr>
        <w:jc w:val="center"/>
      </w:pPr>
      <w:r>
        <w:t>______________</w:t>
      </w:r>
    </w:p>
    <w:sectPr w:rsidR="00F92BED" w:rsidRPr="00F92BED" w:rsidSect="00C538FC">
      <w:headerReference w:type="default" r:id="rId11"/>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FF02" w14:textId="77777777" w:rsidR="00DB631F" w:rsidRDefault="00DB631F">
      <w:r>
        <w:separator/>
      </w:r>
    </w:p>
  </w:endnote>
  <w:endnote w:type="continuationSeparator" w:id="0">
    <w:p w14:paraId="1503F1AF" w14:textId="77777777" w:rsidR="00DB631F" w:rsidRDefault="00DB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A4766A9" w14:textId="77777777" w:rsidTr="00E31DCE">
      <w:trPr>
        <w:jc w:val="center"/>
      </w:trPr>
      <w:tc>
        <w:tcPr>
          <w:tcW w:w="1803" w:type="dxa"/>
          <w:vAlign w:val="center"/>
        </w:tcPr>
        <w:p w14:paraId="04DB253B" w14:textId="508922E9" w:rsidR="003273A4" w:rsidRDefault="002946E2" w:rsidP="003273A4">
          <w:pPr>
            <w:pStyle w:val="Header"/>
            <w:jc w:val="left"/>
            <w:rPr>
              <w:noProof/>
            </w:rPr>
          </w:pPr>
          <w:r>
            <w:rPr>
              <w:noProof/>
            </w:rPr>
            <w:t xml:space="preserve">gDoc </w:t>
          </w:r>
          <w:r w:rsidR="003113F1">
            <w:rPr>
              <w:noProof/>
            </w:rPr>
            <w:t>2501231</w:t>
          </w:r>
        </w:p>
      </w:tc>
      <w:tc>
        <w:tcPr>
          <w:tcW w:w="8261" w:type="dxa"/>
        </w:tcPr>
        <w:p w14:paraId="662FFE9B" w14:textId="79F8CD65"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07FFA">
            <w:rPr>
              <w:bCs/>
            </w:rPr>
            <w:t>54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03A3FE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570C9B" w14:textId="77777777" w:rsidTr="00E31DCE">
      <w:trPr>
        <w:jc w:val="center"/>
      </w:trPr>
      <w:tc>
        <w:tcPr>
          <w:tcW w:w="1803" w:type="dxa"/>
          <w:vAlign w:val="center"/>
        </w:tcPr>
        <w:p w14:paraId="376C03C7"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45D9A9E2" w14:textId="1F48A3C7"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E2325C">
            <w:rPr>
              <w:bCs/>
            </w:rPr>
            <w:t>54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88B776B"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CD250" w14:textId="77777777" w:rsidR="00DB631F" w:rsidRDefault="00DB631F">
      <w:r>
        <w:t>____________________</w:t>
      </w:r>
    </w:p>
  </w:footnote>
  <w:footnote w:type="continuationSeparator" w:id="0">
    <w:p w14:paraId="4CD5CB31" w14:textId="77777777" w:rsidR="00DB631F" w:rsidRDefault="00DB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33BA" w14:textId="77777777" w:rsidR="00B060DF" w:rsidRPr="00E2325C" w:rsidRDefault="00B060DF" w:rsidP="00E2325C">
    <w:pPr>
      <w:pStyle w:val="Header"/>
      <w:jc w:val="lef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004FDEBC" w14:textId="77777777" w:rsidTr="00666D09">
      <w:trPr>
        <w:trHeight w:val="1104"/>
        <w:jc w:val="center"/>
      </w:trPr>
      <w:tc>
        <w:tcPr>
          <w:tcW w:w="5998" w:type="dxa"/>
          <w:vAlign w:val="center"/>
        </w:tcPr>
        <w:p w14:paraId="141A003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7C08002" wp14:editId="5EFBC283">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486BEBB" w14:textId="77777777" w:rsidR="00666D09" w:rsidRDefault="00666D09" w:rsidP="001559F5">
          <w:pPr>
            <w:pStyle w:val="Header"/>
            <w:jc w:val="right"/>
            <w:rPr>
              <w:rFonts w:ascii="Arial" w:hAnsi="Arial" w:cs="Arial"/>
              <w:b/>
              <w:bCs/>
              <w:color w:val="009CD6"/>
              <w:szCs w:val="18"/>
            </w:rPr>
          </w:pPr>
        </w:p>
      </w:tc>
    </w:tr>
  </w:tbl>
  <w:p w14:paraId="13207AC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B620A1B" wp14:editId="7B2AAAF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32AE3"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6C"/>
    <w:rsid w:val="000007D1"/>
    <w:rsid w:val="0006007D"/>
    <w:rsid w:val="00061806"/>
    <w:rsid w:val="00075C85"/>
    <w:rsid w:val="00093767"/>
    <w:rsid w:val="00093EEB"/>
    <w:rsid w:val="000B0D00"/>
    <w:rsid w:val="000B7C15"/>
    <w:rsid w:val="000D1D0F"/>
    <w:rsid w:val="000E3F07"/>
    <w:rsid w:val="000F5290"/>
    <w:rsid w:val="0010165C"/>
    <w:rsid w:val="00140699"/>
    <w:rsid w:val="00146BFB"/>
    <w:rsid w:val="001559F5"/>
    <w:rsid w:val="00157AC4"/>
    <w:rsid w:val="0016169C"/>
    <w:rsid w:val="001B6E2B"/>
    <w:rsid w:val="001F14A2"/>
    <w:rsid w:val="002801AA"/>
    <w:rsid w:val="002946E2"/>
    <w:rsid w:val="002C3F32"/>
    <w:rsid w:val="002C4676"/>
    <w:rsid w:val="002C70B0"/>
    <w:rsid w:val="002F3CC4"/>
    <w:rsid w:val="003032E2"/>
    <w:rsid w:val="003113F1"/>
    <w:rsid w:val="0031300A"/>
    <w:rsid w:val="003273A4"/>
    <w:rsid w:val="0034796E"/>
    <w:rsid w:val="00370C16"/>
    <w:rsid w:val="00382037"/>
    <w:rsid w:val="00471997"/>
    <w:rsid w:val="00473962"/>
    <w:rsid w:val="004B5D49"/>
    <w:rsid w:val="004D3A3C"/>
    <w:rsid w:val="00513630"/>
    <w:rsid w:val="00560125"/>
    <w:rsid w:val="00585553"/>
    <w:rsid w:val="005B06AE"/>
    <w:rsid w:val="005B34D9"/>
    <w:rsid w:val="005C341E"/>
    <w:rsid w:val="005D0CCF"/>
    <w:rsid w:val="005F3BCB"/>
    <w:rsid w:val="005F410F"/>
    <w:rsid w:val="0060149A"/>
    <w:rsid w:val="00601924"/>
    <w:rsid w:val="006447EA"/>
    <w:rsid w:val="0064481D"/>
    <w:rsid w:val="0064731F"/>
    <w:rsid w:val="00664572"/>
    <w:rsid w:val="00666D09"/>
    <w:rsid w:val="006710F6"/>
    <w:rsid w:val="00677A97"/>
    <w:rsid w:val="00692B94"/>
    <w:rsid w:val="006A2D3E"/>
    <w:rsid w:val="006B3294"/>
    <w:rsid w:val="006C1B56"/>
    <w:rsid w:val="006D4761"/>
    <w:rsid w:val="00726872"/>
    <w:rsid w:val="00760F1C"/>
    <w:rsid w:val="007657F0"/>
    <w:rsid w:val="0077110E"/>
    <w:rsid w:val="0077252D"/>
    <w:rsid w:val="007955DA"/>
    <w:rsid w:val="007C166C"/>
    <w:rsid w:val="007E5DD3"/>
    <w:rsid w:val="007F350B"/>
    <w:rsid w:val="00820BE4"/>
    <w:rsid w:val="00835F02"/>
    <w:rsid w:val="008451E8"/>
    <w:rsid w:val="00863238"/>
    <w:rsid w:val="008F6ABC"/>
    <w:rsid w:val="00913B9C"/>
    <w:rsid w:val="00927F93"/>
    <w:rsid w:val="00956E77"/>
    <w:rsid w:val="009A338E"/>
    <w:rsid w:val="009E0CAF"/>
    <w:rsid w:val="009F4811"/>
    <w:rsid w:val="00A94438"/>
    <w:rsid w:val="00AA390C"/>
    <w:rsid w:val="00B0200A"/>
    <w:rsid w:val="00B060DF"/>
    <w:rsid w:val="00B07FFA"/>
    <w:rsid w:val="00B574DB"/>
    <w:rsid w:val="00B826C2"/>
    <w:rsid w:val="00B8298E"/>
    <w:rsid w:val="00BB6FD8"/>
    <w:rsid w:val="00BD0723"/>
    <w:rsid w:val="00BD2518"/>
    <w:rsid w:val="00BF1D1C"/>
    <w:rsid w:val="00C019E6"/>
    <w:rsid w:val="00C20C59"/>
    <w:rsid w:val="00C2727F"/>
    <w:rsid w:val="00C538FC"/>
    <w:rsid w:val="00C55B1F"/>
    <w:rsid w:val="00CC7DF9"/>
    <w:rsid w:val="00CF1A67"/>
    <w:rsid w:val="00D02E80"/>
    <w:rsid w:val="00D2750E"/>
    <w:rsid w:val="00D30624"/>
    <w:rsid w:val="00D375E0"/>
    <w:rsid w:val="00D46DBD"/>
    <w:rsid w:val="00D50A36"/>
    <w:rsid w:val="00D62446"/>
    <w:rsid w:val="00DA4EA2"/>
    <w:rsid w:val="00DB631F"/>
    <w:rsid w:val="00DC3D3E"/>
    <w:rsid w:val="00DD3276"/>
    <w:rsid w:val="00DE2C90"/>
    <w:rsid w:val="00DE3B24"/>
    <w:rsid w:val="00E06947"/>
    <w:rsid w:val="00E11319"/>
    <w:rsid w:val="00E21444"/>
    <w:rsid w:val="00E2325C"/>
    <w:rsid w:val="00E25E13"/>
    <w:rsid w:val="00E34072"/>
    <w:rsid w:val="00E3592D"/>
    <w:rsid w:val="00E50D76"/>
    <w:rsid w:val="00E8018B"/>
    <w:rsid w:val="00E92DE8"/>
    <w:rsid w:val="00EB1212"/>
    <w:rsid w:val="00ED1308"/>
    <w:rsid w:val="00ED65AB"/>
    <w:rsid w:val="00F12850"/>
    <w:rsid w:val="00F24B71"/>
    <w:rsid w:val="00F33BF4"/>
    <w:rsid w:val="00F7105E"/>
    <w:rsid w:val="00F75F57"/>
    <w:rsid w:val="00F82FEE"/>
    <w:rsid w:val="00F92BED"/>
    <w:rsid w:val="00FD3732"/>
    <w:rsid w:val="00FD57D3"/>
    <w:rsid w:val="00FE57F6"/>
    <w:rsid w:val="00FF11BD"/>
    <w:rsid w:val="00FF4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B2E87"/>
  <w15:docId w15:val="{B9AF91D6-402B-49B6-84CC-F8AA3CDB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471997"/>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WGSFP1-C-0005/e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en/council/Documents/basic-texts-2023/DEC-005-s.pdf"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Constitution-S.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md/S25-CWGSFP2-INF-0001/es" TargetMode="External"/><Relationship Id="rId4" Type="http://schemas.openxmlformats.org/officeDocument/2006/relationships/footnotes" Target="footnotes.xml"/><Relationship Id="rId9" Type="http://schemas.openxmlformats.org/officeDocument/2006/relationships/hyperlink" Target="https://www.itu.int/md/S25-CWGSFP2-C-0007/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10</Pages>
  <Words>1741</Words>
  <Characters>8832</Characters>
  <Application>Microsoft Office Word</Application>
  <DocSecurity>0</DocSecurity>
  <Lines>624</Lines>
  <Paragraphs>515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10103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 preliminar de la unidad contributiva</dc:title>
  <dc:subject>Consejo 2025 de la UIT</dc:subject>
  <cp:keywords>C2025, C25, Council-25</cp:keywords>
  <dc:description/>
  <cp:lastPrinted>2006-03-24T09:51:00Z</cp:lastPrinted>
  <dcterms:created xsi:type="dcterms:W3CDTF">2025-06-17T15:40:00Z</dcterms:created>
  <dcterms:modified xsi:type="dcterms:W3CDTF">2025-06-17T15:56:00Z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