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1D160C" w14:paraId="617D6323" w14:textId="77777777" w:rsidTr="00D72F49">
        <w:trPr>
          <w:cantSplit/>
          <w:trHeight w:val="23"/>
        </w:trPr>
        <w:tc>
          <w:tcPr>
            <w:tcW w:w="3969" w:type="dxa"/>
            <w:vMerge w:val="restart"/>
            <w:tcMar>
              <w:left w:w="0" w:type="dxa"/>
            </w:tcMar>
          </w:tcPr>
          <w:p w14:paraId="0175DF44" w14:textId="0CFF447F" w:rsidR="00D72F49" w:rsidRPr="001D160C" w:rsidRDefault="00D72F49" w:rsidP="00D72F49">
            <w:pPr>
              <w:tabs>
                <w:tab w:val="left" w:pos="851"/>
              </w:tabs>
              <w:spacing w:before="0" w:line="240" w:lineRule="atLeast"/>
              <w:rPr>
                <w:b/>
              </w:rPr>
            </w:pPr>
            <w:r w:rsidRPr="001D160C">
              <w:rPr>
                <w:b/>
              </w:rPr>
              <w:t>Point de l'ordre du jour:</w:t>
            </w:r>
            <w:r w:rsidR="00154F02" w:rsidRPr="001D160C">
              <w:rPr>
                <w:b/>
              </w:rPr>
              <w:t xml:space="preserve"> ADM 1</w:t>
            </w:r>
          </w:p>
        </w:tc>
        <w:tc>
          <w:tcPr>
            <w:tcW w:w="5245" w:type="dxa"/>
          </w:tcPr>
          <w:p w14:paraId="2202D3A0" w14:textId="4EDFDC65" w:rsidR="00D72F49" w:rsidRPr="001D160C" w:rsidRDefault="00D72F49" w:rsidP="00D72F49">
            <w:pPr>
              <w:tabs>
                <w:tab w:val="left" w:pos="851"/>
              </w:tabs>
              <w:spacing w:before="0" w:line="240" w:lineRule="atLeast"/>
              <w:jc w:val="right"/>
              <w:rPr>
                <w:b/>
              </w:rPr>
            </w:pPr>
            <w:r w:rsidRPr="001D160C">
              <w:rPr>
                <w:b/>
              </w:rPr>
              <w:t>Document C2</w:t>
            </w:r>
            <w:r w:rsidR="00FC6D7D" w:rsidRPr="001D160C">
              <w:rPr>
                <w:b/>
              </w:rPr>
              <w:t>5</w:t>
            </w:r>
            <w:r w:rsidRPr="001D160C">
              <w:rPr>
                <w:b/>
              </w:rPr>
              <w:t>/</w:t>
            </w:r>
            <w:r w:rsidR="00154F02" w:rsidRPr="001D160C">
              <w:rPr>
                <w:b/>
              </w:rPr>
              <w:t>54</w:t>
            </w:r>
            <w:r w:rsidRPr="001D160C">
              <w:rPr>
                <w:b/>
              </w:rPr>
              <w:t>-F</w:t>
            </w:r>
          </w:p>
        </w:tc>
      </w:tr>
      <w:tr w:rsidR="00D72F49" w:rsidRPr="001D160C" w14:paraId="39B2083A" w14:textId="77777777" w:rsidTr="00D72F49">
        <w:trPr>
          <w:cantSplit/>
        </w:trPr>
        <w:tc>
          <w:tcPr>
            <w:tcW w:w="3969" w:type="dxa"/>
            <w:vMerge/>
          </w:tcPr>
          <w:p w14:paraId="22511C08" w14:textId="77777777" w:rsidR="00D72F49" w:rsidRPr="001D160C" w:rsidRDefault="00D72F49" w:rsidP="00D72F49">
            <w:pPr>
              <w:tabs>
                <w:tab w:val="left" w:pos="851"/>
              </w:tabs>
              <w:spacing w:line="240" w:lineRule="atLeast"/>
              <w:rPr>
                <w:b/>
              </w:rPr>
            </w:pPr>
          </w:p>
        </w:tc>
        <w:tc>
          <w:tcPr>
            <w:tcW w:w="5245" w:type="dxa"/>
          </w:tcPr>
          <w:p w14:paraId="1CAD26B1" w14:textId="2A05F1F0" w:rsidR="00D72F49" w:rsidRPr="001D160C" w:rsidRDefault="00154F02" w:rsidP="00D72F49">
            <w:pPr>
              <w:tabs>
                <w:tab w:val="left" w:pos="851"/>
              </w:tabs>
              <w:spacing w:before="0"/>
              <w:jc w:val="right"/>
              <w:rPr>
                <w:b/>
              </w:rPr>
            </w:pPr>
            <w:r w:rsidRPr="001D160C">
              <w:rPr>
                <w:b/>
              </w:rPr>
              <w:t>16 mai 2025</w:t>
            </w:r>
          </w:p>
        </w:tc>
      </w:tr>
      <w:tr w:rsidR="00D72F49" w:rsidRPr="001D160C" w14:paraId="5D89BBC7" w14:textId="77777777" w:rsidTr="00D72F49">
        <w:trPr>
          <w:cantSplit/>
          <w:trHeight w:val="23"/>
        </w:trPr>
        <w:tc>
          <w:tcPr>
            <w:tcW w:w="3969" w:type="dxa"/>
            <w:vMerge/>
          </w:tcPr>
          <w:p w14:paraId="7DF26E2F" w14:textId="77777777" w:rsidR="00D72F49" w:rsidRPr="001D160C" w:rsidRDefault="00D72F49" w:rsidP="00D72F49">
            <w:pPr>
              <w:tabs>
                <w:tab w:val="left" w:pos="851"/>
              </w:tabs>
              <w:spacing w:line="240" w:lineRule="atLeast"/>
              <w:rPr>
                <w:b/>
              </w:rPr>
            </w:pPr>
          </w:p>
        </w:tc>
        <w:tc>
          <w:tcPr>
            <w:tcW w:w="5245" w:type="dxa"/>
          </w:tcPr>
          <w:p w14:paraId="587A0E76" w14:textId="77777777" w:rsidR="00D72F49" w:rsidRPr="001D160C" w:rsidRDefault="00D72F49" w:rsidP="00D72F49">
            <w:pPr>
              <w:tabs>
                <w:tab w:val="left" w:pos="851"/>
              </w:tabs>
              <w:spacing w:before="0" w:line="240" w:lineRule="atLeast"/>
              <w:jc w:val="right"/>
              <w:rPr>
                <w:b/>
              </w:rPr>
            </w:pPr>
            <w:r w:rsidRPr="001D160C">
              <w:rPr>
                <w:b/>
              </w:rPr>
              <w:t>Original: anglais</w:t>
            </w:r>
          </w:p>
        </w:tc>
      </w:tr>
      <w:tr w:rsidR="00D72F49" w:rsidRPr="001D160C" w14:paraId="78B34BCE" w14:textId="77777777" w:rsidTr="00D72F49">
        <w:trPr>
          <w:cantSplit/>
          <w:trHeight w:val="23"/>
        </w:trPr>
        <w:tc>
          <w:tcPr>
            <w:tcW w:w="3969" w:type="dxa"/>
          </w:tcPr>
          <w:p w14:paraId="07F5A540" w14:textId="77777777" w:rsidR="00D72F49" w:rsidRPr="001D160C" w:rsidRDefault="00D72F49" w:rsidP="00D72F49">
            <w:pPr>
              <w:tabs>
                <w:tab w:val="left" w:pos="851"/>
              </w:tabs>
              <w:spacing w:line="240" w:lineRule="atLeast"/>
              <w:rPr>
                <w:b/>
              </w:rPr>
            </w:pPr>
          </w:p>
        </w:tc>
        <w:tc>
          <w:tcPr>
            <w:tcW w:w="5245" w:type="dxa"/>
          </w:tcPr>
          <w:p w14:paraId="75D14790" w14:textId="77777777" w:rsidR="00D72F49" w:rsidRPr="001D160C" w:rsidRDefault="00D72F49" w:rsidP="00D72F49">
            <w:pPr>
              <w:tabs>
                <w:tab w:val="left" w:pos="851"/>
              </w:tabs>
              <w:spacing w:before="0" w:line="240" w:lineRule="atLeast"/>
              <w:jc w:val="right"/>
              <w:rPr>
                <w:b/>
              </w:rPr>
            </w:pPr>
          </w:p>
        </w:tc>
      </w:tr>
      <w:tr w:rsidR="00D72F49" w:rsidRPr="001D160C" w14:paraId="15543659" w14:textId="77777777" w:rsidTr="00D72F49">
        <w:trPr>
          <w:cantSplit/>
        </w:trPr>
        <w:tc>
          <w:tcPr>
            <w:tcW w:w="9214" w:type="dxa"/>
            <w:gridSpan w:val="2"/>
            <w:tcMar>
              <w:left w:w="0" w:type="dxa"/>
            </w:tcMar>
          </w:tcPr>
          <w:p w14:paraId="11701EA4" w14:textId="77777777" w:rsidR="00D72F49" w:rsidRPr="001D160C" w:rsidRDefault="00D72F49" w:rsidP="00D72F49">
            <w:pPr>
              <w:pStyle w:val="Source"/>
              <w:jc w:val="left"/>
              <w:rPr>
                <w:sz w:val="34"/>
                <w:szCs w:val="34"/>
              </w:rPr>
            </w:pPr>
            <w:r w:rsidRPr="001D160C">
              <w:rPr>
                <w:rFonts w:cstheme="minorHAnsi"/>
                <w:color w:val="000000"/>
                <w:sz w:val="34"/>
                <w:szCs w:val="34"/>
              </w:rPr>
              <w:t xml:space="preserve">Rapport </w:t>
            </w:r>
            <w:r w:rsidR="00E95647" w:rsidRPr="001D160C">
              <w:rPr>
                <w:rFonts w:cstheme="minorHAnsi"/>
                <w:color w:val="000000"/>
                <w:sz w:val="34"/>
                <w:szCs w:val="34"/>
              </w:rPr>
              <w:t xml:space="preserve">de la </w:t>
            </w:r>
            <w:r w:rsidRPr="001D160C">
              <w:rPr>
                <w:rFonts w:cstheme="minorHAnsi"/>
                <w:color w:val="000000"/>
                <w:sz w:val="34"/>
                <w:szCs w:val="34"/>
              </w:rPr>
              <w:t>Secrétaire général</w:t>
            </w:r>
            <w:r w:rsidR="00E95647" w:rsidRPr="001D160C">
              <w:rPr>
                <w:rFonts w:cstheme="minorHAnsi"/>
                <w:color w:val="000000"/>
                <w:sz w:val="34"/>
                <w:szCs w:val="34"/>
              </w:rPr>
              <w:t>e</w:t>
            </w:r>
          </w:p>
        </w:tc>
      </w:tr>
      <w:tr w:rsidR="00D72F49" w:rsidRPr="001D160C" w14:paraId="07BC8D50" w14:textId="77777777" w:rsidTr="00D72F49">
        <w:trPr>
          <w:cantSplit/>
        </w:trPr>
        <w:tc>
          <w:tcPr>
            <w:tcW w:w="9214" w:type="dxa"/>
            <w:gridSpan w:val="2"/>
            <w:tcMar>
              <w:left w:w="0" w:type="dxa"/>
            </w:tcMar>
          </w:tcPr>
          <w:p w14:paraId="5AB5B3B8" w14:textId="1F95E50D" w:rsidR="00D72F49" w:rsidRPr="001D160C" w:rsidRDefault="00AA4E9B" w:rsidP="00D72F49">
            <w:pPr>
              <w:pStyle w:val="Subtitle"/>
              <w:framePr w:hSpace="0" w:wrap="auto" w:hAnchor="text" w:xAlign="left" w:yAlign="inline"/>
              <w:rPr>
                <w:sz w:val="32"/>
                <w:szCs w:val="32"/>
                <w:lang w:val="fr-FR"/>
              </w:rPr>
            </w:pPr>
            <w:r w:rsidRPr="001D160C">
              <w:rPr>
                <w:rFonts w:cstheme="minorHAnsi"/>
                <w:sz w:val="32"/>
                <w:szCs w:val="32"/>
                <w:lang w:val="fr-FR"/>
              </w:rPr>
              <w:t>MONTANT PRÉLIMINAIRE DE L'UNITÉ CONTRIBUTIVE</w:t>
            </w:r>
          </w:p>
        </w:tc>
      </w:tr>
      <w:tr w:rsidR="00D72F49" w:rsidRPr="001D160C" w14:paraId="58DB6441" w14:textId="77777777" w:rsidTr="00D72F49">
        <w:trPr>
          <w:cantSplit/>
        </w:trPr>
        <w:tc>
          <w:tcPr>
            <w:tcW w:w="9214" w:type="dxa"/>
            <w:gridSpan w:val="2"/>
            <w:tcBorders>
              <w:top w:val="single" w:sz="4" w:space="0" w:color="auto"/>
              <w:bottom w:val="single" w:sz="4" w:space="0" w:color="auto"/>
            </w:tcBorders>
            <w:tcMar>
              <w:left w:w="0" w:type="dxa"/>
            </w:tcMar>
          </w:tcPr>
          <w:p w14:paraId="6785E604" w14:textId="77777777" w:rsidR="00D72F49" w:rsidRPr="001D160C" w:rsidRDefault="00F37FE5" w:rsidP="00D72F49">
            <w:pPr>
              <w:spacing w:before="160"/>
              <w:rPr>
                <w:b/>
                <w:bCs/>
                <w:sz w:val="26"/>
                <w:szCs w:val="26"/>
              </w:rPr>
            </w:pPr>
            <w:r w:rsidRPr="001D160C">
              <w:rPr>
                <w:b/>
                <w:bCs/>
                <w:sz w:val="26"/>
                <w:szCs w:val="26"/>
              </w:rPr>
              <w:t>Objet</w:t>
            </w:r>
          </w:p>
          <w:p w14:paraId="1A845DCB" w14:textId="77777777" w:rsidR="00154F02" w:rsidRPr="001D160C" w:rsidRDefault="00154F02" w:rsidP="00AA4E9B">
            <w:pPr>
              <w:jc w:val="both"/>
            </w:pPr>
            <w:r w:rsidRPr="001D160C">
              <w:t>La Secrétaire générale a l'intention de proposer que le montant de l'unité contributive soit maintenu au niveau actuel, à savoir 318 000 CHF. Tous les États Membres auront ainsi, comme lors de la dernière Conférence de plénipotentiaires, une bonne base pour examiner le plan financier et se préparer comme il convient en vue de la Conférence de plénipotentiaires de 2026.</w:t>
            </w:r>
          </w:p>
          <w:p w14:paraId="16D60AE3" w14:textId="630F05D1" w:rsidR="00D72F49" w:rsidRPr="001D160C" w:rsidRDefault="00154F02" w:rsidP="00AA4E9B">
            <w:pPr>
              <w:jc w:val="both"/>
            </w:pPr>
            <w:r w:rsidRPr="001D160C">
              <w:t>Compte tenu des discussions qui ont eu lieu au sein du Groupe de travail du Conseil chargé d'élaborer le plan stratégique et le plan financier (GTC-SFP), la Secrétaire générale propose également que le Conseil entame des travaux en vue d'élaborer une méthode qui sera appliquée aux fins de l'examen futur des modifications à apporter au montant de l'unité contributive.</w:t>
            </w:r>
          </w:p>
          <w:p w14:paraId="2C6C5B5E" w14:textId="77777777" w:rsidR="00D72F49" w:rsidRPr="001D160C" w:rsidRDefault="00D72F49" w:rsidP="00D72F49">
            <w:pPr>
              <w:spacing w:before="160"/>
              <w:rPr>
                <w:b/>
                <w:bCs/>
                <w:sz w:val="26"/>
                <w:szCs w:val="26"/>
              </w:rPr>
            </w:pPr>
            <w:r w:rsidRPr="001D160C">
              <w:rPr>
                <w:b/>
                <w:bCs/>
                <w:sz w:val="26"/>
                <w:szCs w:val="26"/>
              </w:rPr>
              <w:t>Suite à donner par le Conseil</w:t>
            </w:r>
          </w:p>
          <w:p w14:paraId="53F9E1C4" w14:textId="1A42977C" w:rsidR="00D72F49" w:rsidRPr="001D160C" w:rsidRDefault="00154F02" w:rsidP="00AA4E9B">
            <w:pPr>
              <w:jc w:val="both"/>
            </w:pPr>
            <w:r w:rsidRPr="001D160C">
              <w:t xml:space="preserve">Le Conseil est invité à </w:t>
            </w:r>
            <w:r w:rsidRPr="001D160C">
              <w:rPr>
                <w:b/>
                <w:bCs/>
              </w:rPr>
              <w:t>examiner</w:t>
            </w:r>
            <w:r w:rsidRPr="001D160C">
              <w:t xml:space="preserve"> et à </w:t>
            </w:r>
            <w:r w:rsidRPr="001D160C">
              <w:rPr>
                <w:b/>
                <w:bCs/>
              </w:rPr>
              <w:t>approuver</w:t>
            </w:r>
            <w:r w:rsidRPr="001D160C">
              <w:t xml:space="preserve"> cette proposition, et à entamer les travaux nécessaires en vue de définir une méthode qui sera appliquée aux fins de l'examen futur des modifications à apporter au montant de l'unité contributive, qui sera soumise à l'examen du Conseil à sa session de 2026.</w:t>
            </w:r>
          </w:p>
          <w:p w14:paraId="3456F405" w14:textId="293521AC" w:rsidR="00D72F49" w:rsidRPr="001D160C" w:rsidRDefault="00D72F49" w:rsidP="00D72F49">
            <w:pPr>
              <w:spacing w:before="160"/>
              <w:rPr>
                <w:b/>
                <w:bCs/>
                <w:sz w:val="26"/>
                <w:szCs w:val="26"/>
              </w:rPr>
            </w:pPr>
            <w:r w:rsidRPr="001D160C">
              <w:rPr>
                <w:b/>
                <w:bCs/>
                <w:sz w:val="26"/>
                <w:szCs w:val="26"/>
              </w:rPr>
              <w:t xml:space="preserve">Lien pertinent avec le </w:t>
            </w:r>
            <w:r w:rsidR="00F37FE5" w:rsidRPr="001D160C">
              <w:rPr>
                <w:b/>
                <w:bCs/>
                <w:sz w:val="26"/>
                <w:szCs w:val="26"/>
              </w:rPr>
              <w:t>p</w:t>
            </w:r>
            <w:r w:rsidRPr="001D160C">
              <w:rPr>
                <w:b/>
                <w:bCs/>
                <w:sz w:val="26"/>
                <w:szCs w:val="26"/>
              </w:rPr>
              <w:t>lan stratégique</w:t>
            </w:r>
          </w:p>
          <w:p w14:paraId="06DC392A" w14:textId="212C0068" w:rsidR="00D72F49" w:rsidRPr="001D160C" w:rsidRDefault="00154F02" w:rsidP="00D72F49">
            <w:r w:rsidRPr="001D160C">
              <w:t>Aucun.</w:t>
            </w:r>
          </w:p>
          <w:p w14:paraId="4989AF76" w14:textId="77777777" w:rsidR="00E95647" w:rsidRPr="001D160C" w:rsidRDefault="00D72F49" w:rsidP="00D72F49">
            <w:pPr>
              <w:spacing w:before="160"/>
              <w:rPr>
                <w:b/>
                <w:bCs/>
                <w:sz w:val="26"/>
                <w:szCs w:val="26"/>
              </w:rPr>
            </w:pPr>
            <w:r w:rsidRPr="001D160C">
              <w:rPr>
                <w:b/>
                <w:bCs/>
                <w:sz w:val="26"/>
                <w:szCs w:val="26"/>
              </w:rPr>
              <w:t>Incidences financières</w:t>
            </w:r>
          </w:p>
          <w:p w14:paraId="421D2C57" w14:textId="416FDFC1" w:rsidR="00D72F49" w:rsidRPr="001D160C" w:rsidRDefault="00154F02" w:rsidP="00882919">
            <w:pPr>
              <w:rPr>
                <w:szCs w:val="24"/>
              </w:rPr>
            </w:pPr>
            <w:r w:rsidRPr="001D160C">
              <w:rPr>
                <w:szCs w:val="24"/>
              </w:rPr>
              <w:t>Aucune.</w:t>
            </w:r>
          </w:p>
          <w:p w14:paraId="743AE3B6" w14:textId="77777777" w:rsidR="00D72F49" w:rsidRPr="001D160C" w:rsidRDefault="00D72F49" w:rsidP="00D72F49">
            <w:pPr>
              <w:spacing w:before="160"/>
              <w:rPr>
                <w:caps/>
                <w:sz w:val="22"/>
              </w:rPr>
            </w:pPr>
            <w:r w:rsidRPr="001D160C">
              <w:rPr>
                <w:sz w:val="22"/>
              </w:rPr>
              <w:t>__________________</w:t>
            </w:r>
          </w:p>
          <w:p w14:paraId="123EC2B8" w14:textId="77777777" w:rsidR="00D72F49" w:rsidRPr="001D160C" w:rsidRDefault="00D72F49" w:rsidP="00D72F49">
            <w:pPr>
              <w:spacing w:before="160"/>
              <w:rPr>
                <w:b/>
                <w:bCs/>
                <w:sz w:val="26"/>
                <w:szCs w:val="26"/>
              </w:rPr>
            </w:pPr>
            <w:r w:rsidRPr="001D160C">
              <w:rPr>
                <w:b/>
                <w:bCs/>
                <w:sz w:val="26"/>
                <w:szCs w:val="26"/>
              </w:rPr>
              <w:t>Références</w:t>
            </w:r>
          </w:p>
          <w:p w14:paraId="0CC0BB3A" w14:textId="62915D64" w:rsidR="00D72F49" w:rsidRPr="001D160C" w:rsidRDefault="00154F02" w:rsidP="00D72F49">
            <w:pPr>
              <w:spacing w:after="160"/>
              <w:rPr>
                <w:i/>
                <w:iCs/>
                <w:sz w:val="22"/>
                <w:szCs w:val="22"/>
              </w:rPr>
            </w:pPr>
            <w:hyperlink r:id="rId7" w:history="1">
              <w:r w:rsidRPr="001D160C">
                <w:rPr>
                  <w:rStyle w:val="Hyperlink"/>
                  <w:rFonts w:eastAsia="Times New Roman" w:cs="Times New Roman"/>
                  <w:i/>
                  <w:iCs/>
                  <w:sz w:val="22"/>
                </w:rPr>
                <w:t>Articles 8, 28 et 33</w:t>
              </w:r>
            </w:hyperlink>
            <w:r w:rsidRPr="001D160C">
              <w:rPr>
                <w:i/>
                <w:iCs/>
                <w:sz w:val="22"/>
                <w:szCs w:val="22"/>
              </w:rPr>
              <w:t xml:space="preserve"> de la Constitution de l'UIT; </w:t>
            </w:r>
            <w:hyperlink r:id="rId8" w:history="1">
              <w:r w:rsidRPr="001D160C">
                <w:rPr>
                  <w:rStyle w:val="Hyperlink"/>
                  <w:rFonts w:eastAsia="Times New Roman" w:cs="Times New Roman"/>
                  <w:i/>
                  <w:iCs/>
                  <w:sz w:val="22"/>
                </w:rPr>
                <w:t>Décision 5</w:t>
              </w:r>
            </w:hyperlink>
            <w:r w:rsidRPr="001D160C">
              <w:rPr>
                <w:i/>
                <w:iCs/>
                <w:sz w:val="22"/>
                <w:szCs w:val="22"/>
              </w:rPr>
              <w:t xml:space="preserve"> (Rév. Bucarest, 2022) de la Conférence de plénipotentiaires</w:t>
            </w:r>
          </w:p>
        </w:tc>
      </w:tr>
    </w:tbl>
    <w:p w14:paraId="73A1F6B0" w14:textId="77777777" w:rsidR="00A51849" w:rsidRPr="001D160C" w:rsidRDefault="00A51849"/>
    <w:p w14:paraId="2781BF6A" w14:textId="77777777" w:rsidR="00A51849" w:rsidRPr="001D160C" w:rsidRDefault="00A51849">
      <w:pPr>
        <w:tabs>
          <w:tab w:val="clear" w:pos="567"/>
          <w:tab w:val="clear" w:pos="1134"/>
          <w:tab w:val="clear" w:pos="1701"/>
          <w:tab w:val="clear" w:pos="2268"/>
          <w:tab w:val="clear" w:pos="2835"/>
        </w:tabs>
        <w:overflowPunct/>
        <w:autoSpaceDE/>
        <w:autoSpaceDN/>
        <w:adjustRightInd/>
        <w:spacing w:before="0"/>
        <w:textAlignment w:val="auto"/>
      </w:pPr>
      <w:r w:rsidRPr="001D160C">
        <w:br w:type="page"/>
      </w:r>
    </w:p>
    <w:p w14:paraId="59748CD5" w14:textId="77777777" w:rsidR="00154F02" w:rsidRPr="001D160C" w:rsidRDefault="00154F02" w:rsidP="00154F02">
      <w:pPr>
        <w:pStyle w:val="Headingb"/>
      </w:pPr>
      <w:r w:rsidRPr="001D160C">
        <w:lastRenderedPageBreak/>
        <w:t>Proposition</w:t>
      </w:r>
    </w:p>
    <w:p w14:paraId="674BB380" w14:textId="77777777" w:rsidR="00154F02" w:rsidRPr="001D160C" w:rsidRDefault="00154F02" w:rsidP="00AA4E9B">
      <w:pPr>
        <w:jc w:val="both"/>
      </w:pPr>
      <w:r w:rsidRPr="001D160C">
        <w:t>1</w:t>
      </w:r>
      <w:r w:rsidRPr="001D160C">
        <w:tab/>
        <w:t>Le projet de Plan financier pour la période 2028-2031 a pour objet de donner à la Conférence de plénipotentiaires de 2026 une référence pour établir les bases du budget de l'Union et fixer les limites financières correspondantes pour la période allant jusqu'à la Conférence de plénipotentiaires suivante, après avoir examiné tous les aspects pertinents de l'activité de l'Union durant cette période (Article 8, numéro 51 de la Constitution).</w:t>
      </w:r>
    </w:p>
    <w:p w14:paraId="17FF65C1" w14:textId="5E321375" w:rsidR="00897553" w:rsidRPr="001D160C" w:rsidRDefault="00154F02" w:rsidP="00AA4E9B">
      <w:pPr>
        <w:jc w:val="both"/>
      </w:pPr>
      <w:r w:rsidRPr="001D160C">
        <w:t>2</w:t>
      </w:r>
      <w:r w:rsidRPr="001D160C">
        <w:tab/>
        <w:t>Conformément au numéro 161B (Article 28) de la Constitution, le Conseil, lors de sa session précédant la Conférence de plénipotentiaires, fixe le montant provisoire de l'unité contributive sur la base du projet de Plan financier pour la période correspondante et du nombre total d'unités contributives.</w:t>
      </w:r>
    </w:p>
    <w:p w14:paraId="181378B3" w14:textId="6DA4FC72" w:rsidR="00154F02" w:rsidRPr="001D160C" w:rsidRDefault="00154F02" w:rsidP="00AA4E9B">
      <w:pPr>
        <w:jc w:val="both"/>
      </w:pPr>
      <w:r w:rsidRPr="001D160C">
        <w:t>3</w:t>
      </w:r>
      <w:r w:rsidRPr="001D160C">
        <w:tab/>
        <w:t xml:space="preserve">À cet égard, conformément à la Décision 5 (Rév. Bucarest, 2022) de la Conférence de plénipotentiaires, </w:t>
      </w:r>
      <w:r w:rsidRPr="001D160C">
        <w:rPr>
          <w:i/>
          <w:iCs/>
        </w:rPr>
        <w:t>le Conseil est invité</w:t>
      </w:r>
      <w:r w:rsidRPr="001D160C">
        <w:t xml:space="preserve"> à fixer, dans la mesure du possible, le montant préliminaire de l'unité contributive pour la période 2028-2031 à sa session ordinaire de 2025 et </w:t>
      </w:r>
      <w:r w:rsidRPr="001D160C">
        <w:rPr>
          <w:i/>
          <w:iCs/>
        </w:rPr>
        <w:t>les États Membres sont invités</w:t>
      </w:r>
      <w:r w:rsidRPr="001D160C">
        <w:t xml:space="preserve"> à annoncer leur classe de contribution provisoire pour la période 2028-2031 avant la fin de l'année calendaire 2025. Le montant de l'unité contributive a été maintenu à 318 000 CHF, conformément à la Décision 5 (Rév. Bucarest, 2022), soit une croissance nominale zéro depuis l'année 2006.</w:t>
      </w:r>
    </w:p>
    <w:p w14:paraId="3E0A2313" w14:textId="1211B7A8" w:rsidR="00154F02" w:rsidRPr="001D160C" w:rsidRDefault="00154F02" w:rsidP="00AA4E9B">
      <w:pPr>
        <w:jc w:val="both"/>
      </w:pPr>
      <w:r w:rsidRPr="001D160C">
        <w:t>4</w:t>
      </w:r>
      <w:r w:rsidRPr="001D160C">
        <w:tab/>
        <w:t>Aux réunions du Groupe de travail du Conseil chargé d'élaborer le plan stratégique et le plan financier pour la période 2028-2031 (GTC-SFP), tenues en octobre 2024 et février 2025, le secrétariat a présenté des dispositions aux États Membres afin qu'ils examinent une augmentation du montant de l'unité contributive. Dans les Documents </w:t>
      </w:r>
      <w:hyperlink r:id="rId9" w:history="1">
        <w:r w:rsidRPr="001D160C">
          <w:rPr>
            <w:rStyle w:val="Hyperlink"/>
            <w:rFonts w:eastAsia="Times New Roman" w:cs="Times New Roman"/>
            <w:szCs w:val="20"/>
          </w:rPr>
          <w:t>CWG</w:t>
        </w:r>
        <w:r w:rsidRPr="001D160C">
          <w:rPr>
            <w:rStyle w:val="Hyperlink"/>
            <w:rFonts w:eastAsia="Times New Roman" w:cs="Times New Roman"/>
            <w:szCs w:val="20"/>
          </w:rPr>
          <w:noBreakHyphen/>
          <w:t>SFP-1/5</w:t>
        </w:r>
      </w:hyperlink>
      <w:r w:rsidRPr="001D160C">
        <w:t xml:space="preserve">, </w:t>
      </w:r>
      <w:hyperlink r:id="rId10" w:history="1">
        <w:r w:rsidRPr="001D160C">
          <w:rPr>
            <w:rStyle w:val="Hyperlink"/>
            <w:rFonts w:eastAsia="Times New Roman" w:cs="Times New Roman"/>
            <w:szCs w:val="20"/>
          </w:rPr>
          <w:t>CWG-SFP-2/7</w:t>
        </w:r>
      </w:hyperlink>
      <w:r w:rsidRPr="001D160C">
        <w:t xml:space="preserve"> et </w:t>
      </w:r>
      <w:hyperlink r:id="rId11" w:history="1">
        <w:r w:rsidRPr="001D160C">
          <w:rPr>
            <w:rStyle w:val="Hyperlink"/>
            <w:rFonts w:eastAsia="Times New Roman" w:cs="Times New Roman"/>
            <w:szCs w:val="20"/>
          </w:rPr>
          <w:t>CWG-SFP-2/INF/1</w:t>
        </w:r>
      </w:hyperlink>
      <w:r w:rsidRPr="001D160C">
        <w:t>, le secrétariat a présenté diverses considérations relatives à la situation financière de l'Union, pour examen par le GCT-SFP. Le secrétariat a observé que, compte tenu de l'augmentation des coûts depuis que l'unité contributive a été fixée à son niveau actuel en 2006, et dans un contexte marqué par une baisse des produits tirés du recouvrement des coûts, l'UIT a été contrainte de réaliser des économies en écartant plusieurs dépenses importantes des priorités au cours des dernières années, faute de ressources financières suffisantes. Le secrétariat a proposé qu'un financement approprié pour l'Union durant la période financière 2028-2031 soit assuré moyennant l'approbation, par le Conseil, d'une augmentation des droits à acquitter pour le traitement des fiches de notification des réseaux à satellite, afin de recouvrer les coûts complets des travaux que nécessite le traitement de ces fiches, et l'accord des États Membres en faveur d'une augmentation du montant de l'unité contributive, afin de couvrir tout déficit de financement restant. Cette proposition n'a pas obtenu l'assentiment des États Membres, notamment en ce qui concerne l'augmentation de l'unité contributive. À cet égard, les membres du GTC ont pris note des considérations suivantes:</w:t>
      </w:r>
    </w:p>
    <w:p w14:paraId="25F064A6" w14:textId="34E83C41" w:rsidR="00154F02" w:rsidRPr="001D160C" w:rsidRDefault="00154F02" w:rsidP="00AA4E9B">
      <w:pPr>
        <w:pStyle w:val="enumlev1"/>
        <w:jc w:val="both"/>
      </w:pPr>
      <w:r w:rsidRPr="001D160C">
        <w:t>–</w:t>
      </w:r>
      <w:r w:rsidRPr="001D160C">
        <w:tab/>
        <w:t>La nécessité de fournir des renseignements supplémentaires pertinents et détaillés dans les propositions soumises concernant l'utilisation des ressources financières de l'UIT.</w:t>
      </w:r>
    </w:p>
    <w:p w14:paraId="1251F87E" w14:textId="6628E4BF" w:rsidR="00154F02" w:rsidRPr="001D160C" w:rsidRDefault="00154F02" w:rsidP="00AA4E9B">
      <w:pPr>
        <w:pStyle w:val="enumlev1"/>
        <w:jc w:val="both"/>
      </w:pPr>
      <w:r w:rsidRPr="001D160C">
        <w:t>–</w:t>
      </w:r>
      <w:r w:rsidRPr="001D160C">
        <w:tab/>
        <w:t>La nécessité pour le secrétariat de rechercher constamment des gains d'efficience dans les activités de l'UIT.</w:t>
      </w:r>
    </w:p>
    <w:p w14:paraId="6DB6B87C" w14:textId="49DC6A5F" w:rsidR="00154F02" w:rsidRPr="001D160C" w:rsidRDefault="00154F02" w:rsidP="00AA4E9B">
      <w:pPr>
        <w:pStyle w:val="enumlev1"/>
        <w:jc w:val="both"/>
      </w:pPr>
      <w:r w:rsidRPr="001D160C">
        <w:t>–</w:t>
      </w:r>
      <w:r w:rsidRPr="001D160C">
        <w:tab/>
        <w:t>La nécessité pour l'Union de se concentrer davantage sur les activités importantes.</w:t>
      </w:r>
    </w:p>
    <w:p w14:paraId="15D06E87" w14:textId="05E1A963" w:rsidR="00154F02" w:rsidRPr="001D160C" w:rsidRDefault="00154F02" w:rsidP="00AA4E9B">
      <w:pPr>
        <w:pStyle w:val="enumlev1"/>
        <w:jc w:val="both"/>
      </w:pPr>
      <w:r w:rsidRPr="001D160C">
        <w:t>–</w:t>
      </w:r>
      <w:r w:rsidRPr="001D160C">
        <w:tab/>
        <w:t>La nécessité de mobiliser des ressources supplémentaires pour réaliser le mandat de l'UIT.</w:t>
      </w:r>
    </w:p>
    <w:p w14:paraId="782CDFB8" w14:textId="590E1ABB" w:rsidR="00154F02" w:rsidRPr="001D160C" w:rsidRDefault="00154F02" w:rsidP="00AA4E9B">
      <w:pPr>
        <w:pStyle w:val="enumlev1"/>
        <w:jc w:val="both"/>
      </w:pPr>
      <w:r w:rsidRPr="001D160C">
        <w:t>–</w:t>
      </w:r>
      <w:r w:rsidRPr="001D160C">
        <w:tab/>
        <w:t>Les défis liés à l'environnement financier mondial tel qu'il est actuellement.</w:t>
      </w:r>
    </w:p>
    <w:p w14:paraId="5C6AB172" w14:textId="27137542" w:rsidR="00154F02" w:rsidRPr="001D160C" w:rsidRDefault="00154F02" w:rsidP="00AA4E9B">
      <w:pPr>
        <w:jc w:val="both"/>
      </w:pPr>
      <w:r w:rsidRPr="001D160C">
        <w:lastRenderedPageBreak/>
        <w:t>5</w:t>
      </w:r>
      <w:r w:rsidRPr="001D160C">
        <w:tab/>
        <w:t>Bien que le secrétariat estime qu'une augmentation du montant de l'unité contributive demeure appropriée compte tenu de la situation financière de l'UIT, la Secrétaire générale a pris note des observations et des préoccupations exprimées par les délégués au GTC-SFP. Compte tenu de ces préoccupations, de l'environnement économique actuel qui a une incidence sur les États Membres et le système multilatéral, ainsi que du fait que la proposition visant à augmenter le montant de l'unité contributive ne bénéficie pas d'un soutien suffisant à l'heure qu'il est, la Secrétaire générale propose de maintenir le montant de l'unité contributive au niveau actuel, à savoir 318 000 CHF. Tous les États Membres auront ainsi, comme lors de la dernière Conférence de plénipotentiaires, une bonne base pour examiner le Plan stratégique et le Plan financier pour la période 2028-2031 et se préparer comme il convient en vue de la Conférence de plénipotentiaires de 2026. Il convient de noter qu'en l'absence d'une augmentation du montant de l'unité contributive, l'enveloppe financière du plan stratégique de l'Union sera fondée sur une baisse des produits et une augmentation des coûts. Lors de la réunion du GTC-SFP tenue en février dernier, les délégués ont discuté de la nécessité d'élaborer une méthode précise qui serait appliquée lors de l'examen futur des modifications à apporter au montant de l'unité contributive. Le secrétariat estime qu'il s'agirait là d'un exercice utile, en ce qu'il consoliderait la stabilité des processus de planification et d'établissement de budget de l'UIT.</w:t>
      </w:r>
    </w:p>
    <w:p w14:paraId="04264D0A" w14:textId="77777777" w:rsidR="00154F02" w:rsidRPr="001D160C" w:rsidRDefault="00154F02" w:rsidP="00AA4E9B">
      <w:pPr>
        <w:jc w:val="both"/>
      </w:pPr>
      <w:r w:rsidRPr="001D160C">
        <w:t>6</w:t>
      </w:r>
      <w:r w:rsidRPr="001D160C">
        <w:tab/>
        <w:t>Une fois que le Conseil aura approuvé le montant préliminaire de l'unité contributive, la Secrétaire générale enverra une lettre à tous les États Membres les invitant à annoncer leur classe de contribution provisoire pour la période 2028-2031 avant le 31 décembre 2025.</w:t>
      </w:r>
    </w:p>
    <w:p w14:paraId="4C663E51" w14:textId="26C34504" w:rsidR="00154F02" w:rsidRPr="001D160C" w:rsidRDefault="00154F02" w:rsidP="00AA4E9B">
      <w:pPr>
        <w:jc w:val="both"/>
      </w:pPr>
      <w:r w:rsidRPr="001D160C">
        <w:t>7</w:t>
      </w:r>
      <w:r w:rsidRPr="001D160C">
        <w:tab/>
        <w:t>Il est prévu que la Conférence de plénipotentiaires de 2026 établisse le cadre et les directives sur la base desquels les deux budgets biennaux seront élaborés pour les exercices 2028-2029 et 2030-2031.</w:t>
      </w:r>
    </w:p>
    <w:p w14:paraId="0971806C" w14:textId="77777777" w:rsidR="00154F02" w:rsidRPr="001D160C" w:rsidRDefault="00154F02" w:rsidP="00AA4E9B">
      <w:pPr>
        <w:jc w:val="both"/>
      </w:pPr>
      <w:r w:rsidRPr="001D160C">
        <w:t>8</w:t>
      </w:r>
      <w:r w:rsidRPr="001D160C">
        <w:tab/>
        <w:t>Le projet de Plan financier pour la période 2028-2031 sera présenté et examiné lors de la réunion du GTC-SFP en 2026.</w:t>
      </w:r>
    </w:p>
    <w:p w14:paraId="62585E4A" w14:textId="709E0E4B" w:rsidR="00154F02" w:rsidRPr="001D160C" w:rsidRDefault="00154F02" w:rsidP="00AA4E9B">
      <w:pPr>
        <w:jc w:val="both"/>
      </w:pPr>
      <w:r w:rsidRPr="001D160C">
        <w:t>9</w:t>
      </w:r>
      <w:r w:rsidRPr="001D160C">
        <w:tab/>
        <w:t>On trouvera à l'</w:t>
      </w:r>
      <w:hyperlink w:anchor="Annexe1" w:history="1">
        <w:r w:rsidRPr="001D160C">
          <w:rPr>
            <w:rStyle w:val="Hyperlink"/>
            <w:rFonts w:eastAsia="Times New Roman" w:cs="Times New Roman"/>
            <w:szCs w:val="20"/>
          </w:rPr>
          <w:t>Annexe 1</w:t>
        </w:r>
      </w:hyperlink>
      <w:r w:rsidRPr="001D160C">
        <w:t xml:space="preserve"> un tableau comparatif des classes de contribution choisies par les États Membres.</w:t>
      </w:r>
    </w:p>
    <w:p w14:paraId="3080BF63" w14:textId="567BF5D5" w:rsidR="00154F02" w:rsidRPr="001D160C" w:rsidRDefault="00154F02" w:rsidP="00AA4E9B">
      <w:pPr>
        <w:spacing w:after="1080"/>
        <w:jc w:val="both"/>
      </w:pPr>
      <w:r w:rsidRPr="001D160C">
        <w:t>10</w:t>
      </w:r>
      <w:r w:rsidRPr="001D160C">
        <w:tab/>
        <w:t>L'</w:t>
      </w:r>
      <w:hyperlink w:anchor="Annexe2" w:history="1">
        <w:r w:rsidRPr="001D160C">
          <w:rPr>
            <w:rStyle w:val="Hyperlink"/>
            <w:rFonts w:eastAsia="Times New Roman" w:cs="Times New Roman"/>
            <w:szCs w:val="20"/>
          </w:rPr>
          <w:t>Annexe 2</w:t>
        </w:r>
      </w:hyperlink>
      <w:r w:rsidRPr="001D160C">
        <w:t xml:space="preserve"> montre l'évolution des unités contributives choisies par les Membres des Secteurs ainsi que l'évolution du nombre des Associés et des établissements universitaires entre la dernière Conférence de plénipotentiaires, qui s'est tenue à Bucarest en 2022, et aujourd'hui.</w:t>
      </w:r>
    </w:p>
    <w:p w14:paraId="00F052B3" w14:textId="2D707482" w:rsidR="00154F02" w:rsidRPr="001D160C" w:rsidRDefault="00154F02" w:rsidP="00154F02">
      <w:r w:rsidRPr="001D160C">
        <w:rPr>
          <w:b/>
          <w:bCs/>
          <w:i/>
          <w:iCs/>
        </w:rPr>
        <w:t>Annexes</w:t>
      </w:r>
      <w:r w:rsidRPr="001D160C">
        <w:t>: 2</w:t>
      </w:r>
    </w:p>
    <w:p w14:paraId="1CBFBC7F" w14:textId="02AF079E" w:rsidR="00154F02" w:rsidRPr="001D160C" w:rsidRDefault="00154F02">
      <w:pPr>
        <w:tabs>
          <w:tab w:val="clear" w:pos="567"/>
          <w:tab w:val="clear" w:pos="1134"/>
          <w:tab w:val="clear" w:pos="1701"/>
          <w:tab w:val="clear" w:pos="2268"/>
          <w:tab w:val="clear" w:pos="2835"/>
        </w:tabs>
        <w:overflowPunct/>
        <w:autoSpaceDE/>
        <w:autoSpaceDN/>
        <w:adjustRightInd/>
        <w:spacing w:before="0"/>
        <w:textAlignment w:val="auto"/>
      </w:pPr>
      <w:r w:rsidRPr="001D160C">
        <w:br w:type="page"/>
      </w:r>
    </w:p>
    <w:p w14:paraId="0FC3E3B6" w14:textId="027BB3E9" w:rsidR="00154F02" w:rsidRPr="001D160C" w:rsidRDefault="00154F02" w:rsidP="00154F02">
      <w:pPr>
        <w:pStyle w:val="AnnexNo"/>
        <w:spacing w:after="360"/>
      </w:pPr>
      <w:bookmarkStart w:id="0" w:name="Annexe1"/>
      <w:r w:rsidRPr="001D160C">
        <w:lastRenderedPageBreak/>
        <w:t>ANNEXE 1</w:t>
      </w:r>
      <w:bookmarkEnd w:id="0"/>
    </w:p>
    <w:tbl>
      <w:tblPr>
        <w:tblW w:w="7508" w:type="dxa"/>
        <w:jc w:val="center"/>
        <w:tblLook w:val="04A0" w:firstRow="1" w:lastRow="0" w:firstColumn="1" w:lastColumn="0" w:noHBand="0" w:noVBand="1"/>
      </w:tblPr>
      <w:tblGrid>
        <w:gridCol w:w="4390"/>
        <w:gridCol w:w="3118"/>
      </w:tblGrid>
      <w:tr w:rsidR="0055212D" w:rsidRPr="001D160C" w14:paraId="5A4169AD" w14:textId="77777777" w:rsidTr="005D5D8D">
        <w:trPr>
          <w:trHeight w:val="859"/>
          <w:tblHeader/>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CBFA5" w14:textId="4A4A3A1A" w:rsidR="0055212D" w:rsidRPr="001D160C" w:rsidRDefault="0055212D" w:rsidP="0055212D">
            <w:pPr>
              <w:pStyle w:val="Tablehead"/>
            </w:pPr>
            <w:r w:rsidRPr="001D160C">
              <w:t>États Membres</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5CD10889" w14:textId="77777777" w:rsidR="0055212D" w:rsidRPr="001D160C" w:rsidRDefault="0055212D" w:rsidP="004B4938">
            <w:pPr>
              <w:pStyle w:val="Tablehead"/>
            </w:pPr>
            <w:r w:rsidRPr="001D160C">
              <w:t xml:space="preserve">Nombre d'unités </w:t>
            </w:r>
            <w:r w:rsidRPr="001D160C">
              <w:br/>
              <w:t>au 28/02/2025</w:t>
            </w:r>
          </w:p>
        </w:tc>
      </w:tr>
      <w:tr w:rsidR="0055212D" w:rsidRPr="001D160C" w14:paraId="1A1FA26F"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vAlign w:val="bottom"/>
          </w:tcPr>
          <w:p w14:paraId="1A7FFFFF" w14:textId="77777777" w:rsidR="0055212D" w:rsidRPr="001D160C" w:rsidRDefault="0055212D" w:rsidP="004B4938">
            <w:pPr>
              <w:pStyle w:val="Tabletext"/>
              <w:rPr>
                <w:lang w:eastAsia="zh-CN"/>
              </w:rPr>
            </w:pPr>
            <w:r w:rsidRPr="001D160C">
              <w:rPr>
                <w:lang w:eastAsia="zh-CN"/>
              </w:rPr>
              <w:t>Afghanistan</w:t>
            </w:r>
          </w:p>
        </w:tc>
        <w:tc>
          <w:tcPr>
            <w:tcW w:w="3118" w:type="dxa"/>
            <w:tcBorders>
              <w:top w:val="nil"/>
              <w:left w:val="single" w:sz="4" w:space="0" w:color="auto"/>
              <w:bottom w:val="nil"/>
              <w:right w:val="single" w:sz="4" w:space="0" w:color="auto"/>
            </w:tcBorders>
            <w:shd w:val="clear" w:color="auto" w:fill="auto"/>
            <w:noWrap/>
            <w:vAlign w:val="bottom"/>
          </w:tcPr>
          <w:p w14:paraId="3B8C8D90" w14:textId="77777777" w:rsidR="0055212D" w:rsidRPr="001D160C" w:rsidRDefault="0055212D" w:rsidP="004B4938">
            <w:pPr>
              <w:pStyle w:val="Tabletext"/>
              <w:jc w:val="center"/>
            </w:pPr>
            <w:r w:rsidRPr="001D160C">
              <w:t>1/16</w:t>
            </w:r>
          </w:p>
        </w:tc>
      </w:tr>
      <w:tr w:rsidR="0055212D" w:rsidRPr="001D160C" w14:paraId="5CBF3A96"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14:paraId="4AA73CFD" w14:textId="77777777" w:rsidR="0055212D" w:rsidRPr="001D160C" w:rsidRDefault="0055212D" w:rsidP="004B4938">
            <w:pPr>
              <w:pStyle w:val="Tabletext"/>
              <w:rPr>
                <w:lang w:eastAsia="zh-CN"/>
              </w:rPr>
            </w:pPr>
            <w:r w:rsidRPr="001D160C">
              <w:rPr>
                <w:lang w:eastAsia="zh-CN"/>
              </w:rPr>
              <w:t>Albanie</w:t>
            </w:r>
          </w:p>
        </w:tc>
        <w:tc>
          <w:tcPr>
            <w:tcW w:w="3118" w:type="dxa"/>
            <w:tcBorders>
              <w:top w:val="nil"/>
              <w:left w:val="single" w:sz="4" w:space="0" w:color="auto"/>
              <w:bottom w:val="nil"/>
              <w:right w:val="single" w:sz="4" w:space="0" w:color="auto"/>
            </w:tcBorders>
            <w:shd w:val="clear" w:color="auto" w:fill="auto"/>
            <w:noWrap/>
            <w:vAlign w:val="bottom"/>
            <w:hideMark/>
          </w:tcPr>
          <w:p w14:paraId="0CDB8663" w14:textId="77777777" w:rsidR="0055212D" w:rsidRPr="001D160C" w:rsidRDefault="0055212D" w:rsidP="004B4938">
            <w:pPr>
              <w:pStyle w:val="Tabletext"/>
              <w:jc w:val="center"/>
            </w:pPr>
            <w:r w:rsidRPr="001D160C">
              <w:t>1/4</w:t>
            </w:r>
          </w:p>
        </w:tc>
      </w:tr>
      <w:tr w:rsidR="0055212D" w:rsidRPr="001D160C" w14:paraId="11E1C154"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14:paraId="2F37764B" w14:textId="77777777" w:rsidR="0055212D" w:rsidRPr="001D160C" w:rsidRDefault="0055212D" w:rsidP="004B4938">
            <w:pPr>
              <w:pStyle w:val="Tabletext"/>
              <w:rPr>
                <w:lang w:eastAsia="zh-CN"/>
              </w:rPr>
            </w:pPr>
            <w:r w:rsidRPr="001D160C">
              <w:rPr>
                <w:lang w:eastAsia="zh-CN"/>
              </w:rPr>
              <w:t>Algérie</w:t>
            </w:r>
          </w:p>
        </w:tc>
        <w:tc>
          <w:tcPr>
            <w:tcW w:w="3118" w:type="dxa"/>
            <w:tcBorders>
              <w:top w:val="nil"/>
              <w:left w:val="single" w:sz="4" w:space="0" w:color="auto"/>
              <w:bottom w:val="nil"/>
              <w:right w:val="single" w:sz="4" w:space="0" w:color="auto"/>
            </w:tcBorders>
            <w:shd w:val="clear" w:color="auto" w:fill="auto"/>
            <w:noWrap/>
            <w:vAlign w:val="bottom"/>
            <w:hideMark/>
          </w:tcPr>
          <w:p w14:paraId="7DC1E100" w14:textId="77777777" w:rsidR="0055212D" w:rsidRPr="001D160C" w:rsidRDefault="0055212D" w:rsidP="004B4938">
            <w:pPr>
              <w:pStyle w:val="Tabletext"/>
              <w:jc w:val="center"/>
            </w:pPr>
            <w:r w:rsidRPr="001D160C">
              <w:t>1</w:t>
            </w:r>
          </w:p>
        </w:tc>
      </w:tr>
      <w:tr w:rsidR="0055212D" w:rsidRPr="001D160C" w14:paraId="7F349C8C"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14:paraId="1CC25E9A" w14:textId="77777777" w:rsidR="0055212D" w:rsidRPr="001D160C" w:rsidRDefault="0055212D" w:rsidP="004B4938">
            <w:pPr>
              <w:pStyle w:val="Tabletext"/>
              <w:rPr>
                <w:lang w:eastAsia="zh-CN"/>
              </w:rPr>
            </w:pPr>
            <w:r w:rsidRPr="001D160C">
              <w:rPr>
                <w:lang w:eastAsia="zh-CN"/>
              </w:rPr>
              <w:t>Andorre</w:t>
            </w:r>
          </w:p>
        </w:tc>
        <w:tc>
          <w:tcPr>
            <w:tcW w:w="3118" w:type="dxa"/>
            <w:tcBorders>
              <w:top w:val="nil"/>
              <w:left w:val="single" w:sz="4" w:space="0" w:color="auto"/>
              <w:bottom w:val="nil"/>
              <w:right w:val="single" w:sz="4" w:space="0" w:color="auto"/>
            </w:tcBorders>
            <w:shd w:val="clear" w:color="auto" w:fill="auto"/>
            <w:noWrap/>
            <w:vAlign w:val="bottom"/>
            <w:hideMark/>
          </w:tcPr>
          <w:p w14:paraId="67B3FE6D" w14:textId="77777777" w:rsidR="0055212D" w:rsidRPr="001D160C" w:rsidRDefault="0055212D" w:rsidP="004B4938">
            <w:pPr>
              <w:pStyle w:val="Tabletext"/>
              <w:jc w:val="center"/>
            </w:pPr>
            <w:r w:rsidRPr="001D160C">
              <w:t>1/4</w:t>
            </w:r>
          </w:p>
        </w:tc>
      </w:tr>
      <w:tr w:rsidR="0055212D" w:rsidRPr="001D160C" w14:paraId="12DE90A3"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14:paraId="206697DA" w14:textId="77777777" w:rsidR="0055212D" w:rsidRPr="001D160C" w:rsidRDefault="0055212D" w:rsidP="004B4938">
            <w:pPr>
              <w:pStyle w:val="Tabletext"/>
              <w:rPr>
                <w:lang w:eastAsia="zh-CN"/>
              </w:rPr>
            </w:pPr>
            <w:r w:rsidRPr="001D160C">
              <w:rPr>
                <w:lang w:eastAsia="zh-CN"/>
              </w:rPr>
              <w:t>Angola</w:t>
            </w:r>
          </w:p>
        </w:tc>
        <w:tc>
          <w:tcPr>
            <w:tcW w:w="3118" w:type="dxa"/>
            <w:tcBorders>
              <w:top w:val="nil"/>
              <w:left w:val="single" w:sz="4" w:space="0" w:color="auto"/>
              <w:bottom w:val="nil"/>
              <w:right w:val="single" w:sz="4" w:space="0" w:color="auto"/>
            </w:tcBorders>
            <w:shd w:val="clear" w:color="auto" w:fill="auto"/>
            <w:noWrap/>
            <w:vAlign w:val="bottom"/>
            <w:hideMark/>
          </w:tcPr>
          <w:p w14:paraId="1ADC5CBD" w14:textId="77777777" w:rsidR="0055212D" w:rsidRPr="001D160C" w:rsidRDefault="0055212D" w:rsidP="004B4938">
            <w:pPr>
              <w:pStyle w:val="Tabletext"/>
              <w:jc w:val="center"/>
            </w:pPr>
            <w:r w:rsidRPr="001D160C">
              <w:t>1/8</w:t>
            </w:r>
          </w:p>
        </w:tc>
      </w:tr>
      <w:tr w:rsidR="0055212D" w:rsidRPr="001D160C" w14:paraId="72DD50CF"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14:paraId="7F5F65BF" w14:textId="77777777" w:rsidR="0055212D" w:rsidRPr="001D160C" w:rsidRDefault="0055212D" w:rsidP="004B4938">
            <w:pPr>
              <w:pStyle w:val="Tabletext"/>
              <w:rPr>
                <w:lang w:eastAsia="zh-CN"/>
              </w:rPr>
            </w:pPr>
            <w:r w:rsidRPr="001D160C">
              <w:rPr>
                <w:lang w:eastAsia="zh-CN"/>
              </w:rPr>
              <w:t>Antigua-et-Barbuda</w:t>
            </w:r>
          </w:p>
        </w:tc>
        <w:tc>
          <w:tcPr>
            <w:tcW w:w="3118" w:type="dxa"/>
            <w:tcBorders>
              <w:top w:val="nil"/>
              <w:left w:val="single" w:sz="4" w:space="0" w:color="auto"/>
              <w:bottom w:val="nil"/>
              <w:right w:val="single" w:sz="4" w:space="0" w:color="auto"/>
            </w:tcBorders>
            <w:shd w:val="clear" w:color="auto" w:fill="auto"/>
            <w:noWrap/>
            <w:vAlign w:val="bottom"/>
            <w:hideMark/>
          </w:tcPr>
          <w:p w14:paraId="09CF5ADC" w14:textId="77777777" w:rsidR="0055212D" w:rsidRPr="001D160C" w:rsidRDefault="0055212D" w:rsidP="004B4938">
            <w:pPr>
              <w:pStyle w:val="Tabletext"/>
              <w:jc w:val="center"/>
            </w:pPr>
            <w:r w:rsidRPr="001D160C">
              <w:t>1/16</w:t>
            </w:r>
          </w:p>
        </w:tc>
      </w:tr>
      <w:tr w:rsidR="0055212D" w:rsidRPr="001D160C" w14:paraId="1E7ADC45"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14:paraId="2F71F974" w14:textId="77777777" w:rsidR="0055212D" w:rsidRPr="001D160C" w:rsidRDefault="0055212D" w:rsidP="004B4938">
            <w:pPr>
              <w:pStyle w:val="Tabletext"/>
              <w:rPr>
                <w:lang w:eastAsia="zh-CN"/>
              </w:rPr>
            </w:pPr>
            <w:r w:rsidRPr="001D160C">
              <w:rPr>
                <w:lang w:eastAsia="zh-CN"/>
              </w:rPr>
              <w:t>Argentine</w:t>
            </w:r>
          </w:p>
        </w:tc>
        <w:tc>
          <w:tcPr>
            <w:tcW w:w="3118" w:type="dxa"/>
            <w:tcBorders>
              <w:top w:val="nil"/>
              <w:left w:val="single" w:sz="4" w:space="0" w:color="auto"/>
              <w:bottom w:val="nil"/>
              <w:right w:val="single" w:sz="4" w:space="0" w:color="auto"/>
            </w:tcBorders>
            <w:shd w:val="clear" w:color="auto" w:fill="auto"/>
            <w:noWrap/>
            <w:vAlign w:val="bottom"/>
            <w:hideMark/>
          </w:tcPr>
          <w:p w14:paraId="427BB27A" w14:textId="77777777" w:rsidR="0055212D" w:rsidRPr="001D160C" w:rsidRDefault="0055212D" w:rsidP="004B4938">
            <w:pPr>
              <w:pStyle w:val="Tabletext"/>
              <w:jc w:val="center"/>
            </w:pPr>
            <w:r w:rsidRPr="001D160C">
              <w:t>1/2</w:t>
            </w:r>
          </w:p>
        </w:tc>
      </w:tr>
      <w:tr w:rsidR="0055212D" w:rsidRPr="001D160C" w14:paraId="54F59BFF"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14:paraId="6A6116C2" w14:textId="77777777" w:rsidR="0055212D" w:rsidRPr="001D160C" w:rsidRDefault="0055212D" w:rsidP="004B4938">
            <w:pPr>
              <w:pStyle w:val="Tabletext"/>
              <w:rPr>
                <w:lang w:eastAsia="zh-CN"/>
              </w:rPr>
            </w:pPr>
            <w:r w:rsidRPr="001D160C">
              <w:rPr>
                <w:lang w:eastAsia="zh-CN"/>
              </w:rPr>
              <w:t>Arménie</w:t>
            </w:r>
          </w:p>
        </w:tc>
        <w:tc>
          <w:tcPr>
            <w:tcW w:w="3118" w:type="dxa"/>
            <w:tcBorders>
              <w:top w:val="nil"/>
              <w:left w:val="single" w:sz="4" w:space="0" w:color="auto"/>
              <w:bottom w:val="nil"/>
              <w:right w:val="single" w:sz="4" w:space="0" w:color="auto"/>
            </w:tcBorders>
            <w:shd w:val="clear" w:color="auto" w:fill="auto"/>
            <w:noWrap/>
            <w:vAlign w:val="bottom"/>
            <w:hideMark/>
          </w:tcPr>
          <w:p w14:paraId="29B30C8F" w14:textId="77777777" w:rsidR="0055212D" w:rsidRPr="001D160C" w:rsidRDefault="0055212D" w:rsidP="004B4938">
            <w:pPr>
              <w:pStyle w:val="Tabletext"/>
              <w:jc w:val="center"/>
            </w:pPr>
            <w:r w:rsidRPr="001D160C">
              <w:t>1/4</w:t>
            </w:r>
          </w:p>
        </w:tc>
      </w:tr>
      <w:tr w:rsidR="0055212D" w:rsidRPr="001D160C" w14:paraId="076CA989"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14:paraId="6D6E5B81" w14:textId="77777777" w:rsidR="0055212D" w:rsidRPr="001D160C" w:rsidRDefault="0055212D" w:rsidP="004B4938">
            <w:pPr>
              <w:pStyle w:val="Tabletext"/>
              <w:rPr>
                <w:lang w:eastAsia="zh-CN"/>
              </w:rPr>
            </w:pPr>
            <w:r w:rsidRPr="001D160C">
              <w:rPr>
                <w:lang w:eastAsia="zh-CN"/>
              </w:rPr>
              <w:t xml:space="preserve">Australie </w:t>
            </w:r>
          </w:p>
        </w:tc>
        <w:tc>
          <w:tcPr>
            <w:tcW w:w="3118" w:type="dxa"/>
            <w:tcBorders>
              <w:top w:val="nil"/>
              <w:left w:val="single" w:sz="4" w:space="0" w:color="auto"/>
              <w:bottom w:val="nil"/>
              <w:right w:val="single" w:sz="4" w:space="0" w:color="auto"/>
            </w:tcBorders>
            <w:shd w:val="clear" w:color="auto" w:fill="auto"/>
            <w:noWrap/>
            <w:vAlign w:val="bottom"/>
            <w:hideMark/>
          </w:tcPr>
          <w:p w14:paraId="3DB943D9" w14:textId="77777777" w:rsidR="0055212D" w:rsidRPr="001D160C" w:rsidRDefault="0055212D" w:rsidP="004B4938">
            <w:pPr>
              <w:pStyle w:val="Tabletext"/>
              <w:jc w:val="center"/>
            </w:pPr>
            <w:r w:rsidRPr="001D160C">
              <w:t>13</w:t>
            </w:r>
          </w:p>
        </w:tc>
      </w:tr>
      <w:tr w:rsidR="0055212D" w:rsidRPr="001D160C" w14:paraId="1FB46730"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14:paraId="6EB0AE1B" w14:textId="77777777" w:rsidR="0055212D" w:rsidRPr="001D160C" w:rsidRDefault="0055212D" w:rsidP="004B4938">
            <w:pPr>
              <w:pStyle w:val="Tabletext"/>
              <w:rPr>
                <w:lang w:eastAsia="zh-CN"/>
              </w:rPr>
            </w:pPr>
            <w:r w:rsidRPr="001D160C">
              <w:rPr>
                <w:lang w:eastAsia="zh-CN"/>
              </w:rPr>
              <w:t>Autriche</w:t>
            </w:r>
          </w:p>
        </w:tc>
        <w:tc>
          <w:tcPr>
            <w:tcW w:w="3118" w:type="dxa"/>
            <w:tcBorders>
              <w:top w:val="nil"/>
              <w:left w:val="single" w:sz="4" w:space="0" w:color="auto"/>
              <w:bottom w:val="nil"/>
              <w:right w:val="single" w:sz="4" w:space="0" w:color="auto"/>
            </w:tcBorders>
            <w:shd w:val="clear" w:color="auto" w:fill="auto"/>
            <w:noWrap/>
            <w:vAlign w:val="bottom"/>
            <w:hideMark/>
          </w:tcPr>
          <w:p w14:paraId="0B142AA3" w14:textId="77777777" w:rsidR="0055212D" w:rsidRPr="001D160C" w:rsidRDefault="0055212D" w:rsidP="004B4938">
            <w:pPr>
              <w:pStyle w:val="Tabletext"/>
              <w:jc w:val="center"/>
            </w:pPr>
            <w:r w:rsidRPr="001D160C">
              <w:t>1</w:t>
            </w:r>
          </w:p>
        </w:tc>
      </w:tr>
      <w:tr w:rsidR="0055212D" w:rsidRPr="001D160C" w14:paraId="4B933D39"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14:paraId="66E76A36" w14:textId="77777777" w:rsidR="0055212D" w:rsidRPr="001D160C" w:rsidRDefault="0055212D" w:rsidP="004B4938">
            <w:pPr>
              <w:pStyle w:val="Tabletext"/>
              <w:rPr>
                <w:lang w:eastAsia="zh-CN"/>
              </w:rPr>
            </w:pPr>
            <w:r w:rsidRPr="001D160C">
              <w:rPr>
                <w:lang w:eastAsia="zh-CN"/>
              </w:rPr>
              <w:t>Azerbaïdjan</w:t>
            </w:r>
          </w:p>
        </w:tc>
        <w:tc>
          <w:tcPr>
            <w:tcW w:w="3118" w:type="dxa"/>
            <w:tcBorders>
              <w:top w:val="nil"/>
              <w:left w:val="single" w:sz="4" w:space="0" w:color="auto"/>
              <w:bottom w:val="nil"/>
              <w:right w:val="single" w:sz="4" w:space="0" w:color="auto"/>
            </w:tcBorders>
            <w:shd w:val="clear" w:color="auto" w:fill="auto"/>
            <w:noWrap/>
            <w:vAlign w:val="bottom"/>
            <w:hideMark/>
          </w:tcPr>
          <w:p w14:paraId="56E28849" w14:textId="77777777" w:rsidR="0055212D" w:rsidRPr="001D160C" w:rsidRDefault="0055212D" w:rsidP="004B4938">
            <w:pPr>
              <w:pStyle w:val="Tabletext"/>
              <w:jc w:val="center"/>
            </w:pPr>
            <w:r w:rsidRPr="001D160C">
              <w:t>1</w:t>
            </w:r>
          </w:p>
        </w:tc>
      </w:tr>
      <w:tr w:rsidR="0055212D" w:rsidRPr="001D160C" w14:paraId="7F7284CB"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14:paraId="6AA09257" w14:textId="77777777" w:rsidR="0055212D" w:rsidRPr="001D160C" w:rsidRDefault="0055212D" w:rsidP="004B4938">
            <w:pPr>
              <w:pStyle w:val="Tabletext"/>
              <w:rPr>
                <w:lang w:eastAsia="zh-CN"/>
              </w:rPr>
            </w:pPr>
            <w:r w:rsidRPr="001D160C">
              <w:rPr>
                <w:lang w:eastAsia="zh-CN"/>
              </w:rPr>
              <w:t xml:space="preserve">Bahamas </w:t>
            </w:r>
          </w:p>
        </w:tc>
        <w:tc>
          <w:tcPr>
            <w:tcW w:w="3118" w:type="dxa"/>
            <w:tcBorders>
              <w:top w:val="nil"/>
              <w:left w:val="single" w:sz="4" w:space="0" w:color="auto"/>
              <w:bottom w:val="nil"/>
              <w:right w:val="single" w:sz="4" w:space="0" w:color="auto"/>
            </w:tcBorders>
            <w:shd w:val="clear" w:color="auto" w:fill="auto"/>
            <w:noWrap/>
            <w:vAlign w:val="bottom"/>
            <w:hideMark/>
          </w:tcPr>
          <w:p w14:paraId="2D1AFD41" w14:textId="77777777" w:rsidR="0055212D" w:rsidRPr="001D160C" w:rsidRDefault="0055212D" w:rsidP="004B4938">
            <w:pPr>
              <w:pStyle w:val="Tabletext"/>
              <w:jc w:val="center"/>
            </w:pPr>
            <w:r w:rsidRPr="001D160C">
              <w:t>1/4</w:t>
            </w:r>
          </w:p>
        </w:tc>
      </w:tr>
      <w:tr w:rsidR="0055212D" w:rsidRPr="001D160C" w14:paraId="56AA89A0"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14:paraId="675D6C4F" w14:textId="77777777" w:rsidR="0055212D" w:rsidRPr="001D160C" w:rsidRDefault="0055212D" w:rsidP="004B4938">
            <w:pPr>
              <w:pStyle w:val="Tabletext"/>
              <w:rPr>
                <w:lang w:eastAsia="zh-CN"/>
              </w:rPr>
            </w:pPr>
            <w:r w:rsidRPr="001D160C">
              <w:rPr>
                <w:lang w:eastAsia="zh-CN"/>
              </w:rPr>
              <w:t>Bahreïn</w:t>
            </w:r>
          </w:p>
        </w:tc>
        <w:tc>
          <w:tcPr>
            <w:tcW w:w="3118" w:type="dxa"/>
            <w:tcBorders>
              <w:top w:val="nil"/>
              <w:left w:val="single" w:sz="4" w:space="0" w:color="auto"/>
              <w:bottom w:val="nil"/>
              <w:right w:val="single" w:sz="4" w:space="0" w:color="auto"/>
            </w:tcBorders>
            <w:shd w:val="clear" w:color="auto" w:fill="auto"/>
            <w:noWrap/>
            <w:vAlign w:val="bottom"/>
            <w:hideMark/>
          </w:tcPr>
          <w:p w14:paraId="0611099D" w14:textId="77777777" w:rsidR="0055212D" w:rsidRPr="001D160C" w:rsidRDefault="0055212D" w:rsidP="004B4938">
            <w:pPr>
              <w:pStyle w:val="Tabletext"/>
              <w:jc w:val="center"/>
            </w:pPr>
            <w:r w:rsidRPr="001D160C">
              <w:t>1</w:t>
            </w:r>
          </w:p>
        </w:tc>
      </w:tr>
      <w:tr w:rsidR="0055212D" w:rsidRPr="001D160C" w14:paraId="35575C88"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14:paraId="676EA4CD" w14:textId="77777777" w:rsidR="0055212D" w:rsidRPr="001D160C" w:rsidRDefault="0055212D" w:rsidP="004B4938">
            <w:pPr>
              <w:pStyle w:val="Tabletext"/>
              <w:rPr>
                <w:lang w:eastAsia="zh-CN"/>
              </w:rPr>
            </w:pPr>
            <w:r w:rsidRPr="001D160C">
              <w:rPr>
                <w:lang w:eastAsia="zh-CN"/>
              </w:rPr>
              <w:t>Bangladesh</w:t>
            </w:r>
          </w:p>
        </w:tc>
        <w:tc>
          <w:tcPr>
            <w:tcW w:w="3118" w:type="dxa"/>
            <w:tcBorders>
              <w:top w:val="nil"/>
              <w:left w:val="single" w:sz="4" w:space="0" w:color="auto"/>
              <w:bottom w:val="nil"/>
              <w:right w:val="single" w:sz="4" w:space="0" w:color="auto"/>
            </w:tcBorders>
            <w:shd w:val="clear" w:color="auto" w:fill="auto"/>
            <w:noWrap/>
            <w:vAlign w:val="bottom"/>
            <w:hideMark/>
          </w:tcPr>
          <w:p w14:paraId="1AB538F9" w14:textId="77777777" w:rsidR="0055212D" w:rsidRPr="001D160C" w:rsidRDefault="0055212D" w:rsidP="004B4938">
            <w:pPr>
              <w:pStyle w:val="Tabletext"/>
              <w:jc w:val="center"/>
            </w:pPr>
            <w:r w:rsidRPr="001D160C">
              <w:t>1/8</w:t>
            </w:r>
          </w:p>
        </w:tc>
      </w:tr>
      <w:tr w:rsidR="0055212D" w:rsidRPr="001D160C" w14:paraId="351440F7"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14:paraId="7385B075" w14:textId="77777777" w:rsidR="0055212D" w:rsidRPr="001D160C" w:rsidRDefault="0055212D" w:rsidP="004B4938">
            <w:pPr>
              <w:pStyle w:val="Tabletext"/>
              <w:rPr>
                <w:lang w:eastAsia="zh-CN"/>
              </w:rPr>
            </w:pPr>
            <w:r w:rsidRPr="001D160C">
              <w:rPr>
                <w:lang w:eastAsia="zh-CN"/>
              </w:rPr>
              <w:t xml:space="preserve">Barbade </w:t>
            </w:r>
          </w:p>
        </w:tc>
        <w:tc>
          <w:tcPr>
            <w:tcW w:w="3118" w:type="dxa"/>
            <w:tcBorders>
              <w:top w:val="nil"/>
              <w:left w:val="single" w:sz="4" w:space="0" w:color="auto"/>
              <w:bottom w:val="nil"/>
              <w:right w:val="single" w:sz="4" w:space="0" w:color="auto"/>
            </w:tcBorders>
            <w:shd w:val="clear" w:color="auto" w:fill="auto"/>
            <w:noWrap/>
            <w:vAlign w:val="bottom"/>
            <w:hideMark/>
          </w:tcPr>
          <w:p w14:paraId="6ACF7DA6" w14:textId="77777777" w:rsidR="0055212D" w:rsidRPr="001D160C" w:rsidRDefault="0055212D" w:rsidP="004B4938">
            <w:pPr>
              <w:pStyle w:val="Tabletext"/>
              <w:jc w:val="center"/>
            </w:pPr>
            <w:r w:rsidRPr="001D160C">
              <w:t>1/4</w:t>
            </w:r>
          </w:p>
        </w:tc>
      </w:tr>
      <w:tr w:rsidR="0055212D" w:rsidRPr="001D160C" w14:paraId="5D70EDEA"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14:paraId="650D20B7" w14:textId="77777777" w:rsidR="0055212D" w:rsidRPr="001D160C" w:rsidRDefault="0055212D" w:rsidP="004B4938">
            <w:pPr>
              <w:pStyle w:val="Tabletext"/>
              <w:rPr>
                <w:lang w:eastAsia="zh-CN"/>
              </w:rPr>
            </w:pPr>
            <w:r w:rsidRPr="001D160C">
              <w:rPr>
                <w:lang w:eastAsia="zh-CN"/>
              </w:rPr>
              <w:t>Bélarus</w:t>
            </w:r>
          </w:p>
        </w:tc>
        <w:tc>
          <w:tcPr>
            <w:tcW w:w="3118" w:type="dxa"/>
            <w:tcBorders>
              <w:top w:val="nil"/>
              <w:left w:val="single" w:sz="4" w:space="0" w:color="auto"/>
              <w:bottom w:val="nil"/>
              <w:right w:val="single" w:sz="4" w:space="0" w:color="auto"/>
            </w:tcBorders>
            <w:shd w:val="clear" w:color="auto" w:fill="auto"/>
            <w:noWrap/>
            <w:vAlign w:val="bottom"/>
            <w:hideMark/>
          </w:tcPr>
          <w:p w14:paraId="43ACF648" w14:textId="77777777" w:rsidR="0055212D" w:rsidRPr="001D160C" w:rsidRDefault="0055212D" w:rsidP="004B4938">
            <w:pPr>
              <w:pStyle w:val="Tabletext"/>
              <w:jc w:val="center"/>
            </w:pPr>
            <w:r w:rsidRPr="001D160C">
              <w:t>1/4</w:t>
            </w:r>
          </w:p>
        </w:tc>
      </w:tr>
      <w:tr w:rsidR="0055212D" w:rsidRPr="001D160C" w14:paraId="183A873E"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14:paraId="506407F8" w14:textId="77777777" w:rsidR="0055212D" w:rsidRPr="001D160C" w:rsidRDefault="0055212D" w:rsidP="004B4938">
            <w:pPr>
              <w:pStyle w:val="Tabletext"/>
              <w:rPr>
                <w:lang w:eastAsia="zh-CN"/>
              </w:rPr>
            </w:pPr>
            <w:r w:rsidRPr="001D160C">
              <w:rPr>
                <w:lang w:eastAsia="zh-CN"/>
              </w:rPr>
              <w:t xml:space="preserve">Belgique </w:t>
            </w:r>
          </w:p>
        </w:tc>
        <w:tc>
          <w:tcPr>
            <w:tcW w:w="3118" w:type="dxa"/>
            <w:tcBorders>
              <w:top w:val="nil"/>
              <w:left w:val="single" w:sz="4" w:space="0" w:color="auto"/>
              <w:bottom w:val="nil"/>
              <w:right w:val="single" w:sz="4" w:space="0" w:color="auto"/>
            </w:tcBorders>
            <w:shd w:val="clear" w:color="auto" w:fill="auto"/>
            <w:noWrap/>
            <w:vAlign w:val="bottom"/>
            <w:hideMark/>
          </w:tcPr>
          <w:p w14:paraId="28928665" w14:textId="77777777" w:rsidR="0055212D" w:rsidRPr="001D160C" w:rsidRDefault="0055212D" w:rsidP="004B4938">
            <w:pPr>
              <w:pStyle w:val="Tabletext"/>
              <w:jc w:val="center"/>
            </w:pPr>
            <w:r w:rsidRPr="001D160C">
              <w:t>3</w:t>
            </w:r>
          </w:p>
        </w:tc>
      </w:tr>
      <w:tr w:rsidR="0055212D" w:rsidRPr="001D160C" w14:paraId="013D40C2"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14:paraId="186311FE" w14:textId="77777777" w:rsidR="0055212D" w:rsidRPr="001D160C" w:rsidRDefault="0055212D" w:rsidP="004B4938">
            <w:pPr>
              <w:pStyle w:val="Tabletext"/>
              <w:rPr>
                <w:lang w:eastAsia="zh-CN"/>
              </w:rPr>
            </w:pPr>
            <w:r w:rsidRPr="001D160C">
              <w:rPr>
                <w:lang w:eastAsia="zh-CN"/>
              </w:rPr>
              <w:t xml:space="preserve">Belize </w:t>
            </w:r>
          </w:p>
        </w:tc>
        <w:tc>
          <w:tcPr>
            <w:tcW w:w="3118" w:type="dxa"/>
            <w:tcBorders>
              <w:top w:val="nil"/>
              <w:left w:val="single" w:sz="4" w:space="0" w:color="auto"/>
              <w:bottom w:val="nil"/>
              <w:right w:val="single" w:sz="4" w:space="0" w:color="auto"/>
            </w:tcBorders>
            <w:shd w:val="clear" w:color="auto" w:fill="auto"/>
            <w:noWrap/>
            <w:vAlign w:val="bottom"/>
            <w:hideMark/>
          </w:tcPr>
          <w:p w14:paraId="2BB60728" w14:textId="77777777" w:rsidR="0055212D" w:rsidRPr="001D160C" w:rsidRDefault="0055212D" w:rsidP="004B4938">
            <w:pPr>
              <w:pStyle w:val="Tabletext"/>
              <w:jc w:val="center"/>
            </w:pPr>
            <w:r w:rsidRPr="001D160C">
              <w:t>1/8</w:t>
            </w:r>
          </w:p>
        </w:tc>
      </w:tr>
      <w:tr w:rsidR="0055212D" w:rsidRPr="001D160C" w14:paraId="3996B248"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14:paraId="25EA00EF" w14:textId="77777777" w:rsidR="0055212D" w:rsidRPr="001D160C" w:rsidRDefault="0055212D" w:rsidP="004B4938">
            <w:pPr>
              <w:pStyle w:val="Tabletext"/>
              <w:rPr>
                <w:lang w:eastAsia="zh-CN"/>
              </w:rPr>
            </w:pPr>
            <w:r w:rsidRPr="001D160C">
              <w:rPr>
                <w:lang w:eastAsia="zh-CN"/>
              </w:rPr>
              <w:t>Bénin</w:t>
            </w:r>
          </w:p>
        </w:tc>
        <w:tc>
          <w:tcPr>
            <w:tcW w:w="3118" w:type="dxa"/>
            <w:tcBorders>
              <w:top w:val="nil"/>
              <w:left w:val="single" w:sz="4" w:space="0" w:color="auto"/>
              <w:bottom w:val="nil"/>
              <w:right w:val="single" w:sz="4" w:space="0" w:color="auto"/>
            </w:tcBorders>
            <w:shd w:val="clear" w:color="auto" w:fill="auto"/>
            <w:noWrap/>
            <w:vAlign w:val="bottom"/>
            <w:hideMark/>
          </w:tcPr>
          <w:p w14:paraId="1D329BFB" w14:textId="77777777" w:rsidR="0055212D" w:rsidRPr="001D160C" w:rsidRDefault="0055212D" w:rsidP="004B4938">
            <w:pPr>
              <w:pStyle w:val="Tabletext"/>
              <w:jc w:val="center"/>
            </w:pPr>
            <w:r w:rsidRPr="001D160C">
              <w:t>1/4</w:t>
            </w:r>
          </w:p>
        </w:tc>
      </w:tr>
      <w:tr w:rsidR="0055212D" w:rsidRPr="001D160C" w14:paraId="1ABAAC3A"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14:paraId="654237ED" w14:textId="77777777" w:rsidR="0055212D" w:rsidRPr="001D160C" w:rsidRDefault="0055212D" w:rsidP="004B4938">
            <w:pPr>
              <w:pStyle w:val="Tabletext"/>
              <w:rPr>
                <w:lang w:eastAsia="zh-CN"/>
              </w:rPr>
            </w:pPr>
            <w:r w:rsidRPr="001D160C">
              <w:rPr>
                <w:lang w:eastAsia="zh-CN"/>
              </w:rPr>
              <w:t xml:space="preserve">Bhoutan </w:t>
            </w:r>
          </w:p>
        </w:tc>
        <w:tc>
          <w:tcPr>
            <w:tcW w:w="3118" w:type="dxa"/>
            <w:tcBorders>
              <w:top w:val="nil"/>
              <w:left w:val="single" w:sz="4" w:space="0" w:color="auto"/>
              <w:bottom w:val="nil"/>
              <w:right w:val="single" w:sz="4" w:space="0" w:color="auto"/>
            </w:tcBorders>
            <w:shd w:val="clear" w:color="auto" w:fill="auto"/>
            <w:noWrap/>
            <w:vAlign w:val="bottom"/>
            <w:hideMark/>
          </w:tcPr>
          <w:p w14:paraId="3868776F" w14:textId="77777777" w:rsidR="0055212D" w:rsidRPr="001D160C" w:rsidRDefault="0055212D" w:rsidP="004B4938">
            <w:pPr>
              <w:pStyle w:val="Tabletext"/>
              <w:jc w:val="center"/>
            </w:pPr>
            <w:r w:rsidRPr="001D160C">
              <w:t>1/8</w:t>
            </w:r>
          </w:p>
        </w:tc>
      </w:tr>
      <w:tr w:rsidR="0055212D" w:rsidRPr="001D160C" w14:paraId="4903E1D1"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14:paraId="066DEAD1" w14:textId="77777777" w:rsidR="0055212D" w:rsidRPr="001D160C" w:rsidRDefault="0055212D" w:rsidP="004B4938">
            <w:pPr>
              <w:pStyle w:val="Tabletext"/>
              <w:rPr>
                <w:lang w:eastAsia="zh-CN"/>
              </w:rPr>
            </w:pPr>
            <w:r w:rsidRPr="001D160C">
              <w:rPr>
                <w:lang w:eastAsia="zh-CN"/>
              </w:rPr>
              <w:t>Bolivie</w:t>
            </w:r>
          </w:p>
        </w:tc>
        <w:tc>
          <w:tcPr>
            <w:tcW w:w="3118" w:type="dxa"/>
            <w:tcBorders>
              <w:top w:val="nil"/>
              <w:left w:val="single" w:sz="4" w:space="0" w:color="auto"/>
              <w:bottom w:val="nil"/>
              <w:right w:val="single" w:sz="4" w:space="0" w:color="auto"/>
            </w:tcBorders>
            <w:shd w:val="clear" w:color="auto" w:fill="auto"/>
            <w:noWrap/>
            <w:vAlign w:val="bottom"/>
            <w:hideMark/>
          </w:tcPr>
          <w:p w14:paraId="41D5FAD0" w14:textId="77777777" w:rsidR="0055212D" w:rsidRPr="001D160C" w:rsidRDefault="0055212D" w:rsidP="004B4938">
            <w:pPr>
              <w:pStyle w:val="Tabletext"/>
              <w:jc w:val="center"/>
            </w:pPr>
            <w:r w:rsidRPr="001D160C">
              <w:t>1/4</w:t>
            </w:r>
          </w:p>
        </w:tc>
      </w:tr>
      <w:tr w:rsidR="0055212D" w:rsidRPr="001D160C" w14:paraId="6BDD74CB"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14:paraId="34FAEA1D" w14:textId="77777777" w:rsidR="0055212D" w:rsidRPr="001D160C" w:rsidRDefault="0055212D" w:rsidP="004B4938">
            <w:pPr>
              <w:pStyle w:val="Tabletext"/>
              <w:rPr>
                <w:lang w:eastAsia="zh-CN"/>
              </w:rPr>
            </w:pPr>
            <w:r w:rsidRPr="001D160C">
              <w:rPr>
                <w:lang w:eastAsia="zh-CN"/>
              </w:rPr>
              <w:t xml:space="preserve">Bosnie-Herzégovine </w:t>
            </w:r>
          </w:p>
        </w:tc>
        <w:tc>
          <w:tcPr>
            <w:tcW w:w="3118" w:type="dxa"/>
            <w:tcBorders>
              <w:top w:val="nil"/>
              <w:left w:val="single" w:sz="4" w:space="0" w:color="auto"/>
              <w:bottom w:val="nil"/>
              <w:right w:val="single" w:sz="4" w:space="0" w:color="auto"/>
            </w:tcBorders>
            <w:shd w:val="clear" w:color="auto" w:fill="auto"/>
            <w:noWrap/>
            <w:vAlign w:val="bottom"/>
            <w:hideMark/>
          </w:tcPr>
          <w:p w14:paraId="18F4368D" w14:textId="77777777" w:rsidR="0055212D" w:rsidRPr="001D160C" w:rsidRDefault="0055212D" w:rsidP="004B4938">
            <w:pPr>
              <w:pStyle w:val="Tabletext"/>
              <w:jc w:val="center"/>
            </w:pPr>
            <w:r w:rsidRPr="001D160C">
              <w:t>1/16</w:t>
            </w:r>
          </w:p>
        </w:tc>
      </w:tr>
      <w:tr w:rsidR="0055212D" w:rsidRPr="001D160C" w14:paraId="3D03D684"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14:paraId="29D68B14" w14:textId="77777777" w:rsidR="0055212D" w:rsidRPr="001D160C" w:rsidRDefault="0055212D" w:rsidP="004B4938">
            <w:pPr>
              <w:pStyle w:val="Tabletext"/>
              <w:rPr>
                <w:lang w:eastAsia="zh-CN"/>
              </w:rPr>
            </w:pPr>
            <w:r w:rsidRPr="001D160C">
              <w:rPr>
                <w:lang w:eastAsia="zh-CN"/>
              </w:rPr>
              <w:t>Botswana</w:t>
            </w:r>
          </w:p>
        </w:tc>
        <w:tc>
          <w:tcPr>
            <w:tcW w:w="3118" w:type="dxa"/>
            <w:tcBorders>
              <w:top w:val="nil"/>
              <w:left w:val="single" w:sz="4" w:space="0" w:color="auto"/>
              <w:bottom w:val="nil"/>
              <w:right w:val="single" w:sz="4" w:space="0" w:color="auto"/>
            </w:tcBorders>
            <w:shd w:val="clear" w:color="auto" w:fill="auto"/>
            <w:noWrap/>
            <w:vAlign w:val="bottom"/>
            <w:hideMark/>
          </w:tcPr>
          <w:p w14:paraId="26A25782" w14:textId="77777777" w:rsidR="0055212D" w:rsidRPr="001D160C" w:rsidRDefault="0055212D" w:rsidP="004B4938">
            <w:pPr>
              <w:pStyle w:val="Tabletext"/>
              <w:jc w:val="center"/>
            </w:pPr>
            <w:r w:rsidRPr="001D160C">
              <w:t>1/2</w:t>
            </w:r>
          </w:p>
        </w:tc>
      </w:tr>
      <w:tr w:rsidR="0055212D" w:rsidRPr="001D160C" w14:paraId="602A5ECA"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14:paraId="574959F2" w14:textId="77777777" w:rsidR="0055212D" w:rsidRPr="001D160C" w:rsidRDefault="0055212D" w:rsidP="004B4938">
            <w:pPr>
              <w:pStyle w:val="Tabletext"/>
              <w:rPr>
                <w:lang w:eastAsia="zh-CN"/>
              </w:rPr>
            </w:pPr>
            <w:r w:rsidRPr="001D160C">
              <w:rPr>
                <w:lang w:eastAsia="zh-CN"/>
              </w:rPr>
              <w:t>Brésil</w:t>
            </w:r>
          </w:p>
        </w:tc>
        <w:tc>
          <w:tcPr>
            <w:tcW w:w="3118" w:type="dxa"/>
            <w:tcBorders>
              <w:top w:val="nil"/>
              <w:left w:val="single" w:sz="4" w:space="0" w:color="auto"/>
              <w:bottom w:val="nil"/>
              <w:right w:val="single" w:sz="4" w:space="0" w:color="auto"/>
            </w:tcBorders>
            <w:shd w:val="clear" w:color="auto" w:fill="auto"/>
            <w:noWrap/>
            <w:vAlign w:val="bottom"/>
            <w:hideMark/>
          </w:tcPr>
          <w:p w14:paraId="340C8A82" w14:textId="77777777" w:rsidR="0055212D" w:rsidRPr="001D160C" w:rsidRDefault="0055212D" w:rsidP="004B4938">
            <w:pPr>
              <w:pStyle w:val="Tabletext"/>
              <w:jc w:val="center"/>
            </w:pPr>
            <w:r w:rsidRPr="001D160C">
              <w:t>11</w:t>
            </w:r>
          </w:p>
        </w:tc>
      </w:tr>
      <w:tr w:rsidR="0055212D" w:rsidRPr="001D160C" w14:paraId="2674553D"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14:paraId="548342C0" w14:textId="77777777" w:rsidR="0055212D" w:rsidRPr="001D160C" w:rsidRDefault="0055212D" w:rsidP="004B4938">
            <w:pPr>
              <w:pStyle w:val="Tabletext"/>
              <w:rPr>
                <w:lang w:eastAsia="zh-CN"/>
              </w:rPr>
            </w:pPr>
            <w:r w:rsidRPr="001D160C">
              <w:rPr>
                <w:lang w:eastAsia="zh-CN"/>
              </w:rPr>
              <w:t xml:space="preserve">Brunéi Darussalam </w:t>
            </w:r>
          </w:p>
        </w:tc>
        <w:tc>
          <w:tcPr>
            <w:tcW w:w="3118" w:type="dxa"/>
            <w:tcBorders>
              <w:top w:val="nil"/>
              <w:left w:val="single" w:sz="4" w:space="0" w:color="auto"/>
              <w:bottom w:val="nil"/>
              <w:right w:val="single" w:sz="4" w:space="0" w:color="auto"/>
            </w:tcBorders>
            <w:shd w:val="clear" w:color="auto" w:fill="auto"/>
            <w:noWrap/>
            <w:vAlign w:val="bottom"/>
            <w:hideMark/>
          </w:tcPr>
          <w:p w14:paraId="4AA491A5" w14:textId="77777777" w:rsidR="0055212D" w:rsidRPr="001D160C" w:rsidRDefault="0055212D" w:rsidP="004B4938">
            <w:pPr>
              <w:pStyle w:val="Tabletext"/>
              <w:jc w:val="center"/>
            </w:pPr>
            <w:r w:rsidRPr="001D160C">
              <w:t>1/2</w:t>
            </w:r>
          </w:p>
        </w:tc>
      </w:tr>
      <w:tr w:rsidR="0055212D" w:rsidRPr="001D160C" w14:paraId="324846DD"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14:paraId="57F6C705" w14:textId="77777777" w:rsidR="0055212D" w:rsidRPr="001D160C" w:rsidRDefault="0055212D" w:rsidP="004B4938">
            <w:pPr>
              <w:pStyle w:val="Tabletext"/>
              <w:rPr>
                <w:lang w:eastAsia="zh-CN"/>
              </w:rPr>
            </w:pPr>
            <w:r w:rsidRPr="001D160C">
              <w:rPr>
                <w:lang w:eastAsia="zh-CN"/>
              </w:rPr>
              <w:t>Bulgarie</w:t>
            </w:r>
          </w:p>
        </w:tc>
        <w:tc>
          <w:tcPr>
            <w:tcW w:w="3118" w:type="dxa"/>
            <w:tcBorders>
              <w:top w:val="nil"/>
              <w:left w:val="single" w:sz="4" w:space="0" w:color="auto"/>
              <w:bottom w:val="nil"/>
              <w:right w:val="single" w:sz="4" w:space="0" w:color="auto"/>
            </w:tcBorders>
            <w:shd w:val="clear" w:color="auto" w:fill="auto"/>
            <w:noWrap/>
            <w:vAlign w:val="bottom"/>
            <w:hideMark/>
          </w:tcPr>
          <w:p w14:paraId="313DFE0F" w14:textId="77777777" w:rsidR="0055212D" w:rsidRPr="001D160C" w:rsidRDefault="0055212D" w:rsidP="004B4938">
            <w:pPr>
              <w:pStyle w:val="Tabletext"/>
              <w:jc w:val="center"/>
            </w:pPr>
            <w:r w:rsidRPr="001D160C">
              <w:t>1/4</w:t>
            </w:r>
          </w:p>
        </w:tc>
      </w:tr>
      <w:tr w:rsidR="0055212D" w:rsidRPr="001D160C" w14:paraId="2AD8C5F2"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14:paraId="19D355B8" w14:textId="77777777" w:rsidR="0055212D" w:rsidRPr="001D160C" w:rsidRDefault="0055212D" w:rsidP="004B4938">
            <w:pPr>
              <w:pStyle w:val="Tabletext"/>
              <w:rPr>
                <w:lang w:eastAsia="zh-CN"/>
              </w:rPr>
            </w:pPr>
            <w:r w:rsidRPr="001D160C">
              <w:rPr>
                <w:lang w:eastAsia="zh-CN"/>
              </w:rPr>
              <w:t>Burkina Faso</w:t>
            </w:r>
          </w:p>
        </w:tc>
        <w:tc>
          <w:tcPr>
            <w:tcW w:w="3118" w:type="dxa"/>
            <w:tcBorders>
              <w:top w:val="nil"/>
              <w:left w:val="single" w:sz="4" w:space="0" w:color="auto"/>
              <w:bottom w:val="nil"/>
              <w:right w:val="single" w:sz="4" w:space="0" w:color="auto"/>
            </w:tcBorders>
            <w:shd w:val="clear" w:color="auto" w:fill="auto"/>
            <w:noWrap/>
            <w:vAlign w:val="bottom"/>
            <w:hideMark/>
          </w:tcPr>
          <w:p w14:paraId="5B8C279E" w14:textId="77777777" w:rsidR="0055212D" w:rsidRPr="001D160C" w:rsidRDefault="0055212D" w:rsidP="004B4938">
            <w:pPr>
              <w:pStyle w:val="Tabletext"/>
              <w:jc w:val="center"/>
            </w:pPr>
            <w:r w:rsidRPr="001D160C">
              <w:t>1/4</w:t>
            </w:r>
          </w:p>
        </w:tc>
      </w:tr>
      <w:tr w:rsidR="0055212D" w:rsidRPr="001D160C" w14:paraId="1F55C41F"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14:paraId="592E9DD1" w14:textId="77777777" w:rsidR="0055212D" w:rsidRPr="001D160C" w:rsidRDefault="0055212D" w:rsidP="004B4938">
            <w:pPr>
              <w:pStyle w:val="Tabletext"/>
              <w:rPr>
                <w:lang w:eastAsia="zh-CN"/>
              </w:rPr>
            </w:pPr>
            <w:r w:rsidRPr="001D160C">
              <w:rPr>
                <w:lang w:eastAsia="zh-CN"/>
              </w:rPr>
              <w:t>Burundi</w:t>
            </w:r>
          </w:p>
        </w:tc>
        <w:tc>
          <w:tcPr>
            <w:tcW w:w="3118" w:type="dxa"/>
            <w:tcBorders>
              <w:top w:val="nil"/>
              <w:left w:val="single" w:sz="4" w:space="0" w:color="auto"/>
              <w:bottom w:val="nil"/>
              <w:right w:val="single" w:sz="4" w:space="0" w:color="auto"/>
            </w:tcBorders>
            <w:shd w:val="clear" w:color="auto" w:fill="auto"/>
            <w:noWrap/>
            <w:vAlign w:val="bottom"/>
            <w:hideMark/>
          </w:tcPr>
          <w:p w14:paraId="6C695103" w14:textId="77777777" w:rsidR="0055212D" w:rsidRPr="001D160C" w:rsidRDefault="0055212D" w:rsidP="004B4938">
            <w:pPr>
              <w:pStyle w:val="Tabletext"/>
              <w:jc w:val="center"/>
            </w:pPr>
            <w:r w:rsidRPr="001D160C">
              <w:t>1/16</w:t>
            </w:r>
          </w:p>
        </w:tc>
      </w:tr>
      <w:tr w:rsidR="0055212D" w:rsidRPr="001D160C" w14:paraId="0216D2B8"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14:paraId="38519F9F" w14:textId="77777777" w:rsidR="0055212D" w:rsidRPr="001D160C" w:rsidRDefault="0055212D" w:rsidP="004B4938">
            <w:pPr>
              <w:pStyle w:val="Tabletext"/>
              <w:rPr>
                <w:lang w:eastAsia="zh-CN"/>
              </w:rPr>
            </w:pPr>
            <w:r w:rsidRPr="001D160C">
              <w:rPr>
                <w:lang w:eastAsia="zh-CN"/>
              </w:rPr>
              <w:t>Cambodge</w:t>
            </w:r>
          </w:p>
        </w:tc>
        <w:tc>
          <w:tcPr>
            <w:tcW w:w="3118" w:type="dxa"/>
            <w:tcBorders>
              <w:top w:val="nil"/>
              <w:left w:val="single" w:sz="4" w:space="0" w:color="auto"/>
              <w:bottom w:val="nil"/>
              <w:right w:val="single" w:sz="4" w:space="0" w:color="auto"/>
            </w:tcBorders>
            <w:shd w:val="clear" w:color="auto" w:fill="auto"/>
            <w:noWrap/>
            <w:vAlign w:val="bottom"/>
            <w:hideMark/>
          </w:tcPr>
          <w:p w14:paraId="2E655FBE" w14:textId="77777777" w:rsidR="0055212D" w:rsidRPr="001D160C" w:rsidRDefault="0055212D" w:rsidP="004B4938">
            <w:pPr>
              <w:pStyle w:val="Tabletext"/>
              <w:jc w:val="center"/>
            </w:pPr>
            <w:r w:rsidRPr="001D160C">
              <w:t>1/8</w:t>
            </w:r>
          </w:p>
        </w:tc>
      </w:tr>
      <w:tr w:rsidR="0055212D" w:rsidRPr="001D160C" w14:paraId="4E55FF67"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vAlign w:val="bottom"/>
            <w:hideMark/>
          </w:tcPr>
          <w:p w14:paraId="409E9664" w14:textId="77777777" w:rsidR="0055212D" w:rsidRPr="001D160C" w:rsidRDefault="0055212D" w:rsidP="004B4938">
            <w:pPr>
              <w:pStyle w:val="Tabletext"/>
              <w:rPr>
                <w:lang w:eastAsia="zh-CN"/>
              </w:rPr>
            </w:pPr>
            <w:r w:rsidRPr="001D160C">
              <w:rPr>
                <w:lang w:eastAsia="zh-CN"/>
              </w:rPr>
              <w:t xml:space="preserve">Cameroun </w:t>
            </w:r>
          </w:p>
        </w:tc>
        <w:tc>
          <w:tcPr>
            <w:tcW w:w="3118" w:type="dxa"/>
            <w:tcBorders>
              <w:top w:val="nil"/>
              <w:left w:val="single" w:sz="4" w:space="0" w:color="auto"/>
              <w:bottom w:val="nil"/>
              <w:right w:val="single" w:sz="4" w:space="0" w:color="auto"/>
            </w:tcBorders>
            <w:shd w:val="clear" w:color="auto" w:fill="auto"/>
            <w:noWrap/>
            <w:vAlign w:val="bottom"/>
            <w:hideMark/>
          </w:tcPr>
          <w:p w14:paraId="1EFC40FD" w14:textId="77777777" w:rsidR="0055212D" w:rsidRPr="001D160C" w:rsidRDefault="0055212D" w:rsidP="004B4938">
            <w:pPr>
              <w:pStyle w:val="Tabletext"/>
              <w:jc w:val="center"/>
            </w:pPr>
            <w:r w:rsidRPr="001D160C">
              <w:t>1</w:t>
            </w:r>
          </w:p>
        </w:tc>
      </w:tr>
      <w:tr w:rsidR="0055212D" w:rsidRPr="001D160C" w14:paraId="68BF2296" w14:textId="77777777" w:rsidTr="005D5D8D">
        <w:trPr>
          <w:trHeight w:val="300"/>
          <w:jc w:val="center"/>
        </w:trPr>
        <w:tc>
          <w:tcPr>
            <w:tcW w:w="4390" w:type="dxa"/>
            <w:tcBorders>
              <w:top w:val="nil"/>
              <w:left w:val="single" w:sz="4" w:space="0" w:color="auto"/>
              <w:right w:val="single" w:sz="4" w:space="0" w:color="auto"/>
            </w:tcBorders>
            <w:shd w:val="clear" w:color="000000" w:fill="FFFFFF"/>
            <w:vAlign w:val="bottom"/>
            <w:hideMark/>
          </w:tcPr>
          <w:p w14:paraId="5433F5EC" w14:textId="77777777" w:rsidR="0055212D" w:rsidRPr="001D160C" w:rsidRDefault="0055212D" w:rsidP="004B4938">
            <w:pPr>
              <w:pStyle w:val="Tabletext"/>
              <w:rPr>
                <w:lang w:eastAsia="zh-CN"/>
              </w:rPr>
            </w:pPr>
            <w:r w:rsidRPr="001D160C">
              <w:rPr>
                <w:lang w:eastAsia="zh-CN"/>
              </w:rPr>
              <w:t>Canada</w:t>
            </w:r>
          </w:p>
        </w:tc>
        <w:tc>
          <w:tcPr>
            <w:tcW w:w="3118" w:type="dxa"/>
            <w:tcBorders>
              <w:top w:val="nil"/>
              <w:left w:val="single" w:sz="4" w:space="0" w:color="auto"/>
              <w:right w:val="single" w:sz="4" w:space="0" w:color="auto"/>
            </w:tcBorders>
            <w:shd w:val="clear" w:color="auto" w:fill="auto"/>
            <w:noWrap/>
            <w:vAlign w:val="bottom"/>
            <w:hideMark/>
          </w:tcPr>
          <w:p w14:paraId="686E40F7" w14:textId="77777777" w:rsidR="0055212D" w:rsidRPr="001D160C" w:rsidRDefault="0055212D" w:rsidP="004B4938">
            <w:pPr>
              <w:pStyle w:val="Tabletext"/>
              <w:jc w:val="center"/>
            </w:pPr>
            <w:r w:rsidRPr="001D160C">
              <w:t>11</w:t>
            </w:r>
          </w:p>
        </w:tc>
      </w:tr>
      <w:tr w:rsidR="0055212D" w:rsidRPr="001D160C" w14:paraId="4551DD09" w14:textId="77777777" w:rsidTr="005D5D8D">
        <w:trPr>
          <w:trHeight w:val="300"/>
          <w:jc w:val="center"/>
        </w:trPr>
        <w:tc>
          <w:tcPr>
            <w:tcW w:w="4390" w:type="dxa"/>
            <w:tcBorders>
              <w:top w:val="nil"/>
              <w:left w:val="single" w:sz="4" w:space="0" w:color="auto"/>
              <w:right w:val="single" w:sz="4" w:space="0" w:color="auto"/>
            </w:tcBorders>
            <w:shd w:val="clear" w:color="000000" w:fill="FFFFFF"/>
            <w:vAlign w:val="bottom"/>
          </w:tcPr>
          <w:p w14:paraId="079ED30D" w14:textId="77777777" w:rsidR="0055212D" w:rsidRPr="001D160C" w:rsidRDefault="0055212D" w:rsidP="004B4938">
            <w:pPr>
              <w:pStyle w:val="Tabletext"/>
              <w:rPr>
                <w:lang w:eastAsia="zh-CN"/>
              </w:rPr>
            </w:pPr>
            <w:r w:rsidRPr="001D160C">
              <w:rPr>
                <w:lang w:eastAsia="zh-CN"/>
              </w:rPr>
              <w:lastRenderedPageBreak/>
              <w:t>Cabo Verde</w:t>
            </w:r>
          </w:p>
        </w:tc>
        <w:tc>
          <w:tcPr>
            <w:tcW w:w="3118" w:type="dxa"/>
            <w:tcBorders>
              <w:top w:val="nil"/>
              <w:left w:val="single" w:sz="4" w:space="0" w:color="auto"/>
              <w:right w:val="single" w:sz="4" w:space="0" w:color="auto"/>
            </w:tcBorders>
            <w:shd w:val="clear" w:color="auto" w:fill="auto"/>
            <w:noWrap/>
            <w:vAlign w:val="bottom"/>
          </w:tcPr>
          <w:p w14:paraId="7313452E" w14:textId="77777777" w:rsidR="0055212D" w:rsidRPr="001D160C" w:rsidRDefault="0055212D" w:rsidP="004B4938">
            <w:pPr>
              <w:pStyle w:val="Tabletext"/>
              <w:jc w:val="center"/>
            </w:pPr>
            <w:r w:rsidRPr="001D160C">
              <w:t>1/16</w:t>
            </w:r>
          </w:p>
        </w:tc>
      </w:tr>
      <w:tr w:rsidR="0055212D" w:rsidRPr="001D160C" w14:paraId="08123FE5" w14:textId="77777777" w:rsidTr="005D5D8D">
        <w:trPr>
          <w:trHeight w:val="300"/>
          <w:jc w:val="center"/>
        </w:trPr>
        <w:tc>
          <w:tcPr>
            <w:tcW w:w="4390" w:type="dxa"/>
            <w:tcBorders>
              <w:left w:val="single" w:sz="4" w:space="0" w:color="auto"/>
              <w:bottom w:val="nil"/>
              <w:right w:val="single" w:sz="4" w:space="0" w:color="auto"/>
            </w:tcBorders>
            <w:shd w:val="clear" w:color="000000" w:fill="FFFFFF"/>
            <w:vAlign w:val="bottom"/>
            <w:hideMark/>
          </w:tcPr>
          <w:p w14:paraId="70998EB0" w14:textId="77777777" w:rsidR="0055212D" w:rsidRPr="001D160C" w:rsidRDefault="0055212D" w:rsidP="004B4938">
            <w:pPr>
              <w:pStyle w:val="Tabletext"/>
              <w:rPr>
                <w:lang w:eastAsia="zh-CN"/>
              </w:rPr>
            </w:pPr>
            <w:r w:rsidRPr="001D160C">
              <w:rPr>
                <w:lang w:eastAsia="zh-CN"/>
              </w:rPr>
              <w:t>République centrafricaine</w:t>
            </w:r>
          </w:p>
        </w:tc>
        <w:tc>
          <w:tcPr>
            <w:tcW w:w="3118" w:type="dxa"/>
            <w:tcBorders>
              <w:left w:val="single" w:sz="4" w:space="0" w:color="auto"/>
              <w:bottom w:val="nil"/>
              <w:right w:val="single" w:sz="4" w:space="0" w:color="auto"/>
            </w:tcBorders>
            <w:shd w:val="clear" w:color="auto" w:fill="auto"/>
            <w:noWrap/>
            <w:vAlign w:val="bottom"/>
            <w:hideMark/>
          </w:tcPr>
          <w:p w14:paraId="4E03EFC5" w14:textId="77777777" w:rsidR="0055212D" w:rsidRPr="001D160C" w:rsidRDefault="0055212D" w:rsidP="004B4938">
            <w:pPr>
              <w:pStyle w:val="Tabletext"/>
              <w:jc w:val="center"/>
            </w:pPr>
            <w:r w:rsidRPr="001D160C">
              <w:t>1/16</w:t>
            </w:r>
          </w:p>
        </w:tc>
      </w:tr>
      <w:tr w:rsidR="0055212D" w:rsidRPr="001D160C" w14:paraId="7349DC20" w14:textId="77777777" w:rsidTr="005D5D8D">
        <w:trPr>
          <w:trHeight w:val="300"/>
          <w:jc w:val="center"/>
        </w:trPr>
        <w:tc>
          <w:tcPr>
            <w:tcW w:w="4390" w:type="dxa"/>
            <w:tcBorders>
              <w:top w:val="nil"/>
              <w:left w:val="single" w:sz="4" w:space="0" w:color="auto"/>
              <w:right w:val="single" w:sz="4" w:space="0" w:color="auto"/>
            </w:tcBorders>
            <w:shd w:val="clear" w:color="000000" w:fill="FFFFFF"/>
            <w:vAlign w:val="bottom"/>
            <w:hideMark/>
          </w:tcPr>
          <w:p w14:paraId="3F29FA2D" w14:textId="77777777" w:rsidR="0055212D" w:rsidRPr="001D160C" w:rsidRDefault="0055212D" w:rsidP="004B4938">
            <w:pPr>
              <w:pStyle w:val="Tabletext"/>
              <w:rPr>
                <w:lang w:eastAsia="zh-CN"/>
              </w:rPr>
            </w:pPr>
            <w:r w:rsidRPr="001D160C">
              <w:rPr>
                <w:lang w:eastAsia="zh-CN"/>
              </w:rPr>
              <w:t>Tchad</w:t>
            </w:r>
          </w:p>
        </w:tc>
        <w:tc>
          <w:tcPr>
            <w:tcW w:w="3118" w:type="dxa"/>
            <w:tcBorders>
              <w:top w:val="nil"/>
              <w:left w:val="single" w:sz="4" w:space="0" w:color="auto"/>
              <w:right w:val="single" w:sz="4" w:space="0" w:color="auto"/>
            </w:tcBorders>
            <w:shd w:val="clear" w:color="auto" w:fill="auto"/>
            <w:noWrap/>
            <w:vAlign w:val="bottom"/>
            <w:hideMark/>
          </w:tcPr>
          <w:p w14:paraId="486F5CD9" w14:textId="77777777" w:rsidR="0055212D" w:rsidRPr="001D160C" w:rsidRDefault="0055212D" w:rsidP="004B4938">
            <w:pPr>
              <w:pStyle w:val="Tabletext"/>
              <w:jc w:val="center"/>
            </w:pPr>
            <w:r w:rsidRPr="001D160C">
              <w:t>1/16</w:t>
            </w:r>
          </w:p>
        </w:tc>
      </w:tr>
      <w:tr w:rsidR="0055212D" w:rsidRPr="001D160C" w14:paraId="59307026" w14:textId="77777777" w:rsidTr="005D5D8D">
        <w:trPr>
          <w:trHeight w:val="300"/>
          <w:jc w:val="center"/>
        </w:trPr>
        <w:tc>
          <w:tcPr>
            <w:tcW w:w="4390" w:type="dxa"/>
            <w:tcBorders>
              <w:top w:val="nil"/>
              <w:left w:val="single" w:sz="4" w:space="0" w:color="auto"/>
              <w:bottom w:val="single" w:sz="4" w:space="0" w:color="auto"/>
              <w:right w:val="single" w:sz="4" w:space="0" w:color="auto"/>
            </w:tcBorders>
            <w:shd w:val="clear" w:color="000000" w:fill="FFFFFF"/>
            <w:vAlign w:val="bottom"/>
            <w:hideMark/>
          </w:tcPr>
          <w:p w14:paraId="738EBC05" w14:textId="77777777" w:rsidR="0055212D" w:rsidRPr="001D160C" w:rsidRDefault="0055212D" w:rsidP="004B4938">
            <w:pPr>
              <w:pStyle w:val="Tabletext"/>
              <w:rPr>
                <w:lang w:eastAsia="zh-CN"/>
              </w:rPr>
            </w:pPr>
            <w:r w:rsidRPr="001D160C">
              <w:rPr>
                <w:lang w:eastAsia="zh-CN"/>
              </w:rPr>
              <w:t>Chili</w:t>
            </w: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45D00A85" w14:textId="77777777" w:rsidR="0055212D" w:rsidRPr="001D160C" w:rsidRDefault="0055212D" w:rsidP="004B4938">
            <w:pPr>
              <w:pStyle w:val="Tabletext"/>
              <w:jc w:val="center"/>
            </w:pPr>
            <w:r w:rsidRPr="001D160C">
              <w:t>1/2</w:t>
            </w:r>
          </w:p>
        </w:tc>
      </w:tr>
      <w:tr w:rsidR="0055212D" w:rsidRPr="001D160C" w14:paraId="4DDF9E9A" w14:textId="77777777" w:rsidTr="005D5D8D">
        <w:trPr>
          <w:trHeight w:val="300"/>
          <w:jc w:val="center"/>
        </w:trPr>
        <w:tc>
          <w:tcPr>
            <w:tcW w:w="4390" w:type="dxa"/>
            <w:tcBorders>
              <w:top w:val="single" w:sz="4" w:space="0" w:color="auto"/>
              <w:left w:val="single" w:sz="4" w:space="0" w:color="auto"/>
              <w:bottom w:val="nil"/>
              <w:right w:val="single" w:sz="4" w:space="0" w:color="auto"/>
            </w:tcBorders>
            <w:shd w:val="clear" w:color="000000" w:fill="FFFFFF"/>
            <w:vAlign w:val="bottom"/>
            <w:hideMark/>
          </w:tcPr>
          <w:p w14:paraId="324B47DC" w14:textId="77777777" w:rsidR="0055212D" w:rsidRPr="001D160C" w:rsidRDefault="0055212D" w:rsidP="004B4938">
            <w:pPr>
              <w:pStyle w:val="Tabletext"/>
              <w:rPr>
                <w:lang w:eastAsia="zh-CN"/>
              </w:rPr>
            </w:pPr>
            <w:r w:rsidRPr="001D160C">
              <w:rPr>
                <w:lang w:eastAsia="zh-CN"/>
              </w:rPr>
              <w:t>Chine</w:t>
            </w:r>
          </w:p>
        </w:tc>
        <w:tc>
          <w:tcPr>
            <w:tcW w:w="3118" w:type="dxa"/>
            <w:tcBorders>
              <w:top w:val="single" w:sz="4" w:space="0" w:color="auto"/>
              <w:left w:val="single" w:sz="4" w:space="0" w:color="auto"/>
              <w:bottom w:val="nil"/>
              <w:right w:val="single" w:sz="4" w:space="0" w:color="auto"/>
            </w:tcBorders>
            <w:shd w:val="clear" w:color="auto" w:fill="auto"/>
            <w:noWrap/>
            <w:vAlign w:val="bottom"/>
            <w:hideMark/>
          </w:tcPr>
          <w:p w14:paraId="0D108589" w14:textId="77777777" w:rsidR="0055212D" w:rsidRPr="001D160C" w:rsidRDefault="0055212D" w:rsidP="004B4938">
            <w:pPr>
              <w:pStyle w:val="Tabletext"/>
              <w:jc w:val="center"/>
            </w:pPr>
            <w:r w:rsidRPr="001D160C">
              <w:t>20</w:t>
            </w:r>
          </w:p>
        </w:tc>
      </w:tr>
      <w:tr w:rsidR="0055212D" w:rsidRPr="001D160C" w14:paraId="3511F282" w14:textId="77777777" w:rsidTr="005D5D8D">
        <w:trPr>
          <w:trHeight w:val="300"/>
          <w:jc w:val="center"/>
        </w:trPr>
        <w:tc>
          <w:tcPr>
            <w:tcW w:w="4390" w:type="dxa"/>
            <w:tcBorders>
              <w:top w:val="nil"/>
              <w:left w:val="single" w:sz="4" w:space="0" w:color="auto"/>
              <w:right w:val="single" w:sz="4" w:space="0" w:color="auto"/>
            </w:tcBorders>
            <w:shd w:val="clear" w:color="000000" w:fill="FFFFFF"/>
            <w:vAlign w:val="bottom"/>
            <w:hideMark/>
          </w:tcPr>
          <w:p w14:paraId="16D45EE0" w14:textId="77777777" w:rsidR="0055212D" w:rsidRPr="001D160C" w:rsidRDefault="0055212D" w:rsidP="004B4938">
            <w:pPr>
              <w:pStyle w:val="Tabletext"/>
              <w:rPr>
                <w:lang w:eastAsia="zh-CN"/>
              </w:rPr>
            </w:pPr>
            <w:r w:rsidRPr="001D160C">
              <w:rPr>
                <w:lang w:eastAsia="zh-CN"/>
              </w:rPr>
              <w:t>Colombie</w:t>
            </w:r>
          </w:p>
        </w:tc>
        <w:tc>
          <w:tcPr>
            <w:tcW w:w="3118" w:type="dxa"/>
            <w:tcBorders>
              <w:top w:val="nil"/>
              <w:left w:val="single" w:sz="4" w:space="0" w:color="auto"/>
              <w:right w:val="single" w:sz="4" w:space="0" w:color="auto"/>
            </w:tcBorders>
            <w:shd w:val="clear" w:color="auto" w:fill="auto"/>
            <w:noWrap/>
            <w:vAlign w:val="bottom"/>
            <w:hideMark/>
          </w:tcPr>
          <w:p w14:paraId="6C48848C" w14:textId="77777777" w:rsidR="0055212D" w:rsidRPr="001D160C" w:rsidRDefault="0055212D" w:rsidP="004B4938">
            <w:pPr>
              <w:pStyle w:val="Tabletext"/>
              <w:jc w:val="center"/>
            </w:pPr>
            <w:r w:rsidRPr="001D160C">
              <w:t>1</w:t>
            </w:r>
          </w:p>
        </w:tc>
      </w:tr>
      <w:tr w:rsidR="0055212D" w:rsidRPr="001D160C" w14:paraId="32783A22"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noWrap/>
            <w:vAlign w:val="bottom"/>
            <w:hideMark/>
          </w:tcPr>
          <w:p w14:paraId="0C91449D" w14:textId="77777777" w:rsidR="0055212D" w:rsidRPr="001D160C" w:rsidRDefault="0055212D" w:rsidP="004B4938">
            <w:pPr>
              <w:pStyle w:val="Tabletext"/>
              <w:rPr>
                <w:lang w:eastAsia="zh-CN"/>
              </w:rPr>
            </w:pPr>
            <w:r w:rsidRPr="001D160C">
              <w:rPr>
                <w:lang w:eastAsia="zh-CN"/>
              </w:rPr>
              <w:t>Comores</w:t>
            </w:r>
          </w:p>
        </w:tc>
        <w:tc>
          <w:tcPr>
            <w:tcW w:w="3118" w:type="dxa"/>
            <w:tcBorders>
              <w:top w:val="nil"/>
              <w:left w:val="single" w:sz="4" w:space="0" w:color="auto"/>
              <w:bottom w:val="nil"/>
              <w:right w:val="single" w:sz="4" w:space="0" w:color="auto"/>
            </w:tcBorders>
            <w:shd w:val="clear" w:color="auto" w:fill="auto"/>
            <w:noWrap/>
            <w:vAlign w:val="bottom"/>
            <w:hideMark/>
          </w:tcPr>
          <w:p w14:paraId="3C01F747" w14:textId="77777777" w:rsidR="0055212D" w:rsidRPr="001D160C" w:rsidRDefault="0055212D" w:rsidP="004B4938">
            <w:pPr>
              <w:pStyle w:val="Tabletext"/>
              <w:jc w:val="center"/>
            </w:pPr>
            <w:r w:rsidRPr="001D160C">
              <w:t>1/16</w:t>
            </w:r>
          </w:p>
        </w:tc>
      </w:tr>
      <w:tr w:rsidR="0055212D" w:rsidRPr="001D160C" w14:paraId="46412AD2"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495AEDF0" w14:textId="77777777" w:rsidR="0055212D" w:rsidRPr="001D160C" w:rsidRDefault="0055212D" w:rsidP="004B4938">
            <w:pPr>
              <w:pStyle w:val="Tabletext"/>
              <w:rPr>
                <w:rFonts w:cs="Arial"/>
                <w:szCs w:val="22"/>
                <w:lang w:eastAsia="zh-CN"/>
              </w:rPr>
            </w:pPr>
            <w:r w:rsidRPr="001D160C">
              <w:rPr>
                <w:rFonts w:cs="Arial"/>
                <w:szCs w:val="22"/>
                <w:lang w:eastAsia="zh-CN"/>
              </w:rPr>
              <w:t>Congo</w:t>
            </w:r>
          </w:p>
        </w:tc>
        <w:tc>
          <w:tcPr>
            <w:tcW w:w="3118" w:type="dxa"/>
            <w:tcBorders>
              <w:top w:val="nil"/>
              <w:left w:val="single" w:sz="4" w:space="0" w:color="auto"/>
              <w:right w:val="single" w:sz="4" w:space="0" w:color="auto"/>
            </w:tcBorders>
            <w:shd w:val="clear" w:color="auto" w:fill="auto"/>
            <w:noWrap/>
            <w:vAlign w:val="bottom"/>
          </w:tcPr>
          <w:p w14:paraId="4066E3E2"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695D3327"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4D148C56" w14:textId="77777777" w:rsidR="0055212D" w:rsidRPr="001D160C" w:rsidRDefault="0055212D" w:rsidP="004B4938">
            <w:pPr>
              <w:pStyle w:val="Tabletext"/>
              <w:rPr>
                <w:rFonts w:cs="Arial"/>
                <w:szCs w:val="22"/>
                <w:lang w:eastAsia="zh-CN"/>
              </w:rPr>
            </w:pPr>
            <w:r w:rsidRPr="001D160C">
              <w:rPr>
                <w:rFonts w:cs="Arial"/>
                <w:szCs w:val="22"/>
                <w:lang w:eastAsia="zh-CN"/>
              </w:rPr>
              <w:t xml:space="preserve">Costa Rica </w:t>
            </w:r>
          </w:p>
        </w:tc>
        <w:tc>
          <w:tcPr>
            <w:tcW w:w="3118" w:type="dxa"/>
            <w:tcBorders>
              <w:top w:val="nil"/>
              <w:left w:val="single" w:sz="4" w:space="0" w:color="auto"/>
              <w:right w:val="single" w:sz="4" w:space="0" w:color="auto"/>
            </w:tcBorders>
            <w:shd w:val="clear" w:color="auto" w:fill="auto"/>
            <w:noWrap/>
            <w:vAlign w:val="bottom"/>
          </w:tcPr>
          <w:p w14:paraId="2858951D"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7C142548"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37805328" w14:textId="77777777" w:rsidR="0055212D" w:rsidRPr="001D160C" w:rsidRDefault="0055212D" w:rsidP="004B4938">
            <w:pPr>
              <w:pStyle w:val="Tabletext"/>
              <w:rPr>
                <w:rFonts w:cs="Arial"/>
                <w:szCs w:val="22"/>
                <w:lang w:eastAsia="zh-CN"/>
              </w:rPr>
            </w:pPr>
            <w:r w:rsidRPr="001D160C">
              <w:rPr>
                <w:rFonts w:cs="Arial"/>
                <w:szCs w:val="22"/>
                <w:lang w:eastAsia="zh-CN"/>
              </w:rPr>
              <w:t xml:space="preserve">Côte d'Ivoire </w:t>
            </w:r>
          </w:p>
        </w:tc>
        <w:tc>
          <w:tcPr>
            <w:tcW w:w="3118" w:type="dxa"/>
            <w:tcBorders>
              <w:top w:val="nil"/>
              <w:left w:val="single" w:sz="4" w:space="0" w:color="auto"/>
              <w:right w:val="single" w:sz="4" w:space="0" w:color="auto"/>
            </w:tcBorders>
            <w:shd w:val="clear" w:color="auto" w:fill="auto"/>
            <w:noWrap/>
            <w:vAlign w:val="bottom"/>
          </w:tcPr>
          <w:p w14:paraId="51030643" w14:textId="77777777" w:rsidR="0055212D" w:rsidRPr="001D160C" w:rsidRDefault="0055212D" w:rsidP="004B4938">
            <w:pPr>
              <w:pStyle w:val="Tabletext"/>
              <w:jc w:val="center"/>
              <w:rPr>
                <w:lang w:eastAsia="zh-CN"/>
              </w:rPr>
            </w:pPr>
            <w:r w:rsidRPr="001D160C">
              <w:rPr>
                <w:lang w:eastAsia="zh-CN"/>
              </w:rPr>
              <w:t>2</w:t>
            </w:r>
          </w:p>
        </w:tc>
      </w:tr>
      <w:tr w:rsidR="0055212D" w:rsidRPr="001D160C" w14:paraId="5DB64A13"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2BE73F68" w14:textId="77777777" w:rsidR="0055212D" w:rsidRPr="001D160C" w:rsidRDefault="0055212D" w:rsidP="004B4938">
            <w:pPr>
              <w:pStyle w:val="Tabletext"/>
              <w:rPr>
                <w:rFonts w:cs="Arial"/>
                <w:szCs w:val="22"/>
                <w:lang w:eastAsia="zh-CN"/>
              </w:rPr>
            </w:pPr>
            <w:r w:rsidRPr="001D160C">
              <w:rPr>
                <w:rFonts w:cs="Arial"/>
                <w:szCs w:val="22"/>
                <w:lang w:eastAsia="zh-CN"/>
              </w:rPr>
              <w:t>Croatie</w:t>
            </w:r>
          </w:p>
        </w:tc>
        <w:tc>
          <w:tcPr>
            <w:tcW w:w="3118" w:type="dxa"/>
            <w:tcBorders>
              <w:top w:val="nil"/>
              <w:left w:val="single" w:sz="4" w:space="0" w:color="auto"/>
              <w:right w:val="single" w:sz="4" w:space="0" w:color="auto"/>
            </w:tcBorders>
            <w:shd w:val="clear" w:color="auto" w:fill="auto"/>
            <w:noWrap/>
            <w:vAlign w:val="bottom"/>
          </w:tcPr>
          <w:p w14:paraId="6178432F"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52C06D7E"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3544993D" w14:textId="77777777" w:rsidR="0055212D" w:rsidRPr="001D160C" w:rsidRDefault="0055212D" w:rsidP="004B4938">
            <w:pPr>
              <w:pStyle w:val="Tabletext"/>
              <w:rPr>
                <w:rFonts w:cs="Arial"/>
                <w:szCs w:val="22"/>
                <w:lang w:eastAsia="zh-CN"/>
              </w:rPr>
            </w:pPr>
            <w:r w:rsidRPr="001D160C">
              <w:rPr>
                <w:rFonts w:cs="Arial"/>
                <w:szCs w:val="22"/>
                <w:lang w:eastAsia="zh-CN"/>
              </w:rPr>
              <w:t xml:space="preserve">Cuba </w:t>
            </w:r>
          </w:p>
        </w:tc>
        <w:tc>
          <w:tcPr>
            <w:tcW w:w="3118" w:type="dxa"/>
            <w:tcBorders>
              <w:top w:val="nil"/>
              <w:left w:val="single" w:sz="4" w:space="0" w:color="auto"/>
              <w:right w:val="single" w:sz="4" w:space="0" w:color="auto"/>
            </w:tcBorders>
            <w:shd w:val="clear" w:color="auto" w:fill="auto"/>
            <w:noWrap/>
            <w:vAlign w:val="bottom"/>
          </w:tcPr>
          <w:p w14:paraId="23B786F0"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5A30DF4A"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3B355F7A" w14:textId="77777777" w:rsidR="0055212D" w:rsidRPr="001D160C" w:rsidRDefault="0055212D" w:rsidP="004B4938">
            <w:pPr>
              <w:pStyle w:val="Tabletext"/>
              <w:rPr>
                <w:rFonts w:cs="Arial"/>
                <w:szCs w:val="22"/>
                <w:lang w:eastAsia="zh-CN"/>
              </w:rPr>
            </w:pPr>
            <w:r w:rsidRPr="001D160C">
              <w:rPr>
                <w:rFonts w:cs="Arial"/>
                <w:szCs w:val="22"/>
                <w:lang w:eastAsia="zh-CN"/>
              </w:rPr>
              <w:t>Chypre</w:t>
            </w:r>
          </w:p>
        </w:tc>
        <w:tc>
          <w:tcPr>
            <w:tcW w:w="3118" w:type="dxa"/>
            <w:tcBorders>
              <w:top w:val="nil"/>
              <w:left w:val="single" w:sz="4" w:space="0" w:color="auto"/>
              <w:right w:val="single" w:sz="4" w:space="0" w:color="auto"/>
            </w:tcBorders>
            <w:shd w:val="clear" w:color="auto" w:fill="auto"/>
            <w:noWrap/>
            <w:vAlign w:val="bottom"/>
          </w:tcPr>
          <w:p w14:paraId="099CA9F5"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39807BC9"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1FF2F812" w14:textId="77777777" w:rsidR="0055212D" w:rsidRPr="001D160C" w:rsidRDefault="0055212D" w:rsidP="004B4938">
            <w:pPr>
              <w:pStyle w:val="Tabletext"/>
              <w:rPr>
                <w:rFonts w:cs="Arial"/>
                <w:szCs w:val="22"/>
                <w:lang w:eastAsia="zh-CN"/>
              </w:rPr>
            </w:pPr>
            <w:r w:rsidRPr="001D160C">
              <w:rPr>
                <w:rFonts w:cs="Arial"/>
                <w:szCs w:val="22"/>
                <w:lang w:eastAsia="zh-CN"/>
              </w:rPr>
              <w:t>République tchèque</w:t>
            </w:r>
          </w:p>
        </w:tc>
        <w:tc>
          <w:tcPr>
            <w:tcW w:w="3118" w:type="dxa"/>
            <w:tcBorders>
              <w:top w:val="nil"/>
              <w:left w:val="single" w:sz="4" w:space="0" w:color="auto"/>
              <w:right w:val="single" w:sz="4" w:space="0" w:color="auto"/>
            </w:tcBorders>
            <w:shd w:val="clear" w:color="auto" w:fill="auto"/>
            <w:noWrap/>
            <w:vAlign w:val="bottom"/>
          </w:tcPr>
          <w:p w14:paraId="47238A61" w14:textId="77777777" w:rsidR="0055212D" w:rsidRPr="001D160C" w:rsidRDefault="0055212D" w:rsidP="004B4938">
            <w:pPr>
              <w:pStyle w:val="Tabletext"/>
              <w:jc w:val="center"/>
              <w:rPr>
                <w:lang w:eastAsia="zh-CN"/>
              </w:rPr>
            </w:pPr>
            <w:r w:rsidRPr="001D160C">
              <w:rPr>
                <w:lang w:eastAsia="zh-CN"/>
              </w:rPr>
              <w:t>1</w:t>
            </w:r>
          </w:p>
        </w:tc>
      </w:tr>
      <w:tr w:rsidR="0055212D" w:rsidRPr="001D160C" w14:paraId="642C9BD9"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1119B1FA" w14:textId="77777777" w:rsidR="0055212D" w:rsidRPr="001D160C" w:rsidRDefault="0055212D" w:rsidP="004B4938">
            <w:pPr>
              <w:pStyle w:val="Tabletext"/>
              <w:rPr>
                <w:rFonts w:cs="Arial"/>
                <w:szCs w:val="22"/>
                <w:lang w:eastAsia="zh-CN"/>
              </w:rPr>
            </w:pPr>
            <w:r w:rsidRPr="001D160C">
              <w:rPr>
                <w:rFonts w:cs="Arial"/>
                <w:szCs w:val="22"/>
                <w:lang w:eastAsia="zh-CN"/>
              </w:rPr>
              <w:t>Rép. dém. du Congo</w:t>
            </w:r>
          </w:p>
        </w:tc>
        <w:tc>
          <w:tcPr>
            <w:tcW w:w="3118" w:type="dxa"/>
            <w:tcBorders>
              <w:top w:val="nil"/>
              <w:left w:val="single" w:sz="4" w:space="0" w:color="auto"/>
              <w:right w:val="single" w:sz="4" w:space="0" w:color="auto"/>
            </w:tcBorders>
            <w:shd w:val="clear" w:color="auto" w:fill="auto"/>
            <w:noWrap/>
            <w:vAlign w:val="bottom"/>
          </w:tcPr>
          <w:p w14:paraId="21CD8323"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2AD7340C"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1E63AE46" w14:textId="77777777" w:rsidR="0055212D" w:rsidRPr="001D160C" w:rsidRDefault="0055212D" w:rsidP="004B4938">
            <w:pPr>
              <w:pStyle w:val="Tabletext"/>
              <w:rPr>
                <w:rFonts w:cs="Arial"/>
                <w:szCs w:val="22"/>
                <w:lang w:eastAsia="zh-CN"/>
              </w:rPr>
            </w:pPr>
            <w:r w:rsidRPr="001D160C">
              <w:rPr>
                <w:rFonts w:cs="Arial"/>
                <w:szCs w:val="22"/>
                <w:lang w:eastAsia="zh-CN"/>
              </w:rPr>
              <w:t>Rép. pop. dém. de Corée</w:t>
            </w:r>
          </w:p>
        </w:tc>
        <w:tc>
          <w:tcPr>
            <w:tcW w:w="3118" w:type="dxa"/>
            <w:tcBorders>
              <w:top w:val="nil"/>
              <w:left w:val="single" w:sz="4" w:space="0" w:color="auto"/>
              <w:right w:val="single" w:sz="4" w:space="0" w:color="auto"/>
            </w:tcBorders>
            <w:shd w:val="clear" w:color="auto" w:fill="auto"/>
            <w:noWrap/>
            <w:vAlign w:val="bottom"/>
          </w:tcPr>
          <w:p w14:paraId="7121701E" w14:textId="77777777" w:rsidR="0055212D" w:rsidRPr="001D160C" w:rsidRDefault="0055212D" w:rsidP="004B4938">
            <w:pPr>
              <w:pStyle w:val="Tabletext"/>
              <w:jc w:val="center"/>
              <w:rPr>
                <w:lang w:eastAsia="zh-CN"/>
              </w:rPr>
            </w:pPr>
            <w:r w:rsidRPr="001D160C">
              <w:rPr>
                <w:lang w:eastAsia="zh-CN"/>
              </w:rPr>
              <w:t>1/8</w:t>
            </w:r>
          </w:p>
        </w:tc>
      </w:tr>
      <w:tr w:rsidR="0055212D" w:rsidRPr="001D160C" w14:paraId="1B8E8E62"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1CF481A9" w14:textId="77777777" w:rsidR="0055212D" w:rsidRPr="001D160C" w:rsidRDefault="0055212D" w:rsidP="004B4938">
            <w:pPr>
              <w:pStyle w:val="Tabletext"/>
              <w:rPr>
                <w:rFonts w:cs="Arial"/>
                <w:szCs w:val="22"/>
                <w:lang w:eastAsia="zh-CN"/>
              </w:rPr>
            </w:pPr>
            <w:r w:rsidRPr="001D160C">
              <w:rPr>
                <w:rFonts w:cs="Arial"/>
                <w:szCs w:val="22"/>
                <w:lang w:eastAsia="zh-CN"/>
              </w:rPr>
              <w:t>Danemark</w:t>
            </w:r>
          </w:p>
        </w:tc>
        <w:tc>
          <w:tcPr>
            <w:tcW w:w="3118" w:type="dxa"/>
            <w:tcBorders>
              <w:top w:val="nil"/>
              <w:left w:val="single" w:sz="4" w:space="0" w:color="auto"/>
              <w:right w:val="single" w:sz="4" w:space="0" w:color="auto"/>
            </w:tcBorders>
            <w:shd w:val="clear" w:color="auto" w:fill="auto"/>
            <w:noWrap/>
            <w:vAlign w:val="bottom"/>
          </w:tcPr>
          <w:p w14:paraId="6B1EE6F1" w14:textId="77777777" w:rsidR="0055212D" w:rsidRPr="001D160C" w:rsidRDefault="0055212D" w:rsidP="004B4938">
            <w:pPr>
              <w:pStyle w:val="Tabletext"/>
              <w:jc w:val="center"/>
              <w:rPr>
                <w:lang w:eastAsia="zh-CN"/>
              </w:rPr>
            </w:pPr>
            <w:r w:rsidRPr="001D160C">
              <w:rPr>
                <w:lang w:eastAsia="zh-CN"/>
              </w:rPr>
              <w:t>1 1/2</w:t>
            </w:r>
          </w:p>
        </w:tc>
      </w:tr>
      <w:tr w:rsidR="0055212D" w:rsidRPr="001D160C" w14:paraId="53A3F8C6"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46F90F8E" w14:textId="77777777" w:rsidR="0055212D" w:rsidRPr="001D160C" w:rsidRDefault="0055212D" w:rsidP="004B4938">
            <w:pPr>
              <w:pStyle w:val="Tabletext"/>
              <w:rPr>
                <w:rFonts w:cs="Arial"/>
                <w:szCs w:val="22"/>
                <w:lang w:eastAsia="zh-CN"/>
              </w:rPr>
            </w:pPr>
            <w:r w:rsidRPr="001D160C">
              <w:rPr>
                <w:rFonts w:cs="Arial"/>
                <w:szCs w:val="22"/>
                <w:lang w:eastAsia="zh-CN"/>
              </w:rPr>
              <w:t>Djibouti</w:t>
            </w:r>
          </w:p>
        </w:tc>
        <w:tc>
          <w:tcPr>
            <w:tcW w:w="3118" w:type="dxa"/>
            <w:tcBorders>
              <w:top w:val="nil"/>
              <w:left w:val="single" w:sz="4" w:space="0" w:color="auto"/>
              <w:right w:val="single" w:sz="4" w:space="0" w:color="auto"/>
            </w:tcBorders>
            <w:shd w:val="clear" w:color="auto" w:fill="auto"/>
            <w:noWrap/>
            <w:vAlign w:val="bottom"/>
          </w:tcPr>
          <w:p w14:paraId="5BD69F23"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2033A474"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548BB5D2" w14:textId="77777777" w:rsidR="0055212D" w:rsidRPr="001D160C" w:rsidRDefault="0055212D" w:rsidP="004B4938">
            <w:pPr>
              <w:pStyle w:val="Tabletext"/>
              <w:rPr>
                <w:rFonts w:cs="Arial"/>
                <w:szCs w:val="22"/>
                <w:lang w:eastAsia="zh-CN"/>
              </w:rPr>
            </w:pPr>
            <w:r w:rsidRPr="001D160C">
              <w:rPr>
                <w:rFonts w:cs="Arial"/>
                <w:szCs w:val="22"/>
                <w:lang w:eastAsia="zh-CN"/>
              </w:rPr>
              <w:t>Dominique</w:t>
            </w:r>
          </w:p>
        </w:tc>
        <w:tc>
          <w:tcPr>
            <w:tcW w:w="3118" w:type="dxa"/>
            <w:tcBorders>
              <w:top w:val="nil"/>
              <w:left w:val="single" w:sz="4" w:space="0" w:color="auto"/>
              <w:right w:val="single" w:sz="4" w:space="0" w:color="auto"/>
            </w:tcBorders>
            <w:shd w:val="clear" w:color="auto" w:fill="auto"/>
            <w:noWrap/>
            <w:vAlign w:val="bottom"/>
          </w:tcPr>
          <w:p w14:paraId="0ECB16BA"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3399955A"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7838C988" w14:textId="77777777" w:rsidR="0055212D" w:rsidRPr="001D160C" w:rsidRDefault="0055212D" w:rsidP="004B4938">
            <w:pPr>
              <w:pStyle w:val="Tabletext"/>
              <w:rPr>
                <w:rFonts w:cs="Arial"/>
                <w:szCs w:val="22"/>
                <w:lang w:eastAsia="zh-CN"/>
              </w:rPr>
            </w:pPr>
            <w:r w:rsidRPr="001D160C">
              <w:rPr>
                <w:rFonts w:cs="Arial"/>
                <w:szCs w:val="22"/>
                <w:lang w:eastAsia="zh-CN"/>
              </w:rPr>
              <w:t>République dominicaine</w:t>
            </w:r>
          </w:p>
        </w:tc>
        <w:tc>
          <w:tcPr>
            <w:tcW w:w="3118" w:type="dxa"/>
            <w:tcBorders>
              <w:top w:val="nil"/>
              <w:left w:val="single" w:sz="4" w:space="0" w:color="auto"/>
              <w:right w:val="single" w:sz="4" w:space="0" w:color="auto"/>
            </w:tcBorders>
            <w:shd w:val="clear" w:color="auto" w:fill="auto"/>
            <w:noWrap/>
            <w:vAlign w:val="bottom"/>
          </w:tcPr>
          <w:p w14:paraId="35986CFA"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27F05A6C"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26037211" w14:textId="77777777" w:rsidR="0055212D" w:rsidRPr="001D160C" w:rsidRDefault="0055212D" w:rsidP="004B4938">
            <w:pPr>
              <w:pStyle w:val="Tabletext"/>
              <w:rPr>
                <w:rFonts w:cs="Arial"/>
                <w:szCs w:val="22"/>
                <w:lang w:eastAsia="zh-CN"/>
              </w:rPr>
            </w:pPr>
            <w:r w:rsidRPr="001D160C">
              <w:rPr>
                <w:rFonts w:cs="Arial"/>
                <w:szCs w:val="22"/>
                <w:lang w:eastAsia="zh-CN"/>
              </w:rPr>
              <w:t xml:space="preserve">Équateur </w:t>
            </w:r>
          </w:p>
        </w:tc>
        <w:tc>
          <w:tcPr>
            <w:tcW w:w="3118" w:type="dxa"/>
            <w:tcBorders>
              <w:top w:val="nil"/>
              <w:left w:val="single" w:sz="4" w:space="0" w:color="auto"/>
              <w:right w:val="single" w:sz="4" w:space="0" w:color="auto"/>
            </w:tcBorders>
            <w:shd w:val="clear" w:color="auto" w:fill="auto"/>
            <w:noWrap/>
            <w:vAlign w:val="bottom"/>
          </w:tcPr>
          <w:p w14:paraId="6D3BBDE1"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7D4F26AA"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4AC9BA79" w14:textId="77777777" w:rsidR="0055212D" w:rsidRPr="001D160C" w:rsidRDefault="0055212D" w:rsidP="004B4938">
            <w:pPr>
              <w:pStyle w:val="Tabletext"/>
              <w:rPr>
                <w:rFonts w:cs="Arial"/>
                <w:szCs w:val="22"/>
                <w:lang w:eastAsia="zh-CN"/>
              </w:rPr>
            </w:pPr>
            <w:r w:rsidRPr="001D160C">
              <w:rPr>
                <w:rFonts w:cs="Arial"/>
                <w:szCs w:val="22"/>
                <w:lang w:eastAsia="zh-CN"/>
              </w:rPr>
              <w:t>Égypte</w:t>
            </w:r>
          </w:p>
        </w:tc>
        <w:tc>
          <w:tcPr>
            <w:tcW w:w="3118" w:type="dxa"/>
            <w:tcBorders>
              <w:top w:val="nil"/>
              <w:left w:val="single" w:sz="4" w:space="0" w:color="auto"/>
              <w:right w:val="single" w:sz="4" w:space="0" w:color="auto"/>
            </w:tcBorders>
            <w:shd w:val="clear" w:color="auto" w:fill="auto"/>
            <w:noWrap/>
            <w:vAlign w:val="bottom"/>
          </w:tcPr>
          <w:p w14:paraId="38039A9C" w14:textId="77777777" w:rsidR="0055212D" w:rsidRPr="001D160C" w:rsidRDefault="0055212D" w:rsidP="004B4938">
            <w:pPr>
              <w:pStyle w:val="Tabletext"/>
              <w:jc w:val="center"/>
              <w:rPr>
                <w:lang w:eastAsia="zh-CN"/>
              </w:rPr>
            </w:pPr>
            <w:r w:rsidRPr="001D160C">
              <w:rPr>
                <w:lang w:eastAsia="zh-CN"/>
              </w:rPr>
              <w:t>1/2</w:t>
            </w:r>
          </w:p>
        </w:tc>
      </w:tr>
      <w:tr w:rsidR="0055212D" w:rsidRPr="001D160C" w14:paraId="76380257"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608B3959" w14:textId="77777777" w:rsidR="0055212D" w:rsidRPr="001D160C" w:rsidRDefault="0055212D" w:rsidP="004B4938">
            <w:pPr>
              <w:pStyle w:val="Tabletext"/>
              <w:rPr>
                <w:rFonts w:cs="Arial"/>
                <w:szCs w:val="22"/>
                <w:lang w:eastAsia="zh-CN"/>
              </w:rPr>
            </w:pPr>
            <w:r w:rsidRPr="001D160C">
              <w:rPr>
                <w:rFonts w:cs="Arial"/>
                <w:szCs w:val="22"/>
                <w:lang w:eastAsia="zh-CN"/>
              </w:rPr>
              <w:t>El Salvador</w:t>
            </w:r>
          </w:p>
        </w:tc>
        <w:tc>
          <w:tcPr>
            <w:tcW w:w="3118" w:type="dxa"/>
            <w:tcBorders>
              <w:top w:val="nil"/>
              <w:left w:val="single" w:sz="4" w:space="0" w:color="auto"/>
              <w:right w:val="single" w:sz="4" w:space="0" w:color="auto"/>
            </w:tcBorders>
            <w:shd w:val="clear" w:color="auto" w:fill="auto"/>
            <w:noWrap/>
            <w:vAlign w:val="bottom"/>
          </w:tcPr>
          <w:p w14:paraId="5823F342"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407824DD"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5DBEBBDD" w14:textId="77777777" w:rsidR="0055212D" w:rsidRPr="001D160C" w:rsidRDefault="0055212D" w:rsidP="004B4938">
            <w:pPr>
              <w:pStyle w:val="Tabletext"/>
              <w:rPr>
                <w:rFonts w:cs="Arial"/>
                <w:szCs w:val="22"/>
                <w:lang w:eastAsia="zh-CN"/>
              </w:rPr>
            </w:pPr>
            <w:r w:rsidRPr="001D160C">
              <w:rPr>
                <w:rFonts w:cs="Arial"/>
                <w:szCs w:val="22"/>
                <w:lang w:eastAsia="zh-CN"/>
              </w:rPr>
              <w:t>Guinée équatoriale</w:t>
            </w:r>
          </w:p>
        </w:tc>
        <w:tc>
          <w:tcPr>
            <w:tcW w:w="3118" w:type="dxa"/>
            <w:tcBorders>
              <w:top w:val="nil"/>
              <w:left w:val="single" w:sz="4" w:space="0" w:color="auto"/>
              <w:right w:val="single" w:sz="4" w:space="0" w:color="auto"/>
            </w:tcBorders>
            <w:shd w:val="clear" w:color="auto" w:fill="auto"/>
            <w:noWrap/>
            <w:vAlign w:val="bottom"/>
          </w:tcPr>
          <w:p w14:paraId="7939FBA7"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70BE62ED"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5C2AFB0A" w14:textId="77777777" w:rsidR="0055212D" w:rsidRPr="001D160C" w:rsidRDefault="0055212D" w:rsidP="004B4938">
            <w:pPr>
              <w:pStyle w:val="Tabletext"/>
              <w:rPr>
                <w:rFonts w:cs="Arial"/>
                <w:szCs w:val="22"/>
                <w:lang w:eastAsia="zh-CN"/>
              </w:rPr>
            </w:pPr>
            <w:r w:rsidRPr="001D160C">
              <w:rPr>
                <w:rFonts w:cs="Arial"/>
                <w:szCs w:val="22"/>
                <w:lang w:eastAsia="zh-CN"/>
              </w:rPr>
              <w:t>Érythrée</w:t>
            </w:r>
          </w:p>
        </w:tc>
        <w:tc>
          <w:tcPr>
            <w:tcW w:w="3118" w:type="dxa"/>
            <w:tcBorders>
              <w:top w:val="nil"/>
              <w:left w:val="single" w:sz="4" w:space="0" w:color="auto"/>
              <w:right w:val="single" w:sz="4" w:space="0" w:color="auto"/>
            </w:tcBorders>
            <w:shd w:val="clear" w:color="auto" w:fill="auto"/>
            <w:noWrap/>
            <w:vAlign w:val="bottom"/>
          </w:tcPr>
          <w:p w14:paraId="77ED96C8"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1F1361BA"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52E60A12" w14:textId="77777777" w:rsidR="0055212D" w:rsidRPr="001D160C" w:rsidRDefault="0055212D" w:rsidP="004B4938">
            <w:pPr>
              <w:pStyle w:val="Tabletext"/>
              <w:rPr>
                <w:rFonts w:cs="Arial"/>
                <w:szCs w:val="22"/>
                <w:lang w:eastAsia="zh-CN"/>
              </w:rPr>
            </w:pPr>
            <w:r w:rsidRPr="001D160C">
              <w:rPr>
                <w:rFonts w:cs="Arial"/>
                <w:szCs w:val="22"/>
                <w:lang w:eastAsia="zh-CN"/>
              </w:rPr>
              <w:t>Estonie</w:t>
            </w:r>
          </w:p>
        </w:tc>
        <w:tc>
          <w:tcPr>
            <w:tcW w:w="3118" w:type="dxa"/>
            <w:tcBorders>
              <w:top w:val="nil"/>
              <w:left w:val="single" w:sz="4" w:space="0" w:color="auto"/>
              <w:right w:val="single" w:sz="4" w:space="0" w:color="auto"/>
            </w:tcBorders>
            <w:shd w:val="clear" w:color="auto" w:fill="auto"/>
            <w:noWrap/>
            <w:vAlign w:val="bottom"/>
          </w:tcPr>
          <w:p w14:paraId="5E1D24A3"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6AC2D4EB"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4598CE3F" w14:textId="77777777" w:rsidR="0055212D" w:rsidRPr="001D160C" w:rsidRDefault="0055212D" w:rsidP="004B4938">
            <w:pPr>
              <w:pStyle w:val="Tabletext"/>
              <w:rPr>
                <w:rFonts w:cs="Arial"/>
                <w:szCs w:val="22"/>
                <w:lang w:eastAsia="zh-CN"/>
              </w:rPr>
            </w:pPr>
            <w:r w:rsidRPr="001D160C">
              <w:rPr>
                <w:rFonts w:cs="Arial"/>
                <w:szCs w:val="22"/>
                <w:lang w:eastAsia="zh-CN"/>
              </w:rPr>
              <w:t xml:space="preserve">Eswatini </w:t>
            </w:r>
          </w:p>
        </w:tc>
        <w:tc>
          <w:tcPr>
            <w:tcW w:w="3118" w:type="dxa"/>
            <w:tcBorders>
              <w:top w:val="nil"/>
              <w:left w:val="single" w:sz="4" w:space="0" w:color="auto"/>
              <w:right w:val="single" w:sz="4" w:space="0" w:color="auto"/>
            </w:tcBorders>
            <w:shd w:val="clear" w:color="auto" w:fill="auto"/>
            <w:noWrap/>
            <w:vAlign w:val="bottom"/>
          </w:tcPr>
          <w:p w14:paraId="122D3123" w14:textId="77777777" w:rsidR="0055212D" w:rsidRPr="001D160C" w:rsidRDefault="0055212D" w:rsidP="004B4938">
            <w:pPr>
              <w:pStyle w:val="Tabletext"/>
              <w:jc w:val="center"/>
              <w:rPr>
                <w:lang w:eastAsia="zh-CN"/>
              </w:rPr>
            </w:pPr>
            <w:r w:rsidRPr="001D160C">
              <w:rPr>
                <w:lang w:eastAsia="zh-CN"/>
              </w:rPr>
              <w:t>1/8</w:t>
            </w:r>
          </w:p>
        </w:tc>
      </w:tr>
      <w:tr w:rsidR="0055212D" w:rsidRPr="001D160C" w14:paraId="2F2F1A5C"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4F6F26F8" w14:textId="77777777" w:rsidR="0055212D" w:rsidRPr="001D160C" w:rsidRDefault="0055212D" w:rsidP="004B4938">
            <w:pPr>
              <w:pStyle w:val="Tabletext"/>
              <w:rPr>
                <w:rFonts w:cs="Arial"/>
                <w:szCs w:val="22"/>
                <w:lang w:eastAsia="zh-CN"/>
              </w:rPr>
            </w:pPr>
            <w:r w:rsidRPr="001D160C">
              <w:rPr>
                <w:rFonts w:cs="Arial"/>
                <w:szCs w:val="22"/>
                <w:lang w:eastAsia="zh-CN"/>
              </w:rPr>
              <w:t>Éthiopie</w:t>
            </w:r>
          </w:p>
        </w:tc>
        <w:tc>
          <w:tcPr>
            <w:tcW w:w="3118" w:type="dxa"/>
            <w:tcBorders>
              <w:top w:val="nil"/>
              <w:left w:val="single" w:sz="4" w:space="0" w:color="auto"/>
              <w:right w:val="single" w:sz="4" w:space="0" w:color="auto"/>
            </w:tcBorders>
            <w:shd w:val="clear" w:color="auto" w:fill="auto"/>
            <w:noWrap/>
            <w:vAlign w:val="bottom"/>
          </w:tcPr>
          <w:p w14:paraId="7636CBA3"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255FEF49"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34C47F88" w14:textId="77777777" w:rsidR="0055212D" w:rsidRPr="001D160C" w:rsidRDefault="0055212D" w:rsidP="004B4938">
            <w:pPr>
              <w:pStyle w:val="Tabletext"/>
              <w:rPr>
                <w:rFonts w:cs="Arial"/>
                <w:szCs w:val="22"/>
                <w:lang w:eastAsia="zh-CN"/>
              </w:rPr>
            </w:pPr>
            <w:r w:rsidRPr="001D160C">
              <w:rPr>
                <w:rFonts w:cs="Arial"/>
                <w:szCs w:val="22"/>
                <w:lang w:eastAsia="zh-CN"/>
              </w:rPr>
              <w:t>Fidji</w:t>
            </w:r>
          </w:p>
        </w:tc>
        <w:tc>
          <w:tcPr>
            <w:tcW w:w="3118" w:type="dxa"/>
            <w:tcBorders>
              <w:top w:val="nil"/>
              <w:left w:val="single" w:sz="4" w:space="0" w:color="auto"/>
              <w:right w:val="single" w:sz="4" w:space="0" w:color="auto"/>
            </w:tcBorders>
            <w:shd w:val="clear" w:color="auto" w:fill="auto"/>
            <w:noWrap/>
            <w:vAlign w:val="bottom"/>
          </w:tcPr>
          <w:p w14:paraId="715D5A59"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11BAADE1"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6C6B8D2C" w14:textId="77777777" w:rsidR="0055212D" w:rsidRPr="001D160C" w:rsidRDefault="0055212D" w:rsidP="004B4938">
            <w:pPr>
              <w:pStyle w:val="Tabletext"/>
              <w:rPr>
                <w:rFonts w:cs="Arial"/>
                <w:szCs w:val="22"/>
                <w:lang w:eastAsia="zh-CN"/>
              </w:rPr>
            </w:pPr>
            <w:r w:rsidRPr="001D160C">
              <w:rPr>
                <w:rFonts w:cs="Arial"/>
                <w:szCs w:val="22"/>
                <w:lang w:eastAsia="zh-CN"/>
              </w:rPr>
              <w:t>Finlande</w:t>
            </w:r>
          </w:p>
        </w:tc>
        <w:tc>
          <w:tcPr>
            <w:tcW w:w="3118" w:type="dxa"/>
            <w:tcBorders>
              <w:top w:val="nil"/>
              <w:left w:val="single" w:sz="4" w:space="0" w:color="auto"/>
              <w:right w:val="single" w:sz="4" w:space="0" w:color="auto"/>
            </w:tcBorders>
            <w:shd w:val="clear" w:color="auto" w:fill="auto"/>
            <w:noWrap/>
            <w:vAlign w:val="bottom"/>
          </w:tcPr>
          <w:p w14:paraId="7513C006" w14:textId="77777777" w:rsidR="0055212D" w:rsidRPr="001D160C" w:rsidRDefault="0055212D" w:rsidP="004B4938">
            <w:pPr>
              <w:pStyle w:val="Tabletext"/>
              <w:jc w:val="center"/>
              <w:rPr>
                <w:lang w:eastAsia="zh-CN"/>
              </w:rPr>
            </w:pPr>
            <w:r w:rsidRPr="001D160C">
              <w:rPr>
                <w:lang w:eastAsia="zh-CN"/>
              </w:rPr>
              <w:t>2</w:t>
            </w:r>
          </w:p>
        </w:tc>
      </w:tr>
      <w:tr w:rsidR="0055212D" w:rsidRPr="001D160C" w14:paraId="73AAC9AE"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41AD426A" w14:textId="77777777" w:rsidR="0055212D" w:rsidRPr="001D160C" w:rsidRDefault="0055212D" w:rsidP="004B4938">
            <w:pPr>
              <w:pStyle w:val="Tabletext"/>
              <w:rPr>
                <w:rFonts w:cs="Arial"/>
                <w:szCs w:val="22"/>
                <w:lang w:eastAsia="zh-CN"/>
              </w:rPr>
            </w:pPr>
            <w:r w:rsidRPr="001D160C">
              <w:rPr>
                <w:rFonts w:cs="Arial"/>
                <w:szCs w:val="22"/>
                <w:lang w:eastAsia="zh-CN"/>
              </w:rPr>
              <w:t>France</w:t>
            </w:r>
          </w:p>
        </w:tc>
        <w:tc>
          <w:tcPr>
            <w:tcW w:w="3118" w:type="dxa"/>
            <w:tcBorders>
              <w:top w:val="nil"/>
              <w:left w:val="single" w:sz="4" w:space="0" w:color="auto"/>
              <w:right w:val="single" w:sz="4" w:space="0" w:color="auto"/>
            </w:tcBorders>
            <w:shd w:val="clear" w:color="auto" w:fill="auto"/>
            <w:noWrap/>
            <w:vAlign w:val="bottom"/>
          </w:tcPr>
          <w:p w14:paraId="2ED9C6C2" w14:textId="77777777" w:rsidR="0055212D" w:rsidRPr="001D160C" w:rsidRDefault="0055212D" w:rsidP="004B4938">
            <w:pPr>
              <w:pStyle w:val="Tabletext"/>
              <w:jc w:val="center"/>
              <w:rPr>
                <w:lang w:eastAsia="zh-CN"/>
              </w:rPr>
            </w:pPr>
            <w:r w:rsidRPr="001D160C">
              <w:rPr>
                <w:lang w:eastAsia="zh-CN"/>
              </w:rPr>
              <w:t>21</w:t>
            </w:r>
          </w:p>
        </w:tc>
      </w:tr>
      <w:tr w:rsidR="0055212D" w:rsidRPr="001D160C" w14:paraId="73A83A3D"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7A0803CE" w14:textId="77777777" w:rsidR="0055212D" w:rsidRPr="001D160C" w:rsidRDefault="0055212D" w:rsidP="004B4938">
            <w:pPr>
              <w:pStyle w:val="Tabletext"/>
              <w:rPr>
                <w:rFonts w:cs="Arial"/>
                <w:szCs w:val="22"/>
                <w:lang w:eastAsia="zh-CN"/>
              </w:rPr>
            </w:pPr>
            <w:r w:rsidRPr="001D160C">
              <w:rPr>
                <w:rFonts w:cs="Arial"/>
                <w:szCs w:val="22"/>
                <w:lang w:eastAsia="zh-CN"/>
              </w:rPr>
              <w:t>Gabon</w:t>
            </w:r>
          </w:p>
        </w:tc>
        <w:tc>
          <w:tcPr>
            <w:tcW w:w="3118" w:type="dxa"/>
            <w:tcBorders>
              <w:top w:val="nil"/>
              <w:left w:val="single" w:sz="4" w:space="0" w:color="auto"/>
              <w:right w:val="single" w:sz="4" w:space="0" w:color="auto"/>
            </w:tcBorders>
            <w:shd w:val="clear" w:color="auto" w:fill="auto"/>
            <w:noWrap/>
            <w:vAlign w:val="bottom"/>
          </w:tcPr>
          <w:p w14:paraId="2086EFBF"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084C97D0"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17CF3DC8" w14:textId="77777777" w:rsidR="0055212D" w:rsidRPr="001D160C" w:rsidRDefault="0055212D" w:rsidP="004B4938">
            <w:pPr>
              <w:pStyle w:val="Tabletext"/>
              <w:rPr>
                <w:rFonts w:cs="Arial"/>
                <w:szCs w:val="22"/>
                <w:lang w:eastAsia="zh-CN"/>
              </w:rPr>
            </w:pPr>
            <w:r w:rsidRPr="001D160C">
              <w:rPr>
                <w:rFonts w:cs="Arial"/>
                <w:szCs w:val="22"/>
                <w:lang w:eastAsia="zh-CN"/>
              </w:rPr>
              <w:t>Gambie</w:t>
            </w:r>
          </w:p>
        </w:tc>
        <w:tc>
          <w:tcPr>
            <w:tcW w:w="3118" w:type="dxa"/>
            <w:tcBorders>
              <w:top w:val="nil"/>
              <w:left w:val="single" w:sz="4" w:space="0" w:color="auto"/>
              <w:right w:val="single" w:sz="4" w:space="0" w:color="auto"/>
            </w:tcBorders>
            <w:shd w:val="clear" w:color="auto" w:fill="auto"/>
            <w:noWrap/>
            <w:vAlign w:val="bottom"/>
          </w:tcPr>
          <w:p w14:paraId="0481F2CF" w14:textId="77777777" w:rsidR="0055212D" w:rsidRPr="001D160C" w:rsidRDefault="0055212D" w:rsidP="004B4938">
            <w:pPr>
              <w:pStyle w:val="Tabletext"/>
              <w:jc w:val="center"/>
              <w:rPr>
                <w:lang w:eastAsia="zh-CN"/>
              </w:rPr>
            </w:pPr>
            <w:r w:rsidRPr="001D160C">
              <w:rPr>
                <w:lang w:eastAsia="zh-CN"/>
              </w:rPr>
              <w:t>1/8</w:t>
            </w:r>
          </w:p>
        </w:tc>
      </w:tr>
      <w:tr w:rsidR="0055212D" w:rsidRPr="001D160C" w14:paraId="31212394"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7D68CB45" w14:textId="77777777" w:rsidR="0055212D" w:rsidRPr="001D160C" w:rsidRDefault="0055212D" w:rsidP="004B4938">
            <w:pPr>
              <w:pStyle w:val="Tabletext"/>
              <w:rPr>
                <w:rFonts w:cs="Arial"/>
                <w:szCs w:val="22"/>
                <w:lang w:eastAsia="zh-CN"/>
              </w:rPr>
            </w:pPr>
            <w:r w:rsidRPr="001D160C">
              <w:rPr>
                <w:rFonts w:cs="Arial"/>
                <w:szCs w:val="22"/>
                <w:lang w:eastAsia="zh-CN"/>
              </w:rPr>
              <w:lastRenderedPageBreak/>
              <w:t>Géorgie</w:t>
            </w:r>
          </w:p>
        </w:tc>
        <w:tc>
          <w:tcPr>
            <w:tcW w:w="3118" w:type="dxa"/>
            <w:tcBorders>
              <w:top w:val="nil"/>
              <w:left w:val="single" w:sz="4" w:space="0" w:color="auto"/>
              <w:right w:val="single" w:sz="4" w:space="0" w:color="auto"/>
            </w:tcBorders>
            <w:shd w:val="clear" w:color="auto" w:fill="auto"/>
            <w:noWrap/>
            <w:vAlign w:val="bottom"/>
          </w:tcPr>
          <w:p w14:paraId="384B058F"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689BA4BE"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5F5EBC6E" w14:textId="77777777" w:rsidR="0055212D" w:rsidRPr="001D160C" w:rsidRDefault="0055212D" w:rsidP="004B4938">
            <w:pPr>
              <w:pStyle w:val="Tabletext"/>
              <w:rPr>
                <w:rFonts w:cs="Arial"/>
                <w:szCs w:val="22"/>
                <w:lang w:eastAsia="zh-CN"/>
              </w:rPr>
            </w:pPr>
            <w:r w:rsidRPr="001D160C">
              <w:rPr>
                <w:rFonts w:cs="Arial"/>
                <w:szCs w:val="22"/>
                <w:lang w:eastAsia="zh-CN"/>
              </w:rPr>
              <w:t>Allemagne</w:t>
            </w:r>
          </w:p>
        </w:tc>
        <w:tc>
          <w:tcPr>
            <w:tcW w:w="3118" w:type="dxa"/>
            <w:tcBorders>
              <w:top w:val="nil"/>
              <w:left w:val="single" w:sz="4" w:space="0" w:color="auto"/>
              <w:right w:val="single" w:sz="4" w:space="0" w:color="auto"/>
            </w:tcBorders>
            <w:shd w:val="clear" w:color="auto" w:fill="auto"/>
            <w:noWrap/>
            <w:vAlign w:val="bottom"/>
          </w:tcPr>
          <w:p w14:paraId="506FB5BB" w14:textId="77777777" w:rsidR="0055212D" w:rsidRPr="001D160C" w:rsidRDefault="0055212D" w:rsidP="004B4938">
            <w:pPr>
              <w:pStyle w:val="Tabletext"/>
              <w:jc w:val="center"/>
              <w:rPr>
                <w:lang w:eastAsia="zh-CN"/>
              </w:rPr>
            </w:pPr>
            <w:r w:rsidRPr="001D160C">
              <w:rPr>
                <w:lang w:eastAsia="zh-CN"/>
              </w:rPr>
              <w:t>25</w:t>
            </w:r>
          </w:p>
        </w:tc>
      </w:tr>
      <w:tr w:rsidR="0055212D" w:rsidRPr="001D160C" w14:paraId="70D0AA36" w14:textId="77777777" w:rsidTr="005D5D8D">
        <w:trPr>
          <w:trHeight w:val="300"/>
          <w:jc w:val="center"/>
        </w:trPr>
        <w:tc>
          <w:tcPr>
            <w:tcW w:w="4390" w:type="dxa"/>
            <w:tcBorders>
              <w:left w:val="single" w:sz="4" w:space="0" w:color="auto"/>
              <w:right w:val="single" w:sz="4" w:space="0" w:color="auto"/>
            </w:tcBorders>
            <w:shd w:val="clear" w:color="000000" w:fill="FFFFFF"/>
            <w:noWrap/>
            <w:vAlign w:val="bottom"/>
          </w:tcPr>
          <w:p w14:paraId="360BF6C0" w14:textId="77777777" w:rsidR="0055212D" w:rsidRPr="001D160C" w:rsidRDefault="0055212D" w:rsidP="004B4938">
            <w:pPr>
              <w:pStyle w:val="Tabletext"/>
              <w:rPr>
                <w:rFonts w:cs="Arial"/>
                <w:szCs w:val="22"/>
                <w:lang w:eastAsia="zh-CN"/>
              </w:rPr>
            </w:pPr>
            <w:r w:rsidRPr="001D160C">
              <w:rPr>
                <w:rFonts w:cs="Arial"/>
                <w:szCs w:val="22"/>
                <w:lang w:eastAsia="zh-CN"/>
              </w:rPr>
              <w:t>Ghana</w:t>
            </w:r>
          </w:p>
        </w:tc>
        <w:tc>
          <w:tcPr>
            <w:tcW w:w="3118" w:type="dxa"/>
            <w:tcBorders>
              <w:left w:val="single" w:sz="4" w:space="0" w:color="auto"/>
              <w:right w:val="single" w:sz="4" w:space="0" w:color="auto"/>
            </w:tcBorders>
            <w:shd w:val="clear" w:color="auto" w:fill="auto"/>
            <w:noWrap/>
            <w:vAlign w:val="bottom"/>
          </w:tcPr>
          <w:p w14:paraId="0405E28B"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1FD063C5"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101ED0E8" w14:textId="77777777" w:rsidR="0055212D" w:rsidRPr="001D160C" w:rsidRDefault="0055212D" w:rsidP="004B4938">
            <w:pPr>
              <w:pStyle w:val="Tabletext"/>
              <w:rPr>
                <w:rFonts w:cs="Arial"/>
                <w:szCs w:val="22"/>
                <w:lang w:eastAsia="zh-CN"/>
              </w:rPr>
            </w:pPr>
            <w:r w:rsidRPr="001D160C">
              <w:rPr>
                <w:rFonts w:cs="Arial"/>
                <w:szCs w:val="22"/>
                <w:lang w:eastAsia="zh-CN"/>
              </w:rPr>
              <w:t>Grèce</w:t>
            </w:r>
          </w:p>
        </w:tc>
        <w:tc>
          <w:tcPr>
            <w:tcW w:w="3118" w:type="dxa"/>
            <w:tcBorders>
              <w:top w:val="nil"/>
              <w:left w:val="single" w:sz="4" w:space="0" w:color="auto"/>
              <w:right w:val="single" w:sz="4" w:space="0" w:color="auto"/>
            </w:tcBorders>
            <w:shd w:val="clear" w:color="auto" w:fill="auto"/>
            <w:noWrap/>
            <w:vAlign w:val="bottom"/>
          </w:tcPr>
          <w:p w14:paraId="09410E5B" w14:textId="77777777" w:rsidR="0055212D" w:rsidRPr="001D160C" w:rsidRDefault="0055212D" w:rsidP="004B4938">
            <w:pPr>
              <w:pStyle w:val="Tabletext"/>
              <w:jc w:val="center"/>
              <w:rPr>
                <w:lang w:eastAsia="zh-CN"/>
              </w:rPr>
            </w:pPr>
            <w:r w:rsidRPr="001D160C">
              <w:rPr>
                <w:lang w:eastAsia="zh-CN"/>
              </w:rPr>
              <w:t>1</w:t>
            </w:r>
          </w:p>
        </w:tc>
      </w:tr>
      <w:tr w:rsidR="0055212D" w:rsidRPr="001D160C" w14:paraId="2914BA8E"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18904493" w14:textId="77777777" w:rsidR="0055212D" w:rsidRPr="001D160C" w:rsidRDefault="0055212D" w:rsidP="004B4938">
            <w:pPr>
              <w:pStyle w:val="Tabletext"/>
              <w:rPr>
                <w:rFonts w:cs="Arial"/>
                <w:szCs w:val="22"/>
                <w:lang w:eastAsia="zh-CN"/>
              </w:rPr>
            </w:pPr>
            <w:r w:rsidRPr="001D160C">
              <w:rPr>
                <w:rFonts w:cs="Arial"/>
                <w:szCs w:val="22"/>
                <w:lang w:eastAsia="zh-CN"/>
              </w:rPr>
              <w:t>Grenade</w:t>
            </w:r>
          </w:p>
        </w:tc>
        <w:tc>
          <w:tcPr>
            <w:tcW w:w="3118" w:type="dxa"/>
            <w:tcBorders>
              <w:top w:val="nil"/>
              <w:left w:val="single" w:sz="4" w:space="0" w:color="auto"/>
              <w:right w:val="single" w:sz="4" w:space="0" w:color="auto"/>
            </w:tcBorders>
            <w:shd w:val="clear" w:color="auto" w:fill="auto"/>
            <w:noWrap/>
            <w:vAlign w:val="bottom"/>
          </w:tcPr>
          <w:p w14:paraId="71A3843B"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5C548971"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1B459B73" w14:textId="77777777" w:rsidR="0055212D" w:rsidRPr="001D160C" w:rsidRDefault="0055212D" w:rsidP="004B4938">
            <w:pPr>
              <w:pStyle w:val="Tabletext"/>
              <w:rPr>
                <w:rFonts w:cs="Arial"/>
                <w:szCs w:val="22"/>
                <w:lang w:eastAsia="zh-CN"/>
              </w:rPr>
            </w:pPr>
            <w:r w:rsidRPr="001D160C">
              <w:rPr>
                <w:rFonts w:cs="Arial"/>
                <w:szCs w:val="22"/>
                <w:lang w:eastAsia="zh-CN"/>
              </w:rPr>
              <w:t>Guatemala</w:t>
            </w:r>
          </w:p>
        </w:tc>
        <w:tc>
          <w:tcPr>
            <w:tcW w:w="3118" w:type="dxa"/>
            <w:tcBorders>
              <w:top w:val="nil"/>
              <w:left w:val="single" w:sz="4" w:space="0" w:color="auto"/>
              <w:right w:val="single" w:sz="4" w:space="0" w:color="auto"/>
            </w:tcBorders>
            <w:shd w:val="clear" w:color="auto" w:fill="auto"/>
            <w:noWrap/>
            <w:vAlign w:val="bottom"/>
          </w:tcPr>
          <w:p w14:paraId="586957A7"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6DE97ADA" w14:textId="77777777" w:rsidTr="0055212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3229A3D8" w14:textId="77777777" w:rsidR="0055212D" w:rsidRPr="001D160C" w:rsidRDefault="0055212D" w:rsidP="004B4938">
            <w:pPr>
              <w:pStyle w:val="Tabletext"/>
              <w:rPr>
                <w:rFonts w:cs="Arial"/>
                <w:szCs w:val="22"/>
                <w:lang w:eastAsia="zh-CN"/>
              </w:rPr>
            </w:pPr>
            <w:r w:rsidRPr="001D160C">
              <w:rPr>
                <w:rFonts w:cs="Arial"/>
                <w:szCs w:val="22"/>
                <w:lang w:eastAsia="zh-CN"/>
              </w:rPr>
              <w:t>Guinée</w:t>
            </w:r>
          </w:p>
        </w:tc>
        <w:tc>
          <w:tcPr>
            <w:tcW w:w="3118" w:type="dxa"/>
            <w:tcBorders>
              <w:top w:val="nil"/>
              <w:left w:val="single" w:sz="4" w:space="0" w:color="auto"/>
              <w:right w:val="single" w:sz="4" w:space="0" w:color="auto"/>
            </w:tcBorders>
            <w:shd w:val="clear" w:color="auto" w:fill="auto"/>
            <w:noWrap/>
            <w:vAlign w:val="bottom"/>
          </w:tcPr>
          <w:p w14:paraId="027F6F9D" w14:textId="77777777" w:rsidR="0055212D" w:rsidRPr="001D160C" w:rsidRDefault="0055212D" w:rsidP="004B4938">
            <w:pPr>
              <w:pStyle w:val="Tabletext"/>
              <w:jc w:val="center"/>
              <w:rPr>
                <w:lang w:eastAsia="zh-CN"/>
              </w:rPr>
            </w:pPr>
            <w:r w:rsidRPr="001D160C">
              <w:rPr>
                <w:lang w:eastAsia="zh-CN"/>
              </w:rPr>
              <w:t>1</w:t>
            </w:r>
          </w:p>
        </w:tc>
      </w:tr>
      <w:tr w:rsidR="0055212D" w:rsidRPr="001D160C" w14:paraId="077CCCF8" w14:textId="77777777" w:rsidTr="0055212D">
        <w:trPr>
          <w:trHeight w:val="300"/>
          <w:jc w:val="center"/>
        </w:trPr>
        <w:tc>
          <w:tcPr>
            <w:tcW w:w="4390" w:type="dxa"/>
            <w:tcBorders>
              <w:left w:val="single" w:sz="4" w:space="0" w:color="auto"/>
              <w:right w:val="single" w:sz="4" w:space="0" w:color="auto"/>
            </w:tcBorders>
            <w:shd w:val="clear" w:color="000000" w:fill="FFFFFF"/>
            <w:noWrap/>
            <w:vAlign w:val="bottom"/>
          </w:tcPr>
          <w:p w14:paraId="311AEC78" w14:textId="77777777" w:rsidR="0055212D" w:rsidRPr="001D160C" w:rsidRDefault="0055212D" w:rsidP="004B4938">
            <w:pPr>
              <w:pStyle w:val="Tabletext"/>
              <w:rPr>
                <w:rFonts w:cs="Arial"/>
                <w:szCs w:val="22"/>
                <w:lang w:eastAsia="zh-CN"/>
              </w:rPr>
            </w:pPr>
            <w:r w:rsidRPr="001D160C">
              <w:rPr>
                <w:rFonts w:cs="Arial"/>
                <w:szCs w:val="22"/>
                <w:lang w:eastAsia="zh-CN"/>
              </w:rPr>
              <w:t>Guinée-Bissau</w:t>
            </w:r>
          </w:p>
        </w:tc>
        <w:tc>
          <w:tcPr>
            <w:tcW w:w="3118" w:type="dxa"/>
            <w:tcBorders>
              <w:left w:val="single" w:sz="4" w:space="0" w:color="auto"/>
              <w:right w:val="single" w:sz="4" w:space="0" w:color="auto"/>
            </w:tcBorders>
            <w:shd w:val="clear" w:color="auto" w:fill="auto"/>
            <w:noWrap/>
            <w:vAlign w:val="bottom"/>
          </w:tcPr>
          <w:p w14:paraId="70EE77F4"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2BEB7DA5"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59D00D59" w14:textId="77777777" w:rsidR="0055212D" w:rsidRPr="001D160C" w:rsidRDefault="0055212D" w:rsidP="004B4938">
            <w:pPr>
              <w:pStyle w:val="Tabletext"/>
              <w:rPr>
                <w:rFonts w:cs="Arial"/>
                <w:szCs w:val="22"/>
                <w:lang w:eastAsia="zh-CN"/>
              </w:rPr>
            </w:pPr>
            <w:r w:rsidRPr="001D160C">
              <w:rPr>
                <w:rFonts w:cs="Arial"/>
                <w:szCs w:val="22"/>
                <w:lang w:eastAsia="zh-CN"/>
              </w:rPr>
              <w:t xml:space="preserve">Guyana </w:t>
            </w:r>
          </w:p>
        </w:tc>
        <w:tc>
          <w:tcPr>
            <w:tcW w:w="3118" w:type="dxa"/>
            <w:tcBorders>
              <w:top w:val="nil"/>
              <w:left w:val="single" w:sz="4" w:space="0" w:color="auto"/>
              <w:right w:val="single" w:sz="4" w:space="0" w:color="auto"/>
            </w:tcBorders>
            <w:shd w:val="clear" w:color="auto" w:fill="auto"/>
            <w:noWrap/>
            <w:vAlign w:val="bottom"/>
          </w:tcPr>
          <w:p w14:paraId="1D9D0592"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1ADE3879"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043FE0FC" w14:textId="77777777" w:rsidR="0055212D" w:rsidRPr="001D160C" w:rsidRDefault="0055212D" w:rsidP="004B4938">
            <w:pPr>
              <w:pStyle w:val="Tabletext"/>
              <w:rPr>
                <w:rFonts w:cs="Arial"/>
                <w:szCs w:val="22"/>
                <w:lang w:eastAsia="zh-CN"/>
              </w:rPr>
            </w:pPr>
            <w:r w:rsidRPr="001D160C">
              <w:rPr>
                <w:rFonts w:cs="Arial"/>
                <w:szCs w:val="22"/>
                <w:lang w:eastAsia="zh-CN"/>
              </w:rPr>
              <w:t>Haïti</w:t>
            </w:r>
          </w:p>
        </w:tc>
        <w:tc>
          <w:tcPr>
            <w:tcW w:w="3118" w:type="dxa"/>
            <w:tcBorders>
              <w:top w:val="nil"/>
              <w:left w:val="single" w:sz="4" w:space="0" w:color="auto"/>
              <w:right w:val="single" w:sz="4" w:space="0" w:color="auto"/>
            </w:tcBorders>
            <w:shd w:val="clear" w:color="auto" w:fill="auto"/>
            <w:noWrap/>
            <w:vAlign w:val="bottom"/>
          </w:tcPr>
          <w:p w14:paraId="21A6E64F"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75F8E3DE"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5A293047" w14:textId="77777777" w:rsidR="0055212D" w:rsidRPr="001D160C" w:rsidRDefault="0055212D" w:rsidP="004B4938">
            <w:pPr>
              <w:pStyle w:val="Tabletext"/>
              <w:rPr>
                <w:rFonts w:cs="Arial"/>
                <w:szCs w:val="22"/>
                <w:lang w:eastAsia="zh-CN"/>
              </w:rPr>
            </w:pPr>
            <w:r w:rsidRPr="001D160C">
              <w:rPr>
                <w:rFonts w:cs="Arial"/>
                <w:szCs w:val="22"/>
                <w:lang w:eastAsia="zh-CN"/>
              </w:rPr>
              <w:t>Honduras</w:t>
            </w:r>
          </w:p>
        </w:tc>
        <w:tc>
          <w:tcPr>
            <w:tcW w:w="3118" w:type="dxa"/>
            <w:tcBorders>
              <w:top w:val="nil"/>
              <w:left w:val="single" w:sz="4" w:space="0" w:color="auto"/>
              <w:right w:val="single" w:sz="4" w:space="0" w:color="auto"/>
            </w:tcBorders>
            <w:shd w:val="clear" w:color="auto" w:fill="auto"/>
            <w:noWrap/>
            <w:vAlign w:val="bottom"/>
          </w:tcPr>
          <w:p w14:paraId="792E0814"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50C1C0F9"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684ABE8C" w14:textId="77777777" w:rsidR="0055212D" w:rsidRPr="001D160C" w:rsidRDefault="0055212D" w:rsidP="004B4938">
            <w:pPr>
              <w:pStyle w:val="Tabletext"/>
              <w:rPr>
                <w:rFonts w:cs="Arial"/>
                <w:szCs w:val="22"/>
                <w:lang w:eastAsia="zh-CN"/>
              </w:rPr>
            </w:pPr>
            <w:r w:rsidRPr="001D160C">
              <w:rPr>
                <w:rFonts w:cs="Arial"/>
                <w:szCs w:val="22"/>
                <w:lang w:eastAsia="zh-CN"/>
              </w:rPr>
              <w:t>Hongrie</w:t>
            </w:r>
          </w:p>
        </w:tc>
        <w:tc>
          <w:tcPr>
            <w:tcW w:w="3118" w:type="dxa"/>
            <w:tcBorders>
              <w:top w:val="nil"/>
              <w:left w:val="single" w:sz="4" w:space="0" w:color="auto"/>
              <w:right w:val="single" w:sz="4" w:space="0" w:color="auto"/>
            </w:tcBorders>
            <w:shd w:val="clear" w:color="auto" w:fill="auto"/>
            <w:noWrap/>
            <w:vAlign w:val="bottom"/>
          </w:tcPr>
          <w:p w14:paraId="167CE74A" w14:textId="77777777" w:rsidR="0055212D" w:rsidRPr="001D160C" w:rsidRDefault="0055212D" w:rsidP="004B4938">
            <w:pPr>
              <w:pStyle w:val="Tabletext"/>
              <w:jc w:val="center"/>
              <w:rPr>
                <w:lang w:eastAsia="zh-CN"/>
              </w:rPr>
            </w:pPr>
            <w:r w:rsidRPr="001D160C">
              <w:rPr>
                <w:lang w:eastAsia="zh-CN"/>
              </w:rPr>
              <w:t>1/2</w:t>
            </w:r>
          </w:p>
        </w:tc>
      </w:tr>
      <w:tr w:rsidR="0055212D" w:rsidRPr="001D160C" w14:paraId="09AE35D4"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3414E80D" w14:textId="77777777" w:rsidR="0055212D" w:rsidRPr="001D160C" w:rsidRDefault="0055212D" w:rsidP="004B4938">
            <w:pPr>
              <w:pStyle w:val="Tabletext"/>
              <w:rPr>
                <w:rFonts w:cs="Arial"/>
                <w:szCs w:val="22"/>
                <w:lang w:eastAsia="zh-CN"/>
              </w:rPr>
            </w:pPr>
            <w:r w:rsidRPr="001D160C">
              <w:rPr>
                <w:rFonts w:cs="Arial"/>
                <w:szCs w:val="22"/>
                <w:lang w:eastAsia="zh-CN"/>
              </w:rPr>
              <w:t>Islande</w:t>
            </w:r>
          </w:p>
        </w:tc>
        <w:tc>
          <w:tcPr>
            <w:tcW w:w="3118" w:type="dxa"/>
            <w:tcBorders>
              <w:top w:val="nil"/>
              <w:left w:val="single" w:sz="4" w:space="0" w:color="auto"/>
              <w:right w:val="single" w:sz="4" w:space="0" w:color="auto"/>
            </w:tcBorders>
            <w:shd w:val="clear" w:color="auto" w:fill="auto"/>
            <w:noWrap/>
            <w:vAlign w:val="bottom"/>
          </w:tcPr>
          <w:p w14:paraId="2116FB2A"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0074D640"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7B53C900" w14:textId="77777777" w:rsidR="0055212D" w:rsidRPr="001D160C" w:rsidRDefault="0055212D" w:rsidP="004B4938">
            <w:pPr>
              <w:pStyle w:val="Tabletext"/>
              <w:rPr>
                <w:rFonts w:cs="Arial"/>
                <w:szCs w:val="22"/>
                <w:lang w:eastAsia="zh-CN"/>
              </w:rPr>
            </w:pPr>
            <w:r w:rsidRPr="001D160C">
              <w:rPr>
                <w:rFonts w:cs="Arial"/>
                <w:szCs w:val="22"/>
                <w:lang w:eastAsia="zh-CN"/>
              </w:rPr>
              <w:t>Inde</w:t>
            </w:r>
          </w:p>
        </w:tc>
        <w:tc>
          <w:tcPr>
            <w:tcW w:w="3118" w:type="dxa"/>
            <w:tcBorders>
              <w:top w:val="nil"/>
              <w:left w:val="single" w:sz="4" w:space="0" w:color="auto"/>
              <w:right w:val="single" w:sz="4" w:space="0" w:color="auto"/>
            </w:tcBorders>
            <w:shd w:val="clear" w:color="auto" w:fill="auto"/>
            <w:noWrap/>
            <w:vAlign w:val="bottom"/>
          </w:tcPr>
          <w:p w14:paraId="5852EDAC" w14:textId="77777777" w:rsidR="0055212D" w:rsidRPr="001D160C" w:rsidRDefault="0055212D" w:rsidP="004B4938">
            <w:pPr>
              <w:pStyle w:val="Tabletext"/>
              <w:jc w:val="center"/>
              <w:rPr>
                <w:lang w:eastAsia="zh-CN"/>
              </w:rPr>
            </w:pPr>
            <w:r w:rsidRPr="001D160C">
              <w:rPr>
                <w:lang w:eastAsia="zh-CN"/>
              </w:rPr>
              <w:t>10</w:t>
            </w:r>
          </w:p>
        </w:tc>
      </w:tr>
      <w:tr w:rsidR="0055212D" w:rsidRPr="001D160C" w14:paraId="25B7ABFE"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1D4C04E8" w14:textId="77777777" w:rsidR="0055212D" w:rsidRPr="001D160C" w:rsidRDefault="0055212D" w:rsidP="004B4938">
            <w:pPr>
              <w:pStyle w:val="Tabletext"/>
              <w:rPr>
                <w:rFonts w:cs="Arial"/>
                <w:szCs w:val="22"/>
                <w:lang w:eastAsia="zh-CN"/>
              </w:rPr>
            </w:pPr>
            <w:r w:rsidRPr="001D160C">
              <w:rPr>
                <w:rFonts w:cs="Arial"/>
                <w:szCs w:val="22"/>
                <w:lang w:eastAsia="zh-CN"/>
              </w:rPr>
              <w:t>Indonésie</w:t>
            </w:r>
          </w:p>
        </w:tc>
        <w:tc>
          <w:tcPr>
            <w:tcW w:w="3118" w:type="dxa"/>
            <w:tcBorders>
              <w:top w:val="nil"/>
              <w:left w:val="single" w:sz="4" w:space="0" w:color="auto"/>
              <w:right w:val="single" w:sz="4" w:space="0" w:color="auto"/>
            </w:tcBorders>
            <w:shd w:val="clear" w:color="auto" w:fill="auto"/>
            <w:noWrap/>
            <w:vAlign w:val="bottom"/>
          </w:tcPr>
          <w:p w14:paraId="0864FFD8" w14:textId="77777777" w:rsidR="0055212D" w:rsidRPr="001D160C" w:rsidRDefault="0055212D" w:rsidP="004B4938">
            <w:pPr>
              <w:pStyle w:val="Tabletext"/>
              <w:jc w:val="center"/>
              <w:rPr>
                <w:lang w:eastAsia="zh-CN"/>
              </w:rPr>
            </w:pPr>
            <w:r w:rsidRPr="001D160C">
              <w:rPr>
                <w:lang w:eastAsia="zh-CN"/>
              </w:rPr>
              <w:t>1</w:t>
            </w:r>
          </w:p>
        </w:tc>
      </w:tr>
      <w:tr w:rsidR="0055212D" w:rsidRPr="001D160C" w14:paraId="49776419"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124DF90B" w14:textId="77777777" w:rsidR="0055212D" w:rsidRPr="001D160C" w:rsidRDefault="0055212D" w:rsidP="004B4938">
            <w:pPr>
              <w:pStyle w:val="Tabletext"/>
              <w:rPr>
                <w:rFonts w:cs="Arial"/>
                <w:szCs w:val="22"/>
                <w:lang w:eastAsia="zh-CN"/>
              </w:rPr>
            </w:pPr>
            <w:r w:rsidRPr="001D160C">
              <w:rPr>
                <w:rFonts w:cs="Arial"/>
                <w:szCs w:val="22"/>
                <w:lang w:eastAsia="zh-CN"/>
              </w:rPr>
              <w:t>Iran</w:t>
            </w:r>
          </w:p>
        </w:tc>
        <w:tc>
          <w:tcPr>
            <w:tcW w:w="3118" w:type="dxa"/>
            <w:tcBorders>
              <w:top w:val="nil"/>
              <w:left w:val="single" w:sz="4" w:space="0" w:color="auto"/>
              <w:right w:val="single" w:sz="4" w:space="0" w:color="auto"/>
            </w:tcBorders>
            <w:shd w:val="clear" w:color="auto" w:fill="auto"/>
            <w:noWrap/>
            <w:vAlign w:val="bottom"/>
          </w:tcPr>
          <w:p w14:paraId="5457DAF2" w14:textId="77777777" w:rsidR="0055212D" w:rsidRPr="001D160C" w:rsidRDefault="0055212D" w:rsidP="004B4938">
            <w:pPr>
              <w:pStyle w:val="Tabletext"/>
              <w:jc w:val="center"/>
              <w:rPr>
                <w:lang w:eastAsia="zh-CN"/>
              </w:rPr>
            </w:pPr>
            <w:r w:rsidRPr="001D160C">
              <w:rPr>
                <w:lang w:eastAsia="zh-CN"/>
              </w:rPr>
              <w:t>1</w:t>
            </w:r>
          </w:p>
        </w:tc>
      </w:tr>
      <w:tr w:rsidR="0055212D" w:rsidRPr="001D160C" w14:paraId="3A75D65E"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0447DDB7" w14:textId="77777777" w:rsidR="0055212D" w:rsidRPr="001D160C" w:rsidRDefault="0055212D" w:rsidP="004B4938">
            <w:pPr>
              <w:pStyle w:val="Tabletext"/>
              <w:rPr>
                <w:rFonts w:cs="Arial"/>
                <w:szCs w:val="22"/>
                <w:lang w:eastAsia="zh-CN"/>
              </w:rPr>
            </w:pPr>
            <w:r w:rsidRPr="001D160C">
              <w:rPr>
                <w:rFonts w:cs="Arial"/>
                <w:szCs w:val="22"/>
                <w:lang w:eastAsia="zh-CN"/>
              </w:rPr>
              <w:t>Iraq</w:t>
            </w:r>
          </w:p>
        </w:tc>
        <w:tc>
          <w:tcPr>
            <w:tcW w:w="3118" w:type="dxa"/>
            <w:tcBorders>
              <w:top w:val="nil"/>
              <w:left w:val="single" w:sz="4" w:space="0" w:color="auto"/>
              <w:right w:val="single" w:sz="4" w:space="0" w:color="auto"/>
            </w:tcBorders>
            <w:shd w:val="clear" w:color="auto" w:fill="auto"/>
            <w:noWrap/>
            <w:vAlign w:val="bottom"/>
          </w:tcPr>
          <w:p w14:paraId="541165A9" w14:textId="77777777" w:rsidR="0055212D" w:rsidRPr="001D160C" w:rsidRDefault="0055212D" w:rsidP="004B4938">
            <w:pPr>
              <w:pStyle w:val="Tabletext"/>
              <w:jc w:val="center"/>
              <w:rPr>
                <w:lang w:eastAsia="zh-CN"/>
              </w:rPr>
            </w:pPr>
            <w:r w:rsidRPr="001D160C">
              <w:rPr>
                <w:lang w:eastAsia="zh-CN"/>
              </w:rPr>
              <w:t>1</w:t>
            </w:r>
          </w:p>
        </w:tc>
      </w:tr>
      <w:tr w:rsidR="0055212D" w:rsidRPr="001D160C" w14:paraId="31408D7C"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55ADA30C" w14:textId="77777777" w:rsidR="0055212D" w:rsidRPr="001D160C" w:rsidRDefault="0055212D" w:rsidP="004B4938">
            <w:pPr>
              <w:pStyle w:val="Tabletext"/>
              <w:rPr>
                <w:rFonts w:cs="Arial"/>
                <w:szCs w:val="22"/>
                <w:lang w:eastAsia="zh-CN"/>
              </w:rPr>
            </w:pPr>
            <w:r w:rsidRPr="001D160C">
              <w:rPr>
                <w:rFonts w:cs="Arial"/>
                <w:szCs w:val="22"/>
                <w:lang w:eastAsia="zh-CN"/>
              </w:rPr>
              <w:t xml:space="preserve">Irlande </w:t>
            </w:r>
          </w:p>
        </w:tc>
        <w:tc>
          <w:tcPr>
            <w:tcW w:w="3118" w:type="dxa"/>
            <w:tcBorders>
              <w:top w:val="nil"/>
              <w:left w:val="single" w:sz="4" w:space="0" w:color="auto"/>
              <w:right w:val="single" w:sz="4" w:space="0" w:color="auto"/>
            </w:tcBorders>
            <w:shd w:val="clear" w:color="auto" w:fill="auto"/>
            <w:noWrap/>
            <w:vAlign w:val="bottom"/>
          </w:tcPr>
          <w:p w14:paraId="0154E778" w14:textId="77777777" w:rsidR="0055212D" w:rsidRPr="001D160C" w:rsidRDefault="0055212D" w:rsidP="004B4938">
            <w:pPr>
              <w:pStyle w:val="Tabletext"/>
              <w:jc w:val="center"/>
              <w:rPr>
                <w:lang w:eastAsia="zh-CN"/>
              </w:rPr>
            </w:pPr>
            <w:r w:rsidRPr="001D160C">
              <w:rPr>
                <w:lang w:eastAsia="zh-CN"/>
              </w:rPr>
              <w:t>2</w:t>
            </w:r>
          </w:p>
        </w:tc>
      </w:tr>
      <w:tr w:rsidR="0055212D" w:rsidRPr="001D160C" w14:paraId="7148E808"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noWrap/>
            <w:vAlign w:val="bottom"/>
          </w:tcPr>
          <w:p w14:paraId="14808BF1" w14:textId="77777777" w:rsidR="0055212D" w:rsidRPr="001D160C" w:rsidRDefault="0055212D" w:rsidP="004B4938">
            <w:pPr>
              <w:pStyle w:val="Tabletext"/>
              <w:rPr>
                <w:rFonts w:cs="Arial"/>
                <w:szCs w:val="22"/>
                <w:lang w:eastAsia="zh-CN"/>
              </w:rPr>
            </w:pPr>
            <w:r w:rsidRPr="001D160C">
              <w:rPr>
                <w:rFonts w:cs="Arial"/>
                <w:szCs w:val="22"/>
                <w:lang w:eastAsia="zh-CN"/>
              </w:rPr>
              <w:t>Israël</w:t>
            </w:r>
          </w:p>
        </w:tc>
        <w:tc>
          <w:tcPr>
            <w:tcW w:w="3118" w:type="dxa"/>
            <w:tcBorders>
              <w:top w:val="nil"/>
              <w:left w:val="single" w:sz="4" w:space="0" w:color="auto"/>
              <w:bottom w:val="nil"/>
              <w:right w:val="single" w:sz="4" w:space="0" w:color="auto"/>
            </w:tcBorders>
            <w:shd w:val="clear" w:color="auto" w:fill="auto"/>
            <w:noWrap/>
            <w:vAlign w:val="bottom"/>
          </w:tcPr>
          <w:p w14:paraId="22855CE1" w14:textId="77777777" w:rsidR="0055212D" w:rsidRPr="001D160C" w:rsidRDefault="0055212D" w:rsidP="004B4938">
            <w:pPr>
              <w:pStyle w:val="Tabletext"/>
              <w:jc w:val="center"/>
              <w:rPr>
                <w:lang w:eastAsia="zh-CN"/>
              </w:rPr>
            </w:pPr>
            <w:r w:rsidRPr="001D160C">
              <w:rPr>
                <w:lang w:eastAsia="zh-CN"/>
              </w:rPr>
              <w:t>1</w:t>
            </w:r>
          </w:p>
        </w:tc>
      </w:tr>
      <w:tr w:rsidR="0055212D" w:rsidRPr="001D160C" w14:paraId="0F820D01"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14FA7D9F" w14:textId="77777777" w:rsidR="0055212D" w:rsidRPr="001D160C" w:rsidRDefault="0055212D" w:rsidP="004B4938">
            <w:pPr>
              <w:pStyle w:val="Tabletext"/>
              <w:rPr>
                <w:rFonts w:cs="Arial"/>
                <w:szCs w:val="22"/>
                <w:lang w:eastAsia="zh-CN"/>
              </w:rPr>
            </w:pPr>
            <w:r w:rsidRPr="001D160C">
              <w:rPr>
                <w:rFonts w:cs="Arial"/>
                <w:szCs w:val="22"/>
                <w:lang w:eastAsia="zh-CN"/>
              </w:rPr>
              <w:t>Italie</w:t>
            </w:r>
          </w:p>
        </w:tc>
        <w:tc>
          <w:tcPr>
            <w:tcW w:w="3118" w:type="dxa"/>
            <w:tcBorders>
              <w:top w:val="nil"/>
              <w:left w:val="single" w:sz="4" w:space="0" w:color="auto"/>
              <w:right w:val="single" w:sz="4" w:space="0" w:color="auto"/>
            </w:tcBorders>
            <w:shd w:val="clear" w:color="auto" w:fill="auto"/>
            <w:noWrap/>
            <w:vAlign w:val="bottom"/>
          </w:tcPr>
          <w:p w14:paraId="68B1FE9F" w14:textId="77777777" w:rsidR="0055212D" w:rsidRPr="001D160C" w:rsidRDefault="0055212D" w:rsidP="004B4938">
            <w:pPr>
              <w:pStyle w:val="Tabletext"/>
              <w:jc w:val="center"/>
              <w:rPr>
                <w:lang w:eastAsia="zh-CN"/>
              </w:rPr>
            </w:pPr>
            <w:r w:rsidRPr="001D160C">
              <w:rPr>
                <w:lang w:eastAsia="zh-CN"/>
              </w:rPr>
              <w:t>15</w:t>
            </w:r>
          </w:p>
        </w:tc>
      </w:tr>
      <w:tr w:rsidR="0055212D" w:rsidRPr="001D160C" w14:paraId="08038259"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0B39A0C7" w14:textId="77777777" w:rsidR="0055212D" w:rsidRPr="001D160C" w:rsidRDefault="0055212D" w:rsidP="004B4938">
            <w:pPr>
              <w:pStyle w:val="Tabletext"/>
              <w:rPr>
                <w:rFonts w:cs="Arial"/>
                <w:szCs w:val="22"/>
                <w:lang w:eastAsia="zh-CN"/>
              </w:rPr>
            </w:pPr>
            <w:r w:rsidRPr="001D160C">
              <w:rPr>
                <w:rFonts w:cs="Arial"/>
                <w:szCs w:val="22"/>
                <w:lang w:eastAsia="zh-CN"/>
              </w:rPr>
              <w:t>Jamaïque</w:t>
            </w:r>
          </w:p>
        </w:tc>
        <w:tc>
          <w:tcPr>
            <w:tcW w:w="3118" w:type="dxa"/>
            <w:tcBorders>
              <w:top w:val="nil"/>
              <w:left w:val="single" w:sz="4" w:space="0" w:color="auto"/>
              <w:right w:val="single" w:sz="4" w:space="0" w:color="auto"/>
            </w:tcBorders>
            <w:shd w:val="clear" w:color="auto" w:fill="auto"/>
            <w:noWrap/>
            <w:vAlign w:val="bottom"/>
          </w:tcPr>
          <w:p w14:paraId="3CD9BBB9"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08ED66A6"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09AC5784" w14:textId="77777777" w:rsidR="0055212D" w:rsidRPr="001D160C" w:rsidRDefault="0055212D" w:rsidP="004B4938">
            <w:pPr>
              <w:pStyle w:val="Tabletext"/>
              <w:rPr>
                <w:rFonts w:cs="Arial"/>
                <w:szCs w:val="22"/>
                <w:lang w:eastAsia="zh-CN"/>
              </w:rPr>
            </w:pPr>
            <w:r w:rsidRPr="001D160C">
              <w:rPr>
                <w:rFonts w:cs="Arial"/>
                <w:szCs w:val="22"/>
                <w:lang w:eastAsia="zh-CN"/>
              </w:rPr>
              <w:t>Japon</w:t>
            </w:r>
          </w:p>
        </w:tc>
        <w:tc>
          <w:tcPr>
            <w:tcW w:w="3118" w:type="dxa"/>
            <w:tcBorders>
              <w:top w:val="nil"/>
              <w:left w:val="single" w:sz="4" w:space="0" w:color="auto"/>
              <w:right w:val="single" w:sz="4" w:space="0" w:color="auto"/>
            </w:tcBorders>
            <w:shd w:val="clear" w:color="auto" w:fill="auto"/>
            <w:noWrap/>
            <w:vAlign w:val="bottom"/>
          </w:tcPr>
          <w:p w14:paraId="33A62BDC" w14:textId="77777777" w:rsidR="0055212D" w:rsidRPr="001D160C" w:rsidRDefault="0055212D" w:rsidP="004B4938">
            <w:pPr>
              <w:pStyle w:val="Tabletext"/>
              <w:jc w:val="center"/>
              <w:rPr>
                <w:lang w:eastAsia="zh-CN"/>
              </w:rPr>
            </w:pPr>
            <w:r w:rsidRPr="001D160C">
              <w:rPr>
                <w:lang w:eastAsia="zh-CN"/>
              </w:rPr>
              <w:t>30</w:t>
            </w:r>
          </w:p>
        </w:tc>
      </w:tr>
      <w:tr w:rsidR="0055212D" w:rsidRPr="001D160C" w14:paraId="5A637C09"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1687ABF9" w14:textId="77777777" w:rsidR="0055212D" w:rsidRPr="001D160C" w:rsidRDefault="0055212D" w:rsidP="004B4938">
            <w:pPr>
              <w:pStyle w:val="Tabletext"/>
              <w:rPr>
                <w:rFonts w:cs="Arial"/>
                <w:szCs w:val="22"/>
                <w:lang w:eastAsia="zh-CN"/>
              </w:rPr>
            </w:pPr>
            <w:r w:rsidRPr="001D160C">
              <w:rPr>
                <w:rFonts w:cs="Arial"/>
                <w:szCs w:val="22"/>
                <w:lang w:eastAsia="zh-CN"/>
              </w:rPr>
              <w:t>Jordanie</w:t>
            </w:r>
          </w:p>
        </w:tc>
        <w:tc>
          <w:tcPr>
            <w:tcW w:w="3118" w:type="dxa"/>
            <w:tcBorders>
              <w:top w:val="nil"/>
              <w:left w:val="single" w:sz="4" w:space="0" w:color="auto"/>
              <w:right w:val="single" w:sz="4" w:space="0" w:color="auto"/>
            </w:tcBorders>
            <w:shd w:val="clear" w:color="auto" w:fill="auto"/>
            <w:noWrap/>
            <w:vAlign w:val="bottom"/>
          </w:tcPr>
          <w:p w14:paraId="6DDD35BD" w14:textId="77777777" w:rsidR="0055212D" w:rsidRPr="001D160C" w:rsidRDefault="0055212D" w:rsidP="004B4938">
            <w:pPr>
              <w:pStyle w:val="Tabletext"/>
              <w:jc w:val="center"/>
              <w:rPr>
                <w:lang w:eastAsia="zh-CN"/>
              </w:rPr>
            </w:pPr>
            <w:r w:rsidRPr="001D160C">
              <w:rPr>
                <w:lang w:eastAsia="zh-CN"/>
              </w:rPr>
              <w:t>1/2</w:t>
            </w:r>
          </w:p>
        </w:tc>
      </w:tr>
      <w:tr w:rsidR="0055212D" w:rsidRPr="001D160C" w14:paraId="76459053"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359A4029" w14:textId="77777777" w:rsidR="0055212D" w:rsidRPr="001D160C" w:rsidRDefault="0055212D" w:rsidP="004B4938">
            <w:pPr>
              <w:pStyle w:val="Tabletext"/>
              <w:rPr>
                <w:rFonts w:cs="Arial"/>
                <w:szCs w:val="22"/>
                <w:lang w:eastAsia="zh-CN"/>
              </w:rPr>
            </w:pPr>
            <w:r w:rsidRPr="001D160C">
              <w:rPr>
                <w:rFonts w:cs="Arial"/>
                <w:szCs w:val="22"/>
                <w:lang w:eastAsia="zh-CN"/>
              </w:rPr>
              <w:t>Kazakhstan</w:t>
            </w:r>
          </w:p>
        </w:tc>
        <w:tc>
          <w:tcPr>
            <w:tcW w:w="3118" w:type="dxa"/>
            <w:tcBorders>
              <w:top w:val="nil"/>
              <w:left w:val="single" w:sz="4" w:space="0" w:color="auto"/>
              <w:right w:val="single" w:sz="4" w:space="0" w:color="auto"/>
            </w:tcBorders>
            <w:shd w:val="clear" w:color="auto" w:fill="auto"/>
            <w:noWrap/>
            <w:vAlign w:val="bottom"/>
          </w:tcPr>
          <w:p w14:paraId="799C2508" w14:textId="77777777" w:rsidR="0055212D" w:rsidRPr="001D160C" w:rsidRDefault="0055212D" w:rsidP="004B4938">
            <w:pPr>
              <w:pStyle w:val="Tabletext"/>
              <w:jc w:val="center"/>
              <w:rPr>
                <w:lang w:eastAsia="zh-CN"/>
              </w:rPr>
            </w:pPr>
            <w:r w:rsidRPr="001D160C">
              <w:rPr>
                <w:lang w:eastAsia="zh-CN"/>
              </w:rPr>
              <w:t>1/2</w:t>
            </w:r>
          </w:p>
        </w:tc>
      </w:tr>
      <w:tr w:rsidR="0055212D" w:rsidRPr="001D160C" w14:paraId="2869E461"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65BEBA0F" w14:textId="77777777" w:rsidR="0055212D" w:rsidRPr="001D160C" w:rsidRDefault="0055212D" w:rsidP="004B4938">
            <w:pPr>
              <w:pStyle w:val="Tabletext"/>
              <w:rPr>
                <w:rFonts w:cs="Arial"/>
                <w:szCs w:val="22"/>
                <w:lang w:eastAsia="zh-CN"/>
              </w:rPr>
            </w:pPr>
            <w:r w:rsidRPr="001D160C">
              <w:rPr>
                <w:rFonts w:cs="Arial"/>
                <w:szCs w:val="22"/>
                <w:lang w:eastAsia="zh-CN"/>
              </w:rPr>
              <w:t>Kenya</w:t>
            </w:r>
          </w:p>
        </w:tc>
        <w:tc>
          <w:tcPr>
            <w:tcW w:w="3118" w:type="dxa"/>
            <w:tcBorders>
              <w:top w:val="nil"/>
              <w:left w:val="single" w:sz="4" w:space="0" w:color="auto"/>
              <w:right w:val="single" w:sz="4" w:space="0" w:color="auto"/>
            </w:tcBorders>
            <w:shd w:val="clear" w:color="auto" w:fill="auto"/>
            <w:noWrap/>
            <w:vAlign w:val="bottom"/>
          </w:tcPr>
          <w:p w14:paraId="60F4BFAB" w14:textId="77777777" w:rsidR="0055212D" w:rsidRPr="001D160C" w:rsidRDefault="0055212D" w:rsidP="004B4938">
            <w:pPr>
              <w:pStyle w:val="Tabletext"/>
              <w:jc w:val="center"/>
              <w:rPr>
                <w:lang w:eastAsia="zh-CN"/>
              </w:rPr>
            </w:pPr>
            <w:r w:rsidRPr="001D160C">
              <w:rPr>
                <w:lang w:eastAsia="zh-CN"/>
              </w:rPr>
              <w:t>1</w:t>
            </w:r>
          </w:p>
        </w:tc>
      </w:tr>
      <w:tr w:rsidR="0055212D" w:rsidRPr="001D160C" w14:paraId="4223C07B"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016B2E3D" w14:textId="77777777" w:rsidR="0055212D" w:rsidRPr="001D160C" w:rsidRDefault="0055212D" w:rsidP="004B4938">
            <w:pPr>
              <w:pStyle w:val="Tabletext"/>
              <w:rPr>
                <w:rFonts w:cs="Arial"/>
                <w:szCs w:val="22"/>
                <w:lang w:eastAsia="zh-CN"/>
              </w:rPr>
            </w:pPr>
            <w:r w:rsidRPr="001D160C">
              <w:rPr>
                <w:rFonts w:cs="Arial"/>
                <w:szCs w:val="22"/>
                <w:lang w:eastAsia="zh-CN"/>
              </w:rPr>
              <w:t>Kiribati</w:t>
            </w:r>
          </w:p>
        </w:tc>
        <w:tc>
          <w:tcPr>
            <w:tcW w:w="3118" w:type="dxa"/>
            <w:tcBorders>
              <w:top w:val="nil"/>
              <w:left w:val="single" w:sz="4" w:space="0" w:color="auto"/>
              <w:right w:val="single" w:sz="4" w:space="0" w:color="auto"/>
            </w:tcBorders>
            <w:shd w:val="clear" w:color="auto" w:fill="auto"/>
            <w:noWrap/>
            <w:vAlign w:val="bottom"/>
          </w:tcPr>
          <w:p w14:paraId="07D99B34"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2DBCD9D8"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709C0290" w14:textId="77777777" w:rsidR="0055212D" w:rsidRPr="001D160C" w:rsidRDefault="0055212D" w:rsidP="004B4938">
            <w:pPr>
              <w:pStyle w:val="Tabletext"/>
              <w:rPr>
                <w:rFonts w:cs="Arial"/>
                <w:szCs w:val="22"/>
                <w:lang w:eastAsia="zh-CN"/>
              </w:rPr>
            </w:pPr>
            <w:r w:rsidRPr="001D160C">
              <w:rPr>
                <w:rFonts w:cs="Arial"/>
                <w:szCs w:val="22"/>
                <w:lang w:eastAsia="zh-CN"/>
              </w:rPr>
              <w:t>Corée (République de)</w:t>
            </w:r>
          </w:p>
        </w:tc>
        <w:tc>
          <w:tcPr>
            <w:tcW w:w="3118" w:type="dxa"/>
            <w:tcBorders>
              <w:top w:val="nil"/>
              <w:left w:val="single" w:sz="4" w:space="0" w:color="auto"/>
              <w:right w:val="single" w:sz="4" w:space="0" w:color="auto"/>
            </w:tcBorders>
            <w:shd w:val="clear" w:color="auto" w:fill="auto"/>
            <w:noWrap/>
            <w:vAlign w:val="bottom"/>
          </w:tcPr>
          <w:p w14:paraId="2C1B4899" w14:textId="77777777" w:rsidR="0055212D" w:rsidRPr="001D160C" w:rsidRDefault="0055212D" w:rsidP="004B4938">
            <w:pPr>
              <w:pStyle w:val="Tabletext"/>
              <w:jc w:val="center"/>
              <w:rPr>
                <w:lang w:eastAsia="zh-CN"/>
              </w:rPr>
            </w:pPr>
            <w:r w:rsidRPr="001D160C">
              <w:rPr>
                <w:lang w:eastAsia="zh-CN"/>
              </w:rPr>
              <w:t>10</w:t>
            </w:r>
          </w:p>
        </w:tc>
      </w:tr>
      <w:tr w:rsidR="0055212D" w:rsidRPr="001D160C" w14:paraId="06140E51"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40FDF927" w14:textId="77777777" w:rsidR="0055212D" w:rsidRPr="001D160C" w:rsidRDefault="0055212D" w:rsidP="004B4938">
            <w:pPr>
              <w:pStyle w:val="Tabletext"/>
              <w:rPr>
                <w:rFonts w:cs="Arial"/>
                <w:szCs w:val="22"/>
                <w:lang w:eastAsia="zh-CN"/>
              </w:rPr>
            </w:pPr>
            <w:r w:rsidRPr="001D160C">
              <w:rPr>
                <w:rFonts w:cs="Arial"/>
                <w:szCs w:val="22"/>
                <w:lang w:eastAsia="zh-CN"/>
              </w:rPr>
              <w:t>Koweït</w:t>
            </w:r>
          </w:p>
        </w:tc>
        <w:tc>
          <w:tcPr>
            <w:tcW w:w="3118" w:type="dxa"/>
            <w:tcBorders>
              <w:top w:val="nil"/>
              <w:left w:val="single" w:sz="4" w:space="0" w:color="auto"/>
              <w:right w:val="single" w:sz="4" w:space="0" w:color="auto"/>
            </w:tcBorders>
            <w:shd w:val="clear" w:color="auto" w:fill="auto"/>
            <w:noWrap/>
            <w:vAlign w:val="bottom"/>
          </w:tcPr>
          <w:p w14:paraId="6A4C2428" w14:textId="77777777" w:rsidR="0055212D" w:rsidRPr="001D160C" w:rsidRDefault="0055212D" w:rsidP="004B4938">
            <w:pPr>
              <w:pStyle w:val="Tabletext"/>
              <w:jc w:val="center"/>
              <w:rPr>
                <w:lang w:eastAsia="zh-CN"/>
              </w:rPr>
            </w:pPr>
            <w:r w:rsidRPr="001D160C">
              <w:rPr>
                <w:lang w:eastAsia="zh-CN"/>
              </w:rPr>
              <w:t>5</w:t>
            </w:r>
          </w:p>
        </w:tc>
      </w:tr>
      <w:tr w:rsidR="0055212D" w:rsidRPr="001D160C" w14:paraId="2191FD50"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4A75EF99" w14:textId="77777777" w:rsidR="0055212D" w:rsidRPr="001D160C" w:rsidRDefault="0055212D" w:rsidP="004B4938">
            <w:pPr>
              <w:pStyle w:val="Tabletext"/>
              <w:rPr>
                <w:rFonts w:cs="Arial"/>
                <w:szCs w:val="22"/>
                <w:lang w:eastAsia="zh-CN"/>
              </w:rPr>
            </w:pPr>
            <w:r w:rsidRPr="001D160C">
              <w:rPr>
                <w:rFonts w:cs="Arial"/>
                <w:szCs w:val="22"/>
                <w:lang w:eastAsia="zh-CN"/>
              </w:rPr>
              <w:t>Kirghizistan</w:t>
            </w:r>
          </w:p>
        </w:tc>
        <w:tc>
          <w:tcPr>
            <w:tcW w:w="3118" w:type="dxa"/>
            <w:tcBorders>
              <w:top w:val="nil"/>
              <w:left w:val="single" w:sz="4" w:space="0" w:color="auto"/>
              <w:right w:val="single" w:sz="4" w:space="0" w:color="auto"/>
            </w:tcBorders>
            <w:shd w:val="clear" w:color="auto" w:fill="auto"/>
            <w:noWrap/>
            <w:vAlign w:val="bottom"/>
          </w:tcPr>
          <w:p w14:paraId="2975A6F0"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40E55391"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78AF9B69" w14:textId="77777777" w:rsidR="0055212D" w:rsidRPr="001D160C" w:rsidRDefault="0055212D" w:rsidP="004B4938">
            <w:pPr>
              <w:pStyle w:val="Tabletext"/>
              <w:rPr>
                <w:rFonts w:cs="Arial"/>
                <w:szCs w:val="22"/>
                <w:lang w:eastAsia="zh-CN"/>
              </w:rPr>
            </w:pPr>
            <w:r w:rsidRPr="001D160C">
              <w:rPr>
                <w:rFonts w:cs="Arial"/>
                <w:szCs w:val="22"/>
                <w:lang w:eastAsia="zh-CN"/>
              </w:rPr>
              <w:t>République démocratique populaire Lao</w:t>
            </w:r>
          </w:p>
        </w:tc>
        <w:tc>
          <w:tcPr>
            <w:tcW w:w="3118" w:type="dxa"/>
            <w:tcBorders>
              <w:top w:val="nil"/>
              <w:left w:val="single" w:sz="4" w:space="0" w:color="auto"/>
              <w:right w:val="single" w:sz="4" w:space="0" w:color="auto"/>
            </w:tcBorders>
            <w:shd w:val="clear" w:color="auto" w:fill="auto"/>
            <w:noWrap/>
            <w:vAlign w:val="bottom"/>
          </w:tcPr>
          <w:p w14:paraId="03E9F193"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07C34AA1"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38C3C03C" w14:textId="77777777" w:rsidR="0055212D" w:rsidRPr="001D160C" w:rsidRDefault="0055212D" w:rsidP="004B4938">
            <w:pPr>
              <w:pStyle w:val="Tabletext"/>
              <w:rPr>
                <w:rFonts w:cs="Arial"/>
                <w:szCs w:val="22"/>
                <w:lang w:eastAsia="zh-CN"/>
              </w:rPr>
            </w:pPr>
            <w:r w:rsidRPr="001D160C">
              <w:rPr>
                <w:rFonts w:cs="Arial"/>
                <w:szCs w:val="22"/>
                <w:lang w:eastAsia="zh-CN"/>
              </w:rPr>
              <w:t>Lettonie</w:t>
            </w:r>
          </w:p>
        </w:tc>
        <w:tc>
          <w:tcPr>
            <w:tcW w:w="3118" w:type="dxa"/>
            <w:tcBorders>
              <w:top w:val="nil"/>
              <w:left w:val="single" w:sz="4" w:space="0" w:color="auto"/>
              <w:right w:val="single" w:sz="4" w:space="0" w:color="auto"/>
            </w:tcBorders>
            <w:shd w:val="clear" w:color="auto" w:fill="auto"/>
            <w:noWrap/>
            <w:vAlign w:val="bottom"/>
          </w:tcPr>
          <w:p w14:paraId="48B2A07A"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7127F550"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6A12C1F3" w14:textId="77777777" w:rsidR="0055212D" w:rsidRPr="001D160C" w:rsidRDefault="0055212D" w:rsidP="004B4938">
            <w:pPr>
              <w:pStyle w:val="Tabletext"/>
              <w:rPr>
                <w:rFonts w:cs="Arial"/>
                <w:szCs w:val="22"/>
                <w:lang w:eastAsia="zh-CN"/>
              </w:rPr>
            </w:pPr>
            <w:r w:rsidRPr="001D160C">
              <w:rPr>
                <w:rFonts w:cs="Arial"/>
                <w:szCs w:val="22"/>
                <w:lang w:eastAsia="zh-CN"/>
              </w:rPr>
              <w:t xml:space="preserve">Liban </w:t>
            </w:r>
          </w:p>
        </w:tc>
        <w:tc>
          <w:tcPr>
            <w:tcW w:w="3118" w:type="dxa"/>
            <w:tcBorders>
              <w:top w:val="nil"/>
              <w:left w:val="single" w:sz="4" w:space="0" w:color="auto"/>
              <w:right w:val="single" w:sz="4" w:space="0" w:color="auto"/>
            </w:tcBorders>
            <w:shd w:val="clear" w:color="auto" w:fill="auto"/>
            <w:noWrap/>
            <w:vAlign w:val="bottom"/>
          </w:tcPr>
          <w:p w14:paraId="6CA781B5"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6164E976"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24FAE1F2" w14:textId="77777777" w:rsidR="0055212D" w:rsidRPr="001D160C" w:rsidRDefault="0055212D" w:rsidP="004B4938">
            <w:pPr>
              <w:pStyle w:val="Tabletext"/>
              <w:rPr>
                <w:rFonts w:cs="Arial"/>
                <w:szCs w:val="22"/>
                <w:lang w:eastAsia="zh-CN"/>
              </w:rPr>
            </w:pPr>
            <w:r w:rsidRPr="001D160C">
              <w:rPr>
                <w:rFonts w:cs="Arial"/>
                <w:szCs w:val="22"/>
                <w:lang w:eastAsia="zh-CN"/>
              </w:rPr>
              <w:t>Lesotho</w:t>
            </w:r>
          </w:p>
        </w:tc>
        <w:tc>
          <w:tcPr>
            <w:tcW w:w="3118" w:type="dxa"/>
            <w:tcBorders>
              <w:top w:val="nil"/>
              <w:left w:val="single" w:sz="4" w:space="0" w:color="auto"/>
              <w:right w:val="single" w:sz="4" w:space="0" w:color="auto"/>
            </w:tcBorders>
            <w:shd w:val="clear" w:color="auto" w:fill="auto"/>
            <w:noWrap/>
            <w:vAlign w:val="bottom"/>
          </w:tcPr>
          <w:p w14:paraId="47BAB956"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224D56D8"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775D502C" w14:textId="77777777" w:rsidR="0055212D" w:rsidRPr="001D160C" w:rsidRDefault="0055212D" w:rsidP="004B4938">
            <w:pPr>
              <w:pStyle w:val="Tabletext"/>
              <w:rPr>
                <w:rFonts w:cs="Arial"/>
                <w:szCs w:val="22"/>
                <w:lang w:eastAsia="zh-CN"/>
              </w:rPr>
            </w:pPr>
            <w:r w:rsidRPr="001D160C">
              <w:rPr>
                <w:rFonts w:cs="Arial"/>
                <w:szCs w:val="22"/>
                <w:lang w:eastAsia="zh-CN"/>
              </w:rPr>
              <w:lastRenderedPageBreak/>
              <w:t>Libéria</w:t>
            </w:r>
          </w:p>
        </w:tc>
        <w:tc>
          <w:tcPr>
            <w:tcW w:w="3118" w:type="dxa"/>
            <w:tcBorders>
              <w:top w:val="nil"/>
              <w:left w:val="single" w:sz="4" w:space="0" w:color="auto"/>
              <w:right w:val="single" w:sz="4" w:space="0" w:color="auto"/>
            </w:tcBorders>
            <w:shd w:val="clear" w:color="auto" w:fill="auto"/>
            <w:noWrap/>
            <w:vAlign w:val="bottom"/>
          </w:tcPr>
          <w:p w14:paraId="51D98EEF"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708F0AF0"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0C096527" w14:textId="20FAC999" w:rsidR="0055212D" w:rsidRPr="001D160C" w:rsidRDefault="004E3F3A" w:rsidP="004B4938">
            <w:pPr>
              <w:pStyle w:val="Tabletext"/>
              <w:rPr>
                <w:rFonts w:cs="Arial"/>
                <w:szCs w:val="22"/>
                <w:lang w:eastAsia="zh-CN"/>
              </w:rPr>
            </w:pPr>
            <w:r>
              <w:rPr>
                <w:rFonts w:cs="Arial"/>
                <w:szCs w:val="22"/>
                <w:lang w:eastAsia="zh-CN"/>
              </w:rPr>
              <w:t>L</w:t>
            </w:r>
            <w:r w:rsidR="0055212D" w:rsidRPr="001D160C">
              <w:rPr>
                <w:rFonts w:cs="Arial"/>
                <w:szCs w:val="22"/>
                <w:lang w:eastAsia="zh-CN"/>
              </w:rPr>
              <w:t>ibye</w:t>
            </w:r>
          </w:p>
        </w:tc>
        <w:tc>
          <w:tcPr>
            <w:tcW w:w="3118" w:type="dxa"/>
            <w:tcBorders>
              <w:top w:val="nil"/>
              <w:left w:val="single" w:sz="4" w:space="0" w:color="auto"/>
              <w:right w:val="single" w:sz="4" w:space="0" w:color="auto"/>
            </w:tcBorders>
            <w:shd w:val="clear" w:color="auto" w:fill="auto"/>
            <w:noWrap/>
            <w:vAlign w:val="bottom"/>
          </w:tcPr>
          <w:p w14:paraId="5F7A43FC"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2A3B8670"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3AA384B6" w14:textId="77777777" w:rsidR="0055212D" w:rsidRPr="001D160C" w:rsidRDefault="0055212D" w:rsidP="004B4938">
            <w:pPr>
              <w:pStyle w:val="Tabletext"/>
              <w:rPr>
                <w:rFonts w:cs="Arial"/>
                <w:szCs w:val="22"/>
                <w:lang w:eastAsia="zh-CN"/>
              </w:rPr>
            </w:pPr>
            <w:r w:rsidRPr="001D160C">
              <w:rPr>
                <w:rFonts w:cs="Arial"/>
                <w:szCs w:val="22"/>
                <w:lang w:eastAsia="zh-CN"/>
              </w:rPr>
              <w:t>Liechtenstein</w:t>
            </w:r>
          </w:p>
        </w:tc>
        <w:tc>
          <w:tcPr>
            <w:tcW w:w="3118" w:type="dxa"/>
            <w:tcBorders>
              <w:top w:val="nil"/>
              <w:left w:val="single" w:sz="4" w:space="0" w:color="auto"/>
              <w:right w:val="single" w:sz="4" w:space="0" w:color="auto"/>
            </w:tcBorders>
            <w:shd w:val="clear" w:color="auto" w:fill="auto"/>
            <w:noWrap/>
            <w:vAlign w:val="bottom"/>
          </w:tcPr>
          <w:p w14:paraId="2E2706C5" w14:textId="77777777" w:rsidR="0055212D" w:rsidRPr="001D160C" w:rsidRDefault="0055212D" w:rsidP="004B4938">
            <w:pPr>
              <w:pStyle w:val="Tabletext"/>
              <w:jc w:val="center"/>
              <w:rPr>
                <w:lang w:eastAsia="zh-CN"/>
              </w:rPr>
            </w:pPr>
            <w:r w:rsidRPr="001D160C">
              <w:rPr>
                <w:lang w:eastAsia="zh-CN"/>
              </w:rPr>
              <w:t>1/2</w:t>
            </w:r>
          </w:p>
        </w:tc>
      </w:tr>
      <w:tr w:rsidR="0055212D" w:rsidRPr="001D160C" w14:paraId="69CF1BC6"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48A14C7B" w14:textId="77777777" w:rsidR="0055212D" w:rsidRPr="001D160C" w:rsidRDefault="0055212D" w:rsidP="004B4938">
            <w:pPr>
              <w:pStyle w:val="Tabletext"/>
              <w:rPr>
                <w:rFonts w:cs="Arial"/>
                <w:szCs w:val="22"/>
                <w:lang w:eastAsia="zh-CN"/>
              </w:rPr>
            </w:pPr>
            <w:r w:rsidRPr="001D160C">
              <w:rPr>
                <w:rFonts w:cs="Arial"/>
                <w:szCs w:val="22"/>
                <w:lang w:eastAsia="zh-CN"/>
              </w:rPr>
              <w:t>Lituanie</w:t>
            </w:r>
          </w:p>
        </w:tc>
        <w:tc>
          <w:tcPr>
            <w:tcW w:w="3118" w:type="dxa"/>
            <w:tcBorders>
              <w:top w:val="nil"/>
              <w:left w:val="single" w:sz="4" w:space="0" w:color="auto"/>
              <w:right w:val="single" w:sz="4" w:space="0" w:color="auto"/>
            </w:tcBorders>
            <w:shd w:val="clear" w:color="auto" w:fill="auto"/>
            <w:noWrap/>
            <w:vAlign w:val="bottom"/>
          </w:tcPr>
          <w:p w14:paraId="6EFFE3B2"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3D4CF2EE" w14:textId="77777777" w:rsidTr="005D5D8D">
        <w:trPr>
          <w:trHeight w:val="300"/>
          <w:jc w:val="center"/>
        </w:trPr>
        <w:tc>
          <w:tcPr>
            <w:tcW w:w="4390" w:type="dxa"/>
            <w:tcBorders>
              <w:left w:val="single" w:sz="4" w:space="0" w:color="auto"/>
              <w:right w:val="single" w:sz="4" w:space="0" w:color="auto"/>
            </w:tcBorders>
            <w:shd w:val="clear" w:color="000000" w:fill="FFFFFF"/>
            <w:noWrap/>
            <w:vAlign w:val="bottom"/>
          </w:tcPr>
          <w:p w14:paraId="49695B5D" w14:textId="77777777" w:rsidR="0055212D" w:rsidRPr="001D160C" w:rsidRDefault="0055212D" w:rsidP="004B4938">
            <w:pPr>
              <w:pStyle w:val="Tabletext"/>
              <w:rPr>
                <w:rFonts w:cs="Arial"/>
                <w:szCs w:val="22"/>
                <w:lang w:eastAsia="zh-CN"/>
              </w:rPr>
            </w:pPr>
            <w:r w:rsidRPr="001D160C">
              <w:rPr>
                <w:rFonts w:cs="Arial"/>
                <w:szCs w:val="22"/>
                <w:lang w:eastAsia="zh-CN"/>
              </w:rPr>
              <w:t>Luxembourg</w:t>
            </w:r>
          </w:p>
        </w:tc>
        <w:tc>
          <w:tcPr>
            <w:tcW w:w="3118" w:type="dxa"/>
            <w:tcBorders>
              <w:left w:val="single" w:sz="4" w:space="0" w:color="auto"/>
              <w:right w:val="single" w:sz="4" w:space="0" w:color="auto"/>
            </w:tcBorders>
            <w:shd w:val="clear" w:color="auto" w:fill="auto"/>
            <w:noWrap/>
            <w:vAlign w:val="bottom"/>
          </w:tcPr>
          <w:p w14:paraId="69E2CFDB" w14:textId="77777777" w:rsidR="0055212D" w:rsidRPr="001D160C" w:rsidRDefault="0055212D" w:rsidP="004B4938">
            <w:pPr>
              <w:pStyle w:val="Tabletext"/>
              <w:jc w:val="center"/>
              <w:rPr>
                <w:lang w:eastAsia="zh-CN"/>
              </w:rPr>
            </w:pPr>
            <w:r w:rsidRPr="001D160C">
              <w:rPr>
                <w:lang w:eastAsia="zh-CN"/>
              </w:rPr>
              <w:t>1/2</w:t>
            </w:r>
          </w:p>
        </w:tc>
      </w:tr>
      <w:tr w:rsidR="0055212D" w:rsidRPr="001D160C" w14:paraId="342D1B27"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4C105D4A" w14:textId="77777777" w:rsidR="0055212D" w:rsidRPr="001D160C" w:rsidRDefault="0055212D" w:rsidP="004B4938">
            <w:pPr>
              <w:pStyle w:val="Tabletext"/>
              <w:rPr>
                <w:rFonts w:cs="Arial"/>
                <w:szCs w:val="22"/>
                <w:lang w:eastAsia="zh-CN"/>
              </w:rPr>
            </w:pPr>
            <w:r w:rsidRPr="001D160C">
              <w:rPr>
                <w:rFonts w:cs="Arial"/>
                <w:szCs w:val="22"/>
                <w:lang w:eastAsia="zh-CN"/>
              </w:rPr>
              <w:t>Madagascar</w:t>
            </w:r>
          </w:p>
        </w:tc>
        <w:tc>
          <w:tcPr>
            <w:tcW w:w="3118" w:type="dxa"/>
            <w:tcBorders>
              <w:top w:val="nil"/>
              <w:left w:val="single" w:sz="4" w:space="0" w:color="auto"/>
              <w:right w:val="single" w:sz="4" w:space="0" w:color="auto"/>
            </w:tcBorders>
            <w:shd w:val="clear" w:color="auto" w:fill="auto"/>
            <w:noWrap/>
            <w:vAlign w:val="bottom"/>
          </w:tcPr>
          <w:p w14:paraId="2AD7CF01" w14:textId="77777777" w:rsidR="0055212D" w:rsidRPr="001D160C" w:rsidRDefault="0055212D" w:rsidP="004B4938">
            <w:pPr>
              <w:pStyle w:val="Tabletext"/>
              <w:jc w:val="center"/>
              <w:rPr>
                <w:lang w:eastAsia="zh-CN"/>
              </w:rPr>
            </w:pPr>
            <w:r w:rsidRPr="001D160C">
              <w:rPr>
                <w:lang w:eastAsia="zh-CN"/>
              </w:rPr>
              <w:t>1/8</w:t>
            </w:r>
          </w:p>
        </w:tc>
      </w:tr>
      <w:tr w:rsidR="0055212D" w:rsidRPr="001D160C" w14:paraId="2C3B4A87"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41776D14" w14:textId="77777777" w:rsidR="0055212D" w:rsidRPr="001D160C" w:rsidRDefault="0055212D" w:rsidP="004B4938">
            <w:pPr>
              <w:pStyle w:val="Tabletext"/>
              <w:rPr>
                <w:rFonts w:cs="Arial"/>
                <w:szCs w:val="22"/>
                <w:lang w:eastAsia="zh-CN"/>
              </w:rPr>
            </w:pPr>
            <w:r w:rsidRPr="001D160C">
              <w:rPr>
                <w:rFonts w:cs="Arial"/>
                <w:szCs w:val="22"/>
                <w:lang w:eastAsia="zh-CN"/>
              </w:rPr>
              <w:t xml:space="preserve">Malawi </w:t>
            </w:r>
          </w:p>
        </w:tc>
        <w:tc>
          <w:tcPr>
            <w:tcW w:w="3118" w:type="dxa"/>
            <w:tcBorders>
              <w:top w:val="nil"/>
              <w:left w:val="single" w:sz="4" w:space="0" w:color="auto"/>
              <w:right w:val="single" w:sz="4" w:space="0" w:color="auto"/>
            </w:tcBorders>
            <w:shd w:val="clear" w:color="auto" w:fill="auto"/>
            <w:noWrap/>
            <w:vAlign w:val="bottom"/>
          </w:tcPr>
          <w:p w14:paraId="1DA05DCD"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32D656D2"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79A6FAB3" w14:textId="77777777" w:rsidR="0055212D" w:rsidRPr="001D160C" w:rsidRDefault="0055212D" w:rsidP="004B4938">
            <w:pPr>
              <w:pStyle w:val="Tabletext"/>
              <w:rPr>
                <w:rFonts w:cs="Arial"/>
                <w:szCs w:val="22"/>
                <w:lang w:eastAsia="zh-CN"/>
              </w:rPr>
            </w:pPr>
            <w:r w:rsidRPr="001D160C">
              <w:rPr>
                <w:rFonts w:cs="Arial"/>
                <w:szCs w:val="22"/>
                <w:lang w:eastAsia="zh-CN"/>
              </w:rPr>
              <w:t>Malaisie</w:t>
            </w:r>
          </w:p>
        </w:tc>
        <w:tc>
          <w:tcPr>
            <w:tcW w:w="3118" w:type="dxa"/>
            <w:tcBorders>
              <w:top w:val="nil"/>
              <w:left w:val="single" w:sz="4" w:space="0" w:color="auto"/>
              <w:right w:val="single" w:sz="4" w:space="0" w:color="auto"/>
            </w:tcBorders>
            <w:shd w:val="clear" w:color="auto" w:fill="auto"/>
            <w:noWrap/>
            <w:vAlign w:val="bottom"/>
          </w:tcPr>
          <w:p w14:paraId="15ECA72E" w14:textId="77777777" w:rsidR="0055212D" w:rsidRPr="001D160C" w:rsidRDefault="0055212D" w:rsidP="004B4938">
            <w:pPr>
              <w:pStyle w:val="Tabletext"/>
              <w:jc w:val="center"/>
              <w:rPr>
                <w:lang w:eastAsia="zh-CN"/>
              </w:rPr>
            </w:pPr>
            <w:r w:rsidRPr="001D160C">
              <w:rPr>
                <w:lang w:eastAsia="zh-CN"/>
              </w:rPr>
              <w:t>2</w:t>
            </w:r>
          </w:p>
        </w:tc>
      </w:tr>
      <w:tr w:rsidR="0055212D" w:rsidRPr="001D160C" w14:paraId="398420AA"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63CD7839" w14:textId="77777777" w:rsidR="0055212D" w:rsidRPr="001D160C" w:rsidRDefault="0055212D" w:rsidP="004B4938">
            <w:pPr>
              <w:pStyle w:val="Tabletext"/>
              <w:rPr>
                <w:rFonts w:cs="Arial"/>
                <w:szCs w:val="22"/>
                <w:lang w:eastAsia="zh-CN"/>
              </w:rPr>
            </w:pPr>
            <w:r w:rsidRPr="001D160C">
              <w:rPr>
                <w:rFonts w:cs="Arial"/>
                <w:szCs w:val="22"/>
                <w:lang w:eastAsia="zh-CN"/>
              </w:rPr>
              <w:t>Maldives</w:t>
            </w:r>
          </w:p>
        </w:tc>
        <w:tc>
          <w:tcPr>
            <w:tcW w:w="3118" w:type="dxa"/>
            <w:tcBorders>
              <w:top w:val="nil"/>
              <w:left w:val="single" w:sz="4" w:space="0" w:color="auto"/>
              <w:right w:val="single" w:sz="4" w:space="0" w:color="auto"/>
            </w:tcBorders>
            <w:shd w:val="clear" w:color="auto" w:fill="auto"/>
            <w:noWrap/>
            <w:vAlign w:val="bottom"/>
          </w:tcPr>
          <w:p w14:paraId="5C8A1CEA" w14:textId="77777777" w:rsidR="0055212D" w:rsidRPr="001D160C" w:rsidRDefault="0055212D" w:rsidP="004B4938">
            <w:pPr>
              <w:pStyle w:val="Tabletext"/>
              <w:jc w:val="center"/>
              <w:rPr>
                <w:lang w:eastAsia="zh-CN"/>
              </w:rPr>
            </w:pPr>
            <w:r w:rsidRPr="001D160C">
              <w:rPr>
                <w:lang w:eastAsia="zh-CN"/>
              </w:rPr>
              <w:t>1/8</w:t>
            </w:r>
          </w:p>
        </w:tc>
      </w:tr>
      <w:tr w:rsidR="0055212D" w:rsidRPr="001D160C" w14:paraId="58834066"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1CE5E391" w14:textId="77777777" w:rsidR="0055212D" w:rsidRPr="001D160C" w:rsidRDefault="0055212D" w:rsidP="004B4938">
            <w:pPr>
              <w:pStyle w:val="Tabletext"/>
              <w:rPr>
                <w:rFonts w:cs="Arial"/>
                <w:szCs w:val="22"/>
                <w:lang w:eastAsia="zh-CN"/>
              </w:rPr>
            </w:pPr>
            <w:r w:rsidRPr="001D160C">
              <w:rPr>
                <w:rFonts w:cs="Arial"/>
                <w:szCs w:val="22"/>
                <w:lang w:eastAsia="zh-CN"/>
              </w:rPr>
              <w:t>Mali</w:t>
            </w:r>
          </w:p>
        </w:tc>
        <w:tc>
          <w:tcPr>
            <w:tcW w:w="3118" w:type="dxa"/>
            <w:tcBorders>
              <w:top w:val="nil"/>
              <w:left w:val="single" w:sz="4" w:space="0" w:color="auto"/>
              <w:right w:val="single" w:sz="4" w:space="0" w:color="auto"/>
            </w:tcBorders>
            <w:shd w:val="clear" w:color="auto" w:fill="auto"/>
            <w:noWrap/>
            <w:vAlign w:val="bottom"/>
          </w:tcPr>
          <w:p w14:paraId="3A57E1EE"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62A4E7AB" w14:textId="77777777" w:rsidTr="0055212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3E4A7A32" w14:textId="77777777" w:rsidR="0055212D" w:rsidRPr="001D160C" w:rsidRDefault="0055212D" w:rsidP="004B4938">
            <w:pPr>
              <w:pStyle w:val="Tabletext"/>
              <w:rPr>
                <w:rFonts w:cs="Arial"/>
                <w:szCs w:val="22"/>
                <w:lang w:eastAsia="zh-CN"/>
              </w:rPr>
            </w:pPr>
            <w:r w:rsidRPr="001D160C">
              <w:rPr>
                <w:rFonts w:cs="Arial"/>
                <w:szCs w:val="22"/>
                <w:lang w:eastAsia="zh-CN"/>
              </w:rPr>
              <w:t>Malte</w:t>
            </w:r>
          </w:p>
        </w:tc>
        <w:tc>
          <w:tcPr>
            <w:tcW w:w="3118" w:type="dxa"/>
            <w:tcBorders>
              <w:top w:val="nil"/>
              <w:left w:val="single" w:sz="4" w:space="0" w:color="auto"/>
              <w:right w:val="single" w:sz="4" w:space="0" w:color="auto"/>
            </w:tcBorders>
            <w:shd w:val="clear" w:color="auto" w:fill="auto"/>
            <w:noWrap/>
            <w:vAlign w:val="bottom"/>
          </w:tcPr>
          <w:p w14:paraId="4A3EB4A5"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79BAF70F" w14:textId="77777777" w:rsidTr="0055212D">
        <w:trPr>
          <w:trHeight w:val="300"/>
          <w:jc w:val="center"/>
        </w:trPr>
        <w:tc>
          <w:tcPr>
            <w:tcW w:w="4390" w:type="dxa"/>
            <w:tcBorders>
              <w:left w:val="single" w:sz="4" w:space="0" w:color="auto"/>
              <w:right w:val="single" w:sz="4" w:space="0" w:color="auto"/>
            </w:tcBorders>
            <w:shd w:val="clear" w:color="000000" w:fill="FFFFFF"/>
            <w:noWrap/>
            <w:vAlign w:val="bottom"/>
          </w:tcPr>
          <w:p w14:paraId="6B588121" w14:textId="77777777" w:rsidR="0055212D" w:rsidRPr="001D160C" w:rsidRDefault="0055212D" w:rsidP="004B4938">
            <w:pPr>
              <w:pStyle w:val="Tabletext"/>
              <w:rPr>
                <w:rFonts w:cs="Arial"/>
                <w:szCs w:val="22"/>
                <w:lang w:eastAsia="zh-CN"/>
              </w:rPr>
            </w:pPr>
            <w:r w:rsidRPr="001D160C">
              <w:rPr>
                <w:rFonts w:cs="Arial"/>
                <w:szCs w:val="22"/>
                <w:lang w:eastAsia="zh-CN"/>
              </w:rPr>
              <w:t>Marshall (Îles)</w:t>
            </w:r>
          </w:p>
        </w:tc>
        <w:tc>
          <w:tcPr>
            <w:tcW w:w="3118" w:type="dxa"/>
            <w:tcBorders>
              <w:left w:val="single" w:sz="4" w:space="0" w:color="auto"/>
              <w:right w:val="single" w:sz="4" w:space="0" w:color="auto"/>
            </w:tcBorders>
            <w:shd w:val="clear" w:color="auto" w:fill="auto"/>
            <w:noWrap/>
            <w:vAlign w:val="bottom"/>
          </w:tcPr>
          <w:p w14:paraId="3D5ED26A"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1A5AB9B8"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14A4F064" w14:textId="77777777" w:rsidR="0055212D" w:rsidRPr="001D160C" w:rsidRDefault="0055212D" w:rsidP="004B4938">
            <w:pPr>
              <w:pStyle w:val="Tabletext"/>
              <w:rPr>
                <w:rFonts w:cs="Arial"/>
                <w:szCs w:val="22"/>
                <w:lang w:eastAsia="zh-CN"/>
              </w:rPr>
            </w:pPr>
            <w:r w:rsidRPr="001D160C">
              <w:rPr>
                <w:rFonts w:cs="Arial"/>
                <w:szCs w:val="22"/>
                <w:lang w:eastAsia="zh-CN"/>
              </w:rPr>
              <w:t>Mauritanie</w:t>
            </w:r>
          </w:p>
        </w:tc>
        <w:tc>
          <w:tcPr>
            <w:tcW w:w="3118" w:type="dxa"/>
            <w:tcBorders>
              <w:top w:val="nil"/>
              <w:left w:val="single" w:sz="4" w:space="0" w:color="auto"/>
              <w:right w:val="single" w:sz="4" w:space="0" w:color="auto"/>
            </w:tcBorders>
            <w:shd w:val="clear" w:color="auto" w:fill="auto"/>
            <w:noWrap/>
            <w:vAlign w:val="bottom"/>
          </w:tcPr>
          <w:p w14:paraId="16A6DC36"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3534862B"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259380DE" w14:textId="77777777" w:rsidR="0055212D" w:rsidRPr="001D160C" w:rsidRDefault="0055212D" w:rsidP="004B4938">
            <w:pPr>
              <w:pStyle w:val="Tabletext"/>
              <w:rPr>
                <w:rFonts w:cs="Arial"/>
                <w:szCs w:val="22"/>
                <w:lang w:eastAsia="zh-CN"/>
              </w:rPr>
            </w:pPr>
            <w:r w:rsidRPr="001D160C">
              <w:rPr>
                <w:rFonts w:cs="Arial"/>
                <w:szCs w:val="22"/>
                <w:lang w:eastAsia="zh-CN"/>
              </w:rPr>
              <w:t>Maurice</w:t>
            </w:r>
          </w:p>
        </w:tc>
        <w:tc>
          <w:tcPr>
            <w:tcW w:w="3118" w:type="dxa"/>
            <w:tcBorders>
              <w:top w:val="nil"/>
              <w:left w:val="single" w:sz="4" w:space="0" w:color="auto"/>
              <w:right w:val="single" w:sz="4" w:space="0" w:color="auto"/>
            </w:tcBorders>
            <w:shd w:val="clear" w:color="auto" w:fill="auto"/>
            <w:noWrap/>
            <w:vAlign w:val="bottom"/>
          </w:tcPr>
          <w:p w14:paraId="26C380E5"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06C0AF00"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3B0BE335" w14:textId="77777777" w:rsidR="0055212D" w:rsidRPr="001D160C" w:rsidRDefault="0055212D" w:rsidP="004B4938">
            <w:pPr>
              <w:pStyle w:val="Tabletext"/>
              <w:rPr>
                <w:rFonts w:cs="Arial"/>
                <w:szCs w:val="22"/>
                <w:lang w:eastAsia="zh-CN"/>
              </w:rPr>
            </w:pPr>
            <w:r w:rsidRPr="001D160C">
              <w:rPr>
                <w:rFonts w:cs="Arial"/>
                <w:szCs w:val="22"/>
                <w:lang w:eastAsia="zh-CN"/>
              </w:rPr>
              <w:t>Mexique</w:t>
            </w:r>
          </w:p>
        </w:tc>
        <w:tc>
          <w:tcPr>
            <w:tcW w:w="3118" w:type="dxa"/>
            <w:tcBorders>
              <w:top w:val="nil"/>
              <w:left w:val="single" w:sz="4" w:space="0" w:color="auto"/>
              <w:right w:val="single" w:sz="4" w:space="0" w:color="auto"/>
            </w:tcBorders>
            <w:shd w:val="clear" w:color="auto" w:fill="auto"/>
            <w:noWrap/>
            <w:vAlign w:val="bottom"/>
          </w:tcPr>
          <w:p w14:paraId="52183BF3" w14:textId="77777777" w:rsidR="0055212D" w:rsidRPr="001D160C" w:rsidRDefault="0055212D" w:rsidP="004B4938">
            <w:pPr>
              <w:pStyle w:val="Tabletext"/>
              <w:jc w:val="center"/>
              <w:rPr>
                <w:lang w:eastAsia="zh-CN"/>
              </w:rPr>
            </w:pPr>
            <w:r w:rsidRPr="001D160C">
              <w:rPr>
                <w:lang w:eastAsia="zh-CN"/>
              </w:rPr>
              <w:t>3</w:t>
            </w:r>
          </w:p>
        </w:tc>
      </w:tr>
      <w:tr w:rsidR="0055212D" w:rsidRPr="001D160C" w14:paraId="5834F008"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29063EAF" w14:textId="77777777" w:rsidR="0055212D" w:rsidRPr="001D160C" w:rsidRDefault="0055212D" w:rsidP="004B4938">
            <w:pPr>
              <w:pStyle w:val="Tabletext"/>
              <w:rPr>
                <w:rFonts w:cs="Arial"/>
                <w:szCs w:val="22"/>
                <w:lang w:eastAsia="zh-CN"/>
              </w:rPr>
            </w:pPr>
            <w:r w:rsidRPr="001D160C">
              <w:rPr>
                <w:rFonts w:cs="Arial"/>
                <w:szCs w:val="22"/>
                <w:lang w:eastAsia="zh-CN"/>
              </w:rPr>
              <w:t>Micronésie</w:t>
            </w:r>
          </w:p>
        </w:tc>
        <w:tc>
          <w:tcPr>
            <w:tcW w:w="3118" w:type="dxa"/>
            <w:tcBorders>
              <w:top w:val="nil"/>
              <w:left w:val="single" w:sz="4" w:space="0" w:color="auto"/>
              <w:right w:val="single" w:sz="4" w:space="0" w:color="auto"/>
            </w:tcBorders>
            <w:shd w:val="clear" w:color="auto" w:fill="auto"/>
            <w:noWrap/>
            <w:vAlign w:val="bottom"/>
          </w:tcPr>
          <w:p w14:paraId="6F9F9571"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59940792"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01E956F9" w14:textId="77777777" w:rsidR="0055212D" w:rsidRPr="001D160C" w:rsidRDefault="0055212D" w:rsidP="004B4938">
            <w:pPr>
              <w:pStyle w:val="Tabletext"/>
              <w:rPr>
                <w:rFonts w:cs="Arial"/>
                <w:szCs w:val="22"/>
                <w:lang w:eastAsia="zh-CN"/>
              </w:rPr>
            </w:pPr>
            <w:r w:rsidRPr="001D160C">
              <w:rPr>
                <w:rFonts w:cs="Arial"/>
                <w:szCs w:val="22"/>
                <w:lang w:eastAsia="zh-CN"/>
              </w:rPr>
              <w:t>Moldova</w:t>
            </w:r>
          </w:p>
        </w:tc>
        <w:tc>
          <w:tcPr>
            <w:tcW w:w="3118" w:type="dxa"/>
            <w:tcBorders>
              <w:top w:val="nil"/>
              <w:left w:val="single" w:sz="4" w:space="0" w:color="auto"/>
              <w:right w:val="single" w:sz="4" w:space="0" w:color="auto"/>
            </w:tcBorders>
            <w:shd w:val="clear" w:color="auto" w:fill="auto"/>
            <w:noWrap/>
            <w:vAlign w:val="bottom"/>
          </w:tcPr>
          <w:p w14:paraId="6FBA4FCB"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6DF7EB84"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1EF3614E" w14:textId="77777777" w:rsidR="0055212D" w:rsidRPr="001D160C" w:rsidRDefault="0055212D" w:rsidP="004B4938">
            <w:pPr>
              <w:pStyle w:val="Tabletext"/>
              <w:rPr>
                <w:rFonts w:cs="Arial"/>
                <w:szCs w:val="22"/>
                <w:lang w:eastAsia="zh-CN"/>
              </w:rPr>
            </w:pPr>
            <w:r w:rsidRPr="001D160C">
              <w:rPr>
                <w:rFonts w:cs="Arial"/>
                <w:szCs w:val="22"/>
                <w:lang w:eastAsia="zh-CN"/>
              </w:rPr>
              <w:t>Monaco</w:t>
            </w:r>
          </w:p>
        </w:tc>
        <w:tc>
          <w:tcPr>
            <w:tcW w:w="3118" w:type="dxa"/>
            <w:tcBorders>
              <w:top w:val="nil"/>
              <w:left w:val="single" w:sz="4" w:space="0" w:color="auto"/>
              <w:right w:val="single" w:sz="4" w:space="0" w:color="auto"/>
            </w:tcBorders>
            <w:shd w:val="clear" w:color="auto" w:fill="auto"/>
            <w:noWrap/>
            <w:vAlign w:val="bottom"/>
          </w:tcPr>
          <w:p w14:paraId="79E8AB13"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3C4FD3D3"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5B130B48" w14:textId="77777777" w:rsidR="0055212D" w:rsidRPr="001D160C" w:rsidRDefault="0055212D" w:rsidP="004B4938">
            <w:pPr>
              <w:pStyle w:val="Tabletext"/>
              <w:rPr>
                <w:rFonts w:cs="Arial"/>
                <w:szCs w:val="22"/>
                <w:lang w:eastAsia="zh-CN"/>
              </w:rPr>
            </w:pPr>
            <w:r w:rsidRPr="001D160C">
              <w:rPr>
                <w:rFonts w:cs="Arial"/>
                <w:szCs w:val="22"/>
                <w:lang w:eastAsia="zh-CN"/>
              </w:rPr>
              <w:t>Mongolie</w:t>
            </w:r>
          </w:p>
        </w:tc>
        <w:tc>
          <w:tcPr>
            <w:tcW w:w="3118" w:type="dxa"/>
            <w:tcBorders>
              <w:top w:val="nil"/>
              <w:left w:val="single" w:sz="4" w:space="0" w:color="auto"/>
              <w:right w:val="single" w:sz="4" w:space="0" w:color="auto"/>
            </w:tcBorders>
            <w:shd w:val="clear" w:color="auto" w:fill="auto"/>
            <w:noWrap/>
            <w:vAlign w:val="bottom"/>
          </w:tcPr>
          <w:p w14:paraId="04A4AB64"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56103335"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5D7E1DD7" w14:textId="77777777" w:rsidR="0055212D" w:rsidRPr="001D160C" w:rsidRDefault="0055212D" w:rsidP="004B4938">
            <w:pPr>
              <w:pStyle w:val="Tabletext"/>
              <w:rPr>
                <w:rFonts w:cs="Arial"/>
                <w:szCs w:val="22"/>
                <w:lang w:eastAsia="zh-CN"/>
              </w:rPr>
            </w:pPr>
            <w:r w:rsidRPr="001D160C">
              <w:rPr>
                <w:rFonts w:cs="Arial"/>
                <w:szCs w:val="22"/>
                <w:lang w:eastAsia="zh-CN"/>
              </w:rPr>
              <w:t>Monténégro</w:t>
            </w:r>
          </w:p>
        </w:tc>
        <w:tc>
          <w:tcPr>
            <w:tcW w:w="3118" w:type="dxa"/>
            <w:tcBorders>
              <w:top w:val="nil"/>
              <w:left w:val="single" w:sz="4" w:space="0" w:color="auto"/>
              <w:right w:val="single" w:sz="4" w:space="0" w:color="auto"/>
            </w:tcBorders>
            <w:shd w:val="clear" w:color="auto" w:fill="auto"/>
            <w:noWrap/>
            <w:vAlign w:val="bottom"/>
          </w:tcPr>
          <w:p w14:paraId="4A4BB94A" w14:textId="77777777" w:rsidR="0055212D" w:rsidRPr="001D160C" w:rsidRDefault="0055212D" w:rsidP="004B4938">
            <w:pPr>
              <w:pStyle w:val="Tabletext"/>
              <w:jc w:val="center"/>
              <w:rPr>
                <w:lang w:eastAsia="zh-CN"/>
              </w:rPr>
            </w:pPr>
            <w:r w:rsidRPr="001D160C">
              <w:rPr>
                <w:lang w:eastAsia="zh-CN"/>
              </w:rPr>
              <w:t>1/8</w:t>
            </w:r>
          </w:p>
        </w:tc>
      </w:tr>
      <w:tr w:rsidR="0055212D" w:rsidRPr="001D160C" w14:paraId="3719E4B6"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4689649A" w14:textId="77777777" w:rsidR="0055212D" w:rsidRPr="001D160C" w:rsidRDefault="0055212D" w:rsidP="004B4938">
            <w:pPr>
              <w:pStyle w:val="Tabletext"/>
              <w:rPr>
                <w:rFonts w:cs="Arial"/>
                <w:szCs w:val="22"/>
                <w:lang w:eastAsia="zh-CN"/>
              </w:rPr>
            </w:pPr>
            <w:r w:rsidRPr="001D160C">
              <w:rPr>
                <w:rFonts w:cs="Arial"/>
                <w:szCs w:val="22"/>
                <w:lang w:eastAsia="zh-CN"/>
              </w:rPr>
              <w:t>Maroc</w:t>
            </w:r>
          </w:p>
        </w:tc>
        <w:tc>
          <w:tcPr>
            <w:tcW w:w="3118" w:type="dxa"/>
            <w:tcBorders>
              <w:top w:val="nil"/>
              <w:left w:val="single" w:sz="4" w:space="0" w:color="auto"/>
              <w:right w:val="single" w:sz="4" w:space="0" w:color="auto"/>
            </w:tcBorders>
            <w:shd w:val="clear" w:color="auto" w:fill="auto"/>
            <w:noWrap/>
            <w:vAlign w:val="bottom"/>
          </w:tcPr>
          <w:p w14:paraId="1FE53473" w14:textId="77777777" w:rsidR="0055212D" w:rsidRPr="001D160C" w:rsidRDefault="0055212D" w:rsidP="004B4938">
            <w:pPr>
              <w:pStyle w:val="Tabletext"/>
              <w:jc w:val="center"/>
              <w:rPr>
                <w:lang w:eastAsia="zh-CN"/>
              </w:rPr>
            </w:pPr>
            <w:r w:rsidRPr="001D160C">
              <w:rPr>
                <w:lang w:eastAsia="zh-CN"/>
              </w:rPr>
              <w:t>1</w:t>
            </w:r>
          </w:p>
        </w:tc>
      </w:tr>
      <w:tr w:rsidR="0055212D" w:rsidRPr="001D160C" w14:paraId="41C12344"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7767F826" w14:textId="77777777" w:rsidR="0055212D" w:rsidRPr="001D160C" w:rsidRDefault="0055212D" w:rsidP="004B4938">
            <w:pPr>
              <w:pStyle w:val="Tabletext"/>
              <w:rPr>
                <w:rFonts w:cs="Arial"/>
                <w:szCs w:val="22"/>
                <w:lang w:eastAsia="zh-CN"/>
              </w:rPr>
            </w:pPr>
            <w:r w:rsidRPr="001D160C">
              <w:rPr>
                <w:rFonts w:cs="Arial"/>
                <w:szCs w:val="22"/>
                <w:lang w:eastAsia="zh-CN"/>
              </w:rPr>
              <w:t>Mozambique</w:t>
            </w:r>
          </w:p>
        </w:tc>
        <w:tc>
          <w:tcPr>
            <w:tcW w:w="3118" w:type="dxa"/>
            <w:tcBorders>
              <w:top w:val="nil"/>
              <w:left w:val="single" w:sz="4" w:space="0" w:color="auto"/>
              <w:right w:val="single" w:sz="4" w:space="0" w:color="auto"/>
            </w:tcBorders>
            <w:shd w:val="clear" w:color="auto" w:fill="auto"/>
            <w:noWrap/>
            <w:vAlign w:val="bottom"/>
          </w:tcPr>
          <w:p w14:paraId="6AA7C86E"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223DFDFD"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2972B27C" w14:textId="77777777" w:rsidR="0055212D" w:rsidRPr="001D160C" w:rsidRDefault="0055212D" w:rsidP="004B4938">
            <w:pPr>
              <w:pStyle w:val="Tabletext"/>
              <w:rPr>
                <w:rFonts w:cs="Arial"/>
                <w:szCs w:val="22"/>
                <w:lang w:eastAsia="zh-CN"/>
              </w:rPr>
            </w:pPr>
            <w:r w:rsidRPr="001D160C">
              <w:rPr>
                <w:rFonts w:cs="Arial"/>
                <w:szCs w:val="22"/>
                <w:lang w:eastAsia="zh-CN"/>
              </w:rPr>
              <w:t>Myanmar</w:t>
            </w:r>
          </w:p>
        </w:tc>
        <w:tc>
          <w:tcPr>
            <w:tcW w:w="3118" w:type="dxa"/>
            <w:tcBorders>
              <w:top w:val="nil"/>
              <w:left w:val="single" w:sz="4" w:space="0" w:color="auto"/>
              <w:right w:val="single" w:sz="4" w:space="0" w:color="auto"/>
            </w:tcBorders>
            <w:shd w:val="clear" w:color="auto" w:fill="auto"/>
            <w:noWrap/>
            <w:vAlign w:val="bottom"/>
          </w:tcPr>
          <w:p w14:paraId="3035FD2A" w14:textId="77777777" w:rsidR="0055212D" w:rsidRPr="001D160C" w:rsidRDefault="0055212D" w:rsidP="004B4938">
            <w:pPr>
              <w:pStyle w:val="Tabletext"/>
              <w:jc w:val="center"/>
              <w:rPr>
                <w:lang w:eastAsia="zh-CN"/>
              </w:rPr>
            </w:pPr>
            <w:r w:rsidRPr="001D160C">
              <w:rPr>
                <w:lang w:eastAsia="zh-CN"/>
              </w:rPr>
              <w:t>1/8</w:t>
            </w:r>
          </w:p>
        </w:tc>
      </w:tr>
      <w:tr w:rsidR="0055212D" w:rsidRPr="001D160C" w14:paraId="01EAAE7F"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3F45A28F" w14:textId="77777777" w:rsidR="0055212D" w:rsidRPr="001D160C" w:rsidRDefault="0055212D" w:rsidP="004B4938">
            <w:pPr>
              <w:pStyle w:val="Tabletext"/>
              <w:rPr>
                <w:rFonts w:cs="Arial"/>
                <w:szCs w:val="22"/>
                <w:lang w:eastAsia="zh-CN"/>
              </w:rPr>
            </w:pPr>
            <w:r w:rsidRPr="001D160C">
              <w:rPr>
                <w:rFonts w:cs="Arial"/>
                <w:szCs w:val="22"/>
                <w:lang w:eastAsia="zh-CN"/>
              </w:rPr>
              <w:t>Namibie</w:t>
            </w:r>
          </w:p>
        </w:tc>
        <w:tc>
          <w:tcPr>
            <w:tcW w:w="3118" w:type="dxa"/>
            <w:tcBorders>
              <w:top w:val="nil"/>
              <w:left w:val="single" w:sz="4" w:space="0" w:color="auto"/>
              <w:right w:val="single" w:sz="4" w:space="0" w:color="auto"/>
            </w:tcBorders>
            <w:shd w:val="clear" w:color="auto" w:fill="auto"/>
            <w:noWrap/>
            <w:vAlign w:val="bottom"/>
          </w:tcPr>
          <w:p w14:paraId="6D7A2502"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3E2CD85F"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2334FFDA" w14:textId="77777777" w:rsidR="0055212D" w:rsidRPr="001D160C" w:rsidRDefault="0055212D" w:rsidP="004B4938">
            <w:pPr>
              <w:pStyle w:val="Tabletext"/>
              <w:rPr>
                <w:rFonts w:cs="Arial"/>
                <w:szCs w:val="22"/>
                <w:lang w:eastAsia="zh-CN"/>
              </w:rPr>
            </w:pPr>
            <w:r w:rsidRPr="001D160C">
              <w:rPr>
                <w:rFonts w:cs="Arial"/>
                <w:szCs w:val="22"/>
                <w:lang w:eastAsia="zh-CN"/>
              </w:rPr>
              <w:t>Nauru</w:t>
            </w:r>
          </w:p>
        </w:tc>
        <w:tc>
          <w:tcPr>
            <w:tcW w:w="3118" w:type="dxa"/>
            <w:tcBorders>
              <w:top w:val="nil"/>
              <w:left w:val="single" w:sz="4" w:space="0" w:color="auto"/>
              <w:right w:val="single" w:sz="4" w:space="0" w:color="auto"/>
            </w:tcBorders>
            <w:shd w:val="clear" w:color="auto" w:fill="auto"/>
            <w:noWrap/>
            <w:vAlign w:val="bottom"/>
          </w:tcPr>
          <w:p w14:paraId="43480D23"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1CEEC5D4"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59759A7D" w14:textId="77777777" w:rsidR="0055212D" w:rsidRPr="001D160C" w:rsidRDefault="0055212D" w:rsidP="004B4938">
            <w:pPr>
              <w:pStyle w:val="Tabletext"/>
              <w:rPr>
                <w:rFonts w:cs="Arial"/>
                <w:szCs w:val="22"/>
                <w:lang w:eastAsia="zh-CN"/>
              </w:rPr>
            </w:pPr>
            <w:r w:rsidRPr="001D160C">
              <w:rPr>
                <w:rFonts w:cs="Arial"/>
                <w:szCs w:val="22"/>
                <w:lang w:eastAsia="zh-CN"/>
              </w:rPr>
              <w:t>Népal</w:t>
            </w:r>
          </w:p>
        </w:tc>
        <w:tc>
          <w:tcPr>
            <w:tcW w:w="3118" w:type="dxa"/>
            <w:tcBorders>
              <w:top w:val="nil"/>
              <w:left w:val="single" w:sz="4" w:space="0" w:color="auto"/>
              <w:right w:val="single" w:sz="4" w:space="0" w:color="auto"/>
            </w:tcBorders>
            <w:shd w:val="clear" w:color="auto" w:fill="auto"/>
            <w:noWrap/>
            <w:vAlign w:val="bottom"/>
          </w:tcPr>
          <w:p w14:paraId="0FB48F6B"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6F9D2D2A"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0F281436" w14:textId="77777777" w:rsidR="0055212D" w:rsidRPr="001D160C" w:rsidRDefault="0055212D" w:rsidP="004B4938">
            <w:pPr>
              <w:pStyle w:val="Tabletext"/>
              <w:rPr>
                <w:rFonts w:cs="Arial"/>
                <w:szCs w:val="22"/>
                <w:lang w:eastAsia="zh-CN"/>
              </w:rPr>
            </w:pPr>
            <w:r w:rsidRPr="001D160C">
              <w:rPr>
                <w:rFonts w:cs="Arial"/>
                <w:szCs w:val="22"/>
                <w:lang w:eastAsia="zh-CN"/>
              </w:rPr>
              <w:t>Pays-Bas</w:t>
            </w:r>
          </w:p>
        </w:tc>
        <w:tc>
          <w:tcPr>
            <w:tcW w:w="3118" w:type="dxa"/>
            <w:tcBorders>
              <w:top w:val="nil"/>
              <w:left w:val="single" w:sz="4" w:space="0" w:color="auto"/>
              <w:right w:val="single" w:sz="4" w:space="0" w:color="auto"/>
            </w:tcBorders>
            <w:shd w:val="clear" w:color="auto" w:fill="auto"/>
            <w:noWrap/>
            <w:vAlign w:val="bottom"/>
          </w:tcPr>
          <w:p w14:paraId="0F9C05F4" w14:textId="77777777" w:rsidR="0055212D" w:rsidRPr="001D160C" w:rsidRDefault="0055212D" w:rsidP="004B4938">
            <w:pPr>
              <w:pStyle w:val="Tabletext"/>
              <w:jc w:val="center"/>
              <w:rPr>
                <w:lang w:eastAsia="zh-CN"/>
              </w:rPr>
            </w:pPr>
            <w:r w:rsidRPr="001D160C">
              <w:rPr>
                <w:lang w:eastAsia="zh-CN"/>
              </w:rPr>
              <w:t>5</w:t>
            </w:r>
          </w:p>
        </w:tc>
      </w:tr>
      <w:tr w:rsidR="0055212D" w:rsidRPr="001D160C" w14:paraId="2F2B8639"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7BDAA80E" w14:textId="77777777" w:rsidR="0055212D" w:rsidRPr="001D160C" w:rsidRDefault="0055212D" w:rsidP="004B4938">
            <w:pPr>
              <w:pStyle w:val="Tabletext"/>
              <w:rPr>
                <w:rFonts w:cs="Arial"/>
                <w:szCs w:val="22"/>
                <w:lang w:eastAsia="zh-CN"/>
              </w:rPr>
            </w:pPr>
            <w:r w:rsidRPr="001D160C">
              <w:rPr>
                <w:rFonts w:cs="Arial"/>
                <w:szCs w:val="22"/>
                <w:lang w:eastAsia="zh-CN"/>
              </w:rPr>
              <w:t>Nouvelle-Zélande</w:t>
            </w:r>
          </w:p>
        </w:tc>
        <w:tc>
          <w:tcPr>
            <w:tcW w:w="3118" w:type="dxa"/>
            <w:tcBorders>
              <w:top w:val="nil"/>
              <w:left w:val="single" w:sz="4" w:space="0" w:color="auto"/>
              <w:right w:val="single" w:sz="4" w:space="0" w:color="auto"/>
            </w:tcBorders>
            <w:shd w:val="clear" w:color="auto" w:fill="auto"/>
            <w:noWrap/>
            <w:vAlign w:val="bottom"/>
          </w:tcPr>
          <w:p w14:paraId="0E6E0E69" w14:textId="77777777" w:rsidR="0055212D" w:rsidRPr="001D160C" w:rsidRDefault="0055212D" w:rsidP="004B4938">
            <w:pPr>
              <w:pStyle w:val="Tabletext"/>
              <w:jc w:val="center"/>
              <w:rPr>
                <w:lang w:eastAsia="zh-CN"/>
              </w:rPr>
            </w:pPr>
            <w:r w:rsidRPr="001D160C">
              <w:rPr>
                <w:lang w:eastAsia="zh-CN"/>
              </w:rPr>
              <w:t>2</w:t>
            </w:r>
          </w:p>
        </w:tc>
      </w:tr>
      <w:tr w:rsidR="0055212D" w:rsidRPr="001D160C" w14:paraId="72DA9153" w14:textId="77777777" w:rsidTr="005D5D8D">
        <w:trPr>
          <w:trHeight w:val="300"/>
          <w:jc w:val="center"/>
        </w:trPr>
        <w:tc>
          <w:tcPr>
            <w:tcW w:w="4390" w:type="dxa"/>
            <w:tcBorders>
              <w:top w:val="nil"/>
              <w:left w:val="single" w:sz="4" w:space="0" w:color="auto"/>
              <w:bottom w:val="nil"/>
              <w:right w:val="single" w:sz="4" w:space="0" w:color="auto"/>
            </w:tcBorders>
            <w:shd w:val="clear" w:color="000000" w:fill="FFFFFF"/>
            <w:noWrap/>
            <w:vAlign w:val="bottom"/>
          </w:tcPr>
          <w:p w14:paraId="33C8F566" w14:textId="77777777" w:rsidR="0055212D" w:rsidRPr="001D160C" w:rsidRDefault="0055212D" w:rsidP="004B4938">
            <w:pPr>
              <w:pStyle w:val="Tabletext"/>
              <w:rPr>
                <w:rFonts w:cs="Arial"/>
                <w:szCs w:val="22"/>
                <w:lang w:eastAsia="zh-CN"/>
              </w:rPr>
            </w:pPr>
            <w:r w:rsidRPr="001D160C">
              <w:rPr>
                <w:rFonts w:cs="Arial"/>
                <w:szCs w:val="22"/>
                <w:lang w:eastAsia="zh-CN"/>
              </w:rPr>
              <w:t>Nicaragua</w:t>
            </w:r>
          </w:p>
        </w:tc>
        <w:tc>
          <w:tcPr>
            <w:tcW w:w="3118" w:type="dxa"/>
            <w:tcBorders>
              <w:top w:val="nil"/>
              <w:left w:val="single" w:sz="4" w:space="0" w:color="auto"/>
              <w:bottom w:val="nil"/>
              <w:right w:val="single" w:sz="4" w:space="0" w:color="auto"/>
            </w:tcBorders>
            <w:shd w:val="clear" w:color="auto" w:fill="auto"/>
            <w:noWrap/>
            <w:vAlign w:val="bottom"/>
          </w:tcPr>
          <w:p w14:paraId="3F7B28D7"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1BE825E2"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46061975" w14:textId="77777777" w:rsidR="0055212D" w:rsidRPr="001D160C" w:rsidRDefault="0055212D" w:rsidP="004B4938">
            <w:pPr>
              <w:pStyle w:val="Tabletext"/>
              <w:rPr>
                <w:rFonts w:cs="Arial"/>
                <w:szCs w:val="22"/>
                <w:lang w:eastAsia="zh-CN"/>
              </w:rPr>
            </w:pPr>
            <w:r w:rsidRPr="001D160C">
              <w:rPr>
                <w:rFonts w:cs="Arial"/>
                <w:szCs w:val="22"/>
                <w:lang w:eastAsia="zh-CN"/>
              </w:rPr>
              <w:t>Niger</w:t>
            </w:r>
          </w:p>
        </w:tc>
        <w:tc>
          <w:tcPr>
            <w:tcW w:w="3118" w:type="dxa"/>
            <w:tcBorders>
              <w:top w:val="nil"/>
              <w:left w:val="single" w:sz="4" w:space="0" w:color="auto"/>
              <w:right w:val="single" w:sz="4" w:space="0" w:color="auto"/>
            </w:tcBorders>
            <w:shd w:val="clear" w:color="auto" w:fill="auto"/>
            <w:noWrap/>
            <w:vAlign w:val="bottom"/>
          </w:tcPr>
          <w:p w14:paraId="730B8487" w14:textId="77777777" w:rsidR="0055212D" w:rsidRPr="001D160C" w:rsidRDefault="0055212D" w:rsidP="004B4938">
            <w:pPr>
              <w:pStyle w:val="Tabletext"/>
              <w:jc w:val="center"/>
              <w:rPr>
                <w:lang w:eastAsia="zh-CN"/>
              </w:rPr>
            </w:pPr>
            <w:r w:rsidRPr="001D160C">
              <w:rPr>
                <w:lang w:eastAsia="zh-CN"/>
              </w:rPr>
              <w:t>1/8</w:t>
            </w:r>
          </w:p>
        </w:tc>
      </w:tr>
      <w:tr w:rsidR="0055212D" w:rsidRPr="001D160C" w14:paraId="6BD60A44"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340205E0" w14:textId="77777777" w:rsidR="0055212D" w:rsidRPr="001D160C" w:rsidRDefault="0055212D" w:rsidP="004B4938">
            <w:pPr>
              <w:pStyle w:val="Tabletext"/>
              <w:rPr>
                <w:rFonts w:cs="Arial"/>
                <w:szCs w:val="22"/>
                <w:lang w:eastAsia="zh-CN"/>
              </w:rPr>
            </w:pPr>
            <w:r w:rsidRPr="001D160C">
              <w:rPr>
                <w:rFonts w:cs="Arial"/>
                <w:szCs w:val="22"/>
                <w:lang w:eastAsia="zh-CN"/>
              </w:rPr>
              <w:t>Nigéria</w:t>
            </w:r>
          </w:p>
        </w:tc>
        <w:tc>
          <w:tcPr>
            <w:tcW w:w="3118" w:type="dxa"/>
            <w:tcBorders>
              <w:top w:val="nil"/>
              <w:left w:val="single" w:sz="4" w:space="0" w:color="auto"/>
              <w:right w:val="single" w:sz="4" w:space="0" w:color="auto"/>
            </w:tcBorders>
            <w:shd w:val="clear" w:color="auto" w:fill="auto"/>
            <w:noWrap/>
            <w:vAlign w:val="bottom"/>
          </w:tcPr>
          <w:p w14:paraId="4CA833BF" w14:textId="77777777" w:rsidR="0055212D" w:rsidRPr="001D160C" w:rsidRDefault="0055212D" w:rsidP="004B4938">
            <w:pPr>
              <w:pStyle w:val="Tabletext"/>
              <w:jc w:val="center"/>
              <w:rPr>
                <w:lang w:eastAsia="zh-CN"/>
              </w:rPr>
            </w:pPr>
            <w:r w:rsidRPr="001D160C">
              <w:rPr>
                <w:lang w:eastAsia="zh-CN"/>
              </w:rPr>
              <w:t>2</w:t>
            </w:r>
          </w:p>
        </w:tc>
      </w:tr>
      <w:tr w:rsidR="0055212D" w:rsidRPr="001D160C" w14:paraId="434887E7"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0D54B16A" w14:textId="77777777" w:rsidR="0055212D" w:rsidRPr="001D160C" w:rsidRDefault="0055212D" w:rsidP="004B4938">
            <w:pPr>
              <w:pStyle w:val="Tabletext"/>
              <w:rPr>
                <w:rFonts w:cs="Arial"/>
                <w:szCs w:val="22"/>
                <w:lang w:eastAsia="zh-CN"/>
              </w:rPr>
            </w:pPr>
            <w:r w:rsidRPr="001D160C">
              <w:rPr>
                <w:rFonts w:cs="Arial"/>
                <w:szCs w:val="22"/>
                <w:lang w:eastAsia="zh-CN"/>
              </w:rPr>
              <w:t>Macédoine du Nord</w:t>
            </w:r>
          </w:p>
        </w:tc>
        <w:tc>
          <w:tcPr>
            <w:tcW w:w="3118" w:type="dxa"/>
            <w:tcBorders>
              <w:top w:val="nil"/>
              <w:left w:val="single" w:sz="4" w:space="0" w:color="auto"/>
              <w:right w:val="single" w:sz="4" w:space="0" w:color="auto"/>
            </w:tcBorders>
            <w:shd w:val="clear" w:color="auto" w:fill="auto"/>
            <w:noWrap/>
            <w:vAlign w:val="bottom"/>
          </w:tcPr>
          <w:p w14:paraId="0526F9C4" w14:textId="77777777" w:rsidR="0055212D" w:rsidRPr="001D160C" w:rsidRDefault="0055212D" w:rsidP="004B4938">
            <w:pPr>
              <w:pStyle w:val="Tabletext"/>
              <w:jc w:val="center"/>
              <w:rPr>
                <w:lang w:eastAsia="zh-CN"/>
              </w:rPr>
            </w:pPr>
            <w:r w:rsidRPr="001D160C">
              <w:rPr>
                <w:lang w:eastAsia="zh-CN"/>
              </w:rPr>
              <w:t>1/8</w:t>
            </w:r>
          </w:p>
        </w:tc>
      </w:tr>
      <w:tr w:rsidR="0055212D" w:rsidRPr="001D160C" w14:paraId="56E6C29B"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50928F7E" w14:textId="77777777" w:rsidR="0055212D" w:rsidRPr="001D160C" w:rsidRDefault="0055212D" w:rsidP="004B4938">
            <w:pPr>
              <w:pStyle w:val="Tabletext"/>
              <w:rPr>
                <w:rFonts w:cs="Arial"/>
                <w:szCs w:val="22"/>
                <w:lang w:eastAsia="zh-CN"/>
              </w:rPr>
            </w:pPr>
            <w:r w:rsidRPr="001D160C">
              <w:rPr>
                <w:rFonts w:cs="Arial"/>
                <w:szCs w:val="22"/>
                <w:lang w:eastAsia="zh-CN"/>
              </w:rPr>
              <w:t>Norvège</w:t>
            </w:r>
          </w:p>
        </w:tc>
        <w:tc>
          <w:tcPr>
            <w:tcW w:w="3118" w:type="dxa"/>
            <w:tcBorders>
              <w:top w:val="nil"/>
              <w:left w:val="single" w:sz="4" w:space="0" w:color="auto"/>
              <w:right w:val="single" w:sz="4" w:space="0" w:color="auto"/>
            </w:tcBorders>
            <w:shd w:val="clear" w:color="auto" w:fill="auto"/>
            <w:noWrap/>
            <w:vAlign w:val="bottom"/>
          </w:tcPr>
          <w:p w14:paraId="2197C82A" w14:textId="77777777" w:rsidR="0055212D" w:rsidRPr="001D160C" w:rsidRDefault="0055212D" w:rsidP="004B4938">
            <w:pPr>
              <w:pStyle w:val="Tabletext"/>
              <w:jc w:val="center"/>
              <w:rPr>
                <w:lang w:eastAsia="zh-CN"/>
              </w:rPr>
            </w:pPr>
            <w:r w:rsidRPr="001D160C">
              <w:rPr>
                <w:lang w:eastAsia="zh-CN"/>
              </w:rPr>
              <w:t>5</w:t>
            </w:r>
          </w:p>
        </w:tc>
      </w:tr>
      <w:tr w:rsidR="0055212D" w:rsidRPr="001D160C" w14:paraId="42C9E8C7"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6DC49BDB" w14:textId="77777777" w:rsidR="0055212D" w:rsidRPr="001D160C" w:rsidRDefault="0055212D" w:rsidP="004B4938">
            <w:pPr>
              <w:pStyle w:val="Tabletext"/>
              <w:rPr>
                <w:rFonts w:cs="Arial"/>
                <w:szCs w:val="22"/>
                <w:lang w:eastAsia="zh-CN"/>
              </w:rPr>
            </w:pPr>
            <w:r w:rsidRPr="001D160C">
              <w:rPr>
                <w:rFonts w:cs="Arial"/>
                <w:szCs w:val="22"/>
                <w:lang w:eastAsia="zh-CN"/>
              </w:rPr>
              <w:lastRenderedPageBreak/>
              <w:t>Oman</w:t>
            </w:r>
          </w:p>
        </w:tc>
        <w:tc>
          <w:tcPr>
            <w:tcW w:w="3118" w:type="dxa"/>
            <w:tcBorders>
              <w:top w:val="nil"/>
              <w:left w:val="single" w:sz="4" w:space="0" w:color="auto"/>
              <w:right w:val="single" w:sz="4" w:space="0" w:color="auto"/>
            </w:tcBorders>
            <w:shd w:val="clear" w:color="auto" w:fill="auto"/>
            <w:noWrap/>
            <w:vAlign w:val="bottom"/>
          </w:tcPr>
          <w:p w14:paraId="2A9C21D0" w14:textId="77777777" w:rsidR="0055212D" w:rsidRPr="001D160C" w:rsidRDefault="0055212D" w:rsidP="004B4938">
            <w:pPr>
              <w:pStyle w:val="Tabletext"/>
              <w:jc w:val="center"/>
              <w:rPr>
                <w:lang w:eastAsia="zh-CN"/>
              </w:rPr>
            </w:pPr>
            <w:r w:rsidRPr="001D160C">
              <w:rPr>
                <w:lang w:eastAsia="zh-CN"/>
              </w:rPr>
              <w:t>1</w:t>
            </w:r>
          </w:p>
        </w:tc>
      </w:tr>
      <w:tr w:rsidR="0055212D" w:rsidRPr="001D160C" w14:paraId="5CF19A44"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56F3E751" w14:textId="77777777" w:rsidR="0055212D" w:rsidRPr="001D160C" w:rsidRDefault="0055212D" w:rsidP="004B4938">
            <w:pPr>
              <w:pStyle w:val="Tabletext"/>
              <w:rPr>
                <w:rFonts w:cs="Arial"/>
                <w:szCs w:val="22"/>
                <w:lang w:eastAsia="zh-CN"/>
              </w:rPr>
            </w:pPr>
            <w:r w:rsidRPr="001D160C">
              <w:rPr>
                <w:rFonts w:cs="Arial"/>
                <w:szCs w:val="22"/>
                <w:lang w:eastAsia="zh-CN"/>
              </w:rPr>
              <w:t>Pakistan</w:t>
            </w:r>
          </w:p>
        </w:tc>
        <w:tc>
          <w:tcPr>
            <w:tcW w:w="3118" w:type="dxa"/>
            <w:tcBorders>
              <w:top w:val="nil"/>
              <w:left w:val="single" w:sz="4" w:space="0" w:color="auto"/>
              <w:right w:val="single" w:sz="4" w:space="0" w:color="auto"/>
            </w:tcBorders>
            <w:shd w:val="clear" w:color="auto" w:fill="auto"/>
            <w:noWrap/>
            <w:vAlign w:val="bottom"/>
          </w:tcPr>
          <w:p w14:paraId="65FE0423" w14:textId="77777777" w:rsidR="0055212D" w:rsidRPr="001D160C" w:rsidRDefault="0055212D" w:rsidP="004B4938">
            <w:pPr>
              <w:pStyle w:val="Tabletext"/>
              <w:jc w:val="center"/>
              <w:rPr>
                <w:lang w:eastAsia="zh-CN"/>
              </w:rPr>
            </w:pPr>
            <w:r w:rsidRPr="001D160C">
              <w:rPr>
                <w:lang w:eastAsia="zh-CN"/>
              </w:rPr>
              <w:t>1</w:t>
            </w:r>
          </w:p>
        </w:tc>
      </w:tr>
      <w:tr w:rsidR="0055212D" w:rsidRPr="001D160C" w14:paraId="394B3F7B"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3BB7FD97" w14:textId="77777777" w:rsidR="0055212D" w:rsidRPr="001D160C" w:rsidRDefault="0055212D" w:rsidP="004B4938">
            <w:pPr>
              <w:pStyle w:val="Tabletext"/>
              <w:rPr>
                <w:rFonts w:cs="Arial"/>
                <w:szCs w:val="22"/>
                <w:lang w:eastAsia="zh-CN"/>
              </w:rPr>
            </w:pPr>
            <w:r w:rsidRPr="001D160C">
              <w:rPr>
                <w:rFonts w:cs="Arial"/>
                <w:szCs w:val="22"/>
                <w:lang w:eastAsia="zh-CN"/>
              </w:rPr>
              <w:t>Palau</w:t>
            </w:r>
          </w:p>
        </w:tc>
        <w:tc>
          <w:tcPr>
            <w:tcW w:w="3118" w:type="dxa"/>
            <w:tcBorders>
              <w:top w:val="nil"/>
              <w:left w:val="single" w:sz="4" w:space="0" w:color="auto"/>
              <w:right w:val="single" w:sz="4" w:space="0" w:color="auto"/>
            </w:tcBorders>
            <w:shd w:val="clear" w:color="auto" w:fill="auto"/>
            <w:noWrap/>
            <w:vAlign w:val="bottom"/>
          </w:tcPr>
          <w:p w14:paraId="1C88705C"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2B387E61"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16CF2528" w14:textId="77777777" w:rsidR="0055212D" w:rsidRPr="001D160C" w:rsidRDefault="0055212D" w:rsidP="004B4938">
            <w:pPr>
              <w:pStyle w:val="Tabletext"/>
              <w:rPr>
                <w:rFonts w:cs="Arial"/>
                <w:szCs w:val="22"/>
                <w:lang w:eastAsia="zh-CN"/>
              </w:rPr>
            </w:pPr>
            <w:r w:rsidRPr="001D160C">
              <w:rPr>
                <w:rFonts w:cs="Arial"/>
                <w:szCs w:val="22"/>
                <w:lang w:eastAsia="zh-CN"/>
              </w:rPr>
              <w:t>Panama</w:t>
            </w:r>
          </w:p>
        </w:tc>
        <w:tc>
          <w:tcPr>
            <w:tcW w:w="3118" w:type="dxa"/>
            <w:tcBorders>
              <w:top w:val="nil"/>
              <w:left w:val="single" w:sz="4" w:space="0" w:color="auto"/>
              <w:right w:val="single" w:sz="4" w:space="0" w:color="auto"/>
            </w:tcBorders>
            <w:shd w:val="clear" w:color="auto" w:fill="auto"/>
            <w:noWrap/>
            <w:vAlign w:val="bottom"/>
          </w:tcPr>
          <w:p w14:paraId="23D13059"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303D7103"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315523FC" w14:textId="77777777" w:rsidR="0055212D" w:rsidRPr="001D160C" w:rsidRDefault="0055212D" w:rsidP="004B4938">
            <w:pPr>
              <w:pStyle w:val="Tabletext"/>
              <w:rPr>
                <w:rFonts w:cs="Arial"/>
                <w:szCs w:val="22"/>
                <w:lang w:eastAsia="zh-CN"/>
              </w:rPr>
            </w:pPr>
            <w:r w:rsidRPr="001D160C">
              <w:rPr>
                <w:rFonts w:cs="Arial"/>
                <w:szCs w:val="22"/>
                <w:lang w:eastAsia="zh-CN"/>
              </w:rPr>
              <w:t>Papouasie-Nouvelle-Guinée</w:t>
            </w:r>
          </w:p>
        </w:tc>
        <w:tc>
          <w:tcPr>
            <w:tcW w:w="3118" w:type="dxa"/>
            <w:tcBorders>
              <w:top w:val="nil"/>
              <w:left w:val="single" w:sz="4" w:space="0" w:color="auto"/>
              <w:right w:val="single" w:sz="4" w:space="0" w:color="auto"/>
            </w:tcBorders>
            <w:shd w:val="clear" w:color="auto" w:fill="auto"/>
            <w:noWrap/>
            <w:vAlign w:val="bottom"/>
          </w:tcPr>
          <w:p w14:paraId="2A523EBC" w14:textId="77777777" w:rsidR="0055212D" w:rsidRPr="001D160C" w:rsidRDefault="0055212D" w:rsidP="004B4938">
            <w:pPr>
              <w:pStyle w:val="Tabletext"/>
              <w:jc w:val="center"/>
              <w:rPr>
                <w:lang w:eastAsia="zh-CN"/>
              </w:rPr>
            </w:pPr>
            <w:r w:rsidRPr="001D160C">
              <w:rPr>
                <w:lang w:eastAsia="zh-CN"/>
              </w:rPr>
              <w:t>1/2</w:t>
            </w:r>
          </w:p>
        </w:tc>
      </w:tr>
      <w:tr w:rsidR="0055212D" w:rsidRPr="001D160C" w14:paraId="57CBE6E2"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40255B34" w14:textId="77777777" w:rsidR="0055212D" w:rsidRPr="001D160C" w:rsidRDefault="0055212D" w:rsidP="004B4938">
            <w:pPr>
              <w:pStyle w:val="Tabletext"/>
              <w:rPr>
                <w:rFonts w:cs="Arial"/>
                <w:szCs w:val="22"/>
                <w:lang w:eastAsia="zh-CN"/>
              </w:rPr>
            </w:pPr>
            <w:r w:rsidRPr="001D160C">
              <w:rPr>
                <w:rFonts w:cs="Arial"/>
                <w:szCs w:val="22"/>
                <w:lang w:eastAsia="zh-CN"/>
              </w:rPr>
              <w:t>Paraguay</w:t>
            </w:r>
          </w:p>
        </w:tc>
        <w:tc>
          <w:tcPr>
            <w:tcW w:w="3118" w:type="dxa"/>
            <w:tcBorders>
              <w:top w:val="nil"/>
              <w:left w:val="single" w:sz="4" w:space="0" w:color="auto"/>
              <w:right w:val="single" w:sz="4" w:space="0" w:color="auto"/>
            </w:tcBorders>
            <w:shd w:val="clear" w:color="auto" w:fill="auto"/>
            <w:noWrap/>
            <w:vAlign w:val="bottom"/>
          </w:tcPr>
          <w:p w14:paraId="7428AEEE" w14:textId="77777777" w:rsidR="0055212D" w:rsidRPr="001D160C" w:rsidRDefault="0055212D" w:rsidP="004B4938">
            <w:pPr>
              <w:pStyle w:val="Tabletext"/>
              <w:jc w:val="center"/>
              <w:rPr>
                <w:lang w:eastAsia="zh-CN"/>
              </w:rPr>
            </w:pPr>
            <w:r w:rsidRPr="001D160C">
              <w:rPr>
                <w:lang w:eastAsia="zh-CN"/>
              </w:rPr>
              <w:t>1/2</w:t>
            </w:r>
          </w:p>
        </w:tc>
      </w:tr>
      <w:tr w:rsidR="0055212D" w:rsidRPr="001D160C" w14:paraId="67164388"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446540D8" w14:textId="77777777" w:rsidR="0055212D" w:rsidRPr="001D160C" w:rsidRDefault="0055212D" w:rsidP="004B4938">
            <w:pPr>
              <w:pStyle w:val="Tabletext"/>
              <w:rPr>
                <w:rFonts w:cs="Arial"/>
                <w:szCs w:val="22"/>
                <w:lang w:eastAsia="zh-CN"/>
              </w:rPr>
            </w:pPr>
            <w:r w:rsidRPr="001D160C">
              <w:rPr>
                <w:rFonts w:cs="Arial"/>
                <w:szCs w:val="22"/>
                <w:lang w:eastAsia="zh-CN"/>
              </w:rPr>
              <w:t>Pérou</w:t>
            </w:r>
          </w:p>
        </w:tc>
        <w:tc>
          <w:tcPr>
            <w:tcW w:w="3118" w:type="dxa"/>
            <w:tcBorders>
              <w:top w:val="nil"/>
              <w:left w:val="single" w:sz="4" w:space="0" w:color="auto"/>
              <w:right w:val="single" w:sz="4" w:space="0" w:color="auto"/>
            </w:tcBorders>
            <w:shd w:val="clear" w:color="auto" w:fill="auto"/>
            <w:noWrap/>
            <w:vAlign w:val="bottom"/>
          </w:tcPr>
          <w:p w14:paraId="7B758903"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7C65555E"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5C299398" w14:textId="77777777" w:rsidR="0055212D" w:rsidRPr="001D160C" w:rsidRDefault="0055212D" w:rsidP="004B4938">
            <w:pPr>
              <w:pStyle w:val="Tabletext"/>
              <w:rPr>
                <w:rFonts w:cs="Arial"/>
                <w:szCs w:val="22"/>
                <w:lang w:eastAsia="zh-CN"/>
              </w:rPr>
            </w:pPr>
            <w:r w:rsidRPr="001D160C">
              <w:rPr>
                <w:rFonts w:cs="Arial"/>
                <w:szCs w:val="22"/>
                <w:lang w:eastAsia="zh-CN"/>
              </w:rPr>
              <w:t>Philippines</w:t>
            </w:r>
          </w:p>
        </w:tc>
        <w:tc>
          <w:tcPr>
            <w:tcW w:w="3118" w:type="dxa"/>
            <w:tcBorders>
              <w:top w:val="nil"/>
              <w:left w:val="single" w:sz="4" w:space="0" w:color="auto"/>
              <w:right w:val="single" w:sz="4" w:space="0" w:color="auto"/>
            </w:tcBorders>
            <w:shd w:val="clear" w:color="auto" w:fill="auto"/>
            <w:noWrap/>
            <w:vAlign w:val="bottom"/>
          </w:tcPr>
          <w:p w14:paraId="42100A3B" w14:textId="77777777" w:rsidR="0055212D" w:rsidRPr="001D160C" w:rsidRDefault="0055212D" w:rsidP="004B4938">
            <w:pPr>
              <w:pStyle w:val="Tabletext"/>
              <w:jc w:val="center"/>
              <w:rPr>
                <w:lang w:eastAsia="zh-CN"/>
              </w:rPr>
            </w:pPr>
            <w:r w:rsidRPr="001D160C">
              <w:rPr>
                <w:lang w:eastAsia="zh-CN"/>
              </w:rPr>
              <w:t>1/2</w:t>
            </w:r>
          </w:p>
        </w:tc>
      </w:tr>
      <w:tr w:rsidR="0055212D" w:rsidRPr="001D160C" w14:paraId="34471163" w14:textId="77777777" w:rsidTr="005D5D8D">
        <w:trPr>
          <w:trHeight w:val="300"/>
          <w:jc w:val="center"/>
        </w:trPr>
        <w:tc>
          <w:tcPr>
            <w:tcW w:w="4390" w:type="dxa"/>
            <w:tcBorders>
              <w:left w:val="single" w:sz="4" w:space="0" w:color="auto"/>
              <w:right w:val="single" w:sz="4" w:space="0" w:color="auto"/>
            </w:tcBorders>
            <w:shd w:val="clear" w:color="000000" w:fill="FFFFFF"/>
            <w:noWrap/>
            <w:vAlign w:val="bottom"/>
          </w:tcPr>
          <w:p w14:paraId="5688F27B" w14:textId="77777777" w:rsidR="0055212D" w:rsidRPr="001D160C" w:rsidRDefault="0055212D" w:rsidP="004B4938">
            <w:pPr>
              <w:pStyle w:val="Tabletext"/>
              <w:rPr>
                <w:rFonts w:cs="Arial"/>
                <w:szCs w:val="22"/>
                <w:lang w:eastAsia="zh-CN"/>
              </w:rPr>
            </w:pPr>
            <w:r w:rsidRPr="001D160C">
              <w:rPr>
                <w:rFonts w:cs="Arial"/>
                <w:szCs w:val="22"/>
                <w:lang w:eastAsia="zh-CN"/>
              </w:rPr>
              <w:t>Pologne</w:t>
            </w:r>
          </w:p>
        </w:tc>
        <w:tc>
          <w:tcPr>
            <w:tcW w:w="3118" w:type="dxa"/>
            <w:tcBorders>
              <w:left w:val="single" w:sz="4" w:space="0" w:color="auto"/>
              <w:right w:val="single" w:sz="4" w:space="0" w:color="auto"/>
            </w:tcBorders>
            <w:shd w:val="clear" w:color="auto" w:fill="auto"/>
            <w:noWrap/>
            <w:vAlign w:val="bottom"/>
          </w:tcPr>
          <w:p w14:paraId="5ECB31EC" w14:textId="77777777" w:rsidR="0055212D" w:rsidRPr="001D160C" w:rsidRDefault="0055212D" w:rsidP="004B4938">
            <w:pPr>
              <w:pStyle w:val="Tabletext"/>
              <w:jc w:val="center"/>
              <w:rPr>
                <w:lang w:eastAsia="zh-CN"/>
              </w:rPr>
            </w:pPr>
            <w:r w:rsidRPr="001D160C">
              <w:rPr>
                <w:lang w:eastAsia="zh-CN"/>
              </w:rPr>
              <w:t>1</w:t>
            </w:r>
          </w:p>
        </w:tc>
      </w:tr>
      <w:tr w:rsidR="0055212D" w:rsidRPr="001D160C" w14:paraId="3445BD25"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2572D6F6" w14:textId="77777777" w:rsidR="0055212D" w:rsidRPr="001D160C" w:rsidRDefault="0055212D" w:rsidP="004B4938">
            <w:pPr>
              <w:pStyle w:val="Tabletext"/>
              <w:rPr>
                <w:rFonts w:cs="Arial"/>
                <w:szCs w:val="22"/>
                <w:lang w:eastAsia="zh-CN"/>
              </w:rPr>
            </w:pPr>
            <w:r w:rsidRPr="001D160C">
              <w:rPr>
                <w:rFonts w:cs="Arial"/>
                <w:szCs w:val="22"/>
                <w:lang w:eastAsia="zh-CN"/>
              </w:rPr>
              <w:t>Portugal</w:t>
            </w:r>
          </w:p>
        </w:tc>
        <w:tc>
          <w:tcPr>
            <w:tcW w:w="3118" w:type="dxa"/>
            <w:tcBorders>
              <w:top w:val="nil"/>
              <w:left w:val="single" w:sz="4" w:space="0" w:color="auto"/>
              <w:right w:val="single" w:sz="4" w:space="0" w:color="auto"/>
            </w:tcBorders>
            <w:shd w:val="clear" w:color="auto" w:fill="auto"/>
            <w:noWrap/>
            <w:vAlign w:val="bottom"/>
          </w:tcPr>
          <w:p w14:paraId="41AD6698" w14:textId="77777777" w:rsidR="0055212D" w:rsidRPr="001D160C" w:rsidRDefault="0055212D" w:rsidP="004B4938">
            <w:pPr>
              <w:pStyle w:val="Tabletext"/>
              <w:jc w:val="center"/>
              <w:rPr>
                <w:lang w:eastAsia="zh-CN"/>
              </w:rPr>
            </w:pPr>
            <w:r w:rsidRPr="001D160C">
              <w:rPr>
                <w:lang w:eastAsia="zh-CN"/>
              </w:rPr>
              <w:t>1</w:t>
            </w:r>
          </w:p>
        </w:tc>
      </w:tr>
      <w:tr w:rsidR="0055212D" w:rsidRPr="001D160C" w14:paraId="35B54517"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72760BCE" w14:textId="77777777" w:rsidR="0055212D" w:rsidRPr="001D160C" w:rsidRDefault="0055212D" w:rsidP="004B4938">
            <w:pPr>
              <w:pStyle w:val="Tabletext"/>
              <w:rPr>
                <w:rFonts w:cs="Arial"/>
                <w:szCs w:val="22"/>
                <w:lang w:eastAsia="zh-CN"/>
              </w:rPr>
            </w:pPr>
            <w:r w:rsidRPr="001D160C">
              <w:rPr>
                <w:rFonts w:cs="Arial"/>
                <w:szCs w:val="22"/>
                <w:lang w:eastAsia="zh-CN"/>
              </w:rPr>
              <w:t>Qatar</w:t>
            </w:r>
          </w:p>
        </w:tc>
        <w:tc>
          <w:tcPr>
            <w:tcW w:w="3118" w:type="dxa"/>
            <w:tcBorders>
              <w:top w:val="nil"/>
              <w:left w:val="single" w:sz="4" w:space="0" w:color="auto"/>
              <w:right w:val="single" w:sz="4" w:space="0" w:color="auto"/>
            </w:tcBorders>
            <w:shd w:val="clear" w:color="auto" w:fill="auto"/>
            <w:noWrap/>
            <w:vAlign w:val="bottom"/>
          </w:tcPr>
          <w:p w14:paraId="35AFD619" w14:textId="77777777" w:rsidR="0055212D" w:rsidRPr="001D160C" w:rsidRDefault="0055212D" w:rsidP="004B4938">
            <w:pPr>
              <w:pStyle w:val="Tabletext"/>
              <w:jc w:val="center"/>
              <w:rPr>
                <w:lang w:eastAsia="zh-CN"/>
              </w:rPr>
            </w:pPr>
            <w:r w:rsidRPr="001D160C">
              <w:rPr>
                <w:lang w:eastAsia="zh-CN"/>
              </w:rPr>
              <w:t>2</w:t>
            </w:r>
          </w:p>
        </w:tc>
      </w:tr>
      <w:tr w:rsidR="0055212D" w:rsidRPr="001D160C" w14:paraId="0C79A089"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3950FF8D" w14:textId="77777777" w:rsidR="0055212D" w:rsidRPr="001D160C" w:rsidRDefault="0055212D" w:rsidP="004B4938">
            <w:pPr>
              <w:pStyle w:val="Tabletext"/>
              <w:rPr>
                <w:rFonts w:cs="Arial"/>
                <w:szCs w:val="22"/>
                <w:lang w:eastAsia="zh-CN"/>
              </w:rPr>
            </w:pPr>
            <w:r w:rsidRPr="001D160C">
              <w:rPr>
                <w:rFonts w:cs="Arial"/>
                <w:szCs w:val="22"/>
                <w:lang w:eastAsia="zh-CN"/>
              </w:rPr>
              <w:t>Roumanie</w:t>
            </w:r>
          </w:p>
        </w:tc>
        <w:tc>
          <w:tcPr>
            <w:tcW w:w="3118" w:type="dxa"/>
            <w:tcBorders>
              <w:top w:val="nil"/>
              <w:left w:val="single" w:sz="4" w:space="0" w:color="auto"/>
              <w:right w:val="single" w:sz="4" w:space="0" w:color="auto"/>
            </w:tcBorders>
            <w:shd w:val="clear" w:color="auto" w:fill="auto"/>
            <w:noWrap/>
            <w:vAlign w:val="bottom"/>
          </w:tcPr>
          <w:p w14:paraId="736889C1" w14:textId="77777777" w:rsidR="0055212D" w:rsidRPr="001D160C" w:rsidRDefault="0055212D" w:rsidP="004B4938">
            <w:pPr>
              <w:pStyle w:val="Tabletext"/>
              <w:jc w:val="center"/>
              <w:rPr>
                <w:lang w:eastAsia="zh-CN"/>
              </w:rPr>
            </w:pPr>
            <w:r w:rsidRPr="001D160C">
              <w:rPr>
                <w:lang w:eastAsia="zh-CN"/>
              </w:rPr>
              <w:t>1</w:t>
            </w:r>
          </w:p>
        </w:tc>
      </w:tr>
      <w:tr w:rsidR="0055212D" w:rsidRPr="001D160C" w14:paraId="245836A8"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31105F25" w14:textId="77777777" w:rsidR="0055212D" w:rsidRPr="001D160C" w:rsidRDefault="0055212D" w:rsidP="004B4938">
            <w:pPr>
              <w:pStyle w:val="Tabletext"/>
              <w:rPr>
                <w:rFonts w:cs="Arial"/>
                <w:szCs w:val="22"/>
                <w:lang w:eastAsia="zh-CN"/>
              </w:rPr>
            </w:pPr>
            <w:r w:rsidRPr="001D160C">
              <w:rPr>
                <w:rFonts w:cs="Arial"/>
                <w:szCs w:val="22"/>
                <w:lang w:eastAsia="zh-CN"/>
              </w:rPr>
              <w:t>Fédération de Russie</w:t>
            </w:r>
          </w:p>
        </w:tc>
        <w:tc>
          <w:tcPr>
            <w:tcW w:w="3118" w:type="dxa"/>
            <w:tcBorders>
              <w:top w:val="nil"/>
              <w:left w:val="single" w:sz="4" w:space="0" w:color="auto"/>
              <w:right w:val="single" w:sz="4" w:space="0" w:color="auto"/>
            </w:tcBorders>
            <w:shd w:val="clear" w:color="auto" w:fill="auto"/>
            <w:noWrap/>
            <w:vAlign w:val="bottom"/>
          </w:tcPr>
          <w:p w14:paraId="5C1ECAD5" w14:textId="77777777" w:rsidR="0055212D" w:rsidRPr="001D160C" w:rsidRDefault="0055212D" w:rsidP="004B4938">
            <w:pPr>
              <w:pStyle w:val="Tabletext"/>
              <w:jc w:val="center"/>
              <w:rPr>
                <w:lang w:eastAsia="zh-CN"/>
              </w:rPr>
            </w:pPr>
            <w:r w:rsidRPr="001D160C">
              <w:rPr>
                <w:lang w:eastAsia="zh-CN"/>
              </w:rPr>
              <w:t>15</w:t>
            </w:r>
          </w:p>
        </w:tc>
      </w:tr>
      <w:tr w:rsidR="0055212D" w:rsidRPr="001D160C" w14:paraId="051A4978"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6735865F" w14:textId="77777777" w:rsidR="0055212D" w:rsidRPr="001D160C" w:rsidRDefault="0055212D" w:rsidP="004B4938">
            <w:pPr>
              <w:pStyle w:val="Tabletext"/>
              <w:rPr>
                <w:rFonts w:cs="Arial"/>
                <w:szCs w:val="22"/>
                <w:lang w:eastAsia="zh-CN"/>
              </w:rPr>
            </w:pPr>
            <w:r w:rsidRPr="001D160C">
              <w:rPr>
                <w:rFonts w:cs="Arial"/>
                <w:szCs w:val="22"/>
                <w:lang w:eastAsia="zh-CN"/>
              </w:rPr>
              <w:t>Rwanda</w:t>
            </w:r>
          </w:p>
        </w:tc>
        <w:tc>
          <w:tcPr>
            <w:tcW w:w="3118" w:type="dxa"/>
            <w:tcBorders>
              <w:top w:val="nil"/>
              <w:left w:val="single" w:sz="4" w:space="0" w:color="auto"/>
              <w:right w:val="single" w:sz="4" w:space="0" w:color="auto"/>
            </w:tcBorders>
            <w:shd w:val="clear" w:color="auto" w:fill="auto"/>
            <w:noWrap/>
            <w:vAlign w:val="bottom"/>
          </w:tcPr>
          <w:p w14:paraId="0B70E553"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6316FC88"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5C81296E" w14:textId="77777777" w:rsidR="0055212D" w:rsidRPr="001D160C" w:rsidRDefault="0055212D" w:rsidP="004B4938">
            <w:pPr>
              <w:pStyle w:val="Tabletext"/>
              <w:rPr>
                <w:rFonts w:cs="Arial"/>
                <w:szCs w:val="22"/>
                <w:lang w:eastAsia="zh-CN"/>
              </w:rPr>
            </w:pPr>
            <w:r w:rsidRPr="001D160C">
              <w:rPr>
                <w:rFonts w:cs="Arial"/>
                <w:szCs w:val="22"/>
                <w:lang w:eastAsia="zh-CN"/>
              </w:rPr>
              <w:t>Saint-Kitts-et-Nevis</w:t>
            </w:r>
          </w:p>
        </w:tc>
        <w:tc>
          <w:tcPr>
            <w:tcW w:w="3118" w:type="dxa"/>
            <w:tcBorders>
              <w:top w:val="nil"/>
              <w:left w:val="single" w:sz="4" w:space="0" w:color="auto"/>
              <w:right w:val="single" w:sz="4" w:space="0" w:color="auto"/>
            </w:tcBorders>
            <w:shd w:val="clear" w:color="auto" w:fill="auto"/>
            <w:noWrap/>
            <w:vAlign w:val="bottom"/>
          </w:tcPr>
          <w:p w14:paraId="621F3A93"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30B944F5"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03E2D32A" w14:textId="77777777" w:rsidR="0055212D" w:rsidRPr="001D160C" w:rsidRDefault="0055212D" w:rsidP="004B4938">
            <w:pPr>
              <w:pStyle w:val="Tabletext"/>
              <w:rPr>
                <w:rFonts w:cs="Arial"/>
                <w:szCs w:val="22"/>
                <w:lang w:eastAsia="zh-CN"/>
              </w:rPr>
            </w:pPr>
            <w:r w:rsidRPr="001D160C">
              <w:rPr>
                <w:rFonts w:cs="Arial"/>
                <w:szCs w:val="22"/>
                <w:lang w:eastAsia="zh-CN"/>
              </w:rPr>
              <w:t>Sainte-Lucie</w:t>
            </w:r>
          </w:p>
        </w:tc>
        <w:tc>
          <w:tcPr>
            <w:tcW w:w="3118" w:type="dxa"/>
            <w:tcBorders>
              <w:top w:val="nil"/>
              <w:left w:val="single" w:sz="4" w:space="0" w:color="auto"/>
              <w:right w:val="single" w:sz="4" w:space="0" w:color="auto"/>
            </w:tcBorders>
            <w:shd w:val="clear" w:color="auto" w:fill="auto"/>
            <w:noWrap/>
            <w:vAlign w:val="bottom"/>
          </w:tcPr>
          <w:p w14:paraId="2FCB98FF"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63F63C73" w14:textId="77777777" w:rsidTr="0055212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4E972812" w14:textId="77777777" w:rsidR="0055212D" w:rsidRPr="001D160C" w:rsidRDefault="0055212D" w:rsidP="004B4938">
            <w:pPr>
              <w:pStyle w:val="Tabletext"/>
              <w:rPr>
                <w:rFonts w:cs="Arial"/>
                <w:szCs w:val="22"/>
                <w:lang w:eastAsia="zh-CN"/>
              </w:rPr>
            </w:pPr>
            <w:r w:rsidRPr="001D160C">
              <w:rPr>
                <w:rFonts w:cs="Arial"/>
                <w:szCs w:val="22"/>
                <w:lang w:eastAsia="zh-CN"/>
              </w:rPr>
              <w:t>Saint-Vincent-et-les-Grenadines</w:t>
            </w:r>
          </w:p>
        </w:tc>
        <w:tc>
          <w:tcPr>
            <w:tcW w:w="3118" w:type="dxa"/>
            <w:tcBorders>
              <w:top w:val="nil"/>
              <w:left w:val="single" w:sz="4" w:space="0" w:color="auto"/>
              <w:right w:val="single" w:sz="4" w:space="0" w:color="auto"/>
            </w:tcBorders>
            <w:shd w:val="clear" w:color="auto" w:fill="auto"/>
            <w:noWrap/>
            <w:vAlign w:val="bottom"/>
          </w:tcPr>
          <w:p w14:paraId="17E915CE"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3F60F4FA" w14:textId="77777777" w:rsidTr="0055212D">
        <w:trPr>
          <w:trHeight w:val="300"/>
          <w:jc w:val="center"/>
        </w:trPr>
        <w:tc>
          <w:tcPr>
            <w:tcW w:w="4390" w:type="dxa"/>
            <w:tcBorders>
              <w:left w:val="single" w:sz="4" w:space="0" w:color="auto"/>
              <w:right w:val="single" w:sz="4" w:space="0" w:color="auto"/>
            </w:tcBorders>
            <w:shd w:val="clear" w:color="000000" w:fill="FFFFFF"/>
            <w:noWrap/>
            <w:vAlign w:val="bottom"/>
          </w:tcPr>
          <w:p w14:paraId="787A05F4" w14:textId="77777777" w:rsidR="0055212D" w:rsidRPr="001D160C" w:rsidRDefault="0055212D" w:rsidP="004B4938">
            <w:pPr>
              <w:pStyle w:val="Tabletext"/>
              <w:rPr>
                <w:rFonts w:cs="Arial"/>
                <w:szCs w:val="22"/>
                <w:lang w:eastAsia="zh-CN"/>
              </w:rPr>
            </w:pPr>
            <w:r w:rsidRPr="001D160C">
              <w:rPr>
                <w:rFonts w:cs="Arial"/>
                <w:szCs w:val="22"/>
                <w:lang w:eastAsia="zh-CN"/>
              </w:rPr>
              <w:t>Samoa</w:t>
            </w:r>
          </w:p>
        </w:tc>
        <w:tc>
          <w:tcPr>
            <w:tcW w:w="3118" w:type="dxa"/>
            <w:tcBorders>
              <w:left w:val="single" w:sz="4" w:space="0" w:color="auto"/>
              <w:right w:val="single" w:sz="4" w:space="0" w:color="auto"/>
            </w:tcBorders>
            <w:shd w:val="clear" w:color="auto" w:fill="auto"/>
            <w:noWrap/>
            <w:vAlign w:val="bottom"/>
          </w:tcPr>
          <w:p w14:paraId="7C435D58"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7A9557FE"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05A2E5FA" w14:textId="77777777" w:rsidR="0055212D" w:rsidRPr="001D160C" w:rsidRDefault="0055212D" w:rsidP="004B4938">
            <w:pPr>
              <w:pStyle w:val="Tabletext"/>
              <w:rPr>
                <w:rFonts w:cs="Arial"/>
                <w:szCs w:val="22"/>
                <w:lang w:eastAsia="zh-CN"/>
              </w:rPr>
            </w:pPr>
            <w:r w:rsidRPr="001D160C">
              <w:rPr>
                <w:rFonts w:cs="Arial"/>
                <w:szCs w:val="22"/>
                <w:lang w:eastAsia="zh-CN"/>
              </w:rPr>
              <w:t>Saint-Marin</w:t>
            </w:r>
          </w:p>
        </w:tc>
        <w:tc>
          <w:tcPr>
            <w:tcW w:w="3118" w:type="dxa"/>
            <w:tcBorders>
              <w:top w:val="nil"/>
              <w:left w:val="single" w:sz="4" w:space="0" w:color="auto"/>
              <w:right w:val="single" w:sz="4" w:space="0" w:color="auto"/>
            </w:tcBorders>
            <w:shd w:val="clear" w:color="auto" w:fill="auto"/>
            <w:noWrap/>
            <w:vAlign w:val="bottom"/>
          </w:tcPr>
          <w:p w14:paraId="555D626A"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067757CE"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4E5DA328" w14:textId="77777777" w:rsidR="0055212D" w:rsidRPr="001D160C" w:rsidRDefault="0055212D" w:rsidP="004B4938">
            <w:pPr>
              <w:pStyle w:val="Tabletext"/>
              <w:rPr>
                <w:rFonts w:cs="Arial"/>
                <w:szCs w:val="22"/>
                <w:lang w:eastAsia="zh-CN"/>
              </w:rPr>
            </w:pPr>
            <w:r w:rsidRPr="001D160C">
              <w:rPr>
                <w:rFonts w:cs="Arial"/>
                <w:szCs w:val="22"/>
                <w:lang w:eastAsia="zh-CN"/>
              </w:rPr>
              <w:t>Sao Tomé-et-Principe</w:t>
            </w:r>
          </w:p>
        </w:tc>
        <w:tc>
          <w:tcPr>
            <w:tcW w:w="3118" w:type="dxa"/>
            <w:tcBorders>
              <w:top w:val="nil"/>
              <w:left w:val="single" w:sz="4" w:space="0" w:color="auto"/>
              <w:right w:val="single" w:sz="4" w:space="0" w:color="auto"/>
            </w:tcBorders>
            <w:shd w:val="clear" w:color="auto" w:fill="auto"/>
            <w:noWrap/>
            <w:vAlign w:val="bottom"/>
          </w:tcPr>
          <w:p w14:paraId="79492758"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33231E1E"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2B701EA1" w14:textId="77777777" w:rsidR="0055212D" w:rsidRPr="001D160C" w:rsidRDefault="0055212D" w:rsidP="004B4938">
            <w:pPr>
              <w:pStyle w:val="Tabletext"/>
              <w:rPr>
                <w:rFonts w:cs="Arial"/>
                <w:szCs w:val="22"/>
                <w:lang w:eastAsia="zh-CN"/>
              </w:rPr>
            </w:pPr>
            <w:r w:rsidRPr="001D160C">
              <w:rPr>
                <w:rFonts w:cs="Arial"/>
                <w:szCs w:val="22"/>
                <w:lang w:eastAsia="zh-CN"/>
              </w:rPr>
              <w:t>Arabie saoudite</w:t>
            </w:r>
          </w:p>
        </w:tc>
        <w:tc>
          <w:tcPr>
            <w:tcW w:w="3118" w:type="dxa"/>
            <w:tcBorders>
              <w:top w:val="nil"/>
              <w:left w:val="single" w:sz="4" w:space="0" w:color="auto"/>
              <w:right w:val="single" w:sz="4" w:space="0" w:color="auto"/>
            </w:tcBorders>
            <w:shd w:val="clear" w:color="auto" w:fill="auto"/>
            <w:noWrap/>
            <w:vAlign w:val="bottom"/>
          </w:tcPr>
          <w:p w14:paraId="0753C116" w14:textId="77777777" w:rsidR="0055212D" w:rsidRPr="001D160C" w:rsidRDefault="0055212D" w:rsidP="004B4938">
            <w:pPr>
              <w:pStyle w:val="Tabletext"/>
              <w:jc w:val="center"/>
              <w:rPr>
                <w:lang w:eastAsia="zh-CN"/>
              </w:rPr>
            </w:pPr>
            <w:r w:rsidRPr="001D160C">
              <w:rPr>
                <w:lang w:eastAsia="zh-CN"/>
              </w:rPr>
              <w:t>13</w:t>
            </w:r>
          </w:p>
        </w:tc>
      </w:tr>
      <w:tr w:rsidR="0055212D" w:rsidRPr="001D160C" w14:paraId="23916E68"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6547366B" w14:textId="77777777" w:rsidR="0055212D" w:rsidRPr="001D160C" w:rsidRDefault="0055212D" w:rsidP="004B4938">
            <w:pPr>
              <w:pStyle w:val="Tabletext"/>
              <w:rPr>
                <w:rFonts w:cs="Arial"/>
                <w:szCs w:val="22"/>
                <w:lang w:eastAsia="zh-CN"/>
              </w:rPr>
            </w:pPr>
            <w:r w:rsidRPr="001D160C">
              <w:rPr>
                <w:rFonts w:cs="Arial"/>
                <w:szCs w:val="22"/>
                <w:lang w:eastAsia="zh-CN"/>
              </w:rPr>
              <w:t>Sénégal</w:t>
            </w:r>
          </w:p>
        </w:tc>
        <w:tc>
          <w:tcPr>
            <w:tcW w:w="3118" w:type="dxa"/>
            <w:tcBorders>
              <w:top w:val="nil"/>
              <w:left w:val="single" w:sz="4" w:space="0" w:color="auto"/>
              <w:right w:val="single" w:sz="4" w:space="0" w:color="auto"/>
            </w:tcBorders>
            <w:shd w:val="clear" w:color="auto" w:fill="auto"/>
            <w:noWrap/>
            <w:vAlign w:val="bottom"/>
          </w:tcPr>
          <w:p w14:paraId="77FF98AF" w14:textId="77777777" w:rsidR="0055212D" w:rsidRPr="001D160C" w:rsidRDefault="0055212D" w:rsidP="004B4938">
            <w:pPr>
              <w:pStyle w:val="Tabletext"/>
              <w:jc w:val="center"/>
              <w:rPr>
                <w:lang w:eastAsia="zh-CN"/>
              </w:rPr>
            </w:pPr>
            <w:r w:rsidRPr="001D160C">
              <w:rPr>
                <w:lang w:eastAsia="zh-CN"/>
              </w:rPr>
              <w:t>1</w:t>
            </w:r>
          </w:p>
        </w:tc>
      </w:tr>
      <w:tr w:rsidR="0055212D" w:rsidRPr="001D160C" w14:paraId="0C0FA726"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1D4556F0" w14:textId="77777777" w:rsidR="0055212D" w:rsidRPr="001D160C" w:rsidRDefault="0055212D" w:rsidP="004B4938">
            <w:pPr>
              <w:pStyle w:val="Tabletext"/>
              <w:rPr>
                <w:rFonts w:cs="Arial"/>
                <w:szCs w:val="22"/>
                <w:lang w:eastAsia="zh-CN"/>
              </w:rPr>
            </w:pPr>
            <w:r w:rsidRPr="001D160C">
              <w:rPr>
                <w:rFonts w:cs="Arial"/>
                <w:szCs w:val="22"/>
                <w:lang w:eastAsia="zh-CN"/>
              </w:rPr>
              <w:t>Serbie</w:t>
            </w:r>
          </w:p>
        </w:tc>
        <w:tc>
          <w:tcPr>
            <w:tcW w:w="3118" w:type="dxa"/>
            <w:tcBorders>
              <w:top w:val="nil"/>
              <w:left w:val="single" w:sz="4" w:space="0" w:color="auto"/>
              <w:right w:val="single" w:sz="4" w:space="0" w:color="auto"/>
            </w:tcBorders>
            <w:shd w:val="clear" w:color="auto" w:fill="auto"/>
            <w:noWrap/>
            <w:vAlign w:val="bottom"/>
          </w:tcPr>
          <w:p w14:paraId="0824EFC9"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7002938A"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4F8C07F6" w14:textId="77777777" w:rsidR="0055212D" w:rsidRPr="001D160C" w:rsidRDefault="0055212D" w:rsidP="004B4938">
            <w:pPr>
              <w:pStyle w:val="Tabletext"/>
              <w:rPr>
                <w:rFonts w:cs="Arial"/>
                <w:szCs w:val="22"/>
                <w:lang w:eastAsia="zh-CN"/>
              </w:rPr>
            </w:pPr>
            <w:r w:rsidRPr="001D160C">
              <w:rPr>
                <w:rFonts w:cs="Arial"/>
                <w:szCs w:val="22"/>
                <w:lang w:eastAsia="zh-CN"/>
              </w:rPr>
              <w:t xml:space="preserve">Seychelles </w:t>
            </w:r>
          </w:p>
        </w:tc>
        <w:tc>
          <w:tcPr>
            <w:tcW w:w="3118" w:type="dxa"/>
            <w:tcBorders>
              <w:top w:val="nil"/>
              <w:left w:val="single" w:sz="4" w:space="0" w:color="auto"/>
              <w:right w:val="single" w:sz="4" w:space="0" w:color="auto"/>
            </w:tcBorders>
            <w:shd w:val="clear" w:color="auto" w:fill="auto"/>
            <w:noWrap/>
            <w:vAlign w:val="bottom"/>
          </w:tcPr>
          <w:p w14:paraId="4A1A5A2F"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5297C4EA"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2DE30680" w14:textId="77777777" w:rsidR="0055212D" w:rsidRPr="001D160C" w:rsidRDefault="0055212D" w:rsidP="004B4938">
            <w:pPr>
              <w:pStyle w:val="Tabletext"/>
              <w:rPr>
                <w:rFonts w:cs="Arial"/>
                <w:szCs w:val="22"/>
                <w:lang w:eastAsia="zh-CN"/>
              </w:rPr>
            </w:pPr>
            <w:r w:rsidRPr="001D160C">
              <w:rPr>
                <w:rFonts w:cs="Arial"/>
                <w:szCs w:val="22"/>
                <w:lang w:eastAsia="zh-CN"/>
              </w:rPr>
              <w:t>Sierra Leone</w:t>
            </w:r>
          </w:p>
        </w:tc>
        <w:tc>
          <w:tcPr>
            <w:tcW w:w="3118" w:type="dxa"/>
            <w:tcBorders>
              <w:top w:val="nil"/>
              <w:left w:val="single" w:sz="4" w:space="0" w:color="auto"/>
              <w:right w:val="single" w:sz="4" w:space="0" w:color="auto"/>
            </w:tcBorders>
            <w:shd w:val="clear" w:color="auto" w:fill="auto"/>
            <w:noWrap/>
            <w:vAlign w:val="bottom"/>
          </w:tcPr>
          <w:p w14:paraId="797D2F98" w14:textId="77777777" w:rsidR="0055212D" w:rsidRPr="001D160C" w:rsidRDefault="0055212D" w:rsidP="004B4938">
            <w:pPr>
              <w:pStyle w:val="Tabletext"/>
              <w:jc w:val="center"/>
              <w:rPr>
                <w:lang w:eastAsia="zh-CN"/>
              </w:rPr>
            </w:pPr>
            <w:r w:rsidRPr="001D160C">
              <w:rPr>
                <w:lang w:eastAsia="zh-CN"/>
              </w:rPr>
              <w:t>1/8</w:t>
            </w:r>
          </w:p>
        </w:tc>
      </w:tr>
      <w:tr w:rsidR="0055212D" w:rsidRPr="001D160C" w14:paraId="7A3EF583"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236A3806" w14:textId="77777777" w:rsidR="0055212D" w:rsidRPr="001D160C" w:rsidRDefault="0055212D" w:rsidP="004B4938">
            <w:pPr>
              <w:pStyle w:val="Tabletext"/>
              <w:rPr>
                <w:rFonts w:cs="Arial"/>
                <w:szCs w:val="22"/>
                <w:lang w:eastAsia="zh-CN"/>
              </w:rPr>
            </w:pPr>
            <w:r w:rsidRPr="001D160C">
              <w:rPr>
                <w:rFonts w:cs="Arial"/>
                <w:szCs w:val="22"/>
                <w:lang w:eastAsia="zh-CN"/>
              </w:rPr>
              <w:t>Singapour</w:t>
            </w:r>
          </w:p>
        </w:tc>
        <w:tc>
          <w:tcPr>
            <w:tcW w:w="3118" w:type="dxa"/>
            <w:tcBorders>
              <w:top w:val="nil"/>
              <w:left w:val="single" w:sz="4" w:space="0" w:color="auto"/>
              <w:right w:val="single" w:sz="4" w:space="0" w:color="auto"/>
            </w:tcBorders>
            <w:shd w:val="clear" w:color="auto" w:fill="auto"/>
            <w:noWrap/>
            <w:vAlign w:val="bottom"/>
          </w:tcPr>
          <w:p w14:paraId="3CF4110D" w14:textId="77777777" w:rsidR="0055212D" w:rsidRPr="001D160C" w:rsidRDefault="0055212D" w:rsidP="004B4938">
            <w:pPr>
              <w:pStyle w:val="Tabletext"/>
              <w:jc w:val="center"/>
              <w:rPr>
                <w:lang w:eastAsia="zh-CN"/>
              </w:rPr>
            </w:pPr>
            <w:r w:rsidRPr="001D160C">
              <w:rPr>
                <w:lang w:eastAsia="zh-CN"/>
              </w:rPr>
              <w:t>1</w:t>
            </w:r>
          </w:p>
        </w:tc>
      </w:tr>
      <w:tr w:rsidR="0055212D" w:rsidRPr="001D160C" w14:paraId="2BF7B077"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5C5DA1F7" w14:textId="77777777" w:rsidR="0055212D" w:rsidRPr="001D160C" w:rsidRDefault="0055212D" w:rsidP="004B4938">
            <w:pPr>
              <w:pStyle w:val="Tabletext"/>
              <w:rPr>
                <w:rFonts w:cs="Arial"/>
                <w:szCs w:val="22"/>
                <w:lang w:eastAsia="zh-CN"/>
              </w:rPr>
            </w:pPr>
            <w:r w:rsidRPr="001D160C">
              <w:rPr>
                <w:rFonts w:cs="Arial"/>
                <w:szCs w:val="22"/>
                <w:lang w:eastAsia="zh-CN"/>
              </w:rPr>
              <w:t>Slovaquie</w:t>
            </w:r>
          </w:p>
        </w:tc>
        <w:tc>
          <w:tcPr>
            <w:tcW w:w="3118" w:type="dxa"/>
            <w:tcBorders>
              <w:top w:val="nil"/>
              <w:left w:val="single" w:sz="4" w:space="0" w:color="auto"/>
              <w:right w:val="single" w:sz="4" w:space="0" w:color="auto"/>
            </w:tcBorders>
            <w:shd w:val="clear" w:color="auto" w:fill="auto"/>
            <w:noWrap/>
            <w:vAlign w:val="bottom"/>
          </w:tcPr>
          <w:p w14:paraId="0F1B78D8" w14:textId="77777777" w:rsidR="0055212D" w:rsidRPr="001D160C" w:rsidRDefault="0055212D" w:rsidP="004B4938">
            <w:pPr>
              <w:pStyle w:val="Tabletext"/>
              <w:jc w:val="center"/>
              <w:rPr>
                <w:lang w:eastAsia="zh-CN"/>
              </w:rPr>
            </w:pPr>
            <w:r w:rsidRPr="001D160C">
              <w:rPr>
                <w:lang w:eastAsia="zh-CN"/>
              </w:rPr>
              <w:t>1/2</w:t>
            </w:r>
          </w:p>
        </w:tc>
      </w:tr>
      <w:tr w:rsidR="0055212D" w:rsidRPr="001D160C" w14:paraId="382DDEF8"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58398F55" w14:textId="77777777" w:rsidR="0055212D" w:rsidRPr="001D160C" w:rsidRDefault="0055212D" w:rsidP="004B4938">
            <w:pPr>
              <w:pStyle w:val="Tabletext"/>
              <w:rPr>
                <w:rFonts w:cs="Arial"/>
                <w:szCs w:val="22"/>
                <w:lang w:eastAsia="zh-CN"/>
              </w:rPr>
            </w:pPr>
            <w:r w:rsidRPr="001D160C">
              <w:rPr>
                <w:rFonts w:cs="Arial"/>
                <w:szCs w:val="22"/>
                <w:lang w:eastAsia="zh-CN"/>
              </w:rPr>
              <w:t>Slovénie</w:t>
            </w:r>
          </w:p>
        </w:tc>
        <w:tc>
          <w:tcPr>
            <w:tcW w:w="3118" w:type="dxa"/>
            <w:tcBorders>
              <w:top w:val="nil"/>
              <w:left w:val="single" w:sz="4" w:space="0" w:color="auto"/>
              <w:right w:val="single" w:sz="4" w:space="0" w:color="auto"/>
            </w:tcBorders>
            <w:shd w:val="clear" w:color="auto" w:fill="auto"/>
            <w:noWrap/>
            <w:vAlign w:val="bottom"/>
          </w:tcPr>
          <w:p w14:paraId="333CA25F"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27DE8E51"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52CF9C5F" w14:textId="77777777" w:rsidR="0055212D" w:rsidRPr="001D160C" w:rsidRDefault="0055212D" w:rsidP="004B4938">
            <w:pPr>
              <w:pStyle w:val="Tabletext"/>
              <w:rPr>
                <w:rFonts w:cs="Arial"/>
                <w:szCs w:val="22"/>
                <w:lang w:eastAsia="zh-CN"/>
              </w:rPr>
            </w:pPr>
            <w:r w:rsidRPr="001D160C">
              <w:rPr>
                <w:rFonts w:cs="Arial"/>
                <w:szCs w:val="22"/>
                <w:lang w:eastAsia="zh-CN"/>
              </w:rPr>
              <w:t>Salomon (Îles)</w:t>
            </w:r>
          </w:p>
        </w:tc>
        <w:tc>
          <w:tcPr>
            <w:tcW w:w="3118" w:type="dxa"/>
            <w:tcBorders>
              <w:top w:val="nil"/>
              <w:left w:val="single" w:sz="4" w:space="0" w:color="auto"/>
              <w:right w:val="single" w:sz="4" w:space="0" w:color="auto"/>
            </w:tcBorders>
            <w:shd w:val="clear" w:color="auto" w:fill="auto"/>
            <w:noWrap/>
            <w:vAlign w:val="bottom"/>
          </w:tcPr>
          <w:p w14:paraId="01AEBEE8"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0AFEF580"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20069092" w14:textId="77777777" w:rsidR="0055212D" w:rsidRPr="001D160C" w:rsidRDefault="0055212D" w:rsidP="004B4938">
            <w:pPr>
              <w:pStyle w:val="Tabletext"/>
              <w:rPr>
                <w:rFonts w:cs="Arial"/>
                <w:szCs w:val="22"/>
                <w:lang w:eastAsia="zh-CN"/>
              </w:rPr>
            </w:pPr>
            <w:r w:rsidRPr="001D160C">
              <w:rPr>
                <w:rFonts w:cs="Arial"/>
                <w:szCs w:val="22"/>
                <w:lang w:eastAsia="zh-CN"/>
              </w:rPr>
              <w:t>Somalie</w:t>
            </w:r>
          </w:p>
        </w:tc>
        <w:tc>
          <w:tcPr>
            <w:tcW w:w="3118" w:type="dxa"/>
            <w:tcBorders>
              <w:top w:val="nil"/>
              <w:left w:val="single" w:sz="4" w:space="0" w:color="auto"/>
              <w:right w:val="single" w:sz="4" w:space="0" w:color="auto"/>
            </w:tcBorders>
            <w:shd w:val="clear" w:color="auto" w:fill="auto"/>
            <w:noWrap/>
            <w:vAlign w:val="bottom"/>
          </w:tcPr>
          <w:p w14:paraId="36E50509"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785118C1"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721CF10F" w14:textId="77777777" w:rsidR="0055212D" w:rsidRPr="001D160C" w:rsidRDefault="0055212D" w:rsidP="004B4938">
            <w:pPr>
              <w:pStyle w:val="Tabletext"/>
              <w:rPr>
                <w:rFonts w:cs="Arial"/>
                <w:szCs w:val="22"/>
                <w:lang w:eastAsia="zh-CN"/>
              </w:rPr>
            </w:pPr>
            <w:r w:rsidRPr="001D160C">
              <w:rPr>
                <w:rFonts w:cs="Arial"/>
                <w:szCs w:val="22"/>
                <w:lang w:eastAsia="zh-CN"/>
              </w:rPr>
              <w:t>République sudafricaine</w:t>
            </w:r>
          </w:p>
        </w:tc>
        <w:tc>
          <w:tcPr>
            <w:tcW w:w="3118" w:type="dxa"/>
            <w:tcBorders>
              <w:top w:val="nil"/>
              <w:left w:val="single" w:sz="4" w:space="0" w:color="auto"/>
              <w:right w:val="single" w:sz="4" w:space="0" w:color="auto"/>
            </w:tcBorders>
            <w:shd w:val="clear" w:color="auto" w:fill="auto"/>
            <w:noWrap/>
            <w:vAlign w:val="bottom"/>
          </w:tcPr>
          <w:p w14:paraId="5B58CA2D" w14:textId="77777777" w:rsidR="0055212D" w:rsidRPr="001D160C" w:rsidRDefault="0055212D" w:rsidP="004B4938">
            <w:pPr>
              <w:pStyle w:val="Tabletext"/>
              <w:jc w:val="center"/>
              <w:rPr>
                <w:lang w:eastAsia="zh-CN"/>
              </w:rPr>
            </w:pPr>
            <w:r w:rsidRPr="001D160C">
              <w:rPr>
                <w:lang w:eastAsia="zh-CN"/>
              </w:rPr>
              <w:t>4</w:t>
            </w:r>
          </w:p>
        </w:tc>
      </w:tr>
      <w:tr w:rsidR="0055212D" w:rsidRPr="001D160C" w14:paraId="2A6D3102"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5A2FA058" w14:textId="77777777" w:rsidR="0055212D" w:rsidRPr="001D160C" w:rsidRDefault="0055212D" w:rsidP="004B4938">
            <w:pPr>
              <w:pStyle w:val="Tabletext"/>
              <w:rPr>
                <w:rFonts w:cs="Arial"/>
                <w:szCs w:val="22"/>
                <w:lang w:eastAsia="zh-CN"/>
              </w:rPr>
            </w:pPr>
            <w:r w:rsidRPr="001D160C">
              <w:rPr>
                <w:rFonts w:cs="Arial"/>
                <w:szCs w:val="22"/>
                <w:lang w:eastAsia="zh-CN"/>
              </w:rPr>
              <w:t>Soudan du Sud</w:t>
            </w:r>
          </w:p>
        </w:tc>
        <w:tc>
          <w:tcPr>
            <w:tcW w:w="3118" w:type="dxa"/>
            <w:tcBorders>
              <w:top w:val="nil"/>
              <w:left w:val="single" w:sz="4" w:space="0" w:color="auto"/>
              <w:right w:val="single" w:sz="4" w:space="0" w:color="auto"/>
            </w:tcBorders>
            <w:shd w:val="clear" w:color="auto" w:fill="auto"/>
            <w:noWrap/>
            <w:vAlign w:val="bottom"/>
          </w:tcPr>
          <w:p w14:paraId="70273019"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04D3387A"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39FDF25E" w14:textId="77777777" w:rsidR="0055212D" w:rsidRPr="001D160C" w:rsidRDefault="0055212D" w:rsidP="004B4938">
            <w:pPr>
              <w:pStyle w:val="Tabletext"/>
              <w:rPr>
                <w:rFonts w:cs="Arial"/>
                <w:szCs w:val="22"/>
                <w:lang w:eastAsia="zh-CN"/>
              </w:rPr>
            </w:pPr>
            <w:r w:rsidRPr="001D160C">
              <w:rPr>
                <w:rFonts w:cs="Arial"/>
                <w:szCs w:val="22"/>
                <w:lang w:eastAsia="zh-CN"/>
              </w:rPr>
              <w:t xml:space="preserve">Espagne </w:t>
            </w:r>
          </w:p>
        </w:tc>
        <w:tc>
          <w:tcPr>
            <w:tcW w:w="3118" w:type="dxa"/>
            <w:tcBorders>
              <w:top w:val="nil"/>
              <w:left w:val="single" w:sz="4" w:space="0" w:color="auto"/>
              <w:right w:val="single" w:sz="4" w:space="0" w:color="auto"/>
            </w:tcBorders>
            <w:shd w:val="clear" w:color="auto" w:fill="auto"/>
            <w:noWrap/>
            <w:vAlign w:val="bottom"/>
          </w:tcPr>
          <w:p w14:paraId="5E47D56A" w14:textId="77777777" w:rsidR="0055212D" w:rsidRPr="001D160C" w:rsidRDefault="0055212D" w:rsidP="004B4938">
            <w:pPr>
              <w:pStyle w:val="Tabletext"/>
              <w:jc w:val="center"/>
              <w:rPr>
                <w:lang w:eastAsia="zh-CN"/>
              </w:rPr>
            </w:pPr>
            <w:r w:rsidRPr="001D160C">
              <w:rPr>
                <w:lang w:eastAsia="zh-CN"/>
              </w:rPr>
              <w:t>6</w:t>
            </w:r>
          </w:p>
        </w:tc>
      </w:tr>
      <w:tr w:rsidR="0055212D" w:rsidRPr="001D160C" w14:paraId="637EBFBD"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362A4230" w14:textId="77777777" w:rsidR="0055212D" w:rsidRPr="001D160C" w:rsidRDefault="0055212D" w:rsidP="004B4938">
            <w:pPr>
              <w:pStyle w:val="Tabletext"/>
              <w:rPr>
                <w:rFonts w:cs="Arial"/>
                <w:szCs w:val="22"/>
                <w:lang w:eastAsia="zh-CN"/>
              </w:rPr>
            </w:pPr>
            <w:r w:rsidRPr="001D160C">
              <w:rPr>
                <w:rFonts w:cs="Arial"/>
                <w:szCs w:val="22"/>
                <w:lang w:eastAsia="zh-CN"/>
              </w:rPr>
              <w:lastRenderedPageBreak/>
              <w:t>Sri Lanka</w:t>
            </w:r>
          </w:p>
        </w:tc>
        <w:tc>
          <w:tcPr>
            <w:tcW w:w="3118" w:type="dxa"/>
            <w:tcBorders>
              <w:top w:val="nil"/>
              <w:left w:val="single" w:sz="4" w:space="0" w:color="auto"/>
              <w:right w:val="single" w:sz="4" w:space="0" w:color="auto"/>
            </w:tcBorders>
            <w:shd w:val="clear" w:color="auto" w:fill="auto"/>
            <w:noWrap/>
            <w:vAlign w:val="bottom"/>
          </w:tcPr>
          <w:p w14:paraId="0E3A092D"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62DDEDD9"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108E9EF0" w14:textId="77777777" w:rsidR="0055212D" w:rsidRPr="001D160C" w:rsidRDefault="0055212D" w:rsidP="004B4938">
            <w:pPr>
              <w:pStyle w:val="Tabletext"/>
              <w:rPr>
                <w:rFonts w:cs="Arial"/>
                <w:szCs w:val="22"/>
                <w:lang w:eastAsia="zh-CN"/>
              </w:rPr>
            </w:pPr>
            <w:r w:rsidRPr="001D160C">
              <w:rPr>
                <w:rFonts w:cs="Arial"/>
                <w:szCs w:val="22"/>
                <w:lang w:eastAsia="zh-CN"/>
              </w:rPr>
              <w:t>Soudan</w:t>
            </w:r>
          </w:p>
        </w:tc>
        <w:tc>
          <w:tcPr>
            <w:tcW w:w="3118" w:type="dxa"/>
            <w:tcBorders>
              <w:top w:val="nil"/>
              <w:left w:val="single" w:sz="4" w:space="0" w:color="auto"/>
              <w:right w:val="single" w:sz="4" w:space="0" w:color="auto"/>
            </w:tcBorders>
            <w:shd w:val="clear" w:color="auto" w:fill="auto"/>
            <w:noWrap/>
            <w:vAlign w:val="bottom"/>
          </w:tcPr>
          <w:p w14:paraId="4A741888"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2E02A54F"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76FA92DE" w14:textId="77777777" w:rsidR="0055212D" w:rsidRPr="001D160C" w:rsidRDefault="0055212D" w:rsidP="004B4938">
            <w:pPr>
              <w:pStyle w:val="Tabletext"/>
              <w:rPr>
                <w:rFonts w:cs="Arial"/>
                <w:szCs w:val="22"/>
                <w:lang w:eastAsia="zh-CN"/>
              </w:rPr>
            </w:pPr>
            <w:r w:rsidRPr="001D160C">
              <w:rPr>
                <w:rFonts w:cs="Arial"/>
                <w:szCs w:val="22"/>
                <w:lang w:eastAsia="zh-CN"/>
              </w:rPr>
              <w:t>Suriname</w:t>
            </w:r>
          </w:p>
        </w:tc>
        <w:tc>
          <w:tcPr>
            <w:tcW w:w="3118" w:type="dxa"/>
            <w:tcBorders>
              <w:top w:val="nil"/>
              <w:left w:val="single" w:sz="4" w:space="0" w:color="auto"/>
              <w:right w:val="single" w:sz="4" w:space="0" w:color="auto"/>
            </w:tcBorders>
            <w:shd w:val="clear" w:color="auto" w:fill="auto"/>
            <w:noWrap/>
            <w:vAlign w:val="bottom"/>
          </w:tcPr>
          <w:p w14:paraId="05E14437"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22543E7B"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368C8B6F" w14:textId="77777777" w:rsidR="0055212D" w:rsidRPr="001D160C" w:rsidRDefault="0055212D" w:rsidP="004B4938">
            <w:pPr>
              <w:pStyle w:val="Tabletext"/>
              <w:rPr>
                <w:rFonts w:cs="Arial"/>
                <w:szCs w:val="22"/>
                <w:lang w:eastAsia="zh-CN"/>
              </w:rPr>
            </w:pPr>
            <w:r w:rsidRPr="001D160C">
              <w:rPr>
                <w:rFonts w:cs="Arial"/>
                <w:szCs w:val="22"/>
                <w:lang w:eastAsia="zh-CN"/>
              </w:rPr>
              <w:t>Suède</w:t>
            </w:r>
          </w:p>
        </w:tc>
        <w:tc>
          <w:tcPr>
            <w:tcW w:w="3118" w:type="dxa"/>
            <w:tcBorders>
              <w:top w:val="nil"/>
              <w:left w:val="single" w:sz="4" w:space="0" w:color="auto"/>
              <w:right w:val="single" w:sz="4" w:space="0" w:color="auto"/>
            </w:tcBorders>
            <w:shd w:val="clear" w:color="auto" w:fill="auto"/>
            <w:noWrap/>
            <w:vAlign w:val="bottom"/>
          </w:tcPr>
          <w:p w14:paraId="48CE02F5" w14:textId="77777777" w:rsidR="0055212D" w:rsidRPr="001D160C" w:rsidRDefault="0055212D" w:rsidP="004B4938">
            <w:pPr>
              <w:pStyle w:val="Tabletext"/>
              <w:jc w:val="center"/>
              <w:rPr>
                <w:lang w:eastAsia="zh-CN"/>
              </w:rPr>
            </w:pPr>
            <w:r w:rsidRPr="001D160C">
              <w:rPr>
                <w:lang w:eastAsia="zh-CN"/>
              </w:rPr>
              <w:t>4</w:t>
            </w:r>
          </w:p>
        </w:tc>
      </w:tr>
      <w:tr w:rsidR="0055212D" w:rsidRPr="001D160C" w14:paraId="0C23C05E"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14EDC77B" w14:textId="77777777" w:rsidR="0055212D" w:rsidRPr="001D160C" w:rsidRDefault="0055212D" w:rsidP="004B4938">
            <w:pPr>
              <w:pStyle w:val="Tabletext"/>
              <w:rPr>
                <w:rFonts w:cs="Arial"/>
                <w:szCs w:val="22"/>
                <w:lang w:eastAsia="zh-CN"/>
              </w:rPr>
            </w:pPr>
            <w:r w:rsidRPr="001D160C">
              <w:rPr>
                <w:rFonts w:cs="Arial"/>
                <w:szCs w:val="22"/>
                <w:lang w:eastAsia="zh-CN"/>
              </w:rPr>
              <w:t>Suisse</w:t>
            </w:r>
          </w:p>
        </w:tc>
        <w:tc>
          <w:tcPr>
            <w:tcW w:w="3118" w:type="dxa"/>
            <w:tcBorders>
              <w:top w:val="nil"/>
              <w:left w:val="single" w:sz="4" w:space="0" w:color="auto"/>
              <w:right w:val="single" w:sz="4" w:space="0" w:color="auto"/>
            </w:tcBorders>
            <w:shd w:val="clear" w:color="auto" w:fill="auto"/>
            <w:noWrap/>
            <w:vAlign w:val="bottom"/>
          </w:tcPr>
          <w:p w14:paraId="010A8883" w14:textId="77777777" w:rsidR="0055212D" w:rsidRPr="001D160C" w:rsidRDefault="0055212D" w:rsidP="004B4938">
            <w:pPr>
              <w:pStyle w:val="Tabletext"/>
              <w:jc w:val="center"/>
              <w:rPr>
                <w:lang w:eastAsia="zh-CN"/>
              </w:rPr>
            </w:pPr>
            <w:r w:rsidRPr="001D160C">
              <w:rPr>
                <w:lang w:eastAsia="zh-CN"/>
              </w:rPr>
              <w:t>10</w:t>
            </w:r>
          </w:p>
        </w:tc>
      </w:tr>
      <w:tr w:rsidR="0055212D" w:rsidRPr="001D160C" w14:paraId="326F3A0A"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52978128" w14:textId="77777777" w:rsidR="0055212D" w:rsidRPr="001D160C" w:rsidRDefault="0055212D" w:rsidP="004B4938">
            <w:pPr>
              <w:pStyle w:val="Tabletext"/>
              <w:rPr>
                <w:rFonts w:cs="Arial"/>
                <w:szCs w:val="22"/>
                <w:lang w:eastAsia="zh-CN"/>
              </w:rPr>
            </w:pPr>
            <w:r w:rsidRPr="001D160C">
              <w:rPr>
                <w:rFonts w:cs="Arial"/>
                <w:szCs w:val="22"/>
                <w:lang w:eastAsia="zh-CN"/>
              </w:rPr>
              <w:t>République arabe syrienne</w:t>
            </w:r>
          </w:p>
        </w:tc>
        <w:tc>
          <w:tcPr>
            <w:tcW w:w="3118" w:type="dxa"/>
            <w:tcBorders>
              <w:top w:val="nil"/>
              <w:left w:val="single" w:sz="4" w:space="0" w:color="auto"/>
              <w:right w:val="single" w:sz="4" w:space="0" w:color="auto"/>
            </w:tcBorders>
            <w:shd w:val="clear" w:color="auto" w:fill="auto"/>
            <w:noWrap/>
            <w:vAlign w:val="bottom"/>
          </w:tcPr>
          <w:p w14:paraId="1942CAEA"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0D6BA119"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701272F6" w14:textId="77777777" w:rsidR="0055212D" w:rsidRPr="001D160C" w:rsidRDefault="0055212D" w:rsidP="004B4938">
            <w:pPr>
              <w:pStyle w:val="Tabletext"/>
              <w:rPr>
                <w:rFonts w:cs="Arial"/>
                <w:szCs w:val="22"/>
                <w:lang w:eastAsia="zh-CN"/>
              </w:rPr>
            </w:pPr>
            <w:r w:rsidRPr="001D160C">
              <w:rPr>
                <w:rFonts w:cs="Arial"/>
                <w:szCs w:val="22"/>
                <w:lang w:eastAsia="zh-CN"/>
              </w:rPr>
              <w:t>Tadjikistan</w:t>
            </w:r>
          </w:p>
        </w:tc>
        <w:tc>
          <w:tcPr>
            <w:tcW w:w="3118" w:type="dxa"/>
            <w:tcBorders>
              <w:top w:val="nil"/>
              <w:left w:val="single" w:sz="4" w:space="0" w:color="auto"/>
              <w:right w:val="single" w:sz="4" w:space="0" w:color="auto"/>
            </w:tcBorders>
            <w:shd w:val="clear" w:color="auto" w:fill="auto"/>
            <w:noWrap/>
            <w:vAlign w:val="bottom"/>
          </w:tcPr>
          <w:p w14:paraId="0ED145B3"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391F1326"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750FF0FA" w14:textId="77777777" w:rsidR="0055212D" w:rsidRPr="001D160C" w:rsidRDefault="0055212D" w:rsidP="004B4938">
            <w:pPr>
              <w:pStyle w:val="Tabletext"/>
              <w:rPr>
                <w:rFonts w:cs="Arial"/>
                <w:szCs w:val="22"/>
                <w:lang w:eastAsia="zh-CN"/>
              </w:rPr>
            </w:pPr>
            <w:r w:rsidRPr="001D160C">
              <w:rPr>
                <w:rFonts w:cs="Arial"/>
                <w:szCs w:val="22"/>
                <w:lang w:eastAsia="zh-CN"/>
              </w:rPr>
              <w:t>Tanzanie</w:t>
            </w:r>
          </w:p>
        </w:tc>
        <w:tc>
          <w:tcPr>
            <w:tcW w:w="3118" w:type="dxa"/>
            <w:tcBorders>
              <w:top w:val="nil"/>
              <w:left w:val="single" w:sz="4" w:space="0" w:color="auto"/>
              <w:right w:val="single" w:sz="4" w:space="0" w:color="auto"/>
            </w:tcBorders>
            <w:shd w:val="clear" w:color="auto" w:fill="auto"/>
            <w:noWrap/>
            <w:vAlign w:val="bottom"/>
          </w:tcPr>
          <w:p w14:paraId="7F9CB029"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646571B5"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782E7530" w14:textId="77777777" w:rsidR="0055212D" w:rsidRPr="001D160C" w:rsidRDefault="0055212D" w:rsidP="004B4938">
            <w:pPr>
              <w:pStyle w:val="Tabletext"/>
              <w:rPr>
                <w:rFonts w:cs="Arial"/>
                <w:szCs w:val="22"/>
                <w:lang w:eastAsia="zh-CN"/>
              </w:rPr>
            </w:pPr>
            <w:r w:rsidRPr="001D160C">
              <w:rPr>
                <w:rFonts w:cs="Arial"/>
                <w:szCs w:val="22"/>
                <w:lang w:eastAsia="zh-CN"/>
              </w:rPr>
              <w:t>Thaïlande</w:t>
            </w:r>
          </w:p>
        </w:tc>
        <w:tc>
          <w:tcPr>
            <w:tcW w:w="3118" w:type="dxa"/>
            <w:tcBorders>
              <w:top w:val="nil"/>
              <w:left w:val="single" w:sz="4" w:space="0" w:color="auto"/>
              <w:right w:val="single" w:sz="4" w:space="0" w:color="auto"/>
            </w:tcBorders>
            <w:shd w:val="clear" w:color="auto" w:fill="auto"/>
            <w:noWrap/>
            <w:vAlign w:val="bottom"/>
          </w:tcPr>
          <w:p w14:paraId="2952B138" w14:textId="77777777" w:rsidR="0055212D" w:rsidRPr="001D160C" w:rsidRDefault="0055212D" w:rsidP="004B4938">
            <w:pPr>
              <w:pStyle w:val="Tabletext"/>
              <w:jc w:val="center"/>
              <w:rPr>
                <w:lang w:eastAsia="zh-CN"/>
              </w:rPr>
            </w:pPr>
            <w:r w:rsidRPr="001D160C">
              <w:rPr>
                <w:lang w:eastAsia="zh-CN"/>
              </w:rPr>
              <w:t>1 1/2</w:t>
            </w:r>
          </w:p>
        </w:tc>
      </w:tr>
      <w:tr w:rsidR="0055212D" w:rsidRPr="001D160C" w14:paraId="2B482694"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22C807B8" w14:textId="77777777" w:rsidR="0055212D" w:rsidRPr="001D160C" w:rsidRDefault="0055212D" w:rsidP="004B4938">
            <w:pPr>
              <w:pStyle w:val="Tabletext"/>
              <w:rPr>
                <w:rFonts w:cs="Arial"/>
                <w:szCs w:val="22"/>
                <w:lang w:eastAsia="zh-CN"/>
              </w:rPr>
            </w:pPr>
            <w:r w:rsidRPr="001D160C">
              <w:rPr>
                <w:rFonts w:cs="Arial"/>
                <w:szCs w:val="22"/>
                <w:lang w:eastAsia="zh-CN"/>
              </w:rPr>
              <w:t>Timor-Leste</w:t>
            </w:r>
          </w:p>
        </w:tc>
        <w:tc>
          <w:tcPr>
            <w:tcW w:w="3118" w:type="dxa"/>
            <w:tcBorders>
              <w:top w:val="nil"/>
              <w:left w:val="single" w:sz="4" w:space="0" w:color="auto"/>
              <w:right w:val="single" w:sz="4" w:space="0" w:color="auto"/>
            </w:tcBorders>
            <w:shd w:val="clear" w:color="auto" w:fill="auto"/>
            <w:noWrap/>
            <w:vAlign w:val="bottom"/>
          </w:tcPr>
          <w:p w14:paraId="6EDCE4F3"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46AF9B52" w14:textId="77777777" w:rsidTr="005D5D8D">
        <w:trPr>
          <w:trHeight w:val="300"/>
          <w:jc w:val="center"/>
        </w:trPr>
        <w:tc>
          <w:tcPr>
            <w:tcW w:w="4390" w:type="dxa"/>
            <w:tcBorders>
              <w:left w:val="single" w:sz="4" w:space="0" w:color="auto"/>
              <w:right w:val="single" w:sz="4" w:space="0" w:color="auto"/>
            </w:tcBorders>
            <w:shd w:val="clear" w:color="000000" w:fill="FFFFFF"/>
            <w:noWrap/>
            <w:vAlign w:val="bottom"/>
          </w:tcPr>
          <w:p w14:paraId="09FCCF9D" w14:textId="77777777" w:rsidR="0055212D" w:rsidRPr="001D160C" w:rsidRDefault="0055212D" w:rsidP="004B4938">
            <w:pPr>
              <w:pStyle w:val="Tabletext"/>
              <w:rPr>
                <w:rFonts w:cs="Arial"/>
                <w:szCs w:val="22"/>
                <w:lang w:eastAsia="zh-CN"/>
              </w:rPr>
            </w:pPr>
            <w:r w:rsidRPr="001D160C">
              <w:rPr>
                <w:rFonts w:cs="Arial"/>
                <w:szCs w:val="22"/>
                <w:lang w:eastAsia="zh-CN"/>
              </w:rPr>
              <w:t>Togo</w:t>
            </w:r>
          </w:p>
        </w:tc>
        <w:tc>
          <w:tcPr>
            <w:tcW w:w="3118" w:type="dxa"/>
            <w:tcBorders>
              <w:left w:val="single" w:sz="4" w:space="0" w:color="auto"/>
              <w:right w:val="single" w:sz="4" w:space="0" w:color="auto"/>
            </w:tcBorders>
            <w:shd w:val="clear" w:color="auto" w:fill="auto"/>
            <w:noWrap/>
            <w:vAlign w:val="bottom"/>
          </w:tcPr>
          <w:p w14:paraId="42B57754"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33B0A0FD"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59E66F68" w14:textId="77777777" w:rsidR="0055212D" w:rsidRPr="001D160C" w:rsidRDefault="0055212D" w:rsidP="004B4938">
            <w:pPr>
              <w:pStyle w:val="Tabletext"/>
              <w:rPr>
                <w:rFonts w:cs="Arial"/>
                <w:szCs w:val="22"/>
                <w:lang w:eastAsia="zh-CN"/>
              </w:rPr>
            </w:pPr>
            <w:r w:rsidRPr="001D160C">
              <w:rPr>
                <w:rFonts w:cs="Arial"/>
                <w:szCs w:val="22"/>
                <w:lang w:eastAsia="zh-CN"/>
              </w:rPr>
              <w:t>Tonga</w:t>
            </w:r>
          </w:p>
        </w:tc>
        <w:tc>
          <w:tcPr>
            <w:tcW w:w="3118" w:type="dxa"/>
            <w:tcBorders>
              <w:top w:val="nil"/>
              <w:left w:val="single" w:sz="4" w:space="0" w:color="auto"/>
              <w:right w:val="single" w:sz="4" w:space="0" w:color="auto"/>
            </w:tcBorders>
            <w:shd w:val="clear" w:color="auto" w:fill="auto"/>
            <w:noWrap/>
            <w:vAlign w:val="bottom"/>
          </w:tcPr>
          <w:p w14:paraId="784CC1B8"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51AFE6DC"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1A1CC82E" w14:textId="77777777" w:rsidR="0055212D" w:rsidRPr="001D160C" w:rsidRDefault="0055212D" w:rsidP="004B4938">
            <w:pPr>
              <w:pStyle w:val="Tabletext"/>
              <w:rPr>
                <w:rFonts w:cs="Arial"/>
                <w:szCs w:val="22"/>
                <w:lang w:eastAsia="zh-CN"/>
              </w:rPr>
            </w:pPr>
            <w:r w:rsidRPr="001D160C">
              <w:rPr>
                <w:rFonts w:cs="Arial"/>
                <w:szCs w:val="22"/>
                <w:lang w:eastAsia="zh-CN"/>
              </w:rPr>
              <w:t>Trinité-et-Tobago</w:t>
            </w:r>
          </w:p>
        </w:tc>
        <w:tc>
          <w:tcPr>
            <w:tcW w:w="3118" w:type="dxa"/>
            <w:tcBorders>
              <w:top w:val="nil"/>
              <w:left w:val="single" w:sz="4" w:space="0" w:color="auto"/>
              <w:right w:val="single" w:sz="4" w:space="0" w:color="auto"/>
            </w:tcBorders>
            <w:shd w:val="clear" w:color="auto" w:fill="auto"/>
            <w:noWrap/>
            <w:vAlign w:val="bottom"/>
          </w:tcPr>
          <w:p w14:paraId="5D383E03" w14:textId="77777777" w:rsidR="0055212D" w:rsidRPr="001D160C" w:rsidRDefault="0055212D" w:rsidP="004B4938">
            <w:pPr>
              <w:pStyle w:val="Tabletext"/>
              <w:jc w:val="center"/>
              <w:rPr>
                <w:lang w:eastAsia="zh-CN"/>
              </w:rPr>
            </w:pPr>
            <w:r w:rsidRPr="001D160C">
              <w:rPr>
                <w:lang w:eastAsia="zh-CN"/>
              </w:rPr>
              <w:t>1/2</w:t>
            </w:r>
          </w:p>
        </w:tc>
      </w:tr>
      <w:tr w:rsidR="0055212D" w:rsidRPr="001D160C" w14:paraId="3ADBA02F"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643863BB" w14:textId="77777777" w:rsidR="0055212D" w:rsidRPr="001D160C" w:rsidRDefault="0055212D" w:rsidP="004B4938">
            <w:pPr>
              <w:pStyle w:val="Tabletext"/>
              <w:rPr>
                <w:rFonts w:cs="Arial"/>
                <w:szCs w:val="22"/>
                <w:lang w:eastAsia="zh-CN"/>
              </w:rPr>
            </w:pPr>
            <w:r w:rsidRPr="001D160C">
              <w:rPr>
                <w:rFonts w:cs="Arial"/>
                <w:szCs w:val="22"/>
                <w:lang w:eastAsia="zh-CN"/>
              </w:rPr>
              <w:t>Tunisie</w:t>
            </w:r>
          </w:p>
        </w:tc>
        <w:tc>
          <w:tcPr>
            <w:tcW w:w="3118" w:type="dxa"/>
            <w:tcBorders>
              <w:top w:val="nil"/>
              <w:left w:val="single" w:sz="4" w:space="0" w:color="auto"/>
              <w:right w:val="single" w:sz="4" w:space="0" w:color="auto"/>
            </w:tcBorders>
            <w:shd w:val="clear" w:color="auto" w:fill="auto"/>
            <w:noWrap/>
            <w:vAlign w:val="bottom"/>
          </w:tcPr>
          <w:p w14:paraId="6256E6A8" w14:textId="77777777" w:rsidR="0055212D" w:rsidRPr="001D160C" w:rsidRDefault="0055212D" w:rsidP="004B4938">
            <w:pPr>
              <w:pStyle w:val="Tabletext"/>
              <w:jc w:val="center"/>
              <w:rPr>
                <w:lang w:eastAsia="zh-CN"/>
              </w:rPr>
            </w:pPr>
            <w:r w:rsidRPr="001D160C">
              <w:rPr>
                <w:lang w:eastAsia="zh-CN"/>
              </w:rPr>
              <w:t>1/2</w:t>
            </w:r>
          </w:p>
        </w:tc>
      </w:tr>
      <w:tr w:rsidR="0055212D" w:rsidRPr="001D160C" w14:paraId="2295AA93"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169D0D29" w14:textId="77777777" w:rsidR="0055212D" w:rsidRPr="001D160C" w:rsidRDefault="0055212D" w:rsidP="004B4938">
            <w:pPr>
              <w:pStyle w:val="Tabletext"/>
              <w:rPr>
                <w:rFonts w:cs="Arial"/>
                <w:szCs w:val="22"/>
                <w:lang w:eastAsia="zh-CN"/>
              </w:rPr>
            </w:pPr>
            <w:r w:rsidRPr="001D160C">
              <w:rPr>
                <w:rFonts w:cs="Arial"/>
                <w:szCs w:val="22"/>
                <w:lang w:eastAsia="zh-CN"/>
              </w:rPr>
              <w:t>Türkiye</w:t>
            </w:r>
          </w:p>
        </w:tc>
        <w:tc>
          <w:tcPr>
            <w:tcW w:w="3118" w:type="dxa"/>
            <w:tcBorders>
              <w:top w:val="nil"/>
              <w:left w:val="single" w:sz="4" w:space="0" w:color="auto"/>
              <w:right w:val="single" w:sz="4" w:space="0" w:color="auto"/>
            </w:tcBorders>
            <w:shd w:val="clear" w:color="auto" w:fill="auto"/>
            <w:noWrap/>
            <w:vAlign w:val="bottom"/>
          </w:tcPr>
          <w:p w14:paraId="220E8875" w14:textId="77777777" w:rsidR="0055212D" w:rsidRPr="001D160C" w:rsidRDefault="0055212D" w:rsidP="004B4938">
            <w:pPr>
              <w:pStyle w:val="Tabletext"/>
              <w:jc w:val="center"/>
              <w:rPr>
                <w:lang w:eastAsia="zh-CN"/>
              </w:rPr>
            </w:pPr>
            <w:r w:rsidRPr="001D160C">
              <w:rPr>
                <w:lang w:eastAsia="zh-CN"/>
              </w:rPr>
              <w:t>1</w:t>
            </w:r>
          </w:p>
        </w:tc>
      </w:tr>
      <w:tr w:rsidR="0055212D" w:rsidRPr="001D160C" w14:paraId="79521958"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62BD9A79" w14:textId="77777777" w:rsidR="0055212D" w:rsidRPr="001D160C" w:rsidRDefault="0055212D" w:rsidP="004B4938">
            <w:pPr>
              <w:pStyle w:val="Tabletext"/>
              <w:rPr>
                <w:rFonts w:cs="Arial"/>
                <w:szCs w:val="22"/>
                <w:lang w:eastAsia="zh-CN"/>
              </w:rPr>
            </w:pPr>
            <w:r w:rsidRPr="001D160C">
              <w:rPr>
                <w:rFonts w:cs="Arial"/>
                <w:szCs w:val="22"/>
                <w:lang w:eastAsia="zh-CN"/>
              </w:rPr>
              <w:t>Turkménistan</w:t>
            </w:r>
          </w:p>
        </w:tc>
        <w:tc>
          <w:tcPr>
            <w:tcW w:w="3118" w:type="dxa"/>
            <w:tcBorders>
              <w:top w:val="nil"/>
              <w:left w:val="single" w:sz="4" w:space="0" w:color="auto"/>
              <w:right w:val="single" w:sz="4" w:space="0" w:color="auto"/>
            </w:tcBorders>
            <w:shd w:val="clear" w:color="auto" w:fill="auto"/>
            <w:noWrap/>
            <w:vAlign w:val="bottom"/>
          </w:tcPr>
          <w:p w14:paraId="1EDC0254"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2637E939"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5DA33416" w14:textId="77777777" w:rsidR="0055212D" w:rsidRPr="001D160C" w:rsidRDefault="0055212D" w:rsidP="004B4938">
            <w:pPr>
              <w:pStyle w:val="Tabletext"/>
              <w:rPr>
                <w:rFonts w:cs="Arial"/>
                <w:szCs w:val="22"/>
                <w:lang w:eastAsia="zh-CN"/>
              </w:rPr>
            </w:pPr>
            <w:r w:rsidRPr="001D160C">
              <w:rPr>
                <w:rFonts w:cs="Arial"/>
                <w:szCs w:val="22"/>
                <w:lang w:eastAsia="zh-CN"/>
              </w:rPr>
              <w:t>Tuvalu</w:t>
            </w:r>
          </w:p>
        </w:tc>
        <w:tc>
          <w:tcPr>
            <w:tcW w:w="3118" w:type="dxa"/>
            <w:tcBorders>
              <w:top w:val="nil"/>
              <w:left w:val="single" w:sz="4" w:space="0" w:color="auto"/>
              <w:right w:val="single" w:sz="4" w:space="0" w:color="auto"/>
            </w:tcBorders>
            <w:shd w:val="clear" w:color="auto" w:fill="auto"/>
            <w:noWrap/>
            <w:vAlign w:val="bottom"/>
          </w:tcPr>
          <w:p w14:paraId="59121837"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2FC48F71"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49FAF11F" w14:textId="77777777" w:rsidR="0055212D" w:rsidRPr="001D160C" w:rsidRDefault="0055212D" w:rsidP="004B4938">
            <w:pPr>
              <w:pStyle w:val="Tabletext"/>
              <w:rPr>
                <w:rFonts w:cs="Arial"/>
                <w:szCs w:val="22"/>
                <w:lang w:eastAsia="zh-CN"/>
              </w:rPr>
            </w:pPr>
            <w:r w:rsidRPr="001D160C">
              <w:rPr>
                <w:rFonts w:cs="Arial"/>
                <w:szCs w:val="22"/>
                <w:lang w:eastAsia="zh-CN"/>
              </w:rPr>
              <w:t>Ouganda</w:t>
            </w:r>
          </w:p>
        </w:tc>
        <w:tc>
          <w:tcPr>
            <w:tcW w:w="3118" w:type="dxa"/>
            <w:tcBorders>
              <w:top w:val="nil"/>
              <w:left w:val="single" w:sz="4" w:space="0" w:color="auto"/>
              <w:right w:val="single" w:sz="4" w:space="0" w:color="auto"/>
            </w:tcBorders>
            <w:shd w:val="clear" w:color="auto" w:fill="auto"/>
            <w:noWrap/>
            <w:vAlign w:val="bottom"/>
          </w:tcPr>
          <w:p w14:paraId="3B00FBB1"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0CB5681E"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22BFA93C" w14:textId="77777777" w:rsidR="0055212D" w:rsidRPr="001D160C" w:rsidRDefault="0055212D" w:rsidP="004B4938">
            <w:pPr>
              <w:pStyle w:val="Tabletext"/>
              <w:rPr>
                <w:rFonts w:cs="Arial"/>
                <w:szCs w:val="22"/>
                <w:lang w:eastAsia="zh-CN"/>
              </w:rPr>
            </w:pPr>
            <w:r w:rsidRPr="001D160C">
              <w:rPr>
                <w:rFonts w:cs="Arial"/>
                <w:szCs w:val="22"/>
                <w:lang w:eastAsia="zh-CN"/>
              </w:rPr>
              <w:t>Ukraine</w:t>
            </w:r>
          </w:p>
        </w:tc>
        <w:tc>
          <w:tcPr>
            <w:tcW w:w="3118" w:type="dxa"/>
            <w:tcBorders>
              <w:top w:val="nil"/>
              <w:left w:val="single" w:sz="4" w:space="0" w:color="auto"/>
              <w:right w:val="single" w:sz="4" w:space="0" w:color="auto"/>
            </w:tcBorders>
            <w:shd w:val="clear" w:color="auto" w:fill="auto"/>
            <w:noWrap/>
            <w:vAlign w:val="bottom"/>
          </w:tcPr>
          <w:p w14:paraId="2DCC2BB4"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04594362"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26680491" w14:textId="77777777" w:rsidR="0055212D" w:rsidRPr="001D160C" w:rsidRDefault="0055212D" w:rsidP="004B4938">
            <w:pPr>
              <w:pStyle w:val="Tabletext"/>
              <w:rPr>
                <w:rFonts w:cs="Arial"/>
                <w:szCs w:val="22"/>
                <w:lang w:eastAsia="zh-CN"/>
              </w:rPr>
            </w:pPr>
            <w:r w:rsidRPr="001D160C">
              <w:rPr>
                <w:rFonts w:cs="Arial"/>
                <w:szCs w:val="22"/>
                <w:lang w:eastAsia="zh-CN"/>
              </w:rPr>
              <w:t>Émirats arabes unis</w:t>
            </w:r>
          </w:p>
        </w:tc>
        <w:tc>
          <w:tcPr>
            <w:tcW w:w="3118" w:type="dxa"/>
            <w:tcBorders>
              <w:top w:val="nil"/>
              <w:left w:val="single" w:sz="4" w:space="0" w:color="auto"/>
              <w:right w:val="single" w:sz="4" w:space="0" w:color="auto"/>
            </w:tcBorders>
            <w:shd w:val="clear" w:color="auto" w:fill="auto"/>
            <w:noWrap/>
            <w:vAlign w:val="bottom"/>
          </w:tcPr>
          <w:p w14:paraId="7F83F4F4" w14:textId="77777777" w:rsidR="0055212D" w:rsidRPr="001D160C" w:rsidRDefault="0055212D" w:rsidP="004B4938">
            <w:pPr>
              <w:pStyle w:val="Tabletext"/>
              <w:jc w:val="center"/>
              <w:rPr>
                <w:lang w:eastAsia="zh-CN"/>
              </w:rPr>
            </w:pPr>
            <w:r w:rsidRPr="001D160C">
              <w:rPr>
                <w:lang w:eastAsia="zh-CN"/>
              </w:rPr>
              <w:t>3</w:t>
            </w:r>
          </w:p>
        </w:tc>
      </w:tr>
      <w:tr w:rsidR="0055212D" w:rsidRPr="001D160C" w14:paraId="3957350C" w14:textId="77777777" w:rsidTr="0055212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6F7ABB20" w14:textId="77777777" w:rsidR="0055212D" w:rsidRPr="001D160C" w:rsidRDefault="0055212D" w:rsidP="004B4938">
            <w:pPr>
              <w:pStyle w:val="Tabletext"/>
              <w:rPr>
                <w:rFonts w:cs="Arial"/>
                <w:szCs w:val="22"/>
                <w:lang w:eastAsia="zh-CN"/>
              </w:rPr>
            </w:pPr>
            <w:r w:rsidRPr="001D160C">
              <w:rPr>
                <w:rFonts w:cs="Arial"/>
                <w:szCs w:val="22"/>
                <w:lang w:eastAsia="zh-CN"/>
              </w:rPr>
              <w:t>Royaume-Uni</w:t>
            </w:r>
          </w:p>
        </w:tc>
        <w:tc>
          <w:tcPr>
            <w:tcW w:w="3118" w:type="dxa"/>
            <w:tcBorders>
              <w:top w:val="nil"/>
              <w:left w:val="single" w:sz="4" w:space="0" w:color="auto"/>
              <w:right w:val="single" w:sz="4" w:space="0" w:color="auto"/>
            </w:tcBorders>
            <w:shd w:val="clear" w:color="auto" w:fill="auto"/>
            <w:noWrap/>
            <w:vAlign w:val="bottom"/>
          </w:tcPr>
          <w:p w14:paraId="5269A120" w14:textId="77777777" w:rsidR="0055212D" w:rsidRPr="001D160C" w:rsidRDefault="0055212D" w:rsidP="004B4938">
            <w:pPr>
              <w:pStyle w:val="Tabletext"/>
              <w:jc w:val="center"/>
              <w:rPr>
                <w:lang w:eastAsia="zh-CN"/>
              </w:rPr>
            </w:pPr>
            <w:r w:rsidRPr="001D160C">
              <w:rPr>
                <w:lang w:eastAsia="zh-CN"/>
              </w:rPr>
              <w:t>10</w:t>
            </w:r>
          </w:p>
        </w:tc>
      </w:tr>
      <w:tr w:rsidR="0055212D" w:rsidRPr="001D160C" w14:paraId="35D09236" w14:textId="77777777" w:rsidTr="0055212D">
        <w:trPr>
          <w:trHeight w:val="300"/>
          <w:jc w:val="center"/>
        </w:trPr>
        <w:tc>
          <w:tcPr>
            <w:tcW w:w="4390" w:type="dxa"/>
            <w:tcBorders>
              <w:left w:val="single" w:sz="4" w:space="0" w:color="auto"/>
              <w:right w:val="single" w:sz="4" w:space="0" w:color="auto"/>
            </w:tcBorders>
            <w:shd w:val="clear" w:color="000000" w:fill="FFFFFF"/>
            <w:noWrap/>
            <w:vAlign w:val="bottom"/>
          </w:tcPr>
          <w:p w14:paraId="619AE0D4" w14:textId="77777777" w:rsidR="0055212D" w:rsidRPr="001D160C" w:rsidRDefault="0055212D" w:rsidP="004B4938">
            <w:pPr>
              <w:pStyle w:val="Tabletext"/>
              <w:rPr>
                <w:rFonts w:cs="Arial"/>
                <w:szCs w:val="22"/>
                <w:lang w:eastAsia="zh-CN"/>
              </w:rPr>
            </w:pPr>
            <w:r w:rsidRPr="001D160C">
              <w:rPr>
                <w:rFonts w:cs="Arial"/>
                <w:szCs w:val="22"/>
                <w:lang w:eastAsia="zh-CN"/>
              </w:rPr>
              <w:t>États-Unis d'Amérique</w:t>
            </w:r>
          </w:p>
        </w:tc>
        <w:tc>
          <w:tcPr>
            <w:tcW w:w="3118" w:type="dxa"/>
            <w:tcBorders>
              <w:left w:val="single" w:sz="4" w:space="0" w:color="auto"/>
              <w:right w:val="single" w:sz="4" w:space="0" w:color="auto"/>
            </w:tcBorders>
            <w:shd w:val="clear" w:color="auto" w:fill="auto"/>
            <w:noWrap/>
            <w:vAlign w:val="bottom"/>
          </w:tcPr>
          <w:p w14:paraId="0DB00C32" w14:textId="77777777" w:rsidR="0055212D" w:rsidRPr="001D160C" w:rsidRDefault="0055212D" w:rsidP="004B4938">
            <w:pPr>
              <w:pStyle w:val="Tabletext"/>
              <w:jc w:val="center"/>
              <w:rPr>
                <w:lang w:eastAsia="zh-CN"/>
              </w:rPr>
            </w:pPr>
            <w:r w:rsidRPr="001D160C">
              <w:rPr>
                <w:lang w:eastAsia="zh-CN"/>
              </w:rPr>
              <w:t>35</w:t>
            </w:r>
          </w:p>
        </w:tc>
      </w:tr>
      <w:tr w:rsidR="0055212D" w:rsidRPr="001D160C" w14:paraId="09433C2D"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1D85F65D" w14:textId="77777777" w:rsidR="0055212D" w:rsidRPr="001D160C" w:rsidRDefault="0055212D" w:rsidP="004B4938">
            <w:pPr>
              <w:pStyle w:val="Tabletext"/>
              <w:rPr>
                <w:rFonts w:cs="Arial"/>
                <w:szCs w:val="22"/>
                <w:lang w:eastAsia="zh-CN"/>
              </w:rPr>
            </w:pPr>
            <w:r w:rsidRPr="001D160C">
              <w:rPr>
                <w:rFonts w:cs="Arial"/>
                <w:szCs w:val="22"/>
                <w:lang w:eastAsia="zh-CN"/>
              </w:rPr>
              <w:t>Uruguay</w:t>
            </w:r>
          </w:p>
        </w:tc>
        <w:tc>
          <w:tcPr>
            <w:tcW w:w="3118" w:type="dxa"/>
            <w:tcBorders>
              <w:top w:val="nil"/>
              <w:left w:val="single" w:sz="4" w:space="0" w:color="auto"/>
              <w:right w:val="single" w:sz="4" w:space="0" w:color="auto"/>
            </w:tcBorders>
            <w:shd w:val="clear" w:color="auto" w:fill="auto"/>
            <w:noWrap/>
            <w:vAlign w:val="bottom"/>
          </w:tcPr>
          <w:p w14:paraId="374911F9"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7A6BE6C1"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73683F18" w14:textId="77777777" w:rsidR="0055212D" w:rsidRPr="001D160C" w:rsidRDefault="0055212D" w:rsidP="004B4938">
            <w:pPr>
              <w:pStyle w:val="Tabletext"/>
              <w:rPr>
                <w:rFonts w:cs="Arial"/>
                <w:szCs w:val="22"/>
                <w:lang w:eastAsia="zh-CN"/>
              </w:rPr>
            </w:pPr>
            <w:r w:rsidRPr="001D160C">
              <w:rPr>
                <w:rFonts w:cs="Arial"/>
                <w:szCs w:val="22"/>
                <w:lang w:eastAsia="zh-CN"/>
              </w:rPr>
              <w:t>Ouzbékistan</w:t>
            </w:r>
          </w:p>
        </w:tc>
        <w:tc>
          <w:tcPr>
            <w:tcW w:w="3118" w:type="dxa"/>
            <w:tcBorders>
              <w:top w:val="nil"/>
              <w:left w:val="single" w:sz="4" w:space="0" w:color="auto"/>
              <w:right w:val="single" w:sz="4" w:space="0" w:color="auto"/>
            </w:tcBorders>
            <w:shd w:val="clear" w:color="auto" w:fill="auto"/>
            <w:noWrap/>
            <w:vAlign w:val="bottom"/>
          </w:tcPr>
          <w:p w14:paraId="01497721"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2E7F930B"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18807C0B" w14:textId="77777777" w:rsidR="0055212D" w:rsidRPr="001D160C" w:rsidRDefault="0055212D" w:rsidP="004B4938">
            <w:pPr>
              <w:pStyle w:val="Tabletext"/>
              <w:rPr>
                <w:rFonts w:cs="Arial"/>
                <w:szCs w:val="22"/>
                <w:lang w:eastAsia="zh-CN"/>
              </w:rPr>
            </w:pPr>
            <w:r w:rsidRPr="001D160C">
              <w:rPr>
                <w:rFonts w:cs="Arial"/>
                <w:szCs w:val="22"/>
                <w:lang w:eastAsia="zh-CN"/>
              </w:rPr>
              <w:t>Vanuatu</w:t>
            </w:r>
          </w:p>
        </w:tc>
        <w:tc>
          <w:tcPr>
            <w:tcW w:w="3118" w:type="dxa"/>
            <w:tcBorders>
              <w:top w:val="nil"/>
              <w:left w:val="single" w:sz="4" w:space="0" w:color="auto"/>
              <w:right w:val="single" w:sz="4" w:space="0" w:color="auto"/>
            </w:tcBorders>
            <w:shd w:val="clear" w:color="auto" w:fill="auto"/>
            <w:noWrap/>
            <w:vAlign w:val="bottom"/>
          </w:tcPr>
          <w:p w14:paraId="14236FAA"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18203FAB"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6F38CF01" w14:textId="77777777" w:rsidR="0055212D" w:rsidRPr="001D160C" w:rsidRDefault="0055212D" w:rsidP="004B4938">
            <w:pPr>
              <w:pStyle w:val="Tabletext"/>
              <w:rPr>
                <w:rFonts w:cs="Arial"/>
                <w:szCs w:val="22"/>
                <w:lang w:eastAsia="zh-CN"/>
              </w:rPr>
            </w:pPr>
            <w:r w:rsidRPr="001D160C">
              <w:rPr>
                <w:rFonts w:cs="Arial"/>
                <w:szCs w:val="22"/>
                <w:lang w:eastAsia="zh-CN"/>
              </w:rPr>
              <w:t>Vatican</w:t>
            </w:r>
          </w:p>
        </w:tc>
        <w:tc>
          <w:tcPr>
            <w:tcW w:w="3118" w:type="dxa"/>
            <w:tcBorders>
              <w:top w:val="nil"/>
              <w:left w:val="single" w:sz="4" w:space="0" w:color="auto"/>
              <w:right w:val="single" w:sz="4" w:space="0" w:color="auto"/>
            </w:tcBorders>
            <w:shd w:val="clear" w:color="auto" w:fill="auto"/>
            <w:noWrap/>
            <w:vAlign w:val="bottom"/>
          </w:tcPr>
          <w:p w14:paraId="716A5A89" w14:textId="77777777" w:rsidR="0055212D" w:rsidRPr="001D160C" w:rsidRDefault="0055212D" w:rsidP="004B4938">
            <w:pPr>
              <w:pStyle w:val="Tabletext"/>
              <w:jc w:val="center"/>
              <w:rPr>
                <w:lang w:eastAsia="zh-CN"/>
              </w:rPr>
            </w:pPr>
            <w:r w:rsidRPr="001D160C">
              <w:rPr>
                <w:lang w:eastAsia="zh-CN"/>
              </w:rPr>
              <w:t>1/4</w:t>
            </w:r>
          </w:p>
        </w:tc>
      </w:tr>
      <w:tr w:rsidR="0055212D" w:rsidRPr="001D160C" w14:paraId="59421EC3"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28374D60" w14:textId="77777777" w:rsidR="0055212D" w:rsidRPr="001D160C" w:rsidRDefault="0055212D" w:rsidP="004B4938">
            <w:pPr>
              <w:pStyle w:val="Tabletext"/>
              <w:rPr>
                <w:rFonts w:cs="Arial"/>
                <w:szCs w:val="22"/>
                <w:lang w:eastAsia="zh-CN"/>
              </w:rPr>
            </w:pPr>
            <w:r w:rsidRPr="001D160C">
              <w:rPr>
                <w:rFonts w:cs="Arial"/>
                <w:szCs w:val="22"/>
                <w:lang w:eastAsia="zh-CN"/>
              </w:rPr>
              <w:t>Venezuela</w:t>
            </w:r>
          </w:p>
        </w:tc>
        <w:tc>
          <w:tcPr>
            <w:tcW w:w="3118" w:type="dxa"/>
            <w:tcBorders>
              <w:top w:val="nil"/>
              <w:left w:val="single" w:sz="4" w:space="0" w:color="auto"/>
              <w:right w:val="single" w:sz="4" w:space="0" w:color="auto"/>
            </w:tcBorders>
            <w:shd w:val="clear" w:color="auto" w:fill="auto"/>
            <w:noWrap/>
            <w:vAlign w:val="bottom"/>
          </w:tcPr>
          <w:p w14:paraId="6CA035F0" w14:textId="77777777" w:rsidR="0055212D" w:rsidRPr="001D160C" w:rsidRDefault="0055212D" w:rsidP="004B4938">
            <w:pPr>
              <w:pStyle w:val="Tabletext"/>
              <w:jc w:val="center"/>
              <w:rPr>
                <w:lang w:eastAsia="zh-CN"/>
              </w:rPr>
            </w:pPr>
            <w:r w:rsidRPr="001D160C">
              <w:rPr>
                <w:lang w:eastAsia="zh-CN"/>
              </w:rPr>
              <w:t>1/2</w:t>
            </w:r>
          </w:p>
        </w:tc>
      </w:tr>
      <w:tr w:rsidR="0055212D" w:rsidRPr="001D160C" w14:paraId="0145BA1A"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58A3124E" w14:textId="77777777" w:rsidR="0055212D" w:rsidRPr="001D160C" w:rsidRDefault="0055212D" w:rsidP="004B4938">
            <w:pPr>
              <w:pStyle w:val="Tabletext"/>
              <w:rPr>
                <w:rFonts w:cs="Arial"/>
                <w:szCs w:val="22"/>
                <w:lang w:eastAsia="zh-CN"/>
              </w:rPr>
            </w:pPr>
            <w:r w:rsidRPr="001D160C">
              <w:rPr>
                <w:rFonts w:cs="Arial"/>
                <w:szCs w:val="22"/>
                <w:lang w:eastAsia="zh-CN"/>
              </w:rPr>
              <w:t>Viet Nam</w:t>
            </w:r>
          </w:p>
        </w:tc>
        <w:tc>
          <w:tcPr>
            <w:tcW w:w="3118" w:type="dxa"/>
            <w:tcBorders>
              <w:top w:val="nil"/>
              <w:left w:val="single" w:sz="4" w:space="0" w:color="auto"/>
              <w:right w:val="single" w:sz="4" w:space="0" w:color="auto"/>
            </w:tcBorders>
            <w:shd w:val="clear" w:color="auto" w:fill="auto"/>
            <w:noWrap/>
            <w:vAlign w:val="bottom"/>
          </w:tcPr>
          <w:p w14:paraId="030210A8" w14:textId="77777777" w:rsidR="0055212D" w:rsidRPr="001D160C" w:rsidRDefault="0055212D" w:rsidP="004B4938">
            <w:pPr>
              <w:pStyle w:val="Tabletext"/>
              <w:jc w:val="center"/>
              <w:rPr>
                <w:lang w:eastAsia="zh-CN"/>
              </w:rPr>
            </w:pPr>
            <w:r w:rsidRPr="001D160C">
              <w:rPr>
                <w:lang w:eastAsia="zh-CN"/>
              </w:rPr>
              <w:t>1/2</w:t>
            </w:r>
          </w:p>
        </w:tc>
      </w:tr>
      <w:tr w:rsidR="0055212D" w:rsidRPr="001D160C" w14:paraId="0B2F9700"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6B012C58" w14:textId="77777777" w:rsidR="0055212D" w:rsidRPr="001D160C" w:rsidRDefault="0055212D" w:rsidP="004B4938">
            <w:pPr>
              <w:pStyle w:val="Tabletext"/>
              <w:rPr>
                <w:rFonts w:cs="Arial"/>
                <w:szCs w:val="22"/>
                <w:lang w:eastAsia="zh-CN"/>
              </w:rPr>
            </w:pPr>
            <w:r w:rsidRPr="001D160C">
              <w:rPr>
                <w:rFonts w:cs="Arial"/>
                <w:szCs w:val="22"/>
                <w:lang w:eastAsia="zh-CN"/>
              </w:rPr>
              <w:t>Yémen</w:t>
            </w:r>
          </w:p>
        </w:tc>
        <w:tc>
          <w:tcPr>
            <w:tcW w:w="3118" w:type="dxa"/>
            <w:tcBorders>
              <w:top w:val="nil"/>
              <w:left w:val="single" w:sz="4" w:space="0" w:color="auto"/>
              <w:right w:val="single" w:sz="4" w:space="0" w:color="auto"/>
            </w:tcBorders>
            <w:shd w:val="clear" w:color="auto" w:fill="auto"/>
            <w:noWrap/>
            <w:vAlign w:val="bottom"/>
          </w:tcPr>
          <w:p w14:paraId="270F25F3" w14:textId="77777777" w:rsidR="0055212D" w:rsidRPr="001D160C" w:rsidRDefault="0055212D" w:rsidP="004B4938">
            <w:pPr>
              <w:pStyle w:val="Tabletext"/>
              <w:jc w:val="center"/>
              <w:rPr>
                <w:lang w:eastAsia="zh-CN"/>
              </w:rPr>
            </w:pPr>
            <w:r w:rsidRPr="001D160C">
              <w:rPr>
                <w:lang w:eastAsia="zh-CN"/>
              </w:rPr>
              <w:t>1/16</w:t>
            </w:r>
          </w:p>
        </w:tc>
      </w:tr>
      <w:tr w:rsidR="0055212D" w:rsidRPr="001D160C" w14:paraId="557F43AC" w14:textId="77777777" w:rsidTr="005D5D8D">
        <w:trPr>
          <w:trHeight w:val="300"/>
          <w:jc w:val="center"/>
        </w:trPr>
        <w:tc>
          <w:tcPr>
            <w:tcW w:w="4390" w:type="dxa"/>
            <w:tcBorders>
              <w:top w:val="nil"/>
              <w:left w:val="single" w:sz="4" w:space="0" w:color="auto"/>
              <w:right w:val="single" w:sz="4" w:space="0" w:color="auto"/>
            </w:tcBorders>
            <w:shd w:val="clear" w:color="000000" w:fill="FFFFFF"/>
            <w:noWrap/>
            <w:vAlign w:val="bottom"/>
          </w:tcPr>
          <w:p w14:paraId="3BC0858F" w14:textId="77777777" w:rsidR="0055212D" w:rsidRPr="001D160C" w:rsidRDefault="0055212D" w:rsidP="004B4938">
            <w:pPr>
              <w:pStyle w:val="Tabletext"/>
              <w:rPr>
                <w:rFonts w:cs="Arial"/>
                <w:szCs w:val="22"/>
                <w:lang w:eastAsia="zh-CN"/>
              </w:rPr>
            </w:pPr>
            <w:r w:rsidRPr="001D160C">
              <w:rPr>
                <w:rFonts w:cs="Arial"/>
                <w:szCs w:val="22"/>
                <w:lang w:eastAsia="zh-CN"/>
              </w:rPr>
              <w:t>Zambie</w:t>
            </w:r>
          </w:p>
        </w:tc>
        <w:tc>
          <w:tcPr>
            <w:tcW w:w="3118" w:type="dxa"/>
            <w:tcBorders>
              <w:top w:val="nil"/>
              <w:left w:val="single" w:sz="4" w:space="0" w:color="auto"/>
              <w:right w:val="single" w:sz="4" w:space="0" w:color="auto"/>
            </w:tcBorders>
            <w:shd w:val="clear" w:color="auto" w:fill="auto"/>
            <w:noWrap/>
            <w:vAlign w:val="bottom"/>
          </w:tcPr>
          <w:p w14:paraId="63D09F61" w14:textId="77777777" w:rsidR="0055212D" w:rsidRPr="001D160C" w:rsidRDefault="0055212D" w:rsidP="004B4938">
            <w:pPr>
              <w:pStyle w:val="Tabletext"/>
              <w:jc w:val="center"/>
              <w:rPr>
                <w:lang w:eastAsia="zh-CN"/>
              </w:rPr>
            </w:pPr>
            <w:r w:rsidRPr="001D160C">
              <w:rPr>
                <w:lang w:eastAsia="zh-CN"/>
              </w:rPr>
              <w:t>1/8</w:t>
            </w:r>
          </w:p>
        </w:tc>
      </w:tr>
      <w:tr w:rsidR="0055212D" w:rsidRPr="001D160C" w14:paraId="40A45A15" w14:textId="77777777" w:rsidTr="005D5D8D">
        <w:trPr>
          <w:trHeight w:val="300"/>
          <w:jc w:val="center"/>
        </w:trPr>
        <w:tc>
          <w:tcPr>
            <w:tcW w:w="4390" w:type="dxa"/>
            <w:tcBorders>
              <w:top w:val="nil"/>
              <w:left w:val="single" w:sz="4" w:space="0" w:color="auto"/>
              <w:bottom w:val="single" w:sz="4" w:space="0" w:color="auto"/>
              <w:right w:val="single" w:sz="4" w:space="0" w:color="auto"/>
            </w:tcBorders>
            <w:shd w:val="clear" w:color="000000" w:fill="FFFFFF"/>
            <w:noWrap/>
            <w:vAlign w:val="bottom"/>
          </w:tcPr>
          <w:p w14:paraId="0E540BDB" w14:textId="77777777" w:rsidR="0055212D" w:rsidRPr="001D160C" w:rsidRDefault="0055212D" w:rsidP="004B4938">
            <w:pPr>
              <w:pStyle w:val="Tabletext"/>
              <w:rPr>
                <w:rFonts w:cs="Arial"/>
                <w:szCs w:val="22"/>
                <w:lang w:eastAsia="zh-CN"/>
              </w:rPr>
            </w:pPr>
            <w:r w:rsidRPr="001D160C">
              <w:rPr>
                <w:rFonts w:cs="Arial"/>
                <w:szCs w:val="22"/>
                <w:lang w:eastAsia="zh-CN"/>
              </w:rPr>
              <w:t>Zimbabwe</w:t>
            </w:r>
          </w:p>
        </w:tc>
        <w:tc>
          <w:tcPr>
            <w:tcW w:w="3118" w:type="dxa"/>
            <w:tcBorders>
              <w:top w:val="nil"/>
              <w:left w:val="single" w:sz="4" w:space="0" w:color="auto"/>
              <w:bottom w:val="single" w:sz="4" w:space="0" w:color="auto"/>
              <w:right w:val="single" w:sz="4" w:space="0" w:color="auto"/>
            </w:tcBorders>
            <w:shd w:val="clear" w:color="auto" w:fill="auto"/>
            <w:noWrap/>
            <w:vAlign w:val="bottom"/>
          </w:tcPr>
          <w:p w14:paraId="49579963" w14:textId="77777777" w:rsidR="0055212D" w:rsidRPr="001D160C" w:rsidRDefault="0055212D" w:rsidP="004B4938">
            <w:pPr>
              <w:pStyle w:val="Tabletext"/>
              <w:jc w:val="center"/>
              <w:rPr>
                <w:lang w:eastAsia="zh-CN"/>
              </w:rPr>
            </w:pPr>
            <w:r w:rsidRPr="001D160C">
              <w:rPr>
                <w:lang w:eastAsia="zh-CN"/>
              </w:rPr>
              <w:t>1/2</w:t>
            </w:r>
          </w:p>
        </w:tc>
      </w:tr>
      <w:tr w:rsidR="0055212D" w:rsidRPr="001D160C" w14:paraId="75967D48" w14:textId="77777777" w:rsidTr="005D5D8D">
        <w:trPr>
          <w:trHeight w:val="300"/>
          <w:jc w:val="center"/>
        </w:trPr>
        <w:tc>
          <w:tcPr>
            <w:tcW w:w="43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20BFC7" w14:textId="77777777" w:rsidR="0055212D" w:rsidRPr="001D160C" w:rsidRDefault="0055212D" w:rsidP="004B4938">
            <w:pPr>
              <w:pStyle w:val="Tablehead"/>
              <w:rPr>
                <w:lang w:eastAsia="zh-CN"/>
              </w:rPr>
            </w:pPr>
            <w:r w:rsidRPr="001D160C">
              <w:rPr>
                <w:lang w:eastAsia="zh-CN"/>
              </w:rPr>
              <w:t>Total</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A2191" w14:textId="760EC6A7" w:rsidR="0055212D" w:rsidRPr="001D160C" w:rsidRDefault="0055212D" w:rsidP="004B4938">
            <w:pPr>
              <w:pStyle w:val="Tablehead"/>
              <w:rPr>
                <w:lang w:eastAsia="zh-CN"/>
              </w:rPr>
            </w:pPr>
            <w:r w:rsidRPr="001D160C">
              <w:rPr>
                <w:lang w:eastAsia="zh-CN"/>
              </w:rPr>
              <w:t>356</w:t>
            </w:r>
          </w:p>
        </w:tc>
      </w:tr>
    </w:tbl>
    <w:p w14:paraId="788CB99A" w14:textId="49B940FB" w:rsidR="00EE7669" w:rsidRPr="001D160C" w:rsidRDefault="00EE7669">
      <w:pPr>
        <w:tabs>
          <w:tab w:val="clear" w:pos="567"/>
          <w:tab w:val="clear" w:pos="1134"/>
          <w:tab w:val="clear" w:pos="1701"/>
          <w:tab w:val="clear" w:pos="2268"/>
          <w:tab w:val="clear" w:pos="2835"/>
        </w:tabs>
        <w:overflowPunct/>
        <w:autoSpaceDE/>
        <w:autoSpaceDN/>
        <w:adjustRightInd/>
        <w:spacing w:before="0"/>
        <w:textAlignment w:val="auto"/>
      </w:pPr>
      <w:r w:rsidRPr="001D160C">
        <w:br w:type="page"/>
      </w:r>
    </w:p>
    <w:p w14:paraId="62FEB6B9" w14:textId="144B5802" w:rsidR="00EE7669" w:rsidRPr="001D160C" w:rsidRDefault="00EE7669" w:rsidP="00EE7669">
      <w:pPr>
        <w:pStyle w:val="AnnexNo"/>
        <w:spacing w:after="360"/>
      </w:pPr>
      <w:bookmarkStart w:id="1" w:name="Annexe2"/>
      <w:r w:rsidRPr="001D160C">
        <w:lastRenderedPageBreak/>
        <w:t>ANNEXE 2</w:t>
      </w:r>
      <w:bookmarkEnd w:id="1"/>
    </w:p>
    <w:tbl>
      <w:tblPr>
        <w:tblW w:w="9760" w:type="dxa"/>
        <w:jc w:val="center"/>
        <w:tblLook w:val="04A0" w:firstRow="1" w:lastRow="0" w:firstColumn="1" w:lastColumn="0" w:noHBand="0" w:noVBand="1"/>
      </w:tblPr>
      <w:tblGrid>
        <w:gridCol w:w="2830"/>
        <w:gridCol w:w="1906"/>
        <w:gridCol w:w="2205"/>
        <w:gridCol w:w="1418"/>
        <w:gridCol w:w="1401"/>
      </w:tblGrid>
      <w:tr w:rsidR="00EE7669" w:rsidRPr="001D160C" w14:paraId="0ACE08BA" w14:textId="77777777" w:rsidTr="00344BB4">
        <w:trPr>
          <w:trHeight w:val="1065"/>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92326" w14:textId="77777777" w:rsidR="00EE7669" w:rsidRPr="001D160C" w:rsidRDefault="00EE7669" w:rsidP="00344BB4">
            <w:pPr>
              <w:pStyle w:val="Tablehead"/>
            </w:pPr>
            <w:r w:rsidRPr="001D160C">
              <w:t>Membres de Secteur</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14:paraId="58C6274B" w14:textId="77777777" w:rsidR="00EE7669" w:rsidRPr="001D160C" w:rsidRDefault="00EE7669" w:rsidP="00344BB4">
            <w:pPr>
              <w:pStyle w:val="Tablehead"/>
            </w:pPr>
            <w:r w:rsidRPr="001D160C">
              <w:t>Nombre d'unités</w:t>
            </w:r>
            <w:r w:rsidRPr="001D160C">
              <w:br/>
              <w:t>PP-22</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14:paraId="44DE54D1" w14:textId="77777777" w:rsidR="00EE7669" w:rsidRPr="001D160C" w:rsidRDefault="00EE7669" w:rsidP="00344BB4">
            <w:pPr>
              <w:pStyle w:val="Tablehead"/>
            </w:pPr>
            <w:r w:rsidRPr="001D160C">
              <w:t>Nombre d'unités au 28/02/2025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068B756" w14:textId="77777777" w:rsidR="00EE7669" w:rsidRPr="001D160C" w:rsidRDefault="00EE7669" w:rsidP="00344BB4">
            <w:pPr>
              <w:pStyle w:val="Tablehead"/>
            </w:pPr>
            <w:r w:rsidRPr="001D160C">
              <w:t>Différence</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6C4E16D0" w14:textId="77777777" w:rsidR="00EE7669" w:rsidRPr="001D160C" w:rsidRDefault="00EE7669" w:rsidP="00344BB4">
            <w:pPr>
              <w:pStyle w:val="Tablehead"/>
            </w:pPr>
            <w:r w:rsidRPr="001D160C">
              <w:t>Différence en %</w:t>
            </w:r>
          </w:p>
        </w:tc>
      </w:tr>
      <w:tr w:rsidR="00EE7669" w:rsidRPr="001D160C" w14:paraId="28C5DE29" w14:textId="77777777" w:rsidTr="00344BB4">
        <w:trPr>
          <w:trHeight w:val="402"/>
          <w:jc w:val="center"/>
        </w:trPr>
        <w:tc>
          <w:tcPr>
            <w:tcW w:w="2830" w:type="dxa"/>
            <w:tcBorders>
              <w:top w:val="nil"/>
              <w:left w:val="single" w:sz="4" w:space="0" w:color="auto"/>
              <w:bottom w:val="single" w:sz="4" w:space="0" w:color="auto"/>
              <w:right w:val="single" w:sz="4" w:space="0" w:color="auto"/>
            </w:tcBorders>
            <w:shd w:val="clear" w:color="000000" w:fill="FFFFFF"/>
            <w:vAlign w:val="bottom"/>
            <w:hideMark/>
          </w:tcPr>
          <w:p w14:paraId="1D316F0F" w14:textId="77777777" w:rsidR="00EE7669" w:rsidRPr="001D160C" w:rsidRDefault="00EE7669" w:rsidP="00EE7669">
            <w:pPr>
              <w:pStyle w:val="Tabletext"/>
            </w:pPr>
            <w:r w:rsidRPr="001D160C">
              <w:t>Membres de Secteur, UIT-R</w:t>
            </w:r>
          </w:p>
        </w:tc>
        <w:tc>
          <w:tcPr>
            <w:tcW w:w="1906" w:type="dxa"/>
            <w:tcBorders>
              <w:top w:val="nil"/>
              <w:left w:val="nil"/>
              <w:bottom w:val="single" w:sz="4" w:space="0" w:color="auto"/>
              <w:right w:val="single" w:sz="4" w:space="0" w:color="auto"/>
            </w:tcBorders>
            <w:shd w:val="clear" w:color="000000" w:fill="FFFFFF"/>
            <w:noWrap/>
            <w:hideMark/>
          </w:tcPr>
          <w:p w14:paraId="0C7E61BA" w14:textId="77777777" w:rsidR="00EE7669" w:rsidRPr="001D160C" w:rsidRDefault="00EE7669" w:rsidP="00344BB4">
            <w:pPr>
              <w:pStyle w:val="Tabletext"/>
              <w:jc w:val="center"/>
            </w:pPr>
            <w:r w:rsidRPr="001D160C">
              <w:t>100 1/2</w:t>
            </w:r>
          </w:p>
        </w:tc>
        <w:tc>
          <w:tcPr>
            <w:tcW w:w="2205" w:type="dxa"/>
            <w:tcBorders>
              <w:top w:val="nil"/>
              <w:left w:val="nil"/>
              <w:bottom w:val="single" w:sz="4" w:space="0" w:color="auto"/>
              <w:right w:val="single" w:sz="4" w:space="0" w:color="auto"/>
            </w:tcBorders>
            <w:shd w:val="clear" w:color="000000" w:fill="FFFFFF"/>
            <w:noWrap/>
            <w:hideMark/>
          </w:tcPr>
          <w:p w14:paraId="6777D6CA" w14:textId="77777777" w:rsidR="00EE7669" w:rsidRPr="001D160C" w:rsidRDefault="00EE7669" w:rsidP="00344BB4">
            <w:pPr>
              <w:pStyle w:val="Tabletext"/>
              <w:jc w:val="center"/>
            </w:pPr>
            <w:r w:rsidRPr="001D160C">
              <w:t>103</w:t>
            </w:r>
          </w:p>
        </w:tc>
        <w:tc>
          <w:tcPr>
            <w:tcW w:w="1418" w:type="dxa"/>
            <w:tcBorders>
              <w:top w:val="nil"/>
              <w:left w:val="nil"/>
              <w:bottom w:val="single" w:sz="4" w:space="0" w:color="auto"/>
              <w:right w:val="single" w:sz="4" w:space="0" w:color="auto"/>
            </w:tcBorders>
            <w:shd w:val="clear" w:color="000000" w:fill="FFFFFF"/>
            <w:noWrap/>
            <w:hideMark/>
          </w:tcPr>
          <w:p w14:paraId="7B77E263" w14:textId="77777777" w:rsidR="00EE7669" w:rsidRPr="001D160C" w:rsidRDefault="00EE7669" w:rsidP="00344BB4">
            <w:pPr>
              <w:pStyle w:val="Tabletext"/>
              <w:jc w:val="center"/>
            </w:pPr>
            <w:r w:rsidRPr="001D160C">
              <w:t>3</w:t>
            </w:r>
          </w:p>
        </w:tc>
        <w:tc>
          <w:tcPr>
            <w:tcW w:w="1401" w:type="dxa"/>
            <w:tcBorders>
              <w:top w:val="nil"/>
              <w:left w:val="nil"/>
              <w:bottom w:val="single" w:sz="4" w:space="0" w:color="auto"/>
              <w:right w:val="single" w:sz="4" w:space="0" w:color="auto"/>
            </w:tcBorders>
            <w:shd w:val="clear" w:color="auto" w:fill="auto"/>
            <w:noWrap/>
            <w:hideMark/>
          </w:tcPr>
          <w:p w14:paraId="4134FC75" w14:textId="77777777" w:rsidR="00EE7669" w:rsidRPr="001D160C" w:rsidRDefault="00EE7669" w:rsidP="00344BB4">
            <w:pPr>
              <w:pStyle w:val="Tabletext"/>
              <w:jc w:val="center"/>
            </w:pPr>
            <w:r w:rsidRPr="001D160C">
              <w:t>3%</w:t>
            </w:r>
          </w:p>
        </w:tc>
      </w:tr>
      <w:tr w:rsidR="00EE7669" w:rsidRPr="001D160C" w14:paraId="1304AD7B" w14:textId="77777777" w:rsidTr="00344BB4">
        <w:trPr>
          <w:trHeight w:val="402"/>
          <w:jc w:val="center"/>
        </w:trPr>
        <w:tc>
          <w:tcPr>
            <w:tcW w:w="2830" w:type="dxa"/>
            <w:tcBorders>
              <w:top w:val="nil"/>
              <w:left w:val="single" w:sz="4" w:space="0" w:color="auto"/>
              <w:bottom w:val="single" w:sz="4" w:space="0" w:color="auto"/>
              <w:right w:val="single" w:sz="4" w:space="0" w:color="auto"/>
            </w:tcBorders>
            <w:shd w:val="clear" w:color="000000" w:fill="FFFFFF"/>
            <w:vAlign w:val="bottom"/>
            <w:hideMark/>
          </w:tcPr>
          <w:p w14:paraId="49E89393" w14:textId="77777777" w:rsidR="00EE7669" w:rsidRPr="001D160C" w:rsidRDefault="00EE7669" w:rsidP="00EE7669">
            <w:pPr>
              <w:pStyle w:val="Tabletext"/>
            </w:pPr>
            <w:r w:rsidRPr="001D160C">
              <w:t>Membres de Secteur, UIT-T</w:t>
            </w:r>
          </w:p>
        </w:tc>
        <w:tc>
          <w:tcPr>
            <w:tcW w:w="1906" w:type="dxa"/>
            <w:tcBorders>
              <w:top w:val="nil"/>
              <w:left w:val="nil"/>
              <w:bottom w:val="single" w:sz="4" w:space="0" w:color="auto"/>
              <w:right w:val="single" w:sz="4" w:space="0" w:color="auto"/>
            </w:tcBorders>
            <w:shd w:val="clear" w:color="000000" w:fill="FFFFFF"/>
            <w:noWrap/>
            <w:hideMark/>
          </w:tcPr>
          <w:p w14:paraId="7A724F95" w14:textId="77777777" w:rsidR="00EE7669" w:rsidRPr="001D160C" w:rsidRDefault="00EE7669" w:rsidP="00344BB4">
            <w:pPr>
              <w:pStyle w:val="Tabletext"/>
              <w:jc w:val="center"/>
            </w:pPr>
            <w:r w:rsidRPr="001D160C">
              <w:t>94</w:t>
            </w:r>
          </w:p>
        </w:tc>
        <w:tc>
          <w:tcPr>
            <w:tcW w:w="2205" w:type="dxa"/>
            <w:tcBorders>
              <w:top w:val="nil"/>
              <w:left w:val="nil"/>
              <w:bottom w:val="single" w:sz="4" w:space="0" w:color="auto"/>
              <w:right w:val="single" w:sz="4" w:space="0" w:color="auto"/>
            </w:tcBorders>
            <w:shd w:val="clear" w:color="000000" w:fill="FFFFFF"/>
            <w:noWrap/>
            <w:hideMark/>
          </w:tcPr>
          <w:p w14:paraId="0E63F786" w14:textId="77777777" w:rsidR="00EE7669" w:rsidRPr="001D160C" w:rsidRDefault="00EE7669" w:rsidP="00344BB4">
            <w:pPr>
              <w:pStyle w:val="Tabletext"/>
              <w:jc w:val="center"/>
            </w:pPr>
            <w:r w:rsidRPr="001D160C">
              <w:t>90</w:t>
            </w:r>
          </w:p>
        </w:tc>
        <w:tc>
          <w:tcPr>
            <w:tcW w:w="1418" w:type="dxa"/>
            <w:tcBorders>
              <w:top w:val="nil"/>
              <w:left w:val="nil"/>
              <w:bottom w:val="single" w:sz="4" w:space="0" w:color="auto"/>
              <w:right w:val="single" w:sz="4" w:space="0" w:color="auto"/>
            </w:tcBorders>
            <w:shd w:val="clear" w:color="000000" w:fill="FFFFFF"/>
            <w:noWrap/>
            <w:hideMark/>
          </w:tcPr>
          <w:p w14:paraId="2C1B94D7" w14:textId="176579E4" w:rsidR="00EE7669" w:rsidRPr="001D160C" w:rsidRDefault="00603BBC" w:rsidP="00344BB4">
            <w:pPr>
              <w:pStyle w:val="Tabletext"/>
              <w:jc w:val="center"/>
            </w:pPr>
            <w:r w:rsidRPr="001D160C">
              <w:t>–</w:t>
            </w:r>
            <w:r w:rsidR="00EE7669" w:rsidRPr="001D160C">
              <w:t>4</w:t>
            </w:r>
          </w:p>
        </w:tc>
        <w:tc>
          <w:tcPr>
            <w:tcW w:w="1401" w:type="dxa"/>
            <w:tcBorders>
              <w:top w:val="nil"/>
              <w:left w:val="nil"/>
              <w:bottom w:val="single" w:sz="4" w:space="0" w:color="auto"/>
              <w:right w:val="single" w:sz="4" w:space="0" w:color="auto"/>
            </w:tcBorders>
            <w:shd w:val="clear" w:color="auto" w:fill="auto"/>
            <w:noWrap/>
            <w:hideMark/>
          </w:tcPr>
          <w:p w14:paraId="3929C8AF" w14:textId="57CB6AE8" w:rsidR="00EE7669" w:rsidRPr="001D160C" w:rsidRDefault="00603BBC" w:rsidP="00344BB4">
            <w:pPr>
              <w:pStyle w:val="Tabletext"/>
              <w:jc w:val="center"/>
            </w:pPr>
            <w:r w:rsidRPr="001D160C">
              <w:t>–</w:t>
            </w:r>
            <w:r w:rsidR="00EE7669" w:rsidRPr="001D160C">
              <w:t>4%</w:t>
            </w:r>
          </w:p>
        </w:tc>
      </w:tr>
      <w:tr w:rsidR="00EE7669" w:rsidRPr="001D160C" w14:paraId="4890B8BD" w14:textId="77777777" w:rsidTr="00344BB4">
        <w:trPr>
          <w:trHeight w:val="402"/>
          <w:jc w:val="center"/>
        </w:trPr>
        <w:tc>
          <w:tcPr>
            <w:tcW w:w="2830" w:type="dxa"/>
            <w:tcBorders>
              <w:top w:val="nil"/>
              <w:left w:val="single" w:sz="4" w:space="0" w:color="auto"/>
              <w:bottom w:val="single" w:sz="4" w:space="0" w:color="auto"/>
              <w:right w:val="single" w:sz="4" w:space="0" w:color="auto"/>
            </w:tcBorders>
            <w:shd w:val="clear" w:color="000000" w:fill="FFFFFF"/>
            <w:vAlign w:val="bottom"/>
            <w:hideMark/>
          </w:tcPr>
          <w:p w14:paraId="357FFB3C" w14:textId="77777777" w:rsidR="00EE7669" w:rsidRPr="001D160C" w:rsidRDefault="00EE7669" w:rsidP="00EE7669">
            <w:pPr>
              <w:pStyle w:val="Tabletext"/>
            </w:pPr>
            <w:r w:rsidRPr="001D160C">
              <w:t>Membres de Secteur, UIT-D</w:t>
            </w:r>
          </w:p>
        </w:tc>
        <w:tc>
          <w:tcPr>
            <w:tcW w:w="1906" w:type="dxa"/>
            <w:tcBorders>
              <w:top w:val="nil"/>
              <w:left w:val="nil"/>
              <w:bottom w:val="single" w:sz="4" w:space="0" w:color="auto"/>
              <w:right w:val="single" w:sz="4" w:space="0" w:color="auto"/>
            </w:tcBorders>
            <w:shd w:val="clear" w:color="000000" w:fill="FFFFFF"/>
            <w:noWrap/>
            <w:hideMark/>
          </w:tcPr>
          <w:p w14:paraId="09D60571" w14:textId="77777777" w:rsidR="00EE7669" w:rsidRPr="001D160C" w:rsidRDefault="00EE7669" w:rsidP="00344BB4">
            <w:pPr>
              <w:pStyle w:val="Tabletext"/>
              <w:jc w:val="center"/>
            </w:pPr>
            <w:r w:rsidRPr="001D160C">
              <w:t>22</w:t>
            </w:r>
          </w:p>
        </w:tc>
        <w:tc>
          <w:tcPr>
            <w:tcW w:w="2205" w:type="dxa"/>
            <w:tcBorders>
              <w:top w:val="nil"/>
              <w:left w:val="nil"/>
              <w:bottom w:val="single" w:sz="4" w:space="0" w:color="auto"/>
              <w:right w:val="single" w:sz="4" w:space="0" w:color="auto"/>
            </w:tcBorders>
            <w:shd w:val="clear" w:color="000000" w:fill="FFFFFF"/>
            <w:noWrap/>
            <w:hideMark/>
          </w:tcPr>
          <w:p w14:paraId="729B6EF4" w14:textId="77777777" w:rsidR="00EE7669" w:rsidRPr="001D160C" w:rsidRDefault="00EE7669" w:rsidP="00344BB4">
            <w:pPr>
              <w:pStyle w:val="Tabletext"/>
              <w:jc w:val="center"/>
            </w:pPr>
            <w:r w:rsidRPr="001D160C">
              <w:t>24</w:t>
            </w:r>
          </w:p>
        </w:tc>
        <w:tc>
          <w:tcPr>
            <w:tcW w:w="1418" w:type="dxa"/>
            <w:tcBorders>
              <w:top w:val="nil"/>
              <w:left w:val="nil"/>
              <w:bottom w:val="single" w:sz="4" w:space="0" w:color="auto"/>
              <w:right w:val="single" w:sz="4" w:space="0" w:color="auto"/>
            </w:tcBorders>
            <w:shd w:val="clear" w:color="000000" w:fill="FFFFFF"/>
            <w:noWrap/>
            <w:hideMark/>
          </w:tcPr>
          <w:p w14:paraId="4FFC7B9A" w14:textId="77777777" w:rsidR="00EE7669" w:rsidRPr="001D160C" w:rsidRDefault="00EE7669" w:rsidP="00344BB4">
            <w:pPr>
              <w:pStyle w:val="Tabletext"/>
              <w:jc w:val="center"/>
            </w:pPr>
            <w:r w:rsidRPr="001D160C">
              <w:t>2</w:t>
            </w:r>
          </w:p>
        </w:tc>
        <w:tc>
          <w:tcPr>
            <w:tcW w:w="1401" w:type="dxa"/>
            <w:tcBorders>
              <w:top w:val="nil"/>
              <w:left w:val="nil"/>
              <w:bottom w:val="single" w:sz="4" w:space="0" w:color="auto"/>
              <w:right w:val="single" w:sz="4" w:space="0" w:color="auto"/>
            </w:tcBorders>
            <w:shd w:val="clear" w:color="auto" w:fill="auto"/>
            <w:noWrap/>
            <w:hideMark/>
          </w:tcPr>
          <w:p w14:paraId="241EB19E" w14:textId="77777777" w:rsidR="00EE7669" w:rsidRPr="001D160C" w:rsidRDefault="00EE7669" w:rsidP="00344BB4">
            <w:pPr>
              <w:pStyle w:val="Tabletext"/>
              <w:jc w:val="center"/>
            </w:pPr>
            <w:r w:rsidRPr="001D160C">
              <w:t>9%</w:t>
            </w:r>
          </w:p>
        </w:tc>
      </w:tr>
      <w:tr w:rsidR="00EE7669" w:rsidRPr="001D160C" w14:paraId="61F939AA" w14:textId="77777777" w:rsidTr="00344BB4">
        <w:trPr>
          <w:trHeight w:val="402"/>
          <w:jc w:val="center"/>
        </w:trPr>
        <w:tc>
          <w:tcPr>
            <w:tcW w:w="2830" w:type="dxa"/>
            <w:tcBorders>
              <w:top w:val="nil"/>
              <w:left w:val="single" w:sz="4" w:space="0" w:color="auto"/>
              <w:bottom w:val="single" w:sz="4" w:space="0" w:color="auto"/>
              <w:right w:val="single" w:sz="4" w:space="0" w:color="auto"/>
            </w:tcBorders>
            <w:shd w:val="clear" w:color="000000" w:fill="FFFFFF"/>
            <w:vAlign w:val="bottom"/>
            <w:hideMark/>
          </w:tcPr>
          <w:p w14:paraId="730C094B" w14:textId="77777777" w:rsidR="00EE7669" w:rsidRPr="001D160C" w:rsidRDefault="00EE7669" w:rsidP="00344BB4">
            <w:pPr>
              <w:pStyle w:val="Tabletext"/>
              <w:jc w:val="right"/>
              <w:rPr>
                <w:b/>
                <w:bCs/>
              </w:rPr>
            </w:pPr>
            <w:r w:rsidRPr="001D160C">
              <w:rPr>
                <w:b/>
                <w:bCs/>
              </w:rPr>
              <w:t>Total</w:t>
            </w:r>
          </w:p>
        </w:tc>
        <w:tc>
          <w:tcPr>
            <w:tcW w:w="1906" w:type="dxa"/>
            <w:tcBorders>
              <w:top w:val="nil"/>
              <w:left w:val="nil"/>
              <w:bottom w:val="single" w:sz="4" w:space="0" w:color="auto"/>
              <w:right w:val="single" w:sz="4" w:space="0" w:color="auto"/>
            </w:tcBorders>
            <w:shd w:val="clear" w:color="000000" w:fill="FFFFFF"/>
            <w:noWrap/>
            <w:hideMark/>
          </w:tcPr>
          <w:p w14:paraId="2FCD6BE5" w14:textId="77777777" w:rsidR="00EE7669" w:rsidRPr="001D160C" w:rsidRDefault="00EE7669" w:rsidP="00344BB4">
            <w:pPr>
              <w:pStyle w:val="Tabletext"/>
              <w:jc w:val="center"/>
              <w:rPr>
                <w:b/>
                <w:bCs/>
              </w:rPr>
            </w:pPr>
            <w:r w:rsidRPr="001D160C">
              <w:rPr>
                <w:b/>
                <w:bCs/>
              </w:rPr>
              <w:t>216</w:t>
            </w:r>
          </w:p>
        </w:tc>
        <w:tc>
          <w:tcPr>
            <w:tcW w:w="2205" w:type="dxa"/>
            <w:tcBorders>
              <w:top w:val="nil"/>
              <w:left w:val="nil"/>
              <w:bottom w:val="single" w:sz="4" w:space="0" w:color="auto"/>
              <w:right w:val="single" w:sz="4" w:space="0" w:color="auto"/>
            </w:tcBorders>
            <w:shd w:val="clear" w:color="000000" w:fill="FFFFFF"/>
            <w:noWrap/>
            <w:hideMark/>
          </w:tcPr>
          <w:p w14:paraId="76B10E86" w14:textId="77777777" w:rsidR="00EE7669" w:rsidRPr="001D160C" w:rsidRDefault="00EE7669" w:rsidP="00344BB4">
            <w:pPr>
              <w:pStyle w:val="Tabletext"/>
              <w:jc w:val="center"/>
              <w:rPr>
                <w:b/>
                <w:bCs/>
              </w:rPr>
            </w:pPr>
            <w:r w:rsidRPr="001D160C">
              <w:rPr>
                <w:b/>
                <w:bCs/>
              </w:rPr>
              <w:t>217</w:t>
            </w:r>
          </w:p>
        </w:tc>
        <w:tc>
          <w:tcPr>
            <w:tcW w:w="1418" w:type="dxa"/>
            <w:tcBorders>
              <w:top w:val="nil"/>
              <w:left w:val="nil"/>
              <w:bottom w:val="single" w:sz="4" w:space="0" w:color="auto"/>
              <w:right w:val="single" w:sz="4" w:space="0" w:color="auto"/>
            </w:tcBorders>
            <w:shd w:val="clear" w:color="000000" w:fill="FFFFFF"/>
            <w:noWrap/>
            <w:hideMark/>
          </w:tcPr>
          <w:p w14:paraId="01871ED3" w14:textId="77777777" w:rsidR="00EE7669" w:rsidRPr="001D160C" w:rsidRDefault="00EE7669" w:rsidP="00344BB4">
            <w:pPr>
              <w:pStyle w:val="Tabletext"/>
              <w:jc w:val="center"/>
              <w:rPr>
                <w:b/>
                <w:bCs/>
              </w:rPr>
            </w:pPr>
            <w:r w:rsidRPr="001D160C">
              <w:rPr>
                <w:b/>
                <w:bCs/>
              </w:rPr>
              <w:t>1</w:t>
            </w:r>
          </w:p>
        </w:tc>
        <w:tc>
          <w:tcPr>
            <w:tcW w:w="1401" w:type="dxa"/>
            <w:tcBorders>
              <w:top w:val="nil"/>
              <w:left w:val="nil"/>
              <w:bottom w:val="single" w:sz="4" w:space="0" w:color="auto"/>
              <w:right w:val="single" w:sz="4" w:space="0" w:color="auto"/>
            </w:tcBorders>
            <w:shd w:val="clear" w:color="auto" w:fill="auto"/>
            <w:noWrap/>
            <w:hideMark/>
          </w:tcPr>
          <w:p w14:paraId="37B626BF" w14:textId="77777777" w:rsidR="00EE7669" w:rsidRPr="001D160C" w:rsidRDefault="00EE7669" w:rsidP="00344BB4">
            <w:pPr>
              <w:pStyle w:val="Tabletext"/>
              <w:jc w:val="center"/>
              <w:rPr>
                <w:b/>
                <w:bCs/>
              </w:rPr>
            </w:pPr>
            <w:r w:rsidRPr="001D160C">
              <w:rPr>
                <w:b/>
                <w:bCs/>
              </w:rPr>
              <w:t>0%</w:t>
            </w:r>
          </w:p>
        </w:tc>
      </w:tr>
      <w:tr w:rsidR="00EE7669" w:rsidRPr="001D160C" w14:paraId="3FA11D82" w14:textId="77777777" w:rsidTr="00344BB4">
        <w:trPr>
          <w:trHeight w:val="435"/>
          <w:jc w:val="center"/>
        </w:trPr>
        <w:tc>
          <w:tcPr>
            <w:tcW w:w="2830" w:type="dxa"/>
            <w:tcBorders>
              <w:top w:val="nil"/>
              <w:left w:val="nil"/>
              <w:bottom w:val="nil"/>
              <w:right w:val="nil"/>
            </w:tcBorders>
            <w:shd w:val="clear" w:color="000000" w:fill="FFFFFF"/>
            <w:vAlign w:val="bottom"/>
            <w:hideMark/>
          </w:tcPr>
          <w:p w14:paraId="3126109E" w14:textId="410D8730" w:rsidR="00EE7669" w:rsidRPr="001D160C" w:rsidRDefault="00EE7669" w:rsidP="00EE7669">
            <w:pPr>
              <w:pStyle w:val="Tabletext"/>
            </w:pPr>
          </w:p>
        </w:tc>
        <w:tc>
          <w:tcPr>
            <w:tcW w:w="1906" w:type="dxa"/>
            <w:tcBorders>
              <w:top w:val="nil"/>
              <w:left w:val="nil"/>
              <w:bottom w:val="nil"/>
              <w:right w:val="nil"/>
            </w:tcBorders>
            <w:shd w:val="clear" w:color="000000" w:fill="FFFFFF"/>
            <w:noWrap/>
            <w:vAlign w:val="bottom"/>
            <w:hideMark/>
          </w:tcPr>
          <w:p w14:paraId="1C58396B" w14:textId="3F081261" w:rsidR="00EE7669" w:rsidRPr="001D160C" w:rsidRDefault="00EE7669" w:rsidP="00EE7669">
            <w:pPr>
              <w:pStyle w:val="Tabletext"/>
            </w:pPr>
          </w:p>
        </w:tc>
        <w:tc>
          <w:tcPr>
            <w:tcW w:w="2205" w:type="dxa"/>
            <w:tcBorders>
              <w:top w:val="nil"/>
              <w:left w:val="nil"/>
              <w:bottom w:val="nil"/>
              <w:right w:val="nil"/>
            </w:tcBorders>
            <w:shd w:val="clear" w:color="000000" w:fill="FFFFFF"/>
            <w:noWrap/>
            <w:vAlign w:val="bottom"/>
            <w:hideMark/>
          </w:tcPr>
          <w:p w14:paraId="7F9F844D" w14:textId="33B5FA31" w:rsidR="00EE7669" w:rsidRPr="001D160C" w:rsidRDefault="00EE7669" w:rsidP="00EE7669">
            <w:pPr>
              <w:pStyle w:val="Tabletext"/>
            </w:pPr>
          </w:p>
        </w:tc>
        <w:tc>
          <w:tcPr>
            <w:tcW w:w="1418" w:type="dxa"/>
            <w:tcBorders>
              <w:top w:val="nil"/>
              <w:left w:val="nil"/>
              <w:bottom w:val="nil"/>
              <w:right w:val="nil"/>
            </w:tcBorders>
            <w:shd w:val="clear" w:color="000000" w:fill="FFFFFF"/>
            <w:noWrap/>
            <w:vAlign w:val="bottom"/>
            <w:hideMark/>
          </w:tcPr>
          <w:p w14:paraId="25A37449" w14:textId="674BF34E" w:rsidR="00EE7669" w:rsidRPr="001D160C" w:rsidRDefault="00EE7669" w:rsidP="00EE7669">
            <w:pPr>
              <w:pStyle w:val="Tabletext"/>
            </w:pPr>
          </w:p>
        </w:tc>
        <w:tc>
          <w:tcPr>
            <w:tcW w:w="1401" w:type="dxa"/>
            <w:tcBorders>
              <w:top w:val="nil"/>
              <w:left w:val="nil"/>
              <w:bottom w:val="nil"/>
              <w:right w:val="nil"/>
            </w:tcBorders>
            <w:shd w:val="clear" w:color="000000" w:fill="FFFFFF"/>
            <w:noWrap/>
            <w:vAlign w:val="bottom"/>
            <w:hideMark/>
          </w:tcPr>
          <w:p w14:paraId="0AB0E72B" w14:textId="67C1D871" w:rsidR="00EE7669" w:rsidRPr="001D160C" w:rsidRDefault="00EE7669" w:rsidP="00EE7669">
            <w:pPr>
              <w:pStyle w:val="Tabletext"/>
            </w:pPr>
          </w:p>
        </w:tc>
      </w:tr>
      <w:tr w:rsidR="00EE7669" w:rsidRPr="001D160C" w14:paraId="18214656" w14:textId="77777777" w:rsidTr="00344BB4">
        <w:trPr>
          <w:trHeight w:val="1065"/>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5E99B" w14:textId="77777777" w:rsidR="00EE7669" w:rsidRPr="001D160C" w:rsidRDefault="00EE7669" w:rsidP="00344BB4">
            <w:pPr>
              <w:pStyle w:val="Tablehead"/>
            </w:pPr>
            <w:r w:rsidRPr="001D160C">
              <w:t>Associés</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14:paraId="4F0FAFEE" w14:textId="77777777" w:rsidR="00EE7669" w:rsidRPr="001D160C" w:rsidRDefault="00EE7669" w:rsidP="00344BB4">
            <w:pPr>
              <w:pStyle w:val="Tablehead"/>
            </w:pPr>
            <w:r w:rsidRPr="001D160C">
              <w:t>Nombre</w:t>
            </w:r>
            <w:r w:rsidRPr="001D160C">
              <w:br/>
              <w:t>d'Associés PP-22</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14:paraId="27DD2863" w14:textId="77777777" w:rsidR="00EE7669" w:rsidRPr="001D160C" w:rsidRDefault="00EE7669" w:rsidP="00344BB4">
            <w:pPr>
              <w:pStyle w:val="Tablehead"/>
            </w:pPr>
            <w:r w:rsidRPr="001D160C">
              <w:t>Nombre d'Associés au 28/02/2025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A631928" w14:textId="77777777" w:rsidR="00EE7669" w:rsidRPr="001D160C" w:rsidRDefault="00EE7669" w:rsidP="00344BB4">
            <w:pPr>
              <w:pStyle w:val="Tablehead"/>
            </w:pPr>
            <w:r w:rsidRPr="001D160C">
              <w:t>Différence</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76C90066" w14:textId="77777777" w:rsidR="00EE7669" w:rsidRPr="001D160C" w:rsidRDefault="00EE7669" w:rsidP="00344BB4">
            <w:pPr>
              <w:pStyle w:val="Tablehead"/>
            </w:pPr>
            <w:r w:rsidRPr="001D160C">
              <w:t>Différence en %</w:t>
            </w:r>
          </w:p>
        </w:tc>
      </w:tr>
      <w:tr w:rsidR="00EE7669" w:rsidRPr="001D160C" w14:paraId="7B7155E0" w14:textId="77777777" w:rsidTr="00344BB4">
        <w:trPr>
          <w:trHeight w:val="402"/>
          <w:jc w:val="center"/>
        </w:trPr>
        <w:tc>
          <w:tcPr>
            <w:tcW w:w="2830" w:type="dxa"/>
            <w:tcBorders>
              <w:top w:val="nil"/>
              <w:left w:val="single" w:sz="4" w:space="0" w:color="auto"/>
              <w:bottom w:val="single" w:sz="4" w:space="0" w:color="auto"/>
              <w:right w:val="single" w:sz="4" w:space="0" w:color="auto"/>
            </w:tcBorders>
            <w:shd w:val="clear" w:color="000000" w:fill="FFFFFF"/>
            <w:vAlign w:val="bottom"/>
            <w:hideMark/>
          </w:tcPr>
          <w:p w14:paraId="4F941FB1" w14:textId="77777777" w:rsidR="00EE7669" w:rsidRPr="001D160C" w:rsidRDefault="00EE7669" w:rsidP="00EE7669">
            <w:pPr>
              <w:pStyle w:val="Tabletext"/>
            </w:pPr>
            <w:r w:rsidRPr="001D160C">
              <w:t>Associés de l'UIT-R</w:t>
            </w:r>
          </w:p>
        </w:tc>
        <w:tc>
          <w:tcPr>
            <w:tcW w:w="1906" w:type="dxa"/>
            <w:tcBorders>
              <w:top w:val="nil"/>
              <w:left w:val="nil"/>
              <w:bottom w:val="single" w:sz="4" w:space="0" w:color="auto"/>
              <w:right w:val="single" w:sz="4" w:space="0" w:color="auto"/>
            </w:tcBorders>
            <w:shd w:val="clear" w:color="000000" w:fill="FFFFFF"/>
            <w:noWrap/>
            <w:hideMark/>
          </w:tcPr>
          <w:p w14:paraId="0090A9F6" w14:textId="77777777" w:rsidR="00EE7669" w:rsidRPr="001D160C" w:rsidRDefault="00EE7669" w:rsidP="00344BB4">
            <w:pPr>
              <w:pStyle w:val="Tabletext"/>
              <w:jc w:val="center"/>
            </w:pPr>
            <w:r w:rsidRPr="001D160C">
              <w:t>20</w:t>
            </w:r>
          </w:p>
        </w:tc>
        <w:tc>
          <w:tcPr>
            <w:tcW w:w="2205" w:type="dxa"/>
            <w:tcBorders>
              <w:top w:val="nil"/>
              <w:left w:val="nil"/>
              <w:bottom w:val="single" w:sz="4" w:space="0" w:color="auto"/>
              <w:right w:val="single" w:sz="4" w:space="0" w:color="auto"/>
            </w:tcBorders>
            <w:shd w:val="clear" w:color="000000" w:fill="FFFFFF"/>
            <w:noWrap/>
            <w:hideMark/>
          </w:tcPr>
          <w:p w14:paraId="48D501FB" w14:textId="77777777" w:rsidR="00EE7669" w:rsidRPr="001D160C" w:rsidRDefault="00EE7669" w:rsidP="00344BB4">
            <w:pPr>
              <w:pStyle w:val="Tabletext"/>
              <w:jc w:val="center"/>
            </w:pPr>
            <w:r w:rsidRPr="001D160C">
              <w:t>22</w:t>
            </w:r>
          </w:p>
        </w:tc>
        <w:tc>
          <w:tcPr>
            <w:tcW w:w="1418" w:type="dxa"/>
            <w:tcBorders>
              <w:top w:val="nil"/>
              <w:left w:val="nil"/>
              <w:bottom w:val="single" w:sz="4" w:space="0" w:color="auto"/>
              <w:right w:val="single" w:sz="4" w:space="0" w:color="auto"/>
            </w:tcBorders>
            <w:shd w:val="clear" w:color="000000" w:fill="FFFFFF"/>
            <w:noWrap/>
            <w:hideMark/>
          </w:tcPr>
          <w:p w14:paraId="2EB9DC31" w14:textId="77777777" w:rsidR="00EE7669" w:rsidRPr="001D160C" w:rsidRDefault="00EE7669" w:rsidP="00344BB4">
            <w:pPr>
              <w:pStyle w:val="Tabletext"/>
              <w:jc w:val="center"/>
            </w:pPr>
            <w:r w:rsidRPr="001D160C">
              <w:t>2</w:t>
            </w:r>
          </w:p>
        </w:tc>
        <w:tc>
          <w:tcPr>
            <w:tcW w:w="1401" w:type="dxa"/>
            <w:tcBorders>
              <w:top w:val="nil"/>
              <w:left w:val="nil"/>
              <w:bottom w:val="single" w:sz="4" w:space="0" w:color="auto"/>
              <w:right w:val="single" w:sz="4" w:space="0" w:color="auto"/>
            </w:tcBorders>
            <w:shd w:val="clear" w:color="auto" w:fill="auto"/>
            <w:noWrap/>
            <w:hideMark/>
          </w:tcPr>
          <w:p w14:paraId="2B411938" w14:textId="77777777" w:rsidR="00EE7669" w:rsidRPr="001D160C" w:rsidRDefault="00EE7669" w:rsidP="00344BB4">
            <w:pPr>
              <w:pStyle w:val="Tabletext"/>
              <w:jc w:val="center"/>
            </w:pPr>
            <w:r w:rsidRPr="001D160C">
              <w:t>10%</w:t>
            </w:r>
          </w:p>
        </w:tc>
      </w:tr>
      <w:tr w:rsidR="00EE7669" w:rsidRPr="001D160C" w14:paraId="55122323" w14:textId="77777777" w:rsidTr="00344BB4">
        <w:trPr>
          <w:trHeight w:val="402"/>
          <w:jc w:val="center"/>
        </w:trPr>
        <w:tc>
          <w:tcPr>
            <w:tcW w:w="2830" w:type="dxa"/>
            <w:tcBorders>
              <w:top w:val="nil"/>
              <w:left w:val="single" w:sz="4" w:space="0" w:color="auto"/>
              <w:bottom w:val="single" w:sz="4" w:space="0" w:color="auto"/>
              <w:right w:val="single" w:sz="4" w:space="0" w:color="auto"/>
            </w:tcBorders>
            <w:shd w:val="clear" w:color="000000" w:fill="FFFFFF"/>
            <w:vAlign w:val="bottom"/>
            <w:hideMark/>
          </w:tcPr>
          <w:p w14:paraId="45F87F17" w14:textId="77777777" w:rsidR="00EE7669" w:rsidRPr="001D160C" w:rsidRDefault="00EE7669" w:rsidP="00EE7669">
            <w:pPr>
              <w:pStyle w:val="Tabletext"/>
            </w:pPr>
            <w:r w:rsidRPr="001D160C">
              <w:t>Associés de l'UIT-T</w:t>
            </w:r>
          </w:p>
        </w:tc>
        <w:tc>
          <w:tcPr>
            <w:tcW w:w="1906" w:type="dxa"/>
            <w:tcBorders>
              <w:top w:val="nil"/>
              <w:left w:val="nil"/>
              <w:bottom w:val="single" w:sz="4" w:space="0" w:color="auto"/>
              <w:right w:val="single" w:sz="4" w:space="0" w:color="auto"/>
            </w:tcBorders>
            <w:shd w:val="clear" w:color="000000" w:fill="FFFFFF"/>
            <w:noWrap/>
            <w:hideMark/>
          </w:tcPr>
          <w:p w14:paraId="693073FD" w14:textId="77777777" w:rsidR="00EE7669" w:rsidRPr="001D160C" w:rsidRDefault="00EE7669" w:rsidP="00344BB4">
            <w:pPr>
              <w:pStyle w:val="Tabletext"/>
              <w:jc w:val="center"/>
            </w:pPr>
            <w:r w:rsidRPr="001D160C">
              <w:t>162</w:t>
            </w:r>
          </w:p>
        </w:tc>
        <w:tc>
          <w:tcPr>
            <w:tcW w:w="2205" w:type="dxa"/>
            <w:tcBorders>
              <w:top w:val="nil"/>
              <w:left w:val="nil"/>
              <w:bottom w:val="single" w:sz="4" w:space="0" w:color="auto"/>
              <w:right w:val="single" w:sz="4" w:space="0" w:color="auto"/>
            </w:tcBorders>
            <w:shd w:val="clear" w:color="000000" w:fill="FFFFFF"/>
            <w:noWrap/>
            <w:hideMark/>
          </w:tcPr>
          <w:p w14:paraId="02DE9A90" w14:textId="77777777" w:rsidR="00EE7669" w:rsidRPr="001D160C" w:rsidRDefault="00EE7669" w:rsidP="00344BB4">
            <w:pPr>
              <w:pStyle w:val="Tabletext"/>
              <w:jc w:val="center"/>
            </w:pPr>
            <w:r w:rsidRPr="001D160C">
              <w:t>144</w:t>
            </w:r>
          </w:p>
        </w:tc>
        <w:tc>
          <w:tcPr>
            <w:tcW w:w="1418" w:type="dxa"/>
            <w:tcBorders>
              <w:top w:val="nil"/>
              <w:left w:val="nil"/>
              <w:bottom w:val="single" w:sz="4" w:space="0" w:color="auto"/>
              <w:right w:val="single" w:sz="4" w:space="0" w:color="auto"/>
            </w:tcBorders>
            <w:shd w:val="clear" w:color="000000" w:fill="FFFFFF"/>
            <w:noWrap/>
            <w:hideMark/>
          </w:tcPr>
          <w:p w14:paraId="30DC3E23" w14:textId="77777777" w:rsidR="00EE7669" w:rsidRPr="001D160C" w:rsidRDefault="00EE7669" w:rsidP="00344BB4">
            <w:pPr>
              <w:pStyle w:val="Tabletext"/>
              <w:jc w:val="center"/>
            </w:pPr>
            <w:r w:rsidRPr="001D160C">
              <w:t>−18</w:t>
            </w:r>
          </w:p>
        </w:tc>
        <w:tc>
          <w:tcPr>
            <w:tcW w:w="1401" w:type="dxa"/>
            <w:tcBorders>
              <w:top w:val="nil"/>
              <w:left w:val="nil"/>
              <w:bottom w:val="single" w:sz="4" w:space="0" w:color="auto"/>
              <w:right w:val="single" w:sz="4" w:space="0" w:color="auto"/>
            </w:tcBorders>
            <w:shd w:val="clear" w:color="auto" w:fill="auto"/>
            <w:noWrap/>
            <w:hideMark/>
          </w:tcPr>
          <w:p w14:paraId="0C48848F" w14:textId="77777777" w:rsidR="00EE7669" w:rsidRPr="001D160C" w:rsidRDefault="00EE7669" w:rsidP="00344BB4">
            <w:pPr>
              <w:pStyle w:val="Tabletext"/>
              <w:jc w:val="center"/>
            </w:pPr>
            <w:r w:rsidRPr="001D160C">
              <w:t>−11%</w:t>
            </w:r>
          </w:p>
        </w:tc>
      </w:tr>
      <w:tr w:rsidR="00EE7669" w:rsidRPr="001D160C" w14:paraId="13BC760D" w14:textId="77777777" w:rsidTr="00344BB4">
        <w:trPr>
          <w:trHeight w:val="402"/>
          <w:jc w:val="center"/>
        </w:trPr>
        <w:tc>
          <w:tcPr>
            <w:tcW w:w="2830" w:type="dxa"/>
            <w:tcBorders>
              <w:top w:val="nil"/>
              <w:left w:val="single" w:sz="4" w:space="0" w:color="auto"/>
              <w:bottom w:val="single" w:sz="4" w:space="0" w:color="auto"/>
              <w:right w:val="single" w:sz="4" w:space="0" w:color="auto"/>
            </w:tcBorders>
            <w:shd w:val="clear" w:color="000000" w:fill="FFFFFF"/>
            <w:vAlign w:val="bottom"/>
            <w:hideMark/>
          </w:tcPr>
          <w:p w14:paraId="33DAD09B" w14:textId="77777777" w:rsidR="00EE7669" w:rsidRPr="001D160C" w:rsidRDefault="00EE7669" w:rsidP="00EE7669">
            <w:pPr>
              <w:pStyle w:val="Tabletext"/>
            </w:pPr>
            <w:r w:rsidRPr="001D160C">
              <w:t>Associés de l'UIT-D</w:t>
            </w:r>
          </w:p>
        </w:tc>
        <w:tc>
          <w:tcPr>
            <w:tcW w:w="1906" w:type="dxa"/>
            <w:tcBorders>
              <w:top w:val="nil"/>
              <w:left w:val="nil"/>
              <w:bottom w:val="single" w:sz="4" w:space="0" w:color="auto"/>
              <w:right w:val="single" w:sz="4" w:space="0" w:color="auto"/>
            </w:tcBorders>
            <w:shd w:val="clear" w:color="000000" w:fill="FFFFFF"/>
            <w:noWrap/>
            <w:hideMark/>
          </w:tcPr>
          <w:p w14:paraId="6C818A72" w14:textId="77777777" w:rsidR="00EE7669" w:rsidRPr="001D160C" w:rsidRDefault="00EE7669" w:rsidP="00344BB4">
            <w:pPr>
              <w:pStyle w:val="Tabletext"/>
              <w:jc w:val="center"/>
            </w:pPr>
            <w:r w:rsidRPr="001D160C">
              <w:t>12</w:t>
            </w:r>
          </w:p>
        </w:tc>
        <w:tc>
          <w:tcPr>
            <w:tcW w:w="2205" w:type="dxa"/>
            <w:tcBorders>
              <w:top w:val="nil"/>
              <w:left w:val="nil"/>
              <w:bottom w:val="single" w:sz="4" w:space="0" w:color="auto"/>
              <w:right w:val="single" w:sz="4" w:space="0" w:color="auto"/>
            </w:tcBorders>
            <w:shd w:val="clear" w:color="000000" w:fill="FFFFFF"/>
            <w:noWrap/>
            <w:hideMark/>
          </w:tcPr>
          <w:p w14:paraId="40A923D6" w14:textId="77777777" w:rsidR="00EE7669" w:rsidRPr="001D160C" w:rsidRDefault="00EE7669" w:rsidP="00344BB4">
            <w:pPr>
              <w:pStyle w:val="Tabletext"/>
              <w:jc w:val="center"/>
            </w:pPr>
            <w:r w:rsidRPr="001D160C">
              <w:t>19</w:t>
            </w:r>
          </w:p>
        </w:tc>
        <w:tc>
          <w:tcPr>
            <w:tcW w:w="1418" w:type="dxa"/>
            <w:tcBorders>
              <w:top w:val="nil"/>
              <w:left w:val="nil"/>
              <w:bottom w:val="single" w:sz="4" w:space="0" w:color="auto"/>
              <w:right w:val="single" w:sz="4" w:space="0" w:color="auto"/>
            </w:tcBorders>
            <w:shd w:val="clear" w:color="000000" w:fill="FFFFFF"/>
            <w:noWrap/>
            <w:hideMark/>
          </w:tcPr>
          <w:p w14:paraId="33D09C4A" w14:textId="77777777" w:rsidR="00EE7669" w:rsidRPr="001D160C" w:rsidRDefault="00EE7669" w:rsidP="00344BB4">
            <w:pPr>
              <w:pStyle w:val="Tabletext"/>
              <w:jc w:val="center"/>
            </w:pPr>
            <w:r w:rsidRPr="001D160C">
              <w:t>7</w:t>
            </w:r>
          </w:p>
        </w:tc>
        <w:tc>
          <w:tcPr>
            <w:tcW w:w="1401" w:type="dxa"/>
            <w:tcBorders>
              <w:top w:val="nil"/>
              <w:left w:val="nil"/>
              <w:bottom w:val="single" w:sz="4" w:space="0" w:color="auto"/>
              <w:right w:val="single" w:sz="4" w:space="0" w:color="auto"/>
            </w:tcBorders>
            <w:shd w:val="clear" w:color="auto" w:fill="auto"/>
            <w:noWrap/>
            <w:hideMark/>
          </w:tcPr>
          <w:p w14:paraId="65088AAA" w14:textId="77777777" w:rsidR="00EE7669" w:rsidRPr="001D160C" w:rsidRDefault="00EE7669" w:rsidP="00344BB4">
            <w:pPr>
              <w:pStyle w:val="Tabletext"/>
              <w:jc w:val="center"/>
            </w:pPr>
            <w:r w:rsidRPr="001D160C">
              <w:t>58%</w:t>
            </w:r>
          </w:p>
        </w:tc>
      </w:tr>
      <w:tr w:rsidR="00EE7669" w:rsidRPr="001D160C" w14:paraId="1FC0551E" w14:textId="77777777" w:rsidTr="00344BB4">
        <w:trPr>
          <w:trHeight w:val="402"/>
          <w:jc w:val="center"/>
        </w:trPr>
        <w:tc>
          <w:tcPr>
            <w:tcW w:w="2830" w:type="dxa"/>
            <w:tcBorders>
              <w:top w:val="nil"/>
              <w:left w:val="single" w:sz="4" w:space="0" w:color="auto"/>
              <w:bottom w:val="single" w:sz="4" w:space="0" w:color="auto"/>
              <w:right w:val="single" w:sz="4" w:space="0" w:color="auto"/>
            </w:tcBorders>
            <w:shd w:val="clear" w:color="000000" w:fill="FFFFFF"/>
            <w:vAlign w:val="bottom"/>
            <w:hideMark/>
          </w:tcPr>
          <w:p w14:paraId="40097F7A" w14:textId="77777777" w:rsidR="00EE7669" w:rsidRPr="001D160C" w:rsidRDefault="00EE7669" w:rsidP="00344BB4">
            <w:pPr>
              <w:pStyle w:val="Tabletext"/>
              <w:jc w:val="right"/>
              <w:rPr>
                <w:b/>
                <w:bCs/>
              </w:rPr>
            </w:pPr>
            <w:r w:rsidRPr="001D160C">
              <w:rPr>
                <w:b/>
                <w:bCs/>
              </w:rPr>
              <w:t>Total</w:t>
            </w:r>
          </w:p>
        </w:tc>
        <w:tc>
          <w:tcPr>
            <w:tcW w:w="1906" w:type="dxa"/>
            <w:tcBorders>
              <w:top w:val="nil"/>
              <w:left w:val="nil"/>
              <w:bottom w:val="single" w:sz="4" w:space="0" w:color="auto"/>
              <w:right w:val="single" w:sz="4" w:space="0" w:color="auto"/>
            </w:tcBorders>
            <w:shd w:val="clear" w:color="000000" w:fill="FFFFFF"/>
            <w:noWrap/>
            <w:hideMark/>
          </w:tcPr>
          <w:p w14:paraId="476C5259" w14:textId="77777777" w:rsidR="00EE7669" w:rsidRPr="001D160C" w:rsidRDefault="00EE7669" w:rsidP="00344BB4">
            <w:pPr>
              <w:pStyle w:val="Tabletext"/>
              <w:jc w:val="center"/>
              <w:rPr>
                <w:b/>
                <w:bCs/>
              </w:rPr>
            </w:pPr>
            <w:r w:rsidRPr="001D160C">
              <w:rPr>
                <w:b/>
                <w:bCs/>
              </w:rPr>
              <w:t>194</w:t>
            </w:r>
          </w:p>
        </w:tc>
        <w:tc>
          <w:tcPr>
            <w:tcW w:w="2205" w:type="dxa"/>
            <w:tcBorders>
              <w:top w:val="nil"/>
              <w:left w:val="nil"/>
              <w:bottom w:val="single" w:sz="4" w:space="0" w:color="auto"/>
              <w:right w:val="single" w:sz="4" w:space="0" w:color="auto"/>
            </w:tcBorders>
            <w:shd w:val="clear" w:color="000000" w:fill="FFFFFF"/>
            <w:noWrap/>
            <w:hideMark/>
          </w:tcPr>
          <w:p w14:paraId="219FF0CF" w14:textId="77777777" w:rsidR="00EE7669" w:rsidRPr="001D160C" w:rsidRDefault="00EE7669" w:rsidP="00344BB4">
            <w:pPr>
              <w:pStyle w:val="Tabletext"/>
              <w:jc w:val="center"/>
              <w:rPr>
                <w:b/>
                <w:bCs/>
              </w:rPr>
            </w:pPr>
            <w:r w:rsidRPr="001D160C">
              <w:rPr>
                <w:b/>
                <w:bCs/>
              </w:rPr>
              <w:t>185</w:t>
            </w:r>
          </w:p>
        </w:tc>
        <w:tc>
          <w:tcPr>
            <w:tcW w:w="1418" w:type="dxa"/>
            <w:tcBorders>
              <w:top w:val="nil"/>
              <w:left w:val="nil"/>
              <w:bottom w:val="single" w:sz="4" w:space="0" w:color="auto"/>
              <w:right w:val="single" w:sz="4" w:space="0" w:color="auto"/>
            </w:tcBorders>
            <w:shd w:val="clear" w:color="000000" w:fill="FFFFFF"/>
            <w:noWrap/>
            <w:hideMark/>
          </w:tcPr>
          <w:p w14:paraId="0FE5EBD3" w14:textId="77777777" w:rsidR="00EE7669" w:rsidRPr="001D160C" w:rsidRDefault="00EE7669" w:rsidP="00344BB4">
            <w:pPr>
              <w:pStyle w:val="Tabletext"/>
              <w:jc w:val="center"/>
              <w:rPr>
                <w:b/>
                <w:bCs/>
              </w:rPr>
            </w:pPr>
            <w:r w:rsidRPr="001D160C">
              <w:rPr>
                <w:b/>
                <w:bCs/>
              </w:rPr>
              <w:t>−9</w:t>
            </w:r>
          </w:p>
        </w:tc>
        <w:tc>
          <w:tcPr>
            <w:tcW w:w="1401" w:type="dxa"/>
            <w:tcBorders>
              <w:top w:val="nil"/>
              <w:left w:val="nil"/>
              <w:bottom w:val="single" w:sz="4" w:space="0" w:color="auto"/>
              <w:right w:val="single" w:sz="4" w:space="0" w:color="auto"/>
            </w:tcBorders>
            <w:shd w:val="clear" w:color="auto" w:fill="auto"/>
            <w:noWrap/>
            <w:hideMark/>
          </w:tcPr>
          <w:p w14:paraId="0294C118" w14:textId="77777777" w:rsidR="00EE7669" w:rsidRPr="001D160C" w:rsidRDefault="00EE7669" w:rsidP="00344BB4">
            <w:pPr>
              <w:pStyle w:val="Tabletext"/>
              <w:jc w:val="center"/>
              <w:rPr>
                <w:b/>
                <w:bCs/>
              </w:rPr>
            </w:pPr>
            <w:r w:rsidRPr="001D160C">
              <w:rPr>
                <w:b/>
                <w:bCs/>
              </w:rPr>
              <w:t>−5%</w:t>
            </w:r>
          </w:p>
        </w:tc>
      </w:tr>
      <w:tr w:rsidR="00EE7669" w:rsidRPr="001D160C" w14:paraId="2E687165" w14:textId="77777777" w:rsidTr="00344BB4">
        <w:trPr>
          <w:trHeight w:val="435"/>
          <w:jc w:val="center"/>
        </w:trPr>
        <w:tc>
          <w:tcPr>
            <w:tcW w:w="2830" w:type="dxa"/>
            <w:tcBorders>
              <w:top w:val="nil"/>
              <w:left w:val="nil"/>
              <w:bottom w:val="single" w:sz="4" w:space="0" w:color="auto"/>
              <w:right w:val="nil"/>
            </w:tcBorders>
            <w:shd w:val="clear" w:color="000000" w:fill="FFFFFF"/>
            <w:vAlign w:val="center"/>
          </w:tcPr>
          <w:p w14:paraId="56284B70" w14:textId="77777777" w:rsidR="00EE7669" w:rsidRPr="001D160C" w:rsidRDefault="00EE7669" w:rsidP="00EE7669">
            <w:pPr>
              <w:pStyle w:val="Tabletext"/>
            </w:pPr>
          </w:p>
        </w:tc>
        <w:tc>
          <w:tcPr>
            <w:tcW w:w="1906" w:type="dxa"/>
            <w:tcBorders>
              <w:top w:val="single" w:sz="4" w:space="0" w:color="auto"/>
              <w:left w:val="nil"/>
              <w:bottom w:val="single" w:sz="4" w:space="0" w:color="auto"/>
              <w:right w:val="nil"/>
            </w:tcBorders>
            <w:shd w:val="clear" w:color="000000" w:fill="FFFFFF"/>
            <w:noWrap/>
            <w:vAlign w:val="center"/>
          </w:tcPr>
          <w:p w14:paraId="62E2DB88" w14:textId="77777777" w:rsidR="00EE7669" w:rsidRPr="001D160C" w:rsidRDefault="00EE7669" w:rsidP="00EE7669">
            <w:pPr>
              <w:pStyle w:val="Tabletext"/>
            </w:pPr>
          </w:p>
        </w:tc>
        <w:tc>
          <w:tcPr>
            <w:tcW w:w="2205" w:type="dxa"/>
            <w:tcBorders>
              <w:top w:val="nil"/>
              <w:left w:val="nil"/>
              <w:bottom w:val="single" w:sz="4" w:space="0" w:color="auto"/>
              <w:right w:val="nil"/>
            </w:tcBorders>
            <w:shd w:val="clear" w:color="000000" w:fill="FFFFFF"/>
            <w:noWrap/>
            <w:vAlign w:val="center"/>
          </w:tcPr>
          <w:p w14:paraId="340CD410" w14:textId="77777777" w:rsidR="00EE7669" w:rsidRPr="001D160C" w:rsidRDefault="00EE7669" w:rsidP="00EE7669">
            <w:pPr>
              <w:pStyle w:val="Tabletext"/>
            </w:pPr>
          </w:p>
        </w:tc>
        <w:tc>
          <w:tcPr>
            <w:tcW w:w="1418" w:type="dxa"/>
            <w:tcBorders>
              <w:top w:val="nil"/>
              <w:left w:val="nil"/>
              <w:bottom w:val="single" w:sz="4" w:space="0" w:color="auto"/>
              <w:right w:val="nil"/>
            </w:tcBorders>
            <w:shd w:val="clear" w:color="000000" w:fill="FFFFFF"/>
            <w:noWrap/>
            <w:vAlign w:val="center"/>
          </w:tcPr>
          <w:p w14:paraId="6B30339D" w14:textId="77777777" w:rsidR="00EE7669" w:rsidRPr="001D160C" w:rsidRDefault="00EE7669" w:rsidP="00EE7669">
            <w:pPr>
              <w:pStyle w:val="Tabletext"/>
            </w:pPr>
          </w:p>
        </w:tc>
        <w:tc>
          <w:tcPr>
            <w:tcW w:w="1401" w:type="dxa"/>
            <w:tcBorders>
              <w:top w:val="nil"/>
              <w:left w:val="nil"/>
              <w:bottom w:val="single" w:sz="4" w:space="0" w:color="auto"/>
              <w:right w:val="nil"/>
            </w:tcBorders>
            <w:shd w:val="clear" w:color="auto" w:fill="auto"/>
            <w:noWrap/>
            <w:vAlign w:val="bottom"/>
          </w:tcPr>
          <w:p w14:paraId="33390B04" w14:textId="77777777" w:rsidR="00EE7669" w:rsidRPr="001D160C" w:rsidRDefault="00EE7669" w:rsidP="00EE7669">
            <w:pPr>
              <w:pStyle w:val="Tabletext"/>
            </w:pPr>
          </w:p>
        </w:tc>
      </w:tr>
      <w:tr w:rsidR="00344BB4" w:rsidRPr="001D160C" w14:paraId="711B0936" w14:textId="77777777" w:rsidTr="00344BB4">
        <w:trPr>
          <w:trHeight w:val="435"/>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14:paraId="061571BE" w14:textId="77777777" w:rsidR="00344BB4" w:rsidRPr="001D160C" w:rsidRDefault="00344BB4" w:rsidP="00344BB4">
            <w:pPr>
              <w:pStyle w:val="Tablehead"/>
            </w:pPr>
            <w:r w:rsidRPr="001D160C">
              <w:t>PME en tant qu'Associés*</w:t>
            </w:r>
          </w:p>
        </w:tc>
        <w:tc>
          <w:tcPr>
            <w:tcW w:w="190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B93FB7" w14:textId="77777777" w:rsidR="00344BB4" w:rsidRPr="001D160C" w:rsidRDefault="00344BB4" w:rsidP="00344BB4">
            <w:pPr>
              <w:pStyle w:val="Tablehead"/>
            </w:pPr>
            <w:r w:rsidRPr="001D160C">
              <w:t>Nombre de PME</w:t>
            </w:r>
            <w:r w:rsidRPr="001D160C">
              <w:br/>
              <w:t>PP-22</w:t>
            </w:r>
          </w:p>
        </w:tc>
        <w:tc>
          <w:tcPr>
            <w:tcW w:w="22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CE4A71" w14:textId="77777777" w:rsidR="00344BB4" w:rsidRPr="001D160C" w:rsidRDefault="00344BB4" w:rsidP="00344BB4">
            <w:pPr>
              <w:pStyle w:val="Tablehead"/>
            </w:pPr>
            <w:r w:rsidRPr="001D160C">
              <w:t>Nombre de PME au 28/02/2025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0A8761" w14:textId="77777777" w:rsidR="00344BB4" w:rsidRPr="001D160C" w:rsidRDefault="00344BB4" w:rsidP="00344BB4">
            <w:pPr>
              <w:pStyle w:val="Tablehead"/>
            </w:pPr>
            <w:r w:rsidRPr="001D160C">
              <w:t>Différence</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83BCC" w14:textId="77777777" w:rsidR="00344BB4" w:rsidRPr="001D160C" w:rsidRDefault="00344BB4" w:rsidP="00344BB4">
            <w:pPr>
              <w:pStyle w:val="Tablehead"/>
            </w:pPr>
            <w:r w:rsidRPr="001D160C">
              <w:t>Différence en %</w:t>
            </w:r>
          </w:p>
        </w:tc>
      </w:tr>
      <w:tr w:rsidR="00344BB4" w:rsidRPr="001D160C" w14:paraId="1E1A1C88" w14:textId="77777777" w:rsidTr="00344BB4">
        <w:trPr>
          <w:trHeight w:val="435"/>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14:paraId="353D4033" w14:textId="77777777" w:rsidR="00344BB4" w:rsidRPr="001D160C" w:rsidRDefault="00344BB4" w:rsidP="00C669A5">
            <w:pPr>
              <w:pStyle w:val="Tabletext"/>
            </w:pPr>
            <w:r w:rsidRPr="001D160C">
              <w:t>Associés de l'UIT-R</w:t>
            </w:r>
          </w:p>
        </w:tc>
        <w:tc>
          <w:tcPr>
            <w:tcW w:w="1906" w:type="dxa"/>
            <w:tcBorders>
              <w:top w:val="single" w:sz="4" w:space="0" w:color="auto"/>
              <w:left w:val="single" w:sz="4" w:space="0" w:color="auto"/>
              <w:bottom w:val="single" w:sz="4" w:space="0" w:color="auto"/>
              <w:right w:val="single" w:sz="4" w:space="0" w:color="auto"/>
            </w:tcBorders>
            <w:shd w:val="clear" w:color="000000" w:fill="FFFFFF"/>
            <w:noWrap/>
          </w:tcPr>
          <w:p w14:paraId="09D4A771" w14:textId="77777777" w:rsidR="00344BB4" w:rsidRPr="001D160C" w:rsidRDefault="00344BB4" w:rsidP="00344BB4">
            <w:pPr>
              <w:pStyle w:val="Tabletext"/>
              <w:jc w:val="center"/>
            </w:pPr>
            <w:r w:rsidRPr="001D160C">
              <w:t>18</w:t>
            </w:r>
          </w:p>
        </w:tc>
        <w:tc>
          <w:tcPr>
            <w:tcW w:w="2205" w:type="dxa"/>
            <w:tcBorders>
              <w:top w:val="single" w:sz="4" w:space="0" w:color="auto"/>
              <w:left w:val="single" w:sz="4" w:space="0" w:color="auto"/>
              <w:bottom w:val="single" w:sz="4" w:space="0" w:color="auto"/>
              <w:right w:val="single" w:sz="4" w:space="0" w:color="auto"/>
            </w:tcBorders>
            <w:shd w:val="clear" w:color="000000" w:fill="FFFFFF"/>
            <w:noWrap/>
          </w:tcPr>
          <w:p w14:paraId="3E285565" w14:textId="77777777" w:rsidR="00344BB4" w:rsidRPr="001D160C" w:rsidRDefault="00344BB4" w:rsidP="00344BB4">
            <w:pPr>
              <w:pStyle w:val="Tabletext"/>
              <w:jc w:val="center"/>
            </w:pPr>
            <w:r w:rsidRPr="001D160C">
              <w:t>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2C60D823" w14:textId="77777777" w:rsidR="00344BB4" w:rsidRPr="001D160C" w:rsidRDefault="00344BB4" w:rsidP="00344BB4">
            <w:pPr>
              <w:pStyle w:val="Tabletext"/>
              <w:jc w:val="center"/>
            </w:pPr>
            <w:r w:rsidRPr="001D160C">
              <w:t>2</w:t>
            </w:r>
          </w:p>
        </w:tc>
        <w:tc>
          <w:tcPr>
            <w:tcW w:w="1401" w:type="dxa"/>
            <w:tcBorders>
              <w:top w:val="single" w:sz="4" w:space="0" w:color="auto"/>
              <w:left w:val="single" w:sz="4" w:space="0" w:color="auto"/>
              <w:bottom w:val="single" w:sz="4" w:space="0" w:color="auto"/>
              <w:right w:val="single" w:sz="4" w:space="0" w:color="auto"/>
            </w:tcBorders>
            <w:shd w:val="clear" w:color="auto" w:fill="auto"/>
            <w:noWrap/>
          </w:tcPr>
          <w:p w14:paraId="1A508564" w14:textId="77777777" w:rsidR="00344BB4" w:rsidRPr="001D160C" w:rsidRDefault="00344BB4" w:rsidP="00344BB4">
            <w:pPr>
              <w:pStyle w:val="Tabletext"/>
              <w:jc w:val="center"/>
            </w:pPr>
            <w:r w:rsidRPr="001D160C">
              <w:t>11%</w:t>
            </w:r>
          </w:p>
        </w:tc>
      </w:tr>
      <w:tr w:rsidR="00344BB4" w:rsidRPr="001D160C" w14:paraId="375485B7" w14:textId="77777777" w:rsidTr="00344BB4">
        <w:trPr>
          <w:trHeight w:val="435"/>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14:paraId="6AC540A8" w14:textId="77777777" w:rsidR="00344BB4" w:rsidRPr="001D160C" w:rsidRDefault="00344BB4" w:rsidP="00C669A5">
            <w:pPr>
              <w:pStyle w:val="Tabletext"/>
            </w:pPr>
            <w:r w:rsidRPr="001D160C">
              <w:t>Associés de l'UIT-T</w:t>
            </w:r>
          </w:p>
        </w:tc>
        <w:tc>
          <w:tcPr>
            <w:tcW w:w="1906" w:type="dxa"/>
            <w:tcBorders>
              <w:top w:val="single" w:sz="4" w:space="0" w:color="auto"/>
              <w:left w:val="single" w:sz="4" w:space="0" w:color="auto"/>
              <w:bottom w:val="single" w:sz="4" w:space="0" w:color="auto"/>
              <w:right w:val="single" w:sz="4" w:space="0" w:color="auto"/>
            </w:tcBorders>
            <w:shd w:val="clear" w:color="000000" w:fill="FFFFFF"/>
            <w:noWrap/>
          </w:tcPr>
          <w:p w14:paraId="2C4E502A" w14:textId="77777777" w:rsidR="00344BB4" w:rsidRPr="001D160C" w:rsidRDefault="00344BB4" w:rsidP="00344BB4">
            <w:pPr>
              <w:pStyle w:val="Tabletext"/>
              <w:jc w:val="center"/>
            </w:pPr>
            <w:r w:rsidRPr="001D160C">
              <w:t>52</w:t>
            </w:r>
          </w:p>
        </w:tc>
        <w:tc>
          <w:tcPr>
            <w:tcW w:w="2205" w:type="dxa"/>
            <w:tcBorders>
              <w:top w:val="single" w:sz="4" w:space="0" w:color="auto"/>
              <w:left w:val="single" w:sz="4" w:space="0" w:color="auto"/>
              <w:bottom w:val="single" w:sz="4" w:space="0" w:color="auto"/>
              <w:right w:val="single" w:sz="4" w:space="0" w:color="auto"/>
            </w:tcBorders>
            <w:shd w:val="clear" w:color="000000" w:fill="FFFFFF"/>
            <w:noWrap/>
          </w:tcPr>
          <w:p w14:paraId="53661AB9" w14:textId="77777777" w:rsidR="00344BB4" w:rsidRPr="001D160C" w:rsidRDefault="00344BB4" w:rsidP="00344BB4">
            <w:pPr>
              <w:pStyle w:val="Tabletext"/>
              <w:jc w:val="center"/>
            </w:pPr>
            <w:r w:rsidRPr="001D160C">
              <w:t>73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0F1BFF48" w14:textId="77777777" w:rsidR="00344BB4" w:rsidRPr="001D160C" w:rsidRDefault="00344BB4" w:rsidP="00344BB4">
            <w:pPr>
              <w:pStyle w:val="Tabletext"/>
              <w:jc w:val="center"/>
            </w:pPr>
            <w:r w:rsidRPr="001D160C">
              <w:t>21</w:t>
            </w:r>
          </w:p>
        </w:tc>
        <w:tc>
          <w:tcPr>
            <w:tcW w:w="1401" w:type="dxa"/>
            <w:tcBorders>
              <w:top w:val="single" w:sz="4" w:space="0" w:color="auto"/>
              <w:left w:val="single" w:sz="4" w:space="0" w:color="auto"/>
              <w:bottom w:val="single" w:sz="4" w:space="0" w:color="auto"/>
              <w:right w:val="single" w:sz="4" w:space="0" w:color="auto"/>
            </w:tcBorders>
            <w:shd w:val="clear" w:color="auto" w:fill="auto"/>
            <w:noWrap/>
          </w:tcPr>
          <w:p w14:paraId="401D18FD" w14:textId="77777777" w:rsidR="00344BB4" w:rsidRPr="001D160C" w:rsidRDefault="00344BB4" w:rsidP="00344BB4">
            <w:pPr>
              <w:pStyle w:val="Tabletext"/>
              <w:jc w:val="center"/>
            </w:pPr>
            <w:r w:rsidRPr="001D160C">
              <w:t>40%</w:t>
            </w:r>
          </w:p>
        </w:tc>
      </w:tr>
      <w:tr w:rsidR="00344BB4" w:rsidRPr="001D160C" w14:paraId="7426F289" w14:textId="77777777" w:rsidTr="00344BB4">
        <w:trPr>
          <w:trHeight w:val="435"/>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14:paraId="409A9539" w14:textId="77777777" w:rsidR="00344BB4" w:rsidRPr="001D160C" w:rsidRDefault="00344BB4" w:rsidP="00C669A5">
            <w:pPr>
              <w:pStyle w:val="Tabletext"/>
            </w:pPr>
            <w:r w:rsidRPr="001D160C">
              <w:t>Associés de l'UIT-D</w:t>
            </w:r>
          </w:p>
        </w:tc>
        <w:tc>
          <w:tcPr>
            <w:tcW w:w="1906" w:type="dxa"/>
            <w:tcBorders>
              <w:top w:val="single" w:sz="4" w:space="0" w:color="auto"/>
              <w:left w:val="single" w:sz="4" w:space="0" w:color="auto"/>
              <w:bottom w:val="single" w:sz="4" w:space="0" w:color="auto"/>
              <w:right w:val="single" w:sz="4" w:space="0" w:color="auto"/>
            </w:tcBorders>
            <w:shd w:val="clear" w:color="000000" w:fill="FFFFFF"/>
            <w:noWrap/>
          </w:tcPr>
          <w:p w14:paraId="055B7A16" w14:textId="77777777" w:rsidR="00344BB4" w:rsidRPr="001D160C" w:rsidRDefault="00344BB4" w:rsidP="00344BB4">
            <w:pPr>
              <w:pStyle w:val="Tabletext"/>
              <w:jc w:val="center"/>
            </w:pPr>
            <w:r w:rsidRPr="001D160C">
              <w:t>0</w:t>
            </w:r>
          </w:p>
        </w:tc>
        <w:tc>
          <w:tcPr>
            <w:tcW w:w="2205" w:type="dxa"/>
            <w:tcBorders>
              <w:top w:val="single" w:sz="4" w:space="0" w:color="auto"/>
              <w:left w:val="single" w:sz="4" w:space="0" w:color="auto"/>
              <w:bottom w:val="single" w:sz="4" w:space="0" w:color="auto"/>
              <w:right w:val="single" w:sz="4" w:space="0" w:color="auto"/>
            </w:tcBorders>
            <w:shd w:val="clear" w:color="000000" w:fill="FFFFFF"/>
            <w:noWrap/>
          </w:tcPr>
          <w:p w14:paraId="21675152" w14:textId="77777777" w:rsidR="00344BB4" w:rsidRPr="001D160C" w:rsidRDefault="00344BB4" w:rsidP="00344BB4">
            <w:pPr>
              <w:pStyle w:val="Tabletext"/>
              <w:jc w:val="center"/>
            </w:pPr>
            <w:r w:rsidRPr="001D160C">
              <w:t>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13A77A87" w14:textId="77777777" w:rsidR="00344BB4" w:rsidRPr="001D160C" w:rsidRDefault="00344BB4" w:rsidP="00344BB4">
            <w:pPr>
              <w:pStyle w:val="Tabletext"/>
              <w:jc w:val="center"/>
            </w:pPr>
            <w:r w:rsidRPr="001D160C">
              <w:t>0</w:t>
            </w:r>
          </w:p>
        </w:tc>
        <w:tc>
          <w:tcPr>
            <w:tcW w:w="1401" w:type="dxa"/>
            <w:tcBorders>
              <w:top w:val="single" w:sz="4" w:space="0" w:color="auto"/>
              <w:left w:val="single" w:sz="4" w:space="0" w:color="auto"/>
              <w:bottom w:val="single" w:sz="4" w:space="0" w:color="auto"/>
              <w:right w:val="single" w:sz="4" w:space="0" w:color="auto"/>
            </w:tcBorders>
            <w:shd w:val="clear" w:color="auto" w:fill="auto"/>
            <w:noWrap/>
          </w:tcPr>
          <w:p w14:paraId="1B144850" w14:textId="77777777" w:rsidR="00344BB4" w:rsidRPr="001D160C" w:rsidRDefault="00344BB4" w:rsidP="00344BB4">
            <w:pPr>
              <w:pStyle w:val="Tabletext"/>
              <w:jc w:val="center"/>
            </w:pPr>
            <w:r w:rsidRPr="001D160C">
              <w:t>–</w:t>
            </w:r>
          </w:p>
        </w:tc>
      </w:tr>
      <w:tr w:rsidR="00344BB4" w:rsidRPr="001D160C" w14:paraId="67019AB0" w14:textId="77777777" w:rsidTr="00344BB4">
        <w:trPr>
          <w:trHeight w:val="435"/>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14:paraId="15336AEE" w14:textId="6DC238C3" w:rsidR="00344BB4" w:rsidRPr="001D160C" w:rsidRDefault="00344BB4" w:rsidP="00344BB4">
            <w:pPr>
              <w:pStyle w:val="Tabletext"/>
              <w:jc w:val="right"/>
              <w:rPr>
                <w:b/>
                <w:bCs/>
              </w:rPr>
            </w:pPr>
            <w:bookmarkStart w:id="2" w:name="_Hlk199405676"/>
            <w:r w:rsidRPr="001D160C">
              <w:rPr>
                <w:b/>
                <w:bCs/>
              </w:rPr>
              <w:t>Total</w:t>
            </w:r>
          </w:p>
        </w:tc>
        <w:tc>
          <w:tcPr>
            <w:tcW w:w="1906" w:type="dxa"/>
            <w:tcBorders>
              <w:top w:val="single" w:sz="4" w:space="0" w:color="auto"/>
              <w:left w:val="single" w:sz="4" w:space="0" w:color="auto"/>
              <w:bottom w:val="single" w:sz="4" w:space="0" w:color="auto"/>
              <w:right w:val="single" w:sz="4" w:space="0" w:color="auto"/>
            </w:tcBorders>
            <w:shd w:val="clear" w:color="000000" w:fill="FFFFFF"/>
            <w:noWrap/>
          </w:tcPr>
          <w:p w14:paraId="7099FB5C" w14:textId="77777777" w:rsidR="00344BB4" w:rsidRPr="001D160C" w:rsidRDefault="00344BB4" w:rsidP="00344BB4">
            <w:pPr>
              <w:pStyle w:val="Tabletext"/>
              <w:jc w:val="center"/>
              <w:rPr>
                <w:b/>
                <w:bCs/>
              </w:rPr>
            </w:pPr>
            <w:r w:rsidRPr="001D160C">
              <w:rPr>
                <w:b/>
                <w:bCs/>
              </w:rPr>
              <w:t>70</w:t>
            </w:r>
          </w:p>
        </w:tc>
        <w:tc>
          <w:tcPr>
            <w:tcW w:w="2205" w:type="dxa"/>
            <w:tcBorders>
              <w:top w:val="single" w:sz="4" w:space="0" w:color="auto"/>
              <w:left w:val="single" w:sz="4" w:space="0" w:color="auto"/>
              <w:bottom w:val="single" w:sz="4" w:space="0" w:color="auto"/>
              <w:right w:val="single" w:sz="4" w:space="0" w:color="auto"/>
            </w:tcBorders>
            <w:shd w:val="clear" w:color="000000" w:fill="FFFFFF"/>
            <w:noWrap/>
          </w:tcPr>
          <w:p w14:paraId="5E4CDC86" w14:textId="77777777" w:rsidR="00344BB4" w:rsidRPr="001D160C" w:rsidRDefault="00344BB4" w:rsidP="00344BB4">
            <w:pPr>
              <w:pStyle w:val="Tabletext"/>
              <w:jc w:val="center"/>
              <w:rPr>
                <w:b/>
                <w:bCs/>
              </w:rPr>
            </w:pPr>
            <w:r w:rsidRPr="001D160C">
              <w:rPr>
                <w:b/>
                <w:bCs/>
              </w:rPr>
              <w:t>93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45B4F44B" w14:textId="77777777" w:rsidR="00344BB4" w:rsidRPr="001D160C" w:rsidRDefault="00344BB4" w:rsidP="00344BB4">
            <w:pPr>
              <w:pStyle w:val="Tabletext"/>
              <w:jc w:val="center"/>
              <w:rPr>
                <w:b/>
                <w:bCs/>
              </w:rPr>
            </w:pPr>
            <w:r w:rsidRPr="001D160C">
              <w:rPr>
                <w:b/>
                <w:bCs/>
              </w:rPr>
              <w:t>23</w:t>
            </w:r>
          </w:p>
        </w:tc>
        <w:tc>
          <w:tcPr>
            <w:tcW w:w="1401" w:type="dxa"/>
            <w:tcBorders>
              <w:top w:val="single" w:sz="4" w:space="0" w:color="auto"/>
              <w:left w:val="single" w:sz="4" w:space="0" w:color="auto"/>
              <w:bottom w:val="single" w:sz="4" w:space="0" w:color="auto"/>
              <w:right w:val="single" w:sz="4" w:space="0" w:color="auto"/>
            </w:tcBorders>
            <w:shd w:val="clear" w:color="auto" w:fill="auto"/>
            <w:noWrap/>
          </w:tcPr>
          <w:p w14:paraId="4A0CC580" w14:textId="77777777" w:rsidR="00344BB4" w:rsidRPr="001D160C" w:rsidRDefault="00344BB4" w:rsidP="00344BB4">
            <w:pPr>
              <w:pStyle w:val="Tabletext"/>
              <w:jc w:val="center"/>
              <w:rPr>
                <w:b/>
                <w:bCs/>
              </w:rPr>
            </w:pPr>
            <w:r w:rsidRPr="001D160C">
              <w:rPr>
                <w:b/>
                <w:bCs/>
              </w:rPr>
              <w:t>33%</w:t>
            </w:r>
          </w:p>
        </w:tc>
      </w:tr>
      <w:bookmarkEnd w:id="2"/>
      <w:tr w:rsidR="00344BB4" w:rsidRPr="001D160C" w14:paraId="74C5E442" w14:textId="77777777" w:rsidTr="00344BB4">
        <w:trPr>
          <w:trHeight w:val="435"/>
          <w:jc w:val="center"/>
        </w:trPr>
        <w:tc>
          <w:tcPr>
            <w:tcW w:w="9760" w:type="dxa"/>
            <w:gridSpan w:val="5"/>
            <w:tcBorders>
              <w:top w:val="single" w:sz="4" w:space="0" w:color="auto"/>
            </w:tcBorders>
            <w:shd w:val="clear" w:color="000000" w:fill="FFFFFF"/>
            <w:vAlign w:val="center"/>
          </w:tcPr>
          <w:p w14:paraId="2876E898" w14:textId="31D13500" w:rsidR="00344BB4" w:rsidRPr="001D160C" w:rsidRDefault="00344BB4" w:rsidP="00603BBC">
            <w:pPr>
              <w:pStyle w:val="Tablelegend"/>
              <w:ind w:left="720" w:hanging="720"/>
            </w:pPr>
            <w:r w:rsidRPr="001D160C">
              <w:t>*</w:t>
            </w:r>
            <w:r w:rsidR="00603BBC" w:rsidRPr="001D160C">
              <w:tab/>
            </w:r>
            <w:r w:rsidRPr="001D160C">
              <w:rPr>
                <w:sz w:val="20"/>
              </w:rPr>
              <w:t>Résolution 209 (Dubaï, 2018) – Participation des PME aux travaux des Secteurs de l'Union en tant qu'Associés</w:t>
            </w:r>
            <w:r w:rsidR="00C34798" w:rsidRPr="001D160C">
              <w:rPr>
                <w:sz w:val="20"/>
              </w:rPr>
              <w:t>.</w:t>
            </w:r>
          </w:p>
        </w:tc>
      </w:tr>
      <w:tr w:rsidR="00344BB4" w:rsidRPr="001D160C" w14:paraId="62107901" w14:textId="77777777" w:rsidTr="00344BB4">
        <w:trPr>
          <w:trHeight w:val="435"/>
          <w:jc w:val="center"/>
        </w:trPr>
        <w:tc>
          <w:tcPr>
            <w:tcW w:w="2830" w:type="dxa"/>
            <w:tcBorders>
              <w:bottom w:val="single" w:sz="4" w:space="0" w:color="auto"/>
            </w:tcBorders>
            <w:shd w:val="clear" w:color="000000" w:fill="FFFFFF"/>
            <w:vAlign w:val="center"/>
          </w:tcPr>
          <w:p w14:paraId="6E82F48E" w14:textId="5241FD97" w:rsidR="00344BB4" w:rsidRPr="001D160C" w:rsidRDefault="00344BB4" w:rsidP="00C669A5">
            <w:pPr>
              <w:pStyle w:val="Tabletext"/>
            </w:pPr>
          </w:p>
        </w:tc>
        <w:tc>
          <w:tcPr>
            <w:tcW w:w="1906" w:type="dxa"/>
            <w:tcBorders>
              <w:left w:val="nil"/>
              <w:bottom w:val="single" w:sz="4" w:space="0" w:color="auto"/>
            </w:tcBorders>
            <w:shd w:val="clear" w:color="000000" w:fill="FFFFFF"/>
            <w:noWrap/>
          </w:tcPr>
          <w:p w14:paraId="30ECE964" w14:textId="48AA71DB" w:rsidR="00344BB4" w:rsidRPr="001D160C" w:rsidRDefault="00344BB4" w:rsidP="00C669A5">
            <w:pPr>
              <w:pStyle w:val="Tabletext"/>
              <w:jc w:val="center"/>
            </w:pPr>
          </w:p>
        </w:tc>
        <w:tc>
          <w:tcPr>
            <w:tcW w:w="2205" w:type="dxa"/>
            <w:tcBorders>
              <w:left w:val="nil"/>
              <w:bottom w:val="single" w:sz="4" w:space="0" w:color="auto"/>
            </w:tcBorders>
            <w:shd w:val="clear" w:color="000000" w:fill="FFFFFF"/>
            <w:noWrap/>
          </w:tcPr>
          <w:p w14:paraId="0BC27A46" w14:textId="4DDEBCE5" w:rsidR="00344BB4" w:rsidRPr="001D160C" w:rsidRDefault="00344BB4" w:rsidP="00C669A5">
            <w:pPr>
              <w:pStyle w:val="Tabletext"/>
              <w:jc w:val="center"/>
            </w:pPr>
          </w:p>
        </w:tc>
        <w:tc>
          <w:tcPr>
            <w:tcW w:w="1418" w:type="dxa"/>
            <w:tcBorders>
              <w:left w:val="nil"/>
              <w:bottom w:val="single" w:sz="4" w:space="0" w:color="auto"/>
            </w:tcBorders>
            <w:shd w:val="clear" w:color="000000" w:fill="FFFFFF"/>
            <w:noWrap/>
          </w:tcPr>
          <w:p w14:paraId="3ED973D8" w14:textId="75016AF7" w:rsidR="00344BB4" w:rsidRPr="001D160C" w:rsidRDefault="00344BB4" w:rsidP="00C669A5">
            <w:pPr>
              <w:pStyle w:val="Tabletext"/>
              <w:jc w:val="center"/>
            </w:pPr>
          </w:p>
        </w:tc>
        <w:tc>
          <w:tcPr>
            <w:tcW w:w="1401" w:type="dxa"/>
            <w:tcBorders>
              <w:left w:val="nil"/>
              <w:bottom w:val="single" w:sz="4" w:space="0" w:color="auto"/>
            </w:tcBorders>
            <w:shd w:val="clear" w:color="auto" w:fill="auto"/>
            <w:noWrap/>
          </w:tcPr>
          <w:p w14:paraId="373E09F3" w14:textId="52717466" w:rsidR="00344BB4" w:rsidRPr="001D160C" w:rsidRDefault="00344BB4" w:rsidP="00C669A5">
            <w:pPr>
              <w:pStyle w:val="Tabletext"/>
              <w:jc w:val="center"/>
            </w:pPr>
          </w:p>
        </w:tc>
      </w:tr>
      <w:tr w:rsidR="00344BB4" w:rsidRPr="001D160C" w14:paraId="7BD46339" w14:textId="77777777" w:rsidTr="00344BB4">
        <w:trPr>
          <w:trHeight w:val="435"/>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14:paraId="67A19A06" w14:textId="77777777" w:rsidR="00344BB4" w:rsidRPr="001D160C" w:rsidRDefault="00344BB4" w:rsidP="00344BB4">
            <w:pPr>
              <w:pStyle w:val="Tablehead"/>
            </w:pPr>
            <w:bookmarkStart w:id="3" w:name="_Hlk199405635"/>
            <w:r w:rsidRPr="001D160C">
              <w:t>Établissements universitaires</w:t>
            </w:r>
          </w:p>
        </w:tc>
        <w:tc>
          <w:tcPr>
            <w:tcW w:w="190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9EBC0F" w14:textId="77777777" w:rsidR="00344BB4" w:rsidRPr="001D160C" w:rsidRDefault="00344BB4" w:rsidP="00344BB4">
            <w:pPr>
              <w:pStyle w:val="Tablehead"/>
            </w:pPr>
            <w:r w:rsidRPr="001D160C">
              <w:t>Nombre d'établissements universitaires</w:t>
            </w:r>
            <w:r w:rsidRPr="001D160C">
              <w:br/>
              <w:t>PP-22</w:t>
            </w:r>
          </w:p>
        </w:tc>
        <w:tc>
          <w:tcPr>
            <w:tcW w:w="22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A16A29" w14:textId="77777777" w:rsidR="00344BB4" w:rsidRPr="001D160C" w:rsidRDefault="00344BB4" w:rsidP="00344BB4">
            <w:pPr>
              <w:pStyle w:val="Tablehead"/>
            </w:pPr>
            <w:r w:rsidRPr="001D160C">
              <w:t>Nombre d'unités au 28/02/2025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727127" w14:textId="77777777" w:rsidR="00344BB4" w:rsidRPr="001D160C" w:rsidRDefault="00344BB4" w:rsidP="00344BB4">
            <w:pPr>
              <w:pStyle w:val="Tablehead"/>
            </w:pPr>
            <w:r w:rsidRPr="001D160C">
              <w:t>Différence</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B98DF" w14:textId="77777777" w:rsidR="00344BB4" w:rsidRPr="001D160C" w:rsidRDefault="00344BB4" w:rsidP="00344BB4">
            <w:pPr>
              <w:pStyle w:val="Tablehead"/>
            </w:pPr>
            <w:r w:rsidRPr="001D160C">
              <w:t>Différence en %</w:t>
            </w:r>
          </w:p>
        </w:tc>
      </w:tr>
      <w:tr w:rsidR="00344BB4" w:rsidRPr="001D160C" w14:paraId="10908496" w14:textId="77777777" w:rsidTr="00344BB4">
        <w:trPr>
          <w:trHeight w:val="435"/>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14:paraId="1DEF7519" w14:textId="77777777" w:rsidR="00344BB4" w:rsidRPr="001D160C" w:rsidRDefault="00344BB4" w:rsidP="00344BB4">
            <w:pPr>
              <w:pStyle w:val="Tabletext"/>
              <w:jc w:val="right"/>
              <w:rPr>
                <w:b/>
                <w:bCs/>
              </w:rPr>
            </w:pPr>
            <w:r w:rsidRPr="001D160C">
              <w:rPr>
                <w:b/>
                <w:bCs/>
              </w:rPr>
              <w:t>Total</w:t>
            </w:r>
          </w:p>
        </w:tc>
        <w:tc>
          <w:tcPr>
            <w:tcW w:w="1906" w:type="dxa"/>
            <w:tcBorders>
              <w:top w:val="single" w:sz="4" w:space="0" w:color="auto"/>
              <w:left w:val="single" w:sz="4" w:space="0" w:color="auto"/>
              <w:bottom w:val="single" w:sz="4" w:space="0" w:color="auto"/>
              <w:right w:val="single" w:sz="4" w:space="0" w:color="auto"/>
            </w:tcBorders>
            <w:shd w:val="clear" w:color="000000" w:fill="FFFFFF"/>
            <w:noWrap/>
          </w:tcPr>
          <w:p w14:paraId="066C0F6F" w14:textId="77777777" w:rsidR="00344BB4" w:rsidRPr="001D160C" w:rsidRDefault="00344BB4" w:rsidP="00344BB4">
            <w:pPr>
              <w:pStyle w:val="Tabletext"/>
              <w:jc w:val="center"/>
              <w:rPr>
                <w:b/>
                <w:bCs/>
              </w:rPr>
            </w:pPr>
            <w:r w:rsidRPr="001D160C">
              <w:rPr>
                <w:b/>
                <w:bCs/>
              </w:rPr>
              <w:t>151</w:t>
            </w:r>
          </w:p>
        </w:tc>
        <w:tc>
          <w:tcPr>
            <w:tcW w:w="2205" w:type="dxa"/>
            <w:tcBorders>
              <w:top w:val="single" w:sz="4" w:space="0" w:color="auto"/>
              <w:left w:val="single" w:sz="4" w:space="0" w:color="auto"/>
              <w:bottom w:val="single" w:sz="4" w:space="0" w:color="auto"/>
              <w:right w:val="single" w:sz="4" w:space="0" w:color="auto"/>
            </w:tcBorders>
            <w:shd w:val="clear" w:color="000000" w:fill="FFFFFF"/>
            <w:noWrap/>
          </w:tcPr>
          <w:p w14:paraId="7A98D682" w14:textId="77777777" w:rsidR="00344BB4" w:rsidRPr="001D160C" w:rsidRDefault="00344BB4" w:rsidP="00344BB4">
            <w:pPr>
              <w:pStyle w:val="Tabletext"/>
              <w:jc w:val="center"/>
              <w:rPr>
                <w:b/>
                <w:bCs/>
              </w:rPr>
            </w:pPr>
            <w:r w:rsidRPr="001D160C">
              <w:rPr>
                <w:b/>
                <w:bCs/>
              </w:rPr>
              <w:t>162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546A3A7A" w14:textId="77777777" w:rsidR="00344BB4" w:rsidRPr="001D160C" w:rsidRDefault="00344BB4" w:rsidP="00344BB4">
            <w:pPr>
              <w:pStyle w:val="Tabletext"/>
              <w:jc w:val="center"/>
              <w:rPr>
                <w:b/>
                <w:bCs/>
              </w:rPr>
            </w:pPr>
            <w:r w:rsidRPr="001D160C">
              <w:rPr>
                <w:b/>
                <w:bCs/>
              </w:rPr>
              <w:t>11</w:t>
            </w:r>
          </w:p>
        </w:tc>
        <w:tc>
          <w:tcPr>
            <w:tcW w:w="1401" w:type="dxa"/>
            <w:tcBorders>
              <w:top w:val="single" w:sz="4" w:space="0" w:color="auto"/>
              <w:left w:val="single" w:sz="4" w:space="0" w:color="auto"/>
              <w:bottom w:val="single" w:sz="4" w:space="0" w:color="auto"/>
              <w:right w:val="single" w:sz="4" w:space="0" w:color="auto"/>
            </w:tcBorders>
            <w:shd w:val="clear" w:color="auto" w:fill="auto"/>
            <w:noWrap/>
          </w:tcPr>
          <w:p w14:paraId="0A5240E7" w14:textId="77777777" w:rsidR="00344BB4" w:rsidRPr="001D160C" w:rsidRDefault="00344BB4" w:rsidP="00C669A5">
            <w:pPr>
              <w:pStyle w:val="Tabletext"/>
              <w:jc w:val="center"/>
              <w:rPr>
                <w:b/>
                <w:bCs/>
              </w:rPr>
            </w:pPr>
            <w:r w:rsidRPr="001D160C">
              <w:rPr>
                <w:b/>
                <w:bCs/>
              </w:rPr>
              <w:t>7%</w:t>
            </w:r>
          </w:p>
        </w:tc>
      </w:tr>
    </w:tbl>
    <w:bookmarkEnd w:id="3"/>
    <w:p w14:paraId="36B3F0E3" w14:textId="77777777" w:rsidR="00344BB4" w:rsidRPr="001D160C" w:rsidRDefault="00344BB4">
      <w:pPr>
        <w:jc w:val="center"/>
      </w:pPr>
      <w:r w:rsidRPr="001D160C">
        <w:t>______________</w:t>
      </w:r>
    </w:p>
    <w:sectPr w:rsidR="00344BB4" w:rsidRPr="001D160C" w:rsidSect="00D72F49">
      <w:headerReference w:type="even" r:id="rId12"/>
      <w:footerReference w:type="even" r:id="rId13"/>
      <w:footerReference w:type="default" r:id="rId14"/>
      <w:headerReference w:type="first" r:id="rId15"/>
      <w:footerReference w:type="first" r:id="rId16"/>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F5CB4" w14:textId="77777777" w:rsidR="00670237" w:rsidRDefault="00670237">
      <w:r>
        <w:separator/>
      </w:r>
    </w:p>
  </w:endnote>
  <w:endnote w:type="continuationSeparator" w:id="0">
    <w:p w14:paraId="5E7811FB" w14:textId="77777777" w:rsidR="00670237" w:rsidRDefault="0067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7E4A9" w14:textId="03437AAB" w:rsidR="00732045" w:rsidRDefault="00670237">
    <w:pPr>
      <w:pStyle w:val="Footer"/>
    </w:pPr>
    <w:fldSimple w:instr=" FILENAME \p \* MERGEFORMAT ">
      <w:r>
        <w:t>Document1</w:t>
      </w:r>
    </w:fldSimple>
    <w:r w:rsidR="00732045">
      <w:tab/>
    </w:r>
    <w:r w:rsidR="002F1B76">
      <w:fldChar w:fldCharType="begin"/>
    </w:r>
    <w:r w:rsidR="00732045">
      <w:instrText xml:space="preserve"> savedate \@ dd.MM.yy </w:instrText>
    </w:r>
    <w:r w:rsidR="002F1B76">
      <w:fldChar w:fldCharType="separate"/>
    </w:r>
    <w:r w:rsidR="00E84705">
      <w:t>17.06.25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70FFA4FA" w14:textId="77777777" w:rsidTr="00E31DCE">
      <w:trPr>
        <w:jc w:val="center"/>
      </w:trPr>
      <w:tc>
        <w:tcPr>
          <w:tcW w:w="1803" w:type="dxa"/>
          <w:vAlign w:val="center"/>
        </w:tcPr>
        <w:p w14:paraId="137FFED6" w14:textId="37B1A72B" w:rsidR="00A51849" w:rsidRDefault="00154F02" w:rsidP="00A51849">
          <w:pPr>
            <w:pStyle w:val="Header"/>
            <w:jc w:val="left"/>
            <w:rPr>
              <w:noProof/>
            </w:rPr>
          </w:pPr>
          <w:r>
            <w:rPr>
              <w:noProof/>
            </w:rPr>
            <w:t>2501231</w:t>
          </w:r>
        </w:p>
      </w:tc>
      <w:tc>
        <w:tcPr>
          <w:tcW w:w="8261" w:type="dxa"/>
        </w:tcPr>
        <w:p w14:paraId="30601483" w14:textId="573572BF"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154F02">
            <w:rPr>
              <w:bCs/>
            </w:rPr>
            <w:t>54</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1A68FE4A"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E1D6395" w14:textId="77777777" w:rsidTr="00E31DCE">
      <w:trPr>
        <w:jc w:val="center"/>
      </w:trPr>
      <w:tc>
        <w:tcPr>
          <w:tcW w:w="1803" w:type="dxa"/>
          <w:vAlign w:val="center"/>
        </w:tcPr>
        <w:p w14:paraId="0AA0DA21"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57DCD67D" w14:textId="3AAE40D1"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154F02">
            <w:rPr>
              <w:bCs/>
            </w:rPr>
            <w:t>54</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588233BA"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09C64" w14:textId="77777777" w:rsidR="00670237" w:rsidRDefault="00670237">
      <w:r>
        <w:t>____________________</w:t>
      </w:r>
    </w:p>
  </w:footnote>
  <w:footnote w:type="continuationSeparator" w:id="0">
    <w:p w14:paraId="53C0FBA1" w14:textId="77777777" w:rsidR="00670237" w:rsidRDefault="00670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7D4C1"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799F903"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03C30413" w14:textId="77777777" w:rsidTr="00D37B53">
      <w:trPr>
        <w:trHeight w:val="1104"/>
        <w:jc w:val="center"/>
      </w:trPr>
      <w:tc>
        <w:tcPr>
          <w:tcW w:w="5317" w:type="dxa"/>
          <w:vAlign w:val="center"/>
        </w:tcPr>
        <w:p w14:paraId="3C2C310B"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5FBB6C63" wp14:editId="343A00DC">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06624A24" w14:textId="77777777" w:rsidR="00524E8D" w:rsidRDefault="00524E8D" w:rsidP="00A51849">
          <w:pPr>
            <w:pStyle w:val="Header"/>
            <w:jc w:val="right"/>
            <w:rPr>
              <w:rFonts w:ascii="Arial" w:hAnsi="Arial" w:cs="Arial"/>
              <w:b/>
              <w:bCs/>
              <w:color w:val="009CD6"/>
              <w:szCs w:val="18"/>
            </w:rPr>
          </w:pPr>
        </w:p>
      </w:tc>
    </w:tr>
  </w:tbl>
  <w:p w14:paraId="6B7FFAD5"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3FCB2B" wp14:editId="1A6202E5">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09649"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37"/>
    <w:rsid w:val="0007573A"/>
    <w:rsid w:val="00076A2C"/>
    <w:rsid w:val="000B389C"/>
    <w:rsid w:val="000D0D0A"/>
    <w:rsid w:val="000E27CD"/>
    <w:rsid w:val="000F2FCE"/>
    <w:rsid w:val="00103163"/>
    <w:rsid w:val="00106B19"/>
    <w:rsid w:val="001133EF"/>
    <w:rsid w:val="00115D93"/>
    <w:rsid w:val="001247A8"/>
    <w:rsid w:val="001370B2"/>
    <w:rsid w:val="001378C0"/>
    <w:rsid w:val="001400F3"/>
    <w:rsid w:val="00154F02"/>
    <w:rsid w:val="0018694A"/>
    <w:rsid w:val="00193A5C"/>
    <w:rsid w:val="00197C65"/>
    <w:rsid w:val="001A3287"/>
    <w:rsid w:val="001A6508"/>
    <w:rsid w:val="001B12FD"/>
    <w:rsid w:val="001D160C"/>
    <w:rsid w:val="001D4C31"/>
    <w:rsid w:val="001E4D21"/>
    <w:rsid w:val="00207CD1"/>
    <w:rsid w:val="00226657"/>
    <w:rsid w:val="002477A2"/>
    <w:rsid w:val="00263A51"/>
    <w:rsid w:val="00267E02"/>
    <w:rsid w:val="002A1FEF"/>
    <w:rsid w:val="002A5D44"/>
    <w:rsid w:val="002C3F32"/>
    <w:rsid w:val="002C4E3D"/>
    <w:rsid w:val="002E0BC4"/>
    <w:rsid w:val="002F1B76"/>
    <w:rsid w:val="0033568E"/>
    <w:rsid w:val="00344BB4"/>
    <w:rsid w:val="00355FF5"/>
    <w:rsid w:val="00361350"/>
    <w:rsid w:val="003C3FAE"/>
    <w:rsid w:val="003E4493"/>
    <w:rsid w:val="004038CB"/>
    <w:rsid w:val="0040546F"/>
    <w:rsid w:val="004177BD"/>
    <w:rsid w:val="0042404A"/>
    <w:rsid w:val="0044618F"/>
    <w:rsid w:val="0046769A"/>
    <w:rsid w:val="00475FB3"/>
    <w:rsid w:val="004B4938"/>
    <w:rsid w:val="004C37A9"/>
    <w:rsid w:val="004D1D50"/>
    <w:rsid w:val="004E3F3A"/>
    <w:rsid w:val="004F259E"/>
    <w:rsid w:val="004F7763"/>
    <w:rsid w:val="00511F1D"/>
    <w:rsid w:val="00520F36"/>
    <w:rsid w:val="00524E8D"/>
    <w:rsid w:val="00534E13"/>
    <w:rsid w:val="00540615"/>
    <w:rsid w:val="00540A6D"/>
    <w:rsid w:val="0055212D"/>
    <w:rsid w:val="00566679"/>
    <w:rsid w:val="00571EEA"/>
    <w:rsid w:val="00575417"/>
    <w:rsid w:val="005768E1"/>
    <w:rsid w:val="005B1938"/>
    <w:rsid w:val="005C341E"/>
    <w:rsid w:val="005C3890"/>
    <w:rsid w:val="005D0A5D"/>
    <w:rsid w:val="005E35A3"/>
    <w:rsid w:val="005F7BFE"/>
    <w:rsid w:val="00600017"/>
    <w:rsid w:val="00603BBC"/>
    <w:rsid w:val="006235CA"/>
    <w:rsid w:val="0062366E"/>
    <w:rsid w:val="0062596A"/>
    <w:rsid w:val="006643AB"/>
    <w:rsid w:val="00670237"/>
    <w:rsid w:val="006A11AE"/>
    <w:rsid w:val="006C33C8"/>
    <w:rsid w:val="006F0A53"/>
    <w:rsid w:val="007050E3"/>
    <w:rsid w:val="007210CD"/>
    <w:rsid w:val="00732045"/>
    <w:rsid w:val="0073275D"/>
    <w:rsid w:val="007369DB"/>
    <w:rsid w:val="00767D55"/>
    <w:rsid w:val="0077110E"/>
    <w:rsid w:val="007956C2"/>
    <w:rsid w:val="007A187E"/>
    <w:rsid w:val="007C72C2"/>
    <w:rsid w:val="007D4436"/>
    <w:rsid w:val="007F257A"/>
    <w:rsid w:val="007F3665"/>
    <w:rsid w:val="00800037"/>
    <w:rsid w:val="00811C3E"/>
    <w:rsid w:val="0082299A"/>
    <w:rsid w:val="0083391C"/>
    <w:rsid w:val="00861D73"/>
    <w:rsid w:val="00882919"/>
    <w:rsid w:val="00897553"/>
    <w:rsid w:val="008A4E87"/>
    <w:rsid w:val="008D76E6"/>
    <w:rsid w:val="0092392D"/>
    <w:rsid w:val="0093234A"/>
    <w:rsid w:val="00956A78"/>
    <w:rsid w:val="0097363B"/>
    <w:rsid w:val="00973F53"/>
    <w:rsid w:val="009A6BAA"/>
    <w:rsid w:val="009C307F"/>
    <w:rsid w:val="009C353C"/>
    <w:rsid w:val="009F0FB8"/>
    <w:rsid w:val="00A05FC2"/>
    <w:rsid w:val="00A2113E"/>
    <w:rsid w:val="00A23A51"/>
    <w:rsid w:val="00A24607"/>
    <w:rsid w:val="00A25CD3"/>
    <w:rsid w:val="00A31700"/>
    <w:rsid w:val="00A46206"/>
    <w:rsid w:val="00A46302"/>
    <w:rsid w:val="00A51849"/>
    <w:rsid w:val="00A709FE"/>
    <w:rsid w:val="00A73C60"/>
    <w:rsid w:val="00A82767"/>
    <w:rsid w:val="00AA332F"/>
    <w:rsid w:val="00AA4E9B"/>
    <w:rsid w:val="00AA7BBB"/>
    <w:rsid w:val="00AB64A8"/>
    <w:rsid w:val="00AC0266"/>
    <w:rsid w:val="00AD24EC"/>
    <w:rsid w:val="00AF62A3"/>
    <w:rsid w:val="00B27B00"/>
    <w:rsid w:val="00B309F9"/>
    <w:rsid w:val="00B32B60"/>
    <w:rsid w:val="00B51005"/>
    <w:rsid w:val="00B61619"/>
    <w:rsid w:val="00BB24CC"/>
    <w:rsid w:val="00BB4545"/>
    <w:rsid w:val="00BD5873"/>
    <w:rsid w:val="00BF4B60"/>
    <w:rsid w:val="00C049D7"/>
    <w:rsid w:val="00C04BE3"/>
    <w:rsid w:val="00C25D29"/>
    <w:rsid w:val="00C27A7C"/>
    <w:rsid w:val="00C31B24"/>
    <w:rsid w:val="00C34798"/>
    <w:rsid w:val="00C42437"/>
    <w:rsid w:val="00C425CF"/>
    <w:rsid w:val="00CA08ED"/>
    <w:rsid w:val="00CA6AF5"/>
    <w:rsid w:val="00CC6EAA"/>
    <w:rsid w:val="00CF183B"/>
    <w:rsid w:val="00D375CD"/>
    <w:rsid w:val="00D37B53"/>
    <w:rsid w:val="00D553A2"/>
    <w:rsid w:val="00D72F49"/>
    <w:rsid w:val="00D774D3"/>
    <w:rsid w:val="00D904E8"/>
    <w:rsid w:val="00DA08C3"/>
    <w:rsid w:val="00DB5A3E"/>
    <w:rsid w:val="00DC22AA"/>
    <w:rsid w:val="00DD1A99"/>
    <w:rsid w:val="00DF74DD"/>
    <w:rsid w:val="00E25AD0"/>
    <w:rsid w:val="00E4428F"/>
    <w:rsid w:val="00E47427"/>
    <w:rsid w:val="00E84705"/>
    <w:rsid w:val="00E93668"/>
    <w:rsid w:val="00E95647"/>
    <w:rsid w:val="00EB6350"/>
    <w:rsid w:val="00EC643A"/>
    <w:rsid w:val="00EE7669"/>
    <w:rsid w:val="00F15B57"/>
    <w:rsid w:val="00F35EF4"/>
    <w:rsid w:val="00F37FE5"/>
    <w:rsid w:val="00F427DB"/>
    <w:rsid w:val="00F96A23"/>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9FB6D"/>
  <w15:docId w15:val="{57DAC4E3-56D9-4742-8B08-6FC176BA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4BB4"/>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character" w:styleId="CommentReference">
    <w:name w:val="annotation reference"/>
    <w:basedOn w:val="DefaultParagraphFont"/>
    <w:semiHidden/>
    <w:unhideWhenUsed/>
    <w:rsid w:val="00A31700"/>
    <w:rPr>
      <w:sz w:val="16"/>
      <w:szCs w:val="16"/>
    </w:rPr>
  </w:style>
  <w:style w:type="paragraph" w:styleId="CommentText">
    <w:name w:val="annotation text"/>
    <w:basedOn w:val="Normal"/>
    <w:link w:val="CommentTextChar"/>
    <w:unhideWhenUsed/>
    <w:rsid w:val="00A31700"/>
    <w:rPr>
      <w:sz w:val="20"/>
    </w:rPr>
  </w:style>
  <w:style w:type="character" w:customStyle="1" w:styleId="CommentTextChar">
    <w:name w:val="Comment Text Char"/>
    <w:basedOn w:val="DefaultParagraphFont"/>
    <w:link w:val="CommentText"/>
    <w:rsid w:val="00A31700"/>
    <w:rPr>
      <w:rFonts w:ascii="Calibri" w:hAnsi="Calibri"/>
      <w:lang w:val="fr-FR" w:eastAsia="en-US"/>
    </w:rPr>
  </w:style>
  <w:style w:type="paragraph" w:styleId="CommentSubject">
    <w:name w:val="annotation subject"/>
    <w:basedOn w:val="CommentText"/>
    <w:next w:val="CommentText"/>
    <w:link w:val="CommentSubjectChar"/>
    <w:semiHidden/>
    <w:unhideWhenUsed/>
    <w:rsid w:val="00A31700"/>
    <w:rPr>
      <w:b/>
      <w:bCs/>
    </w:rPr>
  </w:style>
  <w:style w:type="character" w:customStyle="1" w:styleId="CommentSubjectChar">
    <w:name w:val="Comment Subject Char"/>
    <w:basedOn w:val="CommentTextChar"/>
    <w:link w:val="CommentSubject"/>
    <w:semiHidden/>
    <w:rsid w:val="00A31700"/>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DEC-005-F.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tu.int/en/council/Documents/basic-texts/Constitution-F.pdf"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5-CWGSFP2-INF-0001/f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tu.int/md/S25-CWGSFP2-C-0007/fr" TargetMode="External"/><Relationship Id="rId4" Type="http://schemas.openxmlformats.org/officeDocument/2006/relationships/webSettings" Target="webSettings.xml"/><Relationship Id="rId9" Type="http://schemas.openxmlformats.org/officeDocument/2006/relationships/hyperlink" Target="https://www.itu.int/md/S24-CWGSFP1-C-0005/fr"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3BEB7-0D29-4467-B22A-35F9E54FB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1</TotalTime>
  <Pages>10</Pages>
  <Words>1769</Words>
  <Characters>9555</Characters>
  <Application>Microsoft Office Word</Application>
  <DocSecurity>0</DocSecurity>
  <Lines>628</Lines>
  <Paragraphs>515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10836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Montant préliminaire de l'unité contributive</dc:title>
  <dc:subject>Conseil 2025 de l'UIT</dc:subject>
  <cp:keywords>C2025, C25, Council-25</cp:keywords>
  <dc:description/>
  <cp:lastPrinted>2000-07-18T08:55:00Z</cp:lastPrinted>
  <dcterms:created xsi:type="dcterms:W3CDTF">2025-06-17T15:32:00Z</dcterms:created>
  <dcterms:modified xsi:type="dcterms:W3CDTF">2025-06-17T15:55:00Z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