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3E1C2769" w14:textId="77777777" w:rsidTr="14BBDCD2">
        <w:trPr>
          <w:cantSplit/>
          <w:trHeight w:val="23"/>
        </w:trPr>
        <w:tc>
          <w:tcPr>
            <w:tcW w:w="3969" w:type="dxa"/>
            <w:vMerge w:val="restart"/>
            <w:tcMar>
              <w:left w:w="0" w:type="dxa"/>
            </w:tcMar>
          </w:tcPr>
          <w:p w14:paraId="7147B863" w14:textId="19744E5A"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C0458D">
              <w:rPr>
                <w:b/>
              </w:rPr>
              <w:t xml:space="preserve">Agenda item: </w:t>
            </w:r>
            <w:r w:rsidR="00B157E0">
              <w:rPr>
                <w:b/>
              </w:rPr>
              <w:t>ADM 1</w:t>
            </w:r>
          </w:p>
        </w:tc>
        <w:tc>
          <w:tcPr>
            <w:tcW w:w="5245" w:type="dxa"/>
          </w:tcPr>
          <w:p w14:paraId="6779937E" w14:textId="4F8EBB05" w:rsidR="00AD3606" w:rsidRPr="00C0458D" w:rsidRDefault="00AD3606" w:rsidP="00472BAD">
            <w:pPr>
              <w:tabs>
                <w:tab w:val="left" w:pos="851"/>
              </w:tabs>
              <w:spacing w:before="0" w:line="240" w:lineRule="atLeast"/>
              <w:jc w:val="right"/>
              <w:rPr>
                <w:b/>
              </w:rPr>
            </w:pPr>
            <w:r w:rsidRPr="00C0458D">
              <w:rPr>
                <w:b/>
              </w:rPr>
              <w:t>Document C2</w:t>
            </w:r>
            <w:r w:rsidR="00BF1FDE" w:rsidRPr="00C0458D">
              <w:rPr>
                <w:b/>
              </w:rPr>
              <w:t>5</w:t>
            </w:r>
            <w:r w:rsidRPr="00C0458D">
              <w:rPr>
                <w:b/>
              </w:rPr>
              <w:t>/</w:t>
            </w:r>
            <w:r w:rsidR="001F784B">
              <w:rPr>
                <w:b/>
              </w:rPr>
              <w:t>54</w:t>
            </w:r>
            <w:r w:rsidRPr="00C0458D">
              <w:rPr>
                <w:b/>
              </w:rPr>
              <w:t>-E</w:t>
            </w:r>
          </w:p>
        </w:tc>
      </w:tr>
      <w:tr w:rsidR="00AD3606" w:rsidRPr="00C0458D" w14:paraId="3E3F9DA5" w14:textId="77777777" w:rsidTr="14BBDCD2">
        <w:trPr>
          <w:cantSplit/>
        </w:trPr>
        <w:tc>
          <w:tcPr>
            <w:tcW w:w="3969" w:type="dxa"/>
            <w:vMerge/>
          </w:tcPr>
          <w:p w14:paraId="5920AA6E"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68DE0F23" w:rsidR="00AD3606" w:rsidRPr="00C0458D" w:rsidRDefault="001303EC" w:rsidP="00AD3606">
            <w:pPr>
              <w:tabs>
                <w:tab w:val="left" w:pos="851"/>
              </w:tabs>
              <w:spacing w:before="0"/>
              <w:jc w:val="right"/>
              <w:rPr>
                <w:b/>
              </w:rPr>
            </w:pPr>
            <w:r>
              <w:rPr>
                <w:b/>
              </w:rPr>
              <w:t>16 May</w:t>
            </w:r>
            <w:r w:rsidR="00173B72">
              <w:rPr>
                <w:b/>
              </w:rPr>
              <w:t xml:space="preserve"> 2025</w:t>
            </w:r>
          </w:p>
        </w:tc>
      </w:tr>
      <w:tr w:rsidR="00AD3606" w:rsidRPr="00C0458D" w14:paraId="75730376" w14:textId="77777777" w:rsidTr="14BBDCD2">
        <w:trPr>
          <w:cantSplit/>
          <w:trHeight w:val="23"/>
        </w:trPr>
        <w:tc>
          <w:tcPr>
            <w:tcW w:w="3969" w:type="dxa"/>
            <w:vMerge/>
          </w:tcPr>
          <w:p w14:paraId="298F937E"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041A065E" w14:textId="77777777" w:rsidR="00AD3606" w:rsidRPr="00C0458D" w:rsidRDefault="00AD3606" w:rsidP="00AD3606">
            <w:pPr>
              <w:tabs>
                <w:tab w:val="left" w:pos="851"/>
              </w:tabs>
              <w:spacing w:before="0" w:line="240" w:lineRule="atLeast"/>
              <w:jc w:val="right"/>
              <w:rPr>
                <w:b/>
              </w:rPr>
            </w:pPr>
            <w:r w:rsidRPr="00C0458D">
              <w:rPr>
                <w:b/>
              </w:rPr>
              <w:t>Original: English</w:t>
            </w:r>
          </w:p>
        </w:tc>
      </w:tr>
      <w:tr w:rsidR="00472BAD" w:rsidRPr="00C0458D" w14:paraId="14DA91C4" w14:textId="77777777" w:rsidTr="14BBDCD2">
        <w:trPr>
          <w:cantSplit/>
          <w:trHeight w:val="23"/>
        </w:trPr>
        <w:tc>
          <w:tcPr>
            <w:tcW w:w="3969" w:type="dxa"/>
          </w:tcPr>
          <w:p w14:paraId="5858B25D" w14:textId="77777777" w:rsidR="00472BAD" w:rsidRPr="00C0458D" w:rsidRDefault="00472BAD" w:rsidP="00AD3606">
            <w:pPr>
              <w:tabs>
                <w:tab w:val="left" w:pos="851"/>
              </w:tabs>
              <w:spacing w:line="240" w:lineRule="atLeast"/>
              <w:rPr>
                <w:b/>
              </w:rPr>
            </w:pPr>
          </w:p>
        </w:tc>
        <w:tc>
          <w:tcPr>
            <w:tcW w:w="5245" w:type="dxa"/>
          </w:tcPr>
          <w:p w14:paraId="5DBF7439" w14:textId="77777777" w:rsidR="00472BAD" w:rsidRPr="00C0458D" w:rsidRDefault="00472BAD" w:rsidP="00AD3606">
            <w:pPr>
              <w:tabs>
                <w:tab w:val="left" w:pos="851"/>
              </w:tabs>
              <w:spacing w:before="0" w:line="240" w:lineRule="atLeast"/>
              <w:jc w:val="right"/>
              <w:rPr>
                <w:b/>
              </w:rPr>
            </w:pPr>
          </w:p>
        </w:tc>
      </w:tr>
      <w:tr w:rsidR="00AD3606" w:rsidRPr="00C0458D" w14:paraId="2481FF59" w14:textId="77777777" w:rsidTr="14BBDCD2">
        <w:trPr>
          <w:cantSplit/>
        </w:trPr>
        <w:tc>
          <w:tcPr>
            <w:tcW w:w="9214" w:type="dxa"/>
            <w:gridSpan w:val="2"/>
            <w:tcMar>
              <w:left w:w="0" w:type="dxa"/>
            </w:tcMar>
          </w:tcPr>
          <w:p w14:paraId="2016C4A0" w14:textId="77777777" w:rsidR="00AD3606" w:rsidRPr="000F7289" w:rsidRDefault="00AD3606" w:rsidP="000F7289">
            <w:pPr>
              <w:pStyle w:val="Source"/>
              <w:framePr w:hSpace="0" w:wrap="auto" w:vAnchor="margin" w:hAnchor="text" w:xAlign="left" w:yAlign="inline"/>
            </w:pPr>
            <w:bookmarkStart w:id="8" w:name="dsource" w:colFirst="0" w:colLast="0"/>
            <w:bookmarkEnd w:id="7"/>
            <w:r w:rsidRPr="000F7289">
              <w:t>Report by the Secretary-General</w:t>
            </w:r>
          </w:p>
        </w:tc>
      </w:tr>
      <w:tr w:rsidR="00AD3606" w:rsidRPr="00C0458D" w14:paraId="3A759762" w14:textId="77777777" w:rsidTr="14BBDCD2">
        <w:trPr>
          <w:cantSplit/>
        </w:trPr>
        <w:tc>
          <w:tcPr>
            <w:tcW w:w="9214" w:type="dxa"/>
            <w:gridSpan w:val="2"/>
            <w:tcMar>
              <w:left w:w="0" w:type="dxa"/>
            </w:tcMar>
          </w:tcPr>
          <w:p w14:paraId="2A2DCF47" w14:textId="18EF4A86" w:rsidR="00AD3606" w:rsidRPr="000F7289" w:rsidRDefault="00082E90" w:rsidP="000F7289">
            <w:pPr>
              <w:pStyle w:val="Subtitle"/>
              <w:framePr w:hSpace="0" w:wrap="auto" w:xAlign="left" w:yAlign="inline"/>
            </w:pPr>
            <w:bookmarkStart w:id="9" w:name="_Hlk68696326"/>
            <w:bookmarkStart w:id="10" w:name="dtitle1" w:colFirst="0" w:colLast="0"/>
            <w:bookmarkEnd w:id="8"/>
            <w:r>
              <w:t>PRELIMINARY AMOUNT OF THE CONTRIBUTORY UNIT</w:t>
            </w:r>
            <w:bookmarkEnd w:id="9"/>
          </w:p>
        </w:tc>
      </w:tr>
      <w:tr w:rsidR="00AD3606" w:rsidRPr="00C0458D" w14:paraId="72B25568" w14:textId="77777777" w:rsidTr="14BBDCD2">
        <w:trPr>
          <w:cantSplit/>
        </w:trPr>
        <w:tc>
          <w:tcPr>
            <w:tcW w:w="9214" w:type="dxa"/>
            <w:gridSpan w:val="2"/>
            <w:tcBorders>
              <w:top w:val="single" w:sz="4" w:space="0" w:color="auto"/>
              <w:bottom w:val="single" w:sz="4" w:space="0" w:color="auto"/>
            </w:tcBorders>
            <w:tcMar>
              <w:left w:w="0" w:type="dxa"/>
            </w:tcMar>
          </w:tcPr>
          <w:p w14:paraId="4C3D541B" w14:textId="1024FD2F" w:rsidR="00AD3606" w:rsidRPr="00C0458D" w:rsidRDefault="00F16BAB" w:rsidP="00F16BAB">
            <w:pPr>
              <w:spacing w:before="160"/>
              <w:rPr>
                <w:b/>
                <w:bCs/>
                <w:sz w:val="26"/>
                <w:szCs w:val="26"/>
              </w:rPr>
            </w:pPr>
            <w:r w:rsidRPr="00C0458D">
              <w:rPr>
                <w:b/>
                <w:bCs/>
                <w:sz w:val="26"/>
                <w:szCs w:val="26"/>
              </w:rPr>
              <w:t>Purpose</w:t>
            </w:r>
          </w:p>
          <w:p w14:paraId="0563152E" w14:textId="1822863D" w:rsidR="00082E90" w:rsidRPr="00813E5E" w:rsidRDefault="00082E90" w:rsidP="00082E90">
            <w:pPr>
              <w:spacing w:after="120"/>
              <w:jc w:val="both"/>
            </w:pPr>
            <w:r>
              <w:t xml:space="preserve">It is the intention of the Secretary-General to propose that the contributory unit </w:t>
            </w:r>
            <w:r w:rsidR="0093767F">
              <w:t xml:space="preserve">(CU) </w:t>
            </w:r>
            <w:r>
              <w:t xml:space="preserve">be maintained at the current level of </w:t>
            </w:r>
            <w:r w:rsidR="001303EC">
              <w:t>CHF </w:t>
            </w:r>
            <w:r>
              <w:t>318</w:t>
            </w:r>
            <w:r w:rsidR="001303EC">
              <w:t> </w:t>
            </w:r>
            <w:r>
              <w:t>000. As was done at the last plenipotentiary conference, this will be a good basis for discussing the Financial Plan for all Member States and allow for adequate preparation before the 2026 Plenipotentiary Conference.</w:t>
            </w:r>
          </w:p>
          <w:p w14:paraId="74AAAC39" w14:textId="0687324C" w:rsidR="6D23BD6C" w:rsidRDefault="0ED216AA" w:rsidP="21435B5A">
            <w:pPr>
              <w:spacing w:after="120"/>
              <w:jc w:val="both"/>
            </w:pPr>
            <w:r>
              <w:t xml:space="preserve">Based on the discussions at the Council Working Group on Strategic and Financial Plans, </w:t>
            </w:r>
            <w:r w:rsidR="6C936D0A">
              <w:t>t</w:t>
            </w:r>
            <w:r w:rsidR="6D23BD6C">
              <w:t>h</w:t>
            </w:r>
            <w:r w:rsidR="3C51C10C">
              <w:t>e</w:t>
            </w:r>
            <w:r w:rsidR="6D23BD6C">
              <w:t xml:space="preserve"> </w:t>
            </w:r>
            <w:r w:rsidR="3254BA7E">
              <w:t>Secretary</w:t>
            </w:r>
            <w:r w:rsidR="00325582">
              <w:t>-</w:t>
            </w:r>
            <w:r w:rsidR="3254BA7E">
              <w:t>General</w:t>
            </w:r>
            <w:r w:rsidR="6D23BD6C">
              <w:t xml:space="preserve"> also proposes that </w:t>
            </w:r>
            <w:r w:rsidR="006A50C9">
              <w:t xml:space="preserve">the </w:t>
            </w:r>
            <w:r w:rsidR="6D23BD6C">
              <w:t xml:space="preserve">Council </w:t>
            </w:r>
            <w:r w:rsidR="0BF94E1C">
              <w:t>initiate</w:t>
            </w:r>
            <w:r w:rsidR="6D23BD6C">
              <w:t xml:space="preserve"> work toward establishing a methodology for future consideration of changes to the </w:t>
            </w:r>
            <w:r w:rsidR="006A50C9">
              <w:t>c</w:t>
            </w:r>
            <w:r w:rsidR="6D23BD6C">
              <w:t xml:space="preserve">ontributory </w:t>
            </w:r>
            <w:r w:rsidR="006A50C9">
              <w:t>u</w:t>
            </w:r>
            <w:r w:rsidR="6D23BD6C">
              <w:t>nit.</w:t>
            </w:r>
          </w:p>
          <w:p w14:paraId="4288AA6F" w14:textId="77777777" w:rsidR="00AD3606" w:rsidRDefault="00AD3606" w:rsidP="00F16BAB">
            <w:pPr>
              <w:spacing w:before="160"/>
              <w:rPr>
                <w:b/>
                <w:bCs/>
                <w:sz w:val="26"/>
                <w:szCs w:val="26"/>
              </w:rPr>
            </w:pPr>
            <w:r w:rsidRPr="00C0458D">
              <w:rPr>
                <w:b/>
                <w:bCs/>
                <w:sz w:val="26"/>
                <w:szCs w:val="26"/>
              </w:rPr>
              <w:t>Action required</w:t>
            </w:r>
            <w:r w:rsidR="00F16BAB" w:rsidRPr="00C0458D">
              <w:rPr>
                <w:b/>
                <w:bCs/>
                <w:sz w:val="26"/>
                <w:szCs w:val="26"/>
              </w:rPr>
              <w:t xml:space="preserve"> by the Council</w:t>
            </w:r>
          </w:p>
          <w:p w14:paraId="104C2758" w14:textId="1F874812" w:rsidR="00082E90" w:rsidRPr="00813E5E" w:rsidRDefault="00082E90" w:rsidP="00082E90">
            <w:pPr>
              <w:spacing w:after="120"/>
              <w:jc w:val="both"/>
            </w:pPr>
            <w:r>
              <w:t xml:space="preserve">The Council is invited to </w:t>
            </w:r>
            <w:r w:rsidRPr="14BBDCD2">
              <w:rPr>
                <w:b/>
                <w:bCs/>
              </w:rPr>
              <w:t>consider</w:t>
            </w:r>
            <w:r>
              <w:t xml:space="preserve"> and </w:t>
            </w:r>
            <w:r w:rsidRPr="14BBDCD2">
              <w:rPr>
                <w:b/>
                <w:bCs/>
              </w:rPr>
              <w:t>approve</w:t>
            </w:r>
            <w:r>
              <w:t xml:space="preserve"> this proposal</w:t>
            </w:r>
            <w:r w:rsidR="45E8220C">
              <w:t xml:space="preserve">, and </w:t>
            </w:r>
            <w:r w:rsidR="28E8EE20">
              <w:t xml:space="preserve">initiate </w:t>
            </w:r>
            <w:r w:rsidR="45E8220C">
              <w:t xml:space="preserve">the </w:t>
            </w:r>
            <w:r w:rsidR="5D231FC7">
              <w:t xml:space="preserve">work to </w:t>
            </w:r>
            <w:r w:rsidR="45E8220C">
              <w:t xml:space="preserve">develop a methodology for </w:t>
            </w:r>
            <w:r w:rsidR="5C6EC4B1">
              <w:t xml:space="preserve">future </w:t>
            </w:r>
            <w:r w:rsidR="45E8220C">
              <w:t xml:space="preserve">changes to the </w:t>
            </w:r>
            <w:r w:rsidR="006A50C9">
              <w:t>c</w:t>
            </w:r>
            <w:r w:rsidR="45E8220C">
              <w:t xml:space="preserve">ontributory </w:t>
            </w:r>
            <w:r w:rsidR="006A50C9">
              <w:t>u</w:t>
            </w:r>
            <w:r w:rsidR="45E8220C">
              <w:t>nit</w:t>
            </w:r>
            <w:r w:rsidR="6B0E34E9">
              <w:t xml:space="preserve"> for consideration of Council 2026</w:t>
            </w:r>
            <w:r>
              <w:t>.</w:t>
            </w:r>
          </w:p>
          <w:p w14:paraId="4B855F83" w14:textId="7E0F2BB7" w:rsidR="00722551" w:rsidRDefault="00722551" w:rsidP="00722551">
            <w:pPr>
              <w:spacing w:before="160"/>
              <w:rPr>
                <w:b/>
                <w:bCs/>
                <w:sz w:val="26"/>
                <w:szCs w:val="26"/>
              </w:rPr>
            </w:pPr>
            <w:r>
              <w:rPr>
                <w:b/>
                <w:bCs/>
                <w:sz w:val="26"/>
                <w:szCs w:val="26"/>
              </w:rPr>
              <w:t>Relevant link</w:t>
            </w:r>
            <w:r w:rsidR="004B25A1">
              <w:rPr>
                <w:b/>
                <w:bCs/>
                <w:sz w:val="26"/>
                <w:szCs w:val="26"/>
              </w:rPr>
              <w:t>(s)</w:t>
            </w:r>
            <w:r>
              <w:rPr>
                <w:b/>
                <w:bCs/>
                <w:sz w:val="26"/>
                <w:szCs w:val="26"/>
              </w:rPr>
              <w:t xml:space="preserve"> with the Strategic Plan</w:t>
            </w:r>
          </w:p>
          <w:p w14:paraId="56ADF403" w14:textId="768BB52C" w:rsidR="00722551" w:rsidRPr="00F16BAB" w:rsidRDefault="00173B72" w:rsidP="00722551">
            <w:r>
              <w:t>n/a</w:t>
            </w:r>
          </w:p>
          <w:p w14:paraId="6A77059B" w14:textId="270D1307" w:rsidR="00722551" w:rsidRDefault="00722551" w:rsidP="00722551">
            <w:pPr>
              <w:spacing w:before="160"/>
              <w:rPr>
                <w:b/>
                <w:bCs/>
                <w:sz w:val="26"/>
                <w:szCs w:val="26"/>
              </w:rPr>
            </w:pPr>
            <w:r>
              <w:rPr>
                <w:b/>
                <w:bCs/>
                <w:sz w:val="26"/>
                <w:szCs w:val="26"/>
              </w:rPr>
              <w:t>Financial implications</w:t>
            </w:r>
          </w:p>
          <w:p w14:paraId="731F0870" w14:textId="0B6179EA" w:rsidR="00453079" w:rsidRPr="00453079" w:rsidRDefault="00124DE6" w:rsidP="00F16BAB">
            <w:pPr>
              <w:spacing w:before="160"/>
            </w:pPr>
            <w:r>
              <w:t>None.</w:t>
            </w:r>
          </w:p>
          <w:p w14:paraId="08939791" w14:textId="77777777" w:rsidR="00C0458D" w:rsidRDefault="00C0458D">
            <w:r>
              <w:t>_______________</w:t>
            </w:r>
          </w:p>
          <w:p w14:paraId="212A584A" w14:textId="77777777" w:rsidR="00AD3606" w:rsidRPr="00C0458D" w:rsidRDefault="00AD3606" w:rsidP="00F16BAB">
            <w:pPr>
              <w:spacing w:before="160"/>
              <w:rPr>
                <w:b/>
                <w:bCs/>
                <w:sz w:val="26"/>
                <w:szCs w:val="26"/>
              </w:rPr>
            </w:pPr>
            <w:r w:rsidRPr="00C0458D">
              <w:rPr>
                <w:b/>
                <w:bCs/>
                <w:sz w:val="26"/>
                <w:szCs w:val="26"/>
              </w:rPr>
              <w:t>References</w:t>
            </w:r>
          </w:p>
          <w:p w14:paraId="7089D4B7" w14:textId="04DA5EAC" w:rsidR="00AD3606" w:rsidRPr="00722551" w:rsidRDefault="00173B72" w:rsidP="00082E90">
            <w:pPr>
              <w:spacing w:after="160"/>
              <w:rPr>
                <w:i/>
                <w:iCs/>
                <w:sz w:val="22"/>
                <w:szCs w:val="22"/>
              </w:rPr>
            </w:pPr>
            <w:hyperlink r:id="rId11" w:history="1">
              <w:r>
                <w:rPr>
                  <w:rStyle w:val="Hyperlink"/>
                  <w:bCs/>
                  <w:i/>
                  <w:iCs/>
                  <w:szCs w:val="24"/>
                  <w:lang w:val="en-US"/>
                </w:rPr>
                <w:t>ITU Constitution Articles 8, 28, and 33</w:t>
              </w:r>
            </w:hyperlink>
            <w:r w:rsidR="00082E90">
              <w:rPr>
                <w:bCs/>
                <w:i/>
                <w:iCs/>
                <w:szCs w:val="24"/>
                <w:lang w:val="en-US"/>
              </w:rPr>
              <w:t>;</w:t>
            </w:r>
            <w:r>
              <w:rPr>
                <w:bCs/>
                <w:i/>
                <w:iCs/>
                <w:szCs w:val="24"/>
                <w:lang w:val="en-US"/>
              </w:rPr>
              <w:t xml:space="preserve"> </w:t>
            </w:r>
            <w:hyperlink r:id="rId12" w:history="1">
              <w:r w:rsidRPr="00325582">
                <w:rPr>
                  <w:rStyle w:val="Hyperlink"/>
                  <w:bCs/>
                  <w:i/>
                  <w:iCs/>
                  <w:szCs w:val="24"/>
                  <w:lang w:val="en-US"/>
                </w:rPr>
                <w:t xml:space="preserve">Decision </w:t>
              </w:r>
              <w:r w:rsidR="00082E90" w:rsidRPr="00325582">
                <w:rPr>
                  <w:rStyle w:val="Hyperlink"/>
                  <w:bCs/>
                  <w:i/>
                  <w:iCs/>
                  <w:szCs w:val="24"/>
                  <w:lang w:val="en-US"/>
                </w:rPr>
                <w:t>5</w:t>
              </w:r>
            </w:hyperlink>
            <w:r w:rsidR="00082E90" w:rsidRPr="001303EC">
              <w:rPr>
                <w:bCs/>
                <w:i/>
                <w:iCs/>
                <w:szCs w:val="24"/>
                <w:lang w:val="en-US"/>
              </w:rPr>
              <w:t xml:space="preserve"> (Rev. Bucharest, 2022)</w:t>
            </w:r>
            <w:r>
              <w:rPr>
                <w:bCs/>
                <w:i/>
                <w:iCs/>
                <w:szCs w:val="24"/>
                <w:lang w:val="en-US"/>
              </w:rPr>
              <w:t xml:space="preserve"> of the Plenipotentiary Conference</w:t>
            </w:r>
          </w:p>
        </w:tc>
      </w:tr>
    </w:tbl>
    <w:p w14:paraId="3E836A65" w14:textId="77777777" w:rsidR="00E227F3" w:rsidRPr="00C0458D"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bookmarkEnd w:id="3"/>
    <w:bookmarkEnd w:id="4"/>
    <w:p w14:paraId="52958905" w14:textId="77777777" w:rsidR="0090147A" w:rsidRPr="00C0458D"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C0458D">
        <w:br w:type="page"/>
      </w:r>
    </w:p>
    <w:bookmarkEnd w:id="5"/>
    <w:bookmarkEnd w:id="11"/>
    <w:p w14:paraId="011802FA" w14:textId="77777777" w:rsidR="00082E90" w:rsidRPr="00230370" w:rsidRDefault="00082E90" w:rsidP="00B157E0">
      <w:pPr>
        <w:pStyle w:val="Headingb"/>
      </w:pPr>
      <w:r w:rsidRPr="00230370">
        <w:lastRenderedPageBreak/>
        <w:t>Proposal</w:t>
      </w:r>
    </w:p>
    <w:p w14:paraId="1136CF3F" w14:textId="66A4A49D" w:rsidR="00082E90" w:rsidRPr="00A0359C" w:rsidRDefault="00082E90" w:rsidP="00452B43">
      <w:pPr>
        <w:jc w:val="both"/>
        <w:rPr>
          <w:rFonts w:eastAsia="SimSun"/>
          <w:lang w:val="en-US" w:eastAsia="zh-CN"/>
        </w:rPr>
      </w:pPr>
      <w:r w:rsidRPr="0A24E183">
        <w:rPr>
          <w:rFonts w:eastAsia="SimSun"/>
          <w:lang w:val="en-US" w:eastAsia="zh-CN"/>
        </w:rPr>
        <w:t>1</w:t>
      </w:r>
      <w:r>
        <w:tab/>
      </w:r>
      <w:r w:rsidRPr="0A24E183">
        <w:rPr>
          <w:rFonts w:eastAsia="SimSun"/>
          <w:lang w:val="en-US" w:eastAsia="zh-CN"/>
        </w:rPr>
        <w:t>The purpose of the draft Financial Plan for 2028-2031 is to provide a reference for the 202</w:t>
      </w:r>
      <w:r w:rsidR="00D42D89">
        <w:rPr>
          <w:rFonts w:eastAsia="SimSun"/>
          <w:lang w:val="en-US" w:eastAsia="zh-CN"/>
        </w:rPr>
        <w:t>6</w:t>
      </w:r>
      <w:r w:rsidRPr="0A24E183">
        <w:rPr>
          <w:rFonts w:eastAsia="SimSun"/>
          <w:lang w:val="en-US" w:eastAsia="zh-CN"/>
        </w:rPr>
        <w:t> Plenipotentiary Conference to establish the basis for the budget of the Union and determine related financial limits, until the next plenipotentiary conference, after considering all relevant aspects of the work of the Union in the period concerned (Article 8, No. 51 of the Constitution).</w:t>
      </w:r>
    </w:p>
    <w:p w14:paraId="7EB94D9F" w14:textId="09C62244" w:rsidR="00082E90" w:rsidRDefault="00082E90" w:rsidP="007025D5">
      <w:pPr>
        <w:jc w:val="both"/>
        <w:rPr>
          <w:rFonts w:eastAsia="SimSun" w:cs="Calibri"/>
          <w:bCs/>
          <w:szCs w:val="24"/>
          <w:lang w:val="en-US" w:eastAsia="zh-CN"/>
        </w:rPr>
      </w:pPr>
      <w:r>
        <w:rPr>
          <w:rFonts w:eastAsia="SimSun" w:cs="Calibri"/>
          <w:bCs/>
          <w:szCs w:val="24"/>
          <w:lang w:val="en-US" w:eastAsia="zh-CN"/>
        </w:rPr>
        <w:t>2</w:t>
      </w:r>
      <w:r w:rsidRPr="00A0359C">
        <w:rPr>
          <w:rFonts w:eastAsia="SimSun" w:cs="Calibri"/>
          <w:bCs/>
          <w:szCs w:val="24"/>
          <w:lang w:val="en-US" w:eastAsia="zh-CN"/>
        </w:rPr>
        <w:tab/>
        <w:t>According to Article 28</w:t>
      </w:r>
      <w:r>
        <w:rPr>
          <w:rFonts w:eastAsia="SimSun" w:cs="Calibri"/>
          <w:bCs/>
          <w:szCs w:val="24"/>
          <w:lang w:val="en-US" w:eastAsia="zh-CN"/>
        </w:rPr>
        <w:t>,</w:t>
      </w:r>
      <w:r w:rsidRPr="00A0359C">
        <w:rPr>
          <w:rFonts w:eastAsia="SimSun" w:cs="Calibri"/>
          <w:bCs/>
          <w:szCs w:val="24"/>
          <w:lang w:val="en-US" w:eastAsia="zh-CN"/>
        </w:rPr>
        <w:t xml:space="preserve"> No</w:t>
      </w:r>
      <w:r>
        <w:rPr>
          <w:rFonts w:eastAsia="SimSun" w:cs="Calibri"/>
          <w:bCs/>
          <w:szCs w:val="24"/>
          <w:lang w:val="en-US" w:eastAsia="zh-CN"/>
        </w:rPr>
        <w:t>.</w:t>
      </w:r>
      <w:r w:rsidRPr="00A0359C">
        <w:rPr>
          <w:rFonts w:eastAsia="SimSun" w:cs="Calibri"/>
          <w:bCs/>
          <w:szCs w:val="24"/>
          <w:lang w:val="en-US" w:eastAsia="zh-CN"/>
        </w:rPr>
        <w:t xml:space="preserve"> 161B of the Constitution, at its session preceding the </w:t>
      </w:r>
      <w:r>
        <w:rPr>
          <w:rFonts w:eastAsia="SimSun" w:cs="Calibri"/>
          <w:bCs/>
          <w:szCs w:val="24"/>
          <w:lang w:val="en-US" w:eastAsia="zh-CN"/>
        </w:rPr>
        <w:t>p</w:t>
      </w:r>
      <w:r w:rsidRPr="00A0359C">
        <w:rPr>
          <w:rFonts w:eastAsia="SimSun" w:cs="Calibri"/>
          <w:bCs/>
          <w:szCs w:val="24"/>
          <w:lang w:val="en-US" w:eastAsia="zh-CN"/>
        </w:rPr>
        <w:t xml:space="preserve">lenipotentiary </w:t>
      </w:r>
      <w:r>
        <w:rPr>
          <w:rFonts w:eastAsia="SimSun" w:cs="Calibri"/>
          <w:bCs/>
          <w:szCs w:val="24"/>
          <w:lang w:val="en-US" w:eastAsia="zh-CN"/>
        </w:rPr>
        <w:t>c</w:t>
      </w:r>
      <w:r w:rsidRPr="00A0359C">
        <w:rPr>
          <w:rFonts w:eastAsia="SimSun" w:cs="Calibri"/>
          <w:bCs/>
          <w:szCs w:val="24"/>
          <w:lang w:val="en-US" w:eastAsia="zh-CN"/>
        </w:rPr>
        <w:t>onference, the Council shall fix the provisional amount of the contributory unit</w:t>
      </w:r>
      <w:r w:rsidR="00385878">
        <w:rPr>
          <w:rFonts w:eastAsia="SimSun" w:cs="Calibri"/>
          <w:bCs/>
          <w:szCs w:val="24"/>
          <w:lang w:val="en-US" w:eastAsia="zh-CN"/>
        </w:rPr>
        <w:t xml:space="preserve"> (CU)</w:t>
      </w:r>
      <w:r w:rsidRPr="00A0359C">
        <w:rPr>
          <w:rFonts w:eastAsia="SimSun" w:cs="Calibri"/>
          <w:bCs/>
          <w:szCs w:val="24"/>
          <w:lang w:val="en-US" w:eastAsia="zh-CN"/>
        </w:rPr>
        <w:t xml:space="preserve">, </w:t>
      </w:r>
      <w:proofErr w:type="gramStart"/>
      <w:r w:rsidRPr="00A0359C">
        <w:rPr>
          <w:rFonts w:eastAsia="SimSun" w:cs="Calibri"/>
          <w:bCs/>
          <w:szCs w:val="24"/>
          <w:lang w:val="en-US" w:eastAsia="zh-CN"/>
        </w:rPr>
        <w:t>on the basis of</w:t>
      </w:r>
      <w:proofErr w:type="gramEnd"/>
      <w:r w:rsidRPr="00A0359C">
        <w:rPr>
          <w:rFonts w:eastAsia="SimSun" w:cs="Calibri"/>
          <w:bCs/>
          <w:szCs w:val="24"/>
          <w:lang w:val="en-US" w:eastAsia="zh-CN"/>
        </w:rPr>
        <w:t xml:space="preserve"> the draft financial plan for the corresponding period and total number of contributory units.</w:t>
      </w:r>
    </w:p>
    <w:p w14:paraId="25E3B8C6" w14:textId="08A40D22" w:rsidR="00082E90" w:rsidRPr="00A0359C" w:rsidRDefault="00082E90" w:rsidP="0A24E183">
      <w:pPr>
        <w:jc w:val="both"/>
        <w:rPr>
          <w:rFonts w:eastAsia="SimSun" w:cs="Calibri"/>
          <w:lang w:val="en-US" w:eastAsia="zh-CN"/>
        </w:rPr>
      </w:pPr>
      <w:r w:rsidRPr="0A24E183">
        <w:rPr>
          <w:rFonts w:eastAsia="SimSun" w:cs="Calibri"/>
          <w:lang w:val="en-US" w:eastAsia="zh-CN"/>
        </w:rPr>
        <w:t>3</w:t>
      </w:r>
      <w:r>
        <w:tab/>
      </w:r>
      <w:r w:rsidRPr="0A24E183">
        <w:rPr>
          <w:rFonts w:eastAsia="SimSun" w:cs="Calibri"/>
          <w:lang w:val="en-US" w:eastAsia="zh-CN"/>
        </w:rPr>
        <w:t xml:space="preserve">In this context, Decision 5 (Rev. Bucharest, 2022) </w:t>
      </w:r>
      <w:r w:rsidRPr="0A24E183">
        <w:rPr>
          <w:rFonts w:eastAsia="SimSun" w:cs="Calibri"/>
          <w:i/>
          <w:iCs/>
          <w:lang w:val="en-US" w:eastAsia="zh-CN"/>
        </w:rPr>
        <w:t>invites the Council</w:t>
      </w:r>
      <w:r w:rsidRPr="0A24E183">
        <w:rPr>
          <w:rFonts w:eastAsia="SimSun" w:cs="Calibri"/>
          <w:lang w:val="en-US" w:eastAsia="zh-CN"/>
        </w:rPr>
        <w:t xml:space="preserve"> to fix, to the extent practicable, the preliminary amount of the contributory unit for the period 2028-2031 at its 2025 ordinary session and </w:t>
      </w:r>
      <w:r w:rsidRPr="0A24E183">
        <w:rPr>
          <w:rFonts w:eastAsia="SimSun" w:cs="Calibri"/>
          <w:i/>
          <w:iCs/>
          <w:lang w:val="en-US" w:eastAsia="zh-CN"/>
        </w:rPr>
        <w:t>invites Member States</w:t>
      </w:r>
      <w:r w:rsidRPr="0A24E183">
        <w:rPr>
          <w:rFonts w:eastAsia="SimSun" w:cs="Calibri"/>
          <w:lang w:val="en-US" w:eastAsia="zh-CN"/>
        </w:rPr>
        <w:t xml:space="preserve"> to announce their provisional class of contribution for the period 2028-2031 before the end of the calendar year 2025.</w:t>
      </w:r>
      <w:r w:rsidR="00124DE6" w:rsidRPr="0A24E183">
        <w:rPr>
          <w:rFonts w:asciiTheme="minorHAnsi" w:hAnsiTheme="minorHAnsi" w:cstheme="minorBidi"/>
        </w:rPr>
        <w:t xml:space="preserve"> The value of the contributory unit has been maintained at CHF 318</w:t>
      </w:r>
      <w:r w:rsidR="007025D5" w:rsidRPr="0A24E183">
        <w:rPr>
          <w:rFonts w:asciiTheme="minorHAnsi" w:hAnsiTheme="minorHAnsi" w:cstheme="minorBidi"/>
        </w:rPr>
        <w:t> </w:t>
      </w:r>
      <w:r w:rsidR="00124DE6" w:rsidRPr="0A24E183">
        <w:rPr>
          <w:rFonts w:asciiTheme="minorHAnsi" w:hAnsiTheme="minorHAnsi" w:cstheme="minorBidi"/>
        </w:rPr>
        <w:t>000 as per Decision 5 (Rev. Bucharest, 2022), i.e. zero nominal growth</w:t>
      </w:r>
      <w:r w:rsidR="0000756A">
        <w:rPr>
          <w:rFonts w:asciiTheme="minorHAnsi" w:hAnsiTheme="minorHAnsi" w:cstheme="minorBidi"/>
        </w:rPr>
        <w:t>,</w:t>
      </w:r>
      <w:r w:rsidR="00124DE6" w:rsidRPr="0A24E183">
        <w:rPr>
          <w:rFonts w:asciiTheme="minorHAnsi" w:hAnsiTheme="minorHAnsi" w:cstheme="minorBidi"/>
        </w:rPr>
        <w:t xml:space="preserve"> since the year 2006.</w:t>
      </w:r>
    </w:p>
    <w:p w14:paraId="0202AFF0" w14:textId="554C0330" w:rsidR="004920B6" w:rsidRDefault="00082E90" w:rsidP="0A24E183">
      <w:pPr>
        <w:jc w:val="both"/>
        <w:rPr>
          <w:rFonts w:eastAsia="SimSun" w:cs="Calibri"/>
          <w:lang w:val="en-US" w:eastAsia="zh-CN"/>
        </w:rPr>
      </w:pPr>
      <w:r w:rsidRPr="0A24E183">
        <w:rPr>
          <w:rFonts w:eastAsia="SimSun" w:cs="Calibri"/>
          <w:lang w:val="en-US" w:eastAsia="zh-CN"/>
        </w:rPr>
        <w:t>4</w:t>
      </w:r>
      <w:r w:rsidRPr="008C7808">
        <w:rPr>
          <w:rFonts w:eastAsia="SimSun" w:cs="Calibri"/>
          <w:bCs/>
          <w:szCs w:val="24"/>
          <w:lang w:val="en-US" w:eastAsia="zh-CN"/>
        </w:rPr>
        <w:tab/>
      </w:r>
      <w:r w:rsidR="004920B6" w:rsidRPr="0A24E183">
        <w:rPr>
          <w:rFonts w:eastAsia="SimSun" w:cs="Calibri"/>
          <w:lang w:val="en-US" w:eastAsia="zh-CN"/>
        </w:rPr>
        <w:t xml:space="preserve">At the meetings of the Council Working Group for </w:t>
      </w:r>
      <w:r w:rsidR="00C85F4B">
        <w:rPr>
          <w:rFonts w:eastAsia="SimSun" w:cs="Calibri"/>
          <w:lang w:val="en-US" w:eastAsia="zh-CN"/>
        </w:rPr>
        <w:t>s</w:t>
      </w:r>
      <w:r w:rsidR="004920B6" w:rsidRPr="0A24E183">
        <w:rPr>
          <w:rFonts w:eastAsia="SimSun" w:cs="Calibri"/>
          <w:lang w:val="en-US" w:eastAsia="zh-CN"/>
        </w:rPr>
        <w:t xml:space="preserve">trategic and </w:t>
      </w:r>
      <w:r w:rsidR="00C85F4B">
        <w:rPr>
          <w:rFonts w:eastAsia="SimSun" w:cs="Calibri"/>
          <w:lang w:val="en-US" w:eastAsia="zh-CN"/>
        </w:rPr>
        <w:t>f</w:t>
      </w:r>
      <w:r w:rsidR="004920B6" w:rsidRPr="0A24E183">
        <w:rPr>
          <w:rFonts w:eastAsia="SimSun" w:cs="Calibri"/>
          <w:lang w:val="en-US" w:eastAsia="zh-CN"/>
        </w:rPr>
        <w:t xml:space="preserve">inancial </w:t>
      </w:r>
      <w:r w:rsidR="00C85F4B">
        <w:rPr>
          <w:rFonts w:eastAsia="SimSun" w:cs="Calibri"/>
          <w:lang w:val="en-US" w:eastAsia="zh-CN"/>
        </w:rPr>
        <w:t>p</w:t>
      </w:r>
      <w:r w:rsidR="004920B6" w:rsidRPr="0A24E183">
        <w:rPr>
          <w:rFonts w:eastAsia="SimSun" w:cs="Calibri"/>
          <w:lang w:val="en-US" w:eastAsia="zh-CN"/>
        </w:rPr>
        <w:t>lans 2028</w:t>
      </w:r>
      <w:r w:rsidR="007025D5">
        <w:rPr>
          <w:rFonts w:eastAsia="SimSun" w:cs="Calibri"/>
          <w:bCs/>
          <w:szCs w:val="24"/>
          <w:lang w:val="en-US" w:eastAsia="zh-CN"/>
        </w:rPr>
        <w:noBreakHyphen/>
      </w:r>
      <w:r w:rsidR="004920B6" w:rsidRPr="0A24E183">
        <w:rPr>
          <w:rFonts w:eastAsia="SimSun" w:cs="Calibri"/>
          <w:lang w:val="en-US" w:eastAsia="zh-CN"/>
        </w:rPr>
        <w:t xml:space="preserve">2031 (CWG-SFP) in October 2024 and February 2025, the </w:t>
      </w:r>
      <w:r w:rsidR="00385878" w:rsidRPr="0A24E183">
        <w:rPr>
          <w:rFonts w:eastAsia="SimSun" w:cs="Calibri"/>
          <w:lang w:val="en-US" w:eastAsia="zh-CN"/>
        </w:rPr>
        <w:t>s</w:t>
      </w:r>
      <w:r w:rsidR="004920B6" w:rsidRPr="0A24E183">
        <w:rPr>
          <w:rFonts w:eastAsia="SimSun" w:cs="Calibri"/>
          <w:lang w:val="en-US" w:eastAsia="zh-CN"/>
        </w:rPr>
        <w:t xml:space="preserve">ecretariat presented provisions for the consideration by </w:t>
      </w:r>
      <w:r w:rsidR="00C85F4B" w:rsidRPr="0A24E183">
        <w:rPr>
          <w:rFonts w:eastAsia="SimSun" w:cs="Calibri"/>
          <w:lang w:val="en-US" w:eastAsia="zh-CN"/>
        </w:rPr>
        <w:t xml:space="preserve">Member States </w:t>
      </w:r>
      <w:r w:rsidR="004920B6" w:rsidRPr="0A24E183">
        <w:rPr>
          <w:rFonts w:eastAsia="SimSun" w:cs="Calibri"/>
          <w:lang w:val="en-US" w:eastAsia="zh-CN"/>
        </w:rPr>
        <w:t xml:space="preserve">of an increase in the </w:t>
      </w:r>
      <w:r w:rsidR="007B14CA" w:rsidRPr="14BBDCD2">
        <w:rPr>
          <w:rFonts w:eastAsia="SimSun" w:cs="Calibri"/>
          <w:lang w:val="en-US" w:eastAsia="zh-CN"/>
        </w:rPr>
        <w:t>c</w:t>
      </w:r>
      <w:r w:rsidR="004920B6" w:rsidRPr="0A24E183">
        <w:rPr>
          <w:rFonts w:eastAsia="SimSun" w:cs="Calibri"/>
          <w:lang w:val="en-US" w:eastAsia="zh-CN"/>
        </w:rPr>
        <w:t xml:space="preserve">ontributory </w:t>
      </w:r>
      <w:r w:rsidR="007B14CA" w:rsidRPr="14BBDCD2">
        <w:rPr>
          <w:rFonts w:eastAsia="SimSun" w:cs="Calibri"/>
          <w:lang w:val="en-US" w:eastAsia="zh-CN"/>
        </w:rPr>
        <w:t>u</w:t>
      </w:r>
      <w:r w:rsidR="004920B6" w:rsidRPr="0A24E183">
        <w:rPr>
          <w:rFonts w:eastAsia="SimSun" w:cs="Calibri"/>
          <w:lang w:val="en-US" w:eastAsia="zh-CN"/>
        </w:rPr>
        <w:t>nit. In</w:t>
      </w:r>
      <w:r w:rsidR="00B157E0" w:rsidRPr="0A24E183">
        <w:rPr>
          <w:rFonts w:eastAsia="SimSun" w:cs="Calibri"/>
          <w:lang w:val="en-US" w:eastAsia="zh-CN"/>
        </w:rPr>
        <w:t> </w:t>
      </w:r>
      <w:r w:rsidR="007025D5" w:rsidRPr="0A24E183">
        <w:rPr>
          <w:rFonts w:eastAsia="SimSun" w:cs="Calibri"/>
          <w:lang w:val="en-US" w:eastAsia="zh-CN"/>
        </w:rPr>
        <w:t xml:space="preserve">Documents </w:t>
      </w:r>
      <w:hyperlink r:id="rId13" w:history="1">
        <w:r w:rsidR="004920B6" w:rsidRPr="0A24E183">
          <w:rPr>
            <w:rStyle w:val="Hyperlink"/>
            <w:rFonts w:eastAsia="SimSun" w:cs="Calibri"/>
            <w:lang w:val="en-US" w:eastAsia="zh-CN"/>
          </w:rPr>
          <w:t>CWG-SFP</w:t>
        </w:r>
        <w:r w:rsidR="007025D5" w:rsidRPr="0A24E183">
          <w:rPr>
            <w:rStyle w:val="Hyperlink"/>
            <w:rFonts w:eastAsia="SimSun" w:cs="Calibri"/>
            <w:lang w:val="en-US" w:eastAsia="zh-CN"/>
          </w:rPr>
          <w:t>-</w:t>
        </w:r>
        <w:r w:rsidR="004920B6" w:rsidRPr="0A24E183">
          <w:rPr>
            <w:rStyle w:val="Hyperlink"/>
            <w:rFonts w:eastAsia="SimSun" w:cs="Calibri"/>
            <w:lang w:val="en-US" w:eastAsia="zh-CN"/>
          </w:rPr>
          <w:t>1/5</w:t>
        </w:r>
      </w:hyperlink>
      <w:r w:rsidR="007025D5" w:rsidRPr="0A24E183">
        <w:rPr>
          <w:rFonts w:eastAsia="SimSun" w:cs="Calibri"/>
          <w:lang w:val="en-US" w:eastAsia="zh-CN"/>
        </w:rPr>
        <w:t>,</w:t>
      </w:r>
      <w:r w:rsidR="004920B6" w:rsidRPr="0A24E183">
        <w:rPr>
          <w:rFonts w:eastAsia="SimSun" w:cs="Calibri"/>
          <w:lang w:val="en-US" w:eastAsia="zh-CN"/>
        </w:rPr>
        <w:t xml:space="preserve"> and </w:t>
      </w:r>
      <w:hyperlink r:id="rId14" w:history="1">
        <w:r w:rsidR="004920B6" w:rsidRPr="0A24E183">
          <w:rPr>
            <w:rStyle w:val="Hyperlink"/>
            <w:rFonts w:eastAsia="SimSun" w:cs="Calibri"/>
            <w:lang w:val="en-US" w:eastAsia="zh-CN"/>
          </w:rPr>
          <w:t>CWG-SFP</w:t>
        </w:r>
        <w:r w:rsidR="007025D5" w:rsidRPr="0A24E183">
          <w:rPr>
            <w:rStyle w:val="Hyperlink"/>
            <w:rFonts w:eastAsia="SimSun" w:cs="Calibri"/>
            <w:lang w:val="en-US" w:eastAsia="zh-CN"/>
          </w:rPr>
          <w:t>-</w:t>
        </w:r>
        <w:r w:rsidR="004920B6" w:rsidRPr="0A24E183">
          <w:rPr>
            <w:rStyle w:val="Hyperlink"/>
            <w:rFonts w:eastAsia="SimSun" w:cs="Calibri"/>
            <w:lang w:val="en-US" w:eastAsia="zh-CN"/>
          </w:rPr>
          <w:t>2/</w:t>
        </w:r>
        <w:r w:rsidR="0093767F" w:rsidRPr="0A24E183">
          <w:rPr>
            <w:rStyle w:val="Hyperlink"/>
            <w:rFonts w:eastAsia="SimSun" w:cs="Calibri"/>
            <w:lang w:val="en-US" w:eastAsia="zh-CN"/>
          </w:rPr>
          <w:t>7</w:t>
        </w:r>
      </w:hyperlink>
      <w:r w:rsidR="0093767F" w:rsidRPr="0A24E183">
        <w:rPr>
          <w:rFonts w:eastAsia="SimSun" w:cs="Calibri"/>
          <w:lang w:val="en-US" w:eastAsia="zh-CN"/>
        </w:rPr>
        <w:t xml:space="preserve"> and </w:t>
      </w:r>
      <w:hyperlink r:id="rId15" w:history="1">
        <w:r w:rsidR="007025D5" w:rsidRPr="0A24E183">
          <w:rPr>
            <w:rStyle w:val="Hyperlink"/>
            <w:rFonts w:eastAsia="SimSun" w:cs="Calibri"/>
            <w:lang w:val="en-US" w:eastAsia="zh-CN"/>
          </w:rPr>
          <w:t>CWG-SFP-</w:t>
        </w:r>
        <w:r w:rsidR="0093767F" w:rsidRPr="0A24E183">
          <w:rPr>
            <w:rStyle w:val="Hyperlink"/>
            <w:rFonts w:eastAsia="SimSun" w:cs="Calibri"/>
            <w:lang w:val="en-US" w:eastAsia="zh-CN"/>
          </w:rPr>
          <w:t>2/INF/1</w:t>
        </w:r>
      </w:hyperlink>
      <w:r w:rsidR="004920B6" w:rsidRPr="0A24E183">
        <w:rPr>
          <w:rFonts w:eastAsia="SimSun" w:cs="Calibri"/>
          <w:lang w:val="en-US" w:eastAsia="zh-CN"/>
        </w:rPr>
        <w:t xml:space="preserve">, the </w:t>
      </w:r>
      <w:r w:rsidR="00385878" w:rsidRPr="0A24E183">
        <w:rPr>
          <w:rFonts w:eastAsia="SimSun" w:cs="Calibri"/>
          <w:lang w:val="en-US" w:eastAsia="zh-CN"/>
        </w:rPr>
        <w:t>s</w:t>
      </w:r>
      <w:r w:rsidR="004920B6" w:rsidRPr="0A24E183">
        <w:rPr>
          <w:rFonts w:eastAsia="SimSun" w:cs="Calibri"/>
          <w:lang w:val="en-US" w:eastAsia="zh-CN"/>
        </w:rPr>
        <w:t xml:space="preserve">ecretariat presented various considerations of the Union’s financial situation for the consideration of CWG-SFP. The </w:t>
      </w:r>
      <w:r w:rsidR="00385878" w:rsidRPr="0A24E183">
        <w:rPr>
          <w:rFonts w:eastAsia="SimSun" w:cs="Calibri"/>
          <w:lang w:val="en-US" w:eastAsia="zh-CN"/>
        </w:rPr>
        <w:t>s</w:t>
      </w:r>
      <w:r w:rsidR="004920B6" w:rsidRPr="0A24E183">
        <w:rPr>
          <w:rFonts w:eastAsia="SimSun" w:cs="Calibri"/>
          <w:lang w:val="en-US" w:eastAsia="zh-CN"/>
        </w:rPr>
        <w:t>ecretariat noted that</w:t>
      </w:r>
      <w:r w:rsidR="007025D5" w:rsidRPr="0A24E183">
        <w:rPr>
          <w:rFonts w:eastAsia="SimSun" w:cs="Calibri"/>
          <w:lang w:val="en-US" w:eastAsia="zh-CN"/>
        </w:rPr>
        <w:t>,</w:t>
      </w:r>
      <w:r w:rsidR="004920B6" w:rsidRPr="0A24E183">
        <w:rPr>
          <w:rFonts w:eastAsia="SimSun" w:cs="Calibri"/>
          <w:lang w:val="en-US" w:eastAsia="zh-CN"/>
        </w:rPr>
        <w:t xml:space="preserve"> </w:t>
      </w:r>
      <w:r w:rsidR="00124DE6" w:rsidRPr="0A24E183">
        <w:rPr>
          <w:rFonts w:eastAsia="SimSun" w:cs="Calibri"/>
          <w:lang w:val="en-US" w:eastAsia="zh-CN"/>
        </w:rPr>
        <w:t xml:space="preserve">having regard to cost increases since the CU was established at its current level in 2006, and </w:t>
      </w:r>
      <w:r w:rsidR="004920B6" w:rsidRPr="0A24E183">
        <w:rPr>
          <w:rFonts w:eastAsia="SimSun" w:cs="Calibri"/>
          <w:lang w:val="en-US" w:eastAsia="zh-CN"/>
        </w:rPr>
        <w:t>in the context of declining cost recovery revenues, the ITU ha</w:t>
      </w:r>
      <w:r w:rsidR="00124DE6" w:rsidRPr="0A24E183">
        <w:rPr>
          <w:rFonts w:eastAsia="SimSun" w:cs="Calibri"/>
          <w:lang w:val="en-US" w:eastAsia="zh-CN"/>
        </w:rPr>
        <w:t>s</w:t>
      </w:r>
      <w:r w:rsidR="004920B6" w:rsidRPr="0A24E183">
        <w:rPr>
          <w:rFonts w:eastAsia="SimSun" w:cs="Calibri"/>
          <w:lang w:val="en-US" w:eastAsia="zh-CN"/>
        </w:rPr>
        <w:t xml:space="preserve"> been </w:t>
      </w:r>
      <w:r w:rsidR="00124DE6" w:rsidRPr="0A24E183">
        <w:rPr>
          <w:rFonts w:eastAsia="SimSun" w:cs="Calibri"/>
          <w:lang w:val="en-US" w:eastAsia="zh-CN"/>
        </w:rPr>
        <w:t xml:space="preserve">required to economize by </w:t>
      </w:r>
      <w:r w:rsidR="0000756A" w:rsidRPr="14BBDCD2">
        <w:rPr>
          <w:rFonts w:eastAsia="SimSun" w:cs="Calibri"/>
          <w:lang w:val="en-US" w:eastAsia="zh-CN"/>
        </w:rPr>
        <w:t xml:space="preserve">deprioritizing </w:t>
      </w:r>
      <w:r w:rsidR="00124DE6" w:rsidRPr="0A24E183">
        <w:rPr>
          <w:rFonts w:eastAsia="SimSun" w:cs="Calibri"/>
          <w:lang w:val="en-US" w:eastAsia="zh-CN"/>
        </w:rPr>
        <w:t xml:space="preserve">several important expenses </w:t>
      </w:r>
      <w:r w:rsidR="004920B6" w:rsidRPr="0A24E183">
        <w:rPr>
          <w:rFonts w:eastAsia="SimSun" w:cs="Calibri"/>
          <w:lang w:val="en-US" w:eastAsia="zh-CN"/>
        </w:rPr>
        <w:t xml:space="preserve">in recent years due to inadequate financial resources. The </w:t>
      </w:r>
      <w:r w:rsidR="007025D5" w:rsidRPr="0A24E183">
        <w:rPr>
          <w:rFonts w:eastAsia="SimSun" w:cs="Calibri"/>
          <w:lang w:val="en-US" w:eastAsia="zh-CN"/>
        </w:rPr>
        <w:t xml:space="preserve">secretariat </w:t>
      </w:r>
      <w:r w:rsidR="004920B6" w:rsidRPr="0A24E183">
        <w:rPr>
          <w:rFonts w:eastAsia="SimSun" w:cs="Calibri"/>
          <w:lang w:val="en-US" w:eastAsia="zh-CN"/>
        </w:rPr>
        <w:t>proposed that adequate funding for the Union during the financial period from 2028-2031 could be secured through</w:t>
      </w:r>
      <w:r w:rsidR="00385878" w:rsidRPr="0A24E183">
        <w:rPr>
          <w:rFonts w:eastAsia="SimSun" w:cs="Calibri"/>
          <w:lang w:val="en-US" w:eastAsia="zh-CN"/>
        </w:rPr>
        <w:t xml:space="preserve"> the</w:t>
      </w:r>
      <w:r w:rsidR="004920B6" w:rsidRPr="0A24E183">
        <w:rPr>
          <w:rFonts w:eastAsia="SimSun" w:cs="Calibri"/>
          <w:lang w:val="en-US" w:eastAsia="zh-CN"/>
        </w:rPr>
        <w:t xml:space="preserve"> Council approving an increase in the fees for Satellite Network Filings (SNF) to recover the full costs of the work involved in those efforts, and </w:t>
      </w:r>
      <w:r w:rsidR="00385878" w:rsidRPr="0A24E183">
        <w:rPr>
          <w:rFonts w:eastAsia="SimSun" w:cs="Calibri"/>
          <w:lang w:val="en-US" w:eastAsia="zh-CN"/>
        </w:rPr>
        <w:t>M</w:t>
      </w:r>
      <w:r w:rsidR="004920B6" w:rsidRPr="0A24E183">
        <w:rPr>
          <w:rFonts w:eastAsia="SimSun" w:cs="Calibri"/>
          <w:lang w:val="en-US" w:eastAsia="zh-CN"/>
        </w:rPr>
        <w:t xml:space="preserve">ember </w:t>
      </w:r>
      <w:r w:rsidR="00385878" w:rsidRPr="0A24E183">
        <w:rPr>
          <w:rFonts w:eastAsia="SimSun" w:cs="Calibri"/>
          <w:lang w:val="en-US" w:eastAsia="zh-CN"/>
        </w:rPr>
        <w:t>S</w:t>
      </w:r>
      <w:r w:rsidR="004920B6" w:rsidRPr="0A24E183">
        <w:rPr>
          <w:rFonts w:eastAsia="SimSun" w:cs="Calibri"/>
          <w:lang w:val="en-US" w:eastAsia="zh-CN"/>
        </w:rPr>
        <w:t>tates</w:t>
      </w:r>
      <w:r w:rsidR="00124DE6" w:rsidRPr="0A24E183">
        <w:rPr>
          <w:rFonts w:eastAsia="SimSun" w:cs="Calibri"/>
          <w:lang w:val="en-US" w:eastAsia="zh-CN"/>
        </w:rPr>
        <w:t>’</w:t>
      </w:r>
      <w:r w:rsidR="004920B6" w:rsidRPr="0A24E183">
        <w:rPr>
          <w:rFonts w:eastAsia="SimSun" w:cs="Calibri"/>
          <w:lang w:val="en-US" w:eastAsia="zh-CN"/>
        </w:rPr>
        <w:t xml:space="preserve"> agree</w:t>
      </w:r>
      <w:r w:rsidR="00124DE6" w:rsidRPr="0A24E183">
        <w:rPr>
          <w:rFonts w:eastAsia="SimSun" w:cs="Calibri"/>
          <w:lang w:val="en-US" w:eastAsia="zh-CN"/>
        </w:rPr>
        <w:t>ment</w:t>
      </w:r>
      <w:r w:rsidR="004920B6" w:rsidRPr="0A24E183">
        <w:rPr>
          <w:rFonts w:eastAsia="SimSun" w:cs="Calibri"/>
          <w:lang w:val="en-US" w:eastAsia="zh-CN"/>
        </w:rPr>
        <w:t xml:space="preserve"> to an increase in the CU to cover any remaining funding gap.</w:t>
      </w:r>
      <w:r w:rsidR="00124DE6" w:rsidRPr="0A24E183">
        <w:rPr>
          <w:rFonts w:eastAsia="SimSun" w:cs="Calibri"/>
          <w:lang w:val="en-US" w:eastAsia="zh-CN"/>
        </w:rPr>
        <w:t xml:space="preserve"> </w:t>
      </w:r>
      <w:r w:rsidR="004920B6" w:rsidRPr="0A24E183">
        <w:rPr>
          <w:rFonts w:eastAsia="SimSun" w:cs="Calibri"/>
          <w:lang w:val="en-US" w:eastAsia="zh-CN"/>
        </w:rPr>
        <w:t xml:space="preserve">This proposal was not met with approval by </w:t>
      </w:r>
      <w:r w:rsidR="00385878" w:rsidRPr="0A24E183">
        <w:rPr>
          <w:rFonts w:eastAsia="SimSun" w:cs="Calibri"/>
          <w:lang w:val="en-US" w:eastAsia="zh-CN"/>
        </w:rPr>
        <w:t>M</w:t>
      </w:r>
      <w:r w:rsidR="004920B6" w:rsidRPr="0A24E183">
        <w:rPr>
          <w:rFonts w:eastAsia="SimSun" w:cs="Calibri"/>
          <w:lang w:val="en-US" w:eastAsia="zh-CN"/>
        </w:rPr>
        <w:t xml:space="preserve">ember </w:t>
      </w:r>
      <w:r w:rsidR="00385878" w:rsidRPr="0A24E183">
        <w:rPr>
          <w:rFonts w:eastAsia="SimSun" w:cs="Calibri"/>
          <w:lang w:val="en-US" w:eastAsia="zh-CN"/>
        </w:rPr>
        <w:t>S</w:t>
      </w:r>
      <w:r w:rsidR="004920B6" w:rsidRPr="0A24E183">
        <w:rPr>
          <w:rFonts w:eastAsia="SimSun" w:cs="Calibri"/>
          <w:lang w:val="en-US" w:eastAsia="zh-CN"/>
        </w:rPr>
        <w:t xml:space="preserve">tates, particularly in relation to the </w:t>
      </w:r>
      <w:r w:rsidR="0071370A" w:rsidRPr="14BBDCD2">
        <w:rPr>
          <w:rFonts w:eastAsia="SimSun" w:cs="Calibri"/>
          <w:lang w:val="en-US" w:eastAsia="zh-CN"/>
        </w:rPr>
        <w:t>c</w:t>
      </w:r>
      <w:r w:rsidR="004920B6" w:rsidRPr="0A24E183">
        <w:rPr>
          <w:rFonts w:eastAsia="SimSun" w:cs="Calibri"/>
          <w:lang w:val="en-US" w:eastAsia="zh-CN"/>
        </w:rPr>
        <w:t xml:space="preserve">ontributory </w:t>
      </w:r>
      <w:r w:rsidR="0071370A" w:rsidRPr="14BBDCD2">
        <w:rPr>
          <w:rFonts w:eastAsia="SimSun" w:cs="Calibri"/>
          <w:lang w:val="en-US" w:eastAsia="zh-CN"/>
        </w:rPr>
        <w:t>u</w:t>
      </w:r>
      <w:r w:rsidR="004920B6" w:rsidRPr="0A24E183">
        <w:rPr>
          <w:rFonts w:eastAsia="SimSun" w:cs="Calibri"/>
          <w:lang w:val="en-US" w:eastAsia="zh-CN"/>
        </w:rPr>
        <w:t xml:space="preserve">nit </w:t>
      </w:r>
      <w:r w:rsidR="0093767F" w:rsidRPr="0A24E183">
        <w:rPr>
          <w:rFonts w:eastAsia="SimSun" w:cs="Calibri"/>
          <w:lang w:val="en-US" w:eastAsia="zh-CN"/>
        </w:rPr>
        <w:t>i</w:t>
      </w:r>
      <w:r w:rsidR="004920B6" w:rsidRPr="0A24E183">
        <w:rPr>
          <w:rFonts w:eastAsia="SimSun" w:cs="Calibri"/>
          <w:lang w:val="en-US" w:eastAsia="zh-CN"/>
        </w:rPr>
        <w:t xml:space="preserve">ncrease, with members of the CWG noting the following </w:t>
      </w:r>
      <w:r w:rsidR="64F9F157" w:rsidRPr="14BBDCD2">
        <w:rPr>
          <w:rFonts w:eastAsia="SimSun" w:cs="Calibri"/>
          <w:lang w:val="en-US" w:eastAsia="zh-CN"/>
        </w:rPr>
        <w:t>considerations</w:t>
      </w:r>
      <w:r w:rsidR="004920B6" w:rsidRPr="0A24E183">
        <w:rPr>
          <w:rFonts w:eastAsia="SimSun" w:cs="Calibri"/>
          <w:lang w:val="en-US" w:eastAsia="zh-CN"/>
        </w:rPr>
        <w:t>:</w:t>
      </w:r>
    </w:p>
    <w:p w14:paraId="3ECAC317" w14:textId="57CC0A42" w:rsidR="00124DE6" w:rsidRPr="00173B72" w:rsidRDefault="007025D5" w:rsidP="007025D5">
      <w:pPr>
        <w:pStyle w:val="enumlev1"/>
        <w:jc w:val="both"/>
        <w:rPr>
          <w:rFonts w:eastAsia="SimSun"/>
          <w:lang w:val="en-US" w:eastAsia="zh-CN"/>
        </w:rPr>
      </w:pPr>
      <w:r>
        <w:rPr>
          <w:rFonts w:eastAsia="SimSun"/>
          <w:lang w:val="en-US" w:eastAsia="zh-CN"/>
        </w:rPr>
        <w:t>–</w:t>
      </w:r>
      <w:r>
        <w:rPr>
          <w:rFonts w:eastAsia="SimSun"/>
          <w:lang w:val="en-US" w:eastAsia="zh-CN"/>
        </w:rPr>
        <w:tab/>
      </w:r>
      <w:r w:rsidR="00B76D23" w:rsidRPr="00173B72">
        <w:rPr>
          <w:rFonts w:eastAsia="SimSun"/>
          <w:lang w:val="en-US" w:eastAsia="zh-CN"/>
        </w:rPr>
        <w:t xml:space="preserve">Requirement for additional </w:t>
      </w:r>
      <w:r w:rsidR="00124DE6" w:rsidRPr="00173B72">
        <w:rPr>
          <w:rFonts w:eastAsia="SimSun"/>
          <w:lang w:val="en-US" w:eastAsia="zh-CN"/>
        </w:rPr>
        <w:t>adequate</w:t>
      </w:r>
      <w:r>
        <w:rPr>
          <w:rFonts w:eastAsia="SimSun"/>
          <w:lang w:val="en-US" w:eastAsia="zh-CN"/>
        </w:rPr>
        <w:t>,</w:t>
      </w:r>
      <w:r w:rsidR="00124DE6" w:rsidRPr="00173B72">
        <w:rPr>
          <w:rFonts w:eastAsia="SimSun"/>
          <w:lang w:val="en-US" w:eastAsia="zh-CN"/>
        </w:rPr>
        <w:t xml:space="preserve"> detailed information in the proposals presented regarding the ITU’s use of its financial resources</w:t>
      </w:r>
      <w:r w:rsidR="00B76D23" w:rsidRPr="00173B72">
        <w:rPr>
          <w:rFonts w:eastAsia="SimSun"/>
          <w:lang w:val="en-US" w:eastAsia="zh-CN"/>
        </w:rPr>
        <w:t>.</w:t>
      </w:r>
    </w:p>
    <w:p w14:paraId="3BA54634" w14:textId="4BD68BC1" w:rsidR="00124DE6" w:rsidRPr="00173B72" w:rsidRDefault="007025D5" w:rsidP="007025D5">
      <w:pPr>
        <w:pStyle w:val="enumlev1"/>
        <w:jc w:val="both"/>
        <w:rPr>
          <w:rFonts w:eastAsia="SimSun"/>
          <w:lang w:val="en-US" w:eastAsia="zh-CN"/>
        </w:rPr>
      </w:pPr>
      <w:r>
        <w:rPr>
          <w:rFonts w:eastAsia="SimSun"/>
          <w:lang w:val="en-US" w:eastAsia="zh-CN"/>
        </w:rPr>
        <w:t>–</w:t>
      </w:r>
      <w:r>
        <w:rPr>
          <w:rFonts w:eastAsia="SimSun"/>
          <w:lang w:val="en-US" w:eastAsia="zh-CN"/>
        </w:rPr>
        <w:tab/>
      </w:r>
      <w:r w:rsidR="00B76D23" w:rsidRPr="00173B72">
        <w:rPr>
          <w:rFonts w:eastAsia="SimSun"/>
          <w:lang w:val="en-US" w:eastAsia="zh-CN"/>
        </w:rPr>
        <w:t>The n</w:t>
      </w:r>
      <w:r w:rsidR="00124DE6" w:rsidRPr="00173B72">
        <w:rPr>
          <w:rFonts w:eastAsia="SimSun"/>
          <w:lang w:val="en-US" w:eastAsia="zh-CN"/>
        </w:rPr>
        <w:t xml:space="preserve">eed for </w:t>
      </w:r>
      <w:r w:rsidR="00B76D23" w:rsidRPr="00173B72">
        <w:rPr>
          <w:rFonts w:eastAsia="SimSun"/>
          <w:lang w:val="en-US" w:eastAsia="zh-CN"/>
        </w:rPr>
        <w:t xml:space="preserve">the </w:t>
      </w:r>
      <w:r w:rsidR="00385878">
        <w:rPr>
          <w:rFonts w:eastAsia="SimSun"/>
          <w:lang w:val="en-US" w:eastAsia="zh-CN"/>
        </w:rPr>
        <w:t>s</w:t>
      </w:r>
      <w:r w:rsidR="00B76D23" w:rsidRPr="00173B72">
        <w:rPr>
          <w:rFonts w:eastAsia="SimSun"/>
          <w:lang w:val="en-US" w:eastAsia="zh-CN"/>
        </w:rPr>
        <w:t xml:space="preserve">ecretariat to implement </w:t>
      </w:r>
      <w:r w:rsidR="00124DE6" w:rsidRPr="00173B72">
        <w:rPr>
          <w:rFonts w:eastAsia="SimSun"/>
          <w:lang w:val="en-US" w:eastAsia="zh-CN"/>
        </w:rPr>
        <w:t>additional efficiencies in IT</w:t>
      </w:r>
      <w:r w:rsidR="00B76D23" w:rsidRPr="00173B72">
        <w:rPr>
          <w:rFonts w:eastAsia="SimSun"/>
          <w:lang w:val="en-US" w:eastAsia="zh-CN"/>
        </w:rPr>
        <w:t>U’s operations.</w:t>
      </w:r>
    </w:p>
    <w:p w14:paraId="64401F10" w14:textId="3746C426" w:rsidR="00124DE6" w:rsidRPr="00173B72" w:rsidRDefault="007025D5" w:rsidP="007025D5">
      <w:pPr>
        <w:pStyle w:val="enumlev1"/>
        <w:jc w:val="both"/>
        <w:rPr>
          <w:rFonts w:eastAsia="SimSun"/>
          <w:lang w:val="en-US" w:eastAsia="zh-CN"/>
        </w:rPr>
      </w:pPr>
      <w:r>
        <w:rPr>
          <w:rFonts w:eastAsia="SimSun"/>
          <w:lang w:val="en-US" w:eastAsia="zh-CN"/>
        </w:rPr>
        <w:t>–</w:t>
      </w:r>
      <w:r>
        <w:rPr>
          <w:rFonts w:eastAsia="SimSun"/>
          <w:lang w:val="en-US" w:eastAsia="zh-CN"/>
        </w:rPr>
        <w:tab/>
      </w:r>
      <w:r w:rsidR="00124DE6" w:rsidRPr="00173B72">
        <w:rPr>
          <w:rFonts w:eastAsia="SimSun"/>
          <w:lang w:val="en-US" w:eastAsia="zh-CN"/>
        </w:rPr>
        <w:t>Need for improved focus by ITU on key activities</w:t>
      </w:r>
      <w:r w:rsidR="00B76D23" w:rsidRPr="00173B72">
        <w:rPr>
          <w:rFonts w:eastAsia="SimSun"/>
          <w:lang w:val="en-US" w:eastAsia="zh-CN"/>
        </w:rPr>
        <w:t>.</w:t>
      </w:r>
    </w:p>
    <w:p w14:paraId="6C794719" w14:textId="2700D9B3" w:rsidR="00B76D23" w:rsidRPr="00173B72" w:rsidRDefault="007025D5" w:rsidP="007025D5">
      <w:pPr>
        <w:pStyle w:val="enumlev1"/>
        <w:jc w:val="both"/>
        <w:rPr>
          <w:rFonts w:eastAsia="SimSun"/>
          <w:lang w:val="en-US" w:eastAsia="zh-CN"/>
        </w:rPr>
      </w:pPr>
      <w:r w:rsidRPr="0A24E183">
        <w:rPr>
          <w:rFonts w:eastAsia="SimSun"/>
          <w:lang w:val="en-US" w:eastAsia="zh-CN"/>
        </w:rPr>
        <w:t>–</w:t>
      </w:r>
      <w:r>
        <w:tab/>
      </w:r>
      <w:r w:rsidR="04A38CAE" w:rsidRPr="0A24E183">
        <w:rPr>
          <w:rFonts w:eastAsia="SimSun"/>
          <w:lang w:val="en-US" w:eastAsia="zh-CN"/>
        </w:rPr>
        <w:t>The</w:t>
      </w:r>
      <w:r w:rsidR="5E1EA212" w:rsidRPr="0A24E183">
        <w:rPr>
          <w:rFonts w:eastAsia="SimSun"/>
          <w:lang w:val="en-US" w:eastAsia="zh-CN"/>
        </w:rPr>
        <w:t xml:space="preserve"> need for additional</w:t>
      </w:r>
      <w:r w:rsidR="00B76D23" w:rsidRPr="0A24E183">
        <w:rPr>
          <w:rFonts w:eastAsia="SimSun"/>
          <w:lang w:val="en-US" w:eastAsia="zh-CN"/>
        </w:rPr>
        <w:t xml:space="preserve"> resource mobilization toward achieving ITU’s mandate.</w:t>
      </w:r>
    </w:p>
    <w:p w14:paraId="117566BB" w14:textId="3AE901B7" w:rsidR="00124DE6" w:rsidRPr="00173B72" w:rsidRDefault="007025D5" w:rsidP="007025D5">
      <w:pPr>
        <w:pStyle w:val="enumlev1"/>
        <w:jc w:val="both"/>
        <w:rPr>
          <w:rFonts w:eastAsia="SimSun"/>
          <w:lang w:val="en-US" w:eastAsia="zh-CN"/>
        </w:rPr>
      </w:pPr>
      <w:r>
        <w:rPr>
          <w:rFonts w:eastAsia="SimSun"/>
          <w:lang w:val="en-US" w:eastAsia="zh-CN"/>
        </w:rPr>
        <w:t>–</w:t>
      </w:r>
      <w:r>
        <w:rPr>
          <w:rFonts w:eastAsia="SimSun"/>
          <w:lang w:val="en-US" w:eastAsia="zh-CN"/>
        </w:rPr>
        <w:tab/>
      </w:r>
      <w:r w:rsidR="00124DE6" w:rsidRPr="00173B72">
        <w:rPr>
          <w:rFonts w:eastAsia="SimSun"/>
          <w:lang w:val="en-US" w:eastAsia="zh-CN"/>
        </w:rPr>
        <w:t xml:space="preserve">Challenges related to the current global </w:t>
      </w:r>
      <w:r w:rsidR="00B76D23" w:rsidRPr="00173B72">
        <w:rPr>
          <w:rFonts w:eastAsia="SimSun"/>
          <w:lang w:val="en-US" w:eastAsia="zh-CN"/>
        </w:rPr>
        <w:t xml:space="preserve">financial </w:t>
      </w:r>
      <w:r w:rsidR="00124DE6" w:rsidRPr="00173B72">
        <w:rPr>
          <w:rFonts w:eastAsia="SimSun"/>
          <w:lang w:val="en-US" w:eastAsia="zh-CN"/>
        </w:rPr>
        <w:t>environment</w:t>
      </w:r>
      <w:r w:rsidR="00B76D23" w:rsidRPr="00173B72">
        <w:rPr>
          <w:rFonts w:eastAsia="SimSun"/>
          <w:lang w:val="en-US" w:eastAsia="zh-CN"/>
        </w:rPr>
        <w:t>.</w:t>
      </w:r>
    </w:p>
    <w:p w14:paraId="2C34444B" w14:textId="15F61CF6" w:rsidR="00082E90" w:rsidRPr="008C7808" w:rsidRDefault="7D26D7BE" w:rsidP="008C67EF">
      <w:pPr>
        <w:spacing w:line="259" w:lineRule="auto"/>
        <w:jc w:val="both"/>
        <w:rPr>
          <w:rFonts w:eastAsia="SimSun" w:cs="Calibri"/>
          <w:lang w:val="en-US" w:eastAsia="zh-CN"/>
        </w:rPr>
      </w:pPr>
      <w:r w:rsidRPr="39921D21">
        <w:rPr>
          <w:rFonts w:eastAsia="SimSun"/>
          <w:lang w:val="en-US" w:eastAsia="zh-CN"/>
        </w:rPr>
        <w:t>5</w:t>
      </w:r>
      <w:r w:rsidR="007025D5">
        <w:tab/>
      </w:r>
      <w:r w:rsidR="3C0629BE" w:rsidRPr="39921D21">
        <w:rPr>
          <w:rFonts w:eastAsia="SimSun"/>
          <w:lang w:val="en-US" w:eastAsia="zh-CN"/>
        </w:rPr>
        <w:t xml:space="preserve">While the </w:t>
      </w:r>
      <w:r w:rsidR="66857B19" w:rsidRPr="39921D21">
        <w:rPr>
          <w:rFonts w:eastAsia="SimSun"/>
          <w:lang w:val="en-US" w:eastAsia="zh-CN"/>
        </w:rPr>
        <w:t>s</w:t>
      </w:r>
      <w:r w:rsidR="3C0629BE" w:rsidRPr="39921D21">
        <w:rPr>
          <w:rFonts w:eastAsia="SimSun"/>
          <w:lang w:val="en-US" w:eastAsia="zh-CN"/>
        </w:rPr>
        <w:t>ecretariat considers that an increase in the CU remains appropriate having regard to ITU’s financial situation, the Secretary</w:t>
      </w:r>
      <w:r w:rsidR="053DD8A1" w:rsidRPr="39921D21">
        <w:rPr>
          <w:rFonts w:eastAsia="SimSun"/>
          <w:lang w:val="en-US" w:eastAsia="zh-CN"/>
        </w:rPr>
        <w:t>-</w:t>
      </w:r>
      <w:r w:rsidR="3C0629BE" w:rsidRPr="39921D21">
        <w:rPr>
          <w:rFonts w:eastAsia="SimSun"/>
          <w:lang w:val="en-US" w:eastAsia="zh-CN"/>
        </w:rPr>
        <w:t xml:space="preserve">General has taken note of the comments and concerns raised by delegates to CWG-SFP. </w:t>
      </w:r>
      <w:r w:rsidR="25974EBC" w:rsidRPr="39921D21">
        <w:rPr>
          <w:rFonts w:eastAsia="SimSun"/>
          <w:lang w:val="en-US" w:eastAsia="zh-CN"/>
        </w:rPr>
        <w:t>I</w:t>
      </w:r>
      <w:r w:rsidR="3C0629BE" w:rsidRPr="39921D21">
        <w:rPr>
          <w:rFonts w:eastAsia="SimSun"/>
          <w:lang w:val="en-US" w:eastAsia="zh-CN"/>
        </w:rPr>
        <w:t>n recognition of those concerns</w:t>
      </w:r>
      <w:r w:rsidR="7E76A682" w:rsidRPr="39921D21">
        <w:rPr>
          <w:rFonts w:eastAsia="SimSun"/>
          <w:lang w:val="en-US" w:eastAsia="zh-CN"/>
        </w:rPr>
        <w:t xml:space="preserve">, the current economic environment impacting </w:t>
      </w:r>
      <w:r w:rsidR="7AB2B719" w:rsidRPr="39921D21">
        <w:rPr>
          <w:rFonts w:eastAsia="SimSun"/>
          <w:lang w:val="en-US" w:eastAsia="zh-CN"/>
        </w:rPr>
        <w:t>M</w:t>
      </w:r>
      <w:r w:rsidR="7E76A682" w:rsidRPr="39921D21">
        <w:rPr>
          <w:rFonts w:eastAsia="SimSun"/>
          <w:lang w:val="en-US" w:eastAsia="zh-CN"/>
        </w:rPr>
        <w:t xml:space="preserve">ember </w:t>
      </w:r>
      <w:r w:rsidR="7AB2B719" w:rsidRPr="39921D21">
        <w:rPr>
          <w:rFonts w:eastAsia="SimSun"/>
          <w:lang w:val="en-US" w:eastAsia="zh-CN"/>
        </w:rPr>
        <w:t>S</w:t>
      </w:r>
      <w:r w:rsidR="7E76A682" w:rsidRPr="39921D21">
        <w:rPr>
          <w:rFonts w:eastAsia="SimSun"/>
          <w:lang w:val="en-US" w:eastAsia="zh-CN"/>
        </w:rPr>
        <w:t>tates and the multilateral system</w:t>
      </w:r>
      <w:r w:rsidR="3C0629BE" w:rsidRPr="39921D21">
        <w:rPr>
          <w:rFonts w:eastAsia="SimSun"/>
          <w:lang w:val="en-US" w:eastAsia="zh-CN"/>
        </w:rPr>
        <w:t xml:space="preserve">, </w:t>
      </w:r>
      <w:r w:rsidR="6E7C7918" w:rsidRPr="39921D21">
        <w:rPr>
          <w:rFonts w:eastAsia="SimSun"/>
          <w:lang w:val="en-US" w:eastAsia="zh-CN"/>
        </w:rPr>
        <w:t>as well as</w:t>
      </w:r>
      <w:r w:rsidR="3C0629BE" w:rsidRPr="39921D21">
        <w:rPr>
          <w:rFonts w:eastAsia="SimSun"/>
          <w:lang w:val="en-US" w:eastAsia="zh-CN"/>
        </w:rPr>
        <w:t xml:space="preserve"> the </w:t>
      </w:r>
      <w:r w:rsidR="473B6803" w:rsidRPr="39921D21">
        <w:rPr>
          <w:rFonts w:eastAsia="SimSun"/>
          <w:lang w:val="en-US" w:eastAsia="zh-CN"/>
        </w:rPr>
        <w:t xml:space="preserve">resulting </w:t>
      </w:r>
      <w:r w:rsidR="3C0629BE" w:rsidRPr="39921D21">
        <w:rPr>
          <w:rFonts w:eastAsia="SimSun"/>
          <w:lang w:val="en-US" w:eastAsia="zh-CN"/>
        </w:rPr>
        <w:t xml:space="preserve">lack of support for an increase </w:t>
      </w:r>
      <w:r w:rsidR="142E5743" w:rsidRPr="39921D21">
        <w:rPr>
          <w:rFonts w:eastAsia="SimSun"/>
          <w:lang w:val="en-US" w:eastAsia="zh-CN"/>
        </w:rPr>
        <w:t>in</w:t>
      </w:r>
      <w:r w:rsidR="3C0629BE" w:rsidRPr="39921D21">
        <w:rPr>
          <w:rFonts w:eastAsia="SimSun"/>
          <w:lang w:val="en-US" w:eastAsia="zh-CN"/>
        </w:rPr>
        <w:t xml:space="preserve"> the CU at this time, </w:t>
      </w:r>
      <w:r w:rsidR="25974EBC" w:rsidRPr="39921D21">
        <w:rPr>
          <w:rFonts w:eastAsia="SimSun"/>
          <w:lang w:val="en-US" w:eastAsia="zh-CN"/>
        </w:rPr>
        <w:t>the Secretary-General propose</w:t>
      </w:r>
      <w:r w:rsidR="51621158" w:rsidRPr="39921D21">
        <w:rPr>
          <w:rFonts w:eastAsia="SimSun"/>
          <w:lang w:val="en-US" w:eastAsia="zh-CN"/>
        </w:rPr>
        <w:t>s</w:t>
      </w:r>
      <w:r w:rsidR="25974EBC" w:rsidRPr="39921D21">
        <w:rPr>
          <w:rFonts w:eastAsia="SimSun"/>
          <w:lang w:val="en-US" w:eastAsia="zh-CN"/>
        </w:rPr>
        <w:t xml:space="preserve"> that the contributory unit be maintained at the current level of CHF 318</w:t>
      </w:r>
      <w:r w:rsidRPr="39921D21">
        <w:rPr>
          <w:rFonts w:eastAsia="SimSun"/>
          <w:lang w:val="en-US" w:eastAsia="zh-CN"/>
        </w:rPr>
        <w:t> </w:t>
      </w:r>
      <w:r w:rsidR="25974EBC" w:rsidRPr="39921D21">
        <w:rPr>
          <w:rFonts w:eastAsia="SimSun"/>
          <w:lang w:val="en-US" w:eastAsia="zh-CN"/>
        </w:rPr>
        <w:t xml:space="preserve">000. </w:t>
      </w:r>
      <w:r w:rsidR="2FA00CED" w:rsidRPr="39921D21">
        <w:rPr>
          <w:rFonts w:eastAsia="SimSun"/>
          <w:lang w:val="en-US" w:eastAsia="zh-CN"/>
        </w:rPr>
        <w:t>T</w:t>
      </w:r>
      <w:r w:rsidR="25974EBC" w:rsidRPr="39921D21">
        <w:rPr>
          <w:rFonts w:eastAsia="SimSun"/>
          <w:lang w:val="en-US" w:eastAsia="zh-CN"/>
        </w:rPr>
        <w:t xml:space="preserve">his will </w:t>
      </w:r>
      <w:r w:rsidR="142E5743" w:rsidRPr="39921D21">
        <w:rPr>
          <w:rFonts w:eastAsia="SimSun"/>
          <w:lang w:val="en-US" w:eastAsia="zh-CN"/>
        </w:rPr>
        <w:t xml:space="preserve">provide </w:t>
      </w:r>
      <w:r w:rsidR="25974EBC" w:rsidRPr="39921D21">
        <w:rPr>
          <w:rFonts w:eastAsia="SimSun"/>
          <w:lang w:val="en-US" w:eastAsia="zh-CN"/>
        </w:rPr>
        <w:lastRenderedPageBreak/>
        <w:t xml:space="preserve">a </w:t>
      </w:r>
      <w:r w:rsidR="142E5743" w:rsidRPr="39921D21">
        <w:rPr>
          <w:rFonts w:eastAsia="SimSun"/>
          <w:lang w:val="en-US" w:eastAsia="zh-CN"/>
        </w:rPr>
        <w:t xml:space="preserve">clear </w:t>
      </w:r>
      <w:r w:rsidR="25974EBC" w:rsidRPr="39921D21">
        <w:rPr>
          <w:rFonts w:eastAsia="SimSun"/>
          <w:lang w:val="en-US" w:eastAsia="zh-CN"/>
        </w:rPr>
        <w:t>basis for discussi</w:t>
      </w:r>
      <w:r w:rsidR="142E5743" w:rsidRPr="39921D21">
        <w:rPr>
          <w:rFonts w:eastAsia="SimSun"/>
          <w:lang w:val="en-US" w:eastAsia="zh-CN"/>
        </w:rPr>
        <w:t>ons of the Strategic and</w:t>
      </w:r>
      <w:r w:rsidR="25974EBC" w:rsidRPr="39921D21">
        <w:rPr>
          <w:rFonts w:eastAsia="SimSun"/>
          <w:lang w:val="en-US" w:eastAsia="zh-CN"/>
        </w:rPr>
        <w:t xml:space="preserve"> Financial Plan </w:t>
      </w:r>
      <w:r w:rsidR="142E5743" w:rsidRPr="39921D21">
        <w:rPr>
          <w:rFonts w:eastAsia="SimSun"/>
          <w:lang w:val="en-US" w:eastAsia="zh-CN"/>
        </w:rPr>
        <w:t xml:space="preserve">for 2028-2031 </w:t>
      </w:r>
      <w:r w:rsidR="25974EBC" w:rsidRPr="39921D21">
        <w:rPr>
          <w:rFonts w:eastAsia="SimSun"/>
          <w:lang w:val="en-US" w:eastAsia="zh-CN"/>
        </w:rPr>
        <w:t xml:space="preserve">for all Member States and </w:t>
      </w:r>
      <w:r w:rsidR="142E5743" w:rsidRPr="39921D21">
        <w:rPr>
          <w:rFonts w:eastAsia="SimSun"/>
          <w:lang w:val="en-US" w:eastAsia="zh-CN"/>
        </w:rPr>
        <w:t xml:space="preserve">will </w:t>
      </w:r>
      <w:r w:rsidR="25974EBC" w:rsidRPr="39921D21">
        <w:rPr>
          <w:rFonts w:eastAsia="SimSun"/>
          <w:lang w:val="en-US" w:eastAsia="zh-CN"/>
        </w:rPr>
        <w:t>allow for adequate preparation before t</w:t>
      </w:r>
      <w:r w:rsidR="25974EBC" w:rsidRPr="39921D21">
        <w:rPr>
          <w:rFonts w:eastAsia="SimSun" w:cs="Calibri"/>
          <w:lang w:val="en-US" w:eastAsia="zh-CN"/>
        </w:rPr>
        <w:t xml:space="preserve">he 2026 Plenipotentiary Conference. </w:t>
      </w:r>
      <w:r w:rsidR="142E5743" w:rsidRPr="39921D21">
        <w:rPr>
          <w:rFonts w:eastAsia="SimSun" w:cs="Calibri"/>
          <w:lang w:val="en-US" w:eastAsia="zh-CN"/>
        </w:rPr>
        <w:t>It is noted that in the absence of an increase in the CU, the financial envelope for the Union’s Strategic Plan will be based on declining revenues and increasing costs.</w:t>
      </w:r>
      <w:r w:rsidR="47D00DB3" w:rsidRPr="39921D21">
        <w:rPr>
          <w:rFonts w:eastAsia="SimSun" w:cs="Calibri"/>
          <w:lang w:val="en-US" w:eastAsia="zh-CN"/>
        </w:rPr>
        <w:t xml:space="preserve"> At the CWG-SF</w:t>
      </w:r>
      <w:r w:rsidR="7AB2B719" w:rsidRPr="39921D21">
        <w:rPr>
          <w:rFonts w:eastAsia="SimSun" w:cs="Calibri"/>
          <w:lang w:val="en-US" w:eastAsia="zh-CN"/>
        </w:rPr>
        <w:t>P</w:t>
      </w:r>
      <w:r w:rsidR="47D00DB3" w:rsidRPr="39921D21">
        <w:rPr>
          <w:rFonts w:eastAsia="SimSun" w:cs="Calibri"/>
          <w:lang w:val="en-US" w:eastAsia="zh-CN"/>
        </w:rPr>
        <w:t xml:space="preserve"> meetings in February</w:t>
      </w:r>
      <w:r w:rsidR="7AB2B719" w:rsidRPr="39921D21">
        <w:rPr>
          <w:rFonts w:eastAsia="SimSun" w:cs="Calibri"/>
          <w:lang w:val="en-US" w:eastAsia="zh-CN"/>
        </w:rPr>
        <w:t>,</w:t>
      </w:r>
      <w:r w:rsidR="47D00DB3" w:rsidRPr="39921D21">
        <w:rPr>
          <w:rFonts w:eastAsia="SimSun" w:cs="Calibri"/>
          <w:lang w:val="en-US" w:eastAsia="zh-CN"/>
        </w:rPr>
        <w:t xml:space="preserve"> delegates discussed that a clear methodology should be developed which would </w:t>
      </w:r>
      <w:r w:rsidR="25DF6680" w:rsidRPr="39921D21">
        <w:rPr>
          <w:rFonts w:eastAsia="SimSun" w:cs="Calibri"/>
          <w:lang w:val="en-US" w:eastAsia="zh-CN"/>
        </w:rPr>
        <w:t xml:space="preserve">provide an approach for future considerations of changes to the CU. The </w:t>
      </w:r>
      <w:r w:rsidR="0D276DD9" w:rsidRPr="39921D21">
        <w:rPr>
          <w:rFonts w:eastAsia="SimSun" w:cs="Calibri"/>
          <w:lang w:val="en-US" w:eastAsia="zh-CN"/>
        </w:rPr>
        <w:t>s</w:t>
      </w:r>
      <w:r w:rsidR="25DF6680" w:rsidRPr="39921D21">
        <w:rPr>
          <w:rFonts w:eastAsia="SimSun" w:cs="Calibri"/>
          <w:lang w:val="en-US" w:eastAsia="zh-CN"/>
        </w:rPr>
        <w:t>ecreta</w:t>
      </w:r>
      <w:r w:rsidR="031087A8" w:rsidRPr="39921D21">
        <w:rPr>
          <w:rFonts w:eastAsia="SimSun" w:cs="Calibri"/>
          <w:lang w:val="en-US" w:eastAsia="zh-CN"/>
        </w:rPr>
        <w:t>ri</w:t>
      </w:r>
      <w:r w:rsidR="25DF6680" w:rsidRPr="39921D21">
        <w:rPr>
          <w:rFonts w:eastAsia="SimSun" w:cs="Calibri"/>
          <w:lang w:val="en-US" w:eastAsia="zh-CN"/>
        </w:rPr>
        <w:t>at considers that this would be a valuable exercise as it wou</w:t>
      </w:r>
      <w:r w:rsidR="727E941A" w:rsidRPr="39921D21">
        <w:rPr>
          <w:rFonts w:eastAsia="SimSun" w:cs="Calibri"/>
          <w:lang w:val="en-US" w:eastAsia="zh-CN"/>
        </w:rPr>
        <w:t xml:space="preserve">ld bring </w:t>
      </w:r>
      <w:r w:rsidR="305B9B47" w:rsidRPr="39921D21">
        <w:rPr>
          <w:rFonts w:eastAsia="SimSun" w:cs="Calibri"/>
          <w:lang w:val="en-US" w:eastAsia="zh-CN"/>
        </w:rPr>
        <w:t xml:space="preserve">enhanced </w:t>
      </w:r>
      <w:r w:rsidR="7EBA5824" w:rsidRPr="39921D21">
        <w:rPr>
          <w:rFonts w:eastAsia="SimSun" w:cs="Calibri"/>
          <w:lang w:val="en-US" w:eastAsia="zh-CN"/>
        </w:rPr>
        <w:t>stability to ITU's planning and budgeting processes.</w:t>
      </w:r>
    </w:p>
    <w:p w14:paraId="6C2CCC35" w14:textId="6BF3D7FD" w:rsidR="00082E90" w:rsidRPr="00EA737F" w:rsidRDefault="007025D5" w:rsidP="007025D5">
      <w:pPr>
        <w:jc w:val="both"/>
        <w:rPr>
          <w:color w:val="212121"/>
          <w:szCs w:val="24"/>
        </w:rPr>
      </w:pPr>
      <w:r>
        <w:rPr>
          <w:rFonts w:eastAsia="SimSun" w:cs="Calibri"/>
          <w:bCs/>
          <w:szCs w:val="24"/>
        </w:rPr>
        <w:t>6</w:t>
      </w:r>
      <w:r w:rsidR="00082E90" w:rsidRPr="00EA737F">
        <w:rPr>
          <w:rFonts w:eastAsia="SimSun" w:cs="Calibri"/>
          <w:bCs/>
          <w:szCs w:val="24"/>
        </w:rPr>
        <w:tab/>
      </w:r>
      <w:r w:rsidR="00082E90" w:rsidRPr="00EA737F">
        <w:rPr>
          <w:color w:val="212121"/>
          <w:szCs w:val="24"/>
          <w:lang w:val="en"/>
        </w:rPr>
        <w:t xml:space="preserve">Once the Council has approved the </w:t>
      </w:r>
      <w:r w:rsidR="00082E90">
        <w:rPr>
          <w:color w:val="212121"/>
          <w:szCs w:val="24"/>
          <w:lang w:val="en"/>
        </w:rPr>
        <w:t xml:space="preserve">preliminary </w:t>
      </w:r>
      <w:r w:rsidR="00082E90" w:rsidRPr="00EA737F">
        <w:rPr>
          <w:color w:val="212121"/>
          <w:szCs w:val="24"/>
          <w:lang w:val="en"/>
        </w:rPr>
        <w:t xml:space="preserve">amount of the </w:t>
      </w:r>
      <w:r w:rsidR="00082E90">
        <w:rPr>
          <w:color w:val="212121"/>
          <w:szCs w:val="24"/>
          <w:lang w:val="en"/>
        </w:rPr>
        <w:t>c</w:t>
      </w:r>
      <w:r w:rsidR="00082E90" w:rsidRPr="00EA737F">
        <w:rPr>
          <w:color w:val="212121"/>
          <w:szCs w:val="24"/>
          <w:lang w:val="en"/>
        </w:rPr>
        <w:t xml:space="preserve">ontributory </w:t>
      </w:r>
      <w:r w:rsidR="00082E90">
        <w:rPr>
          <w:color w:val="212121"/>
          <w:szCs w:val="24"/>
          <w:lang w:val="en"/>
        </w:rPr>
        <w:t>u</w:t>
      </w:r>
      <w:r w:rsidR="00082E90" w:rsidRPr="00EA737F">
        <w:rPr>
          <w:color w:val="212121"/>
          <w:szCs w:val="24"/>
          <w:lang w:val="en"/>
        </w:rPr>
        <w:t xml:space="preserve">nit, the Secretary-General will send </w:t>
      </w:r>
      <w:r w:rsidR="00082E90">
        <w:rPr>
          <w:color w:val="212121"/>
          <w:szCs w:val="24"/>
          <w:lang w:val="en"/>
        </w:rPr>
        <w:t xml:space="preserve">a letter </w:t>
      </w:r>
      <w:r w:rsidR="00082E90" w:rsidRPr="00EA737F">
        <w:rPr>
          <w:color w:val="212121"/>
          <w:szCs w:val="24"/>
          <w:lang w:val="en"/>
        </w:rPr>
        <w:t xml:space="preserve">to all Member States inviting them to announce their provisional choice of </w:t>
      </w:r>
      <w:r w:rsidR="00082E90">
        <w:rPr>
          <w:color w:val="212121"/>
          <w:szCs w:val="24"/>
          <w:lang w:val="en"/>
        </w:rPr>
        <w:t xml:space="preserve">class of </w:t>
      </w:r>
      <w:r w:rsidR="00082E90" w:rsidRPr="00EA737F">
        <w:rPr>
          <w:color w:val="212121"/>
          <w:szCs w:val="24"/>
          <w:lang w:val="en"/>
        </w:rPr>
        <w:t xml:space="preserve">contribution </w:t>
      </w:r>
      <w:r w:rsidR="00082E90">
        <w:rPr>
          <w:color w:val="212121"/>
          <w:szCs w:val="24"/>
          <w:lang w:val="en"/>
        </w:rPr>
        <w:t xml:space="preserve">for </w:t>
      </w:r>
      <w:r w:rsidR="00082E90" w:rsidRPr="00EA737F">
        <w:rPr>
          <w:color w:val="212121"/>
          <w:szCs w:val="24"/>
          <w:lang w:val="en"/>
        </w:rPr>
        <w:t>the</w:t>
      </w:r>
      <w:r w:rsidR="00082E90">
        <w:rPr>
          <w:color w:val="212121"/>
          <w:szCs w:val="24"/>
          <w:lang w:val="en"/>
        </w:rPr>
        <w:t xml:space="preserve"> period</w:t>
      </w:r>
      <w:r w:rsidR="00082E90" w:rsidRPr="00EA737F">
        <w:rPr>
          <w:color w:val="212121"/>
          <w:szCs w:val="24"/>
          <w:lang w:val="en"/>
        </w:rPr>
        <w:t xml:space="preserve"> 202</w:t>
      </w:r>
      <w:r w:rsidR="00082E90">
        <w:rPr>
          <w:color w:val="212121"/>
          <w:szCs w:val="24"/>
          <w:lang w:val="en"/>
        </w:rPr>
        <w:t>8</w:t>
      </w:r>
      <w:r w:rsidR="00082E90" w:rsidRPr="00EA737F">
        <w:rPr>
          <w:color w:val="212121"/>
          <w:szCs w:val="24"/>
          <w:lang w:val="en"/>
        </w:rPr>
        <w:t>-20</w:t>
      </w:r>
      <w:r w:rsidR="00082E90">
        <w:rPr>
          <w:color w:val="212121"/>
          <w:szCs w:val="24"/>
          <w:lang w:val="en"/>
        </w:rPr>
        <w:t>31</w:t>
      </w:r>
      <w:r w:rsidR="00082E90" w:rsidRPr="00EA737F">
        <w:rPr>
          <w:color w:val="212121"/>
          <w:szCs w:val="24"/>
          <w:lang w:val="en"/>
        </w:rPr>
        <w:t xml:space="preserve"> by 31 December 20</w:t>
      </w:r>
      <w:r w:rsidR="00082E90">
        <w:rPr>
          <w:color w:val="212121"/>
          <w:szCs w:val="24"/>
          <w:lang w:val="en"/>
        </w:rPr>
        <w:t>25</w:t>
      </w:r>
      <w:r w:rsidR="00082E90" w:rsidRPr="00EA737F">
        <w:rPr>
          <w:color w:val="212121"/>
          <w:szCs w:val="24"/>
          <w:lang w:val="en"/>
        </w:rPr>
        <w:t>.</w:t>
      </w:r>
    </w:p>
    <w:p w14:paraId="0DA2FABA" w14:textId="5D35AE70" w:rsidR="00082E90" w:rsidRPr="00EA737F" w:rsidRDefault="007025D5" w:rsidP="007025D5">
      <w:pPr>
        <w:jc w:val="both"/>
        <w:rPr>
          <w:rFonts w:eastAsia="SimSun" w:cs="Calibri"/>
          <w:szCs w:val="24"/>
          <w:lang w:val="en-US" w:eastAsia="zh-CN"/>
        </w:rPr>
      </w:pPr>
      <w:r>
        <w:rPr>
          <w:rFonts w:eastAsia="SimSun" w:cs="Calibri"/>
          <w:szCs w:val="24"/>
          <w:lang w:val="en-US" w:eastAsia="zh-CN"/>
        </w:rPr>
        <w:t>7</w:t>
      </w:r>
      <w:r w:rsidR="00082E90">
        <w:rPr>
          <w:rFonts w:eastAsia="SimSun" w:cs="Calibri"/>
          <w:szCs w:val="24"/>
          <w:lang w:val="en-US" w:eastAsia="zh-CN"/>
        </w:rPr>
        <w:tab/>
        <w:t>T</w:t>
      </w:r>
      <w:r w:rsidR="00082E90" w:rsidRPr="00A0359C">
        <w:rPr>
          <w:rFonts w:eastAsia="SimSun" w:cs="Calibri"/>
          <w:szCs w:val="24"/>
          <w:lang w:val="en-US" w:eastAsia="zh-CN"/>
        </w:rPr>
        <w:t>he 20</w:t>
      </w:r>
      <w:r w:rsidR="00082E90">
        <w:rPr>
          <w:rFonts w:eastAsia="SimSun" w:cs="Calibri"/>
          <w:szCs w:val="24"/>
          <w:lang w:val="en-US" w:eastAsia="zh-CN"/>
        </w:rPr>
        <w:t>26</w:t>
      </w:r>
      <w:r w:rsidR="00082E90" w:rsidRPr="00A0359C">
        <w:rPr>
          <w:rFonts w:eastAsia="SimSun" w:cs="Calibri"/>
          <w:szCs w:val="24"/>
          <w:lang w:val="en-US" w:eastAsia="zh-CN"/>
        </w:rPr>
        <w:t xml:space="preserve"> Plenipotentiary Conference is expected to establish the framework and the directives under which the two biennial budgets for 20</w:t>
      </w:r>
      <w:r w:rsidR="00082E90">
        <w:rPr>
          <w:rFonts w:eastAsia="SimSun" w:cs="Calibri"/>
          <w:szCs w:val="24"/>
          <w:lang w:val="en-US" w:eastAsia="zh-CN"/>
        </w:rPr>
        <w:t>28</w:t>
      </w:r>
      <w:r w:rsidR="00082E90" w:rsidRPr="00A0359C">
        <w:rPr>
          <w:rFonts w:eastAsia="SimSun" w:cs="Calibri"/>
          <w:szCs w:val="24"/>
          <w:lang w:val="en-US" w:eastAsia="zh-CN"/>
        </w:rPr>
        <w:t>-20</w:t>
      </w:r>
      <w:r w:rsidR="00082E90">
        <w:rPr>
          <w:rFonts w:eastAsia="SimSun" w:cs="Calibri"/>
          <w:szCs w:val="24"/>
          <w:lang w:val="en-US" w:eastAsia="zh-CN"/>
        </w:rPr>
        <w:t>29</w:t>
      </w:r>
      <w:r w:rsidR="00082E90" w:rsidRPr="00A0359C">
        <w:rPr>
          <w:rFonts w:eastAsia="SimSun" w:cs="Calibri"/>
          <w:szCs w:val="24"/>
          <w:lang w:val="en-US" w:eastAsia="zh-CN"/>
        </w:rPr>
        <w:t xml:space="preserve"> and 20</w:t>
      </w:r>
      <w:r w:rsidR="00082E90">
        <w:rPr>
          <w:rFonts w:eastAsia="SimSun" w:cs="Calibri"/>
          <w:szCs w:val="24"/>
          <w:lang w:val="en-US" w:eastAsia="zh-CN"/>
        </w:rPr>
        <w:t>30</w:t>
      </w:r>
      <w:r w:rsidR="00082E90" w:rsidRPr="00A0359C">
        <w:rPr>
          <w:rFonts w:eastAsia="SimSun" w:cs="Calibri"/>
          <w:szCs w:val="24"/>
          <w:lang w:val="en-US" w:eastAsia="zh-CN"/>
        </w:rPr>
        <w:t>-20</w:t>
      </w:r>
      <w:r w:rsidR="00082E90">
        <w:rPr>
          <w:rFonts w:eastAsia="SimSun" w:cs="Calibri"/>
          <w:szCs w:val="24"/>
          <w:lang w:val="en-US" w:eastAsia="zh-CN"/>
        </w:rPr>
        <w:t>31</w:t>
      </w:r>
      <w:r w:rsidR="00082E90" w:rsidRPr="00A0359C">
        <w:rPr>
          <w:rFonts w:eastAsia="SimSun" w:cs="Calibri"/>
          <w:szCs w:val="24"/>
          <w:lang w:val="en-US" w:eastAsia="zh-CN"/>
        </w:rPr>
        <w:t xml:space="preserve"> shall be developed.</w:t>
      </w:r>
    </w:p>
    <w:p w14:paraId="40797395" w14:textId="1DC1B773" w:rsidR="00082E90" w:rsidRPr="00A0359C" w:rsidRDefault="7D26D7BE" w:rsidP="0A24E183">
      <w:pPr>
        <w:jc w:val="both"/>
        <w:rPr>
          <w:rFonts w:eastAsia="SimSun" w:cs="Calibri"/>
          <w:lang w:val="en-US" w:eastAsia="zh-CN"/>
        </w:rPr>
      </w:pPr>
      <w:bookmarkStart w:id="12" w:name="_Hlk68691388"/>
      <w:bookmarkStart w:id="13" w:name="_Hlk68691419"/>
      <w:r w:rsidRPr="39921D21">
        <w:rPr>
          <w:rFonts w:eastAsia="SimSun" w:cs="Calibri"/>
          <w:lang w:val="en-US" w:eastAsia="zh-CN"/>
        </w:rPr>
        <w:t>8</w:t>
      </w:r>
      <w:r w:rsidR="007025D5">
        <w:tab/>
      </w:r>
      <w:r w:rsidR="25974EBC" w:rsidRPr="39921D21">
        <w:rPr>
          <w:rFonts w:eastAsia="SimSun" w:cs="Arial"/>
          <w:lang w:val="en-US" w:eastAsia="zh-CN"/>
        </w:rPr>
        <w:t>The draft Financial Plan for 2028-</w:t>
      </w:r>
      <w:r w:rsidR="25974EBC" w:rsidRPr="39921D21">
        <w:rPr>
          <w:rFonts w:eastAsia="SimSun" w:cs="Calibri"/>
          <w:lang w:val="en-US" w:eastAsia="zh-CN"/>
        </w:rPr>
        <w:t>2031</w:t>
      </w:r>
      <w:r w:rsidR="25974EBC" w:rsidRPr="39921D21">
        <w:rPr>
          <w:rFonts w:eastAsia="SimSun" w:cs="Arial"/>
          <w:lang w:val="en-US" w:eastAsia="zh-CN"/>
        </w:rPr>
        <w:t xml:space="preserve"> will be presented and discussed at the meeting of CWG-</w:t>
      </w:r>
      <w:r w:rsidR="67A04E5D" w:rsidRPr="39921D21">
        <w:rPr>
          <w:rFonts w:eastAsia="SimSun" w:cs="Arial"/>
          <w:lang w:val="en-US" w:eastAsia="zh-CN"/>
        </w:rPr>
        <w:t>SFP</w:t>
      </w:r>
      <w:bookmarkEnd w:id="12"/>
      <w:r w:rsidR="25974EBC" w:rsidRPr="39921D21">
        <w:rPr>
          <w:rFonts w:eastAsia="SimSun" w:cs="Arial"/>
          <w:lang w:val="en-US" w:eastAsia="zh-CN"/>
        </w:rPr>
        <w:t xml:space="preserve"> in 2026.</w:t>
      </w:r>
    </w:p>
    <w:bookmarkEnd w:id="13"/>
    <w:p w14:paraId="0E53F5F2" w14:textId="42077E4C" w:rsidR="00082E90" w:rsidRPr="001A7909" w:rsidRDefault="007025D5" w:rsidP="007025D5">
      <w:pPr>
        <w:jc w:val="both"/>
      </w:pPr>
      <w:r>
        <w:t>9</w:t>
      </w:r>
      <w:r>
        <w:tab/>
      </w:r>
      <w:hyperlink w:anchor="Annex1">
        <w:r w:rsidR="00082E90" w:rsidRPr="21435B5A">
          <w:rPr>
            <w:rStyle w:val="Hyperlink"/>
          </w:rPr>
          <w:t>Annex 1</w:t>
        </w:r>
      </w:hyperlink>
      <w:r w:rsidR="00082E90">
        <w:t xml:space="preserve"> contains the current situation of the classes of contribution chosen by Member States.</w:t>
      </w:r>
    </w:p>
    <w:p w14:paraId="460EFE16" w14:textId="7E561E19" w:rsidR="00082E90" w:rsidRDefault="007025D5" w:rsidP="007025D5">
      <w:pPr>
        <w:jc w:val="both"/>
      </w:pPr>
      <w:r>
        <w:t>10</w:t>
      </w:r>
      <w:r>
        <w:tab/>
      </w:r>
      <w:hyperlink w:anchor="Annex2">
        <w:r w:rsidR="00082E90" w:rsidRPr="21435B5A">
          <w:rPr>
            <w:rStyle w:val="Hyperlink"/>
          </w:rPr>
          <w:t>Annex 2</w:t>
        </w:r>
      </w:hyperlink>
      <w:r w:rsidR="00082E90">
        <w:t xml:space="preserve"> shows the evolution in the contributory units chosen by Sector Members and the evolution in the number of Associates and academic institutions between the </w:t>
      </w:r>
      <w:r w:rsidR="00385878">
        <w:t xml:space="preserve">last </w:t>
      </w:r>
      <w:r w:rsidR="00082E90">
        <w:t>plenipotentiary conference (Bucharest, 2022) and the current situation as at today.</w:t>
      </w:r>
    </w:p>
    <w:p w14:paraId="48365C2C" w14:textId="6F71DD05" w:rsidR="00082E90" w:rsidRPr="008C67EF" w:rsidRDefault="00082E90" w:rsidP="007025D5">
      <w:pPr>
        <w:pStyle w:val="Normalaftertitle"/>
        <w:spacing w:before="2400"/>
        <w:rPr>
          <w:i/>
          <w:iCs/>
          <w:caps/>
          <w:lang w:eastAsia="zh-CN"/>
        </w:rPr>
      </w:pPr>
      <w:r w:rsidRPr="008C67EF">
        <w:rPr>
          <w:b/>
          <w:bCs/>
          <w:i/>
          <w:iCs/>
          <w:lang w:eastAsia="zh-CN"/>
        </w:rPr>
        <w:t>Annexes:</w:t>
      </w:r>
      <w:r w:rsidRPr="008C67EF">
        <w:rPr>
          <w:i/>
          <w:iCs/>
          <w:lang w:eastAsia="zh-CN"/>
        </w:rPr>
        <w:t xml:space="preserve"> 2</w:t>
      </w:r>
    </w:p>
    <w:p w14:paraId="74D20CBC" w14:textId="77777777" w:rsidR="007025D5" w:rsidRDefault="00082E90" w:rsidP="007025D5">
      <w:pPr>
        <w:rPr>
          <w:lang w:eastAsia="zh-CN"/>
        </w:rPr>
      </w:pPr>
      <w:r w:rsidRPr="001A7909">
        <w:rPr>
          <w:lang w:eastAsia="zh-CN"/>
        </w:rPr>
        <w:br w:type="page"/>
      </w:r>
    </w:p>
    <w:p w14:paraId="687AD714" w14:textId="47CBE9B8" w:rsidR="00082E90" w:rsidRDefault="00082E90" w:rsidP="00082E90">
      <w:pPr>
        <w:pStyle w:val="AnnexNo"/>
        <w:snapToGrid w:val="0"/>
        <w:spacing w:before="1440" w:after="240"/>
      </w:pPr>
      <w:bookmarkStart w:id="14" w:name="Annex1"/>
      <w:bookmarkEnd w:id="14"/>
      <w:r w:rsidRPr="0072216D">
        <w:lastRenderedPageBreak/>
        <w:t>ANNEX 1</w:t>
      </w:r>
    </w:p>
    <w:tbl>
      <w:tblPr>
        <w:tblW w:w="6080" w:type="dxa"/>
        <w:jc w:val="center"/>
        <w:tblLook w:val="04A0" w:firstRow="1" w:lastRow="0" w:firstColumn="1" w:lastColumn="0" w:noHBand="0" w:noVBand="1"/>
      </w:tblPr>
      <w:tblGrid>
        <w:gridCol w:w="4180"/>
        <w:gridCol w:w="1900"/>
      </w:tblGrid>
      <w:tr w:rsidR="004857E0" w:rsidRPr="004857E0" w14:paraId="79147F35" w14:textId="77777777" w:rsidTr="007025D5">
        <w:trPr>
          <w:cantSplit/>
          <w:tblHeader/>
          <w:jc w:val="center"/>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DF890" w14:textId="123FD6FE" w:rsidR="004857E0" w:rsidRPr="004857E0" w:rsidRDefault="007025D5" w:rsidP="007025D5">
            <w:pPr>
              <w:pStyle w:val="Tablehead"/>
              <w:rPr>
                <w:lang w:eastAsia="en-GB"/>
              </w:rPr>
            </w:pPr>
            <w:r w:rsidRPr="004857E0">
              <w:rPr>
                <w:lang w:eastAsia="en-GB"/>
              </w:rPr>
              <w:t>Member States</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C581E2" w14:textId="77777777" w:rsidR="004857E0" w:rsidRPr="004857E0" w:rsidRDefault="004857E0" w:rsidP="007025D5">
            <w:pPr>
              <w:pStyle w:val="Tablehead"/>
              <w:rPr>
                <w:lang w:eastAsia="en-GB"/>
              </w:rPr>
            </w:pPr>
            <w:r w:rsidRPr="004857E0">
              <w:rPr>
                <w:lang w:eastAsia="en-GB"/>
              </w:rPr>
              <w:t>Number of units at 28.02.2025</w:t>
            </w:r>
          </w:p>
        </w:tc>
      </w:tr>
      <w:tr w:rsidR="004857E0" w:rsidRPr="004857E0" w14:paraId="1A209182" w14:textId="77777777" w:rsidTr="007025D5">
        <w:trPr>
          <w:cantSplit/>
          <w:jc w:val="center"/>
        </w:trPr>
        <w:tc>
          <w:tcPr>
            <w:tcW w:w="4180" w:type="dxa"/>
            <w:tcBorders>
              <w:top w:val="nil"/>
              <w:left w:val="single" w:sz="4" w:space="0" w:color="auto"/>
              <w:bottom w:val="nil"/>
              <w:right w:val="single" w:sz="4" w:space="0" w:color="auto"/>
            </w:tcBorders>
            <w:shd w:val="clear" w:color="auto" w:fill="auto"/>
            <w:vAlign w:val="center"/>
            <w:hideMark/>
          </w:tcPr>
          <w:p w14:paraId="226118BB" w14:textId="77777777" w:rsidR="004857E0" w:rsidRPr="004857E0" w:rsidRDefault="004857E0" w:rsidP="007025D5">
            <w:pPr>
              <w:pStyle w:val="Tabletext"/>
              <w:rPr>
                <w:lang w:eastAsia="en-GB"/>
              </w:rPr>
            </w:pPr>
            <w:r w:rsidRPr="004857E0">
              <w:rPr>
                <w:lang w:eastAsia="en-GB"/>
              </w:rPr>
              <w:t> </w:t>
            </w:r>
          </w:p>
        </w:tc>
        <w:tc>
          <w:tcPr>
            <w:tcW w:w="1900" w:type="dxa"/>
            <w:tcBorders>
              <w:top w:val="nil"/>
              <w:left w:val="single" w:sz="4" w:space="0" w:color="auto"/>
              <w:bottom w:val="nil"/>
              <w:right w:val="single" w:sz="4" w:space="0" w:color="auto"/>
            </w:tcBorders>
            <w:shd w:val="clear" w:color="000000" w:fill="FFFFFF"/>
            <w:noWrap/>
            <w:vAlign w:val="center"/>
            <w:hideMark/>
          </w:tcPr>
          <w:p w14:paraId="01FE76CF" w14:textId="36277CF4" w:rsidR="004857E0" w:rsidRPr="004857E0" w:rsidRDefault="004857E0" w:rsidP="007025D5">
            <w:pPr>
              <w:pStyle w:val="Tabletext"/>
              <w:jc w:val="center"/>
              <w:rPr>
                <w:lang w:eastAsia="en-GB"/>
              </w:rPr>
            </w:pPr>
          </w:p>
        </w:tc>
      </w:tr>
      <w:tr w:rsidR="004857E0" w:rsidRPr="004857E0" w14:paraId="3AFF2F5C"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6E7AE571" w14:textId="77777777" w:rsidR="004857E0" w:rsidRPr="004857E0" w:rsidRDefault="004857E0" w:rsidP="007025D5">
            <w:pPr>
              <w:pStyle w:val="Tabletext"/>
              <w:rPr>
                <w:lang w:eastAsia="en-GB"/>
              </w:rPr>
            </w:pPr>
            <w:r w:rsidRPr="004857E0">
              <w:rPr>
                <w:lang w:eastAsia="en-GB"/>
              </w:rPr>
              <w:t>Afghanistan</w:t>
            </w:r>
          </w:p>
        </w:tc>
        <w:tc>
          <w:tcPr>
            <w:tcW w:w="1900" w:type="dxa"/>
            <w:tcBorders>
              <w:top w:val="nil"/>
              <w:left w:val="single" w:sz="4" w:space="0" w:color="auto"/>
              <w:bottom w:val="nil"/>
              <w:right w:val="single" w:sz="4" w:space="0" w:color="auto"/>
            </w:tcBorders>
            <w:shd w:val="clear" w:color="000000" w:fill="FFFFFF"/>
            <w:noWrap/>
            <w:vAlign w:val="bottom"/>
            <w:hideMark/>
          </w:tcPr>
          <w:p w14:paraId="7BC12040" w14:textId="23F17CB3" w:rsidR="004857E0" w:rsidRPr="004857E0" w:rsidRDefault="004857E0" w:rsidP="007025D5">
            <w:pPr>
              <w:pStyle w:val="Tabletext"/>
              <w:jc w:val="center"/>
              <w:rPr>
                <w:lang w:eastAsia="en-GB"/>
              </w:rPr>
            </w:pPr>
            <w:r w:rsidRPr="004857E0">
              <w:rPr>
                <w:lang w:eastAsia="en-GB"/>
              </w:rPr>
              <w:t>1/16</w:t>
            </w:r>
          </w:p>
        </w:tc>
      </w:tr>
      <w:tr w:rsidR="004857E0" w:rsidRPr="004857E0" w14:paraId="0F2C8503"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6AC8BCDA" w14:textId="77777777" w:rsidR="004857E0" w:rsidRPr="004857E0" w:rsidRDefault="004857E0" w:rsidP="007025D5">
            <w:pPr>
              <w:pStyle w:val="Tabletext"/>
              <w:rPr>
                <w:lang w:eastAsia="en-GB"/>
              </w:rPr>
            </w:pPr>
            <w:r w:rsidRPr="004857E0">
              <w:rPr>
                <w:lang w:eastAsia="en-GB"/>
              </w:rPr>
              <w:t xml:space="preserve">Albania  </w:t>
            </w:r>
          </w:p>
        </w:tc>
        <w:tc>
          <w:tcPr>
            <w:tcW w:w="1900" w:type="dxa"/>
            <w:tcBorders>
              <w:top w:val="nil"/>
              <w:left w:val="single" w:sz="4" w:space="0" w:color="auto"/>
              <w:bottom w:val="nil"/>
              <w:right w:val="single" w:sz="4" w:space="0" w:color="auto"/>
            </w:tcBorders>
            <w:shd w:val="clear" w:color="000000" w:fill="FFFFFF"/>
            <w:noWrap/>
            <w:vAlign w:val="bottom"/>
            <w:hideMark/>
          </w:tcPr>
          <w:p w14:paraId="3201EEA2" w14:textId="607CB75F" w:rsidR="004857E0" w:rsidRPr="004857E0" w:rsidRDefault="004857E0" w:rsidP="007025D5">
            <w:pPr>
              <w:pStyle w:val="Tabletext"/>
              <w:jc w:val="center"/>
              <w:rPr>
                <w:lang w:eastAsia="en-GB"/>
              </w:rPr>
            </w:pPr>
            <w:r w:rsidRPr="004857E0">
              <w:rPr>
                <w:lang w:eastAsia="en-GB"/>
              </w:rPr>
              <w:t>1/4</w:t>
            </w:r>
          </w:p>
        </w:tc>
      </w:tr>
      <w:tr w:rsidR="004857E0" w:rsidRPr="004857E0" w14:paraId="6D4F8534"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39F7747F" w14:textId="77777777" w:rsidR="004857E0" w:rsidRPr="004857E0" w:rsidRDefault="004857E0" w:rsidP="007025D5">
            <w:pPr>
              <w:pStyle w:val="Tabletext"/>
              <w:rPr>
                <w:lang w:eastAsia="en-GB"/>
              </w:rPr>
            </w:pPr>
            <w:r w:rsidRPr="004857E0">
              <w:rPr>
                <w:lang w:eastAsia="en-GB"/>
              </w:rPr>
              <w:t>Algeria</w:t>
            </w:r>
          </w:p>
        </w:tc>
        <w:tc>
          <w:tcPr>
            <w:tcW w:w="1900" w:type="dxa"/>
            <w:tcBorders>
              <w:top w:val="nil"/>
              <w:left w:val="single" w:sz="4" w:space="0" w:color="auto"/>
              <w:bottom w:val="nil"/>
              <w:right w:val="single" w:sz="4" w:space="0" w:color="auto"/>
            </w:tcBorders>
            <w:shd w:val="clear" w:color="000000" w:fill="FFFFFF"/>
            <w:noWrap/>
            <w:vAlign w:val="bottom"/>
            <w:hideMark/>
          </w:tcPr>
          <w:p w14:paraId="653CECA6" w14:textId="2B93A4D6" w:rsidR="004857E0" w:rsidRPr="004857E0" w:rsidRDefault="004857E0" w:rsidP="007025D5">
            <w:pPr>
              <w:pStyle w:val="Tabletext"/>
              <w:jc w:val="center"/>
              <w:rPr>
                <w:lang w:eastAsia="en-GB"/>
              </w:rPr>
            </w:pPr>
            <w:r w:rsidRPr="004857E0">
              <w:rPr>
                <w:lang w:eastAsia="en-GB"/>
              </w:rPr>
              <w:t>1</w:t>
            </w:r>
          </w:p>
        </w:tc>
      </w:tr>
      <w:tr w:rsidR="004857E0" w:rsidRPr="004857E0" w14:paraId="40744AF3"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1EB6011F" w14:textId="77777777" w:rsidR="004857E0" w:rsidRPr="004857E0" w:rsidRDefault="004857E0" w:rsidP="007025D5">
            <w:pPr>
              <w:pStyle w:val="Tabletext"/>
              <w:rPr>
                <w:lang w:eastAsia="en-GB"/>
              </w:rPr>
            </w:pPr>
            <w:r w:rsidRPr="004857E0">
              <w:rPr>
                <w:lang w:eastAsia="en-GB"/>
              </w:rPr>
              <w:t>Andorra</w:t>
            </w:r>
          </w:p>
        </w:tc>
        <w:tc>
          <w:tcPr>
            <w:tcW w:w="1900" w:type="dxa"/>
            <w:tcBorders>
              <w:top w:val="nil"/>
              <w:left w:val="single" w:sz="4" w:space="0" w:color="auto"/>
              <w:bottom w:val="nil"/>
              <w:right w:val="single" w:sz="4" w:space="0" w:color="auto"/>
            </w:tcBorders>
            <w:shd w:val="clear" w:color="000000" w:fill="FFFFFF"/>
            <w:noWrap/>
            <w:vAlign w:val="bottom"/>
            <w:hideMark/>
          </w:tcPr>
          <w:p w14:paraId="4755C506" w14:textId="361D2268" w:rsidR="004857E0" w:rsidRPr="004857E0" w:rsidRDefault="004857E0" w:rsidP="007025D5">
            <w:pPr>
              <w:pStyle w:val="Tabletext"/>
              <w:jc w:val="center"/>
              <w:rPr>
                <w:lang w:eastAsia="en-GB"/>
              </w:rPr>
            </w:pPr>
            <w:r w:rsidRPr="004857E0">
              <w:rPr>
                <w:lang w:eastAsia="en-GB"/>
              </w:rPr>
              <w:t>1/4</w:t>
            </w:r>
          </w:p>
        </w:tc>
      </w:tr>
      <w:tr w:rsidR="004857E0" w:rsidRPr="004857E0" w14:paraId="6FB85845"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86C28F7" w14:textId="77777777" w:rsidR="004857E0" w:rsidRPr="004857E0" w:rsidRDefault="004857E0" w:rsidP="007025D5">
            <w:pPr>
              <w:pStyle w:val="Tabletext"/>
              <w:rPr>
                <w:lang w:eastAsia="en-GB"/>
              </w:rPr>
            </w:pPr>
            <w:r w:rsidRPr="004857E0">
              <w:rPr>
                <w:lang w:eastAsia="en-GB"/>
              </w:rPr>
              <w:t>Angola</w:t>
            </w:r>
          </w:p>
        </w:tc>
        <w:tc>
          <w:tcPr>
            <w:tcW w:w="1900" w:type="dxa"/>
            <w:tcBorders>
              <w:top w:val="nil"/>
              <w:left w:val="single" w:sz="4" w:space="0" w:color="auto"/>
              <w:bottom w:val="nil"/>
              <w:right w:val="single" w:sz="4" w:space="0" w:color="auto"/>
            </w:tcBorders>
            <w:shd w:val="clear" w:color="000000" w:fill="FFFFFF"/>
            <w:noWrap/>
            <w:vAlign w:val="bottom"/>
            <w:hideMark/>
          </w:tcPr>
          <w:p w14:paraId="786C59A7" w14:textId="0B68195E" w:rsidR="004857E0" w:rsidRPr="004857E0" w:rsidRDefault="004857E0" w:rsidP="007025D5">
            <w:pPr>
              <w:pStyle w:val="Tabletext"/>
              <w:jc w:val="center"/>
              <w:rPr>
                <w:lang w:eastAsia="en-GB"/>
              </w:rPr>
            </w:pPr>
            <w:r w:rsidRPr="004857E0">
              <w:rPr>
                <w:lang w:eastAsia="en-GB"/>
              </w:rPr>
              <w:t>1/8</w:t>
            </w:r>
          </w:p>
        </w:tc>
      </w:tr>
      <w:tr w:rsidR="004857E0" w:rsidRPr="004857E0" w14:paraId="09547EFD"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E1F51F8" w14:textId="77777777" w:rsidR="004857E0" w:rsidRPr="004857E0" w:rsidRDefault="004857E0" w:rsidP="007025D5">
            <w:pPr>
              <w:pStyle w:val="Tabletext"/>
              <w:rPr>
                <w:lang w:eastAsia="en-GB"/>
              </w:rPr>
            </w:pPr>
            <w:r w:rsidRPr="004857E0">
              <w:rPr>
                <w:lang w:eastAsia="en-GB"/>
              </w:rPr>
              <w:t>Antigua and Barbuda</w:t>
            </w:r>
          </w:p>
        </w:tc>
        <w:tc>
          <w:tcPr>
            <w:tcW w:w="1900" w:type="dxa"/>
            <w:tcBorders>
              <w:top w:val="nil"/>
              <w:left w:val="single" w:sz="4" w:space="0" w:color="auto"/>
              <w:bottom w:val="nil"/>
              <w:right w:val="single" w:sz="4" w:space="0" w:color="auto"/>
            </w:tcBorders>
            <w:shd w:val="clear" w:color="000000" w:fill="FFFFFF"/>
            <w:noWrap/>
            <w:vAlign w:val="bottom"/>
            <w:hideMark/>
          </w:tcPr>
          <w:p w14:paraId="62985728" w14:textId="33A1D748" w:rsidR="004857E0" w:rsidRPr="004857E0" w:rsidRDefault="004857E0" w:rsidP="007025D5">
            <w:pPr>
              <w:pStyle w:val="Tabletext"/>
              <w:jc w:val="center"/>
              <w:rPr>
                <w:lang w:eastAsia="en-GB"/>
              </w:rPr>
            </w:pPr>
            <w:r w:rsidRPr="004857E0">
              <w:rPr>
                <w:lang w:eastAsia="en-GB"/>
              </w:rPr>
              <w:t>1/16</w:t>
            </w:r>
          </w:p>
        </w:tc>
      </w:tr>
      <w:tr w:rsidR="004857E0" w:rsidRPr="004857E0" w14:paraId="097743E3"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9986124" w14:textId="77777777" w:rsidR="004857E0" w:rsidRPr="004857E0" w:rsidRDefault="004857E0" w:rsidP="007025D5">
            <w:pPr>
              <w:pStyle w:val="Tabletext"/>
              <w:rPr>
                <w:lang w:eastAsia="en-GB"/>
              </w:rPr>
            </w:pPr>
            <w:r w:rsidRPr="004857E0">
              <w:rPr>
                <w:lang w:eastAsia="en-GB"/>
              </w:rPr>
              <w:t>Argentina</w:t>
            </w:r>
          </w:p>
        </w:tc>
        <w:tc>
          <w:tcPr>
            <w:tcW w:w="1900" w:type="dxa"/>
            <w:tcBorders>
              <w:top w:val="nil"/>
              <w:left w:val="single" w:sz="4" w:space="0" w:color="auto"/>
              <w:bottom w:val="nil"/>
              <w:right w:val="single" w:sz="4" w:space="0" w:color="auto"/>
            </w:tcBorders>
            <w:shd w:val="clear" w:color="000000" w:fill="FFFFFF"/>
            <w:noWrap/>
            <w:vAlign w:val="bottom"/>
            <w:hideMark/>
          </w:tcPr>
          <w:p w14:paraId="35D36284" w14:textId="63B3EF36" w:rsidR="004857E0" w:rsidRPr="004857E0" w:rsidRDefault="004857E0" w:rsidP="007025D5">
            <w:pPr>
              <w:pStyle w:val="Tabletext"/>
              <w:jc w:val="center"/>
              <w:rPr>
                <w:lang w:eastAsia="en-GB"/>
              </w:rPr>
            </w:pPr>
            <w:r w:rsidRPr="004857E0">
              <w:rPr>
                <w:lang w:eastAsia="en-GB"/>
              </w:rPr>
              <w:t>1/2</w:t>
            </w:r>
          </w:p>
        </w:tc>
      </w:tr>
      <w:tr w:rsidR="004857E0" w:rsidRPr="004857E0" w14:paraId="5CBAD476"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3F741E73" w14:textId="77777777" w:rsidR="004857E0" w:rsidRPr="004857E0" w:rsidRDefault="004857E0" w:rsidP="007025D5">
            <w:pPr>
              <w:pStyle w:val="Tabletext"/>
              <w:rPr>
                <w:lang w:eastAsia="en-GB"/>
              </w:rPr>
            </w:pPr>
            <w:r w:rsidRPr="004857E0">
              <w:rPr>
                <w:lang w:eastAsia="en-GB"/>
              </w:rPr>
              <w:t xml:space="preserve">Armenia  </w:t>
            </w:r>
          </w:p>
        </w:tc>
        <w:tc>
          <w:tcPr>
            <w:tcW w:w="1900" w:type="dxa"/>
            <w:tcBorders>
              <w:top w:val="nil"/>
              <w:left w:val="single" w:sz="4" w:space="0" w:color="auto"/>
              <w:bottom w:val="nil"/>
              <w:right w:val="single" w:sz="4" w:space="0" w:color="auto"/>
            </w:tcBorders>
            <w:shd w:val="clear" w:color="000000" w:fill="FFFFFF"/>
            <w:noWrap/>
            <w:vAlign w:val="bottom"/>
            <w:hideMark/>
          </w:tcPr>
          <w:p w14:paraId="64C10A73" w14:textId="027AFD2A" w:rsidR="004857E0" w:rsidRPr="004857E0" w:rsidRDefault="004857E0" w:rsidP="007025D5">
            <w:pPr>
              <w:pStyle w:val="Tabletext"/>
              <w:jc w:val="center"/>
              <w:rPr>
                <w:lang w:eastAsia="en-GB"/>
              </w:rPr>
            </w:pPr>
            <w:r w:rsidRPr="004857E0">
              <w:rPr>
                <w:lang w:eastAsia="en-GB"/>
              </w:rPr>
              <w:t>1/4</w:t>
            </w:r>
          </w:p>
        </w:tc>
      </w:tr>
      <w:tr w:rsidR="004857E0" w:rsidRPr="004857E0" w14:paraId="3A44DFC0"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675A849" w14:textId="77777777" w:rsidR="004857E0" w:rsidRPr="004857E0" w:rsidRDefault="004857E0" w:rsidP="007025D5">
            <w:pPr>
              <w:pStyle w:val="Tabletext"/>
              <w:rPr>
                <w:lang w:eastAsia="en-GB"/>
              </w:rPr>
            </w:pPr>
            <w:r w:rsidRPr="004857E0">
              <w:rPr>
                <w:lang w:eastAsia="en-GB"/>
              </w:rPr>
              <w:t xml:space="preserve">Australia </w:t>
            </w:r>
          </w:p>
        </w:tc>
        <w:tc>
          <w:tcPr>
            <w:tcW w:w="1900" w:type="dxa"/>
            <w:tcBorders>
              <w:top w:val="nil"/>
              <w:left w:val="single" w:sz="4" w:space="0" w:color="auto"/>
              <w:bottom w:val="nil"/>
              <w:right w:val="single" w:sz="4" w:space="0" w:color="auto"/>
            </w:tcBorders>
            <w:shd w:val="clear" w:color="000000" w:fill="FFFFFF"/>
            <w:noWrap/>
            <w:vAlign w:val="bottom"/>
            <w:hideMark/>
          </w:tcPr>
          <w:p w14:paraId="6AC59DD5" w14:textId="434EF24C" w:rsidR="004857E0" w:rsidRPr="004857E0" w:rsidRDefault="004857E0" w:rsidP="007025D5">
            <w:pPr>
              <w:pStyle w:val="Tabletext"/>
              <w:jc w:val="center"/>
              <w:rPr>
                <w:lang w:eastAsia="en-GB"/>
              </w:rPr>
            </w:pPr>
            <w:r w:rsidRPr="004857E0">
              <w:rPr>
                <w:lang w:eastAsia="en-GB"/>
              </w:rPr>
              <w:t>13</w:t>
            </w:r>
          </w:p>
        </w:tc>
      </w:tr>
      <w:tr w:rsidR="004857E0" w:rsidRPr="004857E0" w14:paraId="44D0BC08"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7F48ADD3" w14:textId="77777777" w:rsidR="004857E0" w:rsidRPr="004857E0" w:rsidRDefault="004857E0" w:rsidP="007025D5">
            <w:pPr>
              <w:pStyle w:val="Tabletext"/>
              <w:rPr>
                <w:lang w:eastAsia="en-GB"/>
              </w:rPr>
            </w:pPr>
            <w:r w:rsidRPr="004857E0">
              <w:rPr>
                <w:lang w:eastAsia="en-GB"/>
              </w:rPr>
              <w:t>Austria</w:t>
            </w:r>
          </w:p>
        </w:tc>
        <w:tc>
          <w:tcPr>
            <w:tcW w:w="1900" w:type="dxa"/>
            <w:tcBorders>
              <w:top w:val="nil"/>
              <w:left w:val="single" w:sz="4" w:space="0" w:color="auto"/>
              <w:bottom w:val="nil"/>
              <w:right w:val="single" w:sz="4" w:space="0" w:color="auto"/>
            </w:tcBorders>
            <w:shd w:val="clear" w:color="000000" w:fill="FFFFFF"/>
            <w:noWrap/>
            <w:vAlign w:val="bottom"/>
            <w:hideMark/>
          </w:tcPr>
          <w:p w14:paraId="22417921" w14:textId="46B236BC" w:rsidR="004857E0" w:rsidRPr="004857E0" w:rsidRDefault="004857E0" w:rsidP="007025D5">
            <w:pPr>
              <w:pStyle w:val="Tabletext"/>
              <w:jc w:val="center"/>
              <w:rPr>
                <w:lang w:eastAsia="en-GB"/>
              </w:rPr>
            </w:pPr>
            <w:r w:rsidRPr="004857E0">
              <w:rPr>
                <w:lang w:eastAsia="en-GB"/>
              </w:rPr>
              <w:t>1</w:t>
            </w:r>
          </w:p>
        </w:tc>
      </w:tr>
      <w:tr w:rsidR="004857E0" w:rsidRPr="004857E0" w14:paraId="508E92C3"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16CA5EF8" w14:textId="77777777" w:rsidR="004857E0" w:rsidRPr="004857E0" w:rsidRDefault="004857E0" w:rsidP="007025D5">
            <w:pPr>
              <w:pStyle w:val="Tabletext"/>
              <w:rPr>
                <w:lang w:eastAsia="en-GB"/>
              </w:rPr>
            </w:pPr>
            <w:r w:rsidRPr="004857E0">
              <w:rPr>
                <w:lang w:eastAsia="en-GB"/>
              </w:rPr>
              <w:t>Azerbaijan</w:t>
            </w:r>
          </w:p>
        </w:tc>
        <w:tc>
          <w:tcPr>
            <w:tcW w:w="1900" w:type="dxa"/>
            <w:tcBorders>
              <w:top w:val="nil"/>
              <w:left w:val="single" w:sz="4" w:space="0" w:color="auto"/>
              <w:bottom w:val="nil"/>
              <w:right w:val="single" w:sz="4" w:space="0" w:color="auto"/>
            </w:tcBorders>
            <w:shd w:val="clear" w:color="000000" w:fill="FFFFFF"/>
            <w:noWrap/>
            <w:vAlign w:val="bottom"/>
            <w:hideMark/>
          </w:tcPr>
          <w:p w14:paraId="6CA9FE52" w14:textId="3DEAB512" w:rsidR="004857E0" w:rsidRPr="004857E0" w:rsidRDefault="004857E0" w:rsidP="007025D5">
            <w:pPr>
              <w:pStyle w:val="Tabletext"/>
              <w:jc w:val="center"/>
              <w:rPr>
                <w:lang w:eastAsia="en-GB"/>
              </w:rPr>
            </w:pPr>
            <w:r w:rsidRPr="004857E0">
              <w:rPr>
                <w:lang w:eastAsia="en-GB"/>
              </w:rPr>
              <w:t>1</w:t>
            </w:r>
          </w:p>
        </w:tc>
      </w:tr>
      <w:tr w:rsidR="004857E0" w:rsidRPr="004857E0" w14:paraId="59D61310"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8A1302A" w14:textId="77777777" w:rsidR="004857E0" w:rsidRPr="004857E0" w:rsidRDefault="004857E0" w:rsidP="007025D5">
            <w:pPr>
              <w:pStyle w:val="Tabletext"/>
              <w:rPr>
                <w:lang w:eastAsia="en-GB"/>
              </w:rPr>
            </w:pPr>
            <w:r w:rsidRPr="004857E0">
              <w:rPr>
                <w:lang w:eastAsia="en-GB"/>
              </w:rPr>
              <w:t xml:space="preserve">Bahamas </w:t>
            </w:r>
          </w:p>
        </w:tc>
        <w:tc>
          <w:tcPr>
            <w:tcW w:w="1900" w:type="dxa"/>
            <w:tcBorders>
              <w:top w:val="nil"/>
              <w:left w:val="single" w:sz="4" w:space="0" w:color="auto"/>
              <w:bottom w:val="nil"/>
              <w:right w:val="single" w:sz="4" w:space="0" w:color="auto"/>
            </w:tcBorders>
            <w:shd w:val="clear" w:color="000000" w:fill="FFFFFF"/>
            <w:noWrap/>
            <w:vAlign w:val="bottom"/>
            <w:hideMark/>
          </w:tcPr>
          <w:p w14:paraId="2AC16F42" w14:textId="2D83BEA5" w:rsidR="004857E0" w:rsidRPr="004857E0" w:rsidRDefault="004857E0" w:rsidP="007025D5">
            <w:pPr>
              <w:pStyle w:val="Tabletext"/>
              <w:jc w:val="center"/>
              <w:rPr>
                <w:lang w:eastAsia="en-GB"/>
              </w:rPr>
            </w:pPr>
            <w:r w:rsidRPr="004857E0">
              <w:rPr>
                <w:lang w:eastAsia="en-GB"/>
              </w:rPr>
              <w:t>1/4</w:t>
            </w:r>
          </w:p>
        </w:tc>
      </w:tr>
      <w:tr w:rsidR="004857E0" w:rsidRPr="004857E0" w14:paraId="5FB33DC3"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4A62FB9" w14:textId="77777777" w:rsidR="004857E0" w:rsidRPr="004857E0" w:rsidRDefault="004857E0" w:rsidP="007025D5">
            <w:pPr>
              <w:pStyle w:val="Tabletext"/>
              <w:rPr>
                <w:lang w:eastAsia="en-GB"/>
              </w:rPr>
            </w:pPr>
            <w:r w:rsidRPr="004857E0">
              <w:rPr>
                <w:lang w:eastAsia="en-GB"/>
              </w:rPr>
              <w:t xml:space="preserve">Bahrain  </w:t>
            </w:r>
          </w:p>
        </w:tc>
        <w:tc>
          <w:tcPr>
            <w:tcW w:w="1900" w:type="dxa"/>
            <w:tcBorders>
              <w:top w:val="nil"/>
              <w:left w:val="single" w:sz="4" w:space="0" w:color="auto"/>
              <w:bottom w:val="nil"/>
              <w:right w:val="single" w:sz="4" w:space="0" w:color="auto"/>
            </w:tcBorders>
            <w:shd w:val="clear" w:color="000000" w:fill="FFFFFF"/>
            <w:noWrap/>
            <w:vAlign w:val="bottom"/>
            <w:hideMark/>
          </w:tcPr>
          <w:p w14:paraId="768176B0" w14:textId="3235962F" w:rsidR="004857E0" w:rsidRPr="004857E0" w:rsidRDefault="004857E0" w:rsidP="007025D5">
            <w:pPr>
              <w:pStyle w:val="Tabletext"/>
              <w:jc w:val="center"/>
              <w:rPr>
                <w:lang w:eastAsia="en-GB"/>
              </w:rPr>
            </w:pPr>
            <w:r w:rsidRPr="004857E0">
              <w:rPr>
                <w:lang w:eastAsia="en-GB"/>
              </w:rPr>
              <w:t>1</w:t>
            </w:r>
          </w:p>
        </w:tc>
      </w:tr>
      <w:tr w:rsidR="004857E0" w:rsidRPr="004857E0" w14:paraId="70F4D538"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7A555D8B" w14:textId="77777777" w:rsidR="004857E0" w:rsidRPr="004857E0" w:rsidRDefault="004857E0" w:rsidP="007025D5">
            <w:pPr>
              <w:pStyle w:val="Tabletext"/>
              <w:rPr>
                <w:lang w:eastAsia="en-GB"/>
              </w:rPr>
            </w:pPr>
            <w:r w:rsidRPr="004857E0">
              <w:rPr>
                <w:lang w:eastAsia="en-GB"/>
              </w:rPr>
              <w:t>Bangladesh</w:t>
            </w:r>
          </w:p>
        </w:tc>
        <w:tc>
          <w:tcPr>
            <w:tcW w:w="1900" w:type="dxa"/>
            <w:tcBorders>
              <w:top w:val="nil"/>
              <w:left w:val="single" w:sz="4" w:space="0" w:color="auto"/>
              <w:bottom w:val="nil"/>
              <w:right w:val="single" w:sz="4" w:space="0" w:color="auto"/>
            </w:tcBorders>
            <w:shd w:val="clear" w:color="000000" w:fill="FFFFFF"/>
            <w:noWrap/>
            <w:vAlign w:val="bottom"/>
            <w:hideMark/>
          </w:tcPr>
          <w:p w14:paraId="37F2996E" w14:textId="4B771827" w:rsidR="004857E0" w:rsidRPr="004857E0" w:rsidRDefault="004857E0" w:rsidP="007025D5">
            <w:pPr>
              <w:pStyle w:val="Tabletext"/>
              <w:jc w:val="center"/>
              <w:rPr>
                <w:lang w:eastAsia="en-GB"/>
              </w:rPr>
            </w:pPr>
            <w:r w:rsidRPr="004857E0">
              <w:rPr>
                <w:lang w:eastAsia="en-GB"/>
              </w:rPr>
              <w:t>1/8</w:t>
            </w:r>
          </w:p>
        </w:tc>
      </w:tr>
      <w:tr w:rsidR="004857E0" w:rsidRPr="004857E0" w14:paraId="4F887F06"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7BA4B163" w14:textId="77777777" w:rsidR="004857E0" w:rsidRPr="004857E0" w:rsidRDefault="004857E0" w:rsidP="007025D5">
            <w:pPr>
              <w:pStyle w:val="Tabletext"/>
              <w:rPr>
                <w:lang w:eastAsia="en-GB"/>
              </w:rPr>
            </w:pPr>
            <w:r w:rsidRPr="004857E0">
              <w:rPr>
                <w:lang w:eastAsia="en-GB"/>
              </w:rPr>
              <w:t xml:space="preserve">Barbados </w:t>
            </w:r>
          </w:p>
        </w:tc>
        <w:tc>
          <w:tcPr>
            <w:tcW w:w="1900" w:type="dxa"/>
            <w:tcBorders>
              <w:top w:val="nil"/>
              <w:left w:val="single" w:sz="4" w:space="0" w:color="auto"/>
              <w:bottom w:val="nil"/>
              <w:right w:val="single" w:sz="4" w:space="0" w:color="auto"/>
            </w:tcBorders>
            <w:shd w:val="clear" w:color="000000" w:fill="FFFFFF"/>
            <w:noWrap/>
            <w:vAlign w:val="bottom"/>
            <w:hideMark/>
          </w:tcPr>
          <w:p w14:paraId="78362077" w14:textId="4DCDF144" w:rsidR="004857E0" w:rsidRPr="004857E0" w:rsidRDefault="004857E0" w:rsidP="007025D5">
            <w:pPr>
              <w:pStyle w:val="Tabletext"/>
              <w:jc w:val="center"/>
              <w:rPr>
                <w:lang w:eastAsia="en-GB"/>
              </w:rPr>
            </w:pPr>
            <w:r w:rsidRPr="004857E0">
              <w:rPr>
                <w:lang w:eastAsia="en-GB"/>
              </w:rPr>
              <w:t>1/4</w:t>
            </w:r>
          </w:p>
        </w:tc>
      </w:tr>
      <w:tr w:rsidR="004857E0" w:rsidRPr="004857E0" w14:paraId="1281C29E"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27DE484" w14:textId="77777777" w:rsidR="004857E0" w:rsidRPr="004857E0" w:rsidRDefault="004857E0" w:rsidP="007025D5">
            <w:pPr>
              <w:pStyle w:val="Tabletext"/>
              <w:rPr>
                <w:lang w:eastAsia="en-GB"/>
              </w:rPr>
            </w:pPr>
            <w:r w:rsidRPr="004857E0">
              <w:rPr>
                <w:lang w:eastAsia="en-GB"/>
              </w:rPr>
              <w:t>Belarus</w:t>
            </w:r>
          </w:p>
        </w:tc>
        <w:tc>
          <w:tcPr>
            <w:tcW w:w="1900" w:type="dxa"/>
            <w:tcBorders>
              <w:top w:val="nil"/>
              <w:left w:val="single" w:sz="4" w:space="0" w:color="auto"/>
              <w:bottom w:val="nil"/>
              <w:right w:val="single" w:sz="4" w:space="0" w:color="auto"/>
            </w:tcBorders>
            <w:shd w:val="clear" w:color="000000" w:fill="FFFFFF"/>
            <w:vAlign w:val="bottom"/>
            <w:hideMark/>
          </w:tcPr>
          <w:p w14:paraId="72B485E6" w14:textId="5105855D" w:rsidR="004857E0" w:rsidRPr="004857E0" w:rsidRDefault="004857E0" w:rsidP="007025D5">
            <w:pPr>
              <w:pStyle w:val="Tabletext"/>
              <w:jc w:val="center"/>
              <w:rPr>
                <w:lang w:eastAsia="en-GB"/>
              </w:rPr>
            </w:pPr>
            <w:r w:rsidRPr="004857E0">
              <w:rPr>
                <w:lang w:eastAsia="en-GB"/>
              </w:rPr>
              <w:t>1/4</w:t>
            </w:r>
          </w:p>
        </w:tc>
      </w:tr>
      <w:tr w:rsidR="004857E0" w:rsidRPr="004857E0" w14:paraId="074870A8"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1713D6D5" w14:textId="77777777" w:rsidR="004857E0" w:rsidRPr="004857E0" w:rsidRDefault="004857E0" w:rsidP="007025D5">
            <w:pPr>
              <w:pStyle w:val="Tabletext"/>
              <w:rPr>
                <w:lang w:eastAsia="en-GB"/>
              </w:rPr>
            </w:pPr>
            <w:r w:rsidRPr="004857E0">
              <w:rPr>
                <w:lang w:eastAsia="en-GB"/>
              </w:rPr>
              <w:t xml:space="preserve">Belgium </w:t>
            </w:r>
          </w:p>
        </w:tc>
        <w:tc>
          <w:tcPr>
            <w:tcW w:w="1900" w:type="dxa"/>
            <w:tcBorders>
              <w:top w:val="nil"/>
              <w:left w:val="single" w:sz="4" w:space="0" w:color="auto"/>
              <w:bottom w:val="nil"/>
              <w:right w:val="single" w:sz="4" w:space="0" w:color="auto"/>
            </w:tcBorders>
            <w:shd w:val="clear" w:color="000000" w:fill="FFFFFF"/>
            <w:noWrap/>
            <w:vAlign w:val="bottom"/>
            <w:hideMark/>
          </w:tcPr>
          <w:p w14:paraId="6F255C07" w14:textId="5BDA1694" w:rsidR="004857E0" w:rsidRPr="004857E0" w:rsidRDefault="004857E0" w:rsidP="007025D5">
            <w:pPr>
              <w:pStyle w:val="Tabletext"/>
              <w:jc w:val="center"/>
              <w:rPr>
                <w:lang w:eastAsia="en-GB"/>
              </w:rPr>
            </w:pPr>
            <w:r w:rsidRPr="004857E0">
              <w:rPr>
                <w:lang w:eastAsia="en-GB"/>
              </w:rPr>
              <w:t>3</w:t>
            </w:r>
          </w:p>
        </w:tc>
      </w:tr>
      <w:tr w:rsidR="004857E0" w:rsidRPr="004857E0" w14:paraId="1C6E6353"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116971B" w14:textId="77777777" w:rsidR="004857E0" w:rsidRPr="004857E0" w:rsidRDefault="004857E0" w:rsidP="007025D5">
            <w:pPr>
              <w:pStyle w:val="Tabletext"/>
              <w:rPr>
                <w:lang w:eastAsia="en-GB"/>
              </w:rPr>
            </w:pPr>
            <w:r w:rsidRPr="004857E0">
              <w:rPr>
                <w:lang w:eastAsia="en-GB"/>
              </w:rPr>
              <w:t xml:space="preserve">Belize </w:t>
            </w:r>
          </w:p>
        </w:tc>
        <w:tc>
          <w:tcPr>
            <w:tcW w:w="1900" w:type="dxa"/>
            <w:tcBorders>
              <w:top w:val="nil"/>
              <w:left w:val="single" w:sz="4" w:space="0" w:color="auto"/>
              <w:bottom w:val="nil"/>
              <w:right w:val="single" w:sz="4" w:space="0" w:color="auto"/>
            </w:tcBorders>
            <w:shd w:val="clear" w:color="000000" w:fill="FFFFFF"/>
            <w:noWrap/>
            <w:vAlign w:val="bottom"/>
            <w:hideMark/>
          </w:tcPr>
          <w:p w14:paraId="5AAF9184" w14:textId="34413E67" w:rsidR="004857E0" w:rsidRPr="004857E0" w:rsidRDefault="004857E0" w:rsidP="007025D5">
            <w:pPr>
              <w:pStyle w:val="Tabletext"/>
              <w:jc w:val="center"/>
              <w:rPr>
                <w:lang w:eastAsia="en-GB"/>
              </w:rPr>
            </w:pPr>
            <w:r w:rsidRPr="004857E0">
              <w:rPr>
                <w:lang w:eastAsia="en-GB"/>
              </w:rPr>
              <w:t>1/8</w:t>
            </w:r>
          </w:p>
        </w:tc>
      </w:tr>
      <w:tr w:rsidR="004857E0" w:rsidRPr="004857E0" w14:paraId="76F77E64"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1E53B72" w14:textId="77777777" w:rsidR="004857E0" w:rsidRPr="004857E0" w:rsidRDefault="004857E0" w:rsidP="007025D5">
            <w:pPr>
              <w:pStyle w:val="Tabletext"/>
              <w:rPr>
                <w:lang w:eastAsia="en-GB"/>
              </w:rPr>
            </w:pPr>
            <w:r w:rsidRPr="004857E0">
              <w:rPr>
                <w:lang w:eastAsia="en-GB"/>
              </w:rPr>
              <w:t xml:space="preserve">Benin  </w:t>
            </w:r>
          </w:p>
        </w:tc>
        <w:tc>
          <w:tcPr>
            <w:tcW w:w="1900" w:type="dxa"/>
            <w:tcBorders>
              <w:top w:val="nil"/>
              <w:left w:val="single" w:sz="4" w:space="0" w:color="auto"/>
              <w:bottom w:val="nil"/>
              <w:right w:val="single" w:sz="4" w:space="0" w:color="auto"/>
            </w:tcBorders>
            <w:shd w:val="clear" w:color="000000" w:fill="FFFFFF"/>
            <w:noWrap/>
            <w:vAlign w:val="bottom"/>
            <w:hideMark/>
          </w:tcPr>
          <w:p w14:paraId="62266B83" w14:textId="1C2CFD66" w:rsidR="004857E0" w:rsidRPr="004857E0" w:rsidRDefault="004857E0" w:rsidP="007025D5">
            <w:pPr>
              <w:pStyle w:val="Tabletext"/>
              <w:jc w:val="center"/>
              <w:rPr>
                <w:lang w:eastAsia="en-GB"/>
              </w:rPr>
            </w:pPr>
            <w:r w:rsidRPr="004857E0">
              <w:rPr>
                <w:lang w:eastAsia="en-GB"/>
              </w:rPr>
              <w:t>1/4</w:t>
            </w:r>
          </w:p>
        </w:tc>
      </w:tr>
      <w:tr w:rsidR="004857E0" w:rsidRPr="004857E0" w14:paraId="476E10D1"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FB8C18F" w14:textId="77777777" w:rsidR="004857E0" w:rsidRPr="004857E0" w:rsidRDefault="004857E0" w:rsidP="007025D5">
            <w:pPr>
              <w:pStyle w:val="Tabletext"/>
              <w:rPr>
                <w:lang w:eastAsia="en-GB"/>
              </w:rPr>
            </w:pPr>
            <w:r w:rsidRPr="004857E0">
              <w:rPr>
                <w:lang w:eastAsia="en-GB"/>
              </w:rPr>
              <w:t xml:space="preserve">Bhutan  </w:t>
            </w:r>
          </w:p>
        </w:tc>
        <w:tc>
          <w:tcPr>
            <w:tcW w:w="1900" w:type="dxa"/>
            <w:tcBorders>
              <w:top w:val="nil"/>
              <w:left w:val="single" w:sz="4" w:space="0" w:color="auto"/>
              <w:bottom w:val="nil"/>
              <w:right w:val="single" w:sz="4" w:space="0" w:color="auto"/>
            </w:tcBorders>
            <w:shd w:val="clear" w:color="000000" w:fill="FFFFFF"/>
            <w:noWrap/>
            <w:vAlign w:val="bottom"/>
            <w:hideMark/>
          </w:tcPr>
          <w:p w14:paraId="3DE64EE9" w14:textId="38811988" w:rsidR="004857E0" w:rsidRPr="004857E0" w:rsidRDefault="004857E0" w:rsidP="007025D5">
            <w:pPr>
              <w:pStyle w:val="Tabletext"/>
              <w:jc w:val="center"/>
              <w:rPr>
                <w:lang w:eastAsia="en-GB"/>
              </w:rPr>
            </w:pPr>
            <w:r w:rsidRPr="004857E0">
              <w:rPr>
                <w:lang w:eastAsia="en-GB"/>
              </w:rPr>
              <w:t>1/8</w:t>
            </w:r>
          </w:p>
        </w:tc>
      </w:tr>
      <w:tr w:rsidR="004857E0" w:rsidRPr="004857E0" w14:paraId="3AC435DE"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64880966" w14:textId="77777777" w:rsidR="004857E0" w:rsidRPr="004857E0" w:rsidRDefault="004857E0" w:rsidP="007025D5">
            <w:pPr>
              <w:pStyle w:val="Tabletext"/>
              <w:rPr>
                <w:lang w:eastAsia="en-GB"/>
              </w:rPr>
            </w:pPr>
            <w:r w:rsidRPr="004857E0">
              <w:rPr>
                <w:lang w:eastAsia="en-GB"/>
              </w:rPr>
              <w:t>Bolivia</w:t>
            </w:r>
          </w:p>
        </w:tc>
        <w:tc>
          <w:tcPr>
            <w:tcW w:w="1900" w:type="dxa"/>
            <w:tcBorders>
              <w:top w:val="nil"/>
              <w:left w:val="single" w:sz="4" w:space="0" w:color="auto"/>
              <w:bottom w:val="nil"/>
              <w:right w:val="single" w:sz="4" w:space="0" w:color="auto"/>
            </w:tcBorders>
            <w:shd w:val="clear" w:color="000000" w:fill="FFFFFF"/>
            <w:noWrap/>
            <w:vAlign w:val="bottom"/>
            <w:hideMark/>
          </w:tcPr>
          <w:p w14:paraId="51DD8856" w14:textId="36B409F8" w:rsidR="004857E0" w:rsidRPr="004857E0" w:rsidRDefault="004857E0" w:rsidP="007025D5">
            <w:pPr>
              <w:pStyle w:val="Tabletext"/>
              <w:jc w:val="center"/>
              <w:rPr>
                <w:lang w:eastAsia="en-GB"/>
              </w:rPr>
            </w:pPr>
            <w:r w:rsidRPr="004857E0">
              <w:rPr>
                <w:lang w:eastAsia="en-GB"/>
              </w:rPr>
              <w:t>1/4</w:t>
            </w:r>
          </w:p>
        </w:tc>
      </w:tr>
      <w:tr w:rsidR="004857E0" w:rsidRPr="004857E0" w14:paraId="280F8A6F"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14534B56" w14:textId="77777777" w:rsidR="004857E0" w:rsidRPr="004857E0" w:rsidRDefault="004857E0" w:rsidP="007025D5">
            <w:pPr>
              <w:pStyle w:val="Tabletext"/>
              <w:rPr>
                <w:lang w:eastAsia="en-GB"/>
              </w:rPr>
            </w:pPr>
            <w:r w:rsidRPr="004857E0">
              <w:rPr>
                <w:lang w:eastAsia="en-GB"/>
              </w:rPr>
              <w:t xml:space="preserve">Bosnia and Herzegovina </w:t>
            </w:r>
          </w:p>
        </w:tc>
        <w:tc>
          <w:tcPr>
            <w:tcW w:w="1900" w:type="dxa"/>
            <w:tcBorders>
              <w:top w:val="nil"/>
              <w:left w:val="single" w:sz="4" w:space="0" w:color="auto"/>
              <w:bottom w:val="nil"/>
              <w:right w:val="single" w:sz="4" w:space="0" w:color="auto"/>
            </w:tcBorders>
            <w:shd w:val="clear" w:color="000000" w:fill="FFFFFF"/>
            <w:noWrap/>
            <w:vAlign w:val="bottom"/>
            <w:hideMark/>
          </w:tcPr>
          <w:p w14:paraId="5A7DD2DF" w14:textId="33EF3321" w:rsidR="004857E0" w:rsidRPr="004857E0" w:rsidRDefault="004857E0" w:rsidP="007025D5">
            <w:pPr>
              <w:pStyle w:val="Tabletext"/>
              <w:jc w:val="center"/>
              <w:rPr>
                <w:lang w:eastAsia="en-GB"/>
              </w:rPr>
            </w:pPr>
            <w:r w:rsidRPr="004857E0">
              <w:rPr>
                <w:lang w:eastAsia="en-GB"/>
              </w:rPr>
              <w:t>1/16</w:t>
            </w:r>
          </w:p>
        </w:tc>
      </w:tr>
      <w:tr w:rsidR="004857E0" w:rsidRPr="004857E0" w14:paraId="792CDA0B"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773E7A7F" w14:textId="77777777" w:rsidR="004857E0" w:rsidRPr="004857E0" w:rsidRDefault="004857E0" w:rsidP="007025D5">
            <w:pPr>
              <w:pStyle w:val="Tabletext"/>
              <w:rPr>
                <w:lang w:eastAsia="en-GB"/>
              </w:rPr>
            </w:pPr>
            <w:r w:rsidRPr="004857E0">
              <w:rPr>
                <w:lang w:eastAsia="en-GB"/>
              </w:rPr>
              <w:t>Botswana</w:t>
            </w:r>
          </w:p>
        </w:tc>
        <w:tc>
          <w:tcPr>
            <w:tcW w:w="1900" w:type="dxa"/>
            <w:tcBorders>
              <w:top w:val="nil"/>
              <w:left w:val="single" w:sz="4" w:space="0" w:color="auto"/>
              <w:bottom w:val="nil"/>
              <w:right w:val="single" w:sz="4" w:space="0" w:color="auto"/>
            </w:tcBorders>
            <w:shd w:val="clear" w:color="000000" w:fill="FFFFFF"/>
            <w:noWrap/>
            <w:vAlign w:val="bottom"/>
            <w:hideMark/>
          </w:tcPr>
          <w:p w14:paraId="32EE407D" w14:textId="00D3E559" w:rsidR="004857E0" w:rsidRPr="004857E0" w:rsidRDefault="004857E0" w:rsidP="007025D5">
            <w:pPr>
              <w:pStyle w:val="Tabletext"/>
              <w:jc w:val="center"/>
              <w:rPr>
                <w:lang w:eastAsia="en-GB"/>
              </w:rPr>
            </w:pPr>
            <w:r w:rsidRPr="004857E0">
              <w:rPr>
                <w:lang w:eastAsia="en-GB"/>
              </w:rPr>
              <w:t>1/2</w:t>
            </w:r>
          </w:p>
        </w:tc>
      </w:tr>
      <w:tr w:rsidR="004857E0" w:rsidRPr="004857E0" w14:paraId="51813291"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8B5C1A5" w14:textId="77777777" w:rsidR="004857E0" w:rsidRPr="004857E0" w:rsidRDefault="004857E0" w:rsidP="007025D5">
            <w:pPr>
              <w:pStyle w:val="Tabletext"/>
              <w:rPr>
                <w:lang w:eastAsia="en-GB"/>
              </w:rPr>
            </w:pPr>
            <w:r w:rsidRPr="004857E0">
              <w:rPr>
                <w:lang w:eastAsia="en-GB"/>
              </w:rPr>
              <w:t>Brazil</w:t>
            </w:r>
          </w:p>
        </w:tc>
        <w:tc>
          <w:tcPr>
            <w:tcW w:w="1900" w:type="dxa"/>
            <w:tcBorders>
              <w:top w:val="nil"/>
              <w:left w:val="single" w:sz="4" w:space="0" w:color="auto"/>
              <w:bottom w:val="nil"/>
              <w:right w:val="single" w:sz="4" w:space="0" w:color="auto"/>
            </w:tcBorders>
            <w:shd w:val="clear" w:color="000000" w:fill="FFFFFF"/>
            <w:noWrap/>
            <w:vAlign w:val="bottom"/>
            <w:hideMark/>
          </w:tcPr>
          <w:p w14:paraId="7FD2B546" w14:textId="5C123569" w:rsidR="004857E0" w:rsidRPr="004857E0" w:rsidRDefault="004857E0" w:rsidP="007025D5">
            <w:pPr>
              <w:pStyle w:val="Tabletext"/>
              <w:jc w:val="center"/>
              <w:rPr>
                <w:lang w:eastAsia="en-GB"/>
              </w:rPr>
            </w:pPr>
            <w:r w:rsidRPr="004857E0">
              <w:rPr>
                <w:lang w:eastAsia="en-GB"/>
              </w:rPr>
              <w:t>11</w:t>
            </w:r>
          </w:p>
        </w:tc>
      </w:tr>
      <w:tr w:rsidR="004857E0" w:rsidRPr="004857E0" w14:paraId="67B667E6"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647DD37E" w14:textId="77777777" w:rsidR="004857E0" w:rsidRPr="004857E0" w:rsidRDefault="004857E0" w:rsidP="007025D5">
            <w:pPr>
              <w:pStyle w:val="Tabletext"/>
              <w:rPr>
                <w:lang w:eastAsia="en-GB"/>
              </w:rPr>
            </w:pPr>
            <w:r w:rsidRPr="004857E0">
              <w:rPr>
                <w:lang w:eastAsia="en-GB"/>
              </w:rPr>
              <w:t xml:space="preserve">Brunei Darussalam </w:t>
            </w:r>
          </w:p>
        </w:tc>
        <w:tc>
          <w:tcPr>
            <w:tcW w:w="1900" w:type="dxa"/>
            <w:tcBorders>
              <w:top w:val="nil"/>
              <w:left w:val="single" w:sz="4" w:space="0" w:color="auto"/>
              <w:bottom w:val="nil"/>
              <w:right w:val="single" w:sz="4" w:space="0" w:color="auto"/>
            </w:tcBorders>
            <w:shd w:val="clear" w:color="000000" w:fill="FFFFFF"/>
            <w:vAlign w:val="bottom"/>
            <w:hideMark/>
          </w:tcPr>
          <w:p w14:paraId="4A277B6A" w14:textId="7D32CFBC" w:rsidR="004857E0" w:rsidRPr="004857E0" w:rsidRDefault="004857E0" w:rsidP="007025D5">
            <w:pPr>
              <w:pStyle w:val="Tabletext"/>
              <w:jc w:val="center"/>
              <w:rPr>
                <w:lang w:eastAsia="en-GB"/>
              </w:rPr>
            </w:pPr>
            <w:r w:rsidRPr="004857E0">
              <w:rPr>
                <w:lang w:eastAsia="en-GB"/>
              </w:rPr>
              <w:t>1/2</w:t>
            </w:r>
          </w:p>
        </w:tc>
      </w:tr>
      <w:tr w:rsidR="004857E0" w:rsidRPr="004857E0" w14:paraId="6F3F7302"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BBCCCF4" w14:textId="77777777" w:rsidR="004857E0" w:rsidRPr="004857E0" w:rsidRDefault="004857E0" w:rsidP="007025D5">
            <w:pPr>
              <w:pStyle w:val="Tabletext"/>
              <w:rPr>
                <w:lang w:eastAsia="en-GB"/>
              </w:rPr>
            </w:pPr>
            <w:r w:rsidRPr="004857E0">
              <w:rPr>
                <w:lang w:eastAsia="en-GB"/>
              </w:rPr>
              <w:t>Bulgaria</w:t>
            </w:r>
          </w:p>
        </w:tc>
        <w:tc>
          <w:tcPr>
            <w:tcW w:w="1900" w:type="dxa"/>
            <w:tcBorders>
              <w:top w:val="nil"/>
              <w:left w:val="single" w:sz="4" w:space="0" w:color="auto"/>
              <w:bottom w:val="nil"/>
              <w:right w:val="single" w:sz="4" w:space="0" w:color="auto"/>
            </w:tcBorders>
            <w:shd w:val="clear" w:color="000000" w:fill="FFFFFF"/>
            <w:noWrap/>
            <w:vAlign w:val="bottom"/>
            <w:hideMark/>
          </w:tcPr>
          <w:p w14:paraId="750F83C8" w14:textId="55185179" w:rsidR="004857E0" w:rsidRPr="004857E0" w:rsidRDefault="004857E0" w:rsidP="007025D5">
            <w:pPr>
              <w:pStyle w:val="Tabletext"/>
              <w:jc w:val="center"/>
              <w:rPr>
                <w:lang w:eastAsia="en-GB"/>
              </w:rPr>
            </w:pPr>
            <w:r w:rsidRPr="004857E0">
              <w:rPr>
                <w:lang w:eastAsia="en-GB"/>
              </w:rPr>
              <w:t>1/4</w:t>
            </w:r>
          </w:p>
        </w:tc>
      </w:tr>
      <w:tr w:rsidR="004857E0" w:rsidRPr="004857E0" w14:paraId="73EE008E"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702C0E88" w14:textId="77777777" w:rsidR="004857E0" w:rsidRPr="004857E0" w:rsidRDefault="004857E0" w:rsidP="007025D5">
            <w:pPr>
              <w:pStyle w:val="Tabletext"/>
              <w:rPr>
                <w:lang w:eastAsia="en-GB"/>
              </w:rPr>
            </w:pPr>
            <w:r w:rsidRPr="004857E0">
              <w:rPr>
                <w:lang w:eastAsia="en-GB"/>
              </w:rPr>
              <w:t>Burkina Faso</w:t>
            </w:r>
          </w:p>
        </w:tc>
        <w:tc>
          <w:tcPr>
            <w:tcW w:w="1900" w:type="dxa"/>
            <w:tcBorders>
              <w:top w:val="nil"/>
              <w:left w:val="single" w:sz="4" w:space="0" w:color="auto"/>
              <w:bottom w:val="nil"/>
              <w:right w:val="single" w:sz="4" w:space="0" w:color="auto"/>
            </w:tcBorders>
            <w:shd w:val="clear" w:color="000000" w:fill="FFFFFF"/>
            <w:noWrap/>
            <w:vAlign w:val="bottom"/>
            <w:hideMark/>
          </w:tcPr>
          <w:p w14:paraId="65366C84" w14:textId="417F0CB0" w:rsidR="004857E0" w:rsidRPr="004857E0" w:rsidRDefault="004857E0" w:rsidP="007025D5">
            <w:pPr>
              <w:pStyle w:val="Tabletext"/>
              <w:jc w:val="center"/>
              <w:rPr>
                <w:lang w:eastAsia="en-GB"/>
              </w:rPr>
            </w:pPr>
            <w:r w:rsidRPr="004857E0">
              <w:rPr>
                <w:lang w:eastAsia="en-GB"/>
              </w:rPr>
              <w:t>1/4</w:t>
            </w:r>
          </w:p>
        </w:tc>
      </w:tr>
      <w:tr w:rsidR="004857E0" w:rsidRPr="004857E0" w14:paraId="3BC14664"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C984A6A" w14:textId="77777777" w:rsidR="004857E0" w:rsidRPr="004857E0" w:rsidRDefault="004857E0" w:rsidP="007025D5">
            <w:pPr>
              <w:pStyle w:val="Tabletext"/>
              <w:rPr>
                <w:lang w:eastAsia="en-GB"/>
              </w:rPr>
            </w:pPr>
            <w:r w:rsidRPr="004857E0">
              <w:rPr>
                <w:lang w:eastAsia="en-GB"/>
              </w:rPr>
              <w:t>Burundi</w:t>
            </w:r>
          </w:p>
        </w:tc>
        <w:tc>
          <w:tcPr>
            <w:tcW w:w="1900" w:type="dxa"/>
            <w:tcBorders>
              <w:top w:val="nil"/>
              <w:left w:val="single" w:sz="4" w:space="0" w:color="auto"/>
              <w:bottom w:val="nil"/>
              <w:right w:val="single" w:sz="4" w:space="0" w:color="auto"/>
            </w:tcBorders>
            <w:shd w:val="clear" w:color="000000" w:fill="FFFFFF"/>
            <w:noWrap/>
            <w:vAlign w:val="bottom"/>
            <w:hideMark/>
          </w:tcPr>
          <w:p w14:paraId="496B7DAE" w14:textId="42168BD0" w:rsidR="004857E0" w:rsidRPr="004857E0" w:rsidRDefault="004857E0" w:rsidP="007025D5">
            <w:pPr>
              <w:pStyle w:val="Tabletext"/>
              <w:jc w:val="center"/>
              <w:rPr>
                <w:lang w:eastAsia="en-GB"/>
              </w:rPr>
            </w:pPr>
            <w:r w:rsidRPr="004857E0">
              <w:rPr>
                <w:lang w:eastAsia="en-GB"/>
              </w:rPr>
              <w:t>1/16</w:t>
            </w:r>
          </w:p>
        </w:tc>
      </w:tr>
      <w:tr w:rsidR="004857E0" w:rsidRPr="004857E0" w14:paraId="6397977A"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0B63D6E" w14:textId="77777777" w:rsidR="004857E0" w:rsidRPr="004857E0" w:rsidRDefault="004857E0" w:rsidP="007025D5">
            <w:pPr>
              <w:pStyle w:val="Tabletext"/>
              <w:rPr>
                <w:lang w:eastAsia="en-GB"/>
              </w:rPr>
            </w:pPr>
            <w:r w:rsidRPr="004857E0">
              <w:rPr>
                <w:lang w:eastAsia="en-GB"/>
              </w:rPr>
              <w:t>Cambodia</w:t>
            </w:r>
          </w:p>
        </w:tc>
        <w:tc>
          <w:tcPr>
            <w:tcW w:w="1900" w:type="dxa"/>
            <w:tcBorders>
              <w:top w:val="nil"/>
              <w:left w:val="single" w:sz="4" w:space="0" w:color="auto"/>
              <w:bottom w:val="nil"/>
              <w:right w:val="single" w:sz="4" w:space="0" w:color="auto"/>
            </w:tcBorders>
            <w:shd w:val="clear" w:color="000000" w:fill="FFFFFF"/>
            <w:vAlign w:val="bottom"/>
            <w:hideMark/>
          </w:tcPr>
          <w:p w14:paraId="6A5F42EE" w14:textId="3E080DAA" w:rsidR="004857E0" w:rsidRPr="004857E0" w:rsidRDefault="004857E0" w:rsidP="007025D5">
            <w:pPr>
              <w:pStyle w:val="Tabletext"/>
              <w:jc w:val="center"/>
              <w:rPr>
                <w:lang w:eastAsia="en-GB"/>
              </w:rPr>
            </w:pPr>
            <w:r w:rsidRPr="004857E0">
              <w:rPr>
                <w:lang w:eastAsia="en-GB"/>
              </w:rPr>
              <w:t>1/8</w:t>
            </w:r>
          </w:p>
        </w:tc>
      </w:tr>
      <w:tr w:rsidR="004857E0" w:rsidRPr="004857E0" w14:paraId="14846882"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99B01A8" w14:textId="77777777" w:rsidR="004857E0" w:rsidRPr="004857E0" w:rsidRDefault="004857E0" w:rsidP="007025D5">
            <w:pPr>
              <w:pStyle w:val="Tabletext"/>
              <w:rPr>
                <w:lang w:eastAsia="en-GB"/>
              </w:rPr>
            </w:pPr>
            <w:r w:rsidRPr="004857E0">
              <w:rPr>
                <w:lang w:eastAsia="en-GB"/>
              </w:rPr>
              <w:t xml:space="preserve">Cameroon </w:t>
            </w:r>
          </w:p>
        </w:tc>
        <w:tc>
          <w:tcPr>
            <w:tcW w:w="1900" w:type="dxa"/>
            <w:tcBorders>
              <w:top w:val="nil"/>
              <w:left w:val="single" w:sz="4" w:space="0" w:color="auto"/>
              <w:bottom w:val="nil"/>
              <w:right w:val="single" w:sz="4" w:space="0" w:color="auto"/>
            </w:tcBorders>
            <w:shd w:val="clear" w:color="000000" w:fill="FFFFFF"/>
            <w:noWrap/>
            <w:vAlign w:val="bottom"/>
            <w:hideMark/>
          </w:tcPr>
          <w:p w14:paraId="5A9B57CE" w14:textId="5600F585" w:rsidR="004857E0" w:rsidRPr="004857E0" w:rsidRDefault="004857E0" w:rsidP="007025D5">
            <w:pPr>
              <w:pStyle w:val="Tabletext"/>
              <w:jc w:val="center"/>
              <w:rPr>
                <w:lang w:eastAsia="en-GB"/>
              </w:rPr>
            </w:pPr>
            <w:r w:rsidRPr="004857E0">
              <w:rPr>
                <w:lang w:eastAsia="en-GB"/>
              </w:rPr>
              <w:t>1</w:t>
            </w:r>
          </w:p>
        </w:tc>
      </w:tr>
      <w:tr w:rsidR="004857E0" w:rsidRPr="004857E0" w14:paraId="46981E59"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36AA0191" w14:textId="77777777" w:rsidR="004857E0" w:rsidRPr="004857E0" w:rsidRDefault="004857E0" w:rsidP="007025D5">
            <w:pPr>
              <w:pStyle w:val="Tabletext"/>
              <w:rPr>
                <w:lang w:eastAsia="en-GB"/>
              </w:rPr>
            </w:pPr>
            <w:r w:rsidRPr="004857E0">
              <w:rPr>
                <w:lang w:eastAsia="en-GB"/>
              </w:rPr>
              <w:t>Canada</w:t>
            </w:r>
          </w:p>
        </w:tc>
        <w:tc>
          <w:tcPr>
            <w:tcW w:w="1900" w:type="dxa"/>
            <w:tcBorders>
              <w:top w:val="nil"/>
              <w:left w:val="single" w:sz="4" w:space="0" w:color="auto"/>
              <w:bottom w:val="nil"/>
              <w:right w:val="single" w:sz="4" w:space="0" w:color="auto"/>
            </w:tcBorders>
            <w:shd w:val="clear" w:color="000000" w:fill="FFFFFF"/>
            <w:noWrap/>
            <w:vAlign w:val="bottom"/>
            <w:hideMark/>
          </w:tcPr>
          <w:p w14:paraId="330AF650" w14:textId="7DD7C315" w:rsidR="004857E0" w:rsidRPr="004857E0" w:rsidRDefault="004857E0" w:rsidP="007025D5">
            <w:pPr>
              <w:pStyle w:val="Tabletext"/>
              <w:jc w:val="center"/>
              <w:rPr>
                <w:lang w:eastAsia="en-GB"/>
              </w:rPr>
            </w:pPr>
            <w:r w:rsidRPr="004857E0">
              <w:rPr>
                <w:lang w:eastAsia="en-GB"/>
              </w:rPr>
              <w:t>11</w:t>
            </w:r>
          </w:p>
        </w:tc>
      </w:tr>
      <w:tr w:rsidR="004857E0" w:rsidRPr="004857E0" w14:paraId="2E256F15"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4D11A84" w14:textId="77777777" w:rsidR="004857E0" w:rsidRPr="004857E0" w:rsidRDefault="004857E0" w:rsidP="007025D5">
            <w:pPr>
              <w:pStyle w:val="Tabletext"/>
              <w:rPr>
                <w:lang w:eastAsia="en-GB"/>
              </w:rPr>
            </w:pPr>
            <w:r w:rsidRPr="004857E0">
              <w:rPr>
                <w:lang w:eastAsia="en-GB"/>
              </w:rPr>
              <w:lastRenderedPageBreak/>
              <w:t>Cabo Verde</w:t>
            </w:r>
          </w:p>
        </w:tc>
        <w:tc>
          <w:tcPr>
            <w:tcW w:w="1900" w:type="dxa"/>
            <w:tcBorders>
              <w:top w:val="nil"/>
              <w:left w:val="single" w:sz="4" w:space="0" w:color="auto"/>
              <w:bottom w:val="nil"/>
              <w:right w:val="single" w:sz="4" w:space="0" w:color="auto"/>
            </w:tcBorders>
            <w:shd w:val="clear" w:color="000000" w:fill="FFFFFF"/>
            <w:vAlign w:val="bottom"/>
            <w:hideMark/>
          </w:tcPr>
          <w:p w14:paraId="74F32027" w14:textId="5963FFAD" w:rsidR="004857E0" w:rsidRPr="004857E0" w:rsidRDefault="004857E0" w:rsidP="007025D5">
            <w:pPr>
              <w:pStyle w:val="Tabletext"/>
              <w:jc w:val="center"/>
              <w:rPr>
                <w:lang w:eastAsia="en-GB"/>
              </w:rPr>
            </w:pPr>
            <w:r w:rsidRPr="004857E0">
              <w:rPr>
                <w:lang w:eastAsia="en-GB"/>
              </w:rPr>
              <w:t>1/16</w:t>
            </w:r>
          </w:p>
        </w:tc>
      </w:tr>
      <w:tr w:rsidR="004857E0" w:rsidRPr="004857E0" w14:paraId="028F5E5B"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6D23364B" w14:textId="77777777" w:rsidR="004857E0" w:rsidRPr="004857E0" w:rsidRDefault="004857E0" w:rsidP="007025D5">
            <w:pPr>
              <w:pStyle w:val="Tabletext"/>
              <w:rPr>
                <w:lang w:eastAsia="en-GB"/>
              </w:rPr>
            </w:pPr>
            <w:r w:rsidRPr="004857E0">
              <w:rPr>
                <w:lang w:eastAsia="en-GB"/>
              </w:rPr>
              <w:t>Central African Republic</w:t>
            </w:r>
          </w:p>
        </w:tc>
        <w:tc>
          <w:tcPr>
            <w:tcW w:w="1900" w:type="dxa"/>
            <w:tcBorders>
              <w:top w:val="nil"/>
              <w:left w:val="single" w:sz="4" w:space="0" w:color="auto"/>
              <w:bottom w:val="nil"/>
              <w:right w:val="single" w:sz="4" w:space="0" w:color="auto"/>
            </w:tcBorders>
            <w:shd w:val="clear" w:color="000000" w:fill="FFFFFF"/>
            <w:noWrap/>
            <w:vAlign w:val="bottom"/>
            <w:hideMark/>
          </w:tcPr>
          <w:p w14:paraId="7AE6C7E4" w14:textId="6C548435" w:rsidR="004857E0" w:rsidRPr="004857E0" w:rsidRDefault="004857E0" w:rsidP="007025D5">
            <w:pPr>
              <w:pStyle w:val="Tabletext"/>
              <w:jc w:val="center"/>
              <w:rPr>
                <w:lang w:eastAsia="en-GB"/>
              </w:rPr>
            </w:pPr>
            <w:r w:rsidRPr="004857E0">
              <w:rPr>
                <w:lang w:eastAsia="en-GB"/>
              </w:rPr>
              <w:t>1/16</w:t>
            </w:r>
          </w:p>
        </w:tc>
      </w:tr>
      <w:tr w:rsidR="004857E0" w:rsidRPr="004857E0" w14:paraId="7BDC4A93"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1238B85" w14:textId="77777777" w:rsidR="004857E0" w:rsidRPr="004857E0" w:rsidRDefault="004857E0" w:rsidP="007025D5">
            <w:pPr>
              <w:pStyle w:val="Tabletext"/>
              <w:rPr>
                <w:lang w:eastAsia="en-GB"/>
              </w:rPr>
            </w:pPr>
            <w:r w:rsidRPr="004857E0">
              <w:rPr>
                <w:lang w:eastAsia="en-GB"/>
              </w:rPr>
              <w:t>Chad</w:t>
            </w:r>
          </w:p>
        </w:tc>
        <w:tc>
          <w:tcPr>
            <w:tcW w:w="1900" w:type="dxa"/>
            <w:tcBorders>
              <w:top w:val="nil"/>
              <w:left w:val="single" w:sz="4" w:space="0" w:color="auto"/>
              <w:bottom w:val="nil"/>
              <w:right w:val="single" w:sz="4" w:space="0" w:color="auto"/>
            </w:tcBorders>
            <w:shd w:val="clear" w:color="000000" w:fill="FFFFFF"/>
            <w:noWrap/>
            <w:vAlign w:val="bottom"/>
            <w:hideMark/>
          </w:tcPr>
          <w:p w14:paraId="5BAC4B94" w14:textId="0160E8D5" w:rsidR="004857E0" w:rsidRPr="004857E0" w:rsidRDefault="004857E0" w:rsidP="007025D5">
            <w:pPr>
              <w:pStyle w:val="Tabletext"/>
              <w:jc w:val="center"/>
              <w:rPr>
                <w:lang w:eastAsia="en-GB"/>
              </w:rPr>
            </w:pPr>
            <w:r w:rsidRPr="004857E0">
              <w:rPr>
                <w:lang w:eastAsia="en-GB"/>
              </w:rPr>
              <w:t>1/16</w:t>
            </w:r>
          </w:p>
        </w:tc>
      </w:tr>
      <w:tr w:rsidR="004857E0" w:rsidRPr="004857E0" w14:paraId="7D342F3E"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D25D320" w14:textId="77777777" w:rsidR="004857E0" w:rsidRPr="004857E0" w:rsidRDefault="004857E0" w:rsidP="007025D5">
            <w:pPr>
              <w:pStyle w:val="Tabletext"/>
              <w:rPr>
                <w:lang w:eastAsia="en-GB"/>
              </w:rPr>
            </w:pPr>
            <w:r w:rsidRPr="004857E0">
              <w:rPr>
                <w:lang w:eastAsia="en-GB"/>
              </w:rPr>
              <w:t>Chile</w:t>
            </w:r>
          </w:p>
        </w:tc>
        <w:tc>
          <w:tcPr>
            <w:tcW w:w="1900" w:type="dxa"/>
            <w:tcBorders>
              <w:top w:val="nil"/>
              <w:left w:val="single" w:sz="4" w:space="0" w:color="auto"/>
              <w:bottom w:val="nil"/>
              <w:right w:val="single" w:sz="4" w:space="0" w:color="auto"/>
            </w:tcBorders>
            <w:shd w:val="clear" w:color="000000" w:fill="FFFFFF"/>
            <w:vAlign w:val="bottom"/>
            <w:hideMark/>
          </w:tcPr>
          <w:p w14:paraId="3F2157DA" w14:textId="51FBB3D1" w:rsidR="004857E0" w:rsidRPr="004857E0" w:rsidRDefault="004857E0" w:rsidP="007025D5">
            <w:pPr>
              <w:pStyle w:val="Tabletext"/>
              <w:jc w:val="center"/>
              <w:rPr>
                <w:lang w:eastAsia="en-GB"/>
              </w:rPr>
            </w:pPr>
            <w:r w:rsidRPr="004857E0">
              <w:rPr>
                <w:lang w:eastAsia="en-GB"/>
              </w:rPr>
              <w:t>1/2</w:t>
            </w:r>
          </w:p>
        </w:tc>
      </w:tr>
      <w:tr w:rsidR="004857E0" w:rsidRPr="004857E0" w14:paraId="722A5CCE"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60550B0" w14:textId="77777777" w:rsidR="004857E0" w:rsidRPr="004857E0" w:rsidRDefault="004857E0" w:rsidP="007025D5">
            <w:pPr>
              <w:pStyle w:val="Tabletext"/>
              <w:rPr>
                <w:lang w:eastAsia="en-GB"/>
              </w:rPr>
            </w:pPr>
            <w:r w:rsidRPr="004857E0">
              <w:rPr>
                <w:lang w:eastAsia="en-GB"/>
              </w:rPr>
              <w:t>China</w:t>
            </w:r>
          </w:p>
        </w:tc>
        <w:tc>
          <w:tcPr>
            <w:tcW w:w="1900" w:type="dxa"/>
            <w:tcBorders>
              <w:top w:val="nil"/>
              <w:left w:val="single" w:sz="4" w:space="0" w:color="auto"/>
              <w:bottom w:val="nil"/>
              <w:right w:val="single" w:sz="4" w:space="0" w:color="auto"/>
            </w:tcBorders>
            <w:shd w:val="clear" w:color="000000" w:fill="FFFFFF"/>
            <w:noWrap/>
            <w:vAlign w:val="bottom"/>
            <w:hideMark/>
          </w:tcPr>
          <w:p w14:paraId="24F550D2" w14:textId="402E438D" w:rsidR="004857E0" w:rsidRPr="004857E0" w:rsidRDefault="004857E0" w:rsidP="007025D5">
            <w:pPr>
              <w:pStyle w:val="Tabletext"/>
              <w:jc w:val="center"/>
              <w:rPr>
                <w:lang w:eastAsia="en-GB"/>
              </w:rPr>
            </w:pPr>
            <w:r w:rsidRPr="004857E0">
              <w:rPr>
                <w:lang w:eastAsia="en-GB"/>
              </w:rPr>
              <w:t>20</w:t>
            </w:r>
          </w:p>
        </w:tc>
      </w:tr>
      <w:tr w:rsidR="004857E0" w:rsidRPr="004857E0" w14:paraId="30B68FB8"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E3746D7" w14:textId="77777777" w:rsidR="004857E0" w:rsidRPr="004857E0" w:rsidRDefault="004857E0" w:rsidP="007025D5">
            <w:pPr>
              <w:pStyle w:val="Tabletext"/>
              <w:rPr>
                <w:lang w:eastAsia="en-GB"/>
              </w:rPr>
            </w:pPr>
            <w:r w:rsidRPr="004857E0">
              <w:rPr>
                <w:lang w:eastAsia="en-GB"/>
              </w:rPr>
              <w:t>Colombia</w:t>
            </w:r>
          </w:p>
        </w:tc>
        <w:tc>
          <w:tcPr>
            <w:tcW w:w="1900" w:type="dxa"/>
            <w:tcBorders>
              <w:top w:val="nil"/>
              <w:left w:val="single" w:sz="4" w:space="0" w:color="auto"/>
              <w:bottom w:val="nil"/>
              <w:right w:val="single" w:sz="4" w:space="0" w:color="auto"/>
            </w:tcBorders>
            <w:shd w:val="clear" w:color="000000" w:fill="FFFFFF"/>
            <w:noWrap/>
            <w:vAlign w:val="bottom"/>
            <w:hideMark/>
          </w:tcPr>
          <w:p w14:paraId="09A597A0" w14:textId="49E23DE8" w:rsidR="004857E0" w:rsidRPr="004857E0" w:rsidRDefault="004857E0" w:rsidP="007025D5">
            <w:pPr>
              <w:pStyle w:val="Tabletext"/>
              <w:jc w:val="center"/>
              <w:rPr>
                <w:lang w:eastAsia="en-GB"/>
              </w:rPr>
            </w:pPr>
            <w:r w:rsidRPr="004857E0">
              <w:rPr>
                <w:lang w:eastAsia="en-GB"/>
              </w:rPr>
              <w:t>1</w:t>
            </w:r>
          </w:p>
        </w:tc>
      </w:tr>
      <w:tr w:rsidR="004857E0" w:rsidRPr="004857E0" w14:paraId="6CB5F9DE" w14:textId="77777777" w:rsidTr="007025D5">
        <w:trPr>
          <w:cantSplit/>
          <w:jc w:val="center"/>
        </w:trPr>
        <w:tc>
          <w:tcPr>
            <w:tcW w:w="4180" w:type="dxa"/>
            <w:tcBorders>
              <w:top w:val="nil"/>
              <w:left w:val="single" w:sz="4" w:space="0" w:color="auto"/>
              <w:bottom w:val="nil"/>
              <w:right w:val="single" w:sz="4" w:space="0" w:color="auto"/>
            </w:tcBorders>
            <w:shd w:val="clear" w:color="000000" w:fill="FFFFFF"/>
            <w:noWrap/>
            <w:vAlign w:val="bottom"/>
            <w:hideMark/>
          </w:tcPr>
          <w:p w14:paraId="66B46154" w14:textId="77777777" w:rsidR="004857E0" w:rsidRPr="004857E0" w:rsidRDefault="004857E0" w:rsidP="007025D5">
            <w:pPr>
              <w:pStyle w:val="Tabletext"/>
              <w:rPr>
                <w:lang w:eastAsia="en-GB"/>
              </w:rPr>
            </w:pPr>
            <w:r w:rsidRPr="004857E0">
              <w:rPr>
                <w:lang w:eastAsia="en-GB"/>
              </w:rPr>
              <w:t>Comoros</w:t>
            </w:r>
          </w:p>
        </w:tc>
        <w:tc>
          <w:tcPr>
            <w:tcW w:w="1900" w:type="dxa"/>
            <w:tcBorders>
              <w:top w:val="nil"/>
              <w:left w:val="single" w:sz="4" w:space="0" w:color="auto"/>
              <w:bottom w:val="nil"/>
              <w:right w:val="single" w:sz="4" w:space="0" w:color="auto"/>
            </w:tcBorders>
            <w:shd w:val="clear" w:color="000000" w:fill="FFFFFF"/>
            <w:noWrap/>
            <w:vAlign w:val="bottom"/>
            <w:hideMark/>
          </w:tcPr>
          <w:p w14:paraId="3106CB67" w14:textId="076DC447" w:rsidR="004857E0" w:rsidRPr="004857E0" w:rsidRDefault="004857E0" w:rsidP="007025D5">
            <w:pPr>
              <w:pStyle w:val="Tabletext"/>
              <w:jc w:val="center"/>
              <w:rPr>
                <w:lang w:eastAsia="en-GB"/>
              </w:rPr>
            </w:pPr>
            <w:r w:rsidRPr="004857E0">
              <w:rPr>
                <w:lang w:eastAsia="en-GB"/>
              </w:rPr>
              <w:t>1/16</w:t>
            </w:r>
          </w:p>
        </w:tc>
      </w:tr>
      <w:tr w:rsidR="004857E0" w:rsidRPr="004857E0" w14:paraId="195E8DB4"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1C3FB67B" w14:textId="77777777" w:rsidR="004857E0" w:rsidRPr="004857E0" w:rsidRDefault="004857E0" w:rsidP="007025D5">
            <w:pPr>
              <w:pStyle w:val="Tabletext"/>
              <w:rPr>
                <w:lang w:eastAsia="en-GB"/>
              </w:rPr>
            </w:pPr>
            <w:r w:rsidRPr="004857E0">
              <w:rPr>
                <w:lang w:eastAsia="en-GB"/>
              </w:rPr>
              <w:t xml:space="preserve">Congo </w:t>
            </w:r>
          </w:p>
        </w:tc>
        <w:tc>
          <w:tcPr>
            <w:tcW w:w="1900" w:type="dxa"/>
            <w:tcBorders>
              <w:top w:val="nil"/>
              <w:left w:val="single" w:sz="4" w:space="0" w:color="auto"/>
              <w:bottom w:val="nil"/>
              <w:right w:val="single" w:sz="4" w:space="0" w:color="auto"/>
            </w:tcBorders>
            <w:shd w:val="clear" w:color="000000" w:fill="FFFFFF"/>
            <w:noWrap/>
            <w:vAlign w:val="bottom"/>
            <w:hideMark/>
          </w:tcPr>
          <w:p w14:paraId="534857D6" w14:textId="03B50F5F" w:rsidR="004857E0" w:rsidRPr="004857E0" w:rsidRDefault="004857E0" w:rsidP="007025D5">
            <w:pPr>
              <w:pStyle w:val="Tabletext"/>
              <w:jc w:val="center"/>
              <w:rPr>
                <w:lang w:eastAsia="en-GB"/>
              </w:rPr>
            </w:pPr>
            <w:r w:rsidRPr="004857E0">
              <w:rPr>
                <w:lang w:eastAsia="en-GB"/>
              </w:rPr>
              <w:t>1/4</w:t>
            </w:r>
          </w:p>
        </w:tc>
      </w:tr>
      <w:tr w:rsidR="004857E0" w:rsidRPr="004857E0" w14:paraId="504B07C6"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B6EE783" w14:textId="77777777" w:rsidR="004857E0" w:rsidRPr="004857E0" w:rsidRDefault="004857E0" w:rsidP="007025D5">
            <w:pPr>
              <w:pStyle w:val="Tabletext"/>
              <w:rPr>
                <w:lang w:eastAsia="en-GB"/>
              </w:rPr>
            </w:pPr>
            <w:r w:rsidRPr="004857E0">
              <w:rPr>
                <w:lang w:eastAsia="en-GB"/>
              </w:rPr>
              <w:t xml:space="preserve">Costa Rica </w:t>
            </w:r>
          </w:p>
        </w:tc>
        <w:tc>
          <w:tcPr>
            <w:tcW w:w="1900" w:type="dxa"/>
            <w:tcBorders>
              <w:top w:val="nil"/>
              <w:left w:val="single" w:sz="4" w:space="0" w:color="auto"/>
              <w:bottom w:val="nil"/>
              <w:right w:val="single" w:sz="4" w:space="0" w:color="auto"/>
            </w:tcBorders>
            <w:shd w:val="clear" w:color="000000" w:fill="FFFFFF"/>
            <w:noWrap/>
            <w:vAlign w:val="bottom"/>
            <w:hideMark/>
          </w:tcPr>
          <w:p w14:paraId="48B4847A" w14:textId="3B915FFC" w:rsidR="004857E0" w:rsidRPr="004857E0" w:rsidRDefault="004857E0" w:rsidP="007025D5">
            <w:pPr>
              <w:pStyle w:val="Tabletext"/>
              <w:jc w:val="center"/>
              <w:rPr>
                <w:lang w:eastAsia="en-GB"/>
              </w:rPr>
            </w:pPr>
            <w:r w:rsidRPr="004857E0">
              <w:rPr>
                <w:lang w:eastAsia="en-GB"/>
              </w:rPr>
              <w:t>1/4</w:t>
            </w:r>
          </w:p>
        </w:tc>
      </w:tr>
      <w:tr w:rsidR="004857E0" w:rsidRPr="004857E0" w14:paraId="47838B78"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69760D65" w14:textId="77777777" w:rsidR="004857E0" w:rsidRPr="004857E0" w:rsidRDefault="004857E0" w:rsidP="007025D5">
            <w:pPr>
              <w:pStyle w:val="Tabletext"/>
              <w:rPr>
                <w:lang w:eastAsia="en-GB"/>
              </w:rPr>
            </w:pPr>
            <w:r w:rsidRPr="004857E0">
              <w:rPr>
                <w:lang w:eastAsia="en-GB"/>
              </w:rPr>
              <w:t>Côte d'Ivoire</w:t>
            </w:r>
          </w:p>
        </w:tc>
        <w:tc>
          <w:tcPr>
            <w:tcW w:w="1900" w:type="dxa"/>
            <w:tcBorders>
              <w:top w:val="nil"/>
              <w:left w:val="single" w:sz="4" w:space="0" w:color="auto"/>
              <w:bottom w:val="nil"/>
              <w:right w:val="single" w:sz="4" w:space="0" w:color="auto"/>
            </w:tcBorders>
            <w:shd w:val="clear" w:color="000000" w:fill="FFFFFF"/>
            <w:noWrap/>
            <w:vAlign w:val="bottom"/>
            <w:hideMark/>
          </w:tcPr>
          <w:p w14:paraId="70ECCD0E" w14:textId="531C2242" w:rsidR="004857E0" w:rsidRPr="004857E0" w:rsidRDefault="004857E0" w:rsidP="007025D5">
            <w:pPr>
              <w:pStyle w:val="Tabletext"/>
              <w:jc w:val="center"/>
              <w:rPr>
                <w:lang w:eastAsia="en-GB"/>
              </w:rPr>
            </w:pPr>
            <w:r w:rsidRPr="004857E0">
              <w:rPr>
                <w:lang w:eastAsia="en-GB"/>
              </w:rPr>
              <w:t>2</w:t>
            </w:r>
          </w:p>
        </w:tc>
      </w:tr>
      <w:tr w:rsidR="004857E0" w:rsidRPr="004857E0" w14:paraId="64E66497"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1C8A5E53" w14:textId="77777777" w:rsidR="004857E0" w:rsidRPr="004857E0" w:rsidRDefault="004857E0" w:rsidP="007025D5">
            <w:pPr>
              <w:pStyle w:val="Tabletext"/>
              <w:rPr>
                <w:lang w:eastAsia="en-GB"/>
              </w:rPr>
            </w:pPr>
            <w:r w:rsidRPr="004857E0">
              <w:rPr>
                <w:lang w:eastAsia="en-GB"/>
              </w:rPr>
              <w:t>Croatia</w:t>
            </w:r>
          </w:p>
        </w:tc>
        <w:tc>
          <w:tcPr>
            <w:tcW w:w="1900" w:type="dxa"/>
            <w:tcBorders>
              <w:top w:val="nil"/>
              <w:left w:val="single" w:sz="4" w:space="0" w:color="auto"/>
              <w:bottom w:val="nil"/>
              <w:right w:val="single" w:sz="4" w:space="0" w:color="auto"/>
            </w:tcBorders>
            <w:shd w:val="clear" w:color="000000" w:fill="FFFFFF"/>
            <w:vAlign w:val="bottom"/>
            <w:hideMark/>
          </w:tcPr>
          <w:p w14:paraId="035166EE" w14:textId="389068DF" w:rsidR="004857E0" w:rsidRPr="004857E0" w:rsidRDefault="004857E0" w:rsidP="007025D5">
            <w:pPr>
              <w:pStyle w:val="Tabletext"/>
              <w:jc w:val="center"/>
              <w:rPr>
                <w:lang w:eastAsia="en-GB"/>
              </w:rPr>
            </w:pPr>
            <w:r w:rsidRPr="004857E0">
              <w:rPr>
                <w:lang w:eastAsia="en-GB"/>
              </w:rPr>
              <w:t>1/4</w:t>
            </w:r>
          </w:p>
        </w:tc>
      </w:tr>
      <w:tr w:rsidR="004857E0" w:rsidRPr="004857E0" w14:paraId="4A0C9BDD"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75ADF488" w14:textId="77777777" w:rsidR="004857E0" w:rsidRPr="004857E0" w:rsidRDefault="004857E0" w:rsidP="007025D5">
            <w:pPr>
              <w:pStyle w:val="Tabletext"/>
              <w:rPr>
                <w:lang w:eastAsia="en-GB"/>
              </w:rPr>
            </w:pPr>
            <w:r w:rsidRPr="004857E0">
              <w:rPr>
                <w:lang w:eastAsia="en-GB"/>
              </w:rPr>
              <w:t xml:space="preserve">Cuba </w:t>
            </w:r>
          </w:p>
        </w:tc>
        <w:tc>
          <w:tcPr>
            <w:tcW w:w="1900" w:type="dxa"/>
            <w:tcBorders>
              <w:top w:val="nil"/>
              <w:left w:val="single" w:sz="4" w:space="0" w:color="auto"/>
              <w:bottom w:val="nil"/>
              <w:right w:val="single" w:sz="4" w:space="0" w:color="auto"/>
            </w:tcBorders>
            <w:shd w:val="clear" w:color="000000" w:fill="FFFFFF"/>
            <w:noWrap/>
            <w:vAlign w:val="bottom"/>
            <w:hideMark/>
          </w:tcPr>
          <w:p w14:paraId="2D8B0A08" w14:textId="76ED5C7C" w:rsidR="004857E0" w:rsidRPr="004857E0" w:rsidRDefault="004857E0" w:rsidP="007025D5">
            <w:pPr>
              <w:pStyle w:val="Tabletext"/>
              <w:jc w:val="center"/>
              <w:rPr>
                <w:lang w:eastAsia="en-GB"/>
              </w:rPr>
            </w:pPr>
            <w:r w:rsidRPr="004857E0">
              <w:rPr>
                <w:lang w:eastAsia="en-GB"/>
              </w:rPr>
              <w:t>1/4</w:t>
            </w:r>
          </w:p>
        </w:tc>
      </w:tr>
      <w:tr w:rsidR="004857E0" w:rsidRPr="004857E0" w14:paraId="6D3FEA3B"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60C447A6" w14:textId="77777777" w:rsidR="004857E0" w:rsidRPr="004857E0" w:rsidRDefault="004857E0" w:rsidP="007025D5">
            <w:pPr>
              <w:pStyle w:val="Tabletext"/>
              <w:rPr>
                <w:lang w:eastAsia="en-GB"/>
              </w:rPr>
            </w:pPr>
            <w:r w:rsidRPr="004857E0">
              <w:rPr>
                <w:lang w:eastAsia="en-GB"/>
              </w:rPr>
              <w:t xml:space="preserve">Cyprus  </w:t>
            </w:r>
          </w:p>
        </w:tc>
        <w:tc>
          <w:tcPr>
            <w:tcW w:w="1900" w:type="dxa"/>
            <w:tcBorders>
              <w:top w:val="nil"/>
              <w:left w:val="single" w:sz="4" w:space="0" w:color="auto"/>
              <w:bottom w:val="nil"/>
              <w:right w:val="single" w:sz="4" w:space="0" w:color="auto"/>
            </w:tcBorders>
            <w:shd w:val="clear" w:color="000000" w:fill="FFFFFF"/>
            <w:noWrap/>
            <w:vAlign w:val="bottom"/>
            <w:hideMark/>
          </w:tcPr>
          <w:p w14:paraId="64FD8764" w14:textId="66F10641" w:rsidR="004857E0" w:rsidRPr="004857E0" w:rsidRDefault="004857E0" w:rsidP="007025D5">
            <w:pPr>
              <w:pStyle w:val="Tabletext"/>
              <w:jc w:val="center"/>
              <w:rPr>
                <w:lang w:eastAsia="en-GB"/>
              </w:rPr>
            </w:pPr>
            <w:r w:rsidRPr="004857E0">
              <w:rPr>
                <w:lang w:eastAsia="en-GB"/>
              </w:rPr>
              <w:t>1/4</w:t>
            </w:r>
          </w:p>
        </w:tc>
      </w:tr>
      <w:tr w:rsidR="004857E0" w:rsidRPr="004857E0" w14:paraId="09DC01D9"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809D0A5" w14:textId="77777777" w:rsidR="004857E0" w:rsidRPr="004857E0" w:rsidRDefault="004857E0" w:rsidP="007025D5">
            <w:pPr>
              <w:pStyle w:val="Tabletext"/>
              <w:rPr>
                <w:lang w:eastAsia="en-GB"/>
              </w:rPr>
            </w:pPr>
            <w:r w:rsidRPr="004857E0">
              <w:rPr>
                <w:lang w:eastAsia="en-GB"/>
              </w:rPr>
              <w:t>Czech Republic</w:t>
            </w:r>
          </w:p>
        </w:tc>
        <w:tc>
          <w:tcPr>
            <w:tcW w:w="1900" w:type="dxa"/>
            <w:tcBorders>
              <w:top w:val="nil"/>
              <w:left w:val="single" w:sz="4" w:space="0" w:color="auto"/>
              <w:bottom w:val="nil"/>
              <w:right w:val="single" w:sz="4" w:space="0" w:color="auto"/>
            </w:tcBorders>
            <w:shd w:val="clear" w:color="000000" w:fill="FFFFFF"/>
            <w:noWrap/>
            <w:vAlign w:val="bottom"/>
            <w:hideMark/>
          </w:tcPr>
          <w:p w14:paraId="3B96237B" w14:textId="4789D437" w:rsidR="004857E0" w:rsidRPr="004857E0" w:rsidRDefault="004857E0" w:rsidP="007025D5">
            <w:pPr>
              <w:pStyle w:val="Tabletext"/>
              <w:jc w:val="center"/>
              <w:rPr>
                <w:lang w:eastAsia="en-GB"/>
              </w:rPr>
            </w:pPr>
            <w:r w:rsidRPr="004857E0">
              <w:rPr>
                <w:lang w:eastAsia="en-GB"/>
              </w:rPr>
              <w:t>1</w:t>
            </w:r>
          </w:p>
        </w:tc>
      </w:tr>
      <w:tr w:rsidR="004857E0" w:rsidRPr="004857E0" w14:paraId="30C99F81"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83FA557" w14:textId="72F55CC0" w:rsidR="004857E0" w:rsidRPr="004857E0" w:rsidRDefault="004857E0" w:rsidP="007025D5">
            <w:pPr>
              <w:pStyle w:val="Tabletext"/>
              <w:rPr>
                <w:lang w:eastAsia="en-GB"/>
              </w:rPr>
            </w:pPr>
            <w:r w:rsidRPr="004857E0">
              <w:rPr>
                <w:lang w:eastAsia="en-GB"/>
              </w:rPr>
              <w:t>Dem. Rep. of the Congo</w:t>
            </w:r>
          </w:p>
        </w:tc>
        <w:tc>
          <w:tcPr>
            <w:tcW w:w="1900" w:type="dxa"/>
            <w:tcBorders>
              <w:top w:val="nil"/>
              <w:left w:val="single" w:sz="4" w:space="0" w:color="auto"/>
              <w:bottom w:val="nil"/>
              <w:right w:val="single" w:sz="4" w:space="0" w:color="auto"/>
            </w:tcBorders>
            <w:shd w:val="clear" w:color="000000" w:fill="FFFFFF"/>
            <w:noWrap/>
            <w:vAlign w:val="bottom"/>
            <w:hideMark/>
          </w:tcPr>
          <w:p w14:paraId="1CB6EDB3" w14:textId="0D9F0B57" w:rsidR="004857E0" w:rsidRPr="004857E0" w:rsidRDefault="004857E0" w:rsidP="007025D5">
            <w:pPr>
              <w:pStyle w:val="Tabletext"/>
              <w:jc w:val="center"/>
              <w:rPr>
                <w:lang w:eastAsia="en-GB"/>
              </w:rPr>
            </w:pPr>
            <w:r w:rsidRPr="004857E0">
              <w:rPr>
                <w:lang w:eastAsia="en-GB"/>
              </w:rPr>
              <w:t>1/16</w:t>
            </w:r>
          </w:p>
        </w:tc>
      </w:tr>
      <w:tr w:rsidR="004857E0" w:rsidRPr="004857E0" w14:paraId="520D211E"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1F8E989" w14:textId="77777777" w:rsidR="004857E0" w:rsidRPr="004857E0" w:rsidRDefault="004857E0" w:rsidP="007025D5">
            <w:pPr>
              <w:pStyle w:val="Tabletext"/>
              <w:rPr>
                <w:lang w:eastAsia="en-GB"/>
              </w:rPr>
            </w:pPr>
            <w:r w:rsidRPr="004857E0">
              <w:rPr>
                <w:lang w:eastAsia="en-GB"/>
              </w:rPr>
              <w:t>Dem. People's Rep. of Korea</w:t>
            </w:r>
          </w:p>
        </w:tc>
        <w:tc>
          <w:tcPr>
            <w:tcW w:w="1900" w:type="dxa"/>
            <w:tcBorders>
              <w:top w:val="nil"/>
              <w:left w:val="single" w:sz="4" w:space="0" w:color="auto"/>
              <w:bottom w:val="nil"/>
              <w:right w:val="single" w:sz="4" w:space="0" w:color="auto"/>
            </w:tcBorders>
            <w:shd w:val="clear" w:color="000000" w:fill="FFFFFF"/>
            <w:noWrap/>
            <w:vAlign w:val="bottom"/>
            <w:hideMark/>
          </w:tcPr>
          <w:p w14:paraId="0524062A" w14:textId="16766ED0" w:rsidR="004857E0" w:rsidRPr="004857E0" w:rsidRDefault="004857E0" w:rsidP="007025D5">
            <w:pPr>
              <w:pStyle w:val="Tabletext"/>
              <w:jc w:val="center"/>
              <w:rPr>
                <w:lang w:eastAsia="en-GB"/>
              </w:rPr>
            </w:pPr>
            <w:r w:rsidRPr="004857E0">
              <w:rPr>
                <w:lang w:eastAsia="en-GB"/>
              </w:rPr>
              <w:t>1/8</w:t>
            </w:r>
          </w:p>
        </w:tc>
      </w:tr>
      <w:tr w:rsidR="004857E0" w:rsidRPr="004857E0" w14:paraId="6B216BD7"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CBC6E03" w14:textId="77777777" w:rsidR="004857E0" w:rsidRPr="004857E0" w:rsidRDefault="004857E0" w:rsidP="007025D5">
            <w:pPr>
              <w:pStyle w:val="Tabletext"/>
              <w:rPr>
                <w:lang w:eastAsia="en-GB"/>
              </w:rPr>
            </w:pPr>
            <w:r w:rsidRPr="004857E0">
              <w:rPr>
                <w:lang w:eastAsia="en-GB"/>
              </w:rPr>
              <w:t>Denmark</w:t>
            </w:r>
          </w:p>
        </w:tc>
        <w:tc>
          <w:tcPr>
            <w:tcW w:w="1900" w:type="dxa"/>
            <w:tcBorders>
              <w:top w:val="nil"/>
              <w:left w:val="single" w:sz="4" w:space="0" w:color="auto"/>
              <w:bottom w:val="nil"/>
              <w:right w:val="single" w:sz="4" w:space="0" w:color="auto"/>
            </w:tcBorders>
            <w:shd w:val="clear" w:color="000000" w:fill="FFFFFF"/>
            <w:noWrap/>
            <w:vAlign w:val="bottom"/>
            <w:hideMark/>
          </w:tcPr>
          <w:p w14:paraId="43D55B6E" w14:textId="5885EA18" w:rsidR="004857E0" w:rsidRPr="004857E0" w:rsidRDefault="004857E0" w:rsidP="007025D5">
            <w:pPr>
              <w:pStyle w:val="Tabletext"/>
              <w:jc w:val="center"/>
              <w:rPr>
                <w:lang w:eastAsia="en-GB"/>
              </w:rPr>
            </w:pPr>
            <w:r w:rsidRPr="004857E0">
              <w:rPr>
                <w:lang w:eastAsia="en-GB"/>
              </w:rPr>
              <w:t>1  1/2</w:t>
            </w:r>
          </w:p>
        </w:tc>
      </w:tr>
      <w:tr w:rsidR="004857E0" w:rsidRPr="004857E0" w14:paraId="6B90CEBD"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7C3311FC" w14:textId="77777777" w:rsidR="004857E0" w:rsidRPr="004857E0" w:rsidRDefault="004857E0" w:rsidP="007025D5">
            <w:pPr>
              <w:pStyle w:val="Tabletext"/>
              <w:rPr>
                <w:lang w:eastAsia="en-GB"/>
              </w:rPr>
            </w:pPr>
            <w:r w:rsidRPr="004857E0">
              <w:rPr>
                <w:lang w:eastAsia="en-GB"/>
              </w:rPr>
              <w:t>Djibouti</w:t>
            </w:r>
          </w:p>
        </w:tc>
        <w:tc>
          <w:tcPr>
            <w:tcW w:w="1900" w:type="dxa"/>
            <w:tcBorders>
              <w:top w:val="nil"/>
              <w:left w:val="single" w:sz="4" w:space="0" w:color="auto"/>
              <w:bottom w:val="nil"/>
              <w:right w:val="single" w:sz="4" w:space="0" w:color="auto"/>
            </w:tcBorders>
            <w:shd w:val="clear" w:color="000000" w:fill="FFFFFF"/>
            <w:noWrap/>
            <w:vAlign w:val="bottom"/>
            <w:hideMark/>
          </w:tcPr>
          <w:p w14:paraId="4E45EC8D" w14:textId="24726DF7" w:rsidR="004857E0" w:rsidRPr="004857E0" w:rsidRDefault="004857E0" w:rsidP="007025D5">
            <w:pPr>
              <w:pStyle w:val="Tabletext"/>
              <w:jc w:val="center"/>
              <w:rPr>
                <w:lang w:eastAsia="en-GB"/>
              </w:rPr>
            </w:pPr>
            <w:r w:rsidRPr="004857E0">
              <w:rPr>
                <w:lang w:eastAsia="en-GB"/>
              </w:rPr>
              <w:t>1/16</w:t>
            </w:r>
          </w:p>
        </w:tc>
      </w:tr>
      <w:tr w:rsidR="004857E0" w:rsidRPr="004857E0" w14:paraId="336E0EBB"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2D58099E" w14:textId="77777777" w:rsidR="004857E0" w:rsidRPr="004857E0" w:rsidRDefault="004857E0" w:rsidP="007025D5">
            <w:pPr>
              <w:pStyle w:val="Tabletext"/>
              <w:rPr>
                <w:lang w:eastAsia="en-GB"/>
              </w:rPr>
            </w:pPr>
            <w:r w:rsidRPr="004857E0">
              <w:rPr>
                <w:lang w:eastAsia="en-GB"/>
              </w:rPr>
              <w:t>Dominica</w:t>
            </w:r>
          </w:p>
        </w:tc>
        <w:tc>
          <w:tcPr>
            <w:tcW w:w="1900" w:type="dxa"/>
            <w:tcBorders>
              <w:top w:val="nil"/>
              <w:left w:val="single" w:sz="4" w:space="0" w:color="auto"/>
              <w:bottom w:val="nil"/>
              <w:right w:val="single" w:sz="4" w:space="0" w:color="auto"/>
            </w:tcBorders>
            <w:shd w:val="clear" w:color="000000" w:fill="FFFFFF"/>
            <w:noWrap/>
            <w:vAlign w:val="bottom"/>
            <w:hideMark/>
          </w:tcPr>
          <w:p w14:paraId="2575CE0A" w14:textId="54F16F00" w:rsidR="004857E0" w:rsidRPr="004857E0" w:rsidRDefault="004857E0" w:rsidP="007025D5">
            <w:pPr>
              <w:pStyle w:val="Tabletext"/>
              <w:jc w:val="center"/>
              <w:rPr>
                <w:lang w:eastAsia="en-GB"/>
              </w:rPr>
            </w:pPr>
            <w:r w:rsidRPr="004857E0">
              <w:rPr>
                <w:lang w:eastAsia="en-GB"/>
              </w:rPr>
              <w:t>1/16</w:t>
            </w:r>
          </w:p>
        </w:tc>
      </w:tr>
      <w:tr w:rsidR="004857E0" w:rsidRPr="004857E0" w14:paraId="17E0C85B"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2037DF26" w14:textId="77777777" w:rsidR="004857E0" w:rsidRPr="004857E0" w:rsidRDefault="004857E0" w:rsidP="007025D5">
            <w:pPr>
              <w:pStyle w:val="Tabletext"/>
              <w:rPr>
                <w:lang w:eastAsia="en-GB"/>
              </w:rPr>
            </w:pPr>
            <w:r w:rsidRPr="004857E0">
              <w:rPr>
                <w:lang w:eastAsia="en-GB"/>
              </w:rPr>
              <w:t>Dominican Republic</w:t>
            </w:r>
          </w:p>
        </w:tc>
        <w:tc>
          <w:tcPr>
            <w:tcW w:w="1900" w:type="dxa"/>
            <w:tcBorders>
              <w:top w:val="nil"/>
              <w:left w:val="single" w:sz="4" w:space="0" w:color="auto"/>
              <w:bottom w:val="nil"/>
              <w:right w:val="single" w:sz="4" w:space="0" w:color="auto"/>
            </w:tcBorders>
            <w:shd w:val="clear" w:color="000000" w:fill="FFFFFF"/>
            <w:noWrap/>
            <w:vAlign w:val="bottom"/>
            <w:hideMark/>
          </w:tcPr>
          <w:p w14:paraId="1A7865A9" w14:textId="1B1AA88D" w:rsidR="004857E0" w:rsidRPr="004857E0" w:rsidRDefault="004857E0" w:rsidP="007025D5">
            <w:pPr>
              <w:pStyle w:val="Tabletext"/>
              <w:jc w:val="center"/>
              <w:rPr>
                <w:lang w:eastAsia="en-GB"/>
              </w:rPr>
            </w:pPr>
            <w:r w:rsidRPr="004857E0">
              <w:rPr>
                <w:lang w:eastAsia="en-GB"/>
              </w:rPr>
              <w:t>1/4</w:t>
            </w:r>
          </w:p>
        </w:tc>
      </w:tr>
      <w:tr w:rsidR="004857E0" w:rsidRPr="004857E0" w14:paraId="3398F791"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25731B3C" w14:textId="77777777" w:rsidR="004857E0" w:rsidRPr="004857E0" w:rsidRDefault="004857E0" w:rsidP="007025D5">
            <w:pPr>
              <w:pStyle w:val="Tabletext"/>
              <w:rPr>
                <w:lang w:eastAsia="en-GB"/>
              </w:rPr>
            </w:pPr>
            <w:r w:rsidRPr="004857E0">
              <w:rPr>
                <w:lang w:eastAsia="en-GB"/>
              </w:rPr>
              <w:t xml:space="preserve">Ecuador </w:t>
            </w:r>
          </w:p>
        </w:tc>
        <w:tc>
          <w:tcPr>
            <w:tcW w:w="1900" w:type="dxa"/>
            <w:tcBorders>
              <w:top w:val="nil"/>
              <w:left w:val="single" w:sz="4" w:space="0" w:color="auto"/>
              <w:bottom w:val="nil"/>
              <w:right w:val="single" w:sz="4" w:space="0" w:color="auto"/>
            </w:tcBorders>
            <w:shd w:val="clear" w:color="000000" w:fill="FFFFFF"/>
            <w:noWrap/>
            <w:vAlign w:val="bottom"/>
            <w:hideMark/>
          </w:tcPr>
          <w:p w14:paraId="4BE88DE9" w14:textId="4DF5E1A0" w:rsidR="004857E0" w:rsidRPr="004857E0" w:rsidRDefault="004857E0" w:rsidP="007025D5">
            <w:pPr>
              <w:pStyle w:val="Tabletext"/>
              <w:jc w:val="center"/>
              <w:rPr>
                <w:lang w:eastAsia="en-GB"/>
              </w:rPr>
            </w:pPr>
            <w:r w:rsidRPr="004857E0">
              <w:rPr>
                <w:lang w:eastAsia="en-GB"/>
              </w:rPr>
              <w:t>1/4</w:t>
            </w:r>
          </w:p>
        </w:tc>
      </w:tr>
      <w:tr w:rsidR="004857E0" w:rsidRPr="004857E0" w14:paraId="16DA4F02"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E5E39F0" w14:textId="77777777" w:rsidR="004857E0" w:rsidRPr="004857E0" w:rsidRDefault="004857E0" w:rsidP="007025D5">
            <w:pPr>
              <w:pStyle w:val="Tabletext"/>
              <w:rPr>
                <w:lang w:eastAsia="en-GB"/>
              </w:rPr>
            </w:pPr>
            <w:r w:rsidRPr="004857E0">
              <w:rPr>
                <w:lang w:eastAsia="en-GB"/>
              </w:rPr>
              <w:t>Egypt</w:t>
            </w:r>
          </w:p>
        </w:tc>
        <w:tc>
          <w:tcPr>
            <w:tcW w:w="1900" w:type="dxa"/>
            <w:tcBorders>
              <w:top w:val="nil"/>
              <w:left w:val="single" w:sz="4" w:space="0" w:color="auto"/>
              <w:bottom w:val="nil"/>
              <w:right w:val="single" w:sz="4" w:space="0" w:color="auto"/>
            </w:tcBorders>
            <w:shd w:val="clear" w:color="000000" w:fill="FFFFFF"/>
            <w:noWrap/>
            <w:vAlign w:val="bottom"/>
            <w:hideMark/>
          </w:tcPr>
          <w:p w14:paraId="4FE171DF" w14:textId="0A686CE8" w:rsidR="004857E0" w:rsidRPr="004857E0" w:rsidRDefault="004857E0" w:rsidP="007025D5">
            <w:pPr>
              <w:pStyle w:val="Tabletext"/>
              <w:jc w:val="center"/>
              <w:rPr>
                <w:lang w:eastAsia="en-GB"/>
              </w:rPr>
            </w:pPr>
            <w:r w:rsidRPr="004857E0">
              <w:rPr>
                <w:lang w:eastAsia="en-GB"/>
              </w:rPr>
              <w:t>1/2</w:t>
            </w:r>
          </w:p>
        </w:tc>
      </w:tr>
      <w:tr w:rsidR="004857E0" w:rsidRPr="004857E0" w14:paraId="09BD3D28"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015AEC8" w14:textId="77777777" w:rsidR="004857E0" w:rsidRPr="004857E0" w:rsidRDefault="004857E0" w:rsidP="007025D5">
            <w:pPr>
              <w:pStyle w:val="Tabletext"/>
              <w:rPr>
                <w:lang w:eastAsia="en-GB"/>
              </w:rPr>
            </w:pPr>
            <w:r w:rsidRPr="004857E0">
              <w:rPr>
                <w:lang w:eastAsia="en-GB"/>
              </w:rPr>
              <w:t>El Salvador</w:t>
            </w:r>
          </w:p>
        </w:tc>
        <w:tc>
          <w:tcPr>
            <w:tcW w:w="1900" w:type="dxa"/>
            <w:tcBorders>
              <w:top w:val="nil"/>
              <w:left w:val="single" w:sz="4" w:space="0" w:color="auto"/>
              <w:bottom w:val="nil"/>
              <w:right w:val="single" w:sz="4" w:space="0" w:color="auto"/>
            </w:tcBorders>
            <w:shd w:val="clear" w:color="000000" w:fill="FFFFFF"/>
            <w:noWrap/>
            <w:vAlign w:val="bottom"/>
            <w:hideMark/>
          </w:tcPr>
          <w:p w14:paraId="6ADF0B31" w14:textId="600CDCAA" w:rsidR="004857E0" w:rsidRPr="004857E0" w:rsidRDefault="004857E0" w:rsidP="007025D5">
            <w:pPr>
              <w:pStyle w:val="Tabletext"/>
              <w:jc w:val="center"/>
              <w:rPr>
                <w:lang w:eastAsia="en-GB"/>
              </w:rPr>
            </w:pPr>
            <w:r w:rsidRPr="004857E0">
              <w:rPr>
                <w:lang w:eastAsia="en-GB"/>
              </w:rPr>
              <w:t>1/4</w:t>
            </w:r>
          </w:p>
        </w:tc>
      </w:tr>
      <w:tr w:rsidR="004857E0" w:rsidRPr="004857E0" w14:paraId="1F607473"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3BDFDFCE" w14:textId="49F42DE8" w:rsidR="004857E0" w:rsidRPr="004857E0" w:rsidRDefault="004857E0" w:rsidP="007025D5">
            <w:pPr>
              <w:pStyle w:val="Tabletext"/>
              <w:rPr>
                <w:lang w:eastAsia="en-GB"/>
              </w:rPr>
            </w:pPr>
            <w:r w:rsidRPr="004857E0">
              <w:rPr>
                <w:lang w:eastAsia="en-GB"/>
              </w:rPr>
              <w:t xml:space="preserve">Equatorial Guinea </w:t>
            </w:r>
          </w:p>
        </w:tc>
        <w:tc>
          <w:tcPr>
            <w:tcW w:w="1900" w:type="dxa"/>
            <w:tcBorders>
              <w:top w:val="nil"/>
              <w:left w:val="single" w:sz="4" w:space="0" w:color="auto"/>
              <w:bottom w:val="nil"/>
              <w:right w:val="single" w:sz="4" w:space="0" w:color="auto"/>
            </w:tcBorders>
            <w:shd w:val="clear" w:color="000000" w:fill="FFFFFF"/>
            <w:noWrap/>
            <w:vAlign w:val="bottom"/>
            <w:hideMark/>
          </w:tcPr>
          <w:p w14:paraId="1699A520" w14:textId="34A7651A" w:rsidR="004857E0" w:rsidRPr="004857E0" w:rsidRDefault="004857E0" w:rsidP="007025D5">
            <w:pPr>
              <w:pStyle w:val="Tabletext"/>
              <w:jc w:val="center"/>
              <w:rPr>
                <w:lang w:eastAsia="en-GB"/>
              </w:rPr>
            </w:pPr>
            <w:r w:rsidRPr="004857E0">
              <w:rPr>
                <w:lang w:eastAsia="en-GB"/>
              </w:rPr>
              <w:t>1/4</w:t>
            </w:r>
          </w:p>
        </w:tc>
      </w:tr>
      <w:tr w:rsidR="004857E0" w:rsidRPr="004857E0" w14:paraId="275BE7DF"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2601F9E" w14:textId="77777777" w:rsidR="004857E0" w:rsidRPr="004857E0" w:rsidRDefault="004857E0" w:rsidP="007025D5">
            <w:pPr>
              <w:pStyle w:val="Tabletext"/>
              <w:rPr>
                <w:lang w:eastAsia="en-GB"/>
              </w:rPr>
            </w:pPr>
            <w:r w:rsidRPr="004857E0">
              <w:rPr>
                <w:lang w:eastAsia="en-GB"/>
              </w:rPr>
              <w:t>Eritrea</w:t>
            </w:r>
          </w:p>
        </w:tc>
        <w:tc>
          <w:tcPr>
            <w:tcW w:w="1900" w:type="dxa"/>
            <w:tcBorders>
              <w:top w:val="nil"/>
              <w:left w:val="single" w:sz="4" w:space="0" w:color="auto"/>
              <w:bottom w:val="nil"/>
              <w:right w:val="single" w:sz="4" w:space="0" w:color="auto"/>
            </w:tcBorders>
            <w:shd w:val="clear" w:color="000000" w:fill="FFFFFF"/>
            <w:noWrap/>
            <w:vAlign w:val="bottom"/>
            <w:hideMark/>
          </w:tcPr>
          <w:p w14:paraId="4CA9C0F2" w14:textId="14DE5769" w:rsidR="004857E0" w:rsidRPr="004857E0" w:rsidRDefault="004857E0" w:rsidP="007025D5">
            <w:pPr>
              <w:pStyle w:val="Tabletext"/>
              <w:jc w:val="center"/>
              <w:rPr>
                <w:lang w:eastAsia="en-GB"/>
              </w:rPr>
            </w:pPr>
            <w:r w:rsidRPr="004857E0">
              <w:rPr>
                <w:lang w:eastAsia="en-GB"/>
              </w:rPr>
              <w:t>1/16</w:t>
            </w:r>
          </w:p>
        </w:tc>
      </w:tr>
      <w:tr w:rsidR="004857E0" w:rsidRPr="004857E0" w14:paraId="6F88A3BE"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BDB1554" w14:textId="77777777" w:rsidR="004857E0" w:rsidRPr="004857E0" w:rsidRDefault="004857E0" w:rsidP="007025D5">
            <w:pPr>
              <w:pStyle w:val="Tabletext"/>
              <w:rPr>
                <w:lang w:eastAsia="en-GB"/>
              </w:rPr>
            </w:pPr>
            <w:r w:rsidRPr="004857E0">
              <w:rPr>
                <w:lang w:eastAsia="en-GB"/>
              </w:rPr>
              <w:t>Estonia</w:t>
            </w:r>
          </w:p>
        </w:tc>
        <w:tc>
          <w:tcPr>
            <w:tcW w:w="1900" w:type="dxa"/>
            <w:tcBorders>
              <w:top w:val="nil"/>
              <w:left w:val="single" w:sz="4" w:space="0" w:color="auto"/>
              <w:bottom w:val="nil"/>
              <w:right w:val="single" w:sz="4" w:space="0" w:color="auto"/>
            </w:tcBorders>
            <w:shd w:val="clear" w:color="000000" w:fill="FFFFFF"/>
            <w:noWrap/>
            <w:vAlign w:val="bottom"/>
            <w:hideMark/>
          </w:tcPr>
          <w:p w14:paraId="6ECDFDA5" w14:textId="2186477E" w:rsidR="004857E0" w:rsidRPr="004857E0" w:rsidRDefault="004857E0" w:rsidP="007025D5">
            <w:pPr>
              <w:pStyle w:val="Tabletext"/>
              <w:jc w:val="center"/>
              <w:rPr>
                <w:lang w:eastAsia="en-GB"/>
              </w:rPr>
            </w:pPr>
            <w:r w:rsidRPr="004857E0">
              <w:rPr>
                <w:lang w:eastAsia="en-GB"/>
              </w:rPr>
              <w:t>1/4</w:t>
            </w:r>
          </w:p>
        </w:tc>
      </w:tr>
      <w:tr w:rsidR="004857E0" w:rsidRPr="004857E0" w14:paraId="7F781EB4"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67FE9327" w14:textId="77777777" w:rsidR="004857E0" w:rsidRPr="004857E0" w:rsidRDefault="004857E0" w:rsidP="007025D5">
            <w:pPr>
              <w:pStyle w:val="Tabletext"/>
              <w:rPr>
                <w:lang w:eastAsia="en-GB"/>
              </w:rPr>
            </w:pPr>
            <w:r w:rsidRPr="004857E0">
              <w:rPr>
                <w:lang w:eastAsia="en-GB"/>
              </w:rPr>
              <w:t>Eswatini</w:t>
            </w:r>
          </w:p>
        </w:tc>
        <w:tc>
          <w:tcPr>
            <w:tcW w:w="1900" w:type="dxa"/>
            <w:tcBorders>
              <w:top w:val="nil"/>
              <w:left w:val="single" w:sz="4" w:space="0" w:color="auto"/>
              <w:bottom w:val="nil"/>
              <w:right w:val="single" w:sz="4" w:space="0" w:color="auto"/>
            </w:tcBorders>
            <w:shd w:val="clear" w:color="000000" w:fill="FFFFFF"/>
            <w:noWrap/>
            <w:vAlign w:val="bottom"/>
            <w:hideMark/>
          </w:tcPr>
          <w:p w14:paraId="2C6024FF" w14:textId="16240ACB" w:rsidR="004857E0" w:rsidRPr="004857E0" w:rsidRDefault="004857E0" w:rsidP="007025D5">
            <w:pPr>
              <w:pStyle w:val="Tabletext"/>
              <w:jc w:val="center"/>
              <w:rPr>
                <w:lang w:eastAsia="en-GB"/>
              </w:rPr>
            </w:pPr>
            <w:r w:rsidRPr="004857E0">
              <w:rPr>
                <w:lang w:eastAsia="en-GB"/>
              </w:rPr>
              <w:t>1/8</w:t>
            </w:r>
          </w:p>
        </w:tc>
      </w:tr>
      <w:tr w:rsidR="004857E0" w:rsidRPr="004857E0" w14:paraId="7AA2023D"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3E3ED7F3" w14:textId="77777777" w:rsidR="004857E0" w:rsidRPr="004857E0" w:rsidRDefault="004857E0" w:rsidP="007025D5">
            <w:pPr>
              <w:pStyle w:val="Tabletext"/>
              <w:rPr>
                <w:lang w:eastAsia="en-GB"/>
              </w:rPr>
            </w:pPr>
            <w:r w:rsidRPr="004857E0">
              <w:rPr>
                <w:lang w:eastAsia="en-GB"/>
              </w:rPr>
              <w:t>Ethiopia</w:t>
            </w:r>
          </w:p>
        </w:tc>
        <w:tc>
          <w:tcPr>
            <w:tcW w:w="1900" w:type="dxa"/>
            <w:tcBorders>
              <w:top w:val="nil"/>
              <w:left w:val="single" w:sz="4" w:space="0" w:color="auto"/>
              <w:bottom w:val="nil"/>
              <w:right w:val="single" w:sz="4" w:space="0" w:color="auto"/>
            </w:tcBorders>
            <w:shd w:val="clear" w:color="000000" w:fill="FFFFFF"/>
            <w:noWrap/>
            <w:vAlign w:val="bottom"/>
            <w:hideMark/>
          </w:tcPr>
          <w:p w14:paraId="0BEF6929" w14:textId="7FBEBFA5" w:rsidR="004857E0" w:rsidRPr="004857E0" w:rsidRDefault="004857E0" w:rsidP="007025D5">
            <w:pPr>
              <w:pStyle w:val="Tabletext"/>
              <w:jc w:val="center"/>
              <w:rPr>
                <w:lang w:eastAsia="en-GB"/>
              </w:rPr>
            </w:pPr>
            <w:r w:rsidRPr="004857E0">
              <w:rPr>
                <w:lang w:eastAsia="en-GB"/>
              </w:rPr>
              <w:t>1/16</w:t>
            </w:r>
          </w:p>
        </w:tc>
      </w:tr>
      <w:tr w:rsidR="004857E0" w:rsidRPr="004857E0" w14:paraId="68F9A381"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343CCEC7" w14:textId="77777777" w:rsidR="004857E0" w:rsidRPr="004857E0" w:rsidRDefault="004857E0" w:rsidP="007025D5">
            <w:pPr>
              <w:pStyle w:val="Tabletext"/>
              <w:rPr>
                <w:lang w:eastAsia="en-GB"/>
              </w:rPr>
            </w:pPr>
            <w:r w:rsidRPr="004857E0">
              <w:rPr>
                <w:lang w:eastAsia="en-GB"/>
              </w:rPr>
              <w:t xml:space="preserve">Fiji </w:t>
            </w:r>
          </w:p>
        </w:tc>
        <w:tc>
          <w:tcPr>
            <w:tcW w:w="1900" w:type="dxa"/>
            <w:tcBorders>
              <w:top w:val="nil"/>
              <w:left w:val="single" w:sz="4" w:space="0" w:color="auto"/>
              <w:bottom w:val="nil"/>
              <w:right w:val="single" w:sz="4" w:space="0" w:color="auto"/>
            </w:tcBorders>
            <w:shd w:val="clear" w:color="000000" w:fill="FFFFFF"/>
            <w:noWrap/>
            <w:vAlign w:val="bottom"/>
            <w:hideMark/>
          </w:tcPr>
          <w:p w14:paraId="1BD5826F" w14:textId="3201A800" w:rsidR="004857E0" w:rsidRPr="004857E0" w:rsidRDefault="004857E0" w:rsidP="007025D5">
            <w:pPr>
              <w:pStyle w:val="Tabletext"/>
              <w:jc w:val="center"/>
              <w:rPr>
                <w:lang w:eastAsia="en-GB"/>
              </w:rPr>
            </w:pPr>
            <w:r w:rsidRPr="004857E0">
              <w:rPr>
                <w:lang w:eastAsia="en-GB"/>
              </w:rPr>
              <w:t>1/4</w:t>
            </w:r>
          </w:p>
        </w:tc>
      </w:tr>
      <w:tr w:rsidR="004857E0" w:rsidRPr="004857E0" w14:paraId="60C297EE"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C027B22" w14:textId="77777777" w:rsidR="004857E0" w:rsidRPr="004857E0" w:rsidRDefault="004857E0" w:rsidP="007025D5">
            <w:pPr>
              <w:pStyle w:val="Tabletext"/>
              <w:rPr>
                <w:lang w:eastAsia="en-GB"/>
              </w:rPr>
            </w:pPr>
            <w:r w:rsidRPr="004857E0">
              <w:rPr>
                <w:lang w:eastAsia="en-GB"/>
              </w:rPr>
              <w:t xml:space="preserve">Finland </w:t>
            </w:r>
          </w:p>
        </w:tc>
        <w:tc>
          <w:tcPr>
            <w:tcW w:w="1900" w:type="dxa"/>
            <w:tcBorders>
              <w:top w:val="nil"/>
              <w:left w:val="single" w:sz="4" w:space="0" w:color="auto"/>
              <w:bottom w:val="nil"/>
              <w:right w:val="single" w:sz="4" w:space="0" w:color="auto"/>
            </w:tcBorders>
            <w:shd w:val="clear" w:color="000000" w:fill="FFFFFF"/>
            <w:noWrap/>
            <w:vAlign w:val="bottom"/>
            <w:hideMark/>
          </w:tcPr>
          <w:p w14:paraId="163A9714" w14:textId="0496D554" w:rsidR="004857E0" w:rsidRPr="004857E0" w:rsidRDefault="004857E0" w:rsidP="007025D5">
            <w:pPr>
              <w:pStyle w:val="Tabletext"/>
              <w:jc w:val="center"/>
              <w:rPr>
                <w:lang w:eastAsia="en-GB"/>
              </w:rPr>
            </w:pPr>
            <w:r w:rsidRPr="004857E0">
              <w:rPr>
                <w:lang w:eastAsia="en-GB"/>
              </w:rPr>
              <w:t>2</w:t>
            </w:r>
          </w:p>
        </w:tc>
      </w:tr>
      <w:tr w:rsidR="004857E0" w:rsidRPr="004857E0" w14:paraId="34DB0BE3"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244B721C" w14:textId="77777777" w:rsidR="004857E0" w:rsidRPr="004857E0" w:rsidRDefault="004857E0" w:rsidP="007025D5">
            <w:pPr>
              <w:pStyle w:val="Tabletext"/>
              <w:rPr>
                <w:lang w:eastAsia="en-GB"/>
              </w:rPr>
            </w:pPr>
            <w:r w:rsidRPr="004857E0">
              <w:rPr>
                <w:lang w:eastAsia="en-GB"/>
              </w:rPr>
              <w:t>France</w:t>
            </w:r>
          </w:p>
        </w:tc>
        <w:tc>
          <w:tcPr>
            <w:tcW w:w="1900" w:type="dxa"/>
            <w:tcBorders>
              <w:top w:val="nil"/>
              <w:left w:val="single" w:sz="4" w:space="0" w:color="auto"/>
              <w:bottom w:val="nil"/>
              <w:right w:val="single" w:sz="4" w:space="0" w:color="auto"/>
            </w:tcBorders>
            <w:shd w:val="clear" w:color="000000" w:fill="FFFFFF"/>
            <w:noWrap/>
            <w:vAlign w:val="bottom"/>
            <w:hideMark/>
          </w:tcPr>
          <w:p w14:paraId="7D655E2E" w14:textId="2982BC60" w:rsidR="004857E0" w:rsidRPr="004857E0" w:rsidRDefault="004857E0" w:rsidP="007025D5">
            <w:pPr>
              <w:pStyle w:val="Tabletext"/>
              <w:jc w:val="center"/>
              <w:rPr>
                <w:lang w:eastAsia="en-GB"/>
              </w:rPr>
            </w:pPr>
            <w:r w:rsidRPr="004857E0">
              <w:rPr>
                <w:lang w:eastAsia="en-GB"/>
              </w:rPr>
              <w:t>21</w:t>
            </w:r>
          </w:p>
        </w:tc>
      </w:tr>
      <w:tr w:rsidR="004857E0" w:rsidRPr="004857E0" w14:paraId="20B954CF"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263E2FF" w14:textId="13A434A8" w:rsidR="004857E0" w:rsidRPr="004857E0" w:rsidRDefault="004857E0" w:rsidP="007025D5">
            <w:pPr>
              <w:pStyle w:val="Tabletext"/>
              <w:rPr>
                <w:lang w:eastAsia="en-GB"/>
              </w:rPr>
            </w:pPr>
            <w:r w:rsidRPr="004857E0">
              <w:rPr>
                <w:lang w:eastAsia="en-GB"/>
              </w:rPr>
              <w:t>Gabon</w:t>
            </w:r>
          </w:p>
        </w:tc>
        <w:tc>
          <w:tcPr>
            <w:tcW w:w="1900" w:type="dxa"/>
            <w:tcBorders>
              <w:top w:val="nil"/>
              <w:left w:val="single" w:sz="4" w:space="0" w:color="auto"/>
              <w:bottom w:val="nil"/>
              <w:right w:val="single" w:sz="4" w:space="0" w:color="auto"/>
            </w:tcBorders>
            <w:shd w:val="clear" w:color="000000" w:fill="FFFFFF"/>
            <w:noWrap/>
            <w:vAlign w:val="bottom"/>
            <w:hideMark/>
          </w:tcPr>
          <w:p w14:paraId="5D08412D" w14:textId="5EFC4AF0" w:rsidR="004857E0" w:rsidRPr="004857E0" w:rsidRDefault="004857E0" w:rsidP="007025D5">
            <w:pPr>
              <w:pStyle w:val="Tabletext"/>
              <w:jc w:val="center"/>
              <w:rPr>
                <w:lang w:eastAsia="en-GB"/>
              </w:rPr>
            </w:pPr>
            <w:r w:rsidRPr="004857E0">
              <w:rPr>
                <w:lang w:eastAsia="en-GB"/>
              </w:rPr>
              <w:t>1/4</w:t>
            </w:r>
          </w:p>
        </w:tc>
      </w:tr>
      <w:tr w:rsidR="004857E0" w:rsidRPr="004857E0" w14:paraId="31B4FB1C"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0F74D8A" w14:textId="77777777" w:rsidR="004857E0" w:rsidRPr="004857E0" w:rsidRDefault="004857E0" w:rsidP="007025D5">
            <w:pPr>
              <w:pStyle w:val="Tabletext"/>
              <w:rPr>
                <w:lang w:eastAsia="en-GB"/>
              </w:rPr>
            </w:pPr>
            <w:r w:rsidRPr="004857E0">
              <w:rPr>
                <w:lang w:eastAsia="en-GB"/>
              </w:rPr>
              <w:t>Gambia</w:t>
            </w:r>
          </w:p>
        </w:tc>
        <w:tc>
          <w:tcPr>
            <w:tcW w:w="1900" w:type="dxa"/>
            <w:tcBorders>
              <w:top w:val="nil"/>
              <w:left w:val="single" w:sz="4" w:space="0" w:color="auto"/>
              <w:bottom w:val="nil"/>
              <w:right w:val="single" w:sz="4" w:space="0" w:color="auto"/>
            </w:tcBorders>
            <w:shd w:val="clear" w:color="000000" w:fill="FFFFFF"/>
            <w:noWrap/>
            <w:vAlign w:val="bottom"/>
            <w:hideMark/>
          </w:tcPr>
          <w:p w14:paraId="2A664D6C" w14:textId="475147AC" w:rsidR="004857E0" w:rsidRPr="004857E0" w:rsidRDefault="004857E0" w:rsidP="007025D5">
            <w:pPr>
              <w:pStyle w:val="Tabletext"/>
              <w:jc w:val="center"/>
              <w:rPr>
                <w:lang w:eastAsia="en-GB"/>
              </w:rPr>
            </w:pPr>
            <w:r w:rsidRPr="004857E0">
              <w:rPr>
                <w:lang w:eastAsia="en-GB"/>
              </w:rPr>
              <w:t>1/8</w:t>
            </w:r>
          </w:p>
        </w:tc>
      </w:tr>
      <w:tr w:rsidR="004857E0" w:rsidRPr="004857E0" w14:paraId="3E7D7955"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7121C1B" w14:textId="77777777" w:rsidR="004857E0" w:rsidRPr="004857E0" w:rsidRDefault="004857E0" w:rsidP="007025D5">
            <w:pPr>
              <w:pStyle w:val="Tabletext"/>
              <w:rPr>
                <w:lang w:eastAsia="en-GB"/>
              </w:rPr>
            </w:pPr>
            <w:r w:rsidRPr="004857E0">
              <w:rPr>
                <w:lang w:eastAsia="en-GB"/>
              </w:rPr>
              <w:t>Georgia</w:t>
            </w:r>
          </w:p>
        </w:tc>
        <w:tc>
          <w:tcPr>
            <w:tcW w:w="1900" w:type="dxa"/>
            <w:tcBorders>
              <w:top w:val="nil"/>
              <w:left w:val="single" w:sz="4" w:space="0" w:color="auto"/>
              <w:bottom w:val="nil"/>
              <w:right w:val="single" w:sz="4" w:space="0" w:color="auto"/>
            </w:tcBorders>
            <w:shd w:val="clear" w:color="000000" w:fill="FFFFFF"/>
            <w:vAlign w:val="bottom"/>
            <w:hideMark/>
          </w:tcPr>
          <w:p w14:paraId="5CCCF91B" w14:textId="2D483EE3" w:rsidR="004857E0" w:rsidRPr="004857E0" w:rsidRDefault="004857E0" w:rsidP="007025D5">
            <w:pPr>
              <w:pStyle w:val="Tabletext"/>
              <w:jc w:val="center"/>
              <w:rPr>
                <w:lang w:eastAsia="en-GB"/>
              </w:rPr>
            </w:pPr>
            <w:r w:rsidRPr="004857E0">
              <w:rPr>
                <w:lang w:eastAsia="en-GB"/>
              </w:rPr>
              <w:t>1/4</w:t>
            </w:r>
          </w:p>
        </w:tc>
      </w:tr>
      <w:tr w:rsidR="004857E0" w:rsidRPr="004857E0" w14:paraId="39F930E5"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6EA47F0D" w14:textId="77777777" w:rsidR="004857E0" w:rsidRPr="004857E0" w:rsidRDefault="004857E0" w:rsidP="007025D5">
            <w:pPr>
              <w:pStyle w:val="Tabletext"/>
              <w:rPr>
                <w:lang w:eastAsia="en-GB"/>
              </w:rPr>
            </w:pPr>
            <w:r w:rsidRPr="004857E0">
              <w:rPr>
                <w:lang w:eastAsia="en-GB"/>
              </w:rPr>
              <w:lastRenderedPageBreak/>
              <w:t>Germany</w:t>
            </w:r>
          </w:p>
        </w:tc>
        <w:tc>
          <w:tcPr>
            <w:tcW w:w="1900" w:type="dxa"/>
            <w:tcBorders>
              <w:top w:val="nil"/>
              <w:left w:val="single" w:sz="4" w:space="0" w:color="auto"/>
              <w:bottom w:val="nil"/>
              <w:right w:val="single" w:sz="4" w:space="0" w:color="auto"/>
            </w:tcBorders>
            <w:shd w:val="clear" w:color="000000" w:fill="FFFFFF"/>
            <w:noWrap/>
            <w:vAlign w:val="bottom"/>
            <w:hideMark/>
          </w:tcPr>
          <w:p w14:paraId="37AB195F" w14:textId="47A14C67" w:rsidR="004857E0" w:rsidRPr="004857E0" w:rsidRDefault="004857E0" w:rsidP="007025D5">
            <w:pPr>
              <w:pStyle w:val="Tabletext"/>
              <w:jc w:val="center"/>
              <w:rPr>
                <w:lang w:eastAsia="en-GB"/>
              </w:rPr>
            </w:pPr>
            <w:r w:rsidRPr="004857E0">
              <w:rPr>
                <w:lang w:eastAsia="en-GB"/>
              </w:rPr>
              <w:t>25</w:t>
            </w:r>
          </w:p>
        </w:tc>
      </w:tr>
      <w:tr w:rsidR="004857E0" w:rsidRPr="004857E0" w14:paraId="0926935E"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27D5A3CD" w14:textId="77777777" w:rsidR="004857E0" w:rsidRPr="004857E0" w:rsidRDefault="004857E0" w:rsidP="007025D5">
            <w:pPr>
              <w:pStyle w:val="Tabletext"/>
              <w:rPr>
                <w:lang w:eastAsia="en-GB"/>
              </w:rPr>
            </w:pPr>
            <w:r w:rsidRPr="004857E0">
              <w:rPr>
                <w:lang w:eastAsia="en-GB"/>
              </w:rPr>
              <w:t>Ghana</w:t>
            </w:r>
          </w:p>
        </w:tc>
        <w:tc>
          <w:tcPr>
            <w:tcW w:w="1900" w:type="dxa"/>
            <w:tcBorders>
              <w:top w:val="nil"/>
              <w:left w:val="single" w:sz="4" w:space="0" w:color="auto"/>
              <w:bottom w:val="nil"/>
              <w:right w:val="single" w:sz="4" w:space="0" w:color="auto"/>
            </w:tcBorders>
            <w:shd w:val="clear" w:color="000000" w:fill="FFFFFF"/>
            <w:noWrap/>
            <w:vAlign w:val="bottom"/>
            <w:hideMark/>
          </w:tcPr>
          <w:p w14:paraId="49F9A472" w14:textId="2D0DF0FF" w:rsidR="004857E0" w:rsidRPr="004857E0" w:rsidRDefault="004857E0" w:rsidP="007025D5">
            <w:pPr>
              <w:pStyle w:val="Tabletext"/>
              <w:jc w:val="center"/>
              <w:rPr>
                <w:lang w:eastAsia="en-GB"/>
              </w:rPr>
            </w:pPr>
            <w:r w:rsidRPr="004857E0">
              <w:rPr>
                <w:lang w:eastAsia="en-GB"/>
              </w:rPr>
              <w:t>1/4</w:t>
            </w:r>
          </w:p>
        </w:tc>
      </w:tr>
      <w:tr w:rsidR="004857E0" w:rsidRPr="004857E0" w14:paraId="1A22EF78"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27F02A7B" w14:textId="77777777" w:rsidR="004857E0" w:rsidRPr="004857E0" w:rsidRDefault="004857E0" w:rsidP="007025D5">
            <w:pPr>
              <w:pStyle w:val="Tabletext"/>
              <w:rPr>
                <w:lang w:eastAsia="en-GB"/>
              </w:rPr>
            </w:pPr>
            <w:r w:rsidRPr="004857E0">
              <w:rPr>
                <w:lang w:eastAsia="en-GB"/>
              </w:rPr>
              <w:t>Greece</w:t>
            </w:r>
          </w:p>
        </w:tc>
        <w:tc>
          <w:tcPr>
            <w:tcW w:w="1900" w:type="dxa"/>
            <w:tcBorders>
              <w:top w:val="nil"/>
              <w:left w:val="single" w:sz="4" w:space="0" w:color="auto"/>
              <w:bottom w:val="nil"/>
              <w:right w:val="single" w:sz="4" w:space="0" w:color="auto"/>
            </w:tcBorders>
            <w:shd w:val="clear" w:color="000000" w:fill="FFFFFF"/>
            <w:noWrap/>
            <w:vAlign w:val="bottom"/>
            <w:hideMark/>
          </w:tcPr>
          <w:p w14:paraId="439A8667" w14:textId="0AE33072" w:rsidR="004857E0" w:rsidRPr="004857E0" w:rsidRDefault="004857E0" w:rsidP="007025D5">
            <w:pPr>
              <w:pStyle w:val="Tabletext"/>
              <w:jc w:val="center"/>
              <w:rPr>
                <w:lang w:eastAsia="en-GB"/>
              </w:rPr>
            </w:pPr>
            <w:r w:rsidRPr="004857E0">
              <w:rPr>
                <w:lang w:eastAsia="en-GB"/>
              </w:rPr>
              <w:t>1</w:t>
            </w:r>
          </w:p>
        </w:tc>
      </w:tr>
      <w:tr w:rsidR="004857E0" w:rsidRPr="004857E0" w14:paraId="366D0ACD"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9497E19" w14:textId="77777777" w:rsidR="004857E0" w:rsidRPr="004857E0" w:rsidRDefault="004857E0" w:rsidP="007025D5">
            <w:pPr>
              <w:pStyle w:val="Tabletext"/>
              <w:rPr>
                <w:lang w:eastAsia="en-GB"/>
              </w:rPr>
            </w:pPr>
            <w:r w:rsidRPr="004857E0">
              <w:rPr>
                <w:lang w:eastAsia="en-GB"/>
              </w:rPr>
              <w:t>Grenada</w:t>
            </w:r>
          </w:p>
        </w:tc>
        <w:tc>
          <w:tcPr>
            <w:tcW w:w="1900" w:type="dxa"/>
            <w:tcBorders>
              <w:top w:val="nil"/>
              <w:left w:val="single" w:sz="4" w:space="0" w:color="auto"/>
              <w:bottom w:val="nil"/>
              <w:right w:val="single" w:sz="4" w:space="0" w:color="auto"/>
            </w:tcBorders>
            <w:shd w:val="clear" w:color="000000" w:fill="FFFFFF"/>
            <w:noWrap/>
            <w:vAlign w:val="bottom"/>
            <w:hideMark/>
          </w:tcPr>
          <w:p w14:paraId="23776511" w14:textId="48C635AB" w:rsidR="004857E0" w:rsidRPr="004857E0" w:rsidRDefault="004857E0" w:rsidP="007025D5">
            <w:pPr>
              <w:pStyle w:val="Tabletext"/>
              <w:jc w:val="center"/>
              <w:rPr>
                <w:lang w:eastAsia="en-GB"/>
              </w:rPr>
            </w:pPr>
            <w:r w:rsidRPr="004857E0">
              <w:rPr>
                <w:lang w:eastAsia="en-GB"/>
              </w:rPr>
              <w:t>1/16</w:t>
            </w:r>
          </w:p>
        </w:tc>
      </w:tr>
      <w:tr w:rsidR="004857E0" w:rsidRPr="004857E0" w14:paraId="2EFEBDA1"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10443B35" w14:textId="77777777" w:rsidR="004857E0" w:rsidRPr="004857E0" w:rsidRDefault="004857E0" w:rsidP="007025D5">
            <w:pPr>
              <w:pStyle w:val="Tabletext"/>
              <w:rPr>
                <w:lang w:eastAsia="en-GB"/>
              </w:rPr>
            </w:pPr>
            <w:r w:rsidRPr="004857E0">
              <w:rPr>
                <w:lang w:eastAsia="en-GB"/>
              </w:rPr>
              <w:t>Guatemala</w:t>
            </w:r>
          </w:p>
        </w:tc>
        <w:tc>
          <w:tcPr>
            <w:tcW w:w="1900" w:type="dxa"/>
            <w:tcBorders>
              <w:top w:val="nil"/>
              <w:left w:val="single" w:sz="4" w:space="0" w:color="auto"/>
              <w:bottom w:val="nil"/>
              <w:right w:val="single" w:sz="4" w:space="0" w:color="auto"/>
            </w:tcBorders>
            <w:shd w:val="clear" w:color="000000" w:fill="FFFFFF"/>
            <w:noWrap/>
            <w:vAlign w:val="bottom"/>
            <w:hideMark/>
          </w:tcPr>
          <w:p w14:paraId="24A026D7" w14:textId="31BFC298" w:rsidR="004857E0" w:rsidRPr="004857E0" w:rsidRDefault="004857E0" w:rsidP="007025D5">
            <w:pPr>
              <w:pStyle w:val="Tabletext"/>
              <w:jc w:val="center"/>
              <w:rPr>
                <w:lang w:eastAsia="en-GB"/>
              </w:rPr>
            </w:pPr>
            <w:r w:rsidRPr="004857E0">
              <w:rPr>
                <w:lang w:eastAsia="en-GB"/>
              </w:rPr>
              <w:t>1/4</w:t>
            </w:r>
          </w:p>
        </w:tc>
      </w:tr>
      <w:tr w:rsidR="004857E0" w:rsidRPr="004857E0" w14:paraId="660B2E88"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7DBD93D0" w14:textId="77777777" w:rsidR="004857E0" w:rsidRPr="004857E0" w:rsidRDefault="004857E0" w:rsidP="007025D5">
            <w:pPr>
              <w:pStyle w:val="Tabletext"/>
              <w:rPr>
                <w:lang w:eastAsia="en-GB"/>
              </w:rPr>
            </w:pPr>
            <w:r w:rsidRPr="004857E0">
              <w:rPr>
                <w:lang w:eastAsia="en-GB"/>
              </w:rPr>
              <w:t>Guinea</w:t>
            </w:r>
          </w:p>
        </w:tc>
        <w:tc>
          <w:tcPr>
            <w:tcW w:w="1900" w:type="dxa"/>
            <w:tcBorders>
              <w:top w:val="nil"/>
              <w:left w:val="single" w:sz="4" w:space="0" w:color="auto"/>
              <w:bottom w:val="nil"/>
              <w:right w:val="single" w:sz="4" w:space="0" w:color="auto"/>
            </w:tcBorders>
            <w:shd w:val="clear" w:color="000000" w:fill="FFFFFF"/>
            <w:noWrap/>
            <w:vAlign w:val="bottom"/>
            <w:hideMark/>
          </w:tcPr>
          <w:p w14:paraId="6CDC99F5" w14:textId="2498FF7C" w:rsidR="004857E0" w:rsidRPr="004857E0" w:rsidRDefault="004857E0" w:rsidP="007025D5">
            <w:pPr>
              <w:pStyle w:val="Tabletext"/>
              <w:jc w:val="center"/>
              <w:rPr>
                <w:lang w:eastAsia="en-GB"/>
              </w:rPr>
            </w:pPr>
            <w:r w:rsidRPr="004857E0">
              <w:rPr>
                <w:lang w:eastAsia="en-GB"/>
              </w:rPr>
              <w:t>1</w:t>
            </w:r>
          </w:p>
        </w:tc>
      </w:tr>
      <w:tr w:rsidR="004857E0" w:rsidRPr="004857E0" w14:paraId="47D87A3B"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6051236" w14:textId="502087D8" w:rsidR="004857E0" w:rsidRPr="004857E0" w:rsidRDefault="004857E0" w:rsidP="007025D5">
            <w:pPr>
              <w:pStyle w:val="Tabletext"/>
              <w:rPr>
                <w:lang w:eastAsia="en-GB"/>
              </w:rPr>
            </w:pPr>
            <w:r w:rsidRPr="004857E0">
              <w:rPr>
                <w:lang w:eastAsia="en-GB"/>
              </w:rPr>
              <w:t>Guinea-Bissau</w:t>
            </w:r>
          </w:p>
        </w:tc>
        <w:tc>
          <w:tcPr>
            <w:tcW w:w="1900" w:type="dxa"/>
            <w:tcBorders>
              <w:top w:val="nil"/>
              <w:left w:val="single" w:sz="4" w:space="0" w:color="auto"/>
              <w:bottom w:val="nil"/>
              <w:right w:val="single" w:sz="4" w:space="0" w:color="auto"/>
            </w:tcBorders>
            <w:shd w:val="clear" w:color="000000" w:fill="FFFFFF"/>
            <w:noWrap/>
            <w:vAlign w:val="bottom"/>
            <w:hideMark/>
          </w:tcPr>
          <w:p w14:paraId="1B9896A8" w14:textId="1C8E0FB7" w:rsidR="004857E0" w:rsidRPr="004857E0" w:rsidRDefault="004857E0" w:rsidP="007025D5">
            <w:pPr>
              <w:pStyle w:val="Tabletext"/>
              <w:jc w:val="center"/>
              <w:rPr>
                <w:lang w:eastAsia="en-GB"/>
              </w:rPr>
            </w:pPr>
            <w:r w:rsidRPr="004857E0">
              <w:rPr>
                <w:lang w:eastAsia="en-GB"/>
              </w:rPr>
              <w:t>1/16</w:t>
            </w:r>
          </w:p>
        </w:tc>
      </w:tr>
      <w:tr w:rsidR="004857E0" w:rsidRPr="004857E0" w14:paraId="08AE8F2B"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6D6030C" w14:textId="77777777" w:rsidR="004857E0" w:rsidRPr="004857E0" w:rsidRDefault="004857E0" w:rsidP="007025D5">
            <w:pPr>
              <w:pStyle w:val="Tabletext"/>
              <w:rPr>
                <w:lang w:eastAsia="en-GB"/>
              </w:rPr>
            </w:pPr>
            <w:r w:rsidRPr="004857E0">
              <w:rPr>
                <w:lang w:eastAsia="en-GB"/>
              </w:rPr>
              <w:t xml:space="preserve">Guyana  </w:t>
            </w:r>
          </w:p>
        </w:tc>
        <w:tc>
          <w:tcPr>
            <w:tcW w:w="1900" w:type="dxa"/>
            <w:tcBorders>
              <w:top w:val="nil"/>
              <w:left w:val="single" w:sz="4" w:space="0" w:color="auto"/>
              <w:bottom w:val="nil"/>
              <w:right w:val="single" w:sz="4" w:space="0" w:color="auto"/>
            </w:tcBorders>
            <w:shd w:val="clear" w:color="000000" w:fill="FFFFFF"/>
            <w:noWrap/>
            <w:vAlign w:val="bottom"/>
            <w:hideMark/>
          </w:tcPr>
          <w:p w14:paraId="6B3FC67D" w14:textId="6DF83046" w:rsidR="004857E0" w:rsidRPr="004857E0" w:rsidRDefault="004857E0" w:rsidP="007025D5">
            <w:pPr>
              <w:pStyle w:val="Tabletext"/>
              <w:jc w:val="center"/>
              <w:rPr>
                <w:lang w:eastAsia="en-GB"/>
              </w:rPr>
            </w:pPr>
            <w:r w:rsidRPr="004857E0">
              <w:rPr>
                <w:lang w:eastAsia="en-GB"/>
              </w:rPr>
              <w:t>1/4</w:t>
            </w:r>
          </w:p>
        </w:tc>
      </w:tr>
      <w:tr w:rsidR="004857E0" w:rsidRPr="004857E0" w14:paraId="6ED26FDE"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2BB70B83" w14:textId="77777777" w:rsidR="004857E0" w:rsidRPr="004857E0" w:rsidRDefault="004857E0" w:rsidP="007025D5">
            <w:pPr>
              <w:pStyle w:val="Tabletext"/>
              <w:rPr>
                <w:lang w:eastAsia="en-GB"/>
              </w:rPr>
            </w:pPr>
            <w:r w:rsidRPr="004857E0">
              <w:rPr>
                <w:lang w:eastAsia="en-GB"/>
              </w:rPr>
              <w:t>Haiti</w:t>
            </w:r>
          </w:p>
        </w:tc>
        <w:tc>
          <w:tcPr>
            <w:tcW w:w="1900" w:type="dxa"/>
            <w:tcBorders>
              <w:top w:val="nil"/>
              <w:left w:val="single" w:sz="4" w:space="0" w:color="auto"/>
              <w:bottom w:val="nil"/>
              <w:right w:val="single" w:sz="4" w:space="0" w:color="auto"/>
            </w:tcBorders>
            <w:shd w:val="clear" w:color="000000" w:fill="FFFFFF"/>
            <w:noWrap/>
            <w:vAlign w:val="bottom"/>
            <w:hideMark/>
          </w:tcPr>
          <w:p w14:paraId="28415E7B" w14:textId="6560D727" w:rsidR="004857E0" w:rsidRPr="004857E0" w:rsidRDefault="004857E0" w:rsidP="007025D5">
            <w:pPr>
              <w:pStyle w:val="Tabletext"/>
              <w:jc w:val="center"/>
              <w:rPr>
                <w:lang w:eastAsia="en-GB"/>
              </w:rPr>
            </w:pPr>
            <w:r w:rsidRPr="004857E0">
              <w:rPr>
                <w:lang w:eastAsia="en-GB"/>
              </w:rPr>
              <w:t>1/16</w:t>
            </w:r>
          </w:p>
        </w:tc>
      </w:tr>
      <w:tr w:rsidR="004857E0" w:rsidRPr="004857E0" w14:paraId="0271B7DF"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1A1A9A07" w14:textId="77777777" w:rsidR="004857E0" w:rsidRPr="004857E0" w:rsidRDefault="004857E0" w:rsidP="007025D5">
            <w:pPr>
              <w:pStyle w:val="Tabletext"/>
              <w:rPr>
                <w:lang w:eastAsia="en-GB"/>
              </w:rPr>
            </w:pPr>
            <w:r w:rsidRPr="004857E0">
              <w:rPr>
                <w:lang w:eastAsia="en-GB"/>
              </w:rPr>
              <w:t>Honduras</w:t>
            </w:r>
          </w:p>
        </w:tc>
        <w:tc>
          <w:tcPr>
            <w:tcW w:w="1900" w:type="dxa"/>
            <w:tcBorders>
              <w:top w:val="nil"/>
              <w:left w:val="single" w:sz="4" w:space="0" w:color="auto"/>
              <w:bottom w:val="nil"/>
              <w:right w:val="single" w:sz="4" w:space="0" w:color="auto"/>
            </w:tcBorders>
            <w:shd w:val="clear" w:color="000000" w:fill="FFFFFF"/>
            <w:noWrap/>
            <w:vAlign w:val="bottom"/>
            <w:hideMark/>
          </w:tcPr>
          <w:p w14:paraId="0993B41F" w14:textId="39BC83BE" w:rsidR="004857E0" w:rsidRPr="004857E0" w:rsidRDefault="004857E0" w:rsidP="007025D5">
            <w:pPr>
              <w:pStyle w:val="Tabletext"/>
              <w:jc w:val="center"/>
              <w:rPr>
                <w:lang w:eastAsia="en-GB"/>
              </w:rPr>
            </w:pPr>
            <w:r w:rsidRPr="004857E0">
              <w:rPr>
                <w:lang w:eastAsia="en-GB"/>
              </w:rPr>
              <w:t>1/4</w:t>
            </w:r>
          </w:p>
        </w:tc>
      </w:tr>
      <w:tr w:rsidR="004857E0" w:rsidRPr="004857E0" w14:paraId="53404D1D"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FA798BD" w14:textId="77777777" w:rsidR="004857E0" w:rsidRPr="004857E0" w:rsidRDefault="004857E0" w:rsidP="007025D5">
            <w:pPr>
              <w:pStyle w:val="Tabletext"/>
              <w:rPr>
                <w:lang w:eastAsia="en-GB"/>
              </w:rPr>
            </w:pPr>
            <w:r w:rsidRPr="004857E0">
              <w:rPr>
                <w:lang w:eastAsia="en-GB"/>
              </w:rPr>
              <w:t>Hungary</w:t>
            </w:r>
          </w:p>
        </w:tc>
        <w:tc>
          <w:tcPr>
            <w:tcW w:w="1900" w:type="dxa"/>
            <w:tcBorders>
              <w:top w:val="nil"/>
              <w:left w:val="single" w:sz="4" w:space="0" w:color="auto"/>
              <w:bottom w:val="nil"/>
              <w:right w:val="single" w:sz="4" w:space="0" w:color="auto"/>
            </w:tcBorders>
            <w:shd w:val="clear" w:color="000000" w:fill="FFFFFF"/>
            <w:noWrap/>
            <w:vAlign w:val="bottom"/>
            <w:hideMark/>
          </w:tcPr>
          <w:p w14:paraId="3B9B6361" w14:textId="58226B75" w:rsidR="004857E0" w:rsidRPr="004857E0" w:rsidRDefault="004857E0" w:rsidP="007025D5">
            <w:pPr>
              <w:pStyle w:val="Tabletext"/>
              <w:jc w:val="center"/>
              <w:rPr>
                <w:lang w:eastAsia="en-GB"/>
              </w:rPr>
            </w:pPr>
            <w:r w:rsidRPr="004857E0">
              <w:rPr>
                <w:lang w:eastAsia="en-GB"/>
              </w:rPr>
              <w:t>1/2</w:t>
            </w:r>
          </w:p>
        </w:tc>
      </w:tr>
      <w:tr w:rsidR="004857E0" w:rsidRPr="004857E0" w14:paraId="30B86AEA"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64DB394F" w14:textId="77777777" w:rsidR="004857E0" w:rsidRPr="004857E0" w:rsidRDefault="004857E0" w:rsidP="007025D5">
            <w:pPr>
              <w:pStyle w:val="Tabletext"/>
              <w:rPr>
                <w:lang w:eastAsia="en-GB"/>
              </w:rPr>
            </w:pPr>
            <w:r w:rsidRPr="004857E0">
              <w:rPr>
                <w:lang w:eastAsia="en-GB"/>
              </w:rPr>
              <w:t xml:space="preserve">Iceland </w:t>
            </w:r>
          </w:p>
        </w:tc>
        <w:tc>
          <w:tcPr>
            <w:tcW w:w="1900" w:type="dxa"/>
            <w:tcBorders>
              <w:top w:val="nil"/>
              <w:left w:val="single" w:sz="4" w:space="0" w:color="auto"/>
              <w:bottom w:val="nil"/>
              <w:right w:val="single" w:sz="4" w:space="0" w:color="auto"/>
            </w:tcBorders>
            <w:shd w:val="clear" w:color="000000" w:fill="FFFFFF"/>
            <w:noWrap/>
            <w:vAlign w:val="bottom"/>
            <w:hideMark/>
          </w:tcPr>
          <w:p w14:paraId="49327B7E" w14:textId="6C9CF1A2" w:rsidR="004857E0" w:rsidRPr="004857E0" w:rsidRDefault="004857E0" w:rsidP="007025D5">
            <w:pPr>
              <w:pStyle w:val="Tabletext"/>
              <w:jc w:val="center"/>
              <w:rPr>
                <w:lang w:eastAsia="en-GB"/>
              </w:rPr>
            </w:pPr>
            <w:r w:rsidRPr="004857E0">
              <w:rPr>
                <w:lang w:eastAsia="en-GB"/>
              </w:rPr>
              <w:t>1/4</w:t>
            </w:r>
          </w:p>
        </w:tc>
      </w:tr>
      <w:tr w:rsidR="004857E0" w:rsidRPr="004857E0" w14:paraId="25AA397B"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2DEA5A31" w14:textId="77777777" w:rsidR="004857E0" w:rsidRPr="004857E0" w:rsidRDefault="004857E0" w:rsidP="007025D5">
            <w:pPr>
              <w:pStyle w:val="Tabletext"/>
              <w:rPr>
                <w:lang w:eastAsia="en-GB"/>
              </w:rPr>
            </w:pPr>
            <w:r w:rsidRPr="004857E0">
              <w:rPr>
                <w:lang w:eastAsia="en-GB"/>
              </w:rPr>
              <w:t>India</w:t>
            </w:r>
          </w:p>
        </w:tc>
        <w:tc>
          <w:tcPr>
            <w:tcW w:w="1900" w:type="dxa"/>
            <w:tcBorders>
              <w:top w:val="nil"/>
              <w:left w:val="single" w:sz="4" w:space="0" w:color="auto"/>
              <w:bottom w:val="nil"/>
              <w:right w:val="single" w:sz="4" w:space="0" w:color="auto"/>
            </w:tcBorders>
            <w:shd w:val="clear" w:color="000000" w:fill="FFFFFF"/>
            <w:noWrap/>
            <w:vAlign w:val="bottom"/>
            <w:hideMark/>
          </w:tcPr>
          <w:p w14:paraId="1292D2B6" w14:textId="5BEEC4EB" w:rsidR="004857E0" w:rsidRPr="004857E0" w:rsidRDefault="004857E0" w:rsidP="007025D5">
            <w:pPr>
              <w:pStyle w:val="Tabletext"/>
              <w:jc w:val="center"/>
              <w:rPr>
                <w:lang w:eastAsia="en-GB"/>
              </w:rPr>
            </w:pPr>
            <w:r w:rsidRPr="004857E0">
              <w:rPr>
                <w:lang w:eastAsia="en-GB"/>
              </w:rPr>
              <w:t>10</w:t>
            </w:r>
          </w:p>
        </w:tc>
      </w:tr>
      <w:tr w:rsidR="004857E0" w:rsidRPr="004857E0" w14:paraId="30590232"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E6BE15A" w14:textId="77777777" w:rsidR="004857E0" w:rsidRPr="004857E0" w:rsidRDefault="004857E0" w:rsidP="007025D5">
            <w:pPr>
              <w:pStyle w:val="Tabletext"/>
              <w:rPr>
                <w:lang w:eastAsia="en-GB"/>
              </w:rPr>
            </w:pPr>
            <w:r w:rsidRPr="004857E0">
              <w:rPr>
                <w:lang w:eastAsia="en-GB"/>
              </w:rPr>
              <w:t>Indonesia</w:t>
            </w:r>
          </w:p>
        </w:tc>
        <w:tc>
          <w:tcPr>
            <w:tcW w:w="1900" w:type="dxa"/>
            <w:tcBorders>
              <w:top w:val="nil"/>
              <w:left w:val="single" w:sz="4" w:space="0" w:color="auto"/>
              <w:bottom w:val="nil"/>
              <w:right w:val="single" w:sz="4" w:space="0" w:color="auto"/>
            </w:tcBorders>
            <w:shd w:val="clear" w:color="000000" w:fill="FFFFFF"/>
            <w:noWrap/>
            <w:vAlign w:val="bottom"/>
            <w:hideMark/>
          </w:tcPr>
          <w:p w14:paraId="5BB0FFFA" w14:textId="720548F4" w:rsidR="004857E0" w:rsidRPr="004857E0" w:rsidRDefault="004857E0" w:rsidP="007025D5">
            <w:pPr>
              <w:pStyle w:val="Tabletext"/>
              <w:jc w:val="center"/>
              <w:rPr>
                <w:lang w:eastAsia="en-GB"/>
              </w:rPr>
            </w:pPr>
            <w:r w:rsidRPr="004857E0">
              <w:rPr>
                <w:lang w:eastAsia="en-GB"/>
              </w:rPr>
              <w:t>1</w:t>
            </w:r>
          </w:p>
        </w:tc>
      </w:tr>
      <w:tr w:rsidR="004857E0" w:rsidRPr="004857E0" w14:paraId="0665CD3E"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61B612FA" w14:textId="77777777" w:rsidR="004857E0" w:rsidRPr="004857E0" w:rsidRDefault="004857E0" w:rsidP="007025D5">
            <w:pPr>
              <w:pStyle w:val="Tabletext"/>
              <w:rPr>
                <w:lang w:eastAsia="en-GB"/>
              </w:rPr>
            </w:pPr>
            <w:r w:rsidRPr="004857E0">
              <w:rPr>
                <w:lang w:eastAsia="en-GB"/>
              </w:rPr>
              <w:t>Iran</w:t>
            </w:r>
          </w:p>
        </w:tc>
        <w:tc>
          <w:tcPr>
            <w:tcW w:w="1900" w:type="dxa"/>
            <w:tcBorders>
              <w:top w:val="nil"/>
              <w:left w:val="single" w:sz="4" w:space="0" w:color="auto"/>
              <w:bottom w:val="nil"/>
              <w:right w:val="single" w:sz="4" w:space="0" w:color="auto"/>
            </w:tcBorders>
            <w:shd w:val="clear" w:color="000000" w:fill="FFFFFF"/>
            <w:noWrap/>
            <w:vAlign w:val="bottom"/>
            <w:hideMark/>
          </w:tcPr>
          <w:p w14:paraId="2102E05B" w14:textId="4FCCB3D2" w:rsidR="004857E0" w:rsidRPr="004857E0" w:rsidRDefault="004857E0" w:rsidP="007025D5">
            <w:pPr>
              <w:pStyle w:val="Tabletext"/>
              <w:jc w:val="center"/>
              <w:rPr>
                <w:lang w:eastAsia="en-GB"/>
              </w:rPr>
            </w:pPr>
            <w:r w:rsidRPr="004857E0">
              <w:rPr>
                <w:lang w:eastAsia="en-GB"/>
              </w:rPr>
              <w:t>1</w:t>
            </w:r>
          </w:p>
        </w:tc>
      </w:tr>
      <w:tr w:rsidR="004857E0" w:rsidRPr="004857E0" w14:paraId="3302C1B7"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A7F7042" w14:textId="77777777" w:rsidR="004857E0" w:rsidRPr="004857E0" w:rsidRDefault="004857E0" w:rsidP="007025D5">
            <w:pPr>
              <w:pStyle w:val="Tabletext"/>
              <w:rPr>
                <w:lang w:eastAsia="en-GB"/>
              </w:rPr>
            </w:pPr>
            <w:r w:rsidRPr="004857E0">
              <w:rPr>
                <w:lang w:eastAsia="en-GB"/>
              </w:rPr>
              <w:t>Iraq</w:t>
            </w:r>
          </w:p>
        </w:tc>
        <w:tc>
          <w:tcPr>
            <w:tcW w:w="1900" w:type="dxa"/>
            <w:tcBorders>
              <w:top w:val="nil"/>
              <w:left w:val="single" w:sz="4" w:space="0" w:color="auto"/>
              <w:bottom w:val="nil"/>
              <w:right w:val="single" w:sz="4" w:space="0" w:color="auto"/>
            </w:tcBorders>
            <w:shd w:val="clear" w:color="000000" w:fill="FFFFFF"/>
            <w:noWrap/>
            <w:vAlign w:val="bottom"/>
            <w:hideMark/>
          </w:tcPr>
          <w:p w14:paraId="5602584F" w14:textId="7B1B70CD" w:rsidR="004857E0" w:rsidRPr="004857E0" w:rsidRDefault="004857E0" w:rsidP="007025D5">
            <w:pPr>
              <w:pStyle w:val="Tabletext"/>
              <w:jc w:val="center"/>
              <w:rPr>
                <w:lang w:eastAsia="en-GB"/>
              </w:rPr>
            </w:pPr>
            <w:r w:rsidRPr="004857E0">
              <w:rPr>
                <w:lang w:eastAsia="en-GB"/>
              </w:rPr>
              <w:t>1</w:t>
            </w:r>
          </w:p>
        </w:tc>
      </w:tr>
      <w:tr w:rsidR="004857E0" w:rsidRPr="004857E0" w14:paraId="1ECD9A6D"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BCE5C5B" w14:textId="77777777" w:rsidR="004857E0" w:rsidRPr="004857E0" w:rsidRDefault="004857E0" w:rsidP="007025D5">
            <w:pPr>
              <w:pStyle w:val="Tabletext"/>
              <w:rPr>
                <w:lang w:eastAsia="en-GB"/>
              </w:rPr>
            </w:pPr>
            <w:r w:rsidRPr="004857E0">
              <w:rPr>
                <w:lang w:eastAsia="en-GB"/>
              </w:rPr>
              <w:t xml:space="preserve">Ireland </w:t>
            </w:r>
          </w:p>
        </w:tc>
        <w:tc>
          <w:tcPr>
            <w:tcW w:w="1900" w:type="dxa"/>
            <w:tcBorders>
              <w:top w:val="nil"/>
              <w:left w:val="single" w:sz="4" w:space="0" w:color="auto"/>
              <w:bottom w:val="nil"/>
              <w:right w:val="single" w:sz="4" w:space="0" w:color="auto"/>
            </w:tcBorders>
            <w:shd w:val="clear" w:color="000000" w:fill="FFFFFF"/>
            <w:noWrap/>
            <w:vAlign w:val="bottom"/>
            <w:hideMark/>
          </w:tcPr>
          <w:p w14:paraId="06B9BE7E" w14:textId="66C36FCB" w:rsidR="004857E0" w:rsidRPr="004857E0" w:rsidRDefault="004857E0" w:rsidP="007025D5">
            <w:pPr>
              <w:pStyle w:val="Tabletext"/>
              <w:jc w:val="center"/>
              <w:rPr>
                <w:lang w:eastAsia="en-GB"/>
              </w:rPr>
            </w:pPr>
            <w:r w:rsidRPr="004857E0">
              <w:rPr>
                <w:lang w:eastAsia="en-GB"/>
              </w:rPr>
              <w:t>2</w:t>
            </w:r>
          </w:p>
        </w:tc>
      </w:tr>
      <w:tr w:rsidR="004857E0" w:rsidRPr="004857E0" w14:paraId="62F3D19E"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0AA1958" w14:textId="77777777" w:rsidR="004857E0" w:rsidRPr="004857E0" w:rsidRDefault="004857E0" w:rsidP="007025D5">
            <w:pPr>
              <w:pStyle w:val="Tabletext"/>
              <w:rPr>
                <w:lang w:eastAsia="en-GB"/>
              </w:rPr>
            </w:pPr>
            <w:r w:rsidRPr="004857E0">
              <w:rPr>
                <w:lang w:eastAsia="en-GB"/>
              </w:rPr>
              <w:t>Israel</w:t>
            </w:r>
          </w:p>
        </w:tc>
        <w:tc>
          <w:tcPr>
            <w:tcW w:w="1900" w:type="dxa"/>
            <w:tcBorders>
              <w:top w:val="nil"/>
              <w:left w:val="single" w:sz="4" w:space="0" w:color="auto"/>
              <w:bottom w:val="nil"/>
              <w:right w:val="single" w:sz="4" w:space="0" w:color="auto"/>
            </w:tcBorders>
            <w:shd w:val="clear" w:color="000000" w:fill="FFFFFF"/>
            <w:noWrap/>
            <w:vAlign w:val="bottom"/>
            <w:hideMark/>
          </w:tcPr>
          <w:p w14:paraId="289B2554" w14:textId="72A49A61" w:rsidR="004857E0" w:rsidRPr="004857E0" w:rsidRDefault="004857E0" w:rsidP="007025D5">
            <w:pPr>
              <w:pStyle w:val="Tabletext"/>
              <w:jc w:val="center"/>
              <w:rPr>
                <w:lang w:eastAsia="en-GB"/>
              </w:rPr>
            </w:pPr>
            <w:r w:rsidRPr="004857E0">
              <w:rPr>
                <w:lang w:eastAsia="en-GB"/>
              </w:rPr>
              <w:t>1</w:t>
            </w:r>
          </w:p>
        </w:tc>
      </w:tr>
      <w:tr w:rsidR="004857E0" w:rsidRPr="004857E0" w14:paraId="1A66EFCD"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3EBD8CE4" w14:textId="77777777" w:rsidR="004857E0" w:rsidRPr="004857E0" w:rsidRDefault="004857E0" w:rsidP="007025D5">
            <w:pPr>
              <w:pStyle w:val="Tabletext"/>
              <w:rPr>
                <w:lang w:eastAsia="en-GB"/>
              </w:rPr>
            </w:pPr>
            <w:r w:rsidRPr="004857E0">
              <w:rPr>
                <w:lang w:eastAsia="en-GB"/>
              </w:rPr>
              <w:t xml:space="preserve">Italy </w:t>
            </w:r>
          </w:p>
        </w:tc>
        <w:tc>
          <w:tcPr>
            <w:tcW w:w="1900" w:type="dxa"/>
            <w:tcBorders>
              <w:top w:val="nil"/>
              <w:left w:val="single" w:sz="4" w:space="0" w:color="auto"/>
              <w:bottom w:val="nil"/>
              <w:right w:val="single" w:sz="4" w:space="0" w:color="auto"/>
            </w:tcBorders>
            <w:shd w:val="clear" w:color="000000" w:fill="FFFFFF"/>
            <w:noWrap/>
            <w:vAlign w:val="bottom"/>
            <w:hideMark/>
          </w:tcPr>
          <w:p w14:paraId="08D2CF4A" w14:textId="2FC38110" w:rsidR="004857E0" w:rsidRPr="004857E0" w:rsidRDefault="004857E0" w:rsidP="007025D5">
            <w:pPr>
              <w:pStyle w:val="Tabletext"/>
              <w:jc w:val="center"/>
              <w:rPr>
                <w:lang w:eastAsia="en-GB"/>
              </w:rPr>
            </w:pPr>
            <w:r w:rsidRPr="004857E0">
              <w:rPr>
                <w:lang w:eastAsia="en-GB"/>
              </w:rPr>
              <w:t>15</w:t>
            </w:r>
          </w:p>
        </w:tc>
      </w:tr>
      <w:tr w:rsidR="004857E0" w:rsidRPr="004857E0" w14:paraId="1DFF59B3"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7A0A3B80" w14:textId="77777777" w:rsidR="004857E0" w:rsidRPr="004857E0" w:rsidRDefault="004857E0" w:rsidP="007025D5">
            <w:pPr>
              <w:pStyle w:val="Tabletext"/>
              <w:rPr>
                <w:lang w:eastAsia="en-GB"/>
              </w:rPr>
            </w:pPr>
            <w:r w:rsidRPr="004857E0">
              <w:rPr>
                <w:lang w:eastAsia="en-GB"/>
              </w:rPr>
              <w:t>Jamaica</w:t>
            </w:r>
          </w:p>
        </w:tc>
        <w:tc>
          <w:tcPr>
            <w:tcW w:w="1900" w:type="dxa"/>
            <w:tcBorders>
              <w:top w:val="nil"/>
              <w:left w:val="single" w:sz="4" w:space="0" w:color="auto"/>
              <w:bottom w:val="nil"/>
              <w:right w:val="single" w:sz="4" w:space="0" w:color="auto"/>
            </w:tcBorders>
            <w:shd w:val="clear" w:color="000000" w:fill="FFFFFF"/>
            <w:vAlign w:val="bottom"/>
            <w:hideMark/>
          </w:tcPr>
          <w:p w14:paraId="759987E5" w14:textId="4568AB23" w:rsidR="004857E0" w:rsidRPr="004857E0" w:rsidRDefault="004857E0" w:rsidP="007025D5">
            <w:pPr>
              <w:pStyle w:val="Tabletext"/>
              <w:jc w:val="center"/>
              <w:rPr>
                <w:lang w:eastAsia="en-GB"/>
              </w:rPr>
            </w:pPr>
            <w:r w:rsidRPr="004857E0">
              <w:rPr>
                <w:lang w:eastAsia="en-GB"/>
              </w:rPr>
              <w:t>1/4</w:t>
            </w:r>
          </w:p>
        </w:tc>
      </w:tr>
      <w:tr w:rsidR="004857E0" w:rsidRPr="004857E0" w14:paraId="4723142A"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6820E517" w14:textId="77777777" w:rsidR="004857E0" w:rsidRPr="004857E0" w:rsidRDefault="004857E0" w:rsidP="007025D5">
            <w:pPr>
              <w:pStyle w:val="Tabletext"/>
              <w:rPr>
                <w:lang w:eastAsia="en-GB"/>
              </w:rPr>
            </w:pPr>
            <w:r w:rsidRPr="004857E0">
              <w:rPr>
                <w:lang w:eastAsia="en-GB"/>
              </w:rPr>
              <w:t>Japan</w:t>
            </w:r>
          </w:p>
        </w:tc>
        <w:tc>
          <w:tcPr>
            <w:tcW w:w="1900" w:type="dxa"/>
            <w:tcBorders>
              <w:top w:val="nil"/>
              <w:left w:val="single" w:sz="4" w:space="0" w:color="auto"/>
              <w:bottom w:val="nil"/>
              <w:right w:val="single" w:sz="4" w:space="0" w:color="auto"/>
            </w:tcBorders>
            <w:shd w:val="clear" w:color="000000" w:fill="FFFFFF"/>
            <w:noWrap/>
            <w:vAlign w:val="bottom"/>
            <w:hideMark/>
          </w:tcPr>
          <w:p w14:paraId="5101A4FB" w14:textId="5B7A3FF2" w:rsidR="004857E0" w:rsidRPr="004857E0" w:rsidRDefault="004857E0" w:rsidP="007025D5">
            <w:pPr>
              <w:pStyle w:val="Tabletext"/>
              <w:jc w:val="center"/>
              <w:rPr>
                <w:lang w:eastAsia="en-GB"/>
              </w:rPr>
            </w:pPr>
            <w:r w:rsidRPr="004857E0">
              <w:rPr>
                <w:lang w:eastAsia="en-GB"/>
              </w:rPr>
              <w:t>30</w:t>
            </w:r>
          </w:p>
        </w:tc>
      </w:tr>
      <w:tr w:rsidR="004857E0" w:rsidRPr="004857E0" w14:paraId="0AC95B75"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27C96713" w14:textId="77777777" w:rsidR="004857E0" w:rsidRPr="004857E0" w:rsidRDefault="004857E0" w:rsidP="007025D5">
            <w:pPr>
              <w:pStyle w:val="Tabletext"/>
              <w:rPr>
                <w:lang w:eastAsia="en-GB"/>
              </w:rPr>
            </w:pPr>
            <w:r w:rsidRPr="004857E0">
              <w:rPr>
                <w:lang w:eastAsia="en-GB"/>
              </w:rPr>
              <w:t>Jordan</w:t>
            </w:r>
          </w:p>
        </w:tc>
        <w:tc>
          <w:tcPr>
            <w:tcW w:w="1900" w:type="dxa"/>
            <w:tcBorders>
              <w:top w:val="nil"/>
              <w:left w:val="single" w:sz="4" w:space="0" w:color="auto"/>
              <w:bottom w:val="nil"/>
              <w:right w:val="single" w:sz="4" w:space="0" w:color="auto"/>
            </w:tcBorders>
            <w:shd w:val="clear" w:color="000000" w:fill="FFFFFF"/>
            <w:noWrap/>
            <w:vAlign w:val="bottom"/>
            <w:hideMark/>
          </w:tcPr>
          <w:p w14:paraId="7484193E" w14:textId="5B8E551E" w:rsidR="004857E0" w:rsidRPr="004857E0" w:rsidRDefault="004857E0" w:rsidP="007025D5">
            <w:pPr>
              <w:pStyle w:val="Tabletext"/>
              <w:jc w:val="center"/>
              <w:rPr>
                <w:lang w:eastAsia="en-GB"/>
              </w:rPr>
            </w:pPr>
            <w:r w:rsidRPr="004857E0">
              <w:rPr>
                <w:lang w:eastAsia="en-GB"/>
              </w:rPr>
              <w:t>1/2</w:t>
            </w:r>
          </w:p>
        </w:tc>
      </w:tr>
      <w:tr w:rsidR="004857E0" w:rsidRPr="004857E0" w14:paraId="1DC26276"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69C65BC3" w14:textId="77777777" w:rsidR="004857E0" w:rsidRPr="004857E0" w:rsidRDefault="004857E0" w:rsidP="007025D5">
            <w:pPr>
              <w:pStyle w:val="Tabletext"/>
              <w:rPr>
                <w:lang w:eastAsia="en-GB"/>
              </w:rPr>
            </w:pPr>
            <w:r w:rsidRPr="004857E0">
              <w:rPr>
                <w:lang w:eastAsia="en-GB"/>
              </w:rPr>
              <w:t>Kazakhstan</w:t>
            </w:r>
          </w:p>
        </w:tc>
        <w:tc>
          <w:tcPr>
            <w:tcW w:w="1900" w:type="dxa"/>
            <w:tcBorders>
              <w:top w:val="nil"/>
              <w:left w:val="single" w:sz="4" w:space="0" w:color="auto"/>
              <w:bottom w:val="nil"/>
              <w:right w:val="single" w:sz="4" w:space="0" w:color="auto"/>
            </w:tcBorders>
            <w:shd w:val="clear" w:color="000000" w:fill="FFFFFF"/>
            <w:noWrap/>
            <w:vAlign w:val="bottom"/>
            <w:hideMark/>
          </w:tcPr>
          <w:p w14:paraId="79BB33E2" w14:textId="6A96E4D3" w:rsidR="004857E0" w:rsidRPr="004857E0" w:rsidRDefault="004857E0" w:rsidP="007025D5">
            <w:pPr>
              <w:pStyle w:val="Tabletext"/>
              <w:jc w:val="center"/>
              <w:rPr>
                <w:lang w:eastAsia="en-GB"/>
              </w:rPr>
            </w:pPr>
            <w:r w:rsidRPr="004857E0">
              <w:rPr>
                <w:lang w:eastAsia="en-GB"/>
              </w:rPr>
              <w:t>1/2</w:t>
            </w:r>
          </w:p>
        </w:tc>
      </w:tr>
      <w:tr w:rsidR="004857E0" w:rsidRPr="004857E0" w14:paraId="625AA84F"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547F7FF" w14:textId="77777777" w:rsidR="004857E0" w:rsidRPr="004857E0" w:rsidRDefault="004857E0" w:rsidP="007025D5">
            <w:pPr>
              <w:pStyle w:val="Tabletext"/>
              <w:rPr>
                <w:lang w:eastAsia="en-GB"/>
              </w:rPr>
            </w:pPr>
            <w:r w:rsidRPr="004857E0">
              <w:rPr>
                <w:lang w:eastAsia="en-GB"/>
              </w:rPr>
              <w:t>Kenya</w:t>
            </w:r>
          </w:p>
        </w:tc>
        <w:tc>
          <w:tcPr>
            <w:tcW w:w="1900" w:type="dxa"/>
            <w:tcBorders>
              <w:top w:val="nil"/>
              <w:left w:val="single" w:sz="4" w:space="0" w:color="auto"/>
              <w:bottom w:val="nil"/>
              <w:right w:val="single" w:sz="4" w:space="0" w:color="auto"/>
            </w:tcBorders>
            <w:shd w:val="clear" w:color="000000" w:fill="FFFFFF"/>
            <w:noWrap/>
            <w:vAlign w:val="bottom"/>
            <w:hideMark/>
          </w:tcPr>
          <w:p w14:paraId="7501D523" w14:textId="39D55AE1" w:rsidR="004857E0" w:rsidRPr="004857E0" w:rsidRDefault="004857E0" w:rsidP="007025D5">
            <w:pPr>
              <w:pStyle w:val="Tabletext"/>
              <w:jc w:val="center"/>
              <w:rPr>
                <w:lang w:eastAsia="en-GB"/>
              </w:rPr>
            </w:pPr>
            <w:r w:rsidRPr="004857E0">
              <w:rPr>
                <w:lang w:eastAsia="en-GB"/>
              </w:rPr>
              <w:t>1</w:t>
            </w:r>
          </w:p>
        </w:tc>
      </w:tr>
      <w:tr w:rsidR="004857E0" w:rsidRPr="004857E0" w14:paraId="413C73CA"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AF7BDA2" w14:textId="77777777" w:rsidR="004857E0" w:rsidRPr="004857E0" w:rsidRDefault="004857E0" w:rsidP="007025D5">
            <w:pPr>
              <w:pStyle w:val="Tabletext"/>
              <w:rPr>
                <w:lang w:eastAsia="en-GB"/>
              </w:rPr>
            </w:pPr>
            <w:r w:rsidRPr="004857E0">
              <w:rPr>
                <w:lang w:eastAsia="en-GB"/>
              </w:rPr>
              <w:t>Kiribati</w:t>
            </w:r>
          </w:p>
        </w:tc>
        <w:tc>
          <w:tcPr>
            <w:tcW w:w="1900" w:type="dxa"/>
            <w:tcBorders>
              <w:top w:val="nil"/>
              <w:left w:val="single" w:sz="4" w:space="0" w:color="auto"/>
              <w:bottom w:val="nil"/>
              <w:right w:val="single" w:sz="4" w:space="0" w:color="auto"/>
            </w:tcBorders>
            <w:shd w:val="clear" w:color="000000" w:fill="FFFFFF"/>
            <w:noWrap/>
            <w:vAlign w:val="bottom"/>
            <w:hideMark/>
          </w:tcPr>
          <w:p w14:paraId="1D32CF03" w14:textId="490C369D" w:rsidR="004857E0" w:rsidRPr="004857E0" w:rsidRDefault="004857E0" w:rsidP="007025D5">
            <w:pPr>
              <w:pStyle w:val="Tabletext"/>
              <w:jc w:val="center"/>
              <w:rPr>
                <w:lang w:eastAsia="en-GB"/>
              </w:rPr>
            </w:pPr>
            <w:r w:rsidRPr="004857E0">
              <w:rPr>
                <w:lang w:eastAsia="en-GB"/>
              </w:rPr>
              <w:t>1/16</w:t>
            </w:r>
          </w:p>
        </w:tc>
      </w:tr>
      <w:tr w:rsidR="004857E0" w:rsidRPr="004857E0" w14:paraId="632CEA66"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732F415" w14:textId="244CEDD9" w:rsidR="004857E0" w:rsidRPr="004857E0" w:rsidRDefault="004857E0" w:rsidP="007025D5">
            <w:pPr>
              <w:pStyle w:val="Tabletext"/>
              <w:rPr>
                <w:lang w:eastAsia="en-GB"/>
              </w:rPr>
            </w:pPr>
            <w:r w:rsidRPr="004857E0">
              <w:rPr>
                <w:lang w:eastAsia="en-GB"/>
              </w:rPr>
              <w:t>Korea (Republic of)</w:t>
            </w:r>
          </w:p>
        </w:tc>
        <w:tc>
          <w:tcPr>
            <w:tcW w:w="1900" w:type="dxa"/>
            <w:tcBorders>
              <w:top w:val="nil"/>
              <w:left w:val="single" w:sz="4" w:space="0" w:color="auto"/>
              <w:bottom w:val="nil"/>
              <w:right w:val="single" w:sz="4" w:space="0" w:color="auto"/>
            </w:tcBorders>
            <w:shd w:val="clear" w:color="000000" w:fill="FFFFFF"/>
            <w:noWrap/>
            <w:vAlign w:val="bottom"/>
            <w:hideMark/>
          </w:tcPr>
          <w:p w14:paraId="08CAB275" w14:textId="74980CCF" w:rsidR="004857E0" w:rsidRPr="004857E0" w:rsidRDefault="004857E0" w:rsidP="007025D5">
            <w:pPr>
              <w:pStyle w:val="Tabletext"/>
              <w:jc w:val="center"/>
              <w:rPr>
                <w:lang w:eastAsia="en-GB"/>
              </w:rPr>
            </w:pPr>
            <w:r w:rsidRPr="004857E0">
              <w:rPr>
                <w:lang w:eastAsia="en-GB"/>
              </w:rPr>
              <w:t>10</w:t>
            </w:r>
          </w:p>
        </w:tc>
      </w:tr>
      <w:tr w:rsidR="004857E0" w:rsidRPr="004857E0" w14:paraId="6E314D77"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D29383A" w14:textId="77777777" w:rsidR="004857E0" w:rsidRPr="004857E0" w:rsidRDefault="004857E0" w:rsidP="007025D5">
            <w:pPr>
              <w:pStyle w:val="Tabletext"/>
              <w:rPr>
                <w:lang w:eastAsia="en-GB"/>
              </w:rPr>
            </w:pPr>
            <w:r w:rsidRPr="004857E0">
              <w:rPr>
                <w:lang w:eastAsia="en-GB"/>
              </w:rPr>
              <w:t>Kuwait</w:t>
            </w:r>
          </w:p>
        </w:tc>
        <w:tc>
          <w:tcPr>
            <w:tcW w:w="1900" w:type="dxa"/>
            <w:tcBorders>
              <w:top w:val="nil"/>
              <w:left w:val="single" w:sz="4" w:space="0" w:color="auto"/>
              <w:bottom w:val="nil"/>
              <w:right w:val="single" w:sz="4" w:space="0" w:color="auto"/>
            </w:tcBorders>
            <w:shd w:val="clear" w:color="000000" w:fill="FFFFFF"/>
            <w:noWrap/>
            <w:vAlign w:val="bottom"/>
            <w:hideMark/>
          </w:tcPr>
          <w:p w14:paraId="415ED57F" w14:textId="083050FF" w:rsidR="004857E0" w:rsidRPr="004857E0" w:rsidRDefault="004857E0" w:rsidP="007025D5">
            <w:pPr>
              <w:pStyle w:val="Tabletext"/>
              <w:jc w:val="center"/>
              <w:rPr>
                <w:lang w:eastAsia="en-GB"/>
              </w:rPr>
            </w:pPr>
            <w:r w:rsidRPr="004857E0">
              <w:rPr>
                <w:lang w:eastAsia="en-GB"/>
              </w:rPr>
              <w:t>5</w:t>
            </w:r>
          </w:p>
        </w:tc>
      </w:tr>
      <w:tr w:rsidR="004857E0" w:rsidRPr="004857E0" w14:paraId="334676B0"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7475B062" w14:textId="3FF13A0D" w:rsidR="004857E0" w:rsidRPr="004857E0" w:rsidRDefault="004857E0" w:rsidP="007025D5">
            <w:pPr>
              <w:pStyle w:val="Tabletext"/>
              <w:rPr>
                <w:lang w:eastAsia="en-GB"/>
              </w:rPr>
            </w:pPr>
            <w:r w:rsidRPr="004857E0">
              <w:rPr>
                <w:lang w:eastAsia="en-GB"/>
              </w:rPr>
              <w:t>Kyrgyzstan</w:t>
            </w:r>
          </w:p>
        </w:tc>
        <w:tc>
          <w:tcPr>
            <w:tcW w:w="1900" w:type="dxa"/>
            <w:tcBorders>
              <w:top w:val="nil"/>
              <w:left w:val="single" w:sz="4" w:space="0" w:color="auto"/>
              <w:bottom w:val="nil"/>
              <w:right w:val="single" w:sz="4" w:space="0" w:color="auto"/>
            </w:tcBorders>
            <w:shd w:val="clear" w:color="000000" w:fill="FFFFFF"/>
            <w:noWrap/>
            <w:vAlign w:val="bottom"/>
            <w:hideMark/>
          </w:tcPr>
          <w:p w14:paraId="61FC9E01" w14:textId="54567BB0" w:rsidR="004857E0" w:rsidRPr="004857E0" w:rsidRDefault="004857E0" w:rsidP="007025D5">
            <w:pPr>
              <w:pStyle w:val="Tabletext"/>
              <w:jc w:val="center"/>
              <w:rPr>
                <w:lang w:eastAsia="en-GB"/>
              </w:rPr>
            </w:pPr>
            <w:r w:rsidRPr="004857E0">
              <w:rPr>
                <w:lang w:eastAsia="en-GB"/>
              </w:rPr>
              <w:t>1/4</w:t>
            </w:r>
          </w:p>
        </w:tc>
      </w:tr>
      <w:tr w:rsidR="004857E0" w:rsidRPr="004857E0" w14:paraId="58D6C739"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31440E1D" w14:textId="75328EE6" w:rsidR="004857E0" w:rsidRPr="004857E0" w:rsidRDefault="004857E0" w:rsidP="007025D5">
            <w:pPr>
              <w:pStyle w:val="Tabletext"/>
              <w:rPr>
                <w:lang w:eastAsia="en-GB"/>
              </w:rPr>
            </w:pPr>
            <w:r w:rsidRPr="004857E0">
              <w:rPr>
                <w:lang w:eastAsia="en-GB"/>
              </w:rPr>
              <w:t>Lao People's Democratic Republic</w:t>
            </w:r>
          </w:p>
        </w:tc>
        <w:tc>
          <w:tcPr>
            <w:tcW w:w="1900" w:type="dxa"/>
            <w:tcBorders>
              <w:top w:val="nil"/>
              <w:left w:val="single" w:sz="4" w:space="0" w:color="auto"/>
              <w:bottom w:val="nil"/>
              <w:right w:val="single" w:sz="4" w:space="0" w:color="auto"/>
            </w:tcBorders>
            <w:shd w:val="clear" w:color="000000" w:fill="FFFFFF"/>
            <w:noWrap/>
            <w:vAlign w:val="bottom"/>
            <w:hideMark/>
          </w:tcPr>
          <w:p w14:paraId="1ADE2FA7" w14:textId="14D3FE35" w:rsidR="004857E0" w:rsidRPr="004857E0" w:rsidRDefault="004857E0" w:rsidP="007025D5">
            <w:pPr>
              <w:pStyle w:val="Tabletext"/>
              <w:jc w:val="center"/>
              <w:rPr>
                <w:lang w:eastAsia="en-GB"/>
              </w:rPr>
            </w:pPr>
            <w:r w:rsidRPr="004857E0">
              <w:rPr>
                <w:lang w:eastAsia="en-GB"/>
              </w:rPr>
              <w:t>1/16</w:t>
            </w:r>
          </w:p>
        </w:tc>
      </w:tr>
      <w:tr w:rsidR="004857E0" w:rsidRPr="004857E0" w14:paraId="2F96654E"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2A5C055" w14:textId="77777777" w:rsidR="004857E0" w:rsidRPr="004857E0" w:rsidRDefault="004857E0" w:rsidP="007025D5">
            <w:pPr>
              <w:pStyle w:val="Tabletext"/>
              <w:rPr>
                <w:lang w:eastAsia="en-GB"/>
              </w:rPr>
            </w:pPr>
            <w:r w:rsidRPr="004857E0">
              <w:rPr>
                <w:lang w:eastAsia="en-GB"/>
              </w:rPr>
              <w:t>Latvia</w:t>
            </w:r>
          </w:p>
        </w:tc>
        <w:tc>
          <w:tcPr>
            <w:tcW w:w="1900" w:type="dxa"/>
            <w:tcBorders>
              <w:top w:val="nil"/>
              <w:left w:val="single" w:sz="4" w:space="0" w:color="auto"/>
              <w:bottom w:val="nil"/>
              <w:right w:val="single" w:sz="4" w:space="0" w:color="auto"/>
            </w:tcBorders>
            <w:shd w:val="clear" w:color="000000" w:fill="FFFFFF"/>
            <w:noWrap/>
            <w:vAlign w:val="bottom"/>
            <w:hideMark/>
          </w:tcPr>
          <w:p w14:paraId="6BD0428F" w14:textId="653488D9" w:rsidR="004857E0" w:rsidRPr="004857E0" w:rsidRDefault="004857E0" w:rsidP="007025D5">
            <w:pPr>
              <w:pStyle w:val="Tabletext"/>
              <w:jc w:val="center"/>
              <w:rPr>
                <w:lang w:eastAsia="en-GB"/>
              </w:rPr>
            </w:pPr>
            <w:r w:rsidRPr="004857E0">
              <w:rPr>
                <w:lang w:eastAsia="en-GB"/>
              </w:rPr>
              <w:t>1/4</w:t>
            </w:r>
          </w:p>
        </w:tc>
      </w:tr>
      <w:tr w:rsidR="004857E0" w:rsidRPr="004857E0" w14:paraId="62933E8C"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37B936D4" w14:textId="77777777" w:rsidR="004857E0" w:rsidRPr="004857E0" w:rsidRDefault="004857E0" w:rsidP="007025D5">
            <w:pPr>
              <w:pStyle w:val="Tabletext"/>
              <w:rPr>
                <w:lang w:eastAsia="en-GB"/>
              </w:rPr>
            </w:pPr>
            <w:r w:rsidRPr="004857E0">
              <w:rPr>
                <w:lang w:eastAsia="en-GB"/>
              </w:rPr>
              <w:t xml:space="preserve">Lebanon </w:t>
            </w:r>
          </w:p>
        </w:tc>
        <w:tc>
          <w:tcPr>
            <w:tcW w:w="1900" w:type="dxa"/>
            <w:tcBorders>
              <w:top w:val="nil"/>
              <w:left w:val="single" w:sz="4" w:space="0" w:color="auto"/>
              <w:bottom w:val="nil"/>
              <w:right w:val="single" w:sz="4" w:space="0" w:color="auto"/>
            </w:tcBorders>
            <w:shd w:val="clear" w:color="000000" w:fill="FFFFFF"/>
            <w:noWrap/>
            <w:vAlign w:val="bottom"/>
            <w:hideMark/>
          </w:tcPr>
          <w:p w14:paraId="57794685" w14:textId="700E05B1" w:rsidR="004857E0" w:rsidRPr="004857E0" w:rsidRDefault="004857E0" w:rsidP="007025D5">
            <w:pPr>
              <w:pStyle w:val="Tabletext"/>
              <w:jc w:val="center"/>
              <w:rPr>
                <w:lang w:eastAsia="en-GB"/>
              </w:rPr>
            </w:pPr>
            <w:r w:rsidRPr="004857E0">
              <w:rPr>
                <w:lang w:eastAsia="en-GB"/>
              </w:rPr>
              <w:t>1/4</w:t>
            </w:r>
          </w:p>
        </w:tc>
      </w:tr>
      <w:tr w:rsidR="004857E0" w:rsidRPr="004857E0" w14:paraId="39B7A118"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5D35FB8" w14:textId="77777777" w:rsidR="004857E0" w:rsidRPr="004857E0" w:rsidRDefault="004857E0" w:rsidP="007025D5">
            <w:pPr>
              <w:pStyle w:val="Tabletext"/>
              <w:rPr>
                <w:lang w:eastAsia="en-GB"/>
              </w:rPr>
            </w:pPr>
            <w:r w:rsidRPr="004857E0">
              <w:rPr>
                <w:lang w:eastAsia="en-GB"/>
              </w:rPr>
              <w:t>Lesotho</w:t>
            </w:r>
          </w:p>
        </w:tc>
        <w:tc>
          <w:tcPr>
            <w:tcW w:w="1900" w:type="dxa"/>
            <w:tcBorders>
              <w:top w:val="nil"/>
              <w:left w:val="single" w:sz="4" w:space="0" w:color="auto"/>
              <w:bottom w:val="nil"/>
              <w:right w:val="single" w:sz="4" w:space="0" w:color="auto"/>
            </w:tcBorders>
            <w:shd w:val="clear" w:color="000000" w:fill="FFFFFF"/>
            <w:noWrap/>
            <w:vAlign w:val="bottom"/>
            <w:hideMark/>
          </w:tcPr>
          <w:p w14:paraId="590BEE08" w14:textId="64FD587A" w:rsidR="004857E0" w:rsidRPr="004857E0" w:rsidRDefault="004857E0" w:rsidP="007025D5">
            <w:pPr>
              <w:pStyle w:val="Tabletext"/>
              <w:jc w:val="center"/>
              <w:rPr>
                <w:lang w:eastAsia="en-GB"/>
              </w:rPr>
            </w:pPr>
            <w:r w:rsidRPr="004857E0">
              <w:rPr>
                <w:lang w:eastAsia="en-GB"/>
              </w:rPr>
              <w:t>1/16</w:t>
            </w:r>
          </w:p>
        </w:tc>
      </w:tr>
      <w:tr w:rsidR="004857E0" w:rsidRPr="004857E0" w14:paraId="440FE373"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4ABD6AE" w14:textId="77777777" w:rsidR="004857E0" w:rsidRPr="004857E0" w:rsidRDefault="004857E0" w:rsidP="007025D5">
            <w:pPr>
              <w:pStyle w:val="Tabletext"/>
              <w:rPr>
                <w:lang w:eastAsia="en-GB"/>
              </w:rPr>
            </w:pPr>
            <w:r w:rsidRPr="004857E0">
              <w:rPr>
                <w:lang w:eastAsia="en-GB"/>
              </w:rPr>
              <w:t>Liberia</w:t>
            </w:r>
          </w:p>
        </w:tc>
        <w:tc>
          <w:tcPr>
            <w:tcW w:w="1900" w:type="dxa"/>
            <w:tcBorders>
              <w:top w:val="nil"/>
              <w:left w:val="single" w:sz="4" w:space="0" w:color="auto"/>
              <w:bottom w:val="nil"/>
              <w:right w:val="single" w:sz="4" w:space="0" w:color="auto"/>
            </w:tcBorders>
            <w:shd w:val="clear" w:color="000000" w:fill="FFFFFF"/>
            <w:noWrap/>
            <w:vAlign w:val="bottom"/>
            <w:hideMark/>
          </w:tcPr>
          <w:p w14:paraId="5F57BD8E" w14:textId="66381FDA" w:rsidR="004857E0" w:rsidRPr="004857E0" w:rsidRDefault="004857E0" w:rsidP="007025D5">
            <w:pPr>
              <w:pStyle w:val="Tabletext"/>
              <w:jc w:val="center"/>
              <w:rPr>
                <w:lang w:eastAsia="en-GB"/>
              </w:rPr>
            </w:pPr>
            <w:r w:rsidRPr="004857E0">
              <w:rPr>
                <w:lang w:eastAsia="en-GB"/>
              </w:rPr>
              <w:t>1/16</w:t>
            </w:r>
          </w:p>
        </w:tc>
      </w:tr>
      <w:tr w:rsidR="004857E0" w:rsidRPr="004857E0" w14:paraId="4208FB74"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30959E13" w14:textId="72F3A1AF" w:rsidR="004857E0" w:rsidRPr="004857E0" w:rsidRDefault="004857E0" w:rsidP="007025D5">
            <w:pPr>
              <w:pStyle w:val="Tabletext"/>
              <w:rPr>
                <w:lang w:eastAsia="en-GB"/>
              </w:rPr>
            </w:pPr>
            <w:r w:rsidRPr="004857E0">
              <w:rPr>
                <w:lang w:eastAsia="en-GB"/>
              </w:rPr>
              <w:t>Libya</w:t>
            </w:r>
          </w:p>
        </w:tc>
        <w:tc>
          <w:tcPr>
            <w:tcW w:w="1900" w:type="dxa"/>
            <w:tcBorders>
              <w:top w:val="nil"/>
              <w:left w:val="single" w:sz="4" w:space="0" w:color="auto"/>
              <w:bottom w:val="nil"/>
              <w:right w:val="single" w:sz="4" w:space="0" w:color="auto"/>
            </w:tcBorders>
            <w:shd w:val="clear" w:color="000000" w:fill="FFFFFF"/>
            <w:vAlign w:val="bottom"/>
            <w:hideMark/>
          </w:tcPr>
          <w:p w14:paraId="76DE1CEF" w14:textId="11AFCBC2" w:rsidR="004857E0" w:rsidRPr="004857E0" w:rsidRDefault="004857E0" w:rsidP="007025D5">
            <w:pPr>
              <w:pStyle w:val="Tabletext"/>
              <w:jc w:val="center"/>
              <w:rPr>
                <w:lang w:eastAsia="en-GB"/>
              </w:rPr>
            </w:pPr>
            <w:r w:rsidRPr="004857E0">
              <w:rPr>
                <w:lang w:eastAsia="en-GB"/>
              </w:rPr>
              <w:t>1/4</w:t>
            </w:r>
          </w:p>
        </w:tc>
      </w:tr>
      <w:tr w:rsidR="004857E0" w:rsidRPr="004857E0" w14:paraId="1E16E46A"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6DA36A14" w14:textId="46646528" w:rsidR="004857E0" w:rsidRPr="004857E0" w:rsidRDefault="004857E0" w:rsidP="007025D5">
            <w:pPr>
              <w:pStyle w:val="Tabletext"/>
              <w:rPr>
                <w:lang w:eastAsia="en-GB"/>
              </w:rPr>
            </w:pPr>
            <w:r w:rsidRPr="004857E0">
              <w:rPr>
                <w:lang w:eastAsia="en-GB"/>
              </w:rPr>
              <w:lastRenderedPageBreak/>
              <w:t>Liechtenstein</w:t>
            </w:r>
          </w:p>
        </w:tc>
        <w:tc>
          <w:tcPr>
            <w:tcW w:w="1900" w:type="dxa"/>
            <w:tcBorders>
              <w:top w:val="nil"/>
              <w:left w:val="single" w:sz="4" w:space="0" w:color="auto"/>
              <w:bottom w:val="nil"/>
              <w:right w:val="single" w:sz="4" w:space="0" w:color="auto"/>
            </w:tcBorders>
            <w:shd w:val="clear" w:color="000000" w:fill="FFFFFF"/>
            <w:vAlign w:val="bottom"/>
            <w:hideMark/>
          </w:tcPr>
          <w:p w14:paraId="31297269" w14:textId="50081937" w:rsidR="004857E0" w:rsidRPr="004857E0" w:rsidRDefault="004857E0" w:rsidP="007025D5">
            <w:pPr>
              <w:pStyle w:val="Tabletext"/>
              <w:jc w:val="center"/>
              <w:rPr>
                <w:lang w:eastAsia="en-GB"/>
              </w:rPr>
            </w:pPr>
            <w:r w:rsidRPr="004857E0">
              <w:rPr>
                <w:lang w:eastAsia="en-GB"/>
              </w:rPr>
              <w:t>1/2</w:t>
            </w:r>
          </w:p>
        </w:tc>
      </w:tr>
      <w:tr w:rsidR="004857E0" w:rsidRPr="004857E0" w14:paraId="739DD0FA"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6F4567CF" w14:textId="77777777" w:rsidR="004857E0" w:rsidRPr="004857E0" w:rsidRDefault="004857E0" w:rsidP="007025D5">
            <w:pPr>
              <w:pStyle w:val="Tabletext"/>
              <w:rPr>
                <w:lang w:eastAsia="en-GB"/>
              </w:rPr>
            </w:pPr>
            <w:r w:rsidRPr="004857E0">
              <w:rPr>
                <w:lang w:eastAsia="en-GB"/>
              </w:rPr>
              <w:t>Lithuania</w:t>
            </w:r>
          </w:p>
        </w:tc>
        <w:tc>
          <w:tcPr>
            <w:tcW w:w="1900" w:type="dxa"/>
            <w:tcBorders>
              <w:top w:val="nil"/>
              <w:left w:val="single" w:sz="4" w:space="0" w:color="auto"/>
              <w:bottom w:val="nil"/>
              <w:right w:val="single" w:sz="4" w:space="0" w:color="auto"/>
            </w:tcBorders>
            <w:shd w:val="clear" w:color="000000" w:fill="FFFFFF"/>
            <w:noWrap/>
            <w:vAlign w:val="bottom"/>
            <w:hideMark/>
          </w:tcPr>
          <w:p w14:paraId="54AC5DF8" w14:textId="0A04F1FE" w:rsidR="004857E0" w:rsidRPr="004857E0" w:rsidRDefault="004857E0" w:rsidP="007025D5">
            <w:pPr>
              <w:pStyle w:val="Tabletext"/>
              <w:jc w:val="center"/>
              <w:rPr>
                <w:lang w:eastAsia="en-GB"/>
              </w:rPr>
            </w:pPr>
            <w:r w:rsidRPr="004857E0">
              <w:rPr>
                <w:lang w:eastAsia="en-GB"/>
              </w:rPr>
              <w:t>1/4</w:t>
            </w:r>
          </w:p>
        </w:tc>
      </w:tr>
      <w:tr w:rsidR="004857E0" w:rsidRPr="004857E0" w14:paraId="2F72DF38"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866F784" w14:textId="027FC1D8" w:rsidR="004857E0" w:rsidRPr="004857E0" w:rsidRDefault="004857E0" w:rsidP="007025D5">
            <w:pPr>
              <w:pStyle w:val="Tabletext"/>
              <w:rPr>
                <w:lang w:eastAsia="en-GB"/>
              </w:rPr>
            </w:pPr>
            <w:r w:rsidRPr="004857E0">
              <w:rPr>
                <w:lang w:eastAsia="en-GB"/>
              </w:rPr>
              <w:t>Luxembourg</w:t>
            </w:r>
          </w:p>
        </w:tc>
        <w:tc>
          <w:tcPr>
            <w:tcW w:w="1900" w:type="dxa"/>
            <w:tcBorders>
              <w:top w:val="nil"/>
              <w:left w:val="single" w:sz="4" w:space="0" w:color="auto"/>
              <w:bottom w:val="nil"/>
              <w:right w:val="single" w:sz="4" w:space="0" w:color="auto"/>
            </w:tcBorders>
            <w:shd w:val="clear" w:color="000000" w:fill="FFFFFF"/>
            <w:noWrap/>
            <w:vAlign w:val="bottom"/>
            <w:hideMark/>
          </w:tcPr>
          <w:p w14:paraId="71323D9F" w14:textId="583B08D8" w:rsidR="004857E0" w:rsidRPr="004857E0" w:rsidRDefault="004857E0" w:rsidP="007025D5">
            <w:pPr>
              <w:pStyle w:val="Tabletext"/>
              <w:jc w:val="center"/>
              <w:rPr>
                <w:lang w:eastAsia="en-GB"/>
              </w:rPr>
            </w:pPr>
            <w:r w:rsidRPr="004857E0">
              <w:rPr>
                <w:lang w:eastAsia="en-GB"/>
              </w:rPr>
              <w:t>1/2</w:t>
            </w:r>
          </w:p>
        </w:tc>
      </w:tr>
      <w:tr w:rsidR="004857E0" w:rsidRPr="004857E0" w14:paraId="6BD697B4"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64EA34E5" w14:textId="77777777" w:rsidR="004857E0" w:rsidRPr="004857E0" w:rsidRDefault="004857E0" w:rsidP="007025D5">
            <w:pPr>
              <w:pStyle w:val="Tabletext"/>
              <w:rPr>
                <w:lang w:eastAsia="en-GB"/>
              </w:rPr>
            </w:pPr>
            <w:r w:rsidRPr="004857E0">
              <w:rPr>
                <w:lang w:eastAsia="en-GB"/>
              </w:rPr>
              <w:t>Madagascar</w:t>
            </w:r>
          </w:p>
        </w:tc>
        <w:tc>
          <w:tcPr>
            <w:tcW w:w="1900" w:type="dxa"/>
            <w:tcBorders>
              <w:top w:val="nil"/>
              <w:left w:val="single" w:sz="4" w:space="0" w:color="auto"/>
              <w:bottom w:val="nil"/>
              <w:right w:val="single" w:sz="4" w:space="0" w:color="auto"/>
            </w:tcBorders>
            <w:shd w:val="clear" w:color="000000" w:fill="FFFFFF"/>
            <w:noWrap/>
            <w:vAlign w:val="bottom"/>
            <w:hideMark/>
          </w:tcPr>
          <w:p w14:paraId="07FC0EF6" w14:textId="05143CFF" w:rsidR="004857E0" w:rsidRPr="004857E0" w:rsidRDefault="004857E0" w:rsidP="007025D5">
            <w:pPr>
              <w:pStyle w:val="Tabletext"/>
              <w:jc w:val="center"/>
              <w:rPr>
                <w:lang w:eastAsia="en-GB"/>
              </w:rPr>
            </w:pPr>
            <w:r w:rsidRPr="004857E0">
              <w:rPr>
                <w:lang w:eastAsia="en-GB"/>
              </w:rPr>
              <w:t>1/8</w:t>
            </w:r>
          </w:p>
        </w:tc>
      </w:tr>
      <w:tr w:rsidR="004857E0" w:rsidRPr="004857E0" w14:paraId="2D87F4DD"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2286D844" w14:textId="77777777" w:rsidR="004857E0" w:rsidRPr="004857E0" w:rsidRDefault="004857E0" w:rsidP="007025D5">
            <w:pPr>
              <w:pStyle w:val="Tabletext"/>
              <w:rPr>
                <w:lang w:eastAsia="en-GB"/>
              </w:rPr>
            </w:pPr>
            <w:r w:rsidRPr="004857E0">
              <w:rPr>
                <w:lang w:eastAsia="en-GB"/>
              </w:rPr>
              <w:t xml:space="preserve">Malawi </w:t>
            </w:r>
          </w:p>
        </w:tc>
        <w:tc>
          <w:tcPr>
            <w:tcW w:w="1900" w:type="dxa"/>
            <w:tcBorders>
              <w:top w:val="nil"/>
              <w:left w:val="single" w:sz="4" w:space="0" w:color="auto"/>
              <w:bottom w:val="nil"/>
              <w:right w:val="single" w:sz="4" w:space="0" w:color="auto"/>
            </w:tcBorders>
            <w:shd w:val="clear" w:color="000000" w:fill="FFFFFF"/>
            <w:noWrap/>
            <w:vAlign w:val="bottom"/>
            <w:hideMark/>
          </w:tcPr>
          <w:p w14:paraId="2A23768E" w14:textId="7474A46D" w:rsidR="004857E0" w:rsidRPr="004857E0" w:rsidRDefault="004857E0" w:rsidP="007025D5">
            <w:pPr>
              <w:pStyle w:val="Tabletext"/>
              <w:jc w:val="center"/>
              <w:rPr>
                <w:lang w:eastAsia="en-GB"/>
              </w:rPr>
            </w:pPr>
            <w:r w:rsidRPr="004857E0">
              <w:rPr>
                <w:lang w:eastAsia="en-GB"/>
              </w:rPr>
              <w:t>1/16</w:t>
            </w:r>
          </w:p>
        </w:tc>
      </w:tr>
      <w:tr w:rsidR="004857E0" w:rsidRPr="004857E0" w14:paraId="4B313423"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3C97C81" w14:textId="77777777" w:rsidR="004857E0" w:rsidRPr="004857E0" w:rsidRDefault="004857E0" w:rsidP="007025D5">
            <w:pPr>
              <w:pStyle w:val="Tabletext"/>
              <w:rPr>
                <w:lang w:eastAsia="en-GB"/>
              </w:rPr>
            </w:pPr>
            <w:r w:rsidRPr="004857E0">
              <w:rPr>
                <w:lang w:eastAsia="en-GB"/>
              </w:rPr>
              <w:t>Malaysia</w:t>
            </w:r>
          </w:p>
        </w:tc>
        <w:tc>
          <w:tcPr>
            <w:tcW w:w="1900" w:type="dxa"/>
            <w:tcBorders>
              <w:top w:val="nil"/>
              <w:left w:val="single" w:sz="4" w:space="0" w:color="auto"/>
              <w:bottom w:val="nil"/>
              <w:right w:val="single" w:sz="4" w:space="0" w:color="auto"/>
            </w:tcBorders>
            <w:shd w:val="clear" w:color="000000" w:fill="FFFFFF"/>
            <w:noWrap/>
            <w:vAlign w:val="bottom"/>
            <w:hideMark/>
          </w:tcPr>
          <w:p w14:paraId="73BA3FDF" w14:textId="39D4E6BB" w:rsidR="004857E0" w:rsidRPr="004857E0" w:rsidRDefault="004857E0" w:rsidP="007025D5">
            <w:pPr>
              <w:pStyle w:val="Tabletext"/>
              <w:jc w:val="center"/>
              <w:rPr>
                <w:lang w:eastAsia="en-GB"/>
              </w:rPr>
            </w:pPr>
            <w:r w:rsidRPr="004857E0">
              <w:rPr>
                <w:lang w:eastAsia="en-GB"/>
              </w:rPr>
              <w:t>2</w:t>
            </w:r>
          </w:p>
        </w:tc>
      </w:tr>
      <w:tr w:rsidR="004857E0" w:rsidRPr="004857E0" w14:paraId="511D1E00"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39AA12BC" w14:textId="77777777" w:rsidR="004857E0" w:rsidRPr="004857E0" w:rsidRDefault="004857E0" w:rsidP="007025D5">
            <w:pPr>
              <w:pStyle w:val="Tabletext"/>
              <w:rPr>
                <w:lang w:eastAsia="en-GB"/>
              </w:rPr>
            </w:pPr>
            <w:r w:rsidRPr="004857E0">
              <w:rPr>
                <w:lang w:eastAsia="en-GB"/>
              </w:rPr>
              <w:t>Maldives</w:t>
            </w:r>
          </w:p>
        </w:tc>
        <w:tc>
          <w:tcPr>
            <w:tcW w:w="1900" w:type="dxa"/>
            <w:tcBorders>
              <w:top w:val="nil"/>
              <w:left w:val="single" w:sz="4" w:space="0" w:color="auto"/>
              <w:bottom w:val="nil"/>
              <w:right w:val="single" w:sz="4" w:space="0" w:color="auto"/>
            </w:tcBorders>
            <w:shd w:val="clear" w:color="000000" w:fill="FFFFFF"/>
            <w:noWrap/>
            <w:vAlign w:val="bottom"/>
            <w:hideMark/>
          </w:tcPr>
          <w:p w14:paraId="4C9D7EFA" w14:textId="364E420E" w:rsidR="004857E0" w:rsidRPr="004857E0" w:rsidRDefault="004857E0" w:rsidP="007025D5">
            <w:pPr>
              <w:pStyle w:val="Tabletext"/>
              <w:jc w:val="center"/>
              <w:rPr>
                <w:lang w:eastAsia="en-GB"/>
              </w:rPr>
            </w:pPr>
            <w:r w:rsidRPr="004857E0">
              <w:rPr>
                <w:lang w:eastAsia="en-GB"/>
              </w:rPr>
              <w:t>1/8</w:t>
            </w:r>
          </w:p>
        </w:tc>
      </w:tr>
      <w:tr w:rsidR="004857E0" w:rsidRPr="004857E0" w14:paraId="01F468C7"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6514D664" w14:textId="77777777" w:rsidR="004857E0" w:rsidRPr="004857E0" w:rsidRDefault="004857E0" w:rsidP="007025D5">
            <w:pPr>
              <w:pStyle w:val="Tabletext"/>
              <w:rPr>
                <w:lang w:eastAsia="en-GB"/>
              </w:rPr>
            </w:pPr>
            <w:r w:rsidRPr="004857E0">
              <w:rPr>
                <w:lang w:eastAsia="en-GB"/>
              </w:rPr>
              <w:t>Mali</w:t>
            </w:r>
          </w:p>
        </w:tc>
        <w:tc>
          <w:tcPr>
            <w:tcW w:w="1900" w:type="dxa"/>
            <w:tcBorders>
              <w:top w:val="nil"/>
              <w:left w:val="single" w:sz="4" w:space="0" w:color="auto"/>
              <w:bottom w:val="nil"/>
              <w:right w:val="single" w:sz="4" w:space="0" w:color="auto"/>
            </w:tcBorders>
            <w:shd w:val="clear" w:color="000000" w:fill="FFFFFF"/>
            <w:noWrap/>
            <w:vAlign w:val="bottom"/>
            <w:hideMark/>
          </w:tcPr>
          <w:p w14:paraId="6B71A5D9" w14:textId="502ECC56" w:rsidR="004857E0" w:rsidRPr="004857E0" w:rsidRDefault="004857E0" w:rsidP="007025D5">
            <w:pPr>
              <w:pStyle w:val="Tabletext"/>
              <w:jc w:val="center"/>
              <w:rPr>
                <w:lang w:eastAsia="en-GB"/>
              </w:rPr>
            </w:pPr>
            <w:r w:rsidRPr="004857E0">
              <w:rPr>
                <w:lang w:eastAsia="en-GB"/>
              </w:rPr>
              <w:t>1/4</w:t>
            </w:r>
          </w:p>
        </w:tc>
      </w:tr>
      <w:tr w:rsidR="004857E0" w:rsidRPr="004857E0" w14:paraId="265F08AC"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18643FFC" w14:textId="77777777" w:rsidR="004857E0" w:rsidRPr="004857E0" w:rsidRDefault="004857E0" w:rsidP="007025D5">
            <w:pPr>
              <w:pStyle w:val="Tabletext"/>
              <w:rPr>
                <w:lang w:eastAsia="en-GB"/>
              </w:rPr>
            </w:pPr>
            <w:r w:rsidRPr="004857E0">
              <w:rPr>
                <w:lang w:eastAsia="en-GB"/>
              </w:rPr>
              <w:t>Malta</w:t>
            </w:r>
          </w:p>
        </w:tc>
        <w:tc>
          <w:tcPr>
            <w:tcW w:w="1900" w:type="dxa"/>
            <w:tcBorders>
              <w:top w:val="nil"/>
              <w:left w:val="single" w:sz="4" w:space="0" w:color="auto"/>
              <w:bottom w:val="nil"/>
              <w:right w:val="single" w:sz="4" w:space="0" w:color="auto"/>
            </w:tcBorders>
            <w:shd w:val="clear" w:color="000000" w:fill="FFFFFF"/>
            <w:noWrap/>
            <w:vAlign w:val="bottom"/>
            <w:hideMark/>
          </w:tcPr>
          <w:p w14:paraId="58F76809" w14:textId="7D8F2CBE" w:rsidR="004857E0" w:rsidRPr="004857E0" w:rsidRDefault="004857E0" w:rsidP="007025D5">
            <w:pPr>
              <w:pStyle w:val="Tabletext"/>
              <w:jc w:val="center"/>
              <w:rPr>
                <w:lang w:eastAsia="en-GB"/>
              </w:rPr>
            </w:pPr>
            <w:r w:rsidRPr="004857E0">
              <w:rPr>
                <w:lang w:eastAsia="en-GB"/>
              </w:rPr>
              <w:t>1/4</w:t>
            </w:r>
          </w:p>
        </w:tc>
      </w:tr>
      <w:tr w:rsidR="004857E0" w:rsidRPr="004857E0" w14:paraId="673EB7D8"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26DC7B70" w14:textId="77777777" w:rsidR="004857E0" w:rsidRPr="004857E0" w:rsidRDefault="004857E0" w:rsidP="007025D5">
            <w:pPr>
              <w:pStyle w:val="Tabletext"/>
              <w:rPr>
                <w:lang w:eastAsia="en-GB"/>
              </w:rPr>
            </w:pPr>
            <w:r w:rsidRPr="004857E0">
              <w:rPr>
                <w:lang w:eastAsia="en-GB"/>
              </w:rPr>
              <w:t>Marshall Islands</w:t>
            </w:r>
          </w:p>
        </w:tc>
        <w:tc>
          <w:tcPr>
            <w:tcW w:w="1900" w:type="dxa"/>
            <w:tcBorders>
              <w:top w:val="nil"/>
              <w:left w:val="single" w:sz="4" w:space="0" w:color="auto"/>
              <w:bottom w:val="nil"/>
              <w:right w:val="single" w:sz="4" w:space="0" w:color="auto"/>
            </w:tcBorders>
            <w:shd w:val="clear" w:color="000000" w:fill="FFFFFF"/>
            <w:noWrap/>
            <w:vAlign w:val="bottom"/>
            <w:hideMark/>
          </w:tcPr>
          <w:p w14:paraId="73784011" w14:textId="78B46CAE" w:rsidR="004857E0" w:rsidRPr="004857E0" w:rsidRDefault="004857E0" w:rsidP="007025D5">
            <w:pPr>
              <w:pStyle w:val="Tabletext"/>
              <w:jc w:val="center"/>
              <w:rPr>
                <w:lang w:eastAsia="en-GB"/>
              </w:rPr>
            </w:pPr>
            <w:r w:rsidRPr="004857E0">
              <w:rPr>
                <w:lang w:eastAsia="en-GB"/>
              </w:rPr>
              <w:t>1/16</w:t>
            </w:r>
          </w:p>
        </w:tc>
      </w:tr>
      <w:tr w:rsidR="004857E0" w:rsidRPr="004857E0" w14:paraId="509E93D4"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6C1FDA6B" w14:textId="77777777" w:rsidR="004857E0" w:rsidRPr="004857E0" w:rsidRDefault="004857E0" w:rsidP="007025D5">
            <w:pPr>
              <w:pStyle w:val="Tabletext"/>
              <w:rPr>
                <w:lang w:eastAsia="en-GB"/>
              </w:rPr>
            </w:pPr>
            <w:r w:rsidRPr="004857E0">
              <w:rPr>
                <w:lang w:eastAsia="en-GB"/>
              </w:rPr>
              <w:t>Mauritania</w:t>
            </w:r>
          </w:p>
        </w:tc>
        <w:tc>
          <w:tcPr>
            <w:tcW w:w="1900" w:type="dxa"/>
            <w:tcBorders>
              <w:top w:val="nil"/>
              <w:left w:val="single" w:sz="4" w:space="0" w:color="auto"/>
              <w:bottom w:val="nil"/>
              <w:right w:val="single" w:sz="4" w:space="0" w:color="auto"/>
            </w:tcBorders>
            <w:shd w:val="clear" w:color="000000" w:fill="FFFFFF"/>
            <w:noWrap/>
            <w:vAlign w:val="bottom"/>
            <w:hideMark/>
          </w:tcPr>
          <w:p w14:paraId="1D0B2BDE" w14:textId="3CBA5290" w:rsidR="004857E0" w:rsidRPr="004857E0" w:rsidRDefault="004857E0" w:rsidP="007025D5">
            <w:pPr>
              <w:pStyle w:val="Tabletext"/>
              <w:jc w:val="center"/>
              <w:rPr>
                <w:lang w:eastAsia="en-GB"/>
              </w:rPr>
            </w:pPr>
            <w:r w:rsidRPr="004857E0">
              <w:rPr>
                <w:lang w:eastAsia="en-GB"/>
              </w:rPr>
              <w:t>1/16</w:t>
            </w:r>
          </w:p>
        </w:tc>
      </w:tr>
      <w:tr w:rsidR="004857E0" w:rsidRPr="004857E0" w14:paraId="4D996661"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6E99FDFC" w14:textId="77777777" w:rsidR="004857E0" w:rsidRPr="004857E0" w:rsidRDefault="004857E0" w:rsidP="007025D5">
            <w:pPr>
              <w:pStyle w:val="Tabletext"/>
              <w:rPr>
                <w:lang w:eastAsia="en-GB"/>
              </w:rPr>
            </w:pPr>
            <w:r w:rsidRPr="004857E0">
              <w:rPr>
                <w:lang w:eastAsia="en-GB"/>
              </w:rPr>
              <w:t>Mauritius</w:t>
            </w:r>
          </w:p>
        </w:tc>
        <w:tc>
          <w:tcPr>
            <w:tcW w:w="1900" w:type="dxa"/>
            <w:tcBorders>
              <w:top w:val="nil"/>
              <w:left w:val="single" w:sz="4" w:space="0" w:color="auto"/>
              <w:bottom w:val="nil"/>
              <w:right w:val="single" w:sz="4" w:space="0" w:color="auto"/>
            </w:tcBorders>
            <w:shd w:val="clear" w:color="000000" w:fill="FFFFFF"/>
            <w:noWrap/>
            <w:vAlign w:val="bottom"/>
            <w:hideMark/>
          </w:tcPr>
          <w:p w14:paraId="24B1A1D0" w14:textId="7A646860" w:rsidR="004857E0" w:rsidRPr="004857E0" w:rsidRDefault="004857E0" w:rsidP="007025D5">
            <w:pPr>
              <w:pStyle w:val="Tabletext"/>
              <w:jc w:val="center"/>
              <w:rPr>
                <w:lang w:eastAsia="en-GB"/>
              </w:rPr>
            </w:pPr>
            <w:r w:rsidRPr="004857E0">
              <w:rPr>
                <w:lang w:eastAsia="en-GB"/>
              </w:rPr>
              <w:t>1/4</w:t>
            </w:r>
          </w:p>
        </w:tc>
      </w:tr>
      <w:tr w:rsidR="004857E0" w:rsidRPr="004857E0" w14:paraId="457513C7"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10F96B76" w14:textId="77777777" w:rsidR="004857E0" w:rsidRPr="004857E0" w:rsidRDefault="004857E0" w:rsidP="007025D5">
            <w:pPr>
              <w:pStyle w:val="Tabletext"/>
              <w:rPr>
                <w:lang w:eastAsia="en-GB"/>
              </w:rPr>
            </w:pPr>
            <w:r w:rsidRPr="004857E0">
              <w:rPr>
                <w:lang w:eastAsia="en-GB"/>
              </w:rPr>
              <w:t>Mexico</w:t>
            </w:r>
          </w:p>
        </w:tc>
        <w:tc>
          <w:tcPr>
            <w:tcW w:w="1900" w:type="dxa"/>
            <w:tcBorders>
              <w:top w:val="nil"/>
              <w:left w:val="single" w:sz="4" w:space="0" w:color="auto"/>
              <w:bottom w:val="nil"/>
              <w:right w:val="single" w:sz="4" w:space="0" w:color="auto"/>
            </w:tcBorders>
            <w:shd w:val="clear" w:color="000000" w:fill="FFFFFF"/>
            <w:noWrap/>
            <w:vAlign w:val="bottom"/>
            <w:hideMark/>
          </w:tcPr>
          <w:p w14:paraId="4B9C47A3" w14:textId="79052B13" w:rsidR="004857E0" w:rsidRPr="004857E0" w:rsidRDefault="004857E0" w:rsidP="007025D5">
            <w:pPr>
              <w:pStyle w:val="Tabletext"/>
              <w:jc w:val="center"/>
              <w:rPr>
                <w:lang w:eastAsia="en-GB"/>
              </w:rPr>
            </w:pPr>
            <w:r w:rsidRPr="004857E0">
              <w:rPr>
                <w:lang w:eastAsia="en-GB"/>
              </w:rPr>
              <w:t>3</w:t>
            </w:r>
          </w:p>
        </w:tc>
      </w:tr>
      <w:tr w:rsidR="004857E0" w:rsidRPr="004857E0" w14:paraId="7CF6BA89"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378491C9" w14:textId="77777777" w:rsidR="004857E0" w:rsidRPr="004857E0" w:rsidRDefault="004857E0" w:rsidP="007025D5">
            <w:pPr>
              <w:pStyle w:val="Tabletext"/>
              <w:rPr>
                <w:lang w:eastAsia="en-GB"/>
              </w:rPr>
            </w:pPr>
            <w:r w:rsidRPr="004857E0">
              <w:rPr>
                <w:lang w:eastAsia="en-GB"/>
              </w:rPr>
              <w:t xml:space="preserve">Micronesia </w:t>
            </w:r>
          </w:p>
        </w:tc>
        <w:tc>
          <w:tcPr>
            <w:tcW w:w="1900" w:type="dxa"/>
            <w:tcBorders>
              <w:top w:val="nil"/>
              <w:left w:val="single" w:sz="4" w:space="0" w:color="auto"/>
              <w:bottom w:val="nil"/>
              <w:right w:val="single" w:sz="4" w:space="0" w:color="auto"/>
            </w:tcBorders>
            <w:shd w:val="clear" w:color="000000" w:fill="FFFFFF"/>
            <w:noWrap/>
            <w:vAlign w:val="bottom"/>
            <w:hideMark/>
          </w:tcPr>
          <w:p w14:paraId="73D99359" w14:textId="56527003" w:rsidR="004857E0" w:rsidRPr="004857E0" w:rsidRDefault="004857E0" w:rsidP="007025D5">
            <w:pPr>
              <w:pStyle w:val="Tabletext"/>
              <w:jc w:val="center"/>
              <w:rPr>
                <w:lang w:eastAsia="en-GB"/>
              </w:rPr>
            </w:pPr>
            <w:r w:rsidRPr="004857E0">
              <w:rPr>
                <w:lang w:eastAsia="en-GB"/>
              </w:rPr>
              <w:t>1/16</w:t>
            </w:r>
          </w:p>
        </w:tc>
      </w:tr>
      <w:tr w:rsidR="004857E0" w:rsidRPr="004857E0" w14:paraId="1959B8EE"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205F07B1" w14:textId="77777777" w:rsidR="004857E0" w:rsidRPr="004857E0" w:rsidRDefault="004857E0" w:rsidP="007025D5">
            <w:pPr>
              <w:pStyle w:val="Tabletext"/>
              <w:rPr>
                <w:lang w:eastAsia="en-GB"/>
              </w:rPr>
            </w:pPr>
            <w:r w:rsidRPr="004857E0">
              <w:rPr>
                <w:lang w:eastAsia="en-GB"/>
              </w:rPr>
              <w:t>Moldova</w:t>
            </w:r>
          </w:p>
        </w:tc>
        <w:tc>
          <w:tcPr>
            <w:tcW w:w="1900" w:type="dxa"/>
            <w:tcBorders>
              <w:top w:val="nil"/>
              <w:left w:val="single" w:sz="4" w:space="0" w:color="auto"/>
              <w:bottom w:val="nil"/>
              <w:right w:val="single" w:sz="4" w:space="0" w:color="auto"/>
            </w:tcBorders>
            <w:shd w:val="clear" w:color="000000" w:fill="FFFFFF"/>
            <w:noWrap/>
            <w:vAlign w:val="bottom"/>
            <w:hideMark/>
          </w:tcPr>
          <w:p w14:paraId="78B6D6C2" w14:textId="1CB3FCC1" w:rsidR="004857E0" w:rsidRPr="004857E0" w:rsidRDefault="004857E0" w:rsidP="007025D5">
            <w:pPr>
              <w:pStyle w:val="Tabletext"/>
              <w:jc w:val="center"/>
              <w:rPr>
                <w:lang w:eastAsia="en-GB"/>
              </w:rPr>
            </w:pPr>
            <w:r w:rsidRPr="004857E0">
              <w:rPr>
                <w:lang w:eastAsia="en-GB"/>
              </w:rPr>
              <w:t>1/4</w:t>
            </w:r>
          </w:p>
        </w:tc>
      </w:tr>
      <w:tr w:rsidR="004857E0" w:rsidRPr="004857E0" w14:paraId="6E6DC280"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22183E08" w14:textId="77777777" w:rsidR="004857E0" w:rsidRPr="004857E0" w:rsidRDefault="004857E0" w:rsidP="007025D5">
            <w:pPr>
              <w:pStyle w:val="Tabletext"/>
              <w:rPr>
                <w:lang w:eastAsia="en-GB"/>
              </w:rPr>
            </w:pPr>
            <w:r w:rsidRPr="004857E0">
              <w:rPr>
                <w:lang w:eastAsia="en-GB"/>
              </w:rPr>
              <w:t>Monaco</w:t>
            </w:r>
          </w:p>
        </w:tc>
        <w:tc>
          <w:tcPr>
            <w:tcW w:w="1900" w:type="dxa"/>
            <w:tcBorders>
              <w:top w:val="nil"/>
              <w:left w:val="single" w:sz="4" w:space="0" w:color="auto"/>
              <w:bottom w:val="nil"/>
              <w:right w:val="single" w:sz="4" w:space="0" w:color="auto"/>
            </w:tcBorders>
            <w:shd w:val="clear" w:color="000000" w:fill="FFFFFF"/>
            <w:vAlign w:val="bottom"/>
            <w:hideMark/>
          </w:tcPr>
          <w:p w14:paraId="17107BE5" w14:textId="184CAE18" w:rsidR="004857E0" w:rsidRPr="004857E0" w:rsidRDefault="004857E0" w:rsidP="007025D5">
            <w:pPr>
              <w:pStyle w:val="Tabletext"/>
              <w:jc w:val="center"/>
              <w:rPr>
                <w:lang w:eastAsia="en-GB"/>
              </w:rPr>
            </w:pPr>
            <w:r w:rsidRPr="004857E0">
              <w:rPr>
                <w:lang w:eastAsia="en-GB"/>
              </w:rPr>
              <w:t>1/4</w:t>
            </w:r>
          </w:p>
        </w:tc>
      </w:tr>
      <w:tr w:rsidR="004857E0" w:rsidRPr="004857E0" w14:paraId="59A65E16"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3CB9F31" w14:textId="77777777" w:rsidR="004857E0" w:rsidRPr="004857E0" w:rsidRDefault="004857E0" w:rsidP="007025D5">
            <w:pPr>
              <w:pStyle w:val="Tabletext"/>
              <w:rPr>
                <w:lang w:eastAsia="en-GB"/>
              </w:rPr>
            </w:pPr>
            <w:r w:rsidRPr="004857E0">
              <w:rPr>
                <w:lang w:eastAsia="en-GB"/>
              </w:rPr>
              <w:t>Mongolia</w:t>
            </w:r>
          </w:p>
        </w:tc>
        <w:tc>
          <w:tcPr>
            <w:tcW w:w="1900" w:type="dxa"/>
            <w:tcBorders>
              <w:top w:val="nil"/>
              <w:left w:val="single" w:sz="4" w:space="0" w:color="auto"/>
              <w:bottom w:val="nil"/>
              <w:right w:val="single" w:sz="4" w:space="0" w:color="auto"/>
            </w:tcBorders>
            <w:shd w:val="clear" w:color="000000" w:fill="FFFFFF"/>
            <w:noWrap/>
            <w:vAlign w:val="bottom"/>
            <w:hideMark/>
          </w:tcPr>
          <w:p w14:paraId="35A6C37D" w14:textId="6122E51B" w:rsidR="004857E0" w:rsidRPr="004857E0" w:rsidRDefault="004857E0" w:rsidP="007025D5">
            <w:pPr>
              <w:pStyle w:val="Tabletext"/>
              <w:jc w:val="center"/>
              <w:rPr>
                <w:lang w:eastAsia="en-GB"/>
              </w:rPr>
            </w:pPr>
            <w:r w:rsidRPr="004857E0">
              <w:rPr>
                <w:lang w:eastAsia="en-GB"/>
              </w:rPr>
              <w:t>1/4</w:t>
            </w:r>
          </w:p>
        </w:tc>
      </w:tr>
      <w:tr w:rsidR="004857E0" w:rsidRPr="004857E0" w14:paraId="64682286"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E745D5D" w14:textId="77777777" w:rsidR="004857E0" w:rsidRPr="004857E0" w:rsidRDefault="004857E0" w:rsidP="007025D5">
            <w:pPr>
              <w:pStyle w:val="Tabletext"/>
              <w:rPr>
                <w:lang w:eastAsia="en-GB"/>
              </w:rPr>
            </w:pPr>
            <w:r w:rsidRPr="004857E0">
              <w:rPr>
                <w:lang w:eastAsia="en-GB"/>
              </w:rPr>
              <w:t>Montenegro</w:t>
            </w:r>
          </w:p>
        </w:tc>
        <w:tc>
          <w:tcPr>
            <w:tcW w:w="1900" w:type="dxa"/>
            <w:tcBorders>
              <w:top w:val="nil"/>
              <w:left w:val="single" w:sz="4" w:space="0" w:color="auto"/>
              <w:bottom w:val="nil"/>
              <w:right w:val="single" w:sz="4" w:space="0" w:color="auto"/>
            </w:tcBorders>
            <w:shd w:val="clear" w:color="000000" w:fill="FFFFFF"/>
            <w:noWrap/>
            <w:vAlign w:val="bottom"/>
            <w:hideMark/>
          </w:tcPr>
          <w:p w14:paraId="312E9DCA" w14:textId="5780D029" w:rsidR="004857E0" w:rsidRPr="004857E0" w:rsidRDefault="004857E0" w:rsidP="007025D5">
            <w:pPr>
              <w:pStyle w:val="Tabletext"/>
              <w:jc w:val="center"/>
              <w:rPr>
                <w:lang w:eastAsia="en-GB"/>
              </w:rPr>
            </w:pPr>
            <w:r w:rsidRPr="004857E0">
              <w:rPr>
                <w:lang w:eastAsia="en-GB"/>
              </w:rPr>
              <w:t>1/8</w:t>
            </w:r>
          </w:p>
        </w:tc>
      </w:tr>
      <w:tr w:rsidR="004857E0" w:rsidRPr="004857E0" w14:paraId="03F5BD4F"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A016E36" w14:textId="77777777" w:rsidR="004857E0" w:rsidRPr="004857E0" w:rsidRDefault="004857E0" w:rsidP="007025D5">
            <w:pPr>
              <w:pStyle w:val="Tabletext"/>
              <w:rPr>
                <w:lang w:eastAsia="en-GB"/>
              </w:rPr>
            </w:pPr>
            <w:r w:rsidRPr="004857E0">
              <w:rPr>
                <w:lang w:eastAsia="en-GB"/>
              </w:rPr>
              <w:t>Morocco</w:t>
            </w:r>
          </w:p>
        </w:tc>
        <w:tc>
          <w:tcPr>
            <w:tcW w:w="1900" w:type="dxa"/>
            <w:tcBorders>
              <w:top w:val="nil"/>
              <w:left w:val="single" w:sz="4" w:space="0" w:color="auto"/>
              <w:bottom w:val="nil"/>
              <w:right w:val="single" w:sz="4" w:space="0" w:color="auto"/>
            </w:tcBorders>
            <w:shd w:val="clear" w:color="000000" w:fill="FFFFFF"/>
            <w:noWrap/>
            <w:vAlign w:val="bottom"/>
            <w:hideMark/>
          </w:tcPr>
          <w:p w14:paraId="73EDC6EF" w14:textId="03BEA451" w:rsidR="004857E0" w:rsidRPr="004857E0" w:rsidRDefault="004857E0" w:rsidP="007025D5">
            <w:pPr>
              <w:pStyle w:val="Tabletext"/>
              <w:jc w:val="center"/>
              <w:rPr>
                <w:lang w:eastAsia="en-GB"/>
              </w:rPr>
            </w:pPr>
            <w:r w:rsidRPr="004857E0">
              <w:rPr>
                <w:lang w:eastAsia="en-GB"/>
              </w:rPr>
              <w:t>1</w:t>
            </w:r>
          </w:p>
        </w:tc>
      </w:tr>
      <w:tr w:rsidR="004857E0" w:rsidRPr="004857E0" w14:paraId="62213A12"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56C2431" w14:textId="77777777" w:rsidR="004857E0" w:rsidRPr="004857E0" w:rsidRDefault="004857E0" w:rsidP="007025D5">
            <w:pPr>
              <w:pStyle w:val="Tabletext"/>
              <w:rPr>
                <w:lang w:eastAsia="en-GB"/>
              </w:rPr>
            </w:pPr>
            <w:r w:rsidRPr="004857E0">
              <w:rPr>
                <w:lang w:eastAsia="en-GB"/>
              </w:rPr>
              <w:t>Mozambique</w:t>
            </w:r>
          </w:p>
        </w:tc>
        <w:tc>
          <w:tcPr>
            <w:tcW w:w="1900" w:type="dxa"/>
            <w:tcBorders>
              <w:top w:val="nil"/>
              <w:left w:val="single" w:sz="4" w:space="0" w:color="auto"/>
              <w:bottom w:val="nil"/>
              <w:right w:val="single" w:sz="4" w:space="0" w:color="auto"/>
            </w:tcBorders>
            <w:shd w:val="clear" w:color="000000" w:fill="FFFFFF"/>
            <w:noWrap/>
            <w:vAlign w:val="bottom"/>
            <w:hideMark/>
          </w:tcPr>
          <w:p w14:paraId="20B530E3" w14:textId="43B26EB9" w:rsidR="004857E0" w:rsidRPr="004857E0" w:rsidRDefault="004857E0" w:rsidP="007025D5">
            <w:pPr>
              <w:pStyle w:val="Tabletext"/>
              <w:jc w:val="center"/>
              <w:rPr>
                <w:lang w:eastAsia="en-GB"/>
              </w:rPr>
            </w:pPr>
            <w:r w:rsidRPr="004857E0">
              <w:rPr>
                <w:lang w:eastAsia="en-GB"/>
              </w:rPr>
              <w:t>1/16</w:t>
            </w:r>
          </w:p>
        </w:tc>
      </w:tr>
      <w:tr w:rsidR="004857E0" w:rsidRPr="004857E0" w14:paraId="7DCE1C60"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2FBDBAED" w14:textId="77777777" w:rsidR="004857E0" w:rsidRPr="004857E0" w:rsidRDefault="004857E0" w:rsidP="007025D5">
            <w:pPr>
              <w:pStyle w:val="Tabletext"/>
              <w:rPr>
                <w:lang w:eastAsia="en-GB"/>
              </w:rPr>
            </w:pPr>
            <w:r w:rsidRPr="004857E0">
              <w:rPr>
                <w:lang w:eastAsia="en-GB"/>
              </w:rPr>
              <w:t>Myanmar</w:t>
            </w:r>
          </w:p>
        </w:tc>
        <w:tc>
          <w:tcPr>
            <w:tcW w:w="1900" w:type="dxa"/>
            <w:tcBorders>
              <w:top w:val="nil"/>
              <w:left w:val="single" w:sz="4" w:space="0" w:color="auto"/>
              <w:bottom w:val="nil"/>
              <w:right w:val="single" w:sz="4" w:space="0" w:color="auto"/>
            </w:tcBorders>
            <w:shd w:val="clear" w:color="000000" w:fill="FFFFFF"/>
            <w:vAlign w:val="bottom"/>
            <w:hideMark/>
          </w:tcPr>
          <w:p w14:paraId="1CB8EFA4" w14:textId="73371FAA" w:rsidR="004857E0" w:rsidRPr="004857E0" w:rsidRDefault="004857E0" w:rsidP="007025D5">
            <w:pPr>
              <w:pStyle w:val="Tabletext"/>
              <w:jc w:val="center"/>
              <w:rPr>
                <w:lang w:eastAsia="en-GB"/>
              </w:rPr>
            </w:pPr>
            <w:r w:rsidRPr="004857E0">
              <w:rPr>
                <w:lang w:eastAsia="en-GB"/>
              </w:rPr>
              <w:t>1/8</w:t>
            </w:r>
          </w:p>
        </w:tc>
      </w:tr>
      <w:tr w:rsidR="004857E0" w:rsidRPr="004857E0" w14:paraId="57594407"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672378BF" w14:textId="77777777" w:rsidR="004857E0" w:rsidRPr="004857E0" w:rsidRDefault="004857E0" w:rsidP="007025D5">
            <w:pPr>
              <w:pStyle w:val="Tabletext"/>
              <w:rPr>
                <w:lang w:eastAsia="en-GB"/>
              </w:rPr>
            </w:pPr>
            <w:r w:rsidRPr="004857E0">
              <w:rPr>
                <w:lang w:eastAsia="en-GB"/>
              </w:rPr>
              <w:t>Namibia</w:t>
            </w:r>
          </w:p>
        </w:tc>
        <w:tc>
          <w:tcPr>
            <w:tcW w:w="1900" w:type="dxa"/>
            <w:tcBorders>
              <w:top w:val="nil"/>
              <w:left w:val="single" w:sz="4" w:space="0" w:color="auto"/>
              <w:bottom w:val="nil"/>
              <w:right w:val="single" w:sz="4" w:space="0" w:color="auto"/>
            </w:tcBorders>
            <w:shd w:val="clear" w:color="000000" w:fill="FFFFFF"/>
            <w:noWrap/>
            <w:vAlign w:val="bottom"/>
            <w:hideMark/>
          </w:tcPr>
          <w:p w14:paraId="56DC2A8D" w14:textId="786B6E2E" w:rsidR="004857E0" w:rsidRPr="004857E0" w:rsidRDefault="004857E0" w:rsidP="007025D5">
            <w:pPr>
              <w:pStyle w:val="Tabletext"/>
              <w:jc w:val="center"/>
              <w:rPr>
                <w:lang w:eastAsia="en-GB"/>
              </w:rPr>
            </w:pPr>
            <w:r w:rsidRPr="004857E0">
              <w:rPr>
                <w:lang w:eastAsia="en-GB"/>
              </w:rPr>
              <w:t>1/4</w:t>
            </w:r>
          </w:p>
        </w:tc>
      </w:tr>
      <w:tr w:rsidR="004857E0" w:rsidRPr="004857E0" w14:paraId="09890FC6"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1693B476" w14:textId="77777777" w:rsidR="004857E0" w:rsidRPr="004857E0" w:rsidRDefault="004857E0" w:rsidP="007025D5">
            <w:pPr>
              <w:pStyle w:val="Tabletext"/>
              <w:rPr>
                <w:lang w:eastAsia="en-GB"/>
              </w:rPr>
            </w:pPr>
            <w:r w:rsidRPr="004857E0">
              <w:rPr>
                <w:lang w:eastAsia="en-GB"/>
              </w:rPr>
              <w:t>Nauru</w:t>
            </w:r>
          </w:p>
        </w:tc>
        <w:tc>
          <w:tcPr>
            <w:tcW w:w="1900" w:type="dxa"/>
            <w:tcBorders>
              <w:top w:val="nil"/>
              <w:left w:val="single" w:sz="4" w:space="0" w:color="auto"/>
              <w:bottom w:val="nil"/>
              <w:right w:val="single" w:sz="4" w:space="0" w:color="auto"/>
            </w:tcBorders>
            <w:shd w:val="clear" w:color="000000" w:fill="FFFFFF"/>
            <w:noWrap/>
            <w:vAlign w:val="bottom"/>
            <w:hideMark/>
          </w:tcPr>
          <w:p w14:paraId="3B7EC645" w14:textId="4C6EC4F5" w:rsidR="004857E0" w:rsidRPr="004857E0" w:rsidRDefault="004857E0" w:rsidP="007025D5">
            <w:pPr>
              <w:pStyle w:val="Tabletext"/>
              <w:jc w:val="center"/>
              <w:rPr>
                <w:lang w:eastAsia="en-GB"/>
              </w:rPr>
            </w:pPr>
            <w:r w:rsidRPr="004857E0">
              <w:rPr>
                <w:lang w:eastAsia="en-GB"/>
              </w:rPr>
              <w:t>1/16</w:t>
            </w:r>
          </w:p>
        </w:tc>
      </w:tr>
      <w:tr w:rsidR="004857E0" w:rsidRPr="004857E0" w14:paraId="6500CD2C"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6A2ED613" w14:textId="77777777" w:rsidR="004857E0" w:rsidRPr="004857E0" w:rsidRDefault="004857E0" w:rsidP="007025D5">
            <w:pPr>
              <w:pStyle w:val="Tabletext"/>
              <w:rPr>
                <w:lang w:eastAsia="en-GB"/>
              </w:rPr>
            </w:pPr>
            <w:r w:rsidRPr="004857E0">
              <w:rPr>
                <w:lang w:eastAsia="en-GB"/>
              </w:rPr>
              <w:t xml:space="preserve">Nepal </w:t>
            </w:r>
          </w:p>
        </w:tc>
        <w:tc>
          <w:tcPr>
            <w:tcW w:w="1900" w:type="dxa"/>
            <w:tcBorders>
              <w:top w:val="nil"/>
              <w:left w:val="single" w:sz="4" w:space="0" w:color="auto"/>
              <w:bottom w:val="nil"/>
              <w:right w:val="single" w:sz="4" w:space="0" w:color="auto"/>
            </w:tcBorders>
            <w:shd w:val="clear" w:color="000000" w:fill="FFFFFF"/>
            <w:noWrap/>
            <w:vAlign w:val="bottom"/>
            <w:hideMark/>
          </w:tcPr>
          <w:p w14:paraId="21D78B1E" w14:textId="5086DAB9" w:rsidR="004857E0" w:rsidRPr="004857E0" w:rsidRDefault="004857E0" w:rsidP="007025D5">
            <w:pPr>
              <w:pStyle w:val="Tabletext"/>
              <w:jc w:val="center"/>
              <w:rPr>
                <w:lang w:eastAsia="en-GB"/>
              </w:rPr>
            </w:pPr>
            <w:r w:rsidRPr="004857E0">
              <w:rPr>
                <w:lang w:eastAsia="en-GB"/>
              </w:rPr>
              <w:t>1/16</w:t>
            </w:r>
          </w:p>
        </w:tc>
      </w:tr>
      <w:tr w:rsidR="004857E0" w:rsidRPr="004857E0" w14:paraId="537BEDB3"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6ACBF191" w14:textId="77777777" w:rsidR="004857E0" w:rsidRPr="004857E0" w:rsidRDefault="004857E0" w:rsidP="007025D5">
            <w:pPr>
              <w:pStyle w:val="Tabletext"/>
              <w:rPr>
                <w:lang w:eastAsia="en-GB"/>
              </w:rPr>
            </w:pPr>
            <w:r w:rsidRPr="004857E0">
              <w:rPr>
                <w:lang w:eastAsia="en-GB"/>
              </w:rPr>
              <w:t>Netherlands</w:t>
            </w:r>
          </w:p>
        </w:tc>
        <w:tc>
          <w:tcPr>
            <w:tcW w:w="1900" w:type="dxa"/>
            <w:tcBorders>
              <w:top w:val="nil"/>
              <w:left w:val="single" w:sz="4" w:space="0" w:color="auto"/>
              <w:bottom w:val="nil"/>
              <w:right w:val="single" w:sz="4" w:space="0" w:color="auto"/>
            </w:tcBorders>
            <w:shd w:val="clear" w:color="000000" w:fill="FFFFFF"/>
            <w:noWrap/>
            <w:vAlign w:val="bottom"/>
            <w:hideMark/>
          </w:tcPr>
          <w:p w14:paraId="2CFF26B0" w14:textId="6081BE60" w:rsidR="004857E0" w:rsidRPr="004857E0" w:rsidRDefault="004857E0" w:rsidP="007025D5">
            <w:pPr>
              <w:pStyle w:val="Tabletext"/>
              <w:jc w:val="center"/>
              <w:rPr>
                <w:lang w:eastAsia="en-GB"/>
              </w:rPr>
            </w:pPr>
            <w:r w:rsidRPr="004857E0">
              <w:rPr>
                <w:lang w:eastAsia="en-GB"/>
              </w:rPr>
              <w:t>5</w:t>
            </w:r>
          </w:p>
        </w:tc>
      </w:tr>
      <w:tr w:rsidR="004857E0" w:rsidRPr="004857E0" w14:paraId="1EF4D3ED"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45ADBF8" w14:textId="77777777" w:rsidR="004857E0" w:rsidRPr="004857E0" w:rsidRDefault="004857E0" w:rsidP="007025D5">
            <w:pPr>
              <w:pStyle w:val="Tabletext"/>
              <w:rPr>
                <w:lang w:eastAsia="en-GB"/>
              </w:rPr>
            </w:pPr>
            <w:r w:rsidRPr="004857E0">
              <w:rPr>
                <w:lang w:eastAsia="en-GB"/>
              </w:rPr>
              <w:t>New Zealand</w:t>
            </w:r>
          </w:p>
        </w:tc>
        <w:tc>
          <w:tcPr>
            <w:tcW w:w="1900" w:type="dxa"/>
            <w:tcBorders>
              <w:top w:val="nil"/>
              <w:left w:val="single" w:sz="4" w:space="0" w:color="auto"/>
              <w:bottom w:val="nil"/>
              <w:right w:val="single" w:sz="4" w:space="0" w:color="auto"/>
            </w:tcBorders>
            <w:shd w:val="clear" w:color="000000" w:fill="FFFFFF"/>
            <w:noWrap/>
            <w:vAlign w:val="bottom"/>
            <w:hideMark/>
          </w:tcPr>
          <w:p w14:paraId="3CB5A12B" w14:textId="6C715A8A" w:rsidR="004857E0" w:rsidRPr="004857E0" w:rsidRDefault="004857E0" w:rsidP="007025D5">
            <w:pPr>
              <w:pStyle w:val="Tabletext"/>
              <w:jc w:val="center"/>
              <w:rPr>
                <w:lang w:eastAsia="en-GB"/>
              </w:rPr>
            </w:pPr>
            <w:r w:rsidRPr="004857E0">
              <w:rPr>
                <w:lang w:eastAsia="en-GB"/>
              </w:rPr>
              <w:t>2</w:t>
            </w:r>
          </w:p>
        </w:tc>
      </w:tr>
      <w:tr w:rsidR="004857E0" w:rsidRPr="004857E0" w14:paraId="676F44ED"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3172F4C1" w14:textId="77777777" w:rsidR="004857E0" w:rsidRPr="004857E0" w:rsidRDefault="004857E0" w:rsidP="007025D5">
            <w:pPr>
              <w:pStyle w:val="Tabletext"/>
              <w:rPr>
                <w:lang w:eastAsia="en-GB"/>
              </w:rPr>
            </w:pPr>
            <w:r w:rsidRPr="004857E0">
              <w:rPr>
                <w:lang w:eastAsia="en-GB"/>
              </w:rPr>
              <w:t>Nicaragua</w:t>
            </w:r>
          </w:p>
        </w:tc>
        <w:tc>
          <w:tcPr>
            <w:tcW w:w="1900" w:type="dxa"/>
            <w:tcBorders>
              <w:top w:val="nil"/>
              <w:left w:val="single" w:sz="4" w:space="0" w:color="auto"/>
              <w:bottom w:val="nil"/>
              <w:right w:val="single" w:sz="4" w:space="0" w:color="auto"/>
            </w:tcBorders>
            <w:shd w:val="clear" w:color="000000" w:fill="FFFFFF"/>
            <w:noWrap/>
            <w:vAlign w:val="bottom"/>
            <w:hideMark/>
          </w:tcPr>
          <w:p w14:paraId="222458CC" w14:textId="6E0392C9" w:rsidR="004857E0" w:rsidRPr="004857E0" w:rsidRDefault="004857E0" w:rsidP="007025D5">
            <w:pPr>
              <w:pStyle w:val="Tabletext"/>
              <w:jc w:val="center"/>
              <w:rPr>
                <w:lang w:eastAsia="en-GB"/>
              </w:rPr>
            </w:pPr>
            <w:r w:rsidRPr="004857E0">
              <w:rPr>
                <w:lang w:eastAsia="en-GB"/>
              </w:rPr>
              <w:t>1/4</w:t>
            </w:r>
          </w:p>
        </w:tc>
      </w:tr>
      <w:tr w:rsidR="004857E0" w:rsidRPr="004857E0" w14:paraId="514F5366"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32B4287E" w14:textId="77777777" w:rsidR="004857E0" w:rsidRPr="004857E0" w:rsidRDefault="004857E0" w:rsidP="007025D5">
            <w:pPr>
              <w:pStyle w:val="Tabletext"/>
              <w:rPr>
                <w:lang w:eastAsia="en-GB"/>
              </w:rPr>
            </w:pPr>
            <w:r w:rsidRPr="004857E0">
              <w:rPr>
                <w:lang w:eastAsia="en-GB"/>
              </w:rPr>
              <w:t>Niger</w:t>
            </w:r>
          </w:p>
        </w:tc>
        <w:tc>
          <w:tcPr>
            <w:tcW w:w="1900" w:type="dxa"/>
            <w:tcBorders>
              <w:top w:val="nil"/>
              <w:left w:val="single" w:sz="4" w:space="0" w:color="auto"/>
              <w:bottom w:val="nil"/>
              <w:right w:val="single" w:sz="4" w:space="0" w:color="auto"/>
            </w:tcBorders>
            <w:shd w:val="clear" w:color="000000" w:fill="FFFFFF"/>
            <w:noWrap/>
            <w:vAlign w:val="bottom"/>
            <w:hideMark/>
          </w:tcPr>
          <w:p w14:paraId="44822EEF" w14:textId="50CEEE97" w:rsidR="004857E0" w:rsidRPr="004857E0" w:rsidRDefault="004857E0" w:rsidP="007025D5">
            <w:pPr>
              <w:pStyle w:val="Tabletext"/>
              <w:jc w:val="center"/>
              <w:rPr>
                <w:lang w:eastAsia="en-GB"/>
              </w:rPr>
            </w:pPr>
            <w:r w:rsidRPr="004857E0">
              <w:rPr>
                <w:lang w:eastAsia="en-GB"/>
              </w:rPr>
              <w:t>1/8</w:t>
            </w:r>
          </w:p>
        </w:tc>
      </w:tr>
      <w:tr w:rsidR="004857E0" w:rsidRPr="004857E0" w14:paraId="4C997B08"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6B3F6251" w14:textId="77777777" w:rsidR="004857E0" w:rsidRPr="004857E0" w:rsidRDefault="004857E0" w:rsidP="007025D5">
            <w:pPr>
              <w:pStyle w:val="Tabletext"/>
              <w:rPr>
                <w:lang w:eastAsia="en-GB"/>
              </w:rPr>
            </w:pPr>
            <w:r w:rsidRPr="004857E0">
              <w:rPr>
                <w:lang w:eastAsia="en-GB"/>
              </w:rPr>
              <w:t>Nigeria</w:t>
            </w:r>
          </w:p>
        </w:tc>
        <w:tc>
          <w:tcPr>
            <w:tcW w:w="1900" w:type="dxa"/>
            <w:tcBorders>
              <w:top w:val="nil"/>
              <w:left w:val="single" w:sz="4" w:space="0" w:color="auto"/>
              <w:bottom w:val="nil"/>
              <w:right w:val="single" w:sz="4" w:space="0" w:color="auto"/>
            </w:tcBorders>
            <w:shd w:val="clear" w:color="000000" w:fill="FFFFFF"/>
            <w:noWrap/>
            <w:vAlign w:val="bottom"/>
            <w:hideMark/>
          </w:tcPr>
          <w:p w14:paraId="79ABBDB3" w14:textId="2DA3F86A" w:rsidR="004857E0" w:rsidRPr="004857E0" w:rsidRDefault="004857E0" w:rsidP="007025D5">
            <w:pPr>
              <w:pStyle w:val="Tabletext"/>
              <w:jc w:val="center"/>
              <w:rPr>
                <w:lang w:eastAsia="en-GB"/>
              </w:rPr>
            </w:pPr>
            <w:r w:rsidRPr="004857E0">
              <w:rPr>
                <w:lang w:eastAsia="en-GB"/>
              </w:rPr>
              <w:t>2</w:t>
            </w:r>
          </w:p>
        </w:tc>
      </w:tr>
      <w:tr w:rsidR="004857E0" w:rsidRPr="004857E0" w14:paraId="205D2767"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3711B740" w14:textId="1B6942F5" w:rsidR="004857E0" w:rsidRPr="004857E0" w:rsidRDefault="004857E0" w:rsidP="007025D5">
            <w:pPr>
              <w:pStyle w:val="Tabletext"/>
              <w:rPr>
                <w:lang w:eastAsia="en-GB"/>
              </w:rPr>
            </w:pPr>
            <w:r w:rsidRPr="004857E0">
              <w:rPr>
                <w:lang w:eastAsia="en-GB"/>
              </w:rPr>
              <w:t>North Macedonia</w:t>
            </w:r>
          </w:p>
        </w:tc>
        <w:tc>
          <w:tcPr>
            <w:tcW w:w="1900" w:type="dxa"/>
            <w:tcBorders>
              <w:top w:val="nil"/>
              <w:left w:val="single" w:sz="4" w:space="0" w:color="auto"/>
              <w:bottom w:val="nil"/>
              <w:right w:val="single" w:sz="4" w:space="0" w:color="auto"/>
            </w:tcBorders>
            <w:shd w:val="clear" w:color="000000" w:fill="FFFFFF"/>
            <w:noWrap/>
            <w:vAlign w:val="bottom"/>
            <w:hideMark/>
          </w:tcPr>
          <w:p w14:paraId="3DAFE7D2" w14:textId="21628D5F" w:rsidR="004857E0" w:rsidRPr="004857E0" w:rsidRDefault="004857E0" w:rsidP="007025D5">
            <w:pPr>
              <w:pStyle w:val="Tabletext"/>
              <w:jc w:val="center"/>
              <w:rPr>
                <w:lang w:eastAsia="en-GB"/>
              </w:rPr>
            </w:pPr>
            <w:r w:rsidRPr="004857E0">
              <w:rPr>
                <w:lang w:eastAsia="en-GB"/>
              </w:rPr>
              <w:t>1/8</w:t>
            </w:r>
          </w:p>
        </w:tc>
      </w:tr>
      <w:tr w:rsidR="004857E0" w:rsidRPr="004857E0" w14:paraId="01815A72"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30BD522A" w14:textId="77777777" w:rsidR="004857E0" w:rsidRPr="004857E0" w:rsidRDefault="004857E0" w:rsidP="007025D5">
            <w:pPr>
              <w:pStyle w:val="Tabletext"/>
              <w:rPr>
                <w:lang w:eastAsia="en-GB"/>
              </w:rPr>
            </w:pPr>
            <w:r w:rsidRPr="004857E0">
              <w:rPr>
                <w:lang w:eastAsia="en-GB"/>
              </w:rPr>
              <w:t>Norway</w:t>
            </w:r>
          </w:p>
        </w:tc>
        <w:tc>
          <w:tcPr>
            <w:tcW w:w="1900" w:type="dxa"/>
            <w:tcBorders>
              <w:top w:val="nil"/>
              <w:left w:val="single" w:sz="4" w:space="0" w:color="auto"/>
              <w:bottom w:val="nil"/>
              <w:right w:val="single" w:sz="4" w:space="0" w:color="auto"/>
            </w:tcBorders>
            <w:shd w:val="clear" w:color="000000" w:fill="FFFFFF"/>
            <w:noWrap/>
            <w:vAlign w:val="bottom"/>
            <w:hideMark/>
          </w:tcPr>
          <w:p w14:paraId="6A05F47D" w14:textId="5CD643F6" w:rsidR="004857E0" w:rsidRPr="004857E0" w:rsidRDefault="004857E0" w:rsidP="007025D5">
            <w:pPr>
              <w:pStyle w:val="Tabletext"/>
              <w:jc w:val="center"/>
              <w:rPr>
                <w:lang w:eastAsia="en-GB"/>
              </w:rPr>
            </w:pPr>
            <w:r w:rsidRPr="004857E0">
              <w:rPr>
                <w:lang w:eastAsia="en-GB"/>
              </w:rPr>
              <w:t>5</w:t>
            </w:r>
          </w:p>
        </w:tc>
      </w:tr>
      <w:tr w:rsidR="004857E0" w:rsidRPr="004857E0" w14:paraId="373C2F24"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A7784A1" w14:textId="77777777" w:rsidR="004857E0" w:rsidRPr="004857E0" w:rsidRDefault="004857E0" w:rsidP="007025D5">
            <w:pPr>
              <w:pStyle w:val="Tabletext"/>
              <w:rPr>
                <w:lang w:eastAsia="en-GB"/>
              </w:rPr>
            </w:pPr>
            <w:r w:rsidRPr="004857E0">
              <w:rPr>
                <w:lang w:eastAsia="en-GB"/>
              </w:rPr>
              <w:t>Oman</w:t>
            </w:r>
          </w:p>
        </w:tc>
        <w:tc>
          <w:tcPr>
            <w:tcW w:w="1900" w:type="dxa"/>
            <w:tcBorders>
              <w:top w:val="nil"/>
              <w:left w:val="single" w:sz="4" w:space="0" w:color="auto"/>
              <w:bottom w:val="nil"/>
              <w:right w:val="single" w:sz="4" w:space="0" w:color="auto"/>
            </w:tcBorders>
            <w:shd w:val="clear" w:color="000000" w:fill="FFFFFF"/>
            <w:noWrap/>
            <w:vAlign w:val="bottom"/>
            <w:hideMark/>
          </w:tcPr>
          <w:p w14:paraId="3627FDB1" w14:textId="22FA1507" w:rsidR="004857E0" w:rsidRPr="004857E0" w:rsidRDefault="004857E0" w:rsidP="007025D5">
            <w:pPr>
              <w:pStyle w:val="Tabletext"/>
              <w:jc w:val="center"/>
              <w:rPr>
                <w:lang w:eastAsia="en-GB"/>
              </w:rPr>
            </w:pPr>
            <w:r w:rsidRPr="004857E0">
              <w:rPr>
                <w:lang w:eastAsia="en-GB"/>
              </w:rPr>
              <w:t>1</w:t>
            </w:r>
          </w:p>
        </w:tc>
      </w:tr>
      <w:tr w:rsidR="004857E0" w:rsidRPr="004857E0" w14:paraId="03BA12F3"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1AE948A1" w14:textId="77777777" w:rsidR="004857E0" w:rsidRPr="004857E0" w:rsidRDefault="004857E0" w:rsidP="007025D5">
            <w:pPr>
              <w:pStyle w:val="Tabletext"/>
              <w:rPr>
                <w:lang w:eastAsia="en-GB"/>
              </w:rPr>
            </w:pPr>
            <w:r w:rsidRPr="004857E0">
              <w:rPr>
                <w:lang w:eastAsia="en-GB"/>
              </w:rPr>
              <w:t>Pakistan</w:t>
            </w:r>
          </w:p>
        </w:tc>
        <w:tc>
          <w:tcPr>
            <w:tcW w:w="1900" w:type="dxa"/>
            <w:tcBorders>
              <w:top w:val="nil"/>
              <w:left w:val="single" w:sz="4" w:space="0" w:color="auto"/>
              <w:bottom w:val="nil"/>
              <w:right w:val="single" w:sz="4" w:space="0" w:color="auto"/>
            </w:tcBorders>
            <w:shd w:val="clear" w:color="000000" w:fill="FFFFFF"/>
            <w:noWrap/>
            <w:vAlign w:val="bottom"/>
            <w:hideMark/>
          </w:tcPr>
          <w:p w14:paraId="02940615" w14:textId="6F056D28" w:rsidR="004857E0" w:rsidRPr="004857E0" w:rsidRDefault="004857E0" w:rsidP="007025D5">
            <w:pPr>
              <w:pStyle w:val="Tabletext"/>
              <w:jc w:val="center"/>
              <w:rPr>
                <w:lang w:eastAsia="en-GB"/>
              </w:rPr>
            </w:pPr>
            <w:r w:rsidRPr="004857E0">
              <w:rPr>
                <w:lang w:eastAsia="en-GB"/>
              </w:rPr>
              <w:t>1</w:t>
            </w:r>
          </w:p>
        </w:tc>
      </w:tr>
      <w:tr w:rsidR="004857E0" w:rsidRPr="004857E0" w14:paraId="6A29137C"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1475940D" w14:textId="77777777" w:rsidR="004857E0" w:rsidRPr="004857E0" w:rsidRDefault="004857E0" w:rsidP="007025D5">
            <w:pPr>
              <w:pStyle w:val="Tabletext"/>
              <w:rPr>
                <w:lang w:eastAsia="en-GB"/>
              </w:rPr>
            </w:pPr>
            <w:r w:rsidRPr="004857E0">
              <w:rPr>
                <w:lang w:eastAsia="en-GB"/>
              </w:rPr>
              <w:t>Palau</w:t>
            </w:r>
          </w:p>
        </w:tc>
        <w:tc>
          <w:tcPr>
            <w:tcW w:w="1900" w:type="dxa"/>
            <w:tcBorders>
              <w:top w:val="nil"/>
              <w:left w:val="single" w:sz="4" w:space="0" w:color="auto"/>
              <w:bottom w:val="nil"/>
              <w:right w:val="single" w:sz="4" w:space="0" w:color="auto"/>
            </w:tcBorders>
            <w:shd w:val="clear" w:color="000000" w:fill="FFFFFF"/>
            <w:noWrap/>
            <w:vAlign w:val="bottom"/>
            <w:hideMark/>
          </w:tcPr>
          <w:p w14:paraId="7DBD81CA" w14:textId="3E39798A" w:rsidR="004857E0" w:rsidRPr="004857E0" w:rsidRDefault="004857E0" w:rsidP="007025D5">
            <w:pPr>
              <w:pStyle w:val="Tabletext"/>
              <w:jc w:val="center"/>
              <w:rPr>
                <w:lang w:eastAsia="en-GB"/>
              </w:rPr>
            </w:pPr>
            <w:r w:rsidRPr="004857E0">
              <w:rPr>
                <w:lang w:eastAsia="en-GB"/>
              </w:rPr>
              <w:t>1/16</w:t>
            </w:r>
          </w:p>
        </w:tc>
      </w:tr>
      <w:tr w:rsidR="004857E0" w:rsidRPr="004857E0" w14:paraId="74342C9D"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4DD7043" w14:textId="77777777" w:rsidR="004857E0" w:rsidRPr="004857E0" w:rsidRDefault="004857E0" w:rsidP="007025D5">
            <w:pPr>
              <w:pStyle w:val="Tabletext"/>
              <w:rPr>
                <w:lang w:eastAsia="en-GB"/>
              </w:rPr>
            </w:pPr>
            <w:r w:rsidRPr="004857E0">
              <w:rPr>
                <w:lang w:eastAsia="en-GB"/>
              </w:rPr>
              <w:lastRenderedPageBreak/>
              <w:t>Panama</w:t>
            </w:r>
          </w:p>
        </w:tc>
        <w:tc>
          <w:tcPr>
            <w:tcW w:w="1900" w:type="dxa"/>
            <w:tcBorders>
              <w:top w:val="nil"/>
              <w:left w:val="single" w:sz="4" w:space="0" w:color="auto"/>
              <w:bottom w:val="nil"/>
              <w:right w:val="single" w:sz="4" w:space="0" w:color="auto"/>
            </w:tcBorders>
            <w:shd w:val="clear" w:color="000000" w:fill="FFFFFF"/>
            <w:noWrap/>
            <w:vAlign w:val="bottom"/>
            <w:hideMark/>
          </w:tcPr>
          <w:p w14:paraId="7E28899C" w14:textId="7E7DC98B" w:rsidR="004857E0" w:rsidRPr="004857E0" w:rsidRDefault="004857E0" w:rsidP="007025D5">
            <w:pPr>
              <w:pStyle w:val="Tabletext"/>
              <w:jc w:val="center"/>
              <w:rPr>
                <w:lang w:eastAsia="en-GB"/>
              </w:rPr>
            </w:pPr>
            <w:r w:rsidRPr="004857E0">
              <w:rPr>
                <w:lang w:eastAsia="en-GB"/>
              </w:rPr>
              <w:t>1/4</w:t>
            </w:r>
          </w:p>
        </w:tc>
      </w:tr>
      <w:tr w:rsidR="004857E0" w:rsidRPr="004857E0" w14:paraId="278674FD"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10A0887C" w14:textId="6C25A13E" w:rsidR="004857E0" w:rsidRPr="004857E0" w:rsidRDefault="004857E0" w:rsidP="007025D5">
            <w:pPr>
              <w:pStyle w:val="Tabletext"/>
              <w:rPr>
                <w:lang w:eastAsia="en-GB"/>
              </w:rPr>
            </w:pPr>
            <w:r w:rsidRPr="004857E0">
              <w:rPr>
                <w:lang w:eastAsia="en-GB"/>
              </w:rPr>
              <w:t>Papua New Guinea</w:t>
            </w:r>
          </w:p>
        </w:tc>
        <w:tc>
          <w:tcPr>
            <w:tcW w:w="1900" w:type="dxa"/>
            <w:tcBorders>
              <w:top w:val="nil"/>
              <w:left w:val="single" w:sz="4" w:space="0" w:color="auto"/>
              <w:bottom w:val="nil"/>
              <w:right w:val="single" w:sz="4" w:space="0" w:color="auto"/>
            </w:tcBorders>
            <w:shd w:val="clear" w:color="000000" w:fill="FFFFFF"/>
            <w:vAlign w:val="bottom"/>
            <w:hideMark/>
          </w:tcPr>
          <w:p w14:paraId="79A0C3DA" w14:textId="1FB2C98E" w:rsidR="004857E0" w:rsidRPr="004857E0" w:rsidRDefault="004857E0" w:rsidP="007025D5">
            <w:pPr>
              <w:pStyle w:val="Tabletext"/>
              <w:jc w:val="center"/>
              <w:rPr>
                <w:lang w:eastAsia="en-GB"/>
              </w:rPr>
            </w:pPr>
            <w:r w:rsidRPr="004857E0">
              <w:rPr>
                <w:lang w:eastAsia="en-GB"/>
              </w:rPr>
              <w:t>1/2</w:t>
            </w:r>
          </w:p>
        </w:tc>
      </w:tr>
      <w:tr w:rsidR="004857E0" w:rsidRPr="004857E0" w14:paraId="25636373"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6C42CBE0" w14:textId="77777777" w:rsidR="004857E0" w:rsidRPr="004857E0" w:rsidRDefault="004857E0" w:rsidP="007025D5">
            <w:pPr>
              <w:pStyle w:val="Tabletext"/>
              <w:rPr>
                <w:lang w:eastAsia="en-GB"/>
              </w:rPr>
            </w:pPr>
            <w:r w:rsidRPr="004857E0">
              <w:rPr>
                <w:lang w:eastAsia="en-GB"/>
              </w:rPr>
              <w:t>Paraguay</w:t>
            </w:r>
          </w:p>
        </w:tc>
        <w:tc>
          <w:tcPr>
            <w:tcW w:w="1900" w:type="dxa"/>
            <w:tcBorders>
              <w:top w:val="nil"/>
              <w:left w:val="single" w:sz="4" w:space="0" w:color="auto"/>
              <w:bottom w:val="nil"/>
              <w:right w:val="single" w:sz="4" w:space="0" w:color="auto"/>
            </w:tcBorders>
            <w:shd w:val="clear" w:color="000000" w:fill="FFFFFF"/>
            <w:noWrap/>
            <w:vAlign w:val="bottom"/>
            <w:hideMark/>
          </w:tcPr>
          <w:p w14:paraId="59943288" w14:textId="5C03853F" w:rsidR="004857E0" w:rsidRPr="004857E0" w:rsidRDefault="004857E0" w:rsidP="007025D5">
            <w:pPr>
              <w:pStyle w:val="Tabletext"/>
              <w:jc w:val="center"/>
              <w:rPr>
                <w:lang w:eastAsia="en-GB"/>
              </w:rPr>
            </w:pPr>
            <w:r w:rsidRPr="004857E0">
              <w:rPr>
                <w:lang w:eastAsia="en-GB"/>
              </w:rPr>
              <w:t>1/2</w:t>
            </w:r>
          </w:p>
        </w:tc>
      </w:tr>
      <w:tr w:rsidR="004857E0" w:rsidRPr="004857E0" w14:paraId="4FFCE90A"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70EAF6A9" w14:textId="77777777" w:rsidR="004857E0" w:rsidRPr="004857E0" w:rsidRDefault="004857E0" w:rsidP="007025D5">
            <w:pPr>
              <w:pStyle w:val="Tabletext"/>
              <w:rPr>
                <w:lang w:eastAsia="en-GB"/>
              </w:rPr>
            </w:pPr>
            <w:r w:rsidRPr="004857E0">
              <w:rPr>
                <w:lang w:eastAsia="en-GB"/>
              </w:rPr>
              <w:t>Peru</w:t>
            </w:r>
          </w:p>
        </w:tc>
        <w:tc>
          <w:tcPr>
            <w:tcW w:w="1900" w:type="dxa"/>
            <w:tcBorders>
              <w:top w:val="nil"/>
              <w:left w:val="single" w:sz="4" w:space="0" w:color="auto"/>
              <w:bottom w:val="nil"/>
              <w:right w:val="single" w:sz="4" w:space="0" w:color="auto"/>
            </w:tcBorders>
            <w:shd w:val="clear" w:color="000000" w:fill="FFFFFF"/>
            <w:noWrap/>
            <w:vAlign w:val="bottom"/>
            <w:hideMark/>
          </w:tcPr>
          <w:p w14:paraId="0105A0F8" w14:textId="5908E880" w:rsidR="004857E0" w:rsidRPr="004857E0" w:rsidRDefault="004857E0" w:rsidP="007025D5">
            <w:pPr>
              <w:pStyle w:val="Tabletext"/>
              <w:jc w:val="center"/>
              <w:rPr>
                <w:lang w:eastAsia="en-GB"/>
              </w:rPr>
            </w:pPr>
            <w:r w:rsidRPr="004857E0">
              <w:rPr>
                <w:lang w:eastAsia="en-GB"/>
              </w:rPr>
              <w:t>1/4</w:t>
            </w:r>
          </w:p>
        </w:tc>
      </w:tr>
      <w:tr w:rsidR="004857E0" w:rsidRPr="004857E0" w14:paraId="5D98341B"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3484FF26" w14:textId="77777777" w:rsidR="004857E0" w:rsidRPr="004857E0" w:rsidRDefault="004857E0" w:rsidP="007025D5">
            <w:pPr>
              <w:pStyle w:val="Tabletext"/>
              <w:rPr>
                <w:lang w:eastAsia="en-GB"/>
              </w:rPr>
            </w:pPr>
            <w:r w:rsidRPr="004857E0">
              <w:rPr>
                <w:lang w:eastAsia="en-GB"/>
              </w:rPr>
              <w:t>Philippines</w:t>
            </w:r>
          </w:p>
        </w:tc>
        <w:tc>
          <w:tcPr>
            <w:tcW w:w="1900" w:type="dxa"/>
            <w:tcBorders>
              <w:top w:val="nil"/>
              <w:left w:val="single" w:sz="4" w:space="0" w:color="auto"/>
              <w:bottom w:val="nil"/>
              <w:right w:val="single" w:sz="4" w:space="0" w:color="auto"/>
            </w:tcBorders>
            <w:shd w:val="clear" w:color="000000" w:fill="FFFFFF"/>
            <w:noWrap/>
            <w:vAlign w:val="bottom"/>
            <w:hideMark/>
          </w:tcPr>
          <w:p w14:paraId="6D3D23ED" w14:textId="4E299DA0" w:rsidR="004857E0" w:rsidRPr="004857E0" w:rsidRDefault="004857E0" w:rsidP="007025D5">
            <w:pPr>
              <w:pStyle w:val="Tabletext"/>
              <w:jc w:val="center"/>
              <w:rPr>
                <w:lang w:eastAsia="en-GB"/>
              </w:rPr>
            </w:pPr>
            <w:r w:rsidRPr="004857E0">
              <w:rPr>
                <w:lang w:eastAsia="en-GB"/>
              </w:rPr>
              <w:t>1/2</w:t>
            </w:r>
          </w:p>
        </w:tc>
      </w:tr>
      <w:tr w:rsidR="004857E0" w:rsidRPr="004857E0" w14:paraId="4699E287"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3313D723" w14:textId="77777777" w:rsidR="004857E0" w:rsidRPr="004857E0" w:rsidRDefault="004857E0" w:rsidP="007025D5">
            <w:pPr>
              <w:pStyle w:val="Tabletext"/>
              <w:rPr>
                <w:lang w:eastAsia="en-GB"/>
              </w:rPr>
            </w:pPr>
            <w:r w:rsidRPr="004857E0">
              <w:rPr>
                <w:lang w:eastAsia="en-GB"/>
              </w:rPr>
              <w:t>Poland</w:t>
            </w:r>
          </w:p>
        </w:tc>
        <w:tc>
          <w:tcPr>
            <w:tcW w:w="1900" w:type="dxa"/>
            <w:tcBorders>
              <w:top w:val="nil"/>
              <w:left w:val="single" w:sz="4" w:space="0" w:color="auto"/>
              <w:bottom w:val="nil"/>
              <w:right w:val="single" w:sz="4" w:space="0" w:color="auto"/>
            </w:tcBorders>
            <w:shd w:val="clear" w:color="000000" w:fill="FFFFFF"/>
            <w:noWrap/>
            <w:vAlign w:val="bottom"/>
            <w:hideMark/>
          </w:tcPr>
          <w:p w14:paraId="1B311FB3" w14:textId="2D90DF97" w:rsidR="004857E0" w:rsidRPr="004857E0" w:rsidRDefault="004857E0" w:rsidP="007025D5">
            <w:pPr>
              <w:pStyle w:val="Tabletext"/>
              <w:jc w:val="center"/>
              <w:rPr>
                <w:lang w:eastAsia="en-GB"/>
              </w:rPr>
            </w:pPr>
            <w:r w:rsidRPr="004857E0">
              <w:rPr>
                <w:lang w:eastAsia="en-GB"/>
              </w:rPr>
              <w:t>1</w:t>
            </w:r>
          </w:p>
        </w:tc>
      </w:tr>
      <w:tr w:rsidR="004857E0" w:rsidRPr="004857E0" w14:paraId="4B7E96D8"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18944058" w14:textId="77777777" w:rsidR="004857E0" w:rsidRPr="004857E0" w:rsidRDefault="004857E0" w:rsidP="007025D5">
            <w:pPr>
              <w:pStyle w:val="Tabletext"/>
              <w:rPr>
                <w:lang w:eastAsia="en-GB"/>
              </w:rPr>
            </w:pPr>
            <w:r w:rsidRPr="004857E0">
              <w:rPr>
                <w:lang w:eastAsia="en-GB"/>
              </w:rPr>
              <w:t>Portugal</w:t>
            </w:r>
          </w:p>
        </w:tc>
        <w:tc>
          <w:tcPr>
            <w:tcW w:w="1900" w:type="dxa"/>
            <w:tcBorders>
              <w:top w:val="nil"/>
              <w:left w:val="single" w:sz="4" w:space="0" w:color="auto"/>
              <w:bottom w:val="nil"/>
              <w:right w:val="single" w:sz="4" w:space="0" w:color="auto"/>
            </w:tcBorders>
            <w:shd w:val="clear" w:color="000000" w:fill="FFFFFF"/>
            <w:noWrap/>
            <w:vAlign w:val="bottom"/>
            <w:hideMark/>
          </w:tcPr>
          <w:p w14:paraId="0A7527A5" w14:textId="29DE5CE1" w:rsidR="004857E0" w:rsidRPr="004857E0" w:rsidRDefault="004857E0" w:rsidP="007025D5">
            <w:pPr>
              <w:pStyle w:val="Tabletext"/>
              <w:jc w:val="center"/>
              <w:rPr>
                <w:lang w:eastAsia="en-GB"/>
              </w:rPr>
            </w:pPr>
            <w:r w:rsidRPr="004857E0">
              <w:rPr>
                <w:lang w:eastAsia="en-GB"/>
              </w:rPr>
              <w:t>1</w:t>
            </w:r>
          </w:p>
        </w:tc>
      </w:tr>
      <w:tr w:rsidR="004857E0" w:rsidRPr="004857E0" w14:paraId="15A8396F"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26DB542" w14:textId="77777777" w:rsidR="004857E0" w:rsidRPr="004857E0" w:rsidRDefault="004857E0" w:rsidP="007025D5">
            <w:pPr>
              <w:pStyle w:val="Tabletext"/>
              <w:rPr>
                <w:lang w:eastAsia="en-GB"/>
              </w:rPr>
            </w:pPr>
            <w:r w:rsidRPr="004857E0">
              <w:rPr>
                <w:lang w:eastAsia="en-GB"/>
              </w:rPr>
              <w:t>Qatar</w:t>
            </w:r>
          </w:p>
        </w:tc>
        <w:tc>
          <w:tcPr>
            <w:tcW w:w="1900" w:type="dxa"/>
            <w:tcBorders>
              <w:top w:val="nil"/>
              <w:left w:val="single" w:sz="4" w:space="0" w:color="auto"/>
              <w:bottom w:val="nil"/>
              <w:right w:val="single" w:sz="4" w:space="0" w:color="auto"/>
            </w:tcBorders>
            <w:shd w:val="clear" w:color="000000" w:fill="FFFFFF"/>
            <w:noWrap/>
            <w:vAlign w:val="bottom"/>
            <w:hideMark/>
          </w:tcPr>
          <w:p w14:paraId="55CF882E" w14:textId="529DDFFB" w:rsidR="004857E0" w:rsidRPr="004857E0" w:rsidRDefault="004857E0" w:rsidP="007025D5">
            <w:pPr>
              <w:pStyle w:val="Tabletext"/>
              <w:jc w:val="center"/>
              <w:rPr>
                <w:lang w:eastAsia="en-GB"/>
              </w:rPr>
            </w:pPr>
            <w:r w:rsidRPr="004857E0">
              <w:rPr>
                <w:lang w:eastAsia="en-GB"/>
              </w:rPr>
              <w:t>2</w:t>
            </w:r>
          </w:p>
        </w:tc>
      </w:tr>
      <w:tr w:rsidR="004857E0" w:rsidRPr="004857E0" w14:paraId="41EA1787"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71B0204D" w14:textId="77777777" w:rsidR="004857E0" w:rsidRPr="004857E0" w:rsidRDefault="004857E0" w:rsidP="007025D5">
            <w:pPr>
              <w:pStyle w:val="Tabletext"/>
              <w:rPr>
                <w:lang w:eastAsia="en-GB"/>
              </w:rPr>
            </w:pPr>
            <w:r w:rsidRPr="004857E0">
              <w:rPr>
                <w:lang w:eastAsia="en-GB"/>
              </w:rPr>
              <w:t>Romania</w:t>
            </w:r>
          </w:p>
        </w:tc>
        <w:tc>
          <w:tcPr>
            <w:tcW w:w="1900" w:type="dxa"/>
            <w:tcBorders>
              <w:top w:val="nil"/>
              <w:left w:val="single" w:sz="4" w:space="0" w:color="auto"/>
              <w:bottom w:val="nil"/>
              <w:right w:val="single" w:sz="4" w:space="0" w:color="auto"/>
            </w:tcBorders>
            <w:shd w:val="clear" w:color="000000" w:fill="FFFFFF"/>
            <w:noWrap/>
            <w:vAlign w:val="bottom"/>
            <w:hideMark/>
          </w:tcPr>
          <w:p w14:paraId="0CD42708" w14:textId="0DA67B86" w:rsidR="004857E0" w:rsidRPr="004857E0" w:rsidRDefault="004857E0" w:rsidP="007025D5">
            <w:pPr>
              <w:pStyle w:val="Tabletext"/>
              <w:jc w:val="center"/>
              <w:rPr>
                <w:lang w:eastAsia="en-GB"/>
              </w:rPr>
            </w:pPr>
            <w:r w:rsidRPr="004857E0">
              <w:rPr>
                <w:lang w:eastAsia="en-GB"/>
              </w:rPr>
              <w:t>1</w:t>
            </w:r>
          </w:p>
        </w:tc>
      </w:tr>
      <w:tr w:rsidR="004857E0" w:rsidRPr="004857E0" w14:paraId="778BD323"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C9563AB" w14:textId="77777777" w:rsidR="004857E0" w:rsidRPr="004857E0" w:rsidRDefault="004857E0" w:rsidP="007025D5">
            <w:pPr>
              <w:pStyle w:val="Tabletext"/>
              <w:rPr>
                <w:lang w:eastAsia="en-GB"/>
              </w:rPr>
            </w:pPr>
            <w:r w:rsidRPr="004857E0">
              <w:rPr>
                <w:lang w:eastAsia="en-GB"/>
              </w:rPr>
              <w:t>Russian Federation</w:t>
            </w:r>
          </w:p>
        </w:tc>
        <w:tc>
          <w:tcPr>
            <w:tcW w:w="1900" w:type="dxa"/>
            <w:tcBorders>
              <w:top w:val="nil"/>
              <w:left w:val="single" w:sz="4" w:space="0" w:color="auto"/>
              <w:bottom w:val="nil"/>
              <w:right w:val="single" w:sz="4" w:space="0" w:color="auto"/>
            </w:tcBorders>
            <w:shd w:val="clear" w:color="000000" w:fill="FFFFFF"/>
            <w:noWrap/>
            <w:vAlign w:val="bottom"/>
            <w:hideMark/>
          </w:tcPr>
          <w:p w14:paraId="1A1D77DB" w14:textId="46DD8744" w:rsidR="004857E0" w:rsidRPr="004857E0" w:rsidRDefault="004857E0" w:rsidP="007025D5">
            <w:pPr>
              <w:pStyle w:val="Tabletext"/>
              <w:jc w:val="center"/>
              <w:rPr>
                <w:lang w:eastAsia="en-GB"/>
              </w:rPr>
            </w:pPr>
            <w:r w:rsidRPr="004857E0">
              <w:rPr>
                <w:lang w:eastAsia="en-GB"/>
              </w:rPr>
              <w:t>15</w:t>
            </w:r>
          </w:p>
        </w:tc>
      </w:tr>
      <w:tr w:rsidR="004857E0" w:rsidRPr="004857E0" w14:paraId="5660C75A"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A2FE9F7" w14:textId="636D9BA0" w:rsidR="004857E0" w:rsidRPr="004857E0" w:rsidRDefault="004857E0" w:rsidP="007025D5">
            <w:pPr>
              <w:pStyle w:val="Tabletext"/>
              <w:rPr>
                <w:lang w:eastAsia="en-GB"/>
              </w:rPr>
            </w:pPr>
            <w:r w:rsidRPr="004857E0">
              <w:rPr>
                <w:lang w:eastAsia="en-GB"/>
              </w:rPr>
              <w:t>Rwanda</w:t>
            </w:r>
          </w:p>
        </w:tc>
        <w:tc>
          <w:tcPr>
            <w:tcW w:w="1900" w:type="dxa"/>
            <w:tcBorders>
              <w:top w:val="nil"/>
              <w:left w:val="single" w:sz="4" w:space="0" w:color="auto"/>
              <w:bottom w:val="nil"/>
              <w:right w:val="single" w:sz="4" w:space="0" w:color="auto"/>
            </w:tcBorders>
            <w:shd w:val="clear" w:color="000000" w:fill="FFFFFF"/>
            <w:noWrap/>
            <w:vAlign w:val="bottom"/>
            <w:hideMark/>
          </w:tcPr>
          <w:p w14:paraId="2B2F7323" w14:textId="46AA91C6" w:rsidR="004857E0" w:rsidRPr="004857E0" w:rsidRDefault="004857E0" w:rsidP="007025D5">
            <w:pPr>
              <w:pStyle w:val="Tabletext"/>
              <w:jc w:val="center"/>
              <w:rPr>
                <w:lang w:eastAsia="en-GB"/>
              </w:rPr>
            </w:pPr>
            <w:r w:rsidRPr="004857E0">
              <w:rPr>
                <w:lang w:eastAsia="en-GB"/>
              </w:rPr>
              <w:t>1/4</w:t>
            </w:r>
          </w:p>
        </w:tc>
      </w:tr>
      <w:tr w:rsidR="004857E0" w:rsidRPr="004857E0" w14:paraId="757957E1"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9CCA607" w14:textId="77777777" w:rsidR="004857E0" w:rsidRPr="004857E0" w:rsidRDefault="004857E0" w:rsidP="007025D5">
            <w:pPr>
              <w:pStyle w:val="Tabletext"/>
              <w:rPr>
                <w:lang w:eastAsia="en-GB"/>
              </w:rPr>
            </w:pPr>
            <w:r w:rsidRPr="004857E0">
              <w:rPr>
                <w:lang w:eastAsia="en-GB"/>
              </w:rPr>
              <w:t>Saint Kitts and Nevis</w:t>
            </w:r>
          </w:p>
        </w:tc>
        <w:tc>
          <w:tcPr>
            <w:tcW w:w="1900" w:type="dxa"/>
            <w:tcBorders>
              <w:top w:val="nil"/>
              <w:left w:val="single" w:sz="4" w:space="0" w:color="auto"/>
              <w:bottom w:val="nil"/>
              <w:right w:val="single" w:sz="4" w:space="0" w:color="auto"/>
            </w:tcBorders>
            <w:shd w:val="clear" w:color="000000" w:fill="FFFFFF"/>
            <w:noWrap/>
            <w:vAlign w:val="bottom"/>
            <w:hideMark/>
          </w:tcPr>
          <w:p w14:paraId="1B0A4EAF" w14:textId="18A72AFB" w:rsidR="004857E0" w:rsidRPr="004857E0" w:rsidRDefault="004857E0" w:rsidP="007025D5">
            <w:pPr>
              <w:pStyle w:val="Tabletext"/>
              <w:jc w:val="center"/>
              <w:rPr>
                <w:lang w:eastAsia="en-GB"/>
              </w:rPr>
            </w:pPr>
            <w:r w:rsidRPr="004857E0">
              <w:rPr>
                <w:lang w:eastAsia="en-GB"/>
              </w:rPr>
              <w:t>1/16</w:t>
            </w:r>
          </w:p>
        </w:tc>
      </w:tr>
      <w:tr w:rsidR="004857E0" w:rsidRPr="004857E0" w14:paraId="5283CB39"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B2D3771" w14:textId="77777777" w:rsidR="004857E0" w:rsidRPr="004857E0" w:rsidRDefault="004857E0" w:rsidP="007025D5">
            <w:pPr>
              <w:pStyle w:val="Tabletext"/>
              <w:rPr>
                <w:lang w:eastAsia="en-GB"/>
              </w:rPr>
            </w:pPr>
            <w:r w:rsidRPr="004857E0">
              <w:rPr>
                <w:lang w:eastAsia="en-GB"/>
              </w:rPr>
              <w:t>Saint Lucia</w:t>
            </w:r>
          </w:p>
        </w:tc>
        <w:tc>
          <w:tcPr>
            <w:tcW w:w="1900" w:type="dxa"/>
            <w:tcBorders>
              <w:top w:val="nil"/>
              <w:left w:val="single" w:sz="4" w:space="0" w:color="auto"/>
              <w:bottom w:val="nil"/>
              <w:right w:val="single" w:sz="4" w:space="0" w:color="auto"/>
            </w:tcBorders>
            <w:shd w:val="clear" w:color="000000" w:fill="FFFFFF"/>
            <w:noWrap/>
            <w:vAlign w:val="bottom"/>
            <w:hideMark/>
          </w:tcPr>
          <w:p w14:paraId="20B4C8B0" w14:textId="60288EB0" w:rsidR="004857E0" w:rsidRPr="004857E0" w:rsidRDefault="004857E0" w:rsidP="007025D5">
            <w:pPr>
              <w:pStyle w:val="Tabletext"/>
              <w:jc w:val="center"/>
              <w:rPr>
                <w:lang w:eastAsia="en-GB"/>
              </w:rPr>
            </w:pPr>
            <w:r w:rsidRPr="004857E0">
              <w:rPr>
                <w:lang w:eastAsia="en-GB"/>
              </w:rPr>
              <w:t>1/16</w:t>
            </w:r>
          </w:p>
        </w:tc>
      </w:tr>
      <w:tr w:rsidR="004857E0" w:rsidRPr="004857E0" w14:paraId="056ECF75"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251827E5" w14:textId="77777777" w:rsidR="004857E0" w:rsidRPr="004857E0" w:rsidRDefault="004857E0" w:rsidP="007025D5">
            <w:pPr>
              <w:pStyle w:val="Tabletext"/>
              <w:rPr>
                <w:lang w:eastAsia="en-GB"/>
              </w:rPr>
            </w:pPr>
            <w:r w:rsidRPr="004857E0">
              <w:rPr>
                <w:lang w:eastAsia="en-GB"/>
              </w:rPr>
              <w:t>Saint Vincent and the Grenadines</w:t>
            </w:r>
          </w:p>
        </w:tc>
        <w:tc>
          <w:tcPr>
            <w:tcW w:w="1900" w:type="dxa"/>
            <w:tcBorders>
              <w:top w:val="nil"/>
              <w:left w:val="single" w:sz="4" w:space="0" w:color="auto"/>
              <w:bottom w:val="nil"/>
              <w:right w:val="single" w:sz="4" w:space="0" w:color="auto"/>
            </w:tcBorders>
            <w:shd w:val="clear" w:color="000000" w:fill="FFFFFF"/>
            <w:noWrap/>
            <w:vAlign w:val="bottom"/>
            <w:hideMark/>
          </w:tcPr>
          <w:p w14:paraId="2ABF3C08" w14:textId="0EF6D5ED" w:rsidR="004857E0" w:rsidRPr="004857E0" w:rsidRDefault="004857E0" w:rsidP="007025D5">
            <w:pPr>
              <w:pStyle w:val="Tabletext"/>
              <w:jc w:val="center"/>
              <w:rPr>
                <w:lang w:eastAsia="en-GB"/>
              </w:rPr>
            </w:pPr>
            <w:r w:rsidRPr="004857E0">
              <w:rPr>
                <w:lang w:eastAsia="en-GB"/>
              </w:rPr>
              <w:t>1/16</w:t>
            </w:r>
          </w:p>
        </w:tc>
      </w:tr>
      <w:tr w:rsidR="004857E0" w:rsidRPr="004857E0" w14:paraId="0B22D631"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7197919" w14:textId="77777777" w:rsidR="004857E0" w:rsidRPr="004857E0" w:rsidRDefault="004857E0" w:rsidP="007025D5">
            <w:pPr>
              <w:pStyle w:val="Tabletext"/>
              <w:rPr>
                <w:lang w:eastAsia="en-GB"/>
              </w:rPr>
            </w:pPr>
            <w:r w:rsidRPr="004857E0">
              <w:rPr>
                <w:lang w:eastAsia="en-GB"/>
              </w:rPr>
              <w:t>Samoa</w:t>
            </w:r>
          </w:p>
        </w:tc>
        <w:tc>
          <w:tcPr>
            <w:tcW w:w="1900" w:type="dxa"/>
            <w:tcBorders>
              <w:top w:val="nil"/>
              <w:left w:val="single" w:sz="4" w:space="0" w:color="auto"/>
              <w:bottom w:val="nil"/>
              <w:right w:val="single" w:sz="4" w:space="0" w:color="auto"/>
            </w:tcBorders>
            <w:shd w:val="clear" w:color="000000" w:fill="FFFFFF"/>
            <w:noWrap/>
            <w:vAlign w:val="bottom"/>
            <w:hideMark/>
          </w:tcPr>
          <w:p w14:paraId="77477365" w14:textId="2E798C5D" w:rsidR="004857E0" w:rsidRPr="004857E0" w:rsidRDefault="004857E0" w:rsidP="007025D5">
            <w:pPr>
              <w:pStyle w:val="Tabletext"/>
              <w:jc w:val="center"/>
              <w:rPr>
                <w:lang w:eastAsia="en-GB"/>
              </w:rPr>
            </w:pPr>
            <w:r w:rsidRPr="004857E0">
              <w:rPr>
                <w:lang w:eastAsia="en-GB"/>
              </w:rPr>
              <w:t>1/16</w:t>
            </w:r>
          </w:p>
        </w:tc>
      </w:tr>
      <w:tr w:rsidR="004857E0" w:rsidRPr="004857E0" w14:paraId="74EF4FBE"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27FC9E0" w14:textId="77777777" w:rsidR="004857E0" w:rsidRPr="004857E0" w:rsidRDefault="004857E0" w:rsidP="007025D5">
            <w:pPr>
              <w:pStyle w:val="Tabletext"/>
              <w:rPr>
                <w:lang w:eastAsia="en-GB"/>
              </w:rPr>
            </w:pPr>
            <w:r w:rsidRPr="004857E0">
              <w:rPr>
                <w:lang w:eastAsia="en-GB"/>
              </w:rPr>
              <w:t>San Marino</w:t>
            </w:r>
          </w:p>
        </w:tc>
        <w:tc>
          <w:tcPr>
            <w:tcW w:w="1900" w:type="dxa"/>
            <w:tcBorders>
              <w:top w:val="nil"/>
              <w:left w:val="single" w:sz="4" w:space="0" w:color="auto"/>
              <w:bottom w:val="nil"/>
              <w:right w:val="single" w:sz="4" w:space="0" w:color="auto"/>
            </w:tcBorders>
            <w:shd w:val="clear" w:color="000000" w:fill="FFFFFF"/>
            <w:noWrap/>
            <w:vAlign w:val="bottom"/>
            <w:hideMark/>
          </w:tcPr>
          <w:p w14:paraId="0B70796F" w14:textId="16C9731E" w:rsidR="004857E0" w:rsidRPr="004857E0" w:rsidRDefault="004857E0" w:rsidP="007025D5">
            <w:pPr>
              <w:pStyle w:val="Tabletext"/>
              <w:jc w:val="center"/>
              <w:rPr>
                <w:lang w:eastAsia="en-GB"/>
              </w:rPr>
            </w:pPr>
            <w:r w:rsidRPr="004857E0">
              <w:rPr>
                <w:lang w:eastAsia="en-GB"/>
              </w:rPr>
              <w:t>1/4</w:t>
            </w:r>
          </w:p>
        </w:tc>
      </w:tr>
      <w:tr w:rsidR="004857E0" w:rsidRPr="004857E0" w14:paraId="2DED86FD"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1BD3239D" w14:textId="51B81593" w:rsidR="004857E0" w:rsidRPr="004857E0" w:rsidRDefault="004857E0" w:rsidP="007025D5">
            <w:pPr>
              <w:pStyle w:val="Tabletext"/>
              <w:rPr>
                <w:lang w:eastAsia="en-GB"/>
              </w:rPr>
            </w:pPr>
            <w:r w:rsidRPr="004857E0">
              <w:rPr>
                <w:lang w:eastAsia="en-GB"/>
              </w:rPr>
              <w:t>Sao Tome and Principe</w:t>
            </w:r>
          </w:p>
        </w:tc>
        <w:tc>
          <w:tcPr>
            <w:tcW w:w="1900" w:type="dxa"/>
            <w:tcBorders>
              <w:top w:val="nil"/>
              <w:left w:val="single" w:sz="4" w:space="0" w:color="auto"/>
              <w:bottom w:val="nil"/>
              <w:right w:val="single" w:sz="4" w:space="0" w:color="auto"/>
            </w:tcBorders>
            <w:shd w:val="clear" w:color="000000" w:fill="FFFFFF"/>
            <w:noWrap/>
            <w:vAlign w:val="bottom"/>
            <w:hideMark/>
          </w:tcPr>
          <w:p w14:paraId="0E09ED9E" w14:textId="4951FD6C" w:rsidR="004857E0" w:rsidRPr="004857E0" w:rsidRDefault="004857E0" w:rsidP="007025D5">
            <w:pPr>
              <w:pStyle w:val="Tabletext"/>
              <w:jc w:val="center"/>
              <w:rPr>
                <w:lang w:eastAsia="en-GB"/>
              </w:rPr>
            </w:pPr>
            <w:r w:rsidRPr="004857E0">
              <w:rPr>
                <w:lang w:eastAsia="en-GB"/>
              </w:rPr>
              <w:t>1/16</w:t>
            </w:r>
          </w:p>
        </w:tc>
      </w:tr>
      <w:tr w:rsidR="004857E0" w:rsidRPr="004857E0" w14:paraId="77D27075"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C60616B" w14:textId="26FB1E7F" w:rsidR="004857E0" w:rsidRPr="004857E0" w:rsidRDefault="004857E0" w:rsidP="007025D5">
            <w:pPr>
              <w:pStyle w:val="Tabletext"/>
              <w:rPr>
                <w:lang w:eastAsia="en-GB"/>
              </w:rPr>
            </w:pPr>
            <w:r w:rsidRPr="004857E0">
              <w:rPr>
                <w:lang w:eastAsia="en-GB"/>
              </w:rPr>
              <w:t>Saudi Arabia</w:t>
            </w:r>
          </w:p>
        </w:tc>
        <w:tc>
          <w:tcPr>
            <w:tcW w:w="1900" w:type="dxa"/>
            <w:tcBorders>
              <w:top w:val="nil"/>
              <w:left w:val="single" w:sz="4" w:space="0" w:color="auto"/>
              <w:bottom w:val="nil"/>
              <w:right w:val="single" w:sz="4" w:space="0" w:color="auto"/>
            </w:tcBorders>
            <w:shd w:val="clear" w:color="000000" w:fill="FFFFFF"/>
            <w:noWrap/>
            <w:vAlign w:val="bottom"/>
            <w:hideMark/>
          </w:tcPr>
          <w:p w14:paraId="6886009D" w14:textId="6973E290" w:rsidR="004857E0" w:rsidRPr="004857E0" w:rsidRDefault="004857E0" w:rsidP="007025D5">
            <w:pPr>
              <w:pStyle w:val="Tabletext"/>
              <w:jc w:val="center"/>
              <w:rPr>
                <w:lang w:eastAsia="en-GB"/>
              </w:rPr>
            </w:pPr>
            <w:r w:rsidRPr="004857E0">
              <w:rPr>
                <w:lang w:eastAsia="en-GB"/>
              </w:rPr>
              <w:t>13</w:t>
            </w:r>
          </w:p>
        </w:tc>
      </w:tr>
      <w:tr w:rsidR="004857E0" w:rsidRPr="004857E0" w14:paraId="0F9F09E5"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F312825" w14:textId="77777777" w:rsidR="004857E0" w:rsidRPr="004857E0" w:rsidRDefault="004857E0" w:rsidP="007025D5">
            <w:pPr>
              <w:pStyle w:val="Tabletext"/>
              <w:rPr>
                <w:lang w:eastAsia="en-GB"/>
              </w:rPr>
            </w:pPr>
            <w:r w:rsidRPr="004857E0">
              <w:rPr>
                <w:lang w:eastAsia="en-GB"/>
              </w:rPr>
              <w:t>Senegal</w:t>
            </w:r>
          </w:p>
        </w:tc>
        <w:tc>
          <w:tcPr>
            <w:tcW w:w="1900" w:type="dxa"/>
            <w:tcBorders>
              <w:top w:val="nil"/>
              <w:left w:val="single" w:sz="4" w:space="0" w:color="auto"/>
              <w:bottom w:val="nil"/>
              <w:right w:val="single" w:sz="4" w:space="0" w:color="auto"/>
            </w:tcBorders>
            <w:shd w:val="clear" w:color="000000" w:fill="FFFFFF"/>
            <w:noWrap/>
            <w:vAlign w:val="bottom"/>
            <w:hideMark/>
          </w:tcPr>
          <w:p w14:paraId="7BDE0627" w14:textId="1DC78F59" w:rsidR="004857E0" w:rsidRPr="004857E0" w:rsidRDefault="004857E0" w:rsidP="007025D5">
            <w:pPr>
              <w:pStyle w:val="Tabletext"/>
              <w:jc w:val="center"/>
              <w:rPr>
                <w:lang w:eastAsia="en-GB"/>
              </w:rPr>
            </w:pPr>
            <w:r w:rsidRPr="004857E0">
              <w:rPr>
                <w:lang w:eastAsia="en-GB"/>
              </w:rPr>
              <w:t>1</w:t>
            </w:r>
          </w:p>
        </w:tc>
      </w:tr>
      <w:tr w:rsidR="004857E0" w:rsidRPr="004857E0" w14:paraId="0D1F20C5"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634B5641" w14:textId="77777777" w:rsidR="004857E0" w:rsidRPr="004857E0" w:rsidRDefault="004857E0" w:rsidP="007025D5">
            <w:pPr>
              <w:pStyle w:val="Tabletext"/>
              <w:rPr>
                <w:lang w:eastAsia="en-GB"/>
              </w:rPr>
            </w:pPr>
            <w:r w:rsidRPr="004857E0">
              <w:rPr>
                <w:lang w:eastAsia="en-GB"/>
              </w:rPr>
              <w:t>Serbia</w:t>
            </w:r>
          </w:p>
        </w:tc>
        <w:tc>
          <w:tcPr>
            <w:tcW w:w="1900" w:type="dxa"/>
            <w:tcBorders>
              <w:top w:val="nil"/>
              <w:left w:val="single" w:sz="4" w:space="0" w:color="auto"/>
              <w:bottom w:val="nil"/>
              <w:right w:val="single" w:sz="4" w:space="0" w:color="auto"/>
            </w:tcBorders>
            <w:shd w:val="clear" w:color="000000" w:fill="FFFFFF"/>
            <w:noWrap/>
            <w:vAlign w:val="bottom"/>
            <w:hideMark/>
          </w:tcPr>
          <w:p w14:paraId="5C38E111" w14:textId="3983F400" w:rsidR="004857E0" w:rsidRPr="004857E0" w:rsidRDefault="004857E0" w:rsidP="007025D5">
            <w:pPr>
              <w:pStyle w:val="Tabletext"/>
              <w:jc w:val="center"/>
              <w:rPr>
                <w:lang w:eastAsia="en-GB"/>
              </w:rPr>
            </w:pPr>
            <w:r w:rsidRPr="004857E0">
              <w:rPr>
                <w:lang w:eastAsia="en-GB"/>
              </w:rPr>
              <w:t>1/4</w:t>
            </w:r>
          </w:p>
        </w:tc>
      </w:tr>
      <w:tr w:rsidR="004857E0" w:rsidRPr="004857E0" w14:paraId="147EA4AC"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7E38E600" w14:textId="77777777" w:rsidR="004857E0" w:rsidRPr="004857E0" w:rsidRDefault="004857E0" w:rsidP="007025D5">
            <w:pPr>
              <w:pStyle w:val="Tabletext"/>
              <w:rPr>
                <w:lang w:eastAsia="en-GB"/>
              </w:rPr>
            </w:pPr>
            <w:r w:rsidRPr="004857E0">
              <w:rPr>
                <w:lang w:eastAsia="en-GB"/>
              </w:rPr>
              <w:t xml:space="preserve">Seychelles </w:t>
            </w:r>
          </w:p>
        </w:tc>
        <w:tc>
          <w:tcPr>
            <w:tcW w:w="1900" w:type="dxa"/>
            <w:tcBorders>
              <w:top w:val="nil"/>
              <w:left w:val="single" w:sz="4" w:space="0" w:color="auto"/>
              <w:bottom w:val="nil"/>
              <w:right w:val="single" w:sz="4" w:space="0" w:color="auto"/>
            </w:tcBorders>
            <w:shd w:val="clear" w:color="000000" w:fill="FFFFFF"/>
            <w:noWrap/>
            <w:vAlign w:val="bottom"/>
            <w:hideMark/>
          </w:tcPr>
          <w:p w14:paraId="67DC964B" w14:textId="16346FD5" w:rsidR="004857E0" w:rsidRPr="004857E0" w:rsidRDefault="004857E0" w:rsidP="007025D5">
            <w:pPr>
              <w:pStyle w:val="Tabletext"/>
              <w:jc w:val="center"/>
              <w:rPr>
                <w:lang w:eastAsia="en-GB"/>
              </w:rPr>
            </w:pPr>
            <w:r w:rsidRPr="004857E0">
              <w:rPr>
                <w:lang w:eastAsia="en-GB"/>
              </w:rPr>
              <w:t>1/16</w:t>
            </w:r>
          </w:p>
        </w:tc>
      </w:tr>
      <w:tr w:rsidR="004857E0" w:rsidRPr="004857E0" w14:paraId="38427F35"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98023C3" w14:textId="77777777" w:rsidR="004857E0" w:rsidRPr="004857E0" w:rsidRDefault="004857E0" w:rsidP="007025D5">
            <w:pPr>
              <w:pStyle w:val="Tabletext"/>
              <w:rPr>
                <w:lang w:eastAsia="en-GB"/>
              </w:rPr>
            </w:pPr>
            <w:r w:rsidRPr="004857E0">
              <w:rPr>
                <w:lang w:eastAsia="en-GB"/>
              </w:rPr>
              <w:t>Sierra Leone</w:t>
            </w:r>
          </w:p>
        </w:tc>
        <w:tc>
          <w:tcPr>
            <w:tcW w:w="1900" w:type="dxa"/>
            <w:tcBorders>
              <w:top w:val="nil"/>
              <w:left w:val="single" w:sz="4" w:space="0" w:color="auto"/>
              <w:bottom w:val="nil"/>
              <w:right w:val="single" w:sz="4" w:space="0" w:color="auto"/>
            </w:tcBorders>
            <w:shd w:val="clear" w:color="000000" w:fill="FFFFFF"/>
            <w:noWrap/>
            <w:vAlign w:val="bottom"/>
            <w:hideMark/>
          </w:tcPr>
          <w:p w14:paraId="23E8E268" w14:textId="0EECBC22" w:rsidR="004857E0" w:rsidRPr="004857E0" w:rsidRDefault="004857E0" w:rsidP="007025D5">
            <w:pPr>
              <w:pStyle w:val="Tabletext"/>
              <w:jc w:val="center"/>
              <w:rPr>
                <w:lang w:eastAsia="en-GB"/>
              </w:rPr>
            </w:pPr>
            <w:r w:rsidRPr="004857E0">
              <w:rPr>
                <w:lang w:eastAsia="en-GB"/>
              </w:rPr>
              <w:t>1/8</w:t>
            </w:r>
          </w:p>
        </w:tc>
      </w:tr>
      <w:tr w:rsidR="004857E0" w:rsidRPr="004857E0" w14:paraId="029B9786"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6A16DC68" w14:textId="77777777" w:rsidR="004857E0" w:rsidRPr="004857E0" w:rsidRDefault="004857E0" w:rsidP="007025D5">
            <w:pPr>
              <w:pStyle w:val="Tabletext"/>
              <w:rPr>
                <w:lang w:eastAsia="en-GB"/>
              </w:rPr>
            </w:pPr>
            <w:r w:rsidRPr="004857E0">
              <w:rPr>
                <w:lang w:eastAsia="en-GB"/>
              </w:rPr>
              <w:t>Singapore</w:t>
            </w:r>
          </w:p>
        </w:tc>
        <w:tc>
          <w:tcPr>
            <w:tcW w:w="1900" w:type="dxa"/>
            <w:tcBorders>
              <w:top w:val="nil"/>
              <w:left w:val="single" w:sz="4" w:space="0" w:color="auto"/>
              <w:bottom w:val="nil"/>
              <w:right w:val="single" w:sz="4" w:space="0" w:color="auto"/>
            </w:tcBorders>
            <w:shd w:val="clear" w:color="000000" w:fill="FFFFFF"/>
            <w:noWrap/>
            <w:vAlign w:val="bottom"/>
            <w:hideMark/>
          </w:tcPr>
          <w:p w14:paraId="0A127EEA" w14:textId="2AFA1309" w:rsidR="004857E0" w:rsidRPr="004857E0" w:rsidRDefault="004857E0" w:rsidP="007025D5">
            <w:pPr>
              <w:pStyle w:val="Tabletext"/>
              <w:jc w:val="center"/>
              <w:rPr>
                <w:lang w:eastAsia="en-GB"/>
              </w:rPr>
            </w:pPr>
            <w:r w:rsidRPr="004857E0">
              <w:rPr>
                <w:lang w:eastAsia="en-GB"/>
              </w:rPr>
              <w:t>1</w:t>
            </w:r>
          </w:p>
        </w:tc>
      </w:tr>
      <w:tr w:rsidR="004857E0" w:rsidRPr="004857E0" w14:paraId="197A6A4F"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2610B238" w14:textId="27A847C1" w:rsidR="004857E0" w:rsidRPr="004857E0" w:rsidRDefault="004857E0" w:rsidP="007025D5">
            <w:pPr>
              <w:pStyle w:val="Tabletext"/>
              <w:rPr>
                <w:lang w:eastAsia="en-GB"/>
              </w:rPr>
            </w:pPr>
            <w:r w:rsidRPr="004857E0">
              <w:rPr>
                <w:lang w:eastAsia="en-GB"/>
              </w:rPr>
              <w:t>Slovakia</w:t>
            </w:r>
          </w:p>
        </w:tc>
        <w:tc>
          <w:tcPr>
            <w:tcW w:w="1900" w:type="dxa"/>
            <w:tcBorders>
              <w:top w:val="nil"/>
              <w:left w:val="single" w:sz="4" w:space="0" w:color="auto"/>
              <w:bottom w:val="nil"/>
              <w:right w:val="single" w:sz="4" w:space="0" w:color="auto"/>
            </w:tcBorders>
            <w:shd w:val="clear" w:color="000000" w:fill="FFFFFF"/>
            <w:vAlign w:val="bottom"/>
            <w:hideMark/>
          </w:tcPr>
          <w:p w14:paraId="6991CD35" w14:textId="115A4D54" w:rsidR="004857E0" w:rsidRPr="004857E0" w:rsidRDefault="004857E0" w:rsidP="007025D5">
            <w:pPr>
              <w:pStyle w:val="Tabletext"/>
              <w:jc w:val="center"/>
              <w:rPr>
                <w:lang w:eastAsia="en-GB"/>
              </w:rPr>
            </w:pPr>
            <w:r w:rsidRPr="004857E0">
              <w:rPr>
                <w:lang w:eastAsia="en-GB"/>
              </w:rPr>
              <w:t>1/2</w:t>
            </w:r>
          </w:p>
        </w:tc>
      </w:tr>
      <w:tr w:rsidR="004857E0" w:rsidRPr="004857E0" w14:paraId="2C93177B"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84D1C70" w14:textId="77777777" w:rsidR="004857E0" w:rsidRPr="004857E0" w:rsidRDefault="004857E0" w:rsidP="007025D5">
            <w:pPr>
              <w:pStyle w:val="Tabletext"/>
              <w:rPr>
                <w:lang w:eastAsia="en-GB"/>
              </w:rPr>
            </w:pPr>
            <w:r w:rsidRPr="004857E0">
              <w:rPr>
                <w:lang w:eastAsia="en-GB"/>
              </w:rPr>
              <w:t>Slovenia</w:t>
            </w:r>
          </w:p>
        </w:tc>
        <w:tc>
          <w:tcPr>
            <w:tcW w:w="1900" w:type="dxa"/>
            <w:tcBorders>
              <w:top w:val="nil"/>
              <w:left w:val="single" w:sz="4" w:space="0" w:color="auto"/>
              <w:bottom w:val="nil"/>
              <w:right w:val="single" w:sz="4" w:space="0" w:color="auto"/>
            </w:tcBorders>
            <w:shd w:val="clear" w:color="000000" w:fill="FFFFFF"/>
            <w:vAlign w:val="bottom"/>
            <w:hideMark/>
          </w:tcPr>
          <w:p w14:paraId="1148AFF5" w14:textId="72623728" w:rsidR="004857E0" w:rsidRPr="004857E0" w:rsidRDefault="004857E0" w:rsidP="007025D5">
            <w:pPr>
              <w:pStyle w:val="Tabletext"/>
              <w:jc w:val="center"/>
              <w:rPr>
                <w:lang w:eastAsia="en-GB"/>
              </w:rPr>
            </w:pPr>
            <w:r w:rsidRPr="004857E0">
              <w:rPr>
                <w:lang w:eastAsia="en-GB"/>
              </w:rPr>
              <w:t>1/4</w:t>
            </w:r>
          </w:p>
        </w:tc>
      </w:tr>
      <w:tr w:rsidR="004857E0" w:rsidRPr="004857E0" w14:paraId="33E5FD5D"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21F89C7B" w14:textId="77777777" w:rsidR="004857E0" w:rsidRPr="004857E0" w:rsidRDefault="004857E0" w:rsidP="007025D5">
            <w:pPr>
              <w:pStyle w:val="Tabletext"/>
              <w:rPr>
                <w:lang w:eastAsia="en-GB"/>
              </w:rPr>
            </w:pPr>
            <w:r w:rsidRPr="004857E0">
              <w:rPr>
                <w:lang w:eastAsia="en-GB"/>
              </w:rPr>
              <w:t>Solomon Islands</w:t>
            </w:r>
          </w:p>
        </w:tc>
        <w:tc>
          <w:tcPr>
            <w:tcW w:w="1900" w:type="dxa"/>
            <w:tcBorders>
              <w:top w:val="nil"/>
              <w:left w:val="single" w:sz="4" w:space="0" w:color="auto"/>
              <w:bottom w:val="nil"/>
              <w:right w:val="single" w:sz="4" w:space="0" w:color="auto"/>
            </w:tcBorders>
            <w:shd w:val="clear" w:color="000000" w:fill="FFFFFF"/>
            <w:noWrap/>
            <w:vAlign w:val="bottom"/>
            <w:hideMark/>
          </w:tcPr>
          <w:p w14:paraId="5997E982" w14:textId="3CEAFA42" w:rsidR="004857E0" w:rsidRPr="004857E0" w:rsidRDefault="004857E0" w:rsidP="007025D5">
            <w:pPr>
              <w:pStyle w:val="Tabletext"/>
              <w:jc w:val="center"/>
              <w:rPr>
                <w:lang w:eastAsia="en-GB"/>
              </w:rPr>
            </w:pPr>
            <w:r w:rsidRPr="004857E0">
              <w:rPr>
                <w:lang w:eastAsia="en-GB"/>
              </w:rPr>
              <w:t>1/16</w:t>
            </w:r>
          </w:p>
        </w:tc>
      </w:tr>
      <w:tr w:rsidR="004857E0" w:rsidRPr="004857E0" w14:paraId="7E292EDA"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1935AA29" w14:textId="77777777" w:rsidR="004857E0" w:rsidRPr="004857E0" w:rsidRDefault="004857E0" w:rsidP="007025D5">
            <w:pPr>
              <w:pStyle w:val="Tabletext"/>
              <w:rPr>
                <w:lang w:eastAsia="en-GB"/>
              </w:rPr>
            </w:pPr>
            <w:r w:rsidRPr="004857E0">
              <w:rPr>
                <w:lang w:eastAsia="en-GB"/>
              </w:rPr>
              <w:t>Somalia</w:t>
            </w:r>
          </w:p>
        </w:tc>
        <w:tc>
          <w:tcPr>
            <w:tcW w:w="1900" w:type="dxa"/>
            <w:tcBorders>
              <w:top w:val="nil"/>
              <w:left w:val="single" w:sz="4" w:space="0" w:color="auto"/>
              <w:bottom w:val="nil"/>
              <w:right w:val="single" w:sz="4" w:space="0" w:color="auto"/>
            </w:tcBorders>
            <w:shd w:val="clear" w:color="000000" w:fill="FFFFFF"/>
            <w:noWrap/>
            <w:vAlign w:val="bottom"/>
            <w:hideMark/>
          </w:tcPr>
          <w:p w14:paraId="3ACDA469" w14:textId="1D8F9237" w:rsidR="004857E0" w:rsidRPr="004857E0" w:rsidRDefault="004857E0" w:rsidP="007025D5">
            <w:pPr>
              <w:pStyle w:val="Tabletext"/>
              <w:jc w:val="center"/>
              <w:rPr>
                <w:lang w:eastAsia="en-GB"/>
              </w:rPr>
            </w:pPr>
            <w:r w:rsidRPr="004857E0">
              <w:rPr>
                <w:lang w:eastAsia="en-GB"/>
              </w:rPr>
              <w:t>1/16</w:t>
            </w:r>
          </w:p>
        </w:tc>
      </w:tr>
      <w:tr w:rsidR="004857E0" w:rsidRPr="004857E0" w14:paraId="36DF2A93"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CF751D1" w14:textId="77777777" w:rsidR="004857E0" w:rsidRPr="004857E0" w:rsidRDefault="004857E0" w:rsidP="007025D5">
            <w:pPr>
              <w:pStyle w:val="Tabletext"/>
              <w:rPr>
                <w:lang w:eastAsia="en-GB"/>
              </w:rPr>
            </w:pPr>
            <w:r w:rsidRPr="004857E0">
              <w:rPr>
                <w:lang w:eastAsia="en-GB"/>
              </w:rPr>
              <w:t>South Africa</w:t>
            </w:r>
          </w:p>
        </w:tc>
        <w:tc>
          <w:tcPr>
            <w:tcW w:w="1900" w:type="dxa"/>
            <w:tcBorders>
              <w:top w:val="nil"/>
              <w:left w:val="single" w:sz="4" w:space="0" w:color="auto"/>
              <w:bottom w:val="nil"/>
              <w:right w:val="single" w:sz="4" w:space="0" w:color="auto"/>
            </w:tcBorders>
            <w:shd w:val="clear" w:color="000000" w:fill="FFFFFF"/>
            <w:noWrap/>
            <w:vAlign w:val="bottom"/>
            <w:hideMark/>
          </w:tcPr>
          <w:p w14:paraId="070A72B4" w14:textId="27E91276" w:rsidR="004857E0" w:rsidRPr="004857E0" w:rsidRDefault="004857E0" w:rsidP="007025D5">
            <w:pPr>
              <w:pStyle w:val="Tabletext"/>
              <w:jc w:val="center"/>
              <w:rPr>
                <w:lang w:eastAsia="en-GB"/>
              </w:rPr>
            </w:pPr>
            <w:r w:rsidRPr="004857E0">
              <w:rPr>
                <w:lang w:eastAsia="en-GB"/>
              </w:rPr>
              <w:t>4</w:t>
            </w:r>
          </w:p>
        </w:tc>
      </w:tr>
      <w:tr w:rsidR="004857E0" w:rsidRPr="004857E0" w14:paraId="56C68343"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2A71124F" w14:textId="77777777" w:rsidR="004857E0" w:rsidRPr="004857E0" w:rsidRDefault="004857E0" w:rsidP="007025D5">
            <w:pPr>
              <w:pStyle w:val="Tabletext"/>
              <w:rPr>
                <w:lang w:eastAsia="en-GB"/>
              </w:rPr>
            </w:pPr>
            <w:r w:rsidRPr="004857E0">
              <w:rPr>
                <w:lang w:eastAsia="en-GB"/>
              </w:rPr>
              <w:t>South Sudan</w:t>
            </w:r>
          </w:p>
        </w:tc>
        <w:tc>
          <w:tcPr>
            <w:tcW w:w="1900" w:type="dxa"/>
            <w:tcBorders>
              <w:top w:val="nil"/>
              <w:left w:val="single" w:sz="4" w:space="0" w:color="auto"/>
              <w:bottom w:val="nil"/>
              <w:right w:val="single" w:sz="4" w:space="0" w:color="auto"/>
            </w:tcBorders>
            <w:shd w:val="clear" w:color="000000" w:fill="FFFFFF"/>
            <w:noWrap/>
            <w:vAlign w:val="bottom"/>
            <w:hideMark/>
          </w:tcPr>
          <w:p w14:paraId="4ED8306C" w14:textId="33760179" w:rsidR="004857E0" w:rsidRPr="004857E0" w:rsidRDefault="004857E0" w:rsidP="007025D5">
            <w:pPr>
              <w:pStyle w:val="Tabletext"/>
              <w:jc w:val="center"/>
              <w:rPr>
                <w:lang w:eastAsia="en-GB"/>
              </w:rPr>
            </w:pPr>
            <w:r w:rsidRPr="004857E0">
              <w:rPr>
                <w:lang w:eastAsia="en-GB"/>
              </w:rPr>
              <w:t>1/16</w:t>
            </w:r>
          </w:p>
        </w:tc>
      </w:tr>
      <w:tr w:rsidR="004857E0" w:rsidRPr="004857E0" w14:paraId="05D80C8D"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18A68DFD" w14:textId="77777777" w:rsidR="004857E0" w:rsidRPr="004857E0" w:rsidRDefault="004857E0" w:rsidP="007025D5">
            <w:pPr>
              <w:pStyle w:val="Tabletext"/>
              <w:rPr>
                <w:lang w:eastAsia="en-GB"/>
              </w:rPr>
            </w:pPr>
            <w:r w:rsidRPr="004857E0">
              <w:rPr>
                <w:lang w:eastAsia="en-GB"/>
              </w:rPr>
              <w:t xml:space="preserve">Spain </w:t>
            </w:r>
          </w:p>
        </w:tc>
        <w:tc>
          <w:tcPr>
            <w:tcW w:w="1900" w:type="dxa"/>
            <w:tcBorders>
              <w:top w:val="nil"/>
              <w:left w:val="single" w:sz="4" w:space="0" w:color="auto"/>
              <w:bottom w:val="nil"/>
              <w:right w:val="single" w:sz="4" w:space="0" w:color="auto"/>
            </w:tcBorders>
            <w:shd w:val="clear" w:color="000000" w:fill="FFFFFF"/>
            <w:noWrap/>
            <w:vAlign w:val="bottom"/>
            <w:hideMark/>
          </w:tcPr>
          <w:p w14:paraId="48A1E4EC" w14:textId="5123592C" w:rsidR="004857E0" w:rsidRPr="004857E0" w:rsidRDefault="004857E0" w:rsidP="007025D5">
            <w:pPr>
              <w:pStyle w:val="Tabletext"/>
              <w:jc w:val="center"/>
              <w:rPr>
                <w:lang w:eastAsia="en-GB"/>
              </w:rPr>
            </w:pPr>
            <w:r w:rsidRPr="004857E0">
              <w:rPr>
                <w:lang w:eastAsia="en-GB"/>
              </w:rPr>
              <w:t>6</w:t>
            </w:r>
          </w:p>
        </w:tc>
      </w:tr>
      <w:tr w:rsidR="004857E0" w:rsidRPr="004857E0" w14:paraId="5579601B"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C663664" w14:textId="77777777" w:rsidR="004857E0" w:rsidRPr="004857E0" w:rsidRDefault="004857E0" w:rsidP="007025D5">
            <w:pPr>
              <w:pStyle w:val="Tabletext"/>
              <w:rPr>
                <w:lang w:eastAsia="en-GB"/>
              </w:rPr>
            </w:pPr>
            <w:r w:rsidRPr="004857E0">
              <w:rPr>
                <w:lang w:eastAsia="en-GB"/>
              </w:rPr>
              <w:t>Sri Lanka</w:t>
            </w:r>
          </w:p>
        </w:tc>
        <w:tc>
          <w:tcPr>
            <w:tcW w:w="1900" w:type="dxa"/>
            <w:tcBorders>
              <w:top w:val="nil"/>
              <w:left w:val="single" w:sz="4" w:space="0" w:color="auto"/>
              <w:bottom w:val="nil"/>
              <w:right w:val="single" w:sz="4" w:space="0" w:color="auto"/>
            </w:tcBorders>
            <w:shd w:val="clear" w:color="000000" w:fill="FFFFFF"/>
            <w:noWrap/>
            <w:vAlign w:val="bottom"/>
            <w:hideMark/>
          </w:tcPr>
          <w:p w14:paraId="08418AE0" w14:textId="06B7F281" w:rsidR="004857E0" w:rsidRPr="004857E0" w:rsidRDefault="004857E0" w:rsidP="007025D5">
            <w:pPr>
              <w:pStyle w:val="Tabletext"/>
              <w:jc w:val="center"/>
              <w:rPr>
                <w:lang w:eastAsia="en-GB"/>
              </w:rPr>
            </w:pPr>
            <w:r w:rsidRPr="004857E0">
              <w:rPr>
                <w:lang w:eastAsia="en-GB"/>
              </w:rPr>
              <w:t>1/4</w:t>
            </w:r>
          </w:p>
        </w:tc>
      </w:tr>
      <w:tr w:rsidR="004857E0" w:rsidRPr="004857E0" w14:paraId="2EC05B9C"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2C68D682" w14:textId="77777777" w:rsidR="004857E0" w:rsidRPr="004857E0" w:rsidRDefault="004857E0" w:rsidP="007025D5">
            <w:pPr>
              <w:pStyle w:val="Tabletext"/>
              <w:rPr>
                <w:lang w:eastAsia="en-GB"/>
              </w:rPr>
            </w:pPr>
            <w:r w:rsidRPr="004857E0">
              <w:rPr>
                <w:lang w:eastAsia="en-GB"/>
              </w:rPr>
              <w:t>Sudan</w:t>
            </w:r>
          </w:p>
        </w:tc>
        <w:tc>
          <w:tcPr>
            <w:tcW w:w="1900" w:type="dxa"/>
            <w:tcBorders>
              <w:top w:val="nil"/>
              <w:left w:val="single" w:sz="4" w:space="0" w:color="auto"/>
              <w:bottom w:val="nil"/>
              <w:right w:val="single" w:sz="4" w:space="0" w:color="auto"/>
            </w:tcBorders>
            <w:shd w:val="clear" w:color="000000" w:fill="FFFFFF"/>
            <w:noWrap/>
            <w:vAlign w:val="bottom"/>
            <w:hideMark/>
          </w:tcPr>
          <w:p w14:paraId="4CFA05E1" w14:textId="59DEE899" w:rsidR="004857E0" w:rsidRPr="004857E0" w:rsidRDefault="004857E0" w:rsidP="007025D5">
            <w:pPr>
              <w:pStyle w:val="Tabletext"/>
              <w:jc w:val="center"/>
              <w:rPr>
                <w:lang w:eastAsia="en-GB"/>
              </w:rPr>
            </w:pPr>
            <w:r w:rsidRPr="004857E0">
              <w:rPr>
                <w:lang w:eastAsia="en-GB"/>
              </w:rPr>
              <w:t>1/16</w:t>
            </w:r>
          </w:p>
        </w:tc>
      </w:tr>
      <w:tr w:rsidR="004857E0" w:rsidRPr="004857E0" w14:paraId="0A35A5A3"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24874577" w14:textId="77777777" w:rsidR="004857E0" w:rsidRPr="004857E0" w:rsidRDefault="004857E0" w:rsidP="007025D5">
            <w:pPr>
              <w:pStyle w:val="Tabletext"/>
              <w:rPr>
                <w:lang w:eastAsia="en-GB"/>
              </w:rPr>
            </w:pPr>
            <w:r w:rsidRPr="004857E0">
              <w:rPr>
                <w:lang w:eastAsia="en-GB"/>
              </w:rPr>
              <w:t>Suriname</w:t>
            </w:r>
          </w:p>
        </w:tc>
        <w:tc>
          <w:tcPr>
            <w:tcW w:w="1900" w:type="dxa"/>
            <w:tcBorders>
              <w:top w:val="nil"/>
              <w:left w:val="single" w:sz="4" w:space="0" w:color="auto"/>
              <w:bottom w:val="nil"/>
              <w:right w:val="single" w:sz="4" w:space="0" w:color="auto"/>
            </w:tcBorders>
            <w:shd w:val="clear" w:color="000000" w:fill="FFFFFF"/>
            <w:noWrap/>
            <w:vAlign w:val="bottom"/>
            <w:hideMark/>
          </w:tcPr>
          <w:p w14:paraId="7480BF3E" w14:textId="00F24866" w:rsidR="004857E0" w:rsidRPr="004857E0" w:rsidRDefault="004857E0" w:rsidP="007025D5">
            <w:pPr>
              <w:pStyle w:val="Tabletext"/>
              <w:jc w:val="center"/>
              <w:rPr>
                <w:lang w:eastAsia="en-GB"/>
              </w:rPr>
            </w:pPr>
            <w:r w:rsidRPr="004857E0">
              <w:rPr>
                <w:lang w:eastAsia="en-GB"/>
              </w:rPr>
              <w:t>1/4</w:t>
            </w:r>
          </w:p>
        </w:tc>
      </w:tr>
      <w:tr w:rsidR="004857E0" w:rsidRPr="004857E0" w14:paraId="6B558439"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7201849" w14:textId="77777777" w:rsidR="004857E0" w:rsidRPr="004857E0" w:rsidRDefault="004857E0" w:rsidP="007025D5">
            <w:pPr>
              <w:pStyle w:val="Tabletext"/>
              <w:rPr>
                <w:lang w:eastAsia="en-GB"/>
              </w:rPr>
            </w:pPr>
            <w:r w:rsidRPr="004857E0">
              <w:rPr>
                <w:lang w:eastAsia="en-GB"/>
              </w:rPr>
              <w:t>Sweden</w:t>
            </w:r>
          </w:p>
        </w:tc>
        <w:tc>
          <w:tcPr>
            <w:tcW w:w="1900" w:type="dxa"/>
            <w:tcBorders>
              <w:top w:val="nil"/>
              <w:left w:val="single" w:sz="4" w:space="0" w:color="auto"/>
              <w:bottom w:val="nil"/>
              <w:right w:val="single" w:sz="4" w:space="0" w:color="auto"/>
            </w:tcBorders>
            <w:shd w:val="clear" w:color="000000" w:fill="FFFFFF"/>
            <w:noWrap/>
            <w:vAlign w:val="bottom"/>
            <w:hideMark/>
          </w:tcPr>
          <w:p w14:paraId="35507998" w14:textId="69D034F0" w:rsidR="004857E0" w:rsidRPr="004857E0" w:rsidRDefault="004857E0" w:rsidP="007025D5">
            <w:pPr>
              <w:pStyle w:val="Tabletext"/>
              <w:jc w:val="center"/>
              <w:rPr>
                <w:lang w:eastAsia="en-GB"/>
              </w:rPr>
            </w:pPr>
            <w:r w:rsidRPr="004857E0">
              <w:rPr>
                <w:lang w:eastAsia="en-GB"/>
              </w:rPr>
              <w:t>4</w:t>
            </w:r>
          </w:p>
        </w:tc>
      </w:tr>
      <w:tr w:rsidR="004857E0" w:rsidRPr="004857E0" w14:paraId="1D7F51A3"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ABE6DE6" w14:textId="77777777" w:rsidR="004857E0" w:rsidRPr="004857E0" w:rsidRDefault="004857E0" w:rsidP="007025D5">
            <w:pPr>
              <w:pStyle w:val="Tabletext"/>
              <w:rPr>
                <w:lang w:eastAsia="en-GB"/>
              </w:rPr>
            </w:pPr>
            <w:r w:rsidRPr="004857E0">
              <w:rPr>
                <w:lang w:eastAsia="en-GB"/>
              </w:rPr>
              <w:lastRenderedPageBreak/>
              <w:t>Switzerland</w:t>
            </w:r>
          </w:p>
        </w:tc>
        <w:tc>
          <w:tcPr>
            <w:tcW w:w="1900" w:type="dxa"/>
            <w:tcBorders>
              <w:top w:val="nil"/>
              <w:left w:val="single" w:sz="4" w:space="0" w:color="auto"/>
              <w:bottom w:val="nil"/>
              <w:right w:val="single" w:sz="4" w:space="0" w:color="auto"/>
            </w:tcBorders>
            <w:shd w:val="clear" w:color="000000" w:fill="FFFFFF"/>
            <w:noWrap/>
            <w:vAlign w:val="bottom"/>
            <w:hideMark/>
          </w:tcPr>
          <w:p w14:paraId="068AFFAD" w14:textId="738BCAC1" w:rsidR="004857E0" w:rsidRPr="004857E0" w:rsidRDefault="004857E0" w:rsidP="007025D5">
            <w:pPr>
              <w:pStyle w:val="Tabletext"/>
              <w:jc w:val="center"/>
              <w:rPr>
                <w:lang w:eastAsia="en-GB"/>
              </w:rPr>
            </w:pPr>
            <w:r w:rsidRPr="004857E0">
              <w:rPr>
                <w:lang w:eastAsia="en-GB"/>
              </w:rPr>
              <w:t>10</w:t>
            </w:r>
          </w:p>
        </w:tc>
      </w:tr>
      <w:tr w:rsidR="004857E0" w:rsidRPr="004857E0" w14:paraId="2D9B3AF3"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386BA020" w14:textId="77777777" w:rsidR="004857E0" w:rsidRPr="004857E0" w:rsidRDefault="004857E0" w:rsidP="007025D5">
            <w:pPr>
              <w:pStyle w:val="Tabletext"/>
              <w:rPr>
                <w:lang w:eastAsia="en-GB"/>
              </w:rPr>
            </w:pPr>
            <w:r w:rsidRPr="004857E0">
              <w:rPr>
                <w:lang w:eastAsia="en-GB"/>
              </w:rPr>
              <w:t>Syrian Arab Republic</w:t>
            </w:r>
          </w:p>
        </w:tc>
        <w:tc>
          <w:tcPr>
            <w:tcW w:w="1900" w:type="dxa"/>
            <w:tcBorders>
              <w:top w:val="nil"/>
              <w:left w:val="single" w:sz="4" w:space="0" w:color="auto"/>
              <w:bottom w:val="nil"/>
              <w:right w:val="single" w:sz="4" w:space="0" w:color="auto"/>
            </w:tcBorders>
            <w:shd w:val="clear" w:color="000000" w:fill="FFFFFF"/>
            <w:noWrap/>
            <w:vAlign w:val="bottom"/>
            <w:hideMark/>
          </w:tcPr>
          <w:p w14:paraId="13EAB129" w14:textId="53E09AF3" w:rsidR="004857E0" w:rsidRPr="004857E0" w:rsidRDefault="004857E0" w:rsidP="007025D5">
            <w:pPr>
              <w:pStyle w:val="Tabletext"/>
              <w:jc w:val="center"/>
              <w:rPr>
                <w:lang w:eastAsia="en-GB"/>
              </w:rPr>
            </w:pPr>
            <w:r w:rsidRPr="004857E0">
              <w:rPr>
                <w:lang w:eastAsia="en-GB"/>
              </w:rPr>
              <w:t>1/4</w:t>
            </w:r>
          </w:p>
        </w:tc>
      </w:tr>
      <w:tr w:rsidR="004857E0" w:rsidRPr="004857E0" w14:paraId="668E68DA"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373159F0" w14:textId="77777777" w:rsidR="004857E0" w:rsidRPr="004857E0" w:rsidRDefault="004857E0" w:rsidP="007025D5">
            <w:pPr>
              <w:pStyle w:val="Tabletext"/>
              <w:rPr>
                <w:lang w:eastAsia="en-GB"/>
              </w:rPr>
            </w:pPr>
            <w:r w:rsidRPr="004857E0">
              <w:rPr>
                <w:lang w:eastAsia="en-GB"/>
              </w:rPr>
              <w:t>Tajikistan</w:t>
            </w:r>
          </w:p>
        </w:tc>
        <w:tc>
          <w:tcPr>
            <w:tcW w:w="1900" w:type="dxa"/>
            <w:tcBorders>
              <w:top w:val="nil"/>
              <w:left w:val="single" w:sz="4" w:space="0" w:color="auto"/>
              <w:bottom w:val="nil"/>
              <w:right w:val="single" w:sz="4" w:space="0" w:color="auto"/>
            </w:tcBorders>
            <w:shd w:val="clear" w:color="000000" w:fill="FFFFFF"/>
            <w:noWrap/>
            <w:vAlign w:val="bottom"/>
            <w:hideMark/>
          </w:tcPr>
          <w:p w14:paraId="7B5427F9" w14:textId="6AA540AE" w:rsidR="004857E0" w:rsidRPr="004857E0" w:rsidRDefault="004857E0" w:rsidP="007025D5">
            <w:pPr>
              <w:pStyle w:val="Tabletext"/>
              <w:jc w:val="center"/>
              <w:rPr>
                <w:lang w:eastAsia="en-GB"/>
              </w:rPr>
            </w:pPr>
            <w:r w:rsidRPr="004857E0">
              <w:rPr>
                <w:lang w:eastAsia="en-GB"/>
              </w:rPr>
              <w:t>1/16</w:t>
            </w:r>
          </w:p>
        </w:tc>
      </w:tr>
      <w:tr w:rsidR="004857E0" w:rsidRPr="004857E0" w14:paraId="440A0B02"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0595488" w14:textId="77777777" w:rsidR="004857E0" w:rsidRPr="004857E0" w:rsidRDefault="004857E0" w:rsidP="007025D5">
            <w:pPr>
              <w:pStyle w:val="Tabletext"/>
              <w:rPr>
                <w:lang w:eastAsia="en-GB"/>
              </w:rPr>
            </w:pPr>
            <w:r w:rsidRPr="004857E0">
              <w:rPr>
                <w:lang w:eastAsia="en-GB"/>
              </w:rPr>
              <w:t>Tanzania</w:t>
            </w:r>
          </w:p>
        </w:tc>
        <w:tc>
          <w:tcPr>
            <w:tcW w:w="1900" w:type="dxa"/>
            <w:tcBorders>
              <w:top w:val="nil"/>
              <w:left w:val="single" w:sz="4" w:space="0" w:color="auto"/>
              <w:bottom w:val="nil"/>
              <w:right w:val="single" w:sz="4" w:space="0" w:color="auto"/>
            </w:tcBorders>
            <w:shd w:val="clear" w:color="000000" w:fill="FFFFFF"/>
            <w:noWrap/>
            <w:vAlign w:val="bottom"/>
            <w:hideMark/>
          </w:tcPr>
          <w:p w14:paraId="7E0C9701" w14:textId="3DAA8303" w:rsidR="004857E0" w:rsidRPr="004857E0" w:rsidRDefault="004857E0" w:rsidP="007025D5">
            <w:pPr>
              <w:pStyle w:val="Tabletext"/>
              <w:jc w:val="center"/>
              <w:rPr>
                <w:lang w:eastAsia="en-GB"/>
              </w:rPr>
            </w:pPr>
            <w:r w:rsidRPr="004857E0">
              <w:rPr>
                <w:lang w:eastAsia="en-GB"/>
              </w:rPr>
              <w:t>1/4</w:t>
            </w:r>
          </w:p>
        </w:tc>
      </w:tr>
      <w:tr w:rsidR="004857E0" w:rsidRPr="004857E0" w14:paraId="54C0D9E1"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0552783" w14:textId="77777777" w:rsidR="004857E0" w:rsidRPr="004857E0" w:rsidRDefault="004857E0" w:rsidP="007025D5">
            <w:pPr>
              <w:pStyle w:val="Tabletext"/>
              <w:rPr>
                <w:lang w:eastAsia="en-GB"/>
              </w:rPr>
            </w:pPr>
            <w:r w:rsidRPr="004857E0">
              <w:rPr>
                <w:lang w:eastAsia="en-GB"/>
              </w:rPr>
              <w:t>Thailand</w:t>
            </w:r>
          </w:p>
        </w:tc>
        <w:tc>
          <w:tcPr>
            <w:tcW w:w="1900" w:type="dxa"/>
            <w:tcBorders>
              <w:top w:val="nil"/>
              <w:left w:val="single" w:sz="4" w:space="0" w:color="auto"/>
              <w:bottom w:val="nil"/>
              <w:right w:val="single" w:sz="4" w:space="0" w:color="auto"/>
            </w:tcBorders>
            <w:shd w:val="clear" w:color="000000" w:fill="FFFFFF"/>
            <w:noWrap/>
            <w:vAlign w:val="bottom"/>
            <w:hideMark/>
          </w:tcPr>
          <w:p w14:paraId="6DD9B9FC" w14:textId="5170E6C7" w:rsidR="004857E0" w:rsidRPr="004857E0" w:rsidRDefault="004857E0" w:rsidP="007025D5">
            <w:pPr>
              <w:pStyle w:val="Tabletext"/>
              <w:jc w:val="center"/>
              <w:rPr>
                <w:lang w:eastAsia="en-GB"/>
              </w:rPr>
            </w:pPr>
            <w:r w:rsidRPr="004857E0">
              <w:rPr>
                <w:lang w:eastAsia="en-GB"/>
              </w:rPr>
              <w:t>1  1/2</w:t>
            </w:r>
          </w:p>
        </w:tc>
      </w:tr>
      <w:tr w:rsidR="004857E0" w:rsidRPr="004857E0" w14:paraId="65FD6DB3"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57364C8" w14:textId="77777777" w:rsidR="004857E0" w:rsidRPr="004857E0" w:rsidRDefault="004857E0" w:rsidP="007025D5">
            <w:pPr>
              <w:pStyle w:val="Tabletext"/>
              <w:rPr>
                <w:lang w:eastAsia="en-GB"/>
              </w:rPr>
            </w:pPr>
            <w:r w:rsidRPr="004857E0">
              <w:rPr>
                <w:lang w:eastAsia="en-GB"/>
              </w:rPr>
              <w:t>Timor-Leste</w:t>
            </w:r>
          </w:p>
        </w:tc>
        <w:tc>
          <w:tcPr>
            <w:tcW w:w="1900" w:type="dxa"/>
            <w:tcBorders>
              <w:top w:val="nil"/>
              <w:left w:val="single" w:sz="4" w:space="0" w:color="auto"/>
              <w:bottom w:val="nil"/>
              <w:right w:val="single" w:sz="4" w:space="0" w:color="auto"/>
            </w:tcBorders>
            <w:shd w:val="clear" w:color="000000" w:fill="FFFFFF"/>
            <w:noWrap/>
            <w:vAlign w:val="bottom"/>
            <w:hideMark/>
          </w:tcPr>
          <w:p w14:paraId="36EE108B" w14:textId="73522E37" w:rsidR="004857E0" w:rsidRPr="004857E0" w:rsidRDefault="004857E0" w:rsidP="007025D5">
            <w:pPr>
              <w:pStyle w:val="Tabletext"/>
              <w:jc w:val="center"/>
              <w:rPr>
                <w:lang w:eastAsia="en-GB"/>
              </w:rPr>
            </w:pPr>
            <w:r w:rsidRPr="004857E0">
              <w:rPr>
                <w:lang w:eastAsia="en-GB"/>
              </w:rPr>
              <w:t>1/16</w:t>
            </w:r>
          </w:p>
        </w:tc>
      </w:tr>
      <w:tr w:rsidR="004857E0" w:rsidRPr="004857E0" w14:paraId="2B885644"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66657A0" w14:textId="20B0FD1C" w:rsidR="004857E0" w:rsidRPr="004857E0" w:rsidRDefault="004857E0" w:rsidP="007025D5">
            <w:pPr>
              <w:pStyle w:val="Tabletext"/>
              <w:rPr>
                <w:lang w:eastAsia="en-GB"/>
              </w:rPr>
            </w:pPr>
            <w:r w:rsidRPr="004857E0">
              <w:rPr>
                <w:lang w:eastAsia="en-GB"/>
              </w:rPr>
              <w:t>Togo</w:t>
            </w:r>
          </w:p>
        </w:tc>
        <w:tc>
          <w:tcPr>
            <w:tcW w:w="1900" w:type="dxa"/>
            <w:tcBorders>
              <w:top w:val="nil"/>
              <w:left w:val="single" w:sz="4" w:space="0" w:color="auto"/>
              <w:bottom w:val="nil"/>
              <w:right w:val="single" w:sz="4" w:space="0" w:color="auto"/>
            </w:tcBorders>
            <w:shd w:val="clear" w:color="000000" w:fill="FFFFFF"/>
            <w:noWrap/>
            <w:vAlign w:val="bottom"/>
            <w:hideMark/>
          </w:tcPr>
          <w:p w14:paraId="5F3C68AB" w14:textId="21F18708" w:rsidR="004857E0" w:rsidRPr="004857E0" w:rsidRDefault="004857E0" w:rsidP="007025D5">
            <w:pPr>
              <w:pStyle w:val="Tabletext"/>
              <w:jc w:val="center"/>
              <w:rPr>
                <w:lang w:eastAsia="en-GB"/>
              </w:rPr>
            </w:pPr>
            <w:r w:rsidRPr="004857E0">
              <w:rPr>
                <w:lang w:eastAsia="en-GB"/>
              </w:rPr>
              <w:t>1/4</w:t>
            </w:r>
          </w:p>
        </w:tc>
      </w:tr>
      <w:tr w:rsidR="004857E0" w:rsidRPr="004857E0" w14:paraId="06E99C5C"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286248FE" w14:textId="77777777" w:rsidR="004857E0" w:rsidRPr="004857E0" w:rsidRDefault="004857E0" w:rsidP="007025D5">
            <w:pPr>
              <w:pStyle w:val="Tabletext"/>
              <w:rPr>
                <w:lang w:eastAsia="en-GB"/>
              </w:rPr>
            </w:pPr>
            <w:r w:rsidRPr="004857E0">
              <w:rPr>
                <w:lang w:eastAsia="en-GB"/>
              </w:rPr>
              <w:t>Tonga</w:t>
            </w:r>
          </w:p>
        </w:tc>
        <w:tc>
          <w:tcPr>
            <w:tcW w:w="1900" w:type="dxa"/>
            <w:tcBorders>
              <w:top w:val="nil"/>
              <w:left w:val="single" w:sz="4" w:space="0" w:color="auto"/>
              <w:bottom w:val="nil"/>
              <w:right w:val="single" w:sz="4" w:space="0" w:color="auto"/>
            </w:tcBorders>
            <w:shd w:val="clear" w:color="000000" w:fill="FFFFFF"/>
            <w:noWrap/>
            <w:vAlign w:val="bottom"/>
            <w:hideMark/>
          </w:tcPr>
          <w:p w14:paraId="5D970D64" w14:textId="49D5FDE5" w:rsidR="004857E0" w:rsidRPr="004857E0" w:rsidRDefault="004857E0" w:rsidP="007025D5">
            <w:pPr>
              <w:pStyle w:val="Tabletext"/>
              <w:jc w:val="center"/>
              <w:rPr>
                <w:lang w:eastAsia="en-GB"/>
              </w:rPr>
            </w:pPr>
            <w:r w:rsidRPr="004857E0">
              <w:rPr>
                <w:lang w:eastAsia="en-GB"/>
              </w:rPr>
              <w:t>1/16</w:t>
            </w:r>
          </w:p>
        </w:tc>
      </w:tr>
      <w:tr w:rsidR="004857E0" w:rsidRPr="004857E0" w14:paraId="397EC321"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B201F88" w14:textId="65D032E0" w:rsidR="004857E0" w:rsidRPr="004857E0" w:rsidRDefault="004857E0" w:rsidP="007025D5">
            <w:pPr>
              <w:pStyle w:val="Tabletext"/>
              <w:rPr>
                <w:lang w:eastAsia="en-GB"/>
              </w:rPr>
            </w:pPr>
            <w:r w:rsidRPr="004857E0">
              <w:rPr>
                <w:lang w:eastAsia="en-GB"/>
              </w:rPr>
              <w:t>Trinidad and Tobago</w:t>
            </w:r>
          </w:p>
        </w:tc>
        <w:tc>
          <w:tcPr>
            <w:tcW w:w="1900" w:type="dxa"/>
            <w:tcBorders>
              <w:top w:val="nil"/>
              <w:left w:val="single" w:sz="4" w:space="0" w:color="auto"/>
              <w:bottom w:val="nil"/>
              <w:right w:val="single" w:sz="4" w:space="0" w:color="auto"/>
            </w:tcBorders>
            <w:shd w:val="clear" w:color="000000" w:fill="FFFFFF"/>
            <w:noWrap/>
            <w:vAlign w:val="bottom"/>
            <w:hideMark/>
          </w:tcPr>
          <w:p w14:paraId="2A668165" w14:textId="34118090" w:rsidR="004857E0" w:rsidRPr="004857E0" w:rsidRDefault="004857E0" w:rsidP="007025D5">
            <w:pPr>
              <w:pStyle w:val="Tabletext"/>
              <w:jc w:val="center"/>
              <w:rPr>
                <w:lang w:eastAsia="en-GB"/>
              </w:rPr>
            </w:pPr>
            <w:r w:rsidRPr="004857E0">
              <w:rPr>
                <w:lang w:eastAsia="en-GB"/>
              </w:rPr>
              <w:t>1/2</w:t>
            </w:r>
          </w:p>
        </w:tc>
      </w:tr>
      <w:tr w:rsidR="004857E0" w:rsidRPr="004857E0" w14:paraId="60900EA1"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4F108EBF" w14:textId="77777777" w:rsidR="004857E0" w:rsidRPr="004857E0" w:rsidRDefault="004857E0" w:rsidP="007025D5">
            <w:pPr>
              <w:pStyle w:val="Tabletext"/>
              <w:rPr>
                <w:lang w:eastAsia="en-GB"/>
              </w:rPr>
            </w:pPr>
            <w:r w:rsidRPr="004857E0">
              <w:rPr>
                <w:lang w:eastAsia="en-GB"/>
              </w:rPr>
              <w:t>Tunisia</w:t>
            </w:r>
          </w:p>
        </w:tc>
        <w:tc>
          <w:tcPr>
            <w:tcW w:w="1900" w:type="dxa"/>
            <w:tcBorders>
              <w:top w:val="nil"/>
              <w:left w:val="single" w:sz="4" w:space="0" w:color="auto"/>
              <w:bottom w:val="nil"/>
              <w:right w:val="single" w:sz="4" w:space="0" w:color="auto"/>
            </w:tcBorders>
            <w:shd w:val="clear" w:color="000000" w:fill="FFFFFF"/>
            <w:noWrap/>
            <w:vAlign w:val="bottom"/>
            <w:hideMark/>
          </w:tcPr>
          <w:p w14:paraId="49411359" w14:textId="5C494C54" w:rsidR="004857E0" w:rsidRPr="004857E0" w:rsidRDefault="004857E0" w:rsidP="007025D5">
            <w:pPr>
              <w:pStyle w:val="Tabletext"/>
              <w:jc w:val="center"/>
              <w:rPr>
                <w:lang w:eastAsia="en-GB"/>
              </w:rPr>
            </w:pPr>
            <w:r w:rsidRPr="004857E0">
              <w:rPr>
                <w:lang w:eastAsia="en-GB"/>
              </w:rPr>
              <w:t>1/2</w:t>
            </w:r>
          </w:p>
        </w:tc>
      </w:tr>
      <w:tr w:rsidR="004857E0" w:rsidRPr="004857E0" w14:paraId="7C605857"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118E1367" w14:textId="77777777" w:rsidR="004857E0" w:rsidRPr="004857E0" w:rsidRDefault="004857E0" w:rsidP="007025D5">
            <w:pPr>
              <w:pStyle w:val="Tabletext"/>
              <w:rPr>
                <w:lang w:eastAsia="en-GB"/>
              </w:rPr>
            </w:pPr>
            <w:r w:rsidRPr="004857E0">
              <w:rPr>
                <w:lang w:eastAsia="en-GB"/>
              </w:rPr>
              <w:t>Türkiye</w:t>
            </w:r>
          </w:p>
        </w:tc>
        <w:tc>
          <w:tcPr>
            <w:tcW w:w="1900" w:type="dxa"/>
            <w:tcBorders>
              <w:top w:val="nil"/>
              <w:left w:val="single" w:sz="4" w:space="0" w:color="auto"/>
              <w:bottom w:val="nil"/>
              <w:right w:val="single" w:sz="4" w:space="0" w:color="auto"/>
            </w:tcBorders>
            <w:shd w:val="clear" w:color="000000" w:fill="FFFFFF"/>
            <w:noWrap/>
            <w:vAlign w:val="bottom"/>
            <w:hideMark/>
          </w:tcPr>
          <w:p w14:paraId="128B12E3" w14:textId="03020A1C" w:rsidR="004857E0" w:rsidRPr="004857E0" w:rsidRDefault="004857E0" w:rsidP="007025D5">
            <w:pPr>
              <w:pStyle w:val="Tabletext"/>
              <w:jc w:val="center"/>
              <w:rPr>
                <w:lang w:eastAsia="en-GB"/>
              </w:rPr>
            </w:pPr>
            <w:r w:rsidRPr="004857E0">
              <w:rPr>
                <w:lang w:eastAsia="en-GB"/>
              </w:rPr>
              <w:t>1</w:t>
            </w:r>
          </w:p>
        </w:tc>
      </w:tr>
      <w:tr w:rsidR="004857E0" w:rsidRPr="004857E0" w14:paraId="775A59CD"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172A058F" w14:textId="689477EC" w:rsidR="004857E0" w:rsidRPr="004857E0" w:rsidRDefault="004857E0" w:rsidP="007025D5">
            <w:pPr>
              <w:pStyle w:val="Tabletext"/>
              <w:rPr>
                <w:lang w:eastAsia="en-GB"/>
              </w:rPr>
            </w:pPr>
            <w:r w:rsidRPr="004857E0">
              <w:rPr>
                <w:lang w:eastAsia="en-GB"/>
              </w:rPr>
              <w:t>Turkmenistan</w:t>
            </w:r>
          </w:p>
        </w:tc>
        <w:tc>
          <w:tcPr>
            <w:tcW w:w="1900" w:type="dxa"/>
            <w:tcBorders>
              <w:top w:val="nil"/>
              <w:left w:val="single" w:sz="4" w:space="0" w:color="auto"/>
              <w:bottom w:val="nil"/>
              <w:right w:val="single" w:sz="4" w:space="0" w:color="auto"/>
            </w:tcBorders>
            <w:shd w:val="clear" w:color="000000" w:fill="FFFFFF"/>
            <w:noWrap/>
            <w:vAlign w:val="bottom"/>
            <w:hideMark/>
          </w:tcPr>
          <w:p w14:paraId="4223ED7B" w14:textId="4834069B" w:rsidR="004857E0" w:rsidRPr="004857E0" w:rsidRDefault="004857E0" w:rsidP="007025D5">
            <w:pPr>
              <w:pStyle w:val="Tabletext"/>
              <w:jc w:val="center"/>
              <w:rPr>
                <w:lang w:eastAsia="en-GB"/>
              </w:rPr>
            </w:pPr>
            <w:r w:rsidRPr="004857E0">
              <w:rPr>
                <w:lang w:eastAsia="en-GB"/>
              </w:rPr>
              <w:t>1/4</w:t>
            </w:r>
          </w:p>
        </w:tc>
      </w:tr>
      <w:tr w:rsidR="004857E0" w:rsidRPr="004857E0" w14:paraId="1CE26E35"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603410AC" w14:textId="77777777" w:rsidR="004857E0" w:rsidRPr="004857E0" w:rsidRDefault="004857E0" w:rsidP="007025D5">
            <w:pPr>
              <w:pStyle w:val="Tabletext"/>
              <w:rPr>
                <w:lang w:eastAsia="en-GB"/>
              </w:rPr>
            </w:pPr>
            <w:r w:rsidRPr="004857E0">
              <w:rPr>
                <w:lang w:eastAsia="en-GB"/>
              </w:rPr>
              <w:t>Tuvalu</w:t>
            </w:r>
          </w:p>
        </w:tc>
        <w:tc>
          <w:tcPr>
            <w:tcW w:w="1900" w:type="dxa"/>
            <w:tcBorders>
              <w:top w:val="nil"/>
              <w:left w:val="single" w:sz="4" w:space="0" w:color="auto"/>
              <w:bottom w:val="nil"/>
              <w:right w:val="single" w:sz="4" w:space="0" w:color="auto"/>
            </w:tcBorders>
            <w:shd w:val="clear" w:color="000000" w:fill="FFFFFF"/>
            <w:noWrap/>
            <w:vAlign w:val="bottom"/>
            <w:hideMark/>
          </w:tcPr>
          <w:p w14:paraId="4870726C" w14:textId="0EEE424C" w:rsidR="004857E0" w:rsidRPr="004857E0" w:rsidRDefault="004857E0" w:rsidP="007025D5">
            <w:pPr>
              <w:pStyle w:val="Tabletext"/>
              <w:jc w:val="center"/>
              <w:rPr>
                <w:lang w:eastAsia="en-GB"/>
              </w:rPr>
            </w:pPr>
            <w:r w:rsidRPr="004857E0">
              <w:rPr>
                <w:lang w:eastAsia="en-GB"/>
              </w:rPr>
              <w:t>1/16</w:t>
            </w:r>
          </w:p>
        </w:tc>
      </w:tr>
      <w:tr w:rsidR="004857E0" w:rsidRPr="004857E0" w14:paraId="36C8F5CB"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35AA99FB" w14:textId="77777777" w:rsidR="004857E0" w:rsidRPr="004857E0" w:rsidRDefault="004857E0" w:rsidP="007025D5">
            <w:pPr>
              <w:pStyle w:val="Tabletext"/>
              <w:rPr>
                <w:lang w:eastAsia="en-GB"/>
              </w:rPr>
            </w:pPr>
            <w:r w:rsidRPr="004857E0">
              <w:rPr>
                <w:lang w:eastAsia="en-GB"/>
              </w:rPr>
              <w:t>Uganda</w:t>
            </w:r>
          </w:p>
        </w:tc>
        <w:tc>
          <w:tcPr>
            <w:tcW w:w="1900" w:type="dxa"/>
            <w:tcBorders>
              <w:top w:val="nil"/>
              <w:left w:val="single" w:sz="4" w:space="0" w:color="auto"/>
              <w:bottom w:val="nil"/>
              <w:right w:val="single" w:sz="4" w:space="0" w:color="auto"/>
            </w:tcBorders>
            <w:shd w:val="clear" w:color="000000" w:fill="FFFFFF"/>
            <w:noWrap/>
            <w:vAlign w:val="bottom"/>
            <w:hideMark/>
          </w:tcPr>
          <w:p w14:paraId="6CE20AE5" w14:textId="6273DCC5" w:rsidR="004857E0" w:rsidRPr="004857E0" w:rsidRDefault="004857E0" w:rsidP="007025D5">
            <w:pPr>
              <w:pStyle w:val="Tabletext"/>
              <w:jc w:val="center"/>
              <w:rPr>
                <w:lang w:eastAsia="en-GB"/>
              </w:rPr>
            </w:pPr>
            <w:r w:rsidRPr="004857E0">
              <w:rPr>
                <w:lang w:eastAsia="en-GB"/>
              </w:rPr>
              <w:t>1/4</w:t>
            </w:r>
          </w:p>
        </w:tc>
      </w:tr>
      <w:tr w:rsidR="004857E0" w:rsidRPr="004857E0" w14:paraId="165054F4"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68A374C" w14:textId="77777777" w:rsidR="004857E0" w:rsidRPr="004857E0" w:rsidRDefault="004857E0" w:rsidP="007025D5">
            <w:pPr>
              <w:pStyle w:val="Tabletext"/>
              <w:rPr>
                <w:lang w:eastAsia="en-GB"/>
              </w:rPr>
            </w:pPr>
            <w:r w:rsidRPr="004857E0">
              <w:rPr>
                <w:lang w:eastAsia="en-GB"/>
              </w:rPr>
              <w:t>Ukraine</w:t>
            </w:r>
          </w:p>
        </w:tc>
        <w:tc>
          <w:tcPr>
            <w:tcW w:w="1900" w:type="dxa"/>
            <w:tcBorders>
              <w:top w:val="nil"/>
              <w:left w:val="single" w:sz="4" w:space="0" w:color="auto"/>
              <w:bottom w:val="nil"/>
              <w:right w:val="single" w:sz="4" w:space="0" w:color="auto"/>
            </w:tcBorders>
            <w:shd w:val="clear" w:color="000000" w:fill="FFFFFF"/>
            <w:vAlign w:val="bottom"/>
            <w:hideMark/>
          </w:tcPr>
          <w:p w14:paraId="0F78548D" w14:textId="3E26E4A5" w:rsidR="004857E0" w:rsidRPr="004857E0" w:rsidRDefault="004857E0" w:rsidP="007025D5">
            <w:pPr>
              <w:pStyle w:val="Tabletext"/>
              <w:jc w:val="center"/>
              <w:rPr>
                <w:lang w:eastAsia="en-GB"/>
              </w:rPr>
            </w:pPr>
            <w:r w:rsidRPr="004857E0">
              <w:rPr>
                <w:lang w:eastAsia="en-GB"/>
              </w:rPr>
              <w:t>1/4</w:t>
            </w:r>
          </w:p>
        </w:tc>
      </w:tr>
      <w:tr w:rsidR="004857E0" w:rsidRPr="004857E0" w14:paraId="65AC24F5"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22D7E32B" w14:textId="77777777" w:rsidR="004857E0" w:rsidRPr="004857E0" w:rsidRDefault="004857E0" w:rsidP="007025D5">
            <w:pPr>
              <w:pStyle w:val="Tabletext"/>
              <w:rPr>
                <w:lang w:eastAsia="en-GB"/>
              </w:rPr>
            </w:pPr>
            <w:r w:rsidRPr="004857E0">
              <w:rPr>
                <w:lang w:eastAsia="en-GB"/>
              </w:rPr>
              <w:t>United Arab Emirates</w:t>
            </w:r>
          </w:p>
        </w:tc>
        <w:tc>
          <w:tcPr>
            <w:tcW w:w="1900" w:type="dxa"/>
            <w:tcBorders>
              <w:top w:val="nil"/>
              <w:left w:val="single" w:sz="4" w:space="0" w:color="auto"/>
              <w:bottom w:val="nil"/>
              <w:right w:val="single" w:sz="4" w:space="0" w:color="auto"/>
            </w:tcBorders>
            <w:shd w:val="clear" w:color="000000" w:fill="FFFFFF"/>
            <w:noWrap/>
            <w:vAlign w:val="bottom"/>
            <w:hideMark/>
          </w:tcPr>
          <w:p w14:paraId="4F32A9E2" w14:textId="751E53FF" w:rsidR="004857E0" w:rsidRPr="004857E0" w:rsidRDefault="004857E0" w:rsidP="007025D5">
            <w:pPr>
              <w:pStyle w:val="Tabletext"/>
              <w:jc w:val="center"/>
              <w:rPr>
                <w:lang w:eastAsia="en-GB"/>
              </w:rPr>
            </w:pPr>
            <w:r w:rsidRPr="004857E0">
              <w:rPr>
                <w:lang w:eastAsia="en-GB"/>
              </w:rPr>
              <w:t>3</w:t>
            </w:r>
          </w:p>
        </w:tc>
      </w:tr>
      <w:tr w:rsidR="004857E0" w:rsidRPr="004857E0" w14:paraId="50AE9A01"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1812AD63" w14:textId="67F34541" w:rsidR="004857E0" w:rsidRPr="004857E0" w:rsidRDefault="004857E0" w:rsidP="007025D5">
            <w:pPr>
              <w:pStyle w:val="Tabletext"/>
              <w:rPr>
                <w:lang w:eastAsia="en-GB"/>
              </w:rPr>
            </w:pPr>
            <w:r w:rsidRPr="004857E0">
              <w:rPr>
                <w:lang w:eastAsia="en-GB"/>
              </w:rPr>
              <w:t>United Kingdom</w:t>
            </w:r>
          </w:p>
        </w:tc>
        <w:tc>
          <w:tcPr>
            <w:tcW w:w="1900" w:type="dxa"/>
            <w:tcBorders>
              <w:top w:val="nil"/>
              <w:left w:val="single" w:sz="4" w:space="0" w:color="auto"/>
              <w:bottom w:val="nil"/>
              <w:right w:val="single" w:sz="4" w:space="0" w:color="auto"/>
            </w:tcBorders>
            <w:shd w:val="clear" w:color="000000" w:fill="FFFFFF"/>
            <w:noWrap/>
            <w:vAlign w:val="bottom"/>
            <w:hideMark/>
          </w:tcPr>
          <w:p w14:paraId="1F927566" w14:textId="27895779" w:rsidR="004857E0" w:rsidRPr="004857E0" w:rsidRDefault="004857E0" w:rsidP="007025D5">
            <w:pPr>
              <w:pStyle w:val="Tabletext"/>
              <w:jc w:val="center"/>
              <w:rPr>
                <w:lang w:eastAsia="en-GB"/>
              </w:rPr>
            </w:pPr>
            <w:r w:rsidRPr="004857E0">
              <w:rPr>
                <w:lang w:eastAsia="en-GB"/>
              </w:rPr>
              <w:t>10</w:t>
            </w:r>
          </w:p>
        </w:tc>
      </w:tr>
      <w:tr w:rsidR="004857E0" w:rsidRPr="004857E0" w14:paraId="7806FC4E"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556EAEF" w14:textId="53077E1C" w:rsidR="004857E0" w:rsidRPr="004857E0" w:rsidRDefault="004857E0" w:rsidP="007025D5">
            <w:pPr>
              <w:pStyle w:val="Tabletext"/>
              <w:rPr>
                <w:lang w:eastAsia="en-GB"/>
              </w:rPr>
            </w:pPr>
            <w:r w:rsidRPr="004857E0">
              <w:rPr>
                <w:lang w:eastAsia="en-GB"/>
              </w:rPr>
              <w:t>United States of America</w:t>
            </w:r>
          </w:p>
        </w:tc>
        <w:tc>
          <w:tcPr>
            <w:tcW w:w="1900" w:type="dxa"/>
            <w:tcBorders>
              <w:top w:val="nil"/>
              <w:left w:val="single" w:sz="4" w:space="0" w:color="auto"/>
              <w:bottom w:val="nil"/>
              <w:right w:val="single" w:sz="4" w:space="0" w:color="auto"/>
            </w:tcBorders>
            <w:shd w:val="clear" w:color="000000" w:fill="FFFFFF"/>
            <w:noWrap/>
            <w:vAlign w:val="bottom"/>
            <w:hideMark/>
          </w:tcPr>
          <w:p w14:paraId="027FB31C" w14:textId="5AED7DEB" w:rsidR="004857E0" w:rsidRPr="004857E0" w:rsidRDefault="004857E0" w:rsidP="007025D5">
            <w:pPr>
              <w:pStyle w:val="Tabletext"/>
              <w:jc w:val="center"/>
              <w:rPr>
                <w:lang w:eastAsia="en-GB"/>
              </w:rPr>
            </w:pPr>
            <w:r w:rsidRPr="004857E0">
              <w:rPr>
                <w:lang w:eastAsia="en-GB"/>
              </w:rPr>
              <w:t>35</w:t>
            </w:r>
          </w:p>
        </w:tc>
      </w:tr>
      <w:tr w:rsidR="004857E0" w:rsidRPr="004857E0" w14:paraId="20C37D85"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3F0A32F3" w14:textId="77777777" w:rsidR="004857E0" w:rsidRPr="004857E0" w:rsidRDefault="004857E0" w:rsidP="007025D5">
            <w:pPr>
              <w:pStyle w:val="Tabletext"/>
              <w:rPr>
                <w:lang w:eastAsia="en-GB"/>
              </w:rPr>
            </w:pPr>
            <w:r w:rsidRPr="004857E0">
              <w:rPr>
                <w:lang w:eastAsia="en-GB"/>
              </w:rPr>
              <w:t>Uruguay</w:t>
            </w:r>
          </w:p>
        </w:tc>
        <w:tc>
          <w:tcPr>
            <w:tcW w:w="1900" w:type="dxa"/>
            <w:tcBorders>
              <w:top w:val="nil"/>
              <w:left w:val="single" w:sz="4" w:space="0" w:color="auto"/>
              <w:bottom w:val="nil"/>
              <w:right w:val="single" w:sz="4" w:space="0" w:color="auto"/>
            </w:tcBorders>
            <w:shd w:val="clear" w:color="000000" w:fill="FFFFFF"/>
            <w:vAlign w:val="bottom"/>
            <w:hideMark/>
          </w:tcPr>
          <w:p w14:paraId="0551735E" w14:textId="1D973B59" w:rsidR="004857E0" w:rsidRPr="004857E0" w:rsidRDefault="004857E0" w:rsidP="007025D5">
            <w:pPr>
              <w:pStyle w:val="Tabletext"/>
              <w:jc w:val="center"/>
              <w:rPr>
                <w:lang w:eastAsia="en-GB"/>
              </w:rPr>
            </w:pPr>
            <w:r w:rsidRPr="004857E0">
              <w:rPr>
                <w:lang w:eastAsia="en-GB"/>
              </w:rPr>
              <w:t>1/4</w:t>
            </w:r>
          </w:p>
        </w:tc>
      </w:tr>
      <w:tr w:rsidR="004857E0" w:rsidRPr="004857E0" w14:paraId="2DD82B05"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6B31CC7" w14:textId="77777777" w:rsidR="004857E0" w:rsidRPr="004857E0" w:rsidRDefault="004857E0" w:rsidP="007025D5">
            <w:pPr>
              <w:pStyle w:val="Tabletext"/>
              <w:rPr>
                <w:lang w:eastAsia="en-GB"/>
              </w:rPr>
            </w:pPr>
            <w:r w:rsidRPr="004857E0">
              <w:rPr>
                <w:lang w:eastAsia="en-GB"/>
              </w:rPr>
              <w:t>Uzbekistan</w:t>
            </w:r>
          </w:p>
        </w:tc>
        <w:tc>
          <w:tcPr>
            <w:tcW w:w="1900" w:type="dxa"/>
            <w:tcBorders>
              <w:top w:val="nil"/>
              <w:left w:val="single" w:sz="4" w:space="0" w:color="auto"/>
              <w:bottom w:val="nil"/>
              <w:right w:val="single" w:sz="4" w:space="0" w:color="auto"/>
            </w:tcBorders>
            <w:shd w:val="clear" w:color="000000" w:fill="FFFFFF"/>
            <w:noWrap/>
            <w:vAlign w:val="bottom"/>
            <w:hideMark/>
          </w:tcPr>
          <w:p w14:paraId="2063C062" w14:textId="3AE130BD" w:rsidR="004857E0" w:rsidRPr="004857E0" w:rsidRDefault="004857E0" w:rsidP="007025D5">
            <w:pPr>
              <w:pStyle w:val="Tabletext"/>
              <w:jc w:val="center"/>
              <w:rPr>
                <w:lang w:eastAsia="en-GB"/>
              </w:rPr>
            </w:pPr>
            <w:r w:rsidRPr="004857E0">
              <w:rPr>
                <w:lang w:eastAsia="en-GB"/>
              </w:rPr>
              <w:t>1/4</w:t>
            </w:r>
          </w:p>
        </w:tc>
      </w:tr>
      <w:tr w:rsidR="004857E0" w:rsidRPr="004857E0" w14:paraId="4DE2C07C"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58F73A3A" w14:textId="77777777" w:rsidR="004857E0" w:rsidRPr="004857E0" w:rsidRDefault="004857E0" w:rsidP="007025D5">
            <w:pPr>
              <w:pStyle w:val="Tabletext"/>
              <w:rPr>
                <w:lang w:eastAsia="en-GB"/>
              </w:rPr>
            </w:pPr>
            <w:r w:rsidRPr="004857E0">
              <w:rPr>
                <w:lang w:eastAsia="en-GB"/>
              </w:rPr>
              <w:t>Vanuatu</w:t>
            </w:r>
          </w:p>
        </w:tc>
        <w:tc>
          <w:tcPr>
            <w:tcW w:w="1900" w:type="dxa"/>
            <w:tcBorders>
              <w:top w:val="nil"/>
              <w:left w:val="single" w:sz="4" w:space="0" w:color="auto"/>
              <w:bottom w:val="nil"/>
              <w:right w:val="single" w:sz="4" w:space="0" w:color="auto"/>
            </w:tcBorders>
            <w:shd w:val="clear" w:color="000000" w:fill="FFFFFF"/>
            <w:vAlign w:val="bottom"/>
            <w:hideMark/>
          </w:tcPr>
          <w:p w14:paraId="1F81B3FD" w14:textId="6C179AEC" w:rsidR="004857E0" w:rsidRPr="004857E0" w:rsidRDefault="004857E0" w:rsidP="007025D5">
            <w:pPr>
              <w:pStyle w:val="Tabletext"/>
              <w:jc w:val="center"/>
              <w:rPr>
                <w:lang w:eastAsia="en-GB"/>
              </w:rPr>
            </w:pPr>
            <w:r w:rsidRPr="004857E0">
              <w:rPr>
                <w:lang w:eastAsia="en-GB"/>
              </w:rPr>
              <w:t>1/16</w:t>
            </w:r>
          </w:p>
        </w:tc>
      </w:tr>
      <w:tr w:rsidR="004857E0" w:rsidRPr="004857E0" w14:paraId="626A4592"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0EFF2B25" w14:textId="77777777" w:rsidR="004857E0" w:rsidRPr="004857E0" w:rsidRDefault="004857E0" w:rsidP="007025D5">
            <w:pPr>
              <w:pStyle w:val="Tabletext"/>
              <w:rPr>
                <w:lang w:eastAsia="en-GB"/>
              </w:rPr>
            </w:pPr>
            <w:r w:rsidRPr="004857E0">
              <w:rPr>
                <w:lang w:eastAsia="en-GB"/>
              </w:rPr>
              <w:t>Vatican</w:t>
            </w:r>
          </w:p>
        </w:tc>
        <w:tc>
          <w:tcPr>
            <w:tcW w:w="1900" w:type="dxa"/>
            <w:tcBorders>
              <w:top w:val="nil"/>
              <w:left w:val="single" w:sz="4" w:space="0" w:color="auto"/>
              <w:bottom w:val="nil"/>
              <w:right w:val="single" w:sz="4" w:space="0" w:color="auto"/>
            </w:tcBorders>
            <w:shd w:val="clear" w:color="000000" w:fill="FFFFFF"/>
            <w:noWrap/>
            <w:vAlign w:val="bottom"/>
            <w:hideMark/>
          </w:tcPr>
          <w:p w14:paraId="6E26D29A" w14:textId="5AA23DBE" w:rsidR="004857E0" w:rsidRPr="004857E0" w:rsidRDefault="004857E0" w:rsidP="007025D5">
            <w:pPr>
              <w:pStyle w:val="Tabletext"/>
              <w:jc w:val="center"/>
              <w:rPr>
                <w:lang w:eastAsia="en-GB"/>
              </w:rPr>
            </w:pPr>
            <w:r w:rsidRPr="004857E0">
              <w:rPr>
                <w:lang w:eastAsia="en-GB"/>
              </w:rPr>
              <w:t>1/4</w:t>
            </w:r>
          </w:p>
        </w:tc>
      </w:tr>
      <w:tr w:rsidR="004857E0" w:rsidRPr="004857E0" w14:paraId="71A069B9"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21FBD3F9" w14:textId="77777777" w:rsidR="004857E0" w:rsidRPr="004857E0" w:rsidRDefault="004857E0" w:rsidP="007025D5">
            <w:pPr>
              <w:pStyle w:val="Tabletext"/>
              <w:rPr>
                <w:lang w:eastAsia="en-GB"/>
              </w:rPr>
            </w:pPr>
            <w:r w:rsidRPr="004857E0">
              <w:rPr>
                <w:lang w:eastAsia="en-GB"/>
              </w:rPr>
              <w:t>Venezuela</w:t>
            </w:r>
          </w:p>
        </w:tc>
        <w:tc>
          <w:tcPr>
            <w:tcW w:w="1900" w:type="dxa"/>
            <w:tcBorders>
              <w:top w:val="nil"/>
              <w:left w:val="single" w:sz="4" w:space="0" w:color="auto"/>
              <w:bottom w:val="nil"/>
              <w:right w:val="single" w:sz="4" w:space="0" w:color="auto"/>
            </w:tcBorders>
            <w:shd w:val="clear" w:color="000000" w:fill="FFFFFF"/>
            <w:vAlign w:val="bottom"/>
            <w:hideMark/>
          </w:tcPr>
          <w:p w14:paraId="54FFBA71" w14:textId="12A75258" w:rsidR="004857E0" w:rsidRPr="004857E0" w:rsidRDefault="004857E0" w:rsidP="007025D5">
            <w:pPr>
              <w:pStyle w:val="Tabletext"/>
              <w:jc w:val="center"/>
              <w:rPr>
                <w:lang w:eastAsia="en-GB"/>
              </w:rPr>
            </w:pPr>
            <w:r w:rsidRPr="004857E0">
              <w:rPr>
                <w:lang w:eastAsia="en-GB"/>
              </w:rPr>
              <w:t>1/2</w:t>
            </w:r>
          </w:p>
        </w:tc>
      </w:tr>
      <w:tr w:rsidR="004857E0" w:rsidRPr="004857E0" w14:paraId="7C432A33"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3204D4E5" w14:textId="77777777" w:rsidR="004857E0" w:rsidRPr="004857E0" w:rsidRDefault="004857E0" w:rsidP="007025D5">
            <w:pPr>
              <w:pStyle w:val="Tabletext"/>
              <w:rPr>
                <w:lang w:eastAsia="en-GB"/>
              </w:rPr>
            </w:pPr>
            <w:r w:rsidRPr="004857E0">
              <w:rPr>
                <w:lang w:eastAsia="en-GB"/>
              </w:rPr>
              <w:t>Vietnam</w:t>
            </w:r>
          </w:p>
        </w:tc>
        <w:tc>
          <w:tcPr>
            <w:tcW w:w="1900" w:type="dxa"/>
            <w:tcBorders>
              <w:top w:val="nil"/>
              <w:left w:val="single" w:sz="4" w:space="0" w:color="auto"/>
              <w:bottom w:val="nil"/>
              <w:right w:val="single" w:sz="4" w:space="0" w:color="auto"/>
            </w:tcBorders>
            <w:shd w:val="clear" w:color="000000" w:fill="FFFFFF"/>
            <w:noWrap/>
            <w:vAlign w:val="bottom"/>
            <w:hideMark/>
          </w:tcPr>
          <w:p w14:paraId="7E68243D" w14:textId="25B664DF" w:rsidR="004857E0" w:rsidRPr="004857E0" w:rsidRDefault="004857E0" w:rsidP="007025D5">
            <w:pPr>
              <w:pStyle w:val="Tabletext"/>
              <w:jc w:val="center"/>
              <w:rPr>
                <w:lang w:eastAsia="en-GB"/>
              </w:rPr>
            </w:pPr>
            <w:r w:rsidRPr="004857E0">
              <w:rPr>
                <w:lang w:eastAsia="en-GB"/>
              </w:rPr>
              <w:t>1/2</w:t>
            </w:r>
          </w:p>
        </w:tc>
      </w:tr>
      <w:tr w:rsidR="004857E0" w:rsidRPr="004857E0" w14:paraId="05657AC0"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37B6D20D" w14:textId="77777777" w:rsidR="004857E0" w:rsidRPr="004857E0" w:rsidRDefault="004857E0" w:rsidP="007025D5">
            <w:pPr>
              <w:pStyle w:val="Tabletext"/>
              <w:rPr>
                <w:lang w:eastAsia="en-GB"/>
              </w:rPr>
            </w:pPr>
            <w:r w:rsidRPr="004857E0">
              <w:rPr>
                <w:lang w:eastAsia="en-GB"/>
              </w:rPr>
              <w:t>Yemen</w:t>
            </w:r>
          </w:p>
        </w:tc>
        <w:tc>
          <w:tcPr>
            <w:tcW w:w="1900" w:type="dxa"/>
            <w:tcBorders>
              <w:top w:val="nil"/>
              <w:left w:val="single" w:sz="4" w:space="0" w:color="auto"/>
              <w:bottom w:val="nil"/>
              <w:right w:val="single" w:sz="4" w:space="0" w:color="auto"/>
            </w:tcBorders>
            <w:shd w:val="clear" w:color="000000" w:fill="FFFFFF"/>
            <w:vAlign w:val="bottom"/>
            <w:hideMark/>
          </w:tcPr>
          <w:p w14:paraId="7BA5095F" w14:textId="6148976D" w:rsidR="004857E0" w:rsidRPr="004857E0" w:rsidRDefault="004857E0" w:rsidP="007025D5">
            <w:pPr>
              <w:pStyle w:val="Tabletext"/>
              <w:jc w:val="center"/>
              <w:rPr>
                <w:lang w:eastAsia="en-GB"/>
              </w:rPr>
            </w:pPr>
            <w:r w:rsidRPr="004857E0">
              <w:rPr>
                <w:lang w:eastAsia="en-GB"/>
              </w:rPr>
              <w:t>1/16</w:t>
            </w:r>
          </w:p>
        </w:tc>
      </w:tr>
      <w:tr w:rsidR="004857E0" w:rsidRPr="004857E0" w14:paraId="66286D19"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2122C755" w14:textId="77777777" w:rsidR="004857E0" w:rsidRPr="004857E0" w:rsidRDefault="004857E0" w:rsidP="007025D5">
            <w:pPr>
              <w:pStyle w:val="Tabletext"/>
              <w:rPr>
                <w:lang w:eastAsia="en-GB"/>
              </w:rPr>
            </w:pPr>
            <w:r w:rsidRPr="004857E0">
              <w:rPr>
                <w:lang w:eastAsia="en-GB"/>
              </w:rPr>
              <w:t>Zambia</w:t>
            </w:r>
          </w:p>
        </w:tc>
        <w:tc>
          <w:tcPr>
            <w:tcW w:w="1900" w:type="dxa"/>
            <w:tcBorders>
              <w:top w:val="nil"/>
              <w:left w:val="single" w:sz="4" w:space="0" w:color="auto"/>
              <w:bottom w:val="nil"/>
              <w:right w:val="single" w:sz="4" w:space="0" w:color="auto"/>
            </w:tcBorders>
            <w:shd w:val="clear" w:color="000000" w:fill="FFFFFF"/>
            <w:noWrap/>
            <w:vAlign w:val="bottom"/>
            <w:hideMark/>
          </w:tcPr>
          <w:p w14:paraId="4E45C877" w14:textId="6E19A61D" w:rsidR="004857E0" w:rsidRPr="004857E0" w:rsidRDefault="004857E0" w:rsidP="007025D5">
            <w:pPr>
              <w:pStyle w:val="Tabletext"/>
              <w:jc w:val="center"/>
              <w:rPr>
                <w:lang w:eastAsia="en-GB"/>
              </w:rPr>
            </w:pPr>
            <w:r w:rsidRPr="004857E0">
              <w:rPr>
                <w:lang w:eastAsia="en-GB"/>
              </w:rPr>
              <w:t>1/8</w:t>
            </w:r>
          </w:p>
        </w:tc>
      </w:tr>
      <w:tr w:rsidR="004857E0" w:rsidRPr="004857E0" w14:paraId="3E771A91" w14:textId="77777777" w:rsidTr="007025D5">
        <w:trPr>
          <w:cantSplit/>
          <w:jc w:val="center"/>
        </w:trPr>
        <w:tc>
          <w:tcPr>
            <w:tcW w:w="4180" w:type="dxa"/>
            <w:tcBorders>
              <w:top w:val="nil"/>
              <w:left w:val="single" w:sz="4" w:space="0" w:color="auto"/>
              <w:bottom w:val="nil"/>
              <w:right w:val="single" w:sz="4" w:space="0" w:color="auto"/>
            </w:tcBorders>
            <w:shd w:val="clear" w:color="000000" w:fill="FFFFFF"/>
            <w:vAlign w:val="bottom"/>
            <w:hideMark/>
          </w:tcPr>
          <w:p w14:paraId="37EE3931" w14:textId="77777777" w:rsidR="004857E0" w:rsidRPr="004857E0" w:rsidRDefault="004857E0" w:rsidP="007025D5">
            <w:pPr>
              <w:pStyle w:val="Tabletext"/>
              <w:rPr>
                <w:lang w:eastAsia="en-GB"/>
              </w:rPr>
            </w:pPr>
            <w:r w:rsidRPr="004857E0">
              <w:rPr>
                <w:lang w:eastAsia="en-GB"/>
              </w:rPr>
              <w:t>Zimbabwe</w:t>
            </w:r>
          </w:p>
        </w:tc>
        <w:tc>
          <w:tcPr>
            <w:tcW w:w="1900" w:type="dxa"/>
            <w:tcBorders>
              <w:top w:val="nil"/>
              <w:left w:val="single" w:sz="4" w:space="0" w:color="auto"/>
              <w:bottom w:val="nil"/>
              <w:right w:val="single" w:sz="4" w:space="0" w:color="auto"/>
            </w:tcBorders>
            <w:shd w:val="clear" w:color="000000" w:fill="FFFFFF"/>
            <w:noWrap/>
            <w:vAlign w:val="bottom"/>
            <w:hideMark/>
          </w:tcPr>
          <w:p w14:paraId="4914CFDD" w14:textId="3C68D2BD" w:rsidR="004857E0" w:rsidRPr="004857E0" w:rsidRDefault="004857E0" w:rsidP="007025D5">
            <w:pPr>
              <w:pStyle w:val="Tabletext"/>
              <w:jc w:val="center"/>
              <w:rPr>
                <w:lang w:eastAsia="en-GB"/>
              </w:rPr>
            </w:pPr>
            <w:r w:rsidRPr="004857E0">
              <w:rPr>
                <w:lang w:eastAsia="en-GB"/>
              </w:rPr>
              <w:t>1/2</w:t>
            </w:r>
          </w:p>
        </w:tc>
      </w:tr>
      <w:tr w:rsidR="004857E0" w:rsidRPr="007025D5" w14:paraId="5AB0D66A" w14:textId="77777777" w:rsidTr="007025D5">
        <w:trPr>
          <w:cantSplit/>
          <w:jc w:val="center"/>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2F8E0" w14:textId="77777777" w:rsidR="004857E0" w:rsidRPr="007025D5" w:rsidRDefault="004857E0" w:rsidP="007025D5">
            <w:pPr>
              <w:pStyle w:val="Tabletext"/>
              <w:jc w:val="right"/>
              <w:rPr>
                <w:b/>
                <w:bCs/>
                <w:lang w:eastAsia="en-GB"/>
              </w:rPr>
            </w:pPr>
            <w:r w:rsidRPr="007025D5">
              <w:rPr>
                <w:b/>
                <w:bCs/>
                <w:lang w:eastAsia="en-GB"/>
              </w:rPr>
              <w:t>Total</w:t>
            </w:r>
          </w:p>
        </w:tc>
        <w:tc>
          <w:tcPr>
            <w:tcW w:w="1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529F29" w14:textId="1C69777A" w:rsidR="004857E0" w:rsidRPr="007025D5" w:rsidRDefault="004857E0" w:rsidP="007025D5">
            <w:pPr>
              <w:pStyle w:val="Tabletext"/>
              <w:jc w:val="center"/>
              <w:rPr>
                <w:b/>
                <w:bCs/>
                <w:lang w:eastAsia="en-GB"/>
              </w:rPr>
            </w:pPr>
            <w:r w:rsidRPr="007025D5">
              <w:rPr>
                <w:b/>
                <w:bCs/>
                <w:lang w:eastAsia="en-GB"/>
              </w:rPr>
              <w:t>356</w:t>
            </w:r>
          </w:p>
        </w:tc>
      </w:tr>
    </w:tbl>
    <w:p w14:paraId="237CD89A" w14:textId="77777777" w:rsidR="007025D5" w:rsidRDefault="00082E90" w:rsidP="007025D5">
      <w:r>
        <w:br w:type="page"/>
      </w:r>
    </w:p>
    <w:p w14:paraId="701EE0A4" w14:textId="79BEB042" w:rsidR="00082E90" w:rsidRDefault="00082E90" w:rsidP="00B157E0">
      <w:pPr>
        <w:pStyle w:val="AnnexNo"/>
      </w:pPr>
      <w:bookmarkStart w:id="15" w:name="Annex2"/>
      <w:bookmarkEnd w:id="15"/>
      <w:r w:rsidRPr="00E67A84">
        <w:lastRenderedPageBreak/>
        <w:t>ANNEX 2</w:t>
      </w:r>
    </w:p>
    <w:p w14:paraId="105CD33D" w14:textId="77777777" w:rsidR="004857E0" w:rsidRDefault="004857E0" w:rsidP="00082E90">
      <w:pPr>
        <w:tabs>
          <w:tab w:val="clear" w:pos="567"/>
          <w:tab w:val="clear" w:pos="1134"/>
          <w:tab w:val="clear" w:pos="1701"/>
          <w:tab w:val="clear" w:pos="2268"/>
          <w:tab w:val="clear" w:pos="2835"/>
        </w:tabs>
        <w:overflowPunct/>
        <w:autoSpaceDE/>
        <w:autoSpaceDN/>
        <w:adjustRightInd/>
        <w:spacing w:before="0"/>
        <w:jc w:val="center"/>
        <w:textAlignment w:val="auto"/>
        <w:rPr>
          <w:sz w:val="28"/>
          <w:szCs w:val="28"/>
        </w:rPr>
      </w:pPr>
    </w:p>
    <w:tbl>
      <w:tblPr>
        <w:tblW w:w="9760" w:type="dxa"/>
        <w:jc w:val="center"/>
        <w:tblLayout w:type="fixed"/>
        <w:tblCellMar>
          <w:left w:w="57" w:type="dxa"/>
          <w:right w:w="57" w:type="dxa"/>
        </w:tblCellMar>
        <w:tblLook w:val="04A0" w:firstRow="1" w:lastRow="0" w:firstColumn="1" w:lastColumn="0" w:noHBand="0" w:noVBand="1"/>
      </w:tblPr>
      <w:tblGrid>
        <w:gridCol w:w="4600"/>
        <w:gridCol w:w="1300"/>
        <w:gridCol w:w="1300"/>
        <w:gridCol w:w="1280"/>
        <w:gridCol w:w="1280"/>
      </w:tblGrid>
      <w:tr w:rsidR="004857E0" w:rsidRPr="004857E0" w14:paraId="3D93C933" w14:textId="77777777" w:rsidTr="00B157E0">
        <w:trPr>
          <w:cantSplit/>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4BAA8" w14:textId="77777777" w:rsidR="004857E0" w:rsidRPr="004857E0" w:rsidRDefault="004857E0" w:rsidP="00B157E0">
            <w:pPr>
              <w:pStyle w:val="Tablehead"/>
              <w:rPr>
                <w:lang w:eastAsia="en-GB"/>
              </w:rPr>
            </w:pPr>
            <w:r w:rsidRPr="004857E0">
              <w:rPr>
                <w:lang w:eastAsia="en-GB"/>
              </w:rPr>
              <w:t>Sector Members</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AE97429" w14:textId="77777777" w:rsidR="004857E0" w:rsidRPr="004857E0" w:rsidRDefault="004857E0" w:rsidP="00B157E0">
            <w:pPr>
              <w:pStyle w:val="Tablehead"/>
              <w:rPr>
                <w:lang w:eastAsia="en-GB"/>
              </w:rPr>
            </w:pPr>
            <w:r w:rsidRPr="004857E0">
              <w:rPr>
                <w:lang w:eastAsia="en-GB"/>
              </w:rPr>
              <w:t>No. of units      PP-22</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14:paraId="391A0B0F" w14:textId="77777777" w:rsidR="004857E0" w:rsidRPr="004857E0" w:rsidRDefault="004857E0" w:rsidP="00B157E0">
            <w:pPr>
              <w:pStyle w:val="Tablehead"/>
              <w:rPr>
                <w:lang w:eastAsia="en-GB"/>
              </w:rPr>
            </w:pPr>
            <w:r w:rsidRPr="004857E0">
              <w:rPr>
                <w:lang w:eastAsia="en-GB"/>
              </w:rPr>
              <w:t>No. of units at 28.02.2025</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372700D6" w14:textId="77777777" w:rsidR="004857E0" w:rsidRPr="004857E0" w:rsidRDefault="004857E0" w:rsidP="00B157E0">
            <w:pPr>
              <w:pStyle w:val="Tablehead"/>
              <w:rPr>
                <w:lang w:eastAsia="en-GB"/>
              </w:rPr>
            </w:pPr>
            <w:r w:rsidRPr="004857E0">
              <w:rPr>
                <w:lang w:eastAsia="en-GB"/>
              </w:rPr>
              <w:t>Difference</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E57E908" w14:textId="77777777" w:rsidR="004857E0" w:rsidRPr="004857E0" w:rsidRDefault="004857E0" w:rsidP="00B157E0">
            <w:pPr>
              <w:pStyle w:val="Tablehead"/>
              <w:rPr>
                <w:lang w:eastAsia="en-GB"/>
              </w:rPr>
            </w:pPr>
            <w:r w:rsidRPr="004857E0">
              <w:rPr>
                <w:lang w:eastAsia="en-GB"/>
              </w:rPr>
              <w:t>Difference in %</w:t>
            </w:r>
          </w:p>
        </w:tc>
      </w:tr>
      <w:tr w:rsidR="004857E0" w:rsidRPr="004857E0" w14:paraId="38448452" w14:textId="77777777" w:rsidTr="00B157E0">
        <w:trPr>
          <w:cantSplit/>
          <w:jc w:val="center"/>
        </w:trPr>
        <w:tc>
          <w:tcPr>
            <w:tcW w:w="4600" w:type="dxa"/>
            <w:tcBorders>
              <w:top w:val="nil"/>
              <w:left w:val="single" w:sz="4" w:space="0" w:color="auto"/>
              <w:bottom w:val="single" w:sz="4" w:space="0" w:color="auto"/>
              <w:right w:val="single" w:sz="4" w:space="0" w:color="auto"/>
            </w:tcBorders>
            <w:shd w:val="clear" w:color="000000" w:fill="FFFFFF"/>
            <w:vAlign w:val="bottom"/>
            <w:hideMark/>
          </w:tcPr>
          <w:p w14:paraId="699A7594" w14:textId="77777777" w:rsidR="004857E0" w:rsidRPr="004857E0" w:rsidRDefault="004857E0" w:rsidP="00B157E0">
            <w:pPr>
              <w:pStyle w:val="Tabletext"/>
              <w:rPr>
                <w:lang w:eastAsia="en-GB"/>
              </w:rPr>
            </w:pPr>
            <w:r w:rsidRPr="004857E0">
              <w:rPr>
                <w:lang w:eastAsia="en-GB"/>
              </w:rPr>
              <w:t>ITU-R Sector Members</w:t>
            </w:r>
          </w:p>
        </w:tc>
        <w:tc>
          <w:tcPr>
            <w:tcW w:w="1300" w:type="dxa"/>
            <w:tcBorders>
              <w:top w:val="nil"/>
              <w:left w:val="nil"/>
              <w:bottom w:val="single" w:sz="4" w:space="0" w:color="auto"/>
              <w:right w:val="single" w:sz="4" w:space="0" w:color="auto"/>
            </w:tcBorders>
            <w:shd w:val="clear" w:color="000000" w:fill="FFFFFF"/>
            <w:noWrap/>
            <w:vAlign w:val="bottom"/>
            <w:hideMark/>
          </w:tcPr>
          <w:p w14:paraId="659D969D" w14:textId="77777777" w:rsidR="004857E0" w:rsidRPr="004857E0" w:rsidRDefault="004857E0" w:rsidP="00B157E0">
            <w:pPr>
              <w:pStyle w:val="Tabletext"/>
              <w:jc w:val="center"/>
              <w:rPr>
                <w:lang w:eastAsia="en-GB"/>
              </w:rPr>
            </w:pPr>
            <w:r w:rsidRPr="004857E0">
              <w:rPr>
                <w:lang w:eastAsia="en-GB"/>
              </w:rPr>
              <w:t>100 1/2</w:t>
            </w:r>
          </w:p>
        </w:tc>
        <w:tc>
          <w:tcPr>
            <w:tcW w:w="1300" w:type="dxa"/>
            <w:tcBorders>
              <w:top w:val="nil"/>
              <w:left w:val="nil"/>
              <w:bottom w:val="single" w:sz="4" w:space="0" w:color="auto"/>
              <w:right w:val="single" w:sz="4" w:space="0" w:color="auto"/>
            </w:tcBorders>
            <w:shd w:val="clear" w:color="auto" w:fill="auto"/>
            <w:noWrap/>
            <w:vAlign w:val="bottom"/>
            <w:hideMark/>
          </w:tcPr>
          <w:p w14:paraId="69A7FBCB" w14:textId="10C18FC1" w:rsidR="004857E0" w:rsidRPr="004857E0" w:rsidRDefault="004857E0" w:rsidP="00B157E0">
            <w:pPr>
              <w:pStyle w:val="Tabletext"/>
              <w:jc w:val="center"/>
              <w:rPr>
                <w:lang w:eastAsia="en-GB"/>
              </w:rPr>
            </w:pPr>
            <w:r w:rsidRPr="004857E0">
              <w:rPr>
                <w:lang w:eastAsia="en-GB"/>
              </w:rPr>
              <w:t>103</w:t>
            </w:r>
          </w:p>
        </w:tc>
        <w:tc>
          <w:tcPr>
            <w:tcW w:w="1280" w:type="dxa"/>
            <w:tcBorders>
              <w:top w:val="nil"/>
              <w:left w:val="nil"/>
              <w:bottom w:val="single" w:sz="4" w:space="0" w:color="auto"/>
              <w:right w:val="single" w:sz="4" w:space="0" w:color="auto"/>
            </w:tcBorders>
            <w:shd w:val="clear" w:color="000000" w:fill="FFFFFF"/>
            <w:noWrap/>
            <w:vAlign w:val="bottom"/>
            <w:hideMark/>
          </w:tcPr>
          <w:p w14:paraId="6C739720" w14:textId="6CB4901D" w:rsidR="004857E0" w:rsidRPr="004857E0" w:rsidRDefault="004857E0" w:rsidP="00B157E0">
            <w:pPr>
              <w:pStyle w:val="Tabletext"/>
              <w:jc w:val="center"/>
              <w:rPr>
                <w:lang w:eastAsia="en-GB"/>
              </w:rPr>
            </w:pPr>
            <w:r w:rsidRPr="004857E0">
              <w:rPr>
                <w:lang w:eastAsia="en-GB"/>
              </w:rPr>
              <w:t>3</w:t>
            </w:r>
          </w:p>
        </w:tc>
        <w:tc>
          <w:tcPr>
            <w:tcW w:w="1280" w:type="dxa"/>
            <w:tcBorders>
              <w:top w:val="nil"/>
              <w:left w:val="nil"/>
              <w:bottom w:val="single" w:sz="4" w:space="0" w:color="auto"/>
              <w:right w:val="single" w:sz="4" w:space="0" w:color="auto"/>
            </w:tcBorders>
            <w:shd w:val="clear" w:color="auto" w:fill="auto"/>
            <w:noWrap/>
            <w:vAlign w:val="bottom"/>
            <w:hideMark/>
          </w:tcPr>
          <w:p w14:paraId="2979948C" w14:textId="77777777" w:rsidR="004857E0" w:rsidRPr="004857E0" w:rsidRDefault="004857E0" w:rsidP="00B157E0">
            <w:pPr>
              <w:pStyle w:val="Tabletext"/>
              <w:jc w:val="center"/>
              <w:rPr>
                <w:lang w:eastAsia="en-GB"/>
              </w:rPr>
            </w:pPr>
            <w:r w:rsidRPr="004857E0">
              <w:rPr>
                <w:lang w:eastAsia="en-GB"/>
              </w:rPr>
              <w:t>3%</w:t>
            </w:r>
          </w:p>
        </w:tc>
      </w:tr>
      <w:tr w:rsidR="004857E0" w:rsidRPr="004857E0" w14:paraId="198A37B7" w14:textId="77777777" w:rsidTr="00B157E0">
        <w:trPr>
          <w:cantSplit/>
          <w:jc w:val="center"/>
        </w:trPr>
        <w:tc>
          <w:tcPr>
            <w:tcW w:w="4600" w:type="dxa"/>
            <w:tcBorders>
              <w:top w:val="nil"/>
              <w:left w:val="single" w:sz="4" w:space="0" w:color="auto"/>
              <w:bottom w:val="single" w:sz="4" w:space="0" w:color="auto"/>
              <w:right w:val="single" w:sz="4" w:space="0" w:color="auto"/>
            </w:tcBorders>
            <w:shd w:val="clear" w:color="000000" w:fill="FFFFFF"/>
            <w:vAlign w:val="bottom"/>
            <w:hideMark/>
          </w:tcPr>
          <w:p w14:paraId="3794FFE0" w14:textId="77777777" w:rsidR="004857E0" w:rsidRPr="004857E0" w:rsidRDefault="004857E0" w:rsidP="00B157E0">
            <w:pPr>
              <w:pStyle w:val="Tabletext"/>
              <w:rPr>
                <w:lang w:eastAsia="en-GB"/>
              </w:rPr>
            </w:pPr>
            <w:r w:rsidRPr="004857E0">
              <w:rPr>
                <w:lang w:eastAsia="en-GB"/>
              </w:rPr>
              <w:t>ITU-T Sector Members</w:t>
            </w:r>
          </w:p>
        </w:tc>
        <w:tc>
          <w:tcPr>
            <w:tcW w:w="1300" w:type="dxa"/>
            <w:tcBorders>
              <w:top w:val="nil"/>
              <w:left w:val="nil"/>
              <w:bottom w:val="single" w:sz="4" w:space="0" w:color="auto"/>
              <w:right w:val="single" w:sz="4" w:space="0" w:color="auto"/>
            </w:tcBorders>
            <w:shd w:val="clear" w:color="000000" w:fill="FFFFFF"/>
            <w:noWrap/>
            <w:vAlign w:val="bottom"/>
            <w:hideMark/>
          </w:tcPr>
          <w:p w14:paraId="6A291627" w14:textId="6609A0CB" w:rsidR="004857E0" w:rsidRPr="004857E0" w:rsidRDefault="004857E0" w:rsidP="00B157E0">
            <w:pPr>
              <w:pStyle w:val="Tabletext"/>
              <w:jc w:val="center"/>
              <w:rPr>
                <w:lang w:eastAsia="en-GB"/>
              </w:rPr>
            </w:pPr>
            <w:r w:rsidRPr="004857E0">
              <w:rPr>
                <w:lang w:eastAsia="en-GB"/>
              </w:rPr>
              <w:t>94</w:t>
            </w:r>
          </w:p>
        </w:tc>
        <w:tc>
          <w:tcPr>
            <w:tcW w:w="1300" w:type="dxa"/>
            <w:tcBorders>
              <w:top w:val="nil"/>
              <w:left w:val="nil"/>
              <w:bottom w:val="single" w:sz="4" w:space="0" w:color="auto"/>
              <w:right w:val="single" w:sz="4" w:space="0" w:color="auto"/>
            </w:tcBorders>
            <w:shd w:val="clear" w:color="auto" w:fill="auto"/>
            <w:noWrap/>
            <w:vAlign w:val="bottom"/>
            <w:hideMark/>
          </w:tcPr>
          <w:p w14:paraId="4543D7F2" w14:textId="1A6A7A1E" w:rsidR="004857E0" w:rsidRPr="004857E0" w:rsidRDefault="004857E0" w:rsidP="00B157E0">
            <w:pPr>
              <w:pStyle w:val="Tabletext"/>
              <w:jc w:val="center"/>
              <w:rPr>
                <w:lang w:eastAsia="en-GB"/>
              </w:rPr>
            </w:pPr>
            <w:r w:rsidRPr="004857E0">
              <w:rPr>
                <w:lang w:eastAsia="en-GB"/>
              </w:rPr>
              <w:t>90</w:t>
            </w:r>
          </w:p>
        </w:tc>
        <w:tc>
          <w:tcPr>
            <w:tcW w:w="1280" w:type="dxa"/>
            <w:tcBorders>
              <w:top w:val="nil"/>
              <w:left w:val="nil"/>
              <w:bottom w:val="single" w:sz="4" w:space="0" w:color="auto"/>
              <w:right w:val="single" w:sz="4" w:space="0" w:color="auto"/>
            </w:tcBorders>
            <w:shd w:val="clear" w:color="000000" w:fill="FFFFFF"/>
            <w:noWrap/>
            <w:vAlign w:val="bottom"/>
            <w:hideMark/>
          </w:tcPr>
          <w:p w14:paraId="56C02977" w14:textId="01DB99BC" w:rsidR="004857E0" w:rsidRPr="004857E0" w:rsidRDefault="004857E0" w:rsidP="00B157E0">
            <w:pPr>
              <w:pStyle w:val="Tabletext"/>
              <w:jc w:val="center"/>
              <w:rPr>
                <w:lang w:eastAsia="en-GB"/>
              </w:rPr>
            </w:pPr>
            <w:r w:rsidRPr="004857E0">
              <w:rPr>
                <w:lang w:eastAsia="en-GB"/>
              </w:rPr>
              <w:t>-4</w:t>
            </w:r>
          </w:p>
        </w:tc>
        <w:tc>
          <w:tcPr>
            <w:tcW w:w="1280" w:type="dxa"/>
            <w:tcBorders>
              <w:top w:val="nil"/>
              <w:left w:val="nil"/>
              <w:bottom w:val="single" w:sz="4" w:space="0" w:color="auto"/>
              <w:right w:val="single" w:sz="4" w:space="0" w:color="auto"/>
            </w:tcBorders>
            <w:shd w:val="clear" w:color="auto" w:fill="auto"/>
            <w:noWrap/>
            <w:vAlign w:val="bottom"/>
            <w:hideMark/>
          </w:tcPr>
          <w:p w14:paraId="2503B02B" w14:textId="77777777" w:rsidR="004857E0" w:rsidRPr="004857E0" w:rsidRDefault="004857E0" w:rsidP="00B157E0">
            <w:pPr>
              <w:pStyle w:val="Tabletext"/>
              <w:jc w:val="center"/>
              <w:rPr>
                <w:lang w:eastAsia="en-GB"/>
              </w:rPr>
            </w:pPr>
            <w:r w:rsidRPr="004857E0">
              <w:rPr>
                <w:lang w:eastAsia="en-GB"/>
              </w:rPr>
              <w:t>-4%</w:t>
            </w:r>
          </w:p>
        </w:tc>
      </w:tr>
      <w:tr w:rsidR="004857E0" w:rsidRPr="004857E0" w14:paraId="5CE32F0B" w14:textId="77777777" w:rsidTr="00B157E0">
        <w:trPr>
          <w:cantSplit/>
          <w:jc w:val="center"/>
        </w:trPr>
        <w:tc>
          <w:tcPr>
            <w:tcW w:w="4600" w:type="dxa"/>
            <w:tcBorders>
              <w:top w:val="nil"/>
              <w:left w:val="single" w:sz="4" w:space="0" w:color="auto"/>
              <w:bottom w:val="single" w:sz="4" w:space="0" w:color="auto"/>
              <w:right w:val="single" w:sz="4" w:space="0" w:color="auto"/>
            </w:tcBorders>
            <w:shd w:val="clear" w:color="000000" w:fill="FFFFFF"/>
            <w:vAlign w:val="bottom"/>
            <w:hideMark/>
          </w:tcPr>
          <w:p w14:paraId="66883601" w14:textId="77777777" w:rsidR="004857E0" w:rsidRPr="004857E0" w:rsidRDefault="004857E0" w:rsidP="00B157E0">
            <w:pPr>
              <w:pStyle w:val="Tabletext"/>
              <w:rPr>
                <w:lang w:eastAsia="en-GB"/>
              </w:rPr>
            </w:pPr>
            <w:r w:rsidRPr="004857E0">
              <w:rPr>
                <w:lang w:eastAsia="en-GB"/>
              </w:rPr>
              <w:t>ITU-D Sector Members</w:t>
            </w:r>
          </w:p>
        </w:tc>
        <w:tc>
          <w:tcPr>
            <w:tcW w:w="1300" w:type="dxa"/>
            <w:tcBorders>
              <w:top w:val="nil"/>
              <w:left w:val="nil"/>
              <w:bottom w:val="single" w:sz="4" w:space="0" w:color="auto"/>
              <w:right w:val="single" w:sz="4" w:space="0" w:color="auto"/>
            </w:tcBorders>
            <w:shd w:val="clear" w:color="000000" w:fill="FFFFFF"/>
            <w:noWrap/>
            <w:vAlign w:val="bottom"/>
            <w:hideMark/>
          </w:tcPr>
          <w:p w14:paraId="128CABFE" w14:textId="60A563B0" w:rsidR="004857E0" w:rsidRPr="004857E0" w:rsidRDefault="004857E0" w:rsidP="00B157E0">
            <w:pPr>
              <w:pStyle w:val="Tabletext"/>
              <w:jc w:val="center"/>
              <w:rPr>
                <w:lang w:eastAsia="en-GB"/>
              </w:rPr>
            </w:pPr>
            <w:r w:rsidRPr="004857E0">
              <w:rPr>
                <w:lang w:eastAsia="en-GB"/>
              </w:rPr>
              <w:t>22</w:t>
            </w:r>
          </w:p>
        </w:tc>
        <w:tc>
          <w:tcPr>
            <w:tcW w:w="1300" w:type="dxa"/>
            <w:tcBorders>
              <w:top w:val="nil"/>
              <w:left w:val="nil"/>
              <w:bottom w:val="single" w:sz="4" w:space="0" w:color="auto"/>
              <w:right w:val="single" w:sz="4" w:space="0" w:color="auto"/>
            </w:tcBorders>
            <w:shd w:val="clear" w:color="auto" w:fill="auto"/>
            <w:noWrap/>
            <w:vAlign w:val="bottom"/>
            <w:hideMark/>
          </w:tcPr>
          <w:p w14:paraId="39AEEAC4" w14:textId="43EE3F17" w:rsidR="004857E0" w:rsidRPr="004857E0" w:rsidRDefault="004857E0" w:rsidP="00B157E0">
            <w:pPr>
              <w:pStyle w:val="Tabletext"/>
              <w:jc w:val="center"/>
              <w:rPr>
                <w:lang w:eastAsia="en-GB"/>
              </w:rPr>
            </w:pPr>
            <w:r w:rsidRPr="004857E0">
              <w:rPr>
                <w:lang w:eastAsia="en-GB"/>
              </w:rPr>
              <w:t>24</w:t>
            </w:r>
          </w:p>
        </w:tc>
        <w:tc>
          <w:tcPr>
            <w:tcW w:w="1280" w:type="dxa"/>
            <w:tcBorders>
              <w:top w:val="nil"/>
              <w:left w:val="nil"/>
              <w:bottom w:val="single" w:sz="4" w:space="0" w:color="auto"/>
              <w:right w:val="single" w:sz="4" w:space="0" w:color="auto"/>
            </w:tcBorders>
            <w:shd w:val="clear" w:color="000000" w:fill="FFFFFF"/>
            <w:noWrap/>
            <w:vAlign w:val="bottom"/>
            <w:hideMark/>
          </w:tcPr>
          <w:p w14:paraId="06714396" w14:textId="25F73245" w:rsidR="004857E0" w:rsidRPr="004857E0" w:rsidRDefault="004857E0" w:rsidP="00B157E0">
            <w:pPr>
              <w:pStyle w:val="Tabletext"/>
              <w:jc w:val="center"/>
              <w:rPr>
                <w:lang w:eastAsia="en-GB"/>
              </w:rPr>
            </w:pPr>
            <w:r w:rsidRPr="004857E0">
              <w:rPr>
                <w:lang w:eastAsia="en-GB"/>
              </w:rPr>
              <w:t>2</w:t>
            </w:r>
          </w:p>
        </w:tc>
        <w:tc>
          <w:tcPr>
            <w:tcW w:w="1280" w:type="dxa"/>
            <w:tcBorders>
              <w:top w:val="nil"/>
              <w:left w:val="nil"/>
              <w:bottom w:val="single" w:sz="4" w:space="0" w:color="auto"/>
              <w:right w:val="single" w:sz="4" w:space="0" w:color="auto"/>
            </w:tcBorders>
            <w:shd w:val="clear" w:color="auto" w:fill="auto"/>
            <w:noWrap/>
            <w:vAlign w:val="bottom"/>
            <w:hideMark/>
          </w:tcPr>
          <w:p w14:paraId="423A97ED" w14:textId="77777777" w:rsidR="004857E0" w:rsidRPr="004857E0" w:rsidRDefault="004857E0" w:rsidP="00B157E0">
            <w:pPr>
              <w:pStyle w:val="Tabletext"/>
              <w:jc w:val="center"/>
              <w:rPr>
                <w:lang w:eastAsia="en-GB"/>
              </w:rPr>
            </w:pPr>
            <w:r w:rsidRPr="004857E0">
              <w:rPr>
                <w:lang w:eastAsia="en-GB"/>
              </w:rPr>
              <w:t>9%</w:t>
            </w:r>
          </w:p>
        </w:tc>
      </w:tr>
      <w:tr w:rsidR="004857E0" w:rsidRPr="00B157E0" w14:paraId="3A43834C" w14:textId="77777777" w:rsidTr="00B157E0">
        <w:trPr>
          <w:cantSplit/>
          <w:jc w:val="center"/>
        </w:trPr>
        <w:tc>
          <w:tcPr>
            <w:tcW w:w="4600" w:type="dxa"/>
            <w:tcBorders>
              <w:top w:val="nil"/>
              <w:left w:val="single" w:sz="4" w:space="0" w:color="auto"/>
              <w:bottom w:val="single" w:sz="4" w:space="0" w:color="auto"/>
              <w:right w:val="single" w:sz="4" w:space="0" w:color="auto"/>
            </w:tcBorders>
            <w:shd w:val="clear" w:color="000000" w:fill="FFFFFF"/>
            <w:vAlign w:val="bottom"/>
            <w:hideMark/>
          </w:tcPr>
          <w:p w14:paraId="1290B1EF" w14:textId="77777777" w:rsidR="004857E0" w:rsidRPr="00B157E0" w:rsidRDefault="004857E0" w:rsidP="00B157E0">
            <w:pPr>
              <w:pStyle w:val="Tabletext"/>
              <w:jc w:val="right"/>
              <w:rPr>
                <w:b/>
                <w:bCs/>
                <w:lang w:eastAsia="en-GB"/>
              </w:rPr>
            </w:pPr>
            <w:r w:rsidRPr="00B157E0">
              <w:rPr>
                <w:b/>
                <w:bCs/>
                <w:lang w:eastAsia="en-GB"/>
              </w:rPr>
              <w:t>Total</w:t>
            </w:r>
          </w:p>
        </w:tc>
        <w:tc>
          <w:tcPr>
            <w:tcW w:w="1300" w:type="dxa"/>
            <w:tcBorders>
              <w:top w:val="nil"/>
              <w:left w:val="nil"/>
              <w:bottom w:val="single" w:sz="4" w:space="0" w:color="auto"/>
              <w:right w:val="single" w:sz="4" w:space="0" w:color="auto"/>
            </w:tcBorders>
            <w:shd w:val="clear" w:color="000000" w:fill="FFFFFF"/>
            <w:noWrap/>
            <w:vAlign w:val="bottom"/>
            <w:hideMark/>
          </w:tcPr>
          <w:p w14:paraId="5406D7BE" w14:textId="17503D89" w:rsidR="004857E0" w:rsidRPr="00B157E0" w:rsidRDefault="004857E0" w:rsidP="00B157E0">
            <w:pPr>
              <w:pStyle w:val="Tabletext"/>
              <w:jc w:val="center"/>
              <w:rPr>
                <w:b/>
                <w:bCs/>
                <w:lang w:eastAsia="en-GB"/>
              </w:rPr>
            </w:pPr>
            <w:r w:rsidRPr="00B157E0">
              <w:rPr>
                <w:b/>
                <w:bCs/>
                <w:lang w:eastAsia="en-GB"/>
              </w:rPr>
              <w:t>216</w:t>
            </w:r>
          </w:p>
        </w:tc>
        <w:tc>
          <w:tcPr>
            <w:tcW w:w="1300" w:type="dxa"/>
            <w:tcBorders>
              <w:top w:val="nil"/>
              <w:left w:val="nil"/>
              <w:bottom w:val="single" w:sz="4" w:space="0" w:color="auto"/>
              <w:right w:val="single" w:sz="4" w:space="0" w:color="auto"/>
            </w:tcBorders>
            <w:shd w:val="clear" w:color="auto" w:fill="auto"/>
            <w:noWrap/>
            <w:vAlign w:val="bottom"/>
            <w:hideMark/>
          </w:tcPr>
          <w:p w14:paraId="258F7D86" w14:textId="7C557AA5" w:rsidR="004857E0" w:rsidRPr="00B157E0" w:rsidRDefault="004857E0" w:rsidP="00B157E0">
            <w:pPr>
              <w:pStyle w:val="Tabletext"/>
              <w:jc w:val="center"/>
              <w:rPr>
                <w:b/>
                <w:bCs/>
                <w:lang w:eastAsia="en-GB"/>
              </w:rPr>
            </w:pPr>
            <w:r w:rsidRPr="00B157E0">
              <w:rPr>
                <w:b/>
                <w:bCs/>
                <w:lang w:eastAsia="en-GB"/>
              </w:rPr>
              <w:t>217</w:t>
            </w:r>
          </w:p>
        </w:tc>
        <w:tc>
          <w:tcPr>
            <w:tcW w:w="1280" w:type="dxa"/>
            <w:tcBorders>
              <w:top w:val="nil"/>
              <w:left w:val="nil"/>
              <w:bottom w:val="single" w:sz="4" w:space="0" w:color="auto"/>
              <w:right w:val="single" w:sz="4" w:space="0" w:color="auto"/>
            </w:tcBorders>
            <w:shd w:val="clear" w:color="auto" w:fill="auto"/>
            <w:noWrap/>
            <w:vAlign w:val="bottom"/>
            <w:hideMark/>
          </w:tcPr>
          <w:p w14:paraId="0CCF4DEE" w14:textId="764F0FE3" w:rsidR="004857E0" w:rsidRPr="00B157E0" w:rsidRDefault="004857E0" w:rsidP="00B157E0">
            <w:pPr>
              <w:pStyle w:val="Tabletext"/>
              <w:jc w:val="center"/>
              <w:rPr>
                <w:b/>
                <w:bCs/>
                <w:lang w:eastAsia="en-GB"/>
              </w:rPr>
            </w:pPr>
            <w:r w:rsidRPr="00B157E0">
              <w:rPr>
                <w:b/>
                <w:bCs/>
                <w:lang w:eastAsia="en-GB"/>
              </w:rPr>
              <w:t>1</w:t>
            </w:r>
          </w:p>
        </w:tc>
        <w:tc>
          <w:tcPr>
            <w:tcW w:w="1280" w:type="dxa"/>
            <w:tcBorders>
              <w:top w:val="nil"/>
              <w:left w:val="nil"/>
              <w:bottom w:val="single" w:sz="4" w:space="0" w:color="auto"/>
              <w:right w:val="single" w:sz="4" w:space="0" w:color="auto"/>
            </w:tcBorders>
            <w:shd w:val="clear" w:color="auto" w:fill="auto"/>
            <w:noWrap/>
            <w:vAlign w:val="bottom"/>
            <w:hideMark/>
          </w:tcPr>
          <w:p w14:paraId="07ED6B8C" w14:textId="77777777" w:rsidR="004857E0" w:rsidRPr="00B157E0" w:rsidRDefault="004857E0" w:rsidP="00B157E0">
            <w:pPr>
              <w:pStyle w:val="Tabletext"/>
              <w:jc w:val="center"/>
              <w:rPr>
                <w:b/>
                <w:bCs/>
                <w:lang w:eastAsia="en-GB"/>
              </w:rPr>
            </w:pPr>
            <w:r w:rsidRPr="00B157E0">
              <w:rPr>
                <w:b/>
                <w:bCs/>
                <w:lang w:eastAsia="en-GB"/>
              </w:rPr>
              <w:t>0%</w:t>
            </w:r>
          </w:p>
        </w:tc>
      </w:tr>
      <w:tr w:rsidR="004857E0" w:rsidRPr="004857E0" w14:paraId="481320F2" w14:textId="77777777" w:rsidTr="00B157E0">
        <w:trPr>
          <w:cantSplit/>
          <w:jc w:val="center"/>
        </w:trPr>
        <w:tc>
          <w:tcPr>
            <w:tcW w:w="4600" w:type="dxa"/>
            <w:tcBorders>
              <w:top w:val="nil"/>
              <w:left w:val="nil"/>
              <w:bottom w:val="nil"/>
              <w:right w:val="nil"/>
            </w:tcBorders>
            <w:shd w:val="clear" w:color="000000" w:fill="FFFFFF"/>
            <w:vAlign w:val="bottom"/>
            <w:hideMark/>
          </w:tcPr>
          <w:p w14:paraId="4B10BF3E" w14:textId="77777777" w:rsidR="004857E0" w:rsidRPr="004857E0" w:rsidRDefault="004857E0" w:rsidP="00B157E0">
            <w:pPr>
              <w:pStyle w:val="Tabletext"/>
              <w:rPr>
                <w:lang w:eastAsia="en-GB"/>
              </w:rPr>
            </w:pPr>
            <w:r w:rsidRPr="004857E0">
              <w:rPr>
                <w:lang w:eastAsia="en-GB"/>
              </w:rPr>
              <w:t> </w:t>
            </w:r>
          </w:p>
        </w:tc>
        <w:tc>
          <w:tcPr>
            <w:tcW w:w="1300" w:type="dxa"/>
            <w:tcBorders>
              <w:top w:val="nil"/>
              <w:left w:val="nil"/>
              <w:bottom w:val="nil"/>
              <w:right w:val="nil"/>
            </w:tcBorders>
            <w:shd w:val="clear" w:color="000000" w:fill="FFFFFF"/>
            <w:noWrap/>
            <w:vAlign w:val="bottom"/>
            <w:hideMark/>
          </w:tcPr>
          <w:p w14:paraId="5C85960C" w14:textId="77777777" w:rsidR="004857E0" w:rsidRPr="004857E0" w:rsidRDefault="004857E0" w:rsidP="00B157E0">
            <w:pPr>
              <w:pStyle w:val="Tabletext"/>
              <w:rPr>
                <w:lang w:eastAsia="en-GB"/>
              </w:rPr>
            </w:pPr>
            <w:r w:rsidRPr="004857E0">
              <w:rPr>
                <w:lang w:eastAsia="en-GB"/>
              </w:rPr>
              <w:t> </w:t>
            </w:r>
          </w:p>
        </w:tc>
        <w:tc>
          <w:tcPr>
            <w:tcW w:w="1300" w:type="dxa"/>
            <w:tcBorders>
              <w:top w:val="nil"/>
              <w:left w:val="nil"/>
              <w:bottom w:val="nil"/>
              <w:right w:val="nil"/>
            </w:tcBorders>
            <w:shd w:val="clear" w:color="000000" w:fill="FFFFFF"/>
            <w:noWrap/>
            <w:vAlign w:val="bottom"/>
            <w:hideMark/>
          </w:tcPr>
          <w:p w14:paraId="0BDA331D" w14:textId="77777777" w:rsidR="004857E0" w:rsidRPr="004857E0" w:rsidRDefault="004857E0" w:rsidP="00B157E0">
            <w:pPr>
              <w:pStyle w:val="Tabletext"/>
              <w:rPr>
                <w:lang w:eastAsia="en-GB"/>
              </w:rPr>
            </w:pPr>
            <w:r w:rsidRPr="004857E0">
              <w:rPr>
                <w:lang w:eastAsia="en-GB"/>
              </w:rPr>
              <w:t> </w:t>
            </w:r>
          </w:p>
        </w:tc>
        <w:tc>
          <w:tcPr>
            <w:tcW w:w="1280" w:type="dxa"/>
            <w:tcBorders>
              <w:top w:val="nil"/>
              <w:left w:val="nil"/>
              <w:bottom w:val="nil"/>
              <w:right w:val="nil"/>
            </w:tcBorders>
            <w:shd w:val="clear" w:color="000000" w:fill="FFFFFF"/>
            <w:noWrap/>
            <w:vAlign w:val="bottom"/>
            <w:hideMark/>
          </w:tcPr>
          <w:p w14:paraId="4CE79076" w14:textId="77777777" w:rsidR="004857E0" w:rsidRPr="004857E0" w:rsidRDefault="004857E0" w:rsidP="00B157E0">
            <w:pPr>
              <w:pStyle w:val="Tabletext"/>
              <w:rPr>
                <w:lang w:eastAsia="en-GB"/>
              </w:rPr>
            </w:pPr>
            <w:r w:rsidRPr="004857E0">
              <w:rPr>
                <w:lang w:eastAsia="en-GB"/>
              </w:rPr>
              <w:t> </w:t>
            </w:r>
          </w:p>
        </w:tc>
        <w:tc>
          <w:tcPr>
            <w:tcW w:w="1280" w:type="dxa"/>
            <w:tcBorders>
              <w:top w:val="nil"/>
              <w:left w:val="nil"/>
              <w:bottom w:val="nil"/>
              <w:right w:val="nil"/>
            </w:tcBorders>
            <w:shd w:val="clear" w:color="000000" w:fill="FFFFFF"/>
            <w:noWrap/>
            <w:vAlign w:val="bottom"/>
            <w:hideMark/>
          </w:tcPr>
          <w:p w14:paraId="6A9DF028" w14:textId="77777777" w:rsidR="004857E0" w:rsidRPr="004857E0" w:rsidRDefault="004857E0" w:rsidP="00B157E0">
            <w:pPr>
              <w:pStyle w:val="Tabletext"/>
              <w:rPr>
                <w:lang w:eastAsia="en-GB"/>
              </w:rPr>
            </w:pPr>
            <w:r w:rsidRPr="004857E0">
              <w:rPr>
                <w:lang w:eastAsia="en-GB"/>
              </w:rPr>
              <w:t> </w:t>
            </w:r>
          </w:p>
        </w:tc>
      </w:tr>
      <w:tr w:rsidR="004857E0" w:rsidRPr="004857E0" w14:paraId="6C6D3C2F" w14:textId="77777777" w:rsidTr="00B157E0">
        <w:trPr>
          <w:cantSplit/>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3CBC4" w14:textId="77777777" w:rsidR="004857E0" w:rsidRPr="004857E0" w:rsidRDefault="004857E0" w:rsidP="00B157E0">
            <w:pPr>
              <w:pStyle w:val="Tablehead"/>
              <w:rPr>
                <w:lang w:eastAsia="en-GB"/>
              </w:rPr>
            </w:pPr>
            <w:r w:rsidRPr="004857E0">
              <w:rPr>
                <w:lang w:eastAsia="en-GB"/>
              </w:rPr>
              <w:t>Associates</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E0CEE9A" w14:textId="2D40865D" w:rsidR="004857E0" w:rsidRPr="004857E0" w:rsidRDefault="004857E0" w:rsidP="00B157E0">
            <w:pPr>
              <w:pStyle w:val="Tablehead"/>
              <w:rPr>
                <w:lang w:eastAsia="en-GB"/>
              </w:rPr>
            </w:pPr>
            <w:r w:rsidRPr="004857E0">
              <w:rPr>
                <w:lang w:eastAsia="en-GB"/>
              </w:rPr>
              <w:t>Number of Associates</w:t>
            </w:r>
            <w:r w:rsidR="00B157E0">
              <w:rPr>
                <w:lang w:eastAsia="en-GB"/>
              </w:rPr>
              <w:br/>
            </w:r>
            <w:r w:rsidRPr="004857E0">
              <w:rPr>
                <w:lang w:eastAsia="en-GB"/>
              </w:rPr>
              <w:t>PP-22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12A5FF7" w14:textId="77777777" w:rsidR="004857E0" w:rsidRPr="004857E0" w:rsidRDefault="004857E0" w:rsidP="00B157E0">
            <w:pPr>
              <w:pStyle w:val="Tablehead"/>
              <w:rPr>
                <w:lang w:eastAsia="en-GB"/>
              </w:rPr>
            </w:pPr>
            <w:r w:rsidRPr="004857E0">
              <w:rPr>
                <w:lang w:eastAsia="en-GB"/>
              </w:rPr>
              <w:t>No. of Associates at 28.02.2025</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41B04E4A" w14:textId="77777777" w:rsidR="004857E0" w:rsidRPr="004857E0" w:rsidRDefault="004857E0" w:rsidP="00B157E0">
            <w:pPr>
              <w:pStyle w:val="Tablehead"/>
              <w:rPr>
                <w:lang w:eastAsia="en-GB"/>
              </w:rPr>
            </w:pPr>
            <w:r w:rsidRPr="004857E0">
              <w:rPr>
                <w:lang w:eastAsia="en-GB"/>
              </w:rPr>
              <w:t>Difference</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23B83245" w14:textId="77777777" w:rsidR="004857E0" w:rsidRPr="004857E0" w:rsidRDefault="004857E0" w:rsidP="00B157E0">
            <w:pPr>
              <w:pStyle w:val="Tablehead"/>
              <w:rPr>
                <w:lang w:eastAsia="en-GB"/>
              </w:rPr>
            </w:pPr>
            <w:r w:rsidRPr="004857E0">
              <w:rPr>
                <w:lang w:eastAsia="en-GB"/>
              </w:rPr>
              <w:t>Difference in %</w:t>
            </w:r>
          </w:p>
        </w:tc>
      </w:tr>
      <w:tr w:rsidR="004857E0" w:rsidRPr="004857E0" w14:paraId="74367D5A" w14:textId="77777777" w:rsidTr="00B157E0">
        <w:trPr>
          <w:cantSplit/>
          <w:jc w:val="center"/>
        </w:trPr>
        <w:tc>
          <w:tcPr>
            <w:tcW w:w="4600" w:type="dxa"/>
            <w:tcBorders>
              <w:top w:val="nil"/>
              <w:left w:val="single" w:sz="4" w:space="0" w:color="auto"/>
              <w:bottom w:val="single" w:sz="4" w:space="0" w:color="auto"/>
              <w:right w:val="single" w:sz="4" w:space="0" w:color="auto"/>
            </w:tcBorders>
            <w:shd w:val="clear" w:color="000000" w:fill="FFFFFF"/>
            <w:vAlign w:val="bottom"/>
            <w:hideMark/>
          </w:tcPr>
          <w:p w14:paraId="35AABCFA" w14:textId="77777777" w:rsidR="004857E0" w:rsidRPr="004857E0" w:rsidRDefault="004857E0" w:rsidP="00B157E0">
            <w:pPr>
              <w:pStyle w:val="Tabletext"/>
              <w:rPr>
                <w:lang w:eastAsia="en-GB"/>
              </w:rPr>
            </w:pPr>
            <w:r w:rsidRPr="004857E0">
              <w:rPr>
                <w:lang w:eastAsia="en-GB"/>
              </w:rPr>
              <w:t>ITU-R Associates</w:t>
            </w:r>
          </w:p>
        </w:tc>
        <w:tc>
          <w:tcPr>
            <w:tcW w:w="1300" w:type="dxa"/>
            <w:tcBorders>
              <w:top w:val="nil"/>
              <w:left w:val="nil"/>
              <w:bottom w:val="single" w:sz="4" w:space="0" w:color="auto"/>
              <w:right w:val="single" w:sz="4" w:space="0" w:color="auto"/>
            </w:tcBorders>
            <w:shd w:val="clear" w:color="000000" w:fill="FFFFFF"/>
            <w:noWrap/>
            <w:vAlign w:val="bottom"/>
            <w:hideMark/>
          </w:tcPr>
          <w:p w14:paraId="72209DDB" w14:textId="0C6EC8B8" w:rsidR="004857E0" w:rsidRPr="004857E0" w:rsidRDefault="004857E0" w:rsidP="00B157E0">
            <w:pPr>
              <w:pStyle w:val="Tabletext"/>
              <w:jc w:val="center"/>
              <w:rPr>
                <w:lang w:eastAsia="en-GB"/>
              </w:rPr>
            </w:pPr>
            <w:r w:rsidRPr="004857E0">
              <w:rPr>
                <w:lang w:eastAsia="en-GB"/>
              </w:rPr>
              <w:t>20</w:t>
            </w:r>
          </w:p>
        </w:tc>
        <w:tc>
          <w:tcPr>
            <w:tcW w:w="1300" w:type="dxa"/>
            <w:tcBorders>
              <w:top w:val="nil"/>
              <w:left w:val="nil"/>
              <w:bottom w:val="single" w:sz="4" w:space="0" w:color="auto"/>
              <w:right w:val="single" w:sz="4" w:space="0" w:color="auto"/>
            </w:tcBorders>
            <w:shd w:val="clear" w:color="000000" w:fill="FFFFFF"/>
            <w:noWrap/>
            <w:vAlign w:val="bottom"/>
            <w:hideMark/>
          </w:tcPr>
          <w:p w14:paraId="6854CEFF" w14:textId="1116E0B0" w:rsidR="004857E0" w:rsidRPr="004857E0" w:rsidRDefault="004857E0" w:rsidP="00B157E0">
            <w:pPr>
              <w:pStyle w:val="Tabletext"/>
              <w:jc w:val="center"/>
              <w:rPr>
                <w:lang w:eastAsia="en-GB"/>
              </w:rPr>
            </w:pPr>
            <w:r w:rsidRPr="004857E0">
              <w:rPr>
                <w:lang w:eastAsia="en-GB"/>
              </w:rPr>
              <w:t>22</w:t>
            </w:r>
          </w:p>
        </w:tc>
        <w:tc>
          <w:tcPr>
            <w:tcW w:w="1280" w:type="dxa"/>
            <w:tcBorders>
              <w:top w:val="nil"/>
              <w:left w:val="nil"/>
              <w:bottom w:val="single" w:sz="4" w:space="0" w:color="auto"/>
              <w:right w:val="single" w:sz="4" w:space="0" w:color="auto"/>
            </w:tcBorders>
            <w:shd w:val="clear" w:color="000000" w:fill="FFFFFF"/>
            <w:noWrap/>
            <w:vAlign w:val="bottom"/>
            <w:hideMark/>
          </w:tcPr>
          <w:p w14:paraId="1895F0F8" w14:textId="35B66900" w:rsidR="004857E0" w:rsidRPr="004857E0" w:rsidRDefault="004857E0" w:rsidP="00B157E0">
            <w:pPr>
              <w:pStyle w:val="Tabletext"/>
              <w:jc w:val="center"/>
              <w:rPr>
                <w:lang w:eastAsia="en-GB"/>
              </w:rPr>
            </w:pPr>
            <w:r w:rsidRPr="004857E0">
              <w:rPr>
                <w:lang w:eastAsia="en-GB"/>
              </w:rPr>
              <w:t>2</w:t>
            </w:r>
          </w:p>
        </w:tc>
        <w:tc>
          <w:tcPr>
            <w:tcW w:w="1280" w:type="dxa"/>
            <w:tcBorders>
              <w:top w:val="nil"/>
              <w:left w:val="nil"/>
              <w:bottom w:val="single" w:sz="4" w:space="0" w:color="auto"/>
              <w:right w:val="single" w:sz="4" w:space="0" w:color="auto"/>
            </w:tcBorders>
            <w:shd w:val="clear" w:color="auto" w:fill="auto"/>
            <w:noWrap/>
            <w:vAlign w:val="bottom"/>
            <w:hideMark/>
          </w:tcPr>
          <w:p w14:paraId="4B4A15E3" w14:textId="77777777" w:rsidR="004857E0" w:rsidRPr="004857E0" w:rsidRDefault="004857E0" w:rsidP="00B157E0">
            <w:pPr>
              <w:pStyle w:val="Tabletext"/>
              <w:jc w:val="center"/>
              <w:rPr>
                <w:lang w:eastAsia="en-GB"/>
              </w:rPr>
            </w:pPr>
            <w:r w:rsidRPr="004857E0">
              <w:rPr>
                <w:lang w:eastAsia="en-GB"/>
              </w:rPr>
              <w:t>10%</w:t>
            </w:r>
          </w:p>
        </w:tc>
      </w:tr>
      <w:tr w:rsidR="004857E0" w:rsidRPr="004857E0" w14:paraId="180232B8" w14:textId="77777777" w:rsidTr="00B157E0">
        <w:trPr>
          <w:cantSplit/>
          <w:jc w:val="center"/>
        </w:trPr>
        <w:tc>
          <w:tcPr>
            <w:tcW w:w="4600" w:type="dxa"/>
            <w:tcBorders>
              <w:top w:val="nil"/>
              <w:left w:val="single" w:sz="4" w:space="0" w:color="auto"/>
              <w:bottom w:val="single" w:sz="4" w:space="0" w:color="auto"/>
              <w:right w:val="single" w:sz="4" w:space="0" w:color="auto"/>
            </w:tcBorders>
            <w:shd w:val="clear" w:color="000000" w:fill="FFFFFF"/>
            <w:vAlign w:val="bottom"/>
            <w:hideMark/>
          </w:tcPr>
          <w:p w14:paraId="6973E85E" w14:textId="77777777" w:rsidR="004857E0" w:rsidRPr="004857E0" w:rsidRDefault="004857E0" w:rsidP="00B157E0">
            <w:pPr>
              <w:pStyle w:val="Tabletext"/>
              <w:rPr>
                <w:lang w:eastAsia="en-GB"/>
              </w:rPr>
            </w:pPr>
            <w:r w:rsidRPr="004857E0">
              <w:rPr>
                <w:lang w:eastAsia="en-GB"/>
              </w:rPr>
              <w:t>ITU-T Associates</w:t>
            </w:r>
          </w:p>
        </w:tc>
        <w:tc>
          <w:tcPr>
            <w:tcW w:w="1300" w:type="dxa"/>
            <w:tcBorders>
              <w:top w:val="nil"/>
              <w:left w:val="nil"/>
              <w:bottom w:val="single" w:sz="4" w:space="0" w:color="auto"/>
              <w:right w:val="single" w:sz="4" w:space="0" w:color="auto"/>
            </w:tcBorders>
            <w:shd w:val="clear" w:color="000000" w:fill="FFFFFF"/>
            <w:noWrap/>
            <w:vAlign w:val="bottom"/>
            <w:hideMark/>
          </w:tcPr>
          <w:p w14:paraId="1EA655F6" w14:textId="31E6ED28" w:rsidR="004857E0" w:rsidRPr="004857E0" w:rsidRDefault="004857E0" w:rsidP="00B157E0">
            <w:pPr>
              <w:pStyle w:val="Tabletext"/>
              <w:jc w:val="center"/>
              <w:rPr>
                <w:lang w:eastAsia="en-GB"/>
              </w:rPr>
            </w:pPr>
            <w:r w:rsidRPr="004857E0">
              <w:rPr>
                <w:lang w:eastAsia="en-GB"/>
              </w:rPr>
              <w:t>162</w:t>
            </w:r>
          </w:p>
        </w:tc>
        <w:tc>
          <w:tcPr>
            <w:tcW w:w="1300" w:type="dxa"/>
            <w:tcBorders>
              <w:top w:val="nil"/>
              <w:left w:val="nil"/>
              <w:bottom w:val="single" w:sz="4" w:space="0" w:color="auto"/>
              <w:right w:val="single" w:sz="4" w:space="0" w:color="auto"/>
            </w:tcBorders>
            <w:shd w:val="clear" w:color="000000" w:fill="FFFFFF"/>
            <w:noWrap/>
            <w:vAlign w:val="bottom"/>
            <w:hideMark/>
          </w:tcPr>
          <w:p w14:paraId="6E3C82D9" w14:textId="0324EE4D" w:rsidR="004857E0" w:rsidRPr="004857E0" w:rsidRDefault="004857E0" w:rsidP="00B157E0">
            <w:pPr>
              <w:pStyle w:val="Tabletext"/>
              <w:jc w:val="center"/>
              <w:rPr>
                <w:lang w:eastAsia="en-GB"/>
              </w:rPr>
            </w:pPr>
            <w:r w:rsidRPr="004857E0">
              <w:rPr>
                <w:lang w:eastAsia="en-GB"/>
              </w:rPr>
              <w:t>144</w:t>
            </w:r>
          </w:p>
        </w:tc>
        <w:tc>
          <w:tcPr>
            <w:tcW w:w="1280" w:type="dxa"/>
            <w:tcBorders>
              <w:top w:val="nil"/>
              <w:left w:val="nil"/>
              <w:bottom w:val="single" w:sz="4" w:space="0" w:color="auto"/>
              <w:right w:val="single" w:sz="4" w:space="0" w:color="auto"/>
            </w:tcBorders>
            <w:shd w:val="clear" w:color="000000" w:fill="FFFFFF"/>
            <w:noWrap/>
            <w:vAlign w:val="bottom"/>
            <w:hideMark/>
          </w:tcPr>
          <w:p w14:paraId="2274BFC9" w14:textId="2A52EDFB" w:rsidR="004857E0" w:rsidRPr="004857E0" w:rsidRDefault="00B157E0" w:rsidP="00B157E0">
            <w:pPr>
              <w:pStyle w:val="Tabletext"/>
              <w:jc w:val="center"/>
              <w:rPr>
                <w:lang w:eastAsia="en-GB"/>
              </w:rPr>
            </w:pPr>
            <w:r>
              <w:rPr>
                <w:rFonts w:cs="Calibri"/>
                <w:lang w:eastAsia="en-GB"/>
              </w:rPr>
              <w:t>−</w:t>
            </w:r>
            <w:r w:rsidR="004857E0" w:rsidRPr="004857E0">
              <w:rPr>
                <w:lang w:eastAsia="en-GB"/>
              </w:rPr>
              <w:t>18</w:t>
            </w:r>
          </w:p>
        </w:tc>
        <w:tc>
          <w:tcPr>
            <w:tcW w:w="1280" w:type="dxa"/>
            <w:tcBorders>
              <w:top w:val="nil"/>
              <w:left w:val="nil"/>
              <w:bottom w:val="single" w:sz="4" w:space="0" w:color="auto"/>
              <w:right w:val="single" w:sz="4" w:space="0" w:color="auto"/>
            </w:tcBorders>
            <w:shd w:val="clear" w:color="auto" w:fill="auto"/>
            <w:noWrap/>
            <w:vAlign w:val="bottom"/>
            <w:hideMark/>
          </w:tcPr>
          <w:p w14:paraId="73EE4CB8" w14:textId="202F85A9" w:rsidR="004857E0" w:rsidRPr="004857E0" w:rsidRDefault="00B157E0" w:rsidP="00B157E0">
            <w:pPr>
              <w:pStyle w:val="Tabletext"/>
              <w:jc w:val="center"/>
              <w:rPr>
                <w:lang w:eastAsia="en-GB"/>
              </w:rPr>
            </w:pPr>
            <w:r>
              <w:rPr>
                <w:rFonts w:cs="Calibri"/>
                <w:lang w:eastAsia="en-GB"/>
              </w:rPr>
              <w:t>−</w:t>
            </w:r>
            <w:r w:rsidR="004857E0" w:rsidRPr="004857E0">
              <w:rPr>
                <w:lang w:eastAsia="en-GB"/>
              </w:rPr>
              <w:t>11%</w:t>
            </w:r>
          </w:p>
        </w:tc>
      </w:tr>
      <w:tr w:rsidR="004857E0" w:rsidRPr="004857E0" w14:paraId="5A7827FC" w14:textId="77777777" w:rsidTr="00B157E0">
        <w:trPr>
          <w:cantSplit/>
          <w:jc w:val="center"/>
        </w:trPr>
        <w:tc>
          <w:tcPr>
            <w:tcW w:w="4600" w:type="dxa"/>
            <w:tcBorders>
              <w:top w:val="nil"/>
              <w:left w:val="single" w:sz="4" w:space="0" w:color="auto"/>
              <w:bottom w:val="single" w:sz="4" w:space="0" w:color="auto"/>
              <w:right w:val="single" w:sz="4" w:space="0" w:color="auto"/>
            </w:tcBorders>
            <w:shd w:val="clear" w:color="000000" w:fill="FFFFFF"/>
            <w:vAlign w:val="bottom"/>
            <w:hideMark/>
          </w:tcPr>
          <w:p w14:paraId="27608AB2" w14:textId="77777777" w:rsidR="004857E0" w:rsidRPr="004857E0" w:rsidRDefault="004857E0" w:rsidP="00B157E0">
            <w:pPr>
              <w:pStyle w:val="Tabletext"/>
              <w:rPr>
                <w:lang w:eastAsia="en-GB"/>
              </w:rPr>
            </w:pPr>
            <w:r w:rsidRPr="004857E0">
              <w:rPr>
                <w:lang w:eastAsia="en-GB"/>
              </w:rPr>
              <w:t>ITU-D Associates</w:t>
            </w:r>
          </w:p>
        </w:tc>
        <w:tc>
          <w:tcPr>
            <w:tcW w:w="1300" w:type="dxa"/>
            <w:tcBorders>
              <w:top w:val="nil"/>
              <w:left w:val="nil"/>
              <w:bottom w:val="single" w:sz="4" w:space="0" w:color="auto"/>
              <w:right w:val="single" w:sz="4" w:space="0" w:color="auto"/>
            </w:tcBorders>
            <w:shd w:val="clear" w:color="000000" w:fill="FFFFFF"/>
            <w:noWrap/>
            <w:vAlign w:val="bottom"/>
            <w:hideMark/>
          </w:tcPr>
          <w:p w14:paraId="3DB59DF0" w14:textId="5BA33DF3" w:rsidR="004857E0" w:rsidRPr="004857E0" w:rsidRDefault="004857E0" w:rsidP="00B157E0">
            <w:pPr>
              <w:pStyle w:val="Tabletext"/>
              <w:jc w:val="center"/>
              <w:rPr>
                <w:lang w:eastAsia="en-GB"/>
              </w:rPr>
            </w:pPr>
            <w:r w:rsidRPr="004857E0">
              <w:rPr>
                <w:lang w:eastAsia="en-GB"/>
              </w:rPr>
              <w:t>12</w:t>
            </w:r>
          </w:p>
        </w:tc>
        <w:tc>
          <w:tcPr>
            <w:tcW w:w="1300" w:type="dxa"/>
            <w:tcBorders>
              <w:top w:val="nil"/>
              <w:left w:val="nil"/>
              <w:bottom w:val="single" w:sz="4" w:space="0" w:color="auto"/>
              <w:right w:val="single" w:sz="4" w:space="0" w:color="auto"/>
            </w:tcBorders>
            <w:shd w:val="clear" w:color="000000" w:fill="FFFFFF"/>
            <w:noWrap/>
            <w:vAlign w:val="bottom"/>
            <w:hideMark/>
          </w:tcPr>
          <w:p w14:paraId="7B78E0C4" w14:textId="208C6926" w:rsidR="004857E0" w:rsidRPr="004857E0" w:rsidRDefault="004857E0" w:rsidP="00B157E0">
            <w:pPr>
              <w:pStyle w:val="Tabletext"/>
              <w:jc w:val="center"/>
              <w:rPr>
                <w:lang w:eastAsia="en-GB"/>
              </w:rPr>
            </w:pPr>
            <w:r w:rsidRPr="004857E0">
              <w:rPr>
                <w:lang w:eastAsia="en-GB"/>
              </w:rPr>
              <w:t>19</w:t>
            </w:r>
          </w:p>
        </w:tc>
        <w:tc>
          <w:tcPr>
            <w:tcW w:w="1280" w:type="dxa"/>
            <w:tcBorders>
              <w:top w:val="nil"/>
              <w:left w:val="nil"/>
              <w:bottom w:val="single" w:sz="4" w:space="0" w:color="auto"/>
              <w:right w:val="single" w:sz="4" w:space="0" w:color="auto"/>
            </w:tcBorders>
            <w:shd w:val="clear" w:color="000000" w:fill="FFFFFF"/>
            <w:noWrap/>
            <w:vAlign w:val="bottom"/>
            <w:hideMark/>
          </w:tcPr>
          <w:p w14:paraId="6753C493" w14:textId="45AA906D" w:rsidR="004857E0" w:rsidRPr="004857E0" w:rsidRDefault="004857E0" w:rsidP="00B157E0">
            <w:pPr>
              <w:pStyle w:val="Tabletext"/>
              <w:jc w:val="center"/>
              <w:rPr>
                <w:lang w:eastAsia="en-GB"/>
              </w:rPr>
            </w:pPr>
            <w:r w:rsidRPr="004857E0">
              <w:rPr>
                <w:lang w:eastAsia="en-GB"/>
              </w:rPr>
              <w:t>7</w:t>
            </w:r>
          </w:p>
        </w:tc>
        <w:tc>
          <w:tcPr>
            <w:tcW w:w="1280" w:type="dxa"/>
            <w:tcBorders>
              <w:top w:val="nil"/>
              <w:left w:val="nil"/>
              <w:bottom w:val="single" w:sz="4" w:space="0" w:color="auto"/>
              <w:right w:val="single" w:sz="4" w:space="0" w:color="auto"/>
            </w:tcBorders>
            <w:shd w:val="clear" w:color="auto" w:fill="auto"/>
            <w:noWrap/>
            <w:vAlign w:val="bottom"/>
            <w:hideMark/>
          </w:tcPr>
          <w:p w14:paraId="13A92188" w14:textId="77777777" w:rsidR="004857E0" w:rsidRPr="004857E0" w:rsidRDefault="004857E0" w:rsidP="00B157E0">
            <w:pPr>
              <w:pStyle w:val="Tabletext"/>
              <w:jc w:val="center"/>
              <w:rPr>
                <w:lang w:eastAsia="en-GB"/>
              </w:rPr>
            </w:pPr>
            <w:r w:rsidRPr="004857E0">
              <w:rPr>
                <w:lang w:eastAsia="en-GB"/>
              </w:rPr>
              <w:t>58%</w:t>
            </w:r>
          </w:p>
        </w:tc>
      </w:tr>
      <w:tr w:rsidR="004857E0" w:rsidRPr="00B157E0" w14:paraId="4767D4E1" w14:textId="77777777" w:rsidTr="00B157E0">
        <w:trPr>
          <w:cantSplit/>
          <w:jc w:val="center"/>
        </w:trPr>
        <w:tc>
          <w:tcPr>
            <w:tcW w:w="4600" w:type="dxa"/>
            <w:tcBorders>
              <w:top w:val="nil"/>
              <w:left w:val="single" w:sz="4" w:space="0" w:color="auto"/>
              <w:bottom w:val="single" w:sz="4" w:space="0" w:color="auto"/>
              <w:right w:val="single" w:sz="4" w:space="0" w:color="auto"/>
            </w:tcBorders>
            <w:shd w:val="clear" w:color="000000" w:fill="FFFFFF"/>
            <w:vAlign w:val="bottom"/>
            <w:hideMark/>
          </w:tcPr>
          <w:p w14:paraId="4EA2D69F" w14:textId="77777777" w:rsidR="004857E0" w:rsidRPr="00B157E0" w:rsidRDefault="004857E0" w:rsidP="00B157E0">
            <w:pPr>
              <w:pStyle w:val="Tabletext"/>
              <w:jc w:val="right"/>
              <w:rPr>
                <w:b/>
                <w:bCs/>
                <w:lang w:eastAsia="en-GB"/>
              </w:rPr>
            </w:pPr>
            <w:r w:rsidRPr="00B157E0">
              <w:rPr>
                <w:b/>
                <w:bCs/>
                <w:lang w:eastAsia="en-GB"/>
              </w:rPr>
              <w:t xml:space="preserve">Total </w:t>
            </w:r>
          </w:p>
        </w:tc>
        <w:tc>
          <w:tcPr>
            <w:tcW w:w="1300" w:type="dxa"/>
            <w:tcBorders>
              <w:top w:val="nil"/>
              <w:left w:val="nil"/>
              <w:bottom w:val="single" w:sz="4" w:space="0" w:color="auto"/>
              <w:right w:val="single" w:sz="4" w:space="0" w:color="auto"/>
            </w:tcBorders>
            <w:shd w:val="clear" w:color="000000" w:fill="FFFFFF"/>
            <w:noWrap/>
            <w:vAlign w:val="bottom"/>
            <w:hideMark/>
          </w:tcPr>
          <w:p w14:paraId="58107710" w14:textId="3B737339" w:rsidR="004857E0" w:rsidRPr="00B157E0" w:rsidRDefault="004857E0" w:rsidP="00B157E0">
            <w:pPr>
              <w:pStyle w:val="Tabletext"/>
              <w:jc w:val="center"/>
              <w:rPr>
                <w:b/>
                <w:bCs/>
                <w:lang w:eastAsia="en-GB"/>
              </w:rPr>
            </w:pPr>
            <w:r w:rsidRPr="00B157E0">
              <w:rPr>
                <w:b/>
                <w:bCs/>
                <w:lang w:eastAsia="en-GB"/>
              </w:rPr>
              <w:t>194</w:t>
            </w:r>
          </w:p>
        </w:tc>
        <w:tc>
          <w:tcPr>
            <w:tcW w:w="1300" w:type="dxa"/>
            <w:tcBorders>
              <w:top w:val="nil"/>
              <w:left w:val="nil"/>
              <w:bottom w:val="single" w:sz="4" w:space="0" w:color="auto"/>
              <w:right w:val="single" w:sz="4" w:space="0" w:color="auto"/>
            </w:tcBorders>
            <w:shd w:val="clear" w:color="000000" w:fill="FFFFFF"/>
            <w:noWrap/>
            <w:vAlign w:val="bottom"/>
            <w:hideMark/>
          </w:tcPr>
          <w:p w14:paraId="0AB490D5" w14:textId="57183270" w:rsidR="004857E0" w:rsidRPr="00B157E0" w:rsidRDefault="004857E0" w:rsidP="00B157E0">
            <w:pPr>
              <w:pStyle w:val="Tabletext"/>
              <w:jc w:val="center"/>
              <w:rPr>
                <w:b/>
                <w:bCs/>
                <w:lang w:eastAsia="en-GB"/>
              </w:rPr>
            </w:pPr>
            <w:r w:rsidRPr="00B157E0">
              <w:rPr>
                <w:b/>
                <w:bCs/>
                <w:lang w:eastAsia="en-GB"/>
              </w:rPr>
              <w:t>185</w:t>
            </w:r>
          </w:p>
        </w:tc>
        <w:tc>
          <w:tcPr>
            <w:tcW w:w="1280" w:type="dxa"/>
            <w:tcBorders>
              <w:top w:val="nil"/>
              <w:left w:val="nil"/>
              <w:bottom w:val="single" w:sz="4" w:space="0" w:color="auto"/>
              <w:right w:val="single" w:sz="4" w:space="0" w:color="auto"/>
            </w:tcBorders>
            <w:shd w:val="clear" w:color="000000" w:fill="FFFFFF"/>
            <w:noWrap/>
            <w:vAlign w:val="bottom"/>
            <w:hideMark/>
          </w:tcPr>
          <w:p w14:paraId="4C25040F" w14:textId="5203DBCB" w:rsidR="004857E0" w:rsidRPr="00B157E0" w:rsidRDefault="00B157E0" w:rsidP="00B157E0">
            <w:pPr>
              <w:pStyle w:val="Tabletext"/>
              <w:jc w:val="center"/>
              <w:rPr>
                <w:b/>
                <w:bCs/>
                <w:lang w:eastAsia="en-GB"/>
              </w:rPr>
            </w:pPr>
            <w:r w:rsidRPr="00B157E0">
              <w:rPr>
                <w:rFonts w:cs="Calibri"/>
                <w:b/>
                <w:bCs/>
                <w:lang w:eastAsia="en-GB"/>
              </w:rPr>
              <w:t>−</w:t>
            </w:r>
            <w:r w:rsidR="004857E0" w:rsidRPr="00B157E0">
              <w:rPr>
                <w:b/>
                <w:bCs/>
                <w:lang w:eastAsia="en-GB"/>
              </w:rPr>
              <w:t>9</w:t>
            </w:r>
          </w:p>
        </w:tc>
        <w:tc>
          <w:tcPr>
            <w:tcW w:w="1280" w:type="dxa"/>
            <w:tcBorders>
              <w:top w:val="nil"/>
              <w:left w:val="nil"/>
              <w:bottom w:val="single" w:sz="4" w:space="0" w:color="auto"/>
              <w:right w:val="single" w:sz="4" w:space="0" w:color="auto"/>
            </w:tcBorders>
            <w:shd w:val="clear" w:color="auto" w:fill="auto"/>
            <w:noWrap/>
            <w:vAlign w:val="bottom"/>
            <w:hideMark/>
          </w:tcPr>
          <w:p w14:paraId="431994A2" w14:textId="34AD3D4D" w:rsidR="004857E0" w:rsidRPr="00B157E0" w:rsidRDefault="00B157E0" w:rsidP="00B157E0">
            <w:pPr>
              <w:pStyle w:val="Tabletext"/>
              <w:jc w:val="center"/>
              <w:rPr>
                <w:b/>
                <w:bCs/>
                <w:lang w:eastAsia="en-GB"/>
              </w:rPr>
            </w:pPr>
            <w:r w:rsidRPr="00B157E0">
              <w:rPr>
                <w:rFonts w:cs="Calibri"/>
                <w:b/>
                <w:bCs/>
                <w:lang w:eastAsia="en-GB"/>
              </w:rPr>
              <w:t>−</w:t>
            </w:r>
            <w:r w:rsidR="004857E0" w:rsidRPr="00B157E0">
              <w:rPr>
                <w:b/>
                <w:bCs/>
                <w:lang w:eastAsia="en-GB"/>
              </w:rPr>
              <w:t>5%</w:t>
            </w:r>
          </w:p>
        </w:tc>
      </w:tr>
      <w:tr w:rsidR="004857E0" w:rsidRPr="004857E0" w14:paraId="7F412D15" w14:textId="77777777" w:rsidTr="00B157E0">
        <w:trPr>
          <w:cantSplit/>
          <w:jc w:val="center"/>
        </w:trPr>
        <w:tc>
          <w:tcPr>
            <w:tcW w:w="4600" w:type="dxa"/>
            <w:tcBorders>
              <w:top w:val="nil"/>
              <w:left w:val="nil"/>
              <w:bottom w:val="nil"/>
              <w:right w:val="nil"/>
            </w:tcBorders>
            <w:shd w:val="clear" w:color="000000" w:fill="FFFFFF"/>
            <w:vAlign w:val="bottom"/>
            <w:hideMark/>
          </w:tcPr>
          <w:p w14:paraId="755EA742" w14:textId="77777777" w:rsidR="004857E0" w:rsidRPr="004857E0" w:rsidRDefault="004857E0" w:rsidP="00B157E0">
            <w:pPr>
              <w:pStyle w:val="Tabletext"/>
              <w:rPr>
                <w:lang w:eastAsia="en-GB"/>
              </w:rPr>
            </w:pPr>
            <w:r w:rsidRPr="004857E0">
              <w:rPr>
                <w:lang w:eastAsia="en-GB"/>
              </w:rPr>
              <w:t> </w:t>
            </w:r>
          </w:p>
        </w:tc>
        <w:tc>
          <w:tcPr>
            <w:tcW w:w="1300" w:type="dxa"/>
            <w:tcBorders>
              <w:top w:val="nil"/>
              <w:left w:val="nil"/>
              <w:bottom w:val="nil"/>
              <w:right w:val="nil"/>
            </w:tcBorders>
            <w:shd w:val="clear" w:color="000000" w:fill="FFFFFF"/>
            <w:noWrap/>
            <w:vAlign w:val="bottom"/>
            <w:hideMark/>
          </w:tcPr>
          <w:p w14:paraId="4B4381EB" w14:textId="77777777" w:rsidR="004857E0" w:rsidRPr="004857E0" w:rsidRDefault="004857E0" w:rsidP="00B157E0">
            <w:pPr>
              <w:pStyle w:val="Tabletext"/>
              <w:rPr>
                <w:lang w:eastAsia="en-GB"/>
              </w:rPr>
            </w:pPr>
            <w:r w:rsidRPr="004857E0">
              <w:rPr>
                <w:lang w:eastAsia="en-GB"/>
              </w:rPr>
              <w:t> </w:t>
            </w:r>
          </w:p>
        </w:tc>
        <w:tc>
          <w:tcPr>
            <w:tcW w:w="1300" w:type="dxa"/>
            <w:tcBorders>
              <w:top w:val="nil"/>
              <w:left w:val="nil"/>
              <w:bottom w:val="nil"/>
              <w:right w:val="nil"/>
            </w:tcBorders>
            <w:shd w:val="clear" w:color="000000" w:fill="FFFFFF"/>
            <w:noWrap/>
            <w:vAlign w:val="bottom"/>
            <w:hideMark/>
          </w:tcPr>
          <w:p w14:paraId="77DBE06C" w14:textId="77777777" w:rsidR="004857E0" w:rsidRPr="004857E0" w:rsidRDefault="004857E0" w:rsidP="00B157E0">
            <w:pPr>
              <w:pStyle w:val="Tabletext"/>
              <w:rPr>
                <w:lang w:eastAsia="en-GB"/>
              </w:rPr>
            </w:pPr>
            <w:r w:rsidRPr="004857E0">
              <w:rPr>
                <w:lang w:eastAsia="en-GB"/>
              </w:rPr>
              <w:t> </w:t>
            </w:r>
          </w:p>
        </w:tc>
        <w:tc>
          <w:tcPr>
            <w:tcW w:w="1280" w:type="dxa"/>
            <w:tcBorders>
              <w:top w:val="nil"/>
              <w:left w:val="nil"/>
              <w:bottom w:val="nil"/>
              <w:right w:val="nil"/>
            </w:tcBorders>
            <w:shd w:val="clear" w:color="000000" w:fill="FFFFFF"/>
            <w:noWrap/>
            <w:vAlign w:val="bottom"/>
            <w:hideMark/>
          </w:tcPr>
          <w:p w14:paraId="493D7716" w14:textId="77777777" w:rsidR="004857E0" w:rsidRPr="004857E0" w:rsidRDefault="004857E0" w:rsidP="00B157E0">
            <w:pPr>
              <w:pStyle w:val="Tabletext"/>
              <w:rPr>
                <w:lang w:eastAsia="en-GB"/>
              </w:rPr>
            </w:pPr>
            <w:r w:rsidRPr="004857E0">
              <w:rPr>
                <w:lang w:eastAsia="en-GB"/>
              </w:rPr>
              <w:t> </w:t>
            </w:r>
          </w:p>
        </w:tc>
        <w:tc>
          <w:tcPr>
            <w:tcW w:w="1280" w:type="dxa"/>
            <w:tcBorders>
              <w:top w:val="nil"/>
              <w:left w:val="nil"/>
              <w:bottom w:val="nil"/>
              <w:right w:val="nil"/>
            </w:tcBorders>
            <w:shd w:val="clear" w:color="auto" w:fill="auto"/>
            <w:noWrap/>
            <w:vAlign w:val="bottom"/>
            <w:hideMark/>
          </w:tcPr>
          <w:p w14:paraId="560E578A" w14:textId="77777777" w:rsidR="004857E0" w:rsidRPr="004857E0" w:rsidRDefault="004857E0" w:rsidP="00B157E0">
            <w:pPr>
              <w:pStyle w:val="Tabletext"/>
              <w:rPr>
                <w:lang w:eastAsia="en-GB"/>
              </w:rPr>
            </w:pPr>
          </w:p>
        </w:tc>
      </w:tr>
      <w:tr w:rsidR="004857E0" w:rsidRPr="004857E0" w14:paraId="384334FA" w14:textId="77777777" w:rsidTr="00B157E0">
        <w:trPr>
          <w:cantSplit/>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B8AAD" w14:textId="77777777" w:rsidR="004857E0" w:rsidRPr="004857E0" w:rsidRDefault="004857E0" w:rsidP="00B157E0">
            <w:pPr>
              <w:pStyle w:val="Tablehead"/>
              <w:rPr>
                <w:lang w:eastAsia="en-GB"/>
              </w:rPr>
            </w:pPr>
            <w:r w:rsidRPr="004857E0">
              <w:rPr>
                <w:lang w:eastAsia="en-GB"/>
              </w:rPr>
              <w:t>SMEs Associates</w:t>
            </w:r>
            <w:r w:rsidRPr="00B157E0">
              <w:rPr>
                <w:sz w:val="20"/>
                <w:lang w:eastAsia="en-GB"/>
              </w:rPr>
              <w: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2B3AEB0" w14:textId="19DB483B" w:rsidR="004857E0" w:rsidRPr="004857E0" w:rsidRDefault="004857E0" w:rsidP="00B157E0">
            <w:pPr>
              <w:pStyle w:val="Tablehead"/>
              <w:rPr>
                <w:lang w:eastAsia="en-GB"/>
              </w:rPr>
            </w:pPr>
            <w:r w:rsidRPr="004857E0">
              <w:rPr>
                <w:lang w:eastAsia="en-GB"/>
              </w:rPr>
              <w:t>Number of SMEs</w:t>
            </w:r>
            <w:r w:rsidR="00B157E0">
              <w:rPr>
                <w:lang w:eastAsia="en-GB"/>
              </w:rPr>
              <w:br/>
            </w:r>
            <w:r w:rsidRPr="004857E0">
              <w:rPr>
                <w:lang w:eastAsia="en-GB"/>
              </w:rPr>
              <w:t>PP-22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2419DB5" w14:textId="77777777" w:rsidR="004857E0" w:rsidRPr="004857E0" w:rsidRDefault="004857E0" w:rsidP="00B157E0">
            <w:pPr>
              <w:pStyle w:val="Tablehead"/>
              <w:rPr>
                <w:lang w:eastAsia="en-GB"/>
              </w:rPr>
            </w:pPr>
            <w:r w:rsidRPr="004857E0">
              <w:rPr>
                <w:lang w:eastAsia="en-GB"/>
              </w:rPr>
              <w:t>No. of SMEs at 28.02.2025</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5A4C1EC4" w14:textId="77777777" w:rsidR="004857E0" w:rsidRPr="004857E0" w:rsidRDefault="004857E0" w:rsidP="00B157E0">
            <w:pPr>
              <w:pStyle w:val="Tablehead"/>
              <w:rPr>
                <w:lang w:eastAsia="en-GB"/>
              </w:rPr>
            </w:pPr>
            <w:r w:rsidRPr="004857E0">
              <w:rPr>
                <w:lang w:eastAsia="en-GB"/>
              </w:rPr>
              <w:t>Difference</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35452257" w14:textId="77777777" w:rsidR="004857E0" w:rsidRPr="004857E0" w:rsidRDefault="004857E0" w:rsidP="00B157E0">
            <w:pPr>
              <w:pStyle w:val="Tablehead"/>
              <w:rPr>
                <w:lang w:eastAsia="en-GB"/>
              </w:rPr>
            </w:pPr>
            <w:r w:rsidRPr="004857E0">
              <w:rPr>
                <w:lang w:eastAsia="en-GB"/>
              </w:rPr>
              <w:t>Difference in %</w:t>
            </w:r>
          </w:p>
        </w:tc>
      </w:tr>
      <w:tr w:rsidR="004857E0" w:rsidRPr="004857E0" w14:paraId="3C6796AB" w14:textId="77777777" w:rsidTr="00B157E0">
        <w:trPr>
          <w:cantSplit/>
          <w:jc w:val="center"/>
        </w:trPr>
        <w:tc>
          <w:tcPr>
            <w:tcW w:w="4600" w:type="dxa"/>
            <w:tcBorders>
              <w:top w:val="nil"/>
              <w:left w:val="single" w:sz="4" w:space="0" w:color="auto"/>
              <w:bottom w:val="single" w:sz="4" w:space="0" w:color="auto"/>
              <w:right w:val="single" w:sz="4" w:space="0" w:color="auto"/>
            </w:tcBorders>
            <w:shd w:val="clear" w:color="000000" w:fill="FFFFFF"/>
            <w:vAlign w:val="bottom"/>
            <w:hideMark/>
          </w:tcPr>
          <w:p w14:paraId="05543EB4" w14:textId="77777777" w:rsidR="004857E0" w:rsidRPr="004857E0" w:rsidRDefault="004857E0" w:rsidP="00B157E0">
            <w:pPr>
              <w:pStyle w:val="Tabletext"/>
              <w:rPr>
                <w:lang w:eastAsia="en-GB"/>
              </w:rPr>
            </w:pPr>
            <w:r w:rsidRPr="004857E0">
              <w:rPr>
                <w:lang w:eastAsia="en-GB"/>
              </w:rPr>
              <w:t>ITU-R Associates</w:t>
            </w:r>
          </w:p>
        </w:tc>
        <w:tc>
          <w:tcPr>
            <w:tcW w:w="1300" w:type="dxa"/>
            <w:tcBorders>
              <w:top w:val="nil"/>
              <w:left w:val="nil"/>
              <w:bottom w:val="single" w:sz="4" w:space="0" w:color="auto"/>
              <w:right w:val="single" w:sz="4" w:space="0" w:color="auto"/>
            </w:tcBorders>
            <w:shd w:val="clear" w:color="000000" w:fill="FFFFFF"/>
            <w:noWrap/>
            <w:vAlign w:val="bottom"/>
            <w:hideMark/>
          </w:tcPr>
          <w:p w14:paraId="0BF637BD" w14:textId="6AB727BC" w:rsidR="004857E0" w:rsidRPr="004857E0" w:rsidRDefault="004857E0" w:rsidP="00B157E0">
            <w:pPr>
              <w:pStyle w:val="Tabletext"/>
              <w:jc w:val="center"/>
              <w:rPr>
                <w:lang w:eastAsia="en-GB"/>
              </w:rPr>
            </w:pPr>
            <w:r w:rsidRPr="004857E0">
              <w:rPr>
                <w:lang w:eastAsia="en-GB"/>
              </w:rPr>
              <w:t>18</w:t>
            </w:r>
          </w:p>
        </w:tc>
        <w:tc>
          <w:tcPr>
            <w:tcW w:w="1300" w:type="dxa"/>
            <w:tcBorders>
              <w:top w:val="nil"/>
              <w:left w:val="nil"/>
              <w:bottom w:val="single" w:sz="4" w:space="0" w:color="auto"/>
              <w:right w:val="single" w:sz="4" w:space="0" w:color="auto"/>
            </w:tcBorders>
            <w:shd w:val="clear" w:color="000000" w:fill="FFFFFF"/>
            <w:noWrap/>
            <w:vAlign w:val="bottom"/>
            <w:hideMark/>
          </w:tcPr>
          <w:p w14:paraId="7FC517E9" w14:textId="0F7C47FE" w:rsidR="004857E0" w:rsidRPr="004857E0" w:rsidRDefault="004857E0" w:rsidP="00B157E0">
            <w:pPr>
              <w:pStyle w:val="Tabletext"/>
              <w:jc w:val="center"/>
              <w:rPr>
                <w:lang w:eastAsia="en-GB"/>
              </w:rPr>
            </w:pPr>
            <w:r w:rsidRPr="004857E0">
              <w:rPr>
                <w:lang w:eastAsia="en-GB"/>
              </w:rPr>
              <w:t>20</w:t>
            </w:r>
          </w:p>
        </w:tc>
        <w:tc>
          <w:tcPr>
            <w:tcW w:w="1280" w:type="dxa"/>
            <w:tcBorders>
              <w:top w:val="nil"/>
              <w:left w:val="nil"/>
              <w:bottom w:val="single" w:sz="4" w:space="0" w:color="auto"/>
              <w:right w:val="single" w:sz="4" w:space="0" w:color="auto"/>
            </w:tcBorders>
            <w:shd w:val="clear" w:color="000000" w:fill="FFFFFF"/>
            <w:noWrap/>
            <w:vAlign w:val="bottom"/>
            <w:hideMark/>
          </w:tcPr>
          <w:p w14:paraId="47334612" w14:textId="2DE295F2" w:rsidR="004857E0" w:rsidRPr="004857E0" w:rsidRDefault="004857E0" w:rsidP="00B157E0">
            <w:pPr>
              <w:pStyle w:val="Tabletext"/>
              <w:jc w:val="center"/>
              <w:rPr>
                <w:lang w:eastAsia="en-GB"/>
              </w:rPr>
            </w:pPr>
            <w:r w:rsidRPr="004857E0">
              <w:rPr>
                <w:lang w:eastAsia="en-GB"/>
              </w:rPr>
              <w:t>2</w:t>
            </w:r>
          </w:p>
        </w:tc>
        <w:tc>
          <w:tcPr>
            <w:tcW w:w="1280" w:type="dxa"/>
            <w:tcBorders>
              <w:top w:val="nil"/>
              <w:left w:val="nil"/>
              <w:bottom w:val="single" w:sz="4" w:space="0" w:color="auto"/>
              <w:right w:val="single" w:sz="4" w:space="0" w:color="auto"/>
            </w:tcBorders>
            <w:shd w:val="clear" w:color="auto" w:fill="auto"/>
            <w:noWrap/>
            <w:vAlign w:val="bottom"/>
            <w:hideMark/>
          </w:tcPr>
          <w:p w14:paraId="15140745" w14:textId="77777777" w:rsidR="004857E0" w:rsidRPr="004857E0" w:rsidRDefault="004857E0" w:rsidP="00B157E0">
            <w:pPr>
              <w:pStyle w:val="Tabletext"/>
              <w:jc w:val="center"/>
              <w:rPr>
                <w:lang w:eastAsia="en-GB"/>
              </w:rPr>
            </w:pPr>
            <w:r w:rsidRPr="004857E0">
              <w:rPr>
                <w:lang w:eastAsia="en-GB"/>
              </w:rPr>
              <w:t>11%</w:t>
            </w:r>
          </w:p>
        </w:tc>
      </w:tr>
      <w:tr w:rsidR="004857E0" w:rsidRPr="004857E0" w14:paraId="55263F07" w14:textId="77777777" w:rsidTr="00B157E0">
        <w:trPr>
          <w:cantSplit/>
          <w:jc w:val="center"/>
        </w:trPr>
        <w:tc>
          <w:tcPr>
            <w:tcW w:w="4600" w:type="dxa"/>
            <w:tcBorders>
              <w:top w:val="nil"/>
              <w:left w:val="single" w:sz="4" w:space="0" w:color="auto"/>
              <w:bottom w:val="single" w:sz="4" w:space="0" w:color="auto"/>
              <w:right w:val="single" w:sz="4" w:space="0" w:color="auto"/>
            </w:tcBorders>
            <w:shd w:val="clear" w:color="000000" w:fill="FFFFFF"/>
            <w:vAlign w:val="bottom"/>
            <w:hideMark/>
          </w:tcPr>
          <w:p w14:paraId="6D0BE53A" w14:textId="77777777" w:rsidR="004857E0" w:rsidRPr="004857E0" w:rsidRDefault="004857E0" w:rsidP="00B157E0">
            <w:pPr>
              <w:pStyle w:val="Tabletext"/>
              <w:rPr>
                <w:lang w:eastAsia="en-GB"/>
              </w:rPr>
            </w:pPr>
            <w:r w:rsidRPr="004857E0">
              <w:rPr>
                <w:lang w:eastAsia="en-GB"/>
              </w:rPr>
              <w:t>ITU-T Associates</w:t>
            </w:r>
          </w:p>
        </w:tc>
        <w:tc>
          <w:tcPr>
            <w:tcW w:w="1300" w:type="dxa"/>
            <w:tcBorders>
              <w:top w:val="nil"/>
              <w:left w:val="nil"/>
              <w:bottom w:val="single" w:sz="4" w:space="0" w:color="auto"/>
              <w:right w:val="single" w:sz="4" w:space="0" w:color="auto"/>
            </w:tcBorders>
            <w:shd w:val="clear" w:color="000000" w:fill="FFFFFF"/>
            <w:noWrap/>
            <w:vAlign w:val="bottom"/>
            <w:hideMark/>
          </w:tcPr>
          <w:p w14:paraId="7C65CA5E" w14:textId="689F2101" w:rsidR="004857E0" w:rsidRPr="004857E0" w:rsidRDefault="004857E0" w:rsidP="00B157E0">
            <w:pPr>
              <w:pStyle w:val="Tabletext"/>
              <w:jc w:val="center"/>
              <w:rPr>
                <w:lang w:eastAsia="en-GB"/>
              </w:rPr>
            </w:pPr>
            <w:r w:rsidRPr="004857E0">
              <w:rPr>
                <w:lang w:eastAsia="en-GB"/>
              </w:rPr>
              <w:t>52</w:t>
            </w:r>
          </w:p>
        </w:tc>
        <w:tc>
          <w:tcPr>
            <w:tcW w:w="1300" w:type="dxa"/>
            <w:tcBorders>
              <w:top w:val="nil"/>
              <w:left w:val="nil"/>
              <w:bottom w:val="single" w:sz="4" w:space="0" w:color="auto"/>
              <w:right w:val="single" w:sz="4" w:space="0" w:color="auto"/>
            </w:tcBorders>
            <w:shd w:val="clear" w:color="000000" w:fill="FFFFFF"/>
            <w:noWrap/>
            <w:vAlign w:val="bottom"/>
            <w:hideMark/>
          </w:tcPr>
          <w:p w14:paraId="6811725B" w14:textId="3BC21721" w:rsidR="004857E0" w:rsidRPr="004857E0" w:rsidRDefault="004857E0" w:rsidP="00B157E0">
            <w:pPr>
              <w:pStyle w:val="Tabletext"/>
              <w:jc w:val="center"/>
              <w:rPr>
                <w:lang w:eastAsia="en-GB"/>
              </w:rPr>
            </w:pPr>
            <w:r w:rsidRPr="004857E0">
              <w:rPr>
                <w:lang w:eastAsia="en-GB"/>
              </w:rPr>
              <w:t>73</w:t>
            </w:r>
          </w:p>
        </w:tc>
        <w:tc>
          <w:tcPr>
            <w:tcW w:w="1280" w:type="dxa"/>
            <w:tcBorders>
              <w:top w:val="nil"/>
              <w:left w:val="nil"/>
              <w:bottom w:val="single" w:sz="4" w:space="0" w:color="auto"/>
              <w:right w:val="single" w:sz="4" w:space="0" w:color="auto"/>
            </w:tcBorders>
            <w:shd w:val="clear" w:color="000000" w:fill="FFFFFF"/>
            <w:noWrap/>
            <w:vAlign w:val="bottom"/>
            <w:hideMark/>
          </w:tcPr>
          <w:p w14:paraId="005CF0CB" w14:textId="1FFE18D1" w:rsidR="004857E0" w:rsidRPr="004857E0" w:rsidRDefault="004857E0" w:rsidP="00B157E0">
            <w:pPr>
              <w:pStyle w:val="Tabletext"/>
              <w:jc w:val="center"/>
              <w:rPr>
                <w:lang w:eastAsia="en-GB"/>
              </w:rPr>
            </w:pPr>
            <w:r w:rsidRPr="004857E0">
              <w:rPr>
                <w:lang w:eastAsia="en-GB"/>
              </w:rPr>
              <w:t>21</w:t>
            </w:r>
          </w:p>
        </w:tc>
        <w:tc>
          <w:tcPr>
            <w:tcW w:w="1280" w:type="dxa"/>
            <w:tcBorders>
              <w:top w:val="nil"/>
              <w:left w:val="nil"/>
              <w:bottom w:val="single" w:sz="4" w:space="0" w:color="auto"/>
              <w:right w:val="single" w:sz="4" w:space="0" w:color="auto"/>
            </w:tcBorders>
            <w:shd w:val="clear" w:color="auto" w:fill="auto"/>
            <w:noWrap/>
            <w:vAlign w:val="bottom"/>
            <w:hideMark/>
          </w:tcPr>
          <w:p w14:paraId="088E4629" w14:textId="77777777" w:rsidR="004857E0" w:rsidRPr="004857E0" w:rsidRDefault="004857E0" w:rsidP="00B157E0">
            <w:pPr>
              <w:pStyle w:val="Tabletext"/>
              <w:jc w:val="center"/>
              <w:rPr>
                <w:lang w:eastAsia="en-GB"/>
              </w:rPr>
            </w:pPr>
            <w:r w:rsidRPr="004857E0">
              <w:rPr>
                <w:lang w:eastAsia="en-GB"/>
              </w:rPr>
              <w:t>40%</w:t>
            </w:r>
          </w:p>
        </w:tc>
      </w:tr>
      <w:tr w:rsidR="004857E0" w:rsidRPr="004857E0" w14:paraId="3C4F9D4C" w14:textId="77777777" w:rsidTr="00B157E0">
        <w:trPr>
          <w:cantSplit/>
          <w:jc w:val="center"/>
        </w:trPr>
        <w:tc>
          <w:tcPr>
            <w:tcW w:w="4600" w:type="dxa"/>
            <w:tcBorders>
              <w:top w:val="nil"/>
              <w:left w:val="single" w:sz="4" w:space="0" w:color="auto"/>
              <w:bottom w:val="single" w:sz="4" w:space="0" w:color="auto"/>
              <w:right w:val="single" w:sz="4" w:space="0" w:color="auto"/>
            </w:tcBorders>
            <w:shd w:val="clear" w:color="000000" w:fill="FFFFFF"/>
            <w:vAlign w:val="bottom"/>
            <w:hideMark/>
          </w:tcPr>
          <w:p w14:paraId="374CD73C" w14:textId="77777777" w:rsidR="004857E0" w:rsidRPr="004857E0" w:rsidRDefault="004857E0" w:rsidP="00B157E0">
            <w:pPr>
              <w:pStyle w:val="Tabletext"/>
              <w:rPr>
                <w:lang w:eastAsia="en-GB"/>
              </w:rPr>
            </w:pPr>
            <w:r w:rsidRPr="004857E0">
              <w:rPr>
                <w:lang w:eastAsia="en-GB"/>
              </w:rPr>
              <w:t>ITU-D Associates</w:t>
            </w:r>
          </w:p>
        </w:tc>
        <w:tc>
          <w:tcPr>
            <w:tcW w:w="1300" w:type="dxa"/>
            <w:tcBorders>
              <w:top w:val="nil"/>
              <w:left w:val="nil"/>
              <w:bottom w:val="single" w:sz="4" w:space="0" w:color="auto"/>
              <w:right w:val="single" w:sz="4" w:space="0" w:color="auto"/>
            </w:tcBorders>
            <w:shd w:val="clear" w:color="000000" w:fill="FFFFFF"/>
            <w:noWrap/>
            <w:vAlign w:val="bottom"/>
            <w:hideMark/>
          </w:tcPr>
          <w:p w14:paraId="19E9F257" w14:textId="720ADCDE" w:rsidR="004857E0" w:rsidRPr="004857E0" w:rsidRDefault="004857E0" w:rsidP="00B157E0">
            <w:pPr>
              <w:pStyle w:val="Tabletext"/>
              <w:jc w:val="center"/>
              <w:rPr>
                <w:lang w:eastAsia="en-GB"/>
              </w:rPr>
            </w:pPr>
            <w:r w:rsidRPr="004857E0">
              <w:rPr>
                <w:lang w:eastAsia="en-GB"/>
              </w:rPr>
              <w:t>0</w:t>
            </w:r>
          </w:p>
        </w:tc>
        <w:tc>
          <w:tcPr>
            <w:tcW w:w="1300" w:type="dxa"/>
            <w:tcBorders>
              <w:top w:val="nil"/>
              <w:left w:val="nil"/>
              <w:bottom w:val="single" w:sz="4" w:space="0" w:color="auto"/>
              <w:right w:val="single" w:sz="4" w:space="0" w:color="auto"/>
            </w:tcBorders>
            <w:shd w:val="clear" w:color="000000" w:fill="FFFFFF"/>
            <w:noWrap/>
            <w:vAlign w:val="bottom"/>
            <w:hideMark/>
          </w:tcPr>
          <w:p w14:paraId="3F02A968" w14:textId="25C833C6" w:rsidR="004857E0" w:rsidRPr="004857E0" w:rsidRDefault="004857E0" w:rsidP="00B157E0">
            <w:pPr>
              <w:pStyle w:val="Tabletext"/>
              <w:jc w:val="center"/>
              <w:rPr>
                <w:lang w:eastAsia="en-GB"/>
              </w:rPr>
            </w:pPr>
            <w:r w:rsidRPr="004857E0">
              <w:rPr>
                <w:lang w:eastAsia="en-GB"/>
              </w:rPr>
              <w:t>0</w:t>
            </w:r>
          </w:p>
        </w:tc>
        <w:tc>
          <w:tcPr>
            <w:tcW w:w="1280" w:type="dxa"/>
            <w:tcBorders>
              <w:top w:val="nil"/>
              <w:left w:val="nil"/>
              <w:bottom w:val="single" w:sz="4" w:space="0" w:color="auto"/>
              <w:right w:val="single" w:sz="4" w:space="0" w:color="auto"/>
            </w:tcBorders>
            <w:shd w:val="clear" w:color="000000" w:fill="FFFFFF"/>
            <w:noWrap/>
            <w:vAlign w:val="bottom"/>
            <w:hideMark/>
          </w:tcPr>
          <w:p w14:paraId="6429BE4A" w14:textId="0C7707FA" w:rsidR="004857E0" w:rsidRPr="004857E0" w:rsidRDefault="004857E0" w:rsidP="00B157E0">
            <w:pPr>
              <w:pStyle w:val="Tabletext"/>
              <w:jc w:val="center"/>
              <w:rPr>
                <w:lang w:eastAsia="en-GB"/>
              </w:rPr>
            </w:pPr>
            <w:r w:rsidRPr="004857E0">
              <w:rPr>
                <w:lang w:eastAsia="en-GB"/>
              </w:rPr>
              <w:t>0</w:t>
            </w:r>
          </w:p>
        </w:tc>
        <w:tc>
          <w:tcPr>
            <w:tcW w:w="1280" w:type="dxa"/>
            <w:tcBorders>
              <w:top w:val="nil"/>
              <w:left w:val="nil"/>
              <w:bottom w:val="single" w:sz="4" w:space="0" w:color="auto"/>
              <w:right w:val="single" w:sz="4" w:space="0" w:color="auto"/>
            </w:tcBorders>
            <w:shd w:val="clear" w:color="auto" w:fill="auto"/>
            <w:noWrap/>
            <w:vAlign w:val="bottom"/>
            <w:hideMark/>
          </w:tcPr>
          <w:p w14:paraId="30760FF9" w14:textId="0908CD95" w:rsidR="004857E0" w:rsidRPr="004857E0" w:rsidRDefault="00B157E0" w:rsidP="00B157E0">
            <w:pPr>
              <w:pStyle w:val="Tabletext"/>
              <w:jc w:val="center"/>
              <w:rPr>
                <w:lang w:eastAsia="en-GB"/>
              </w:rPr>
            </w:pPr>
            <w:r>
              <w:rPr>
                <w:lang w:eastAsia="en-GB"/>
              </w:rPr>
              <w:t>–</w:t>
            </w:r>
          </w:p>
        </w:tc>
      </w:tr>
      <w:tr w:rsidR="004857E0" w:rsidRPr="00B157E0" w14:paraId="07E6048B" w14:textId="77777777" w:rsidTr="00B157E0">
        <w:trPr>
          <w:cantSplit/>
          <w:jc w:val="center"/>
        </w:trPr>
        <w:tc>
          <w:tcPr>
            <w:tcW w:w="4600" w:type="dxa"/>
            <w:tcBorders>
              <w:top w:val="nil"/>
              <w:left w:val="single" w:sz="4" w:space="0" w:color="auto"/>
              <w:bottom w:val="single" w:sz="4" w:space="0" w:color="auto"/>
              <w:right w:val="single" w:sz="4" w:space="0" w:color="auto"/>
            </w:tcBorders>
            <w:shd w:val="clear" w:color="000000" w:fill="FFFFFF"/>
            <w:vAlign w:val="bottom"/>
            <w:hideMark/>
          </w:tcPr>
          <w:p w14:paraId="55523E48" w14:textId="77777777" w:rsidR="004857E0" w:rsidRPr="00B157E0" w:rsidRDefault="004857E0" w:rsidP="00B157E0">
            <w:pPr>
              <w:pStyle w:val="Tabletext"/>
              <w:jc w:val="right"/>
              <w:rPr>
                <w:b/>
                <w:bCs/>
                <w:lang w:eastAsia="en-GB"/>
              </w:rPr>
            </w:pPr>
            <w:r w:rsidRPr="00B157E0">
              <w:rPr>
                <w:b/>
                <w:bCs/>
                <w:lang w:eastAsia="en-GB"/>
              </w:rPr>
              <w:t xml:space="preserve">Total </w:t>
            </w:r>
          </w:p>
        </w:tc>
        <w:tc>
          <w:tcPr>
            <w:tcW w:w="1300" w:type="dxa"/>
            <w:tcBorders>
              <w:top w:val="nil"/>
              <w:left w:val="nil"/>
              <w:bottom w:val="single" w:sz="4" w:space="0" w:color="auto"/>
              <w:right w:val="single" w:sz="4" w:space="0" w:color="auto"/>
            </w:tcBorders>
            <w:shd w:val="clear" w:color="000000" w:fill="FFFFFF"/>
            <w:noWrap/>
            <w:vAlign w:val="bottom"/>
            <w:hideMark/>
          </w:tcPr>
          <w:p w14:paraId="4F2C298C" w14:textId="4D79BB84" w:rsidR="004857E0" w:rsidRPr="00B157E0" w:rsidRDefault="004857E0" w:rsidP="00B157E0">
            <w:pPr>
              <w:pStyle w:val="Tabletext"/>
              <w:jc w:val="center"/>
              <w:rPr>
                <w:b/>
                <w:bCs/>
                <w:lang w:eastAsia="en-GB"/>
              </w:rPr>
            </w:pPr>
            <w:r w:rsidRPr="00B157E0">
              <w:rPr>
                <w:b/>
                <w:bCs/>
                <w:lang w:eastAsia="en-GB"/>
              </w:rPr>
              <w:t>70</w:t>
            </w:r>
          </w:p>
        </w:tc>
        <w:tc>
          <w:tcPr>
            <w:tcW w:w="1300" w:type="dxa"/>
            <w:tcBorders>
              <w:top w:val="nil"/>
              <w:left w:val="nil"/>
              <w:bottom w:val="single" w:sz="4" w:space="0" w:color="auto"/>
              <w:right w:val="single" w:sz="4" w:space="0" w:color="auto"/>
            </w:tcBorders>
            <w:shd w:val="clear" w:color="000000" w:fill="FFFFFF"/>
            <w:noWrap/>
            <w:vAlign w:val="bottom"/>
            <w:hideMark/>
          </w:tcPr>
          <w:p w14:paraId="6C42AE15" w14:textId="521B8B8C" w:rsidR="004857E0" w:rsidRPr="00B157E0" w:rsidRDefault="004857E0" w:rsidP="00B157E0">
            <w:pPr>
              <w:pStyle w:val="Tabletext"/>
              <w:jc w:val="center"/>
              <w:rPr>
                <w:b/>
                <w:bCs/>
                <w:lang w:eastAsia="en-GB"/>
              </w:rPr>
            </w:pPr>
            <w:r w:rsidRPr="00B157E0">
              <w:rPr>
                <w:b/>
                <w:bCs/>
                <w:lang w:eastAsia="en-GB"/>
              </w:rPr>
              <w:t>93</w:t>
            </w:r>
          </w:p>
        </w:tc>
        <w:tc>
          <w:tcPr>
            <w:tcW w:w="1280" w:type="dxa"/>
            <w:tcBorders>
              <w:top w:val="nil"/>
              <w:left w:val="nil"/>
              <w:bottom w:val="single" w:sz="4" w:space="0" w:color="auto"/>
              <w:right w:val="single" w:sz="4" w:space="0" w:color="auto"/>
            </w:tcBorders>
            <w:shd w:val="clear" w:color="000000" w:fill="FFFFFF"/>
            <w:noWrap/>
            <w:vAlign w:val="bottom"/>
            <w:hideMark/>
          </w:tcPr>
          <w:p w14:paraId="551D4DBE" w14:textId="05C5567A" w:rsidR="004857E0" w:rsidRPr="00B157E0" w:rsidRDefault="004857E0" w:rsidP="00B157E0">
            <w:pPr>
              <w:pStyle w:val="Tabletext"/>
              <w:jc w:val="center"/>
              <w:rPr>
                <w:b/>
                <w:bCs/>
                <w:lang w:eastAsia="en-GB"/>
              </w:rPr>
            </w:pPr>
            <w:r w:rsidRPr="00B157E0">
              <w:rPr>
                <w:b/>
                <w:bCs/>
                <w:lang w:eastAsia="en-GB"/>
              </w:rPr>
              <w:t>23</w:t>
            </w:r>
          </w:p>
        </w:tc>
        <w:tc>
          <w:tcPr>
            <w:tcW w:w="1280" w:type="dxa"/>
            <w:tcBorders>
              <w:top w:val="nil"/>
              <w:left w:val="nil"/>
              <w:bottom w:val="single" w:sz="4" w:space="0" w:color="auto"/>
              <w:right w:val="single" w:sz="4" w:space="0" w:color="auto"/>
            </w:tcBorders>
            <w:shd w:val="clear" w:color="auto" w:fill="auto"/>
            <w:noWrap/>
            <w:vAlign w:val="bottom"/>
            <w:hideMark/>
          </w:tcPr>
          <w:p w14:paraId="603C6470" w14:textId="77777777" w:rsidR="004857E0" w:rsidRPr="00B157E0" w:rsidRDefault="004857E0" w:rsidP="00B157E0">
            <w:pPr>
              <w:pStyle w:val="Tabletext"/>
              <w:jc w:val="center"/>
              <w:rPr>
                <w:b/>
                <w:bCs/>
                <w:lang w:eastAsia="en-GB"/>
              </w:rPr>
            </w:pPr>
            <w:r w:rsidRPr="00B157E0">
              <w:rPr>
                <w:b/>
                <w:bCs/>
                <w:lang w:eastAsia="en-GB"/>
              </w:rPr>
              <w:t>33%</w:t>
            </w:r>
          </w:p>
        </w:tc>
      </w:tr>
      <w:tr w:rsidR="004857E0" w:rsidRPr="00B157E0" w14:paraId="6F8D216C" w14:textId="77777777" w:rsidTr="00B157E0">
        <w:trPr>
          <w:cantSplit/>
          <w:jc w:val="center"/>
        </w:trPr>
        <w:tc>
          <w:tcPr>
            <w:tcW w:w="9760" w:type="dxa"/>
            <w:gridSpan w:val="5"/>
            <w:tcBorders>
              <w:top w:val="nil"/>
              <w:left w:val="nil"/>
              <w:bottom w:val="nil"/>
              <w:right w:val="nil"/>
            </w:tcBorders>
            <w:shd w:val="clear" w:color="000000" w:fill="FFFFFF"/>
            <w:vAlign w:val="center"/>
            <w:hideMark/>
          </w:tcPr>
          <w:p w14:paraId="1E48F289" w14:textId="43F8BBC8" w:rsidR="004857E0" w:rsidRPr="00B157E0" w:rsidRDefault="004857E0" w:rsidP="00B157E0">
            <w:pPr>
              <w:pStyle w:val="Tablelegend"/>
            </w:pPr>
            <w:r w:rsidRPr="00B157E0">
              <w:t>*</w:t>
            </w:r>
            <w:r w:rsidR="00B157E0">
              <w:tab/>
            </w:r>
            <w:r w:rsidRPr="00B157E0">
              <w:t xml:space="preserve">Res. 209, Dubai 2018 </w:t>
            </w:r>
            <w:r w:rsidR="00B157E0">
              <w:t>–</w:t>
            </w:r>
            <w:r w:rsidRPr="00B157E0">
              <w:t xml:space="preserve"> New participation of SMEs as Associates in the Sectors of the Union</w:t>
            </w:r>
            <w:r w:rsidR="00B157E0">
              <w:t>.</w:t>
            </w:r>
          </w:p>
        </w:tc>
      </w:tr>
      <w:tr w:rsidR="004857E0" w:rsidRPr="004857E0" w14:paraId="4E186AE4" w14:textId="77777777" w:rsidTr="00B157E0">
        <w:trPr>
          <w:cantSplit/>
          <w:jc w:val="center"/>
        </w:trPr>
        <w:tc>
          <w:tcPr>
            <w:tcW w:w="4600" w:type="dxa"/>
            <w:tcBorders>
              <w:top w:val="nil"/>
              <w:left w:val="nil"/>
              <w:bottom w:val="single" w:sz="4" w:space="0" w:color="auto"/>
              <w:right w:val="nil"/>
            </w:tcBorders>
            <w:shd w:val="clear" w:color="000000" w:fill="FFFFFF"/>
            <w:vAlign w:val="center"/>
            <w:hideMark/>
          </w:tcPr>
          <w:p w14:paraId="14481A28" w14:textId="77777777" w:rsidR="004857E0" w:rsidRPr="004857E0" w:rsidRDefault="004857E0" w:rsidP="00B157E0">
            <w:pPr>
              <w:pStyle w:val="Tabletext"/>
              <w:rPr>
                <w:lang w:eastAsia="en-GB"/>
              </w:rPr>
            </w:pPr>
            <w:r w:rsidRPr="004857E0">
              <w:rPr>
                <w:lang w:eastAsia="en-GB"/>
              </w:rPr>
              <w:t> </w:t>
            </w:r>
          </w:p>
        </w:tc>
        <w:tc>
          <w:tcPr>
            <w:tcW w:w="1300" w:type="dxa"/>
            <w:tcBorders>
              <w:top w:val="nil"/>
              <w:left w:val="nil"/>
              <w:bottom w:val="single" w:sz="4" w:space="0" w:color="auto"/>
              <w:right w:val="nil"/>
            </w:tcBorders>
            <w:shd w:val="clear" w:color="000000" w:fill="FFFFFF"/>
            <w:vAlign w:val="center"/>
            <w:hideMark/>
          </w:tcPr>
          <w:p w14:paraId="2D2035FE" w14:textId="77777777" w:rsidR="004857E0" w:rsidRPr="004857E0" w:rsidRDefault="004857E0" w:rsidP="00B157E0">
            <w:pPr>
              <w:pStyle w:val="Tabletext"/>
              <w:rPr>
                <w:lang w:eastAsia="en-GB"/>
              </w:rPr>
            </w:pPr>
            <w:r w:rsidRPr="004857E0">
              <w:rPr>
                <w:lang w:eastAsia="en-GB"/>
              </w:rPr>
              <w:t> </w:t>
            </w:r>
          </w:p>
        </w:tc>
        <w:tc>
          <w:tcPr>
            <w:tcW w:w="1300" w:type="dxa"/>
            <w:tcBorders>
              <w:top w:val="nil"/>
              <w:left w:val="nil"/>
              <w:bottom w:val="single" w:sz="4" w:space="0" w:color="auto"/>
              <w:right w:val="nil"/>
            </w:tcBorders>
            <w:shd w:val="clear" w:color="000000" w:fill="FFFFFF"/>
            <w:vAlign w:val="center"/>
            <w:hideMark/>
          </w:tcPr>
          <w:p w14:paraId="47C4135C" w14:textId="77777777" w:rsidR="004857E0" w:rsidRPr="004857E0" w:rsidRDefault="004857E0" w:rsidP="00B157E0">
            <w:pPr>
              <w:pStyle w:val="Tabletext"/>
              <w:rPr>
                <w:lang w:eastAsia="en-GB"/>
              </w:rPr>
            </w:pPr>
            <w:r w:rsidRPr="004857E0">
              <w:rPr>
                <w:lang w:eastAsia="en-GB"/>
              </w:rPr>
              <w:t> </w:t>
            </w:r>
          </w:p>
        </w:tc>
        <w:tc>
          <w:tcPr>
            <w:tcW w:w="1280" w:type="dxa"/>
            <w:tcBorders>
              <w:top w:val="nil"/>
              <w:left w:val="nil"/>
              <w:bottom w:val="single" w:sz="4" w:space="0" w:color="auto"/>
              <w:right w:val="nil"/>
            </w:tcBorders>
            <w:shd w:val="clear" w:color="000000" w:fill="FFFFFF"/>
            <w:vAlign w:val="center"/>
            <w:hideMark/>
          </w:tcPr>
          <w:p w14:paraId="48279234" w14:textId="77777777" w:rsidR="004857E0" w:rsidRPr="004857E0" w:rsidRDefault="004857E0" w:rsidP="00B157E0">
            <w:pPr>
              <w:pStyle w:val="Tabletext"/>
              <w:rPr>
                <w:lang w:eastAsia="en-GB"/>
              </w:rPr>
            </w:pPr>
            <w:r w:rsidRPr="004857E0">
              <w:rPr>
                <w:lang w:eastAsia="en-GB"/>
              </w:rPr>
              <w:t> </w:t>
            </w:r>
          </w:p>
        </w:tc>
        <w:tc>
          <w:tcPr>
            <w:tcW w:w="1280" w:type="dxa"/>
            <w:tcBorders>
              <w:top w:val="nil"/>
              <w:left w:val="nil"/>
              <w:bottom w:val="single" w:sz="4" w:space="0" w:color="auto"/>
              <w:right w:val="nil"/>
            </w:tcBorders>
            <w:shd w:val="clear" w:color="000000" w:fill="FFFFFF"/>
            <w:vAlign w:val="center"/>
            <w:hideMark/>
          </w:tcPr>
          <w:p w14:paraId="3120B04E" w14:textId="77777777" w:rsidR="004857E0" w:rsidRPr="004857E0" w:rsidRDefault="004857E0" w:rsidP="00B157E0">
            <w:pPr>
              <w:pStyle w:val="Tabletext"/>
              <w:rPr>
                <w:lang w:eastAsia="en-GB"/>
              </w:rPr>
            </w:pPr>
            <w:r w:rsidRPr="004857E0">
              <w:rPr>
                <w:lang w:eastAsia="en-GB"/>
              </w:rPr>
              <w:t> </w:t>
            </w:r>
          </w:p>
        </w:tc>
      </w:tr>
      <w:tr w:rsidR="004857E0" w:rsidRPr="004857E0" w14:paraId="70536721" w14:textId="77777777" w:rsidTr="00B157E0">
        <w:trPr>
          <w:cantSplit/>
          <w:jc w:val="center"/>
        </w:trPr>
        <w:tc>
          <w:tcPr>
            <w:tcW w:w="4600" w:type="dxa"/>
            <w:tcBorders>
              <w:top w:val="nil"/>
              <w:left w:val="single" w:sz="4" w:space="0" w:color="auto"/>
              <w:bottom w:val="single" w:sz="4" w:space="0" w:color="auto"/>
              <w:right w:val="single" w:sz="4" w:space="0" w:color="auto"/>
            </w:tcBorders>
            <w:shd w:val="clear" w:color="auto" w:fill="auto"/>
            <w:vAlign w:val="center"/>
            <w:hideMark/>
          </w:tcPr>
          <w:p w14:paraId="19C97C68" w14:textId="4BB96B34" w:rsidR="004857E0" w:rsidRPr="004857E0" w:rsidRDefault="004857E0" w:rsidP="00B157E0">
            <w:pPr>
              <w:pStyle w:val="Tablehead"/>
              <w:rPr>
                <w:lang w:eastAsia="en-GB"/>
              </w:rPr>
            </w:pPr>
            <w:r w:rsidRPr="004857E0">
              <w:rPr>
                <w:lang w:eastAsia="en-GB"/>
              </w:rPr>
              <w:t>Academic Institutions</w:t>
            </w:r>
          </w:p>
        </w:tc>
        <w:tc>
          <w:tcPr>
            <w:tcW w:w="1300" w:type="dxa"/>
            <w:tcBorders>
              <w:top w:val="nil"/>
              <w:left w:val="nil"/>
              <w:bottom w:val="single" w:sz="4" w:space="0" w:color="auto"/>
              <w:right w:val="single" w:sz="4" w:space="0" w:color="auto"/>
            </w:tcBorders>
            <w:shd w:val="clear" w:color="auto" w:fill="auto"/>
            <w:vAlign w:val="center"/>
            <w:hideMark/>
          </w:tcPr>
          <w:p w14:paraId="61B65182" w14:textId="3BE6E0A1" w:rsidR="004857E0" w:rsidRPr="004857E0" w:rsidRDefault="004857E0" w:rsidP="00B157E0">
            <w:pPr>
              <w:pStyle w:val="Tablehead"/>
              <w:rPr>
                <w:lang w:eastAsia="en-GB"/>
              </w:rPr>
            </w:pPr>
            <w:r w:rsidRPr="004857E0">
              <w:rPr>
                <w:lang w:eastAsia="en-GB"/>
              </w:rPr>
              <w:t>Number of Academia</w:t>
            </w:r>
            <w:r w:rsidR="00B157E0">
              <w:rPr>
                <w:lang w:eastAsia="en-GB"/>
              </w:rPr>
              <w:br/>
            </w:r>
            <w:r w:rsidRPr="004857E0">
              <w:rPr>
                <w:lang w:eastAsia="en-GB"/>
              </w:rPr>
              <w:t>PP-22</w:t>
            </w:r>
          </w:p>
        </w:tc>
        <w:tc>
          <w:tcPr>
            <w:tcW w:w="1300" w:type="dxa"/>
            <w:tcBorders>
              <w:top w:val="nil"/>
              <w:left w:val="nil"/>
              <w:bottom w:val="single" w:sz="4" w:space="0" w:color="auto"/>
              <w:right w:val="single" w:sz="4" w:space="0" w:color="auto"/>
            </w:tcBorders>
            <w:shd w:val="clear" w:color="auto" w:fill="auto"/>
            <w:vAlign w:val="center"/>
            <w:hideMark/>
          </w:tcPr>
          <w:p w14:paraId="2A61DD1E" w14:textId="77777777" w:rsidR="004857E0" w:rsidRPr="004857E0" w:rsidRDefault="004857E0" w:rsidP="00B157E0">
            <w:pPr>
              <w:pStyle w:val="Tablehead"/>
              <w:rPr>
                <w:lang w:eastAsia="en-GB"/>
              </w:rPr>
            </w:pPr>
            <w:r w:rsidRPr="004857E0">
              <w:rPr>
                <w:lang w:eastAsia="en-GB"/>
              </w:rPr>
              <w:t>No. of Academia at 28.02.2025</w:t>
            </w:r>
          </w:p>
        </w:tc>
        <w:tc>
          <w:tcPr>
            <w:tcW w:w="1280" w:type="dxa"/>
            <w:tcBorders>
              <w:top w:val="nil"/>
              <w:left w:val="nil"/>
              <w:bottom w:val="single" w:sz="4" w:space="0" w:color="auto"/>
              <w:right w:val="single" w:sz="4" w:space="0" w:color="auto"/>
            </w:tcBorders>
            <w:shd w:val="clear" w:color="auto" w:fill="auto"/>
            <w:vAlign w:val="center"/>
            <w:hideMark/>
          </w:tcPr>
          <w:p w14:paraId="076C892A" w14:textId="77777777" w:rsidR="004857E0" w:rsidRPr="004857E0" w:rsidRDefault="004857E0" w:rsidP="00B157E0">
            <w:pPr>
              <w:pStyle w:val="Tablehead"/>
              <w:rPr>
                <w:lang w:eastAsia="en-GB"/>
              </w:rPr>
            </w:pPr>
            <w:r w:rsidRPr="004857E0">
              <w:rPr>
                <w:lang w:eastAsia="en-GB"/>
              </w:rPr>
              <w:t>Difference</w:t>
            </w:r>
          </w:p>
        </w:tc>
        <w:tc>
          <w:tcPr>
            <w:tcW w:w="1280" w:type="dxa"/>
            <w:tcBorders>
              <w:top w:val="nil"/>
              <w:left w:val="nil"/>
              <w:bottom w:val="single" w:sz="4" w:space="0" w:color="auto"/>
              <w:right w:val="single" w:sz="4" w:space="0" w:color="auto"/>
            </w:tcBorders>
            <w:shd w:val="clear" w:color="auto" w:fill="auto"/>
            <w:vAlign w:val="center"/>
            <w:hideMark/>
          </w:tcPr>
          <w:p w14:paraId="69D6CBC0" w14:textId="77777777" w:rsidR="004857E0" w:rsidRPr="004857E0" w:rsidRDefault="004857E0" w:rsidP="00B157E0">
            <w:pPr>
              <w:pStyle w:val="Tablehead"/>
              <w:rPr>
                <w:lang w:eastAsia="en-GB"/>
              </w:rPr>
            </w:pPr>
            <w:r w:rsidRPr="004857E0">
              <w:rPr>
                <w:lang w:eastAsia="en-GB"/>
              </w:rPr>
              <w:t>Difference in %</w:t>
            </w:r>
          </w:p>
        </w:tc>
      </w:tr>
      <w:tr w:rsidR="004857E0" w:rsidRPr="00B157E0" w14:paraId="2882869A" w14:textId="77777777" w:rsidTr="00B157E0">
        <w:trPr>
          <w:cantSplit/>
          <w:jc w:val="center"/>
        </w:trPr>
        <w:tc>
          <w:tcPr>
            <w:tcW w:w="4600" w:type="dxa"/>
            <w:tcBorders>
              <w:top w:val="nil"/>
              <w:left w:val="single" w:sz="4" w:space="0" w:color="auto"/>
              <w:bottom w:val="single" w:sz="4" w:space="0" w:color="auto"/>
              <w:right w:val="single" w:sz="4" w:space="0" w:color="auto"/>
            </w:tcBorders>
            <w:shd w:val="clear" w:color="000000" w:fill="FFFFFF"/>
            <w:vAlign w:val="bottom"/>
            <w:hideMark/>
          </w:tcPr>
          <w:p w14:paraId="4AA849C9" w14:textId="77777777" w:rsidR="004857E0" w:rsidRPr="00B157E0" w:rsidRDefault="004857E0" w:rsidP="00B157E0">
            <w:pPr>
              <w:pStyle w:val="Tabletext"/>
              <w:jc w:val="right"/>
              <w:rPr>
                <w:b/>
                <w:bCs/>
                <w:lang w:eastAsia="en-GB"/>
              </w:rPr>
            </w:pPr>
            <w:r w:rsidRPr="00B157E0">
              <w:rPr>
                <w:b/>
                <w:bCs/>
                <w:lang w:eastAsia="en-GB"/>
              </w:rPr>
              <w:t>Total</w:t>
            </w:r>
          </w:p>
        </w:tc>
        <w:tc>
          <w:tcPr>
            <w:tcW w:w="1300" w:type="dxa"/>
            <w:tcBorders>
              <w:top w:val="nil"/>
              <w:left w:val="nil"/>
              <w:bottom w:val="single" w:sz="4" w:space="0" w:color="auto"/>
              <w:right w:val="single" w:sz="4" w:space="0" w:color="auto"/>
            </w:tcBorders>
            <w:shd w:val="clear" w:color="000000" w:fill="FFFFFF"/>
            <w:noWrap/>
            <w:vAlign w:val="bottom"/>
            <w:hideMark/>
          </w:tcPr>
          <w:p w14:paraId="352373F8" w14:textId="7E9326E9" w:rsidR="004857E0" w:rsidRPr="00B157E0" w:rsidRDefault="004857E0" w:rsidP="00B157E0">
            <w:pPr>
              <w:pStyle w:val="Tabletext"/>
              <w:jc w:val="center"/>
              <w:rPr>
                <w:b/>
                <w:bCs/>
                <w:lang w:eastAsia="en-GB"/>
              </w:rPr>
            </w:pPr>
            <w:r w:rsidRPr="00B157E0">
              <w:rPr>
                <w:b/>
                <w:bCs/>
                <w:lang w:eastAsia="en-GB"/>
              </w:rPr>
              <w:t>151</w:t>
            </w:r>
          </w:p>
        </w:tc>
        <w:tc>
          <w:tcPr>
            <w:tcW w:w="1300" w:type="dxa"/>
            <w:tcBorders>
              <w:top w:val="nil"/>
              <w:left w:val="nil"/>
              <w:bottom w:val="single" w:sz="4" w:space="0" w:color="auto"/>
              <w:right w:val="single" w:sz="4" w:space="0" w:color="auto"/>
            </w:tcBorders>
            <w:shd w:val="clear" w:color="000000" w:fill="FFFFFF"/>
            <w:noWrap/>
            <w:vAlign w:val="bottom"/>
            <w:hideMark/>
          </w:tcPr>
          <w:p w14:paraId="2C24C3AB" w14:textId="6E48B95E" w:rsidR="004857E0" w:rsidRPr="00B157E0" w:rsidRDefault="004857E0" w:rsidP="00B157E0">
            <w:pPr>
              <w:pStyle w:val="Tabletext"/>
              <w:jc w:val="center"/>
              <w:rPr>
                <w:b/>
                <w:bCs/>
                <w:lang w:eastAsia="en-GB"/>
              </w:rPr>
            </w:pPr>
            <w:r w:rsidRPr="00B157E0">
              <w:rPr>
                <w:b/>
                <w:bCs/>
                <w:lang w:eastAsia="en-GB"/>
              </w:rPr>
              <w:t>162</w:t>
            </w:r>
          </w:p>
        </w:tc>
        <w:tc>
          <w:tcPr>
            <w:tcW w:w="1280" w:type="dxa"/>
            <w:tcBorders>
              <w:top w:val="nil"/>
              <w:left w:val="nil"/>
              <w:bottom w:val="single" w:sz="4" w:space="0" w:color="auto"/>
              <w:right w:val="single" w:sz="4" w:space="0" w:color="auto"/>
            </w:tcBorders>
            <w:shd w:val="clear" w:color="000000" w:fill="FFFFFF"/>
            <w:noWrap/>
            <w:vAlign w:val="bottom"/>
            <w:hideMark/>
          </w:tcPr>
          <w:p w14:paraId="1973310B" w14:textId="76FC4DBF" w:rsidR="004857E0" w:rsidRPr="00B157E0" w:rsidRDefault="004857E0" w:rsidP="00B157E0">
            <w:pPr>
              <w:pStyle w:val="Tabletext"/>
              <w:jc w:val="center"/>
              <w:rPr>
                <w:b/>
                <w:bCs/>
                <w:lang w:eastAsia="en-GB"/>
              </w:rPr>
            </w:pPr>
            <w:r w:rsidRPr="00B157E0">
              <w:rPr>
                <w:b/>
                <w:bCs/>
                <w:lang w:eastAsia="en-GB"/>
              </w:rPr>
              <w:t>11</w:t>
            </w:r>
          </w:p>
        </w:tc>
        <w:tc>
          <w:tcPr>
            <w:tcW w:w="1280" w:type="dxa"/>
            <w:tcBorders>
              <w:top w:val="nil"/>
              <w:left w:val="nil"/>
              <w:bottom w:val="single" w:sz="4" w:space="0" w:color="auto"/>
              <w:right w:val="single" w:sz="4" w:space="0" w:color="auto"/>
            </w:tcBorders>
            <w:shd w:val="clear" w:color="auto" w:fill="auto"/>
            <w:noWrap/>
            <w:vAlign w:val="bottom"/>
            <w:hideMark/>
          </w:tcPr>
          <w:p w14:paraId="732D3621" w14:textId="77777777" w:rsidR="004857E0" w:rsidRPr="00B157E0" w:rsidRDefault="004857E0" w:rsidP="00B157E0">
            <w:pPr>
              <w:pStyle w:val="Tabletext"/>
              <w:jc w:val="center"/>
              <w:rPr>
                <w:b/>
                <w:bCs/>
                <w:lang w:eastAsia="en-GB"/>
              </w:rPr>
            </w:pPr>
            <w:r w:rsidRPr="00B157E0">
              <w:rPr>
                <w:b/>
                <w:bCs/>
                <w:lang w:eastAsia="en-GB"/>
              </w:rPr>
              <w:t>7%</w:t>
            </w:r>
          </w:p>
        </w:tc>
      </w:tr>
    </w:tbl>
    <w:p w14:paraId="23445336" w14:textId="77777777" w:rsidR="00B157E0" w:rsidRPr="00B157E0" w:rsidRDefault="00B157E0" w:rsidP="00B157E0">
      <w:pPr>
        <w:pStyle w:val="Reasons"/>
      </w:pPr>
    </w:p>
    <w:p w14:paraId="35C6D0A5" w14:textId="4DB04A7D" w:rsidR="007A3FCD" w:rsidRPr="00C0458D" w:rsidRDefault="00B157E0" w:rsidP="008C67EF">
      <w:pPr>
        <w:spacing w:before="480"/>
        <w:jc w:val="center"/>
      </w:pPr>
      <w:r>
        <w:t>______________</w:t>
      </w:r>
    </w:p>
    <w:sectPr w:rsidR="007A3FCD" w:rsidRPr="00C0458D" w:rsidSect="00AD3606">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52C6D" w14:textId="77777777" w:rsidR="00D843AE" w:rsidRDefault="00D843AE">
      <w:r>
        <w:separator/>
      </w:r>
    </w:p>
  </w:endnote>
  <w:endnote w:type="continuationSeparator" w:id="0">
    <w:p w14:paraId="3344EEF2" w14:textId="77777777" w:rsidR="00D843AE" w:rsidRDefault="00D8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6D0E89">
      <w:trPr>
        <w:jc w:val="center"/>
      </w:trPr>
      <w:tc>
        <w:tcPr>
          <w:tcW w:w="1803" w:type="dxa"/>
          <w:vAlign w:val="center"/>
        </w:tcPr>
        <w:p w14:paraId="5B3DDD9A" w14:textId="77777777" w:rsidR="00EE49E8" w:rsidRDefault="00C6520B" w:rsidP="00EE49E8">
          <w:pPr>
            <w:pStyle w:val="Header"/>
            <w:jc w:val="left"/>
            <w:rPr>
              <w:noProof/>
            </w:rPr>
          </w:pPr>
          <w:r>
            <w:rPr>
              <w:noProof/>
            </w:rPr>
            <w:t>gDoc #</w:t>
          </w:r>
        </w:p>
      </w:tc>
      <w:tc>
        <w:tcPr>
          <w:tcW w:w="8261" w:type="dxa"/>
        </w:tcPr>
        <w:p w14:paraId="6F6B3A01" w14:textId="5AE00F98" w:rsidR="00EE49E8" w:rsidRPr="00E06FD5" w:rsidRDefault="00EE49E8" w:rsidP="00B157E0">
          <w:pPr>
            <w:pStyle w:val="Header"/>
            <w:tabs>
              <w:tab w:val="left" w:pos="6733"/>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452B43">
            <w:rPr>
              <w:bCs/>
            </w:rPr>
            <w:t>54</w:t>
          </w:r>
          <w:r w:rsidRPr="00623AE3">
            <w:rPr>
              <w:bCs/>
            </w:rPr>
            <w:t>-E</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073207F9" w:rsidR="00EE49E8" w:rsidRPr="00E06FD5" w:rsidRDefault="00EE49E8" w:rsidP="00B157E0">
          <w:pPr>
            <w:pStyle w:val="Header"/>
            <w:tabs>
              <w:tab w:val="left" w:pos="6733"/>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452B43">
            <w:rPr>
              <w:bCs/>
            </w:rPr>
            <w:t>54</w:t>
          </w:r>
          <w:r w:rsidRPr="00623AE3">
            <w:rPr>
              <w:bCs/>
            </w:rPr>
            <w:t>-E</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1B8C8" w14:textId="77777777" w:rsidR="00D843AE" w:rsidRDefault="00D843AE">
      <w:r>
        <w:t>____________________</w:t>
      </w:r>
    </w:p>
  </w:footnote>
  <w:footnote w:type="continuationSeparator" w:id="0">
    <w:p w14:paraId="4C385643" w14:textId="77777777" w:rsidR="00D843AE" w:rsidRDefault="00D84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rsidTr="006D0E89">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16" w:name="_Hlk133422111"/>
          <w:r>
            <w:rPr>
              <w:rFonts w:ascii="Arial" w:hAnsi="Arial" w:cs="Arial"/>
              <w:b/>
              <w:bCs/>
              <w:noProof/>
              <w:color w:val="009CD6"/>
              <w:sz w:val="36"/>
              <w:szCs w:val="36"/>
            </w:rPr>
            <w:drawing>
              <wp:inline distT="0" distB="0" distL="0" distR="0" wp14:anchorId="313B81B2" wp14:editId="52EB5A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6"/>
  <w:p w14:paraId="3C724958"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77A66" id="Rectangle 5" o:spid="_x0000_s1026" style="position:absolute;margin-left:.3pt;margin-top:47.35pt;width:8.5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3442D64"/>
    <w:multiLevelType w:val="hybridMultilevel"/>
    <w:tmpl w:val="39749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512649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0756A"/>
    <w:rsid w:val="000210D4"/>
    <w:rsid w:val="0006007D"/>
    <w:rsid w:val="00063016"/>
    <w:rsid w:val="00066795"/>
    <w:rsid w:val="000745AB"/>
    <w:rsid w:val="00076AF6"/>
    <w:rsid w:val="00082E90"/>
    <w:rsid w:val="00085CF2"/>
    <w:rsid w:val="000B1705"/>
    <w:rsid w:val="000D75B2"/>
    <w:rsid w:val="000F2B35"/>
    <w:rsid w:val="000F5DDB"/>
    <w:rsid w:val="000F7289"/>
    <w:rsid w:val="001121F5"/>
    <w:rsid w:val="00112688"/>
    <w:rsid w:val="00124DE6"/>
    <w:rsid w:val="001303EC"/>
    <w:rsid w:val="001400DC"/>
    <w:rsid w:val="00140CE1"/>
    <w:rsid w:val="00173B72"/>
    <w:rsid w:val="0017539C"/>
    <w:rsid w:val="00175AC2"/>
    <w:rsid w:val="0017609F"/>
    <w:rsid w:val="001872B5"/>
    <w:rsid w:val="001A3154"/>
    <w:rsid w:val="001A7D1D"/>
    <w:rsid w:val="001B51DD"/>
    <w:rsid w:val="001B5CC7"/>
    <w:rsid w:val="001C628E"/>
    <w:rsid w:val="001E0F7B"/>
    <w:rsid w:val="001F5569"/>
    <w:rsid w:val="001F784B"/>
    <w:rsid w:val="002119FD"/>
    <w:rsid w:val="002130E0"/>
    <w:rsid w:val="00221F46"/>
    <w:rsid w:val="00264425"/>
    <w:rsid w:val="00265875"/>
    <w:rsid w:val="0027303B"/>
    <w:rsid w:val="0028109B"/>
    <w:rsid w:val="002A2188"/>
    <w:rsid w:val="002B1F58"/>
    <w:rsid w:val="002C1C7A"/>
    <w:rsid w:val="002C54E2"/>
    <w:rsid w:val="002C5F4A"/>
    <w:rsid w:val="0030160F"/>
    <w:rsid w:val="00320223"/>
    <w:rsid w:val="00322D0D"/>
    <w:rsid w:val="00325582"/>
    <w:rsid w:val="00325725"/>
    <w:rsid w:val="00357DD8"/>
    <w:rsid w:val="00361465"/>
    <w:rsid w:val="00385878"/>
    <w:rsid w:val="003877F5"/>
    <w:rsid w:val="003936D3"/>
    <w:rsid w:val="003942D4"/>
    <w:rsid w:val="003958A8"/>
    <w:rsid w:val="003B29C2"/>
    <w:rsid w:val="003B4719"/>
    <w:rsid w:val="003C2533"/>
    <w:rsid w:val="003D5A7F"/>
    <w:rsid w:val="003E699E"/>
    <w:rsid w:val="004011C5"/>
    <w:rsid w:val="0040435A"/>
    <w:rsid w:val="00416A24"/>
    <w:rsid w:val="00427BFF"/>
    <w:rsid w:val="00431D9E"/>
    <w:rsid w:val="00433CE8"/>
    <w:rsid w:val="00434A5C"/>
    <w:rsid w:val="00434DF4"/>
    <w:rsid w:val="00452B43"/>
    <w:rsid w:val="00453079"/>
    <w:rsid w:val="004544D9"/>
    <w:rsid w:val="00472BAD"/>
    <w:rsid w:val="004811F8"/>
    <w:rsid w:val="00484009"/>
    <w:rsid w:val="004857E0"/>
    <w:rsid w:val="00490E72"/>
    <w:rsid w:val="00491157"/>
    <w:rsid w:val="00491BA9"/>
    <w:rsid w:val="004920B6"/>
    <w:rsid w:val="004921C8"/>
    <w:rsid w:val="00495B0B"/>
    <w:rsid w:val="004A1B8B"/>
    <w:rsid w:val="004B25A1"/>
    <w:rsid w:val="004C3E06"/>
    <w:rsid w:val="004D016E"/>
    <w:rsid w:val="004D1851"/>
    <w:rsid w:val="004D599D"/>
    <w:rsid w:val="004E2EA5"/>
    <w:rsid w:val="004E3AEB"/>
    <w:rsid w:val="004E4C46"/>
    <w:rsid w:val="004F1D84"/>
    <w:rsid w:val="0050223C"/>
    <w:rsid w:val="005136F0"/>
    <w:rsid w:val="005243FF"/>
    <w:rsid w:val="00527BEC"/>
    <w:rsid w:val="00564FBC"/>
    <w:rsid w:val="00572365"/>
    <w:rsid w:val="005800BC"/>
    <w:rsid w:val="00582442"/>
    <w:rsid w:val="005C1EB6"/>
    <w:rsid w:val="005C341E"/>
    <w:rsid w:val="005F3269"/>
    <w:rsid w:val="00623AE3"/>
    <w:rsid w:val="00630C4D"/>
    <w:rsid w:val="00637944"/>
    <w:rsid w:val="00644EC6"/>
    <w:rsid w:val="0064737F"/>
    <w:rsid w:val="006535F1"/>
    <w:rsid w:val="0065557D"/>
    <w:rsid w:val="00660D50"/>
    <w:rsid w:val="00662984"/>
    <w:rsid w:val="006716BB"/>
    <w:rsid w:val="00681D24"/>
    <w:rsid w:val="006A50C9"/>
    <w:rsid w:val="006B1859"/>
    <w:rsid w:val="006B6680"/>
    <w:rsid w:val="006B6DCC"/>
    <w:rsid w:val="006B77F1"/>
    <w:rsid w:val="006C5ECF"/>
    <w:rsid w:val="006D0E89"/>
    <w:rsid w:val="007025D5"/>
    <w:rsid w:val="00702DEF"/>
    <w:rsid w:val="00706861"/>
    <w:rsid w:val="0071370A"/>
    <w:rsid w:val="00722551"/>
    <w:rsid w:val="0075051B"/>
    <w:rsid w:val="0077110E"/>
    <w:rsid w:val="00793188"/>
    <w:rsid w:val="00794D34"/>
    <w:rsid w:val="007A3FCD"/>
    <w:rsid w:val="007B14CA"/>
    <w:rsid w:val="007B19CF"/>
    <w:rsid w:val="007D01AF"/>
    <w:rsid w:val="00813E5E"/>
    <w:rsid w:val="0083581B"/>
    <w:rsid w:val="00863874"/>
    <w:rsid w:val="00864AFF"/>
    <w:rsid w:val="00865925"/>
    <w:rsid w:val="008B4A6A"/>
    <w:rsid w:val="008C67EF"/>
    <w:rsid w:val="008C7E27"/>
    <w:rsid w:val="008F7448"/>
    <w:rsid w:val="0090147A"/>
    <w:rsid w:val="0091703B"/>
    <w:rsid w:val="009173EF"/>
    <w:rsid w:val="00932906"/>
    <w:rsid w:val="0093767F"/>
    <w:rsid w:val="00961B0B"/>
    <w:rsid w:val="00962D33"/>
    <w:rsid w:val="009668A4"/>
    <w:rsid w:val="009707AB"/>
    <w:rsid w:val="0097574B"/>
    <w:rsid w:val="009A47FA"/>
    <w:rsid w:val="009B38C3"/>
    <w:rsid w:val="009E17BD"/>
    <w:rsid w:val="009E485A"/>
    <w:rsid w:val="00A04CEC"/>
    <w:rsid w:val="00A06115"/>
    <w:rsid w:val="00A27F92"/>
    <w:rsid w:val="00A32257"/>
    <w:rsid w:val="00A33051"/>
    <w:rsid w:val="00A36D20"/>
    <w:rsid w:val="00A514A4"/>
    <w:rsid w:val="00A55622"/>
    <w:rsid w:val="00A83502"/>
    <w:rsid w:val="00A94BAB"/>
    <w:rsid w:val="00A9669C"/>
    <w:rsid w:val="00AD15B3"/>
    <w:rsid w:val="00AD3606"/>
    <w:rsid w:val="00AD4A3D"/>
    <w:rsid w:val="00AD677D"/>
    <w:rsid w:val="00AF6E49"/>
    <w:rsid w:val="00B04A67"/>
    <w:rsid w:val="00B0583C"/>
    <w:rsid w:val="00B157E0"/>
    <w:rsid w:val="00B272BB"/>
    <w:rsid w:val="00B40A81"/>
    <w:rsid w:val="00B44910"/>
    <w:rsid w:val="00B72267"/>
    <w:rsid w:val="00B744E6"/>
    <w:rsid w:val="00B76D23"/>
    <w:rsid w:val="00B76EB6"/>
    <w:rsid w:val="00B7737B"/>
    <w:rsid w:val="00B824C8"/>
    <w:rsid w:val="00B84B9D"/>
    <w:rsid w:val="00B90346"/>
    <w:rsid w:val="00B9131F"/>
    <w:rsid w:val="00BB0646"/>
    <w:rsid w:val="00BB2815"/>
    <w:rsid w:val="00BC251A"/>
    <w:rsid w:val="00BD032B"/>
    <w:rsid w:val="00BE01C6"/>
    <w:rsid w:val="00BE2640"/>
    <w:rsid w:val="00BF1FDE"/>
    <w:rsid w:val="00C01189"/>
    <w:rsid w:val="00C0458D"/>
    <w:rsid w:val="00C131CE"/>
    <w:rsid w:val="00C26312"/>
    <w:rsid w:val="00C374DE"/>
    <w:rsid w:val="00C47AD4"/>
    <w:rsid w:val="00C52D81"/>
    <w:rsid w:val="00C55198"/>
    <w:rsid w:val="00C6520B"/>
    <w:rsid w:val="00C85F4B"/>
    <w:rsid w:val="00CA6393"/>
    <w:rsid w:val="00CA7995"/>
    <w:rsid w:val="00CB18FF"/>
    <w:rsid w:val="00CD0C08"/>
    <w:rsid w:val="00CE03FB"/>
    <w:rsid w:val="00CE433C"/>
    <w:rsid w:val="00CF0161"/>
    <w:rsid w:val="00CF33F3"/>
    <w:rsid w:val="00CF4A2B"/>
    <w:rsid w:val="00CF5251"/>
    <w:rsid w:val="00D024CA"/>
    <w:rsid w:val="00D06183"/>
    <w:rsid w:val="00D22C42"/>
    <w:rsid w:val="00D42D89"/>
    <w:rsid w:val="00D65041"/>
    <w:rsid w:val="00D843AE"/>
    <w:rsid w:val="00D87EA1"/>
    <w:rsid w:val="00DB1936"/>
    <w:rsid w:val="00DB384B"/>
    <w:rsid w:val="00DB7C12"/>
    <w:rsid w:val="00DD11ED"/>
    <w:rsid w:val="00DF0189"/>
    <w:rsid w:val="00DF26C9"/>
    <w:rsid w:val="00E06FD5"/>
    <w:rsid w:val="00E10E80"/>
    <w:rsid w:val="00E124F0"/>
    <w:rsid w:val="00E227F3"/>
    <w:rsid w:val="00E545C6"/>
    <w:rsid w:val="00E60F04"/>
    <w:rsid w:val="00E64CB2"/>
    <w:rsid w:val="00E6595D"/>
    <w:rsid w:val="00E65B24"/>
    <w:rsid w:val="00E737FD"/>
    <w:rsid w:val="00E854E4"/>
    <w:rsid w:val="00E86DBF"/>
    <w:rsid w:val="00E969AF"/>
    <w:rsid w:val="00E9796E"/>
    <w:rsid w:val="00EB0D6F"/>
    <w:rsid w:val="00EB2232"/>
    <w:rsid w:val="00EC5337"/>
    <w:rsid w:val="00EE49E8"/>
    <w:rsid w:val="00EF0818"/>
    <w:rsid w:val="00F16BAB"/>
    <w:rsid w:val="00F2150A"/>
    <w:rsid w:val="00F231D8"/>
    <w:rsid w:val="00F409D3"/>
    <w:rsid w:val="00F41209"/>
    <w:rsid w:val="00F44C00"/>
    <w:rsid w:val="00F45D2C"/>
    <w:rsid w:val="00F46C5F"/>
    <w:rsid w:val="00F632C0"/>
    <w:rsid w:val="00F641E1"/>
    <w:rsid w:val="00F7276F"/>
    <w:rsid w:val="00F94A63"/>
    <w:rsid w:val="00FA1C28"/>
    <w:rsid w:val="00FB1279"/>
    <w:rsid w:val="00FB6B76"/>
    <w:rsid w:val="00FB7596"/>
    <w:rsid w:val="00FE2D96"/>
    <w:rsid w:val="00FE4077"/>
    <w:rsid w:val="00FE4F87"/>
    <w:rsid w:val="00FE500D"/>
    <w:rsid w:val="00FE77D2"/>
    <w:rsid w:val="00FF39B1"/>
    <w:rsid w:val="00FF4C70"/>
    <w:rsid w:val="01E4C165"/>
    <w:rsid w:val="02036013"/>
    <w:rsid w:val="031087A8"/>
    <w:rsid w:val="04A38CAE"/>
    <w:rsid w:val="053DD8A1"/>
    <w:rsid w:val="0634FA37"/>
    <w:rsid w:val="0A24E183"/>
    <w:rsid w:val="0BDF180C"/>
    <w:rsid w:val="0BF94E1C"/>
    <w:rsid w:val="0D276DD9"/>
    <w:rsid w:val="0ED216AA"/>
    <w:rsid w:val="142E5743"/>
    <w:rsid w:val="14BBDCD2"/>
    <w:rsid w:val="18CC6BC4"/>
    <w:rsid w:val="1CFB1B56"/>
    <w:rsid w:val="1DB7F94D"/>
    <w:rsid w:val="1FAA1E53"/>
    <w:rsid w:val="1FBB8F0A"/>
    <w:rsid w:val="21435B5A"/>
    <w:rsid w:val="24806A83"/>
    <w:rsid w:val="25974EBC"/>
    <w:rsid w:val="25DF6680"/>
    <w:rsid w:val="27D362B8"/>
    <w:rsid w:val="28E8EE20"/>
    <w:rsid w:val="2BA1DFB2"/>
    <w:rsid w:val="2BB3BB4F"/>
    <w:rsid w:val="2CD0BFE7"/>
    <w:rsid w:val="2CFDA776"/>
    <w:rsid w:val="2D32EBEB"/>
    <w:rsid w:val="2D8C792A"/>
    <w:rsid w:val="2F1C3FDF"/>
    <w:rsid w:val="2F976FA4"/>
    <w:rsid w:val="2FA00CED"/>
    <w:rsid w:val="30449EE7"/>
    <w:rsid w:val="305811CE"/>
    <w:rsid w:val="305B9B47"/>
    <w:rsid w:val="31C02459"/>
    <w:rsid w:val="3254BA7E"/>
    <w:rsid w:val="3317F597"/>
    <w:rsid w:val="3722A175"/>
    <w:rsid w:val="37747300"/>
    <w:rsid w:val="39921D21"/>
    <w:rsid w:val="3C0629BE"/>
    <w:rsid w:val="3C51C10C"/>
    <w:rsid w:val="41051C41"/>
    <w:rsid w:val="45E8220C"/>
    <w:rsid w:val="473B6803"/>
    <w:rsid w:val="47D00DB3"/>
    <w:rsid w:val="4A99D099"/>
    <w:rsid w:val="4AAF40C7"/>
    <w:rsid w:val="4C42C9F7"/>
    <w:rsid w:val="4F6640EC"/>
    <w:rsid w:val="51621158"/>
    <w:rsid w:val="52500780"/>
    <w:rsid w:val="54082A63"/>
    <w:rsid w:val="5535BC4A"/>
    <w:rsid w:val="55600301"/>
    <w:rsid w:val="5C6EC4B1"/>
    <w:rsid w:val="5D1795ED"/>
    <w:rsid w:val="5D231FC7"/>
    <w:rsid w:val="5E1EA212"/>
    <w:rsid w:val="5F1D3067"/>
    <w:rsid w:val="5FAB9170"/>
    <w:rsid w:val="632CD7FF"/>
    <w:rsid w:val="64F9F157"/>
    <w:rsid w:val="66857B19"/>
    <w:rsid w:val="67A04E5D"/>
    <w:rsid w:val="6A7E101B"/>
    <w:rsid w:val="6ACCBFE7"/>
    <w:rsid w:val="6B0E34E9"/>
    <w:rsid w:val="6C7436F8"/>
    <w:rsid w:val="6C936D0A"/>
    <w:rsid w:val="6D23BD6C"/>
    <w:rsid w:val="6D3EC633"/>
    <w:rsid w:val="6D4C3F0A"/>
    <w:rsid w:val="6E7C7918"/>
    <w:rsid w:val="6EC3DACB"/>
    <w:rsid w:val="727E941A"/>
    <w:rsid w:val="72D74340"/>
    <w:rsid w:val="740E6EFA"/>
    <w:rsid w:val="7AA56410"/>
    <w:rsid w:val="7AB2B719"/>
    <w:rsid w:val="7C71D2B8"/>
    <w:rsid w:val="7D26D7BE"/>
    <w:rsid w:val="7E76A682"/>
    <w:rsid w:val="7EBA58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11E9EEAD-AC77-46D7-AEA0-05D47F5A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uiPriority w:val="99"/>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B157E0"/>
    <w:pPr>
      <w:tabs>
        <w:tab w:val="left" w:pos="310"/>
      </w:tabs>
      <w:spacing w:before="120"/>
    </w:pPr>
    <w:rPr>
      <w:sz w:val="20"/>
      <w:lang w:eastAsia="en-GB"/>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B157E0"/>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 w:type="paragraph" w:styleId="HTMLPreformatted">
    <w:name w:val="HTML Preformatted"/>
    <w:basedOn w:val="Normal"/>
    <w:link w:val="HTMLPreformattedChar"/>
    <w:uiPriority w:val="99"/>
    <w:semiHidden/>
    <w:unhideWhenUsed/>
    <w:rsid w:val="00082E90"/>
    <w:pPr>
      <w:tabs>
        <w:tab w:val="clear" w:pos="567"/>
        <w:tab w:val="clear" w:pos="1134"/>
        <w:tab w:val="clear" w:pos="1701"/>
        <w:tab w:val="clear" w:pos="2268"/>
        <w:tab w:val="clear" w:pos="28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val="en-US" w:eastAsia="zh-CN"/>
    </w:rPr>
  </w:style>
  <w:style w:type="character" w:customStyle="1" w:styleId="HTMLPreformattedChar">
    <w:name w:val="HTML Preformatted Char"/>
    <w:basedOn w:val="DefaultParagraphFont"/>
    <w:link w:val="HTMLPreformatted"/>
    <w:uiPriority w:val="99"/>
    <w:semiHidden/>
    <w:rsid w:val="00082E90"/>
    <w:rPr>
      <w:rFonts w:ascii="Courier New" w:hAnsi="Courier New" w:cs="Courier New"/>
    </w:rPr>
  </w:style>
  <w:style w:type="paragraph" w:styleId="Revision">
    <w:name w:val="Revision"/>
    <w:hidden/>
    <w:uiPriority w:val="99"/>
    <w:semiHidden/>
    <w:rsid w:val="004920B6"/>
    <w:rPr>
      <w:rFonts w:ascii="Calibri" w:hAnsi="Calibri"/>
      <w:sz w:val="24"/>
      <w:lang w:val="en-GB" w:eastAsia="en-US"/>
    </w:rPr>
  </w:style>
  <w:style w:type="paragraph" w:styleId="ListParagraph">
    <w:name w:val="List Paragraph"/>
    <w:basedOn w:val="Normal"/>
    <w:uiPriority w:val="34"/>
    <w:qFormat/>
    <w:rsid w:val="00124DE6"/>
    <w:pPr>
      <w:ind w:left="720"/>
      <w:contextualSpacing/>
    </w:p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6A50C9"/>
    <w:rPr>
      <w:b/>
      <w:bCs/>
    </w:rPr>
  </w:style>
  <w:style w:type="character" w:customStyle="1" w:styleId="CommentSubjectChar">
    <w:name w:val="Comment Subject Char"/>
    <w:basedOn w:val="CommentTextChar"/>
    <w:link w:val="CommentSubject"/>
    <w:semiHidden/>
    <w:rsid w:val="006A50C9"/>
    <w:rPr>
      <w:rFonts w:ascii="Calibri" w:hAnsi="Calibri"/>
      <w:b/>
      <w:bCs/>
      <w:lang w:val="en-GB" w:eastAsia="en-US"/>
    </w:rPr>
  </w:style>
  <w:style w:type="character" w:styleId="Mention">
    <w:name w:val="Mention"/>
    <w:basedOn w:val="DefaultParagraphFont"/>
    <w:uiPriority w:val="99"/>
    <w:unhideWhenUsed/>
    <w:rsid w:val="006A50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312363">
      <w:bodyDiv w:val="1"/>
      <w:marLeft w:val="0"/>
      <w:marRight w:val="0"/>
      <w:marTop w:val="0"/>
      <w:marBottom w:val="0"/>
      <w:divBdr>
        <w:top w:val="none" w:sz="0" w:space="0" w:color="auto"/>
        <w:left w:val="none" w:sz="0" w:space="0" w:color="auto"/>
        <w:bottom w:val="none" w:sz="0" w:space="0" w:color="auto"/>
        <w:right w:val="none" w:sz="0" w:space="0" w:color="auto"/>
      </w:divBdr>
    </w:div>
    <w:div w:id="646133390">
      <w:bodyDiv w:val="1"/>
      <w:marLeft w:val="0"/>
      <w:marRight w:val="0"/>
      <w:marTop w:val="0"/>
      <w:marBottom w:val="0"/>
      <w:divBdr>
        <w:top w:val="none" w:sz="0" w:space="0" w:color="auto"/>
        <w:left w:val="none" w:sz="0" w:space="0" w:color="auto"/>
        <w:bottom w:val="none" w:sz="0" w:space="0" w:color="auto"/>
        <w:right w:val="none" w:sz="0" w:space="0" w:color="auto"/>
      </w:divBdr>
    </w:div>
    <w:div w:id="994647100">
      <w:bodyDiv w:val="1"/>
      <w:marLeft w:val="0"/>
      <w:marRight w:val="0"/>
      <w:marTop w:val="0"/>
      <w:marBottom w:val="0"/>
      <w:divBdr>
        <w:top w:val="none" w:sz="0" w:space="0" w:color="auto"/>
        <w:left w:val="none" w:sz="0" w:space="0" w:color="auto"/>
        <w:bottom w:val="none" w:sz="0" w:space="0" w:color="auto"/>
        <w:right w:val="none" w:sz="0" w:space="0" w:color="auto"/>
      </w:divBdr>
    </w:div>
    <w:div w:id="1257250485">
      <w:bodyDiv w:val="1"/>
      <w:marLeft w:val="0"/>
      <w:marRight w:val="0"/>
      <w:marTop w:val="0"/>
      <w:marBottom w:val="0"/>
      <w:divBdr>
        <w:top w:val="none" w:sz="0" w:space="0" w:color="auto"/>
        <w:left w:val="none" w:sz="0" w:space="0" w:color="auto"/>
        <w:bottom w:val="none" w:sz="0" w:space="0" w:color="auto"/>
        <w:right w:val="none" w:sz="0" w:space="0" w:color="auto"/>
      </w:divBdr>
    </w:div>
    <w:div w:id="1566262187">
      <w:bodyDiv w:val="1"/>
      <w:marLeft w:val="0"/>
      <w:marRight w:val="0"/>
      <w:marTop w:val="0"/>
      <w:marBottom w:val="0"/>
      <w:divBdr>
        <w:top w:val="none" w:sz="0" w:space="0" w:color="auto"/>
        <w:left w:val="none" w:sz="0" w:space="0" w:color="auto"/>
        <w:bottom w:val="none" w:sz="0" w:space="0" w:color="auto"/>
        <w:right w:val="none" w:sz="0" w:space="0" w:color="auto"/>
      </w:divBdr>
    </w:div>
    <w:div w:id="204937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4-CWGSFP1-C-0005/e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council/Documents/basic-texts-2023/DEC-005-E.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Constitution-E.pdf" TargetMode="External"/><Relationship Id="rId5" Type="http://schemas.openxmlformats.org/officeDocument/2006/relationships/numbering" Target="numbering.xml"/><Relationship Id="rId15" Type="http://schemas.openxmlformats.org/officeDocument/2006/relationships/hyperlink" Target="https://www.itu.int/md/S25-CWGSFP2-INF-0001/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5-CWGSFP2-C-0007/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8" ma:contentTypeDescription="Create a new document." ma:contentTypeScope="" ma:versionID="df57621dcd9cb730b7324d398b3ce10c">
  <xsd:schema xmlns:xsd="http://www.w3.org/2001/XMLSchema" xmlns:xs="http://www.w3.org/2001/XMLSchema" xmlns:p="http://schemas.microsoft.com/office/2006/metadata/properties" xmlns:ns2="a1cf676c-2816-4389-ad5d-0f2e7c7e67c4" targetNamespace="http://schemas.microsoft.com/office/2006/metadata/properties" ma:root="true" ma:fieldsID="21bebef123d8a211588512afbbbc1c26"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2F2AC-2255-4DBF-9278-6619577B4509}">
  <ds:schemaRefs>
    <ds:schemaRef ds:uri="http://purl.org/dc/terms/"/>
    <ds:schemaRef ds:uri="a1cf676c-2816-4389-ad5d-0f2e7c7e67c4"/>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BCB52BA-7AEF-42D4-AF59-959012BFA94A}">
  <ds:schemaRefs>
    <ds:schemaRef ds:uri="http://schemas.microsoft.com/sharepoint/v3/contenttype/fo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F1F8F5E2-0A3A-40E0-B32A-EC98387E7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1705</Words>
  <Characters>8869</Characters>
  <Application>Microsoft Office Word</Application>
  <DocSecurity>0</DocSecurity>
  <Lines>682</Lines>
  <Paragraphs>621</Paragraphs>
  <ScaleCrop>false</ScaleCrop>
  <HeadingPairs>
    <vt:vector size="2" baseType="variant">
      <vt:variant>
        <vt:lpstr>Title</vt:lpstr>
      </vt:variant>
      <vt:variant>
        <vt:i4>1</vt:i4>
      </vt:variant>
    </vt:vector>
  </HeadingPairs>
  <TitlesOfParts>
    <vt:vector size="1" baseType="lpstr">
      <vt:lpstr>Preliminary amount of the contributory unit</vt:lpstr>
    </vt:vector>
  </TitlesOfParts>
  <Manager>General Secretariat</Manager>
  <Company>International Telecommunication Union (ITU)</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amount of the contributory unit</dc:title>
  <dc:subject>Council 2025</dc:subject>
  <cp:keywords>C25; C2025; Council 2025; ITU160</cp:keywords>
  <dc:description/>
  <cp:lastPrinted>2000-07-18T13:30:00Z</cp:lastPrinted>
  <dcterms:created xsi:type="dcterms:W3CDTF">2025-06-17T16:54:00Z</dcterms:created>
  <dcterms:modified xsi:type="dcterms:W3CDTF">2025-06-17T16:54:00Z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