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468058C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9A2AD6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64410F78" w14:textId="20E36613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476936">
              <w:rPr>
                <w:b/>
                <w:lang w:val="fr-CH"/>
              </w:rPr>
              <w:t>54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214D0B92" w:rsidR="00E24D59" w:rsidRPr="00E85629" w:rsidRDefault="009A2AD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 w:rsidR="00476936">
              <w:rPr>
                <w:b/>
                <w:lang w:eastAsia="zh-CN"/>
              </w:rPr>
              <w:t>16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6B6FB218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9A2AD6">
              <w:rPr>
                <w:rFonts w:hint="eastAsia"/>
                <w:b/>
                <w:lang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77777777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476936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16DD1399" w:rsidR="00476936" w:rsidRPr="00476936" w:rsidRDefault="00476936" w:rsidP="00476936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_Hlk68696326"/>
            <w:bookmarkStart w:id="7" w:name="dtitle1" w:colFirst="0" w:colLast="0"/>
            <w:bookmarkEnd w:id="5"/>
            <w:r w:rsidRPr="00476936">
              <w:rPr>
                <w:rFonts w:eastAsia="SimSun" w:cs="Calibri"/>
                <w:color w:val="000000"/>
                <w:lang w:val="zh-CN"/>
              </w:rPr>
              <w:t>会费单位的初定金额</w:t>
            </w:r>
            <w:bookmarkEnd w:id="6"/>
          </w:p>
        </w:tc>
      </w:tr>
      <w:tr w:rsidR="00476936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476936" w:rsidRPr="009A2AD6" w:rsidRDefault="00476936" w:rsidP="00476936">
            <w:pPr>
              <w:rPr>
                <w:rFonts w:cs="Calibri"/>
                <w:b/>
                <w:bCs/>
                <w:lang w:eastAsia="zh-CN"/>
              </w:rPr>
            </w:pPr>
            <w:r w:rsidRPr="009A2AD6">
              <w:rPr>
                <w:rFonts w:cs="Calibri"/>
                <w:b/>
                <w:bCs/>
                <w:lang w:eastAsia="zh-CN"/>
              </w:rPr>
              <w:t>目的</w:t>
            </w:r>
          </w:p>
          <w:p w14:paraId="112D2BA9" w14:textId="4EE8A328" w:rsidR="00476936" w:rsidRDefault="00476936" w:rsidP="00476936">
            <w:pPr>
              <w:ind w:firstLineChars="200" w:firstLine="480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zh-CN" w:eastAsia="zh-CN"/>
              </w:rPr>
              <w:t>秘书长有意建议保持现行的</w:t>
            </w:r>
            <w:r>
              <w:rPr>
                <w:color w:val="000000"/>
                <w:lang w:val="zh-CN" w:eastAsia="zh-CN"/>
              </w:rPr>
              <w:t>318 000</w:t>
            </w:r>
            <w:r>
              <w:rPr>
                <w:color w:val="000000"/>
                <w:lang w:val="zh-CN" w:eastAsia="zh-CN"/>
              </w:rPr>
              <w:t>瑞郎的会费单位金额。如上一届全权代表大会</w:t>
            </w:r>
            <w:r>
              <w:rPr>
                <w:rFonts w:hint="eastAsia"/>
                <w:color w:val="000000"/>
                <w:lang w:val="zh-CN" w:eastAsia="zh-CN"/>
              </w:rPr>
              <w:t>采取的方式</w:t>
            </w:r>
            <w:r>
              <w:rPr>
                <w:color w:val="000000"/>
                <w:lang w:val="zh-CN" w:eastAsia="zh-CN"/>
              </w:rPr>
              <w:t>，这将为各成员国讨论《财务规划》奠定良好的基础，方便在</w:t>
            </w:r>
            <w:r>
              <w:rPr>
                <w:color w:val="000000"/>
                <w:lang w:val="zh-CN" w:eastAsia="zh-CN"/>
              </w:rPr>
              <w:t>2026</w:t>
            </w:r>
            <w:r>
              <w:rPr>
                <w:color w:val="000000"/>
                <w:lang w:val="zh-CN" w:eastAsia="zh-CN"/>
              </w:rPr>
              <w:t>年全权代表大会之前开展充分的筹备工作。</w:t>
            </w:r>
          </w:p>
          <w:p w14:paraId="32B8342C" w14:textId="77777777" w:rsidR="00476936" w:rsidRDefault="00476936" w:rsidP="00476936">
            <w:pPr>
              <w:ind w:firstLineChars="200" w:firstLine="480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根据理事会战略和财务规划工作组的讨论，秘书长还建议理事会着手制定一种未来审议</w:t>
            </w:r>
            <w:r>
              <w:rPr>
                <w:rFonts w:hint="eastAsia"/>
                <w:color w:val="000000"/>
                <w:lang w:val="zh-CN" w:eastAsia="zh-CN"/>
              </w:rPr>
              <w:t>更改</w:t>
            </w:r>
            <w:r>
              <w:rPr>
                <w:color w:val="000000"/>
                <w:lang w:val="zh-CN" w:eastAsia="zh-CN"/>
              </w:rPr>
              <w:t>会费单位的方法。</w:t>
            </w:r>
          </w:p>
          <w:p w14:paraId="0CF09D7B" w14:textId="77777777" w:rsidR="00476936" w:rsidRPr="009A2AD6" w:rsidRDefault="00476936" w:rsidP="00476936">
            <w:pPr>
              <w:rPr>
                <w:rFonts w:cs="Calibri"/>
                <w:b/>
                <w:bCs/>
                <w:lang w:eastAsia="zh-CN"/>
              </w:rPr>
            </w:pPr>
            <w:r w:rsidRPr="009A2AD6">
              <w:rPr>
                <w:rFonts w:cs="Calibri"/>
                <w:b/>
                <w:bCs/>
                <w:lang w:eastAsia="zh-CN"/>
              </w:rPr>
              <w:t>理事会需采取的行动</w:t>
            </w:r>
          </w:p>
          <w:p w14:paraId="05D63C2C" w14:textId="3BD7559B" w:rsidR="00476936" w:rsidRPr="009A2AD6" w:rsidRDefault="00476936" w:rsidP="00476936">
            <w:pPr>
              <w:ind w:firstLineChars="200" w:firstLine="480"/>
              <w:rPr>
                <w:rFonts w:cs="Calibri"/>
                <w:lang w:eastAsia="zh-CN"/>
              </w:rPr>
            </w:pPr>
            <w:r>
              <w:rPr>
                <w:color w:val="000000"/>
                <w:lang w:val="zh-CN" w:eastAsia="zh-CN"/>
              </w:rPr>
              <w:t>请理事会</w:t>
            </w:r>
            <w:r w:rsidRPr="00E151E5">
              <w:rPr>
                <w:b/>
                <w:bCs/>
                <w:color w:val="000000"/>
                <w:lang w:val="zh-CN" w:eastAsia="zh-CN"/>
              </w:rPr>
              <w:t>审议</w:t>
            </w:r>
            <w:r>
              <w:rPr>
                <w:color w:val="000000"/>
                <w:lang w:val="zh-CN" w:eastAsia="zh-CN"/>
              </w:rPr>
              <w:t>并</w:t>
            </w:r>
            <w:r w:rsidRPr="00E151E5">
              <w:rPr>
                <w:b/>
                <w:bCs/>
                <w:color w:val="000000"/>
                <w:lang w:val="zh-CN" w:eastAsia="zh-CN"/>
              </w:rPr>
              <w:t>批准</w:t>
            </w:r>
            <w:r>
              <w:rPr>
                <w:color w:val="000000"/>
                <w:lang w:val="zh-CN" w:eastAsia="zh-CN"/>
              </w:rPr>
              <w:t>此提案，并着手制定未来</w:t>
            </w:r>
            <w:r>
              <w:rPr>
                <w:rFonts w:hint="eastAsia"/>
                <w:color w:val="000000"/>
                <w:lang w:val="zh-CN" w:eastAsia="zh-CN"/>
              </w:rPr>
              <w:t>更改</w:t>
            </w:r>
            <w:r>
              <w:rPr>
                <w:color w:val="000000"/>
                <w:lang w:val="zh-CN" w:eastAsia="zh-CN"/>
              </w:rPr>
              <w:t>会费单位的方法，供理事会</w:t>
            </w:r>
            <w:r>
              <w:rPr>
                <w:color w:val="000000"/>
                <w:lang w:val="zh-CN" w:eastAsia="zh-CN"/>
              </w:rPr>
              <w:t>2026</w:t>
            </w:r>
            <w:r>
              <w:rPr>
                <w:color w:val="000000"/>
                <w:lang w:val="zh-CN" w:eastAsia="zh-CN"/>
              </w:rPr>
              <w:t>年会议审议。</w:t>
            </w:r>
          </w:p>
          <w:p w14:paraId="06CF1837" w14:textId="77777777" w:rsidR="00476936" w:rsidRPr="009A2AD6" w:rsidRDefault="00476936" w:rsidP="00476936">
            <w:pPr>
              <w:rPr>
                <w:rFonts w:cs="Calibri"/>
                <w:b/>
                <w:bCs/>
                <w:lang w:eastAsia="zh-CN"/>
              </w:rPr>
            </w:pPr>
            <w:r w:rsidRPr="009A2AD6">
              <w:rPr>
                <w:rFonts w:cs="Calibri" w:hint="eastAsia"/>
                <w:b/>
                <w:bCs/>
                <w:lang w:eastAsia="zh-CN"/>
              </w:rPr>
              <w:t>与</w:t>
            </w:r>
            <w:r w:rsidRPr="009A2AD6">
              <w:rPr>
                <w:rFonts w:cs="Calibri"/>
                <w:b/>
                <w:bCs/>
                <w:lang w:eastAsia="zh-CN"/>
              </w:rPr>
              <w:t>《战略规划》</w:t>
            </w:r>
            <w:r w:rsidRPr="009A2AD6">
              <w:rPr>
                <w:rFonts w:cs="Calibri" w:hint="eastAsia"/>
                <w:b/>
                <w:bCs/>
                <w:lang w:eastAsia="zh-CN"/>
              </w:rPr>
              <w:t>的关联</w:t>
            </w:r>
          </w:p>
          <w:p w14:paraId="2FFDD196" w14:textId="7132367C" w:rsidR="00476936" w:rsidRPr="009A2AD6" w:rsidRDefault="00476936" w:rsidP="00476936">
            <w:pPr>
              <w:ind w:firstLineChars="200" w:firstLine="480"/>
              <w:rPr>
                <w:rFonts w:cs="Calibri"/>
                <w:lang w:eastAsia="zh-CN"/>
              </w:rPr>
            </w:pPr>
            <w:r>
              <w:rPr>
                <w:rFonts w:hint="eastAsia"/>
                <w:color w:val="000000"/>
                <w:lang w:val="zh-CN" w:eastAsia="zh-CN"/>
              </w:rPr>
              <w:t>不适用</w:t>
            </w:r>
          </w:p>
          <w:p w14:paraId="308A396E" w14:textId="77777777" w:rsidR="00476936" w:rsidRPr="009A2AD6" w:rsidRDefault="00476936" w:rsidP="00476936">
            <w:pPr>
              <w:rPr>
                <w:rFonts w:cs="Calibri"/>
                <w:b/>
                <w:bCs/>
                <w:lang w:eastAsia="zh-CN"/>
              </w:rPr>
            </w:pPr>
            <w:r w:rsidRPr="009A2AD6">
              <w:rPr>
                <w:rFonts w:cs="Calibri"/>
                <w:b/>
                <w:bCs/>
                <w:lang w:eastAsia="zh-CN"/>
              </w:rPr>
              <w:t>财务影响</w:t>
            </w:r>
          </w:p>
          <w:p w14:paraId="41CA02EF" w14:textId="15A98BBF" w:rsidR="00476936" w:rsidRPr="009A2AD6" w:rsidRDefault="00476936" w:rsidP="00476936">
            <w:pPr>
              <w:ind w:firstLineChars="200" w:firstLine="480"/>
              <w:rPr>
                <w:rFonts w:cs="Calibri"/>
                <w:lang w:eastAsia="zh-CN"/>
              </w:rPr>
            </w:pPr>
            <w:r>
              <w:rPr>
                <w:color w:val="000000"/>
                <w:lang w:val="zh-CN" w:eastAsia="zh-CN"/>
              </w:rPr>
              <w:t>无。</w:t>
            </w:r>
          </w:p>
          <w:p w14:paraId="7DDF59B8" w14:textId="77777777" w:rsidR="00476936" w:rsidRPr="00E24D59" w:rsidRDefault="00476936" w:rsidP="00476936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476936" w:rsidRPr="00477D57" w:rsidRDefault="00476936" w:rsidP="00476936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47197C5A" w:rsidR="00476936" w:rsidRPr="00D62844" w:rsidRDefault="00ED7EBA" w:rsidP="00476936">
            <w:pPr>
              <w:spacing w:after="120"/>
              <w:ind w:firstLineChars="200" w:firstLine="480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hyperlink r:id="rId8" w:history="1">
              <w:hyperlink r:id="rId9" w:history="1">
                <w:r w:rsidRPr="00F10D5B">
                  <w:rPr>
                    <w:rStyle w:val="Hyperlink"/>
                    <w:rFonts w:eastAsia="STKaiti" w:hint="eastAsia"/>
                    <w:szCs w:val="24"/>
                    <w:lang w:eastAsia="zh-CN"/>
                  </w:rPr>
                  <w:t>国际电联《组织法》第</w:t>
                </w:r>
                <w:r w:rsidRPr="00F10D5B">
                  <w:rPr>
                    <w:rStyle w:val="Hyperlink"/>
                    <w:rFonts w:asciiTheme="minorHAnsi" w:eastAsia="SimSun" w:hAnsiTheme="minorHAnsi" w:cstheme="minorHAnsi"/>
                    <w:bCs/>
                    <w:szCs w:val="24"/>
                    <w:lang w:val="en-US" w:eastAsia="zh-CN"/>
                  </w:rPr>
                  <w:t>8</w:t>
                </w:r>
                <w:r w:rsidRPr="00F10D5B">
                  <w:rPr>
                    <w:rStyle w:val="Hyperlink"/>
                    <w:rFonts w:asciiTheme="minorHAnsi" w:eastAsia="SimSun" w:hAnsiTheme="minorHAnsi" w:cstheme="minorHAnsi"/>
                    <w:bCs/>
                    <w:szCs w:val="24"/>
                    <w:lang w:val="en-US" w:eastAsia="zh-CN"/>
                  </w:rPr>
                  <w:t>、</w:t>
                </w:r>
                <w:r w:rsidRPr="00F10D5B">
                  <w:rPr>
                    <w:rStyle w:val="Hyperlink"/>
                    <w:rFonts w:asciiTheme="minorHAnsi" w:eastAsia="SimSun" w:hAnsiTheme="minorHAnsi" w:cstheme="minorHAnsi"/>
                    <w:bCs/>
                    <w:szCs w:val="24"/>
                    <w:lang w:val="en-US" w:eastAsia="zh-CN"/>
                  </w:rPr>
                  <w:t>28</w:t>
                </w:r>
                <w:r w:rsidRPr="00F10D5B">
                  <w:rPr>
                    <w:rStyle w:val="Hyperlink"/>
                    <w:rFonts w:eastAsia="STKaiti" w:hint="eastAsia"/>
                    <w:szCs w:val="24"/>
                    <w:lang w:eastAsia="zh-CN"/>
                  </w:rPr>
                  <w:t>和</w:t>
                </w:r>
                <w:r w:rsidRPr="00F10D5B">
                  <w:rPr>
                    <w:rStyle w:val="Hyperlink"/>
                    <w:rFonts w:eastAsia="SimSun" w:cs="Calibri"/>
                    <w:bCs/>
                    <w:szCs w:val="24"/>
                    <w:lang w:val="en-US" w:eastAsia="zh-CN"/>
                  </w:rPr>
                  <w:t>33</w:t>
                </w:r>
                <w:r w:rsidRPr="00F10D5B">
                  <w:rPr>
                    <w:rStyle w:val="Hyperlink"/>
                    <w:rFonts w:eastAsia="STKaiti" w:hint="eastAsia"/>
                    <w:szCs w:val="24"/>
                    <w:lang w:eastAsia="zh-CN"/>
                  </w:rPr>
                  <w:t>条</w:t>
                </w:r>
              </w:hyperlink>
              <w:r w:rsidR="00476936">
                <w:rPr>
                  <w:rFonts w:hint="eastAsia"/>
                  <w:color w:val="000000"/>
                  <w:lang w:eastAsia="zh-CN"/>
                </w:rPr>
                <w:t>；</w:t>
              </w:r>
              <w:r w:rsidR="00476936">
                <w:rPr>
                  <w:color w:val="000000"/>
                  <w:lang w:eastAsia="zh-CN"/>
                </w:rPr>
                <w:t>全权代表大会</w:t>
              </w:r>
              <w:hyperlink r:id="rId10" w:history="1">
                <w:r w:rsidRPr="00F10D5B">
                  <w:rPr>
                    <w:rStyle w:val="Hyperlink"/>
                    <w:rFonts w:eastAsia="STKaiti"/>
                    <w:szCs w:val="24"/>
                    <w:lang w:eastAsia="zh-CN"/>
                  </w:rPr>
                  <w:t>第</w:t>
                </w:r>
                <w:r w:rsidRPr="00F10D5B">
                  <w:rPr>
                    <w:rStyle w:val="Hyperlink"/>
                    <w:rFonts w:eastAsia="STKaiti"/>
                    <w:szCs w:val="24"/>
                    <w:lang w:eastAsia="zh-CN"/>
                  </w:rPr>
                  <w:t>5</w:t>
                </w:r>
                <w:r w:rsidRPr="00F10D5B">
                  <w:rPr>
                    <w:rStyle w:val="Hyperlink"/>
                    <w:rFonts w:eastAsia="STKaiti"/>
                    <w:szCs w:val="24"/>
                    <w:lang w:eastAsia="zh-CN"/>
                  </w:rPr>
                  <w:t>号决定</w:t>
                </w:r>
              </w:hyperlink>
            </w:hyperlink>
            <w:r w:rsidR="00476936" w:rsidRPr="00E151E5">
              <w:rPr>
                <w:lang w:eastAsia="zh-CN"/>
              </w:rPr>
              <w:t>（</w:t>
            </w:r>
            <w:r w:rsidR="00476936" w:rsidRPr="00E151E5">
              <w:rPr>
                <w:lang w:eastAsia="zh-CN"/>
              </w:rPr>
              <w:t>2022</w:t>
            </w:r>
            <w:r w:rsidR="00476936" w:rsidRPr="00E151E5">
              <w:rPr>
                <w:lang w:eastAsia="zh-CN"/>
              </w:rPr>
              <w:t>年，布加勒斯特，修订版）</w:t>
            </w:r>
          </w:p>
        </w:tc>
      </w:tr>
      <w:bookmarkEnd w:id="2"/>
      <w:bookmarkEnd w:id="7"/>
    </w:tbl>
    <w:p w14:paraId="5483A1C5" w14:textId="77777777" w:rsidR="009A2AD6" w:rsidRDefault="009A2AD6" w:rsidP="009A2A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110D080" w14:textId="77777777" w:rsidR="00476936" w:rsidRPr="00F10D5B" w:rsidRDefault="009A2AD6" w:rsidP="00476936">
      <w:pPr>
        <w:pStyle w:val="Headingb"/>
        <w:rPr>
          <w:rFonts w:cs="Calibri"/>
          <w:lang w:eastAsia="zh-CN"/>
        </w:rPr>
      </w:pPr>
      <w:r>
        <w:rPr>
          <w:lang w:eastAsia="zh-CN"/>
        </w:rPr>
        <w:br w:type="page"/>
      </w:r>
      <w:r w:rsidR="00476936" w:rsidRPr="00F10D5B">
        <w:rPr>
          <w:rFonts w:cs="Calibri"/>
          <w:bCs/>
          <w:lang w:val="zh-CN" w:eastAsia="zh-CN"/>
        </w:rPr>
        <w:lastRenderedPageBreak/>
        <w:t>提案</w:t>
      </w:r>
    </w:p>
    <w:p w14:paraId="7D1B7C77" w14:textId="77777777" w:rsidR="00476936" w:rsidRPr="00F10D5B" w:rsidRDefault="00476936" w:rsidP="00476936">
      <w:pPr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1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《</w:t>
      </w:r>
      <w:r w:rsidRPr="00F10D5B">
        <w:rPr>
          <w:rFonts w:cs="Calibri"/>
          <w:lang w:val="zh-CN" w:eastAsia="zh-CN"/>
        </w:rPr>
        <w:t>2028-2031</w:t>
      </w:r>
      <w:r w:rsidRPr="00F10D5B">
        <w:rPr>
          <w:rFonts w:cs="Calibri"/>
          <w:lang w:val="zh-CN" w:eastAsia="zh-CN"/>
        </w:rPr>
        <w:t>年财务规划》草案的目的是为</w:t>
      </w:r>
      <w:r w:rsidRPr="00F10D5B">
        <w:rPr>
          <w:rFonts w:cs="Calibri"/>
          <w:lang w:val="zh-CN" w:eastAsia="zh-CN"/>
        </w:rPr>
        <w:t>2026</w:t>
      </w:r>
      <w:r w:rsidRPr="00F10D5B">
        <w:rPr>
          <w:rFonts w:cs="Calibri"/>
          <w:lang w:val="zh-CN" w:eastAsia="zh-CN"/>
        </w:rPr>
        <w:t>年全权代表大会提供参考，以便在审议上述时间</w:t>
      </w:r>
      <w:proofErr w:type="gramStart"/>
      <w:r w:rsidRPr="00F10D5B">
        <w:rPr>
          <w:rFonts w:cs="Calibri"/>
          <w:lang w:val="zh-CN" w:eastAsia="zh-CN"/>
        </w:rPr>
        <w:t>段国际</w:t>
      </w:r>
      <w:proofErr w:type="gramEnd"/>
      <w:r w:rsidRPr="00F10D5B">
        <w:rPr>
          <w:rFonts w:cs="Calibri"/>
          <w:lang w:val="zh-CN" w:eastAsia="zh-CN"/>
        </w:rPr>
        <w:t>电联工作的所有相关方面后，</w:t>
      </w:r>
      <w:r w:rsidRPr="00F10D5B">
        <w:rPr>
          <w:rFonts w:cs="Calibri" w:hint="eastAsia"/>
          <w:lang w:val="zh-CN" w:eastAsia="zh-CN"/>
        </w:rPr>
        <w:t>确立</w:t>
      </w:r>
      <w:r w:rsidRPr="00F10D5B">
        <w:rPr>
          <w:rFonts w:cs="Calibri"/>
          <w:lang w:val="zh-CN" w:eastAsia="zh-CN"/>
        </w:rPr>
        <w:t>国际电</w:t>
      </w:r>
      <w:proofErr w:type="gramStart"/>
      <w:r w:rsidRPr="00F10D5B">
        <w:rPr>
          <w:rFonts w:cs="Calibri"/>
          <w:lang w:val="zh-CN" w:eastAsia="zh-CN"/>
        </w:rPr>
        <w:t>联预算</w:t>
      </w:r>
      <w:proofErr w:type="gramEnd"/>
      <w:r w:rsidRPr="00F10D5B">
        <w:rPr>
          <w:rFonts w:cs="Calibri"/>
          <w:lang w:val="zh-CN" w:eastAsia="zh-CN"/>
        </w:rPr>
        <w:t>的基础</w:t>
      </w:r>
      <w:r w:rsidRPr="00F10D5B">
        <w:rPr>
          <w:rFonts w:cs="Calibri" w:hint="eastAsia"/>
          <w:lang w:val="zh-CN" w:eastAsia="zh-CN"/>
        </w:rPr>
        <w:t>并确定</w:t>
      </w:r>
      <w:r w:rsidRPr="00F10D5B">
        <w:rPr>
          <w:rFonts w:cs="Calibri"/>
          <w:lang w:val="zh-CN" w:eastAsia="zh-CN"/>
        </w:rPr>
        <w:t>相关</w:t>
      </w:r>
      <w:r w:rsidRPr="00F10D5B">
        <w:rPr>
          <w:rFonts w:cs="Calibri" w:hint="eastAsia"/>
          <w:lang w:val="zh-CN" w:eastAsia="zh-CN"/>
        </w:rPr>
        <w:t>的</w:t>
      </w:r>
      <w:r w:rsidRPr="00F10D5B">
        <w:rPr>
          <w:rFonts w:cs="Calibri"/>
          <w:lang w:val="zh-CN" w:eastAsia="zh-CN"/>
        </w:rPr>
        <w:t>财务限额</w:t>
      </w:r>
      <w:r w:rsidRPr="00F10D5B">
        <w:rPr>
          <w:rFonts w:cs="Calibri" w:hint="eastAsia"/>
          <w:lang w:val="zh-CN" w:eastAsia="zh-CN"/>
        </w:rPr>
        <w:t>，直至</w:t>
      </w:r>
      <w:r w:rsidRPr="00F10D5B">
        <w:rPr>
          <w:rFonts w:cs="Calibri"/>
          <w:lang w:val="zh-CN" w:eastAsia="zh-CN"/>
        </w:rPr>
        <w:t>下一届全权代表大会（《组织法》第</w:t>
      </w:r>
      <w:r w:rsidRPr="00F10D5B">
        <w:rPr>
          <w:rFonts w:cs="Calibri"/>
          <w:lang w:val="zh-CN" w:eastAsia="zh-CN"/>
        </w:rPr>
        <w:t>8</w:t>
      </w:r>
      <w:r w:rsidRPr="00F10D5B">
        <w:rPr>
          <w:rFonts w:cs="Calibri"/>
          <w:lang w:val="zh-CN" w:eastAsia="zh-CN"/>
        </w:rPr>
        <w:t>条第</w:t>
      </w:r>
      <w:r w:rsidRPr="00F10D5B">
        <w:rPr>
          <w:rFonts w:cs="Calibri"/>
          <w:lang w:val="zh-CN" w:eastAsia="zh-CN"/>
        </w:rPr>
        <w:t>51</w:t>
      </w:r>
      <w:r w:rsidRPr="00F10D5B">
        <w:rPr>
          <w:rFonts w:cs="Calibri"/>
          <w:lang w:val="zh-CN" w:eastAsia="zh-CN"/>
        </w:rPr>
        <w:t>款）。</w:t>
      </w:r>
    </w:p>
    <w:p w14:paraId="2282DA63" w14:textId="77777777" w:rsidR="00476936" w:rsidRPr="00F10D5B" w:rsidRDefault="00476936" w:rsidP="00476936">
      <w:pPr>
        <w:rPr>
          <w:rFonts w:cs="Calibri"/>
          <w:bCs/>
          <w:szCs w:val="24"/>
          <w:lang w:eastAsia="zh-CN"/>
        </w:rPr>
      </w:pPr>
      <w:r w:rsidRPr="00F10D5B">
        <w:rPr>
          <w:rFonts w:cs="Calibri"/>
          <w:lang w:val="zh-CN" w:eastAsia="zh-CN"/>
        </w:rPr>
        <w:t>2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根据国际电联《组织法》第</w:t>
      </w:r>
      <w:r w:rsidRPr="00F10D5B">
        <w:rPr>
          <w:rFonts w:cs="Calibri"/>
          <w:lang w:val="zh-CN" w:eastAsia="zh-CN"/>
        </w:rPr>
        <w:t>28</w:t>
      </w:r>
      <w:r w:rsidRPr="00F10D5B">
        <w:rPr>
          <w:rFonts w:cs="Calibri"/>
          <w:lang w:val="zh-CN" w:eastAsia="zh-CN"/>
        </w:rPr>
        <w:t>条第</w:t>
      </w:r>
      <w:r w:rsidRPr="00F10D5B">
        <w:rPr>
          <w:rFonts w:cs="Calibri"/>
          <w:lang w:val="zh-CN" w:eastAsia="zh-CN"/>
        </w:rPr>
        <w:t>161B</w:t>
      </w:r>
      <w:r w:rsidRPr="00F10D5B">
        <w:rPr>
          <w:rFonts w:cs="Calibri"/>
          <w:lang w:val="zh-CN" w:eastAsia="zh-CN"/>
        </w:rPr>
        <w:t>款，理事会</w:t>
      </w:r>
      <w:r w:rsidRPr="00F10D5B">
        <w:rPr>
          <w:rFonts w:cs="Calibri" w:hint="eastAsia"/>
          <w:lang w:val="zh-CN" w:eastAsia="zh-CN"/>
        </w:rPr>
        <w:t>须</w:t>
      </w:r>
      <w:r w:rsidRPr="00F10D5B">
        <w:rPr>
          <w:rFonts w:cs="Calibri"/>
          <w:lang w:val="zh-CN" w:eastAsia="zh-CN"/>
        </w:rPr>
        <w:t>在全权代表大会召开前的那届例会上，根据相应阶段的财务规划草案和会费单位总数，确定会费单位的</w:t>
      </w:r>
      <w:r w:rsidRPr="00F10D5B">
        <w:rPr>
          <w:rFonts w:cs="Calibri" w:hint="eastAsia"/>
          <w:lang w:val="zh-CN" w:eastAsia="zh-CN"/>
        </w:rPr>
        <w:t>临时</w:t>
      </w:r>
      <w:r w:rsidRPr="00F10D5B">
        <w:rPr>
          <w:rFonts w:cs="Calibri"/>
          <w:lang w:val="zh-CN" w:eastAsia="zh-CN"/>
        </w:rPr>
        <w:t>金额。</w:t>
      </w:r>
    </w:p>
    <w:p w14:paraId="1100C3B0" w14:textId="77777777" w:rsidR="00476936" w:rsidRPr="00F10D5B" w:rsidRDefault="00476936" w:rsidP="00476936">
      <w:pPr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3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在此</w:t>
      </w:r>
      <w:r w:rsidRPr="00F10D5B">
        <w:rPr>
          <w:rFonts w:cs="Calibri" w:hint="eastAsia"/>
          <w:lang w:val="zh-CN" w:eastAsia="zh-CN"/>
        </w:rPr>
        <w:t>背景下</w:t>
      </w:r>
      <w:r w:rsidRPr="00F10D5B">
        <w:rPr>
          <w:rFonts w:cs="Calibri"/>
          <w:lang w:val="zh-CN" w:eastAsia="zh-CN"/>
        </w:rPr>
        <w:t>，第</w:t>
      </w:r>
      <w:r w:rsidRPr="00F10D5B">
        <w:rPr>
          <w:rFonts w:cs="Calibri"/>
          <w:lang w:val="zh-CN" w:eastAsia="zh-CN"/>
        </w:rPr>
        <w:t>5</w:t>
      </w:r>
      <w:r w:rsidRPr="00F10D5B">
        <w:rPr>
          <w:rFonts w:cs="Calibri"/>
          <w:lang w:val="zh-CN" w:eastAsia="zh-CN"/>
        </w:rPr>
        <w:t>号决定（</w:t>
      </w:r>
      <w:r w:rsidRPr="00F10D5B">
        <w:rPr>
          <w:rFonts w:cs="Calibri"/>
          <w:lang w:val="zh-CN" w:eastAsia="zh-CN"/>
        </w:rPr>
        <w:t>20</w:t>
      </w:r>
      <w:r w:rsidRPr="00F10D5B">
        <w:rPr>
          <w:rFonts w:cs="Calibri" w:hint="eastAsia"/>
          <w:lang w:val="zh-CN" w:eastAsia="zh-CN"/>
        </w:rPr>
        <w:t>22</w:t>
      </w:r>
      <w:r w:rsidRPr="00F10D5B">
        <w:rPr>
          <w:rFonts w:cs="Calibri"/>
          <w:lang w:val="zh-CN" w:eastAsia="zh-CN"/>
        </w:rPr>
        <w:t>年，</w:t>
      </w:r>
      <w:r w:rsidRPr="00F10D5B">
        <w:rPr>
          <w:rFonts w:cs="Calibri" w:hint="eastAsia"/>
          <w:lang w:val="zh-CN" w:eastAsia="zh-CN"/>
        </w:rPr>
        <w:t>布加勒斯特</w:t>
      </w:r>
      <w:r w:rsidRPr="00F10D5B">
        <w:rPr>
          <w:rFonts w:cs="Calibri"/>
          <w:lang w:val="zh-CN" w:eastAsia="zh-CN"/>
        </w:rPr>
        <w:t>，修订版）</w:t>
      </w:r>
      <w:r w:rsidRPr="00F10D5B">
        <w:rPr>
          <w:rFonts w:ascii="STKaiti" w:eastAsia="STKaiti" w:hAnsi="STKaiti" w:cs="Calibri"/>
          <w:lang w:val="zh-CN" w:eastAsia="zh-CN"/>
        </w:rPr>
        <w:t>请理事会</w:t>
      </w:r>
      <w:r w:rsidRPr="00F10D5B">
        <w:rPr>
          <w:rFonts w:cs="Calibri"/>
          <w:lang w:val="zh-CN" w:eastAsia="zh-CN"/>
        </w:rPr>
        <w:t>在可行的情况下，在</w:t>
      </w:r>
      <w:r w:rsidRPr="00F10D5B">
        <w:rPr>
          <w:rFonts w:cs="Calibri" w:hint="eastAsia"/>
          <w:lang w:val="zh-CN" w:eastAsia="zh-CN"/>
        </w:rPr>
        <w:t>其</w:t>
      </w:r>
      <w:r w:rsidRPr="00F10D5B">
        <w:rPr>
          <w:rFonts w:cs="Calibri"/>
          <w:lang w:val="zh-CN" w:eastAsia="zh-CN"/>
        </w:rPr>
        <w:t>202</w:t>
      </w:r>
      <w:r w:rsidRPr="00F10D5B">
        <w:rPr>
          <w:rFonts w:cs="Calibri" w:hint="eastAsia"/>
          <w:lang w:val="zh-CN" w:eastAsia="zh-CN"/>
        </w:rPr>
        <w:t>5</w:t>
      </w:r>
      <w:r w:rsidRPr="00F10D5B">
        <w:rPr>
          <w:rFonts w:cs="Calibri"/>
          <w:lang w:val="zh-CN" w:eastAsia="zh-CN"/>
        </w:rPr>
        <w:t>年的例会上确定</w:t>
      </w:r>
      <w:r w:rsidRPr="00F10D5B">
        <w:rPr>
          <w:rFonts w:cs="Calibri"/>
          <w:lang w:val="zh-CN" w:eastAsia="zh-CN"/>
        </w:rPr>
        <w:t>202</w:t>
      </w:r>
      <w:r w:rsidRPr="00F10D5B">
        <w:rPr>
          <w:rFonts w:cs="Calibri" w:hint="eastAsia"/>
          <w:lang w:val="zh-CN" w:eastAsia="zh-CN"/>
        </w:rPr>
        <w:t>8</w:t>
      </w:r>
      <w:r w:rsidRPr="00F10D5B">
        <w:rPr>
          <w:rFonts w:cs="Calibri"/>
          <w:lang w:val="zh-CN" w:eastAsia="zh-CN"/>
        </w:rPr>
        <w:t>-20</w:t>
      </w:r>
      <w:r w:rsidRPr="00F10D5B">
        <w:rPr>
          <w:rFonts w:cs="Calibri" w:hint="eastAsia"/>
          <w:lang w:val="zh-CN" w:eastAsia="zh-CN"/>
        </w:rPr>
        <w:t>31</w:t>
      </w:r>
      <w:r w:rsidRPr="00F10D5B">
        <w:rPr>
          <w:rFonts w:cs="Calibri"/>
          <w:lang w:val="zh-CN" w:eastAsia="zh-CN"/>
        </w:rPr>
        <w:t>年期间会费单位的初定金额，并</w:t>
      </w:r>
      <w:r w:rsidRPr="00F10D5B">
        <w:rPr>
          <w:rFonts w:ascii="STKaiti" w:eastAsia="STKaiti" w:hAnsi="STKaiti" w:cs="Calibri"/>
          <w:lang w:val="zh-CN" w:eastAsia="zh-CN"/>
        </w:rPr>
        <w:t>请各成员国</w:t>
      </w:r>
      <w:r w:rsidRPr="00F10D5B">
        <w:rPr>
          <w:rFonts w:cs="Calibri"/>
          <w:lang w:val="zh-CN" w:eastAsia="zh-CN"/>
        </w:rPr>
        <w:t>在</w:t>
      </w:r>
      <w:r w:rsidRPr="00F10D5B">
        <w:rPr>
          <w:rFonts w:cs="Calibri"/>
          <w:lang w:val="zh-CN" w:eastAsia="zh-CN"/>
        </w:rPr>
        <w:t>202</w:t>
      </w:r>
      <w:r w:rsidRPr="00F10D5B">
        <w:rPr>
          <w:rFonts w:cs="Calibri" w:hint="eastAsia"/>
          <w:lang w:val="zh-CN" w:eastAsia="zh-CN"/>
        </w:rPr>
        <w:t>5</w:t>
      </w:r>
      <w:r w:rsidRPr="00F10D5B">
        <w:rPr>
          <w:rFonts w:cs="Calibri"/>
          <w:lang w:val="zh-CN" w:eastAsia="zh-CN"/>
        </w:rPr>
        <w:t>年底前宣布其</w:t>
      </w:r>
      <w:r w:rsidRPr="00F10D5B">
        <w:rPr>
          <w:rFonts w:cs="Calibri"/>
          <w:lang w:val="zh-CN" w:eastAsia="zh-CN"/>
        </w:rPr>
        <w:t>202</w:t>
      </w:r>
      <w:r w:rsidRPr="00F10D5B">
        <w:rPr>
          <w:rFonts w:cs="Calibri" w:hint="eastAsia"/>
          <w:lang w:val="zh-CN" w:eastAsia="zh-CN"/>
        </w:rPr>
        <w:t>8</w:t>
      </w:r>
      <w:r w:rsidRPr="00F10D5B">
        <w:rPr>
          <w:rFonts w:cs="Calibri"/>
          <w:lang w:val="zh-CN" w:eastAsia="zh-CN"/>
        </w:rPr>
        <w:t>-20</w:t>
      </w:r>
      <w:r w:rsidRPr="00F10D5B">
        <w:rPr>
          <w:rFonts w:cs="Calibri" w:hint="eastAsia"/>
          <w:lang w:val="zh-CN" w:eastAsia="zh-CN"/>
        </w:rPr>
        <w:t>31</w:t>
      </w:r>
      <w:r w:rsidRPr="00F10D5B">
        <w:rPr>
          <w:rFonts w:cs="Calibri"/>
          <w:lang w:val="zh-CN" w:eastAsia="zh-CN"/>
        </w:rPr>
        <w:t>年期间的暂定会费等级。根据第</w:t>
      </w:r>
      <w:r w:rsidRPr="00F10D5B">
        <w:rPr>
          <w:rFonts w:cs="Calibri"/>
          <w:lang w:val="zh-CN" w:eastAsia="zh-CN"/>
        </w:rPr>
        <w:t>5</w:t>
      </w:r>
      <w:r w:rsidRPr="00F10D5B">
        <w:rPr>
          <w:rFonts w:cs="Calibri"/>
          <w:lang w:val="zh-CN" w:eastAsia="zh-CN"/>
        </w:rPr>
        <w:t>号决定（</w:t>
      </w:r>
      <w:r w:rsidRPr="00F10D5B">
        <w:rPr>
          <w:rFonts w:cs="Calibri"/>
          <w:lang w:val="zh-CN" w:eastAsia="zh-CN"/>
        </w:rPr>
        <w:t>2018</w:t>
      </w:r>
      <w:r w:rsidRPr="00F10D5B">
        <w:rPr>
          <w:rFonts w:cs="Calibri"/>
          <w:lang w:val="zh-CN" w:eastAsia="zh-CN"/>
        </w:rPr>
        <w:t>年，</w:t>
      </w:r>
      <w:r w:rsidRPr="00F10D5B">
        <w:rPr>
          <w:rFonts w:cs="Calibri" w:hint="eastAsia"/>
          <w:lang w:val="zh-CN" w:eastAsia="zh-CN"/>
        </w:rPr>
        <w:t>布加勒斯特</w:t>
      </w:r>
      <w:r w:rsidRPr="00F10D5B">
        <w:rPr>
          <w:rFonts w:cs="Calibri"/>
          <w:lang w:val="zh-CN" w:eastAsia="zh-CN"/>
        </w:rPr>
        <w:t>，修订版），会费单位金额维持在</w:t>
      </w:r>
      <w:r w:rsidRPr="00F10D5B">
        <w:rPr>
          <w:rFonts w:cs="Calibri"/>
          <w:lang w:val="zh-CN" w:eastAsia="zh-CN"/>
        </w:rPr>
        <w:t>318 000</w:t>
      </w:r>
      <w:r w:rsidRPr="00F10D5B">
        <w:rPr>
          <w:rFonts w:cs="Calibri"/>
          <w:lang w:val="zh-CN" w:eastAsia="zh-CN"/>
        </w:rPr>
        <w:t>瑞郎，即自</w:t>
      </w:r>
      <w:r w:rsidRPr="00F10D5B">
        <w:rPr>
          <w:rFonts w:cs="Calibri"/>
          <w:lang w:val="zh-CN" w:eastAsia="zh-CN"/>
        </w:rPr>
        <w:t>2006</w:t>
      </w:r>
      <w:r w:rsidRPr="00F10D5B">
        <w:rPr>
          <w:rFonts w:cs="Calibri"/>
          <w:lang w:val="zh-CN" w:eastAsia="zh-CN"/>
        </w:rPr>
        <w:t>年</w:t>
      </w:r>
      <w:proofErr w:type="gramStart"/>
      <w:r w:rsidRPr="00F10D5B">
        <w:rPr>
          <w:rFonts w:cs="Calibri"/>
          <w:lang w:val="zh-CN" w:eastAsia="zh-CN"/>
        </w:rPr>
        <w:t>以来零</w:t>
      </w:r>
      <w:proofErr w:type="gramEnd"/>
      <w:r w:rsidRPr="00F10D5B">
        <w:rPr>
          <w:rFonts w:cs="Calibri"/>
          <w:lang w:val="zh-CN" w:eastAsia="zh-CN"/>
        </w:rPr>
        <w:t>名义增长。</w:t>
      </w:r>
    </w:p>
    <w:p w14:paraId="655FE17F" w14:textId="77777777" w:rsidR="00476936" w:rsidRPr="00F10D5B" w:rsidRDefault="00476936" w:rsidP="00476936">
      <w:pPr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4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在理事会</w:t>
      </w:r>
      <w:r w:rsidRPr="00F10D5B">
        <w:rPr>
          <w:rFonts w:cs="Calibri"/>
          <w:lang w:val="zh-CN" w:eastAsia="zh-CN"/>
        </w:rPr>
        <w:t>2028-2031</w:t>
      </w:r>
      <w:r w:rsidRPr="00F10D5B">
        <w:rPr>
          <w:rFonts w:cs="Calibri"/>
          <w:lang w:val="zh-CN" w:eastAsia="zh-CN"/>
        </w:rPr>
        <w:t>年战略规划和财务规划工作组（</w:t>
      </w:r>
      <w:r w:rsidRPr="00F10D5B">
        <w:rPr>
          <w:rFonts w:cs="Calibri"/>
          <w:lang w:val="zh-CN" w:eastAsia="zh-CN"/>
        </w:rPr>
        <w:t>CWG-SFP</w:t>
      </w:r>
      <w:r w:rsidRPr="00F10D5B">
        <w:rPr>
          <w:rFonts w:cs="Calibri"/>
          <w:lang w:val="zh-CN" w:eastAsia="zh-CN"/>
        </w:rPr>
        <w:t>）</w:t>
      </w:r>
      <w:r w:rsidRPr="00F10D5B">
        <w:rPr>
          <w:rFonts w:cs="Calibri"/>
          <w:lang w:val="zh-CN" w:eastAsia="zh-CN"/>
        </w:rPr>
        <w:t>2024</w:t>
      </w:r>
      <w:r w:rsidRPr="00F10D5B">
        <w:rPr>
          <w:rFonts w:cs="Calibri"/>
          <w:lang w:val="zh-CN" w:eastAsia="zh-CN"/>
        </w:rPr>
        <w:t>年</w:t>
      </w:r>
      <w:r w:rsidRPr="00F10D5B">
        <w:rPr>
          <w:rFonts w:cs="Calibri"/>
          <w:lang w:val="zh-CN" w:eastAsia="zh-CN"/>
        </w:rPr>
        <w:t>10</w:t>
      </w:r>
      <w:r w:rsidRPr="00F10D5B">
        <w:rPr>
          <w:rFonts w:cs="Calibri"/>
          <w:lang w:val="zh-CN" w:eastAsia="zh-CN"/>
        </w:rPr>
        <w:t>月和</w:t>
      </w:r>
      <w:r w:rsidRPr="00F10D5B">
        <w:rPr>
          <w:rFonts w:cs="Calibri"/>
          <w:lang w:val="zh-CN" w:eastAsia="zh-CN"/>
        </w:rPr>
        <w:t>2025</w:t>
      </w:r>
      <w:r w:rsidRPr="00F10D5B">
        <w:rPr>
          <w:rFonts w:cs="Calibri"/>
          <w:lang w:val="zh-CN" w:eastAsia="zh-CN"/>
        </w:rPr>
        <w:t>年</w:t>
      </w:r>
      <w:r w:rsidRPr="00F10D5B">
        <w:rPr>
          <w:rFonts w:cs="Calibri"/>
          <w:lang w:val="zh-CN" w:eastAsia="zh-CN"/>
        </w:rPr>
        <w:t>2</w:t>
      </w:r>
      <w:r w:rsidRPr="00F10D5B">
        <w:rPr>
          <w:rFonts w:cs="Calibri"/>
          <w:lang w:val="zh-CN" w:eastAsia="zh-CN"/>
        </w:rPr>
        <w:t>月的会议上，秘书处介绍了有关增加会费单位的规定，供成员国审议。在</w:t>
      </w:r>
      <w:r>
        <w:fldChar w:fldCharType="begin"/>
      </w:r>
      <w:r>
        <w:rPr>
          <w:lang w:eastAsia="zh-CN"/>
        </w:rPr>
        <w:instrText>HYPERLINK "https://www.itu.int/md/S24-CWGSFP1-C-0005/en"</w:instrText>
      </w:r>
      <w:r>
        <w:fldChar w:fldCharType="separate"/>
      </w:r>
      <w:r w:rsidRPr="00F10D5B">
        <w:rPr>
          <w:rStyle w:val="Hyperlink"/>
          <w:rFonts w:eastAsia="SimSun" w:cs="Calibri"/>
          <w:lang w:eastAsia="zh-CN"/>
        </w:rPr>
        <w:t>CWG-SFP-1/5</w:t>
      </w:r>
      <w:r>
        <w:fldChar w:fldCharType="end"/>
      </w:r>
      <w:r w:rsidRPr="00F10D5B">
        <w:rPr>
          <w:rFonts w:cs="Calibri"/>
          <w:lang w:val="zh-CN" w:eastAsia="zh-CN"/>
        </w:rPr>
        <w:t>、</w:t>
      </w:r>
      <w:hyperlink r:id="rId11" w:history="1">
        <w:r w:rsidRPr="00F10D5B">
          <w:rPr>
            <w:rStyle w:val="Hyperlink"/>
            <w:rFonts w:eastAsia="SimSun" w:cs="Calibri"/>
            <w:lang w:eastAsia="zh-CN"/>
          </w:rPr>
          <w:t>CWG-SFP-2/7</w:t>
        </w:r>
      </w:hyperlink>
      <w:r w:rsidRPr="00F10D5B">
        <w:rPr>
          <w:rFonts w:cs="Calibri"/>
          <w:lang w:val="zh-CN" w:eastAsia="zh-CN"/>
        </w:rPr>
        <w:t>和</w:t>
      </w:r>
      <w:r>
        <w:fldChar w:fldCharType="begin"/>
      </w:r>
      <w:r>
        <w:rPr>
          <w:lang w:eastAsia="zh-CN"/>
        </w:rPr>
        <w:instrText>HYPERLINK "https://www.itu.int/md/S25-CWGSFP2-INF-0001/en"</w:instrText>
      </w:r>
      <w:r>
        <w:fldChar w:fldCharType="separate"/>
      </w:r>
      <w:r w:rsidRPr="00F10D5B">
        <w:rPr>
          <w:rStyle w:val="Hyperlink"/>
          <w:rFonts w:eastAsia="SimSun" w:cs="Calibri"/>
          <w:lang w:eastAsia="zh-CN"/>
        </w:rPr>
        <w:t>CWG-SFP-2/INF/1</w:t>
      </w:r>
      <w:r>
        <w:fldChar w:fldCharType="end"/>
      </w:r>
      <w:r w:rsidRPr="00F10D5B">
        <w:rPr>
          <w:rFonts w:cs="Calibri"/>
          <w:lang w:val="zh-CN" w:eastAsia="zh-CN"/>
        </w:rPr>
        <w:t>号文件中，秘书处介绍了国际电联财务状况的各种考虑因素，供</w:t>
      </w:r>
      <w:r w:rsidRPr="00F10D5B">
        <w:rPr>
          <w:rFonts w:cs="Calibri"/>
          <w:lang w:val="zh-CN" w:eastAsia="zh-CN"/>
        </w:rPr>
        <w:t>CWG-SFP</w:t>
      </w:r>
      <w:r w:rsidRPr="00F10D5B">
        <w:rPr>
          <w:rFonts w:cs="Calibri"/>
          <w:lang w:val="zh-CN" w:eastAsia="zh-CN"/>
        </w:rPr>
        <w:t>审议。秘书处指出，考虑到自</w:t>
      </w:r>
      <w:r w:rsidRPr="00F10D5B">
        <w:rPr>
          <w:rFonts w:cs="Calibri"/>
          <w:lang w:val="zh-CN" w:eastAsia="zh-CN"/>
        </w:rPr>
        <w:t>2006</w:t>
      </w:r>
      <w:r w:rsidRPr="00F10D5B">
        <w:rPr>
          <w:rFonts w:cs="Calibri"/>
          <w:lang w:val="zh-CN" w:eastAsia="zh-CN"/>
        </w:rPr>
        <w:t>年</w:t>
      </w:r>
      <w:r w:rsidRPr="00F10D5B">
        <w:rPr>
          <w:rFonts w:cs="Calibri" w:hint="eastAsia"/>
          <w:lang w:val="zh-CN" w:eastAsia="zh-CN"/>
        </w:rPr>
        <w:t>会费单位</w:t>
      </w:r>
      <w:r w:rsidRPr="00F10D5B">
        <w:rPr>
          <w:rFonts w:cs="Calibri"/>
          <w:lang w:val="zh-CN" w:eastAsia="zh-CN"/>
        </w:rPr>
        <w:t>以现有水平建立以来成本</w:t>
      </w:r>
      <w:r w:rsidRPr="00F10D5B">
        <w:rPr>
          <w:rFonts w:cs="Calibri" w:hint="eastAsia"/>
          <w:lang w:val="zh-CN" w:eastAsia="zh-CN"/>
        </w:rPr>
        <w:t>不断</w:t>
      </w:r>
      <w:r w:rsidRPr="00F10D5B">
        <w:rPr>
          <w:rFonts w:cs="Calibri"/>
          <w:lang w:val="zh-CN" w:eastAsia="zh-CN"/>
        </w:rPr>
        <w:t>增加，以及在成本回收收入下降的背景下，近年来由于财务资源不足，国际电联</w:t>
      </w:r>
      <w:r w:rsidRPr="00F10D5B">
        <w:rPr>
          <w:rFonts w:cs="Calibri" w:hint="eastAsia"/>
          <w:lang w:val="zh-CN" w:eastAsia="zh-CN"/>
        </w:rPr>
        <w:t>不得不</w:t>
      </w:r>
      <w:r w:rsidRPr="00F10D5B">
        <w:rPr>
          <w:rFonts w:cs="Calibri"/>
          <w:lang w:val="zh-CN" w:eastAsia="zh-CN"/>
        </w:rPr>
        <w:t>通过</w:t>
      </w:r>
      <w:r w:rsidRPr="00F10D5B">
        <w:rPr>
          <w:rFonts w:cs="Calibri" w:hint="eastAsia"/>
          <w:lang w:val="zh-CN" w:eastAsia="zh-CN"/>
        </w:rPr>
        <w:t>降低</w:t>
      </w:r>
      <w:r w:rsidRPr="00F10D5B">
        <w:rPr>
          <w:rFonts w:cs="Calibri"/>
          <w:lang w:val="zh-CN" w:eastAsia="zh-CN"/>
        </w:rPr>
        <w:t>几项重要支出的优先</w:t>
      </w:r>
      <w:r w:rsidRPr="00F10D5B">
        <w:rPr>
          <w:rFonts w:cs="Calibri" w:hint="eastAsia"/>
          <w:lang w:val="zh-CN" w:eastAsia="zh-CN"/>
        </w:rPr>
        <w:t>级</w:t>
      </w:r>
      <w:r w:rsidRPr="00F10D5B">
        <w:rPr>
          <w:rFonts w:cs="Calibri"/>
          <w:lang w:val="zh-CN" w:eastAsia="zh-CN"/>
        </w:rPr>
        <w:t>来节约成本。秘书处建议，可以通过理事会批准提高卫星网络申报（</w:t>
      </w:r>
      <w:r w:rsidRPr="00F10D5B">
        <w:rPr>
          <w:rFonts w:cs="Calibri"/>
          <w:lang w:val="zh-CN" w:eastAsia="zh-CN"/>
        </w:rPr>
        <w:t>SNF</w:t>
      </w:r>
      <w:r w:rsidRPr="00F10D5B">
        <w:rPr>
          <w:rFonts w:cs="Calibri"/>
          <w:lang w:val="zh-CN" w:eastAsia="zh-CN"/>
        </w:rPr>
        <w:t>）费以收回这些工作的全部成本</w:t>
      </w:r>
      <w:r w:rsidRPr="00F10D5B">
        <w:rPr>
          <w:rFonts w:cs="Calibri" w:hint="eastAsia"/>
          <w:lang w:val="zh-CN" w:eastAsia="zh-CN"/>
        </w:rPr>
        <w:t>、</w:t>
      </w:r>
      <w:r w:rsidRPr="00F10D5B">
        <w:rPr>
          <w:rFonts w:cs="Calibri"/>
          <w:lang w:val="zh-CN" w:eastAsia="zh-CN"/>
        </w:rPr>
        <w:t>以及成员国同意提高会费单位以弥补任何剩余的资金缺口</w:t>
      </w:r>
      <w:r w:rsidRPr="00F10D5B">
        <w:rPr>
          <w:rFonts w:cs="Calibri" w:hint="eastAsia"/>
          <w:lang w:val="zh-CN" w:eastAsia="zh-CN"/>
        </w:rPr>
        <w:t>，</w:t>
      </w:r>
      <w:r w:rsidRPr="00F10D5B">
        <w:rPr>
          <w:rFonts w:cs="Calibri"/>
          <w:lang w:val="zh-CN" w:eastAsia="zh-CN"/>
        </w:rPr>
        <w:t>来确保国际电联在</w:t>
      </w:r>
      <w:r w:rsidRPr="00F10D5B">
        <w:rPr>
          <w:rFonts w:cs="Calibri"/>
          <w:lang w:val="zh-CN" w:eastAsia="zh-CN"/>
        </w:rPr>
        <w:t>2028-2031</w:t>
      </w:r>
      <w:r w:rsidRPr="00F10D5B">
        <w:rPr>
          <w:rFonts w:cs="Calibri"/>
          <w:lang w:val="zh-CN" w:eastAsia="zh-CN"/>
        </w:rPr>
        <w:t>年财务</w:t>
      </w:r>
      <w:proofErr w:type="gramStart"/>
      <w:r w:rsidRPr="00F10D5B">
        <w:rPr>
          <w:rFonts w:cs="Calibri"/>
          <w:lang w:val="zh-CN" w:eastAsia="zh-CN"/>
        </w:rPr>
        <w:t>期获得</w:t>
      </w:r>
      <w:proofErr w:type="gramEnd"/>
      <w:r w:rsidRPr="00F10D5B">
        <w:rPr>
          <w:rFonts w:cs="Calibri"/>
          <w:lang w:val="zh-CN" w:eastAsia="zh-CN"/>
        </w:rPr>
        <w:t>足够的资金。该提案并未得到成员国的批准，特别是在增加会费单位的问题上，</w:t>
      </w:r>
      <w:r w:rsidRPr="00F10D5B">
        <w:rPr>
          <w:rFonts w:cs="Calibri"/>
          <w:lang w:val="zh-CN" w:eastAsia="zh-CN"/>
        </w:rPr>
        <w:t>CWG</w:t>
      </w:r>
      <w:r w:rsidRPr="00F10D5B">
        <w:rPr>
          <w:rFonts w:cs="Calibri"/>
          <w:lang w:val="zh-CN" w:eastAsia="zh-CN"/>
        </w:rPr>
        <w:t>成员注意到</w:t>
      </w:r>
      <w:r w:rsidRPr="00F10D5B">
        <w:rPr>
          <w:rFonts w:cs="Calibri" w:hint="eastAsia"/>
          <w:lang w:val="zh-CN" w:eastAsia="zh-CN"/>
        </w:rPr>
        <w:t>了</w:t>
      </w:r>
      <w:r w:rsidRPr="00F10D5B">
        <w:rPr>
          <w:rFonts w:cs="Calibri"/>
          <w:lang w:val="zh-CN" w:eastAsia="zh-CN"/>
        </w:rPr>
        <w:t>以下考虑</w:t>
      </w:r>
      <w:r w:rsidRPr="00F10D5B">
        <w:rPr>
          <w:rFonts w:cs="Calibri" w:hint="eastAsia"/>
          <w:lang w:val="zh-CN" w:eastAsia="zh-CN"/>
        </w:rPr>
        <w:t>因素</w:t>
      </w:r>
      <w:r w:rsidRPr="00F10D5B">
        <w:rPr>
          <w:rFonts w:cs="Calibri"/>
          <w:lang w:val="zh-CN" w:eastAsia="zh-CN"/>
        </w:rPr>
        <w:t>：</w:t>
      </w:r>
    </w:p>
    <w:p w14:paraId="2A5AA592" w14:textId="77777777" w:rsidR="00476936" w:rsidRPr="00F10D5B" w:rsidRDefault="00476936" w:rsidP="00476936">
      <w:pPr>
        <w:pStyle w:val="enumlev1"/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–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要求在所介绍的提案中提供更多的、有关国际电联</w:t>
      </w:r>
      <w:r w:rsidRPr="00F10D5B">
        <w:rPr>
          <w:rFonts w:cs="Calibri" w:hint="eastAsia"/>
          <w:lang w:val="zh-CN" w:eastAsia="zh-CN"/>
        </w:rPr>
        <w:t>财务</w:t>
      </w:r>
      <w:r w:rsidRPr="00F10D5B">
        <w:rPr>
          <w:rFonts w:cs="Calibri"/>
          <w:lang w:val="zh-CN" w:eastAsia="zh-CN"/>
        </w:rPr>
        <w:t>资源使用的充分和详细的信息。</w:t>
      </w:r>
    </w:p>
    <w:p w14:paraId="728EA31C" w14:textId="77777777" w:rsidR="00476936" w:rsidRPr="00F10D5B" w:rsidRDefault="00476936" w:rsidP="00476936">
      <w:pPr>
        <w:pStyle w:val="enumlev1"/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–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秘书处需要进一步提高国际电联的运作效率。</w:t>
      </w:r>
    </w:p>
    <w:p w14:paraId="6514578A" w14:textId="77777777" w:rsidR="00476936" w:rsidRPr="00F10D5B" w:rsidRDefault="00476936" w:rsidP="00476936">
      <w:pPr>
        <w:pStyle w:val="enumlev1"/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–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国际电联需要进一步关注关键活动。</w:t>
      </w:r>
    </w:p>
    <w:p w14:paraId="586F3866" w14:textId="77777777" w:rsidR="00476936" w:rsidRPr="00F10D5B" w:rsidRDefault="00476936" w:rsidP="00476936">
      <w:pPr>
        <w:pStyle w:val="enumlev1"/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–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需要</w:t>
      </w:r>
      <w:r w:rsidRPr="00F10D5B">
        <w:rPr>
          <w:rFonts w:cs="Calibri" w:hint="eastAsia"/>
          <w:lang w:val="zh-CN" w:eastAsia="zh-CN"/>
        </w:rPr>
        <w:t>筹措</w:t>
      </w:r>
      <w:r w:rsidRPr="00F10D5B">
        <w:rPr>
          <w:rFonts w:cs="Calibri"/>
          <w:lang w:val="zh-CN" w:eastAsia="zh-CN"/>
        </w:rPr>
        <w:t>更多资源来实现国际电联的职责。</w:t>
      </w:r>
    </w:p>
    <w:p w14:paraId="3DD39724" w14:textId="77777777" w:rsidR="00476936" w:rsidRPr="00F10D5B" w:rsidRDefault="00476936" w:rsidP="00476936">
      <w:pPr>
        <w:pStyle w:val="enumlev1"/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–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与当前全球金融环境相关的挑战。</w:t>
      </w:r>
    </w:p>
    <w:p w14:paraId="795A241B" w14:textId="77777777" w:rsidR="00476936" w:rsidRPr="00F10D5B" w:rsidRDefault="00476936" w:rsidP="00476936">
      <w:pPr>
        <w:spacing w:line="259" w:lineRule="auto"/>
        <w:rPr>
          <w:rFonts w:cs="Calibri"/>
          <w:lang w:eastAsia="zh-CN"/>
        </w:rPr>
      </w:pPr>
      <w:r w:rsidRPr="00F10D5B">
        <w:rPr>
          <w:rFonts w:cs="Calibri"/>
          <w:lang w:eastAsia="zh-CN"/>
        </w:rPr>
        <w:t>5</w:t>
      </w:r>
      <w:r w:rsidRPr="00F10D5B">
        <w:rPr>
          <w:rFonts w:cs="Calibri"/>
          <w:lang w:eastAsia="zh-CN"/>
        </w:rPr>
        <w:tab/>
      </w:r>
      <w:r w:rsidRPr="00F10D5B">
        <w:rPr>
          <w:rFonts w:cs="Calibri"/>
          <w:lang w:val="zh-CN" w:eastAsia="zh-CN"/>
        </w:rPr>
        <w:t>虽然秘书处认为</w:t>
      </w:r>
      <w:r w:rsidRPr="00F10D5B">
        <w:rPr>
          <w:rFonts w:cs="Calibri"/>
          <w:lang w:eastAsia="zh-CN"/>
        </w:rPr>
        <w:t>，</w:t>
      </w:r>
      <w:r w:rsidRPr="00F10D5B">
        <w:rPr>
          <w:rFonts w:cs="Calibri"/>
          <w:lang w:val="zh-CN" w:eastAsia="zh-CN"/>
        </w:rPr>
        <w:t>考虑到国际电联的财务状况</w:t>
      </w:r>
      <w:r w:rsidRPr="00F10D5B">
        <w:rPr>
          <w:rFonts w:cs="Calibri"/>
          <w:lang w:eastAsia="zh-CN"/>
        </w:rPr>
        <w:t>，</w:t>
      </w:r>
      <w:r w:rsidRPr="00F10D5B">
        <w:rPr>
          <w:rFonts w:cs="Calibri"/>
          <w:lang w:val="zh-CN" w:eastAsia="zh-CN"/>
        </w:rPr>
        <w:t>增加</w:t>
      </w:r>
      <w:r w:rsidRPr="00F10D5B">
        <w:rPr>
          <w:rFonts w:cs="Calibri" w:hint="eastAsia"/>
          <w:lang w:val="zh-CN" w:eastAsia="zh-CN"/>
        </w:rPr>
        <w:t>会费单位</w:t>
      </w:r>
      <w:r w:rsidRPr="00F10D5B">
        <w:rPr>
          <w:rFonts w:cs="Calibri"/>
          <w:lang w:val="zh-CN" w:eastAsia="zh-CN"/>
        </w:rPr>
        <w:t>仍是适宜的</w:t>
      </w:r>
      <w:r w:rsidRPr="00F10D5B">
        <w:rPr>
          <w:rFonts w:cs="Calibri"/>
          <w:lang w:eastAsia="zh-CN"/>
        </w:rPr>
        <w:t>，</w:t>
      </w:r>
      <w:r w:rsidRPr="00F10D5B">
        <w:rPr>
          <w:rFonts w:cs="Calibri"/>
          <w:lang w:val="zh-CN" w:eastAsia="zh-CN"/>
        </w:rPr>
        <w:t>但秘书长已注意到代表们向</w:t>
      </w:r>
      <w:r w:rsidRPr="00F10D5B">
        <w:rPr>
          <w:rFonts w:cs="Calibri"/>
          <w:lang w:eastAsia="zh-CN"/>
        </w:rPr>
        <w:t>CWG-SFP</w:t>
      </w:r>
      <w:r w:rsidRPr="00F10D5B">
        <w:rPr>
          <w:rFonts w:cs="Calibri"/>
          <w:lang w:val="zh-CN" w:eastAsia="zh-CN"/>
        </w:rPr>
        <w:t>提出的意见和关切。鉴于这些关切</w:t>
      </w:r>
      <w:r w:rsidRPr="00F10D5B">
        <w:rPr>
          <w:rFonts w:cs="Calibri" w:hint="eastAsia"/>
          <w:lang w:val="zh-CN" w:eastAsia="zh-CN"/>
        </w:rPr>
        <w:t>、</w:t>
      </w:r>
      <w:r w:rsidRPr="00F10D5B">
        <w:rPr>
          <w:rFonts w:cs="Calibri"/>
          <w:lang w:val="zh-CN" w:eastAsia="zh-CN"/>
        </w:rPr>
        <w:t>目前经济环境对成员国和多边体系的影响，以及由此导致的对目前提高会费单位的支持不足，秘书长建议将会费单位维持在</w:t>
      </w:r>
      <w:r w:rsidRPr="00F10D5B">
        <w:rPr>
          <w:rFonts w:cs="Calibri" w:hint="eastAsia"/>
          <w:lang w:val="zh-CN" w:eastAsia="zh-CN"/>
        </w:rPr>
        <w:t>现行</w:t>
      </w:r>
      <w:r w:rsidRPr="00F10D5B">
        <w:rPr>
          <w:rFonts w:cs="Calibri"/>
          <w:lang w:val="zh-CN" w:eastAsia="zh-CN"/>
        </w:rPr>
        <w:t>的</w:t>
      </w:r>
      <w:r w:rsidRPr="00F10D5B">
        <w:rPr>
          <w:rFonts w:cs="Calibri"/>
          <w:lang w:val="zh-CN" w:eastAsia="zh-CN"/>
        </w:rPr>
        <w:t>318 000</w:t>
      </w:r>
      <w:r w:rsidRPr="00F10D5B">
        <w:rPr>
          <w:rFonts w:cs="Calibri"/>
          <w:lang w:val="zh-CN" w:eastAsia="zh-CN"/>
        </w:rPr>
        <w:t>瑞郎水平。这将为各成员国讨论《</w:t>
      </w:r>
      <w:r w:rsidRPr="00F10D5B">
        <w:rPr>
          <w:rFonts w:cs="Calibri"/>
          <w:lang w:val="zh-CN" w:eastAsia="zh-CN"/>
        </w:rPr>
        <w:t>2028-2031</w:t>
      </w:r>
      <w:r w:rsidRPr="00F10D5B">
        <w:rPr>
          <w:rFonts w:cs="Calibri"/>
          <w:lang w:val="zh-CN" w:eastAsia="zh-CN"/>
        </w:rPr>
        <w:t>年财务规划》奠定良好基础，并且有利于在</w:t>
      </w:r>
      <w:r w:rsidRPr="00F10D5B">
        <w:rPr>
          <w:rFonts w:cs="Calibri"/>
          <w:lang w:val="zh-CN" w:eastAsia="zh-CN"/>
        </w:rPr>
        <w:t>202</w:t>
      </w:r>
      <w:r w:rsidRPr="00F10D5B">
        <w:rPr>
          <w:rFonts w:cs="Calibri" w:hint="eastAsia"/>
          <w:lang w:val="zh-CN" w:eastAsia="zh-CN"/>
        </w:rPr>
        <w:t>6</w:t>
      </w:r>
      <w:r w:rsidRPr="00F10D5B">
        <w:rPr>
          <w:rFonts w:cs="Calibri"/>
          <w:lang w:val="zh-CN" w:eastAsia="zh-CN"/>
        </w:rPr>
        <w:t>年全权代表大会之前进行充分准备。</w:t>
      </w:r>
      <w:r w:rsidRPr="00F10D5B">
        <w:rPr>
          <w:rFonts w:cs="Calibri" w:hint="eastAsia"/>
          <w:lang w:val="zh-CN" w:eastAsia="zh-CN"/>
        </w:rPr>
        <w:t>需要注意的是</w:t>
      </w:r>
      <w:r w:rsidRPr="00F10D5B">
        <w:rPr>
          <w:rFonts w:cs="Calibri"/>
          <w:lang w:val="zh-CN" w:eastAsia="zh-CN"/>
        </w:rPr>
        <w:t>，在未增加</w:t>
      </w:r>
      <w:r w:rsidRPr="00F10D5B">
        <w:rPr>
          <w:rFonts w:cs="Calibri" w:hint="eastAsia"/>
          <w:lang w:val="zh-CN" w:eastAsia="zh-CN"/>
        </w:rPr>
        <w:t>会费单位</w:t>
      </w:r>
      <w:r w:rsidRPr="00F10D5B">
        <w:rPr>
          <w:rFonts w:cs="Calibri"/>
          <w:lang w:val="zh-CN" w:eastAsia="zh-CN"/>
        </w:rPr>
        <w:t>的情况下，国际电联战略规划的财务框架将以收入的下降和成本的增加为基础。在</w:t>
      </w:r>
      <w:r w:rsidRPr="00F10D5B">
        <w:rPr>
          <w:rFonts w:cs="Calibri"/>
          <w:lang w:val="zh-CN" w:eastAsia="zh-CN"/>
        </w:rPr>
        <w:t>2</w:t>
      </w:r>
      <w:r w:rsidRPr="00F10D5B">
        <w:rPr>
          <w:rFonts w:cs="Calibri"/>
          <w:lang w:val="zh-CN" w:eastAsia="zh-CN"/>
        </w:rPr>
        <w:t>月份的</w:t>
      </w:r>
      <w:r w:rsidRPr="00F10D5B">
        <w:rPr>
          <w:rFonts w:cs="Calibri"/>
          <w:lang w:val="zh-CN" w:eastAsia="zh-CN"/>
        </w:rPr>
        <w:t>CWG-SFP</w:t>
      </w:r>
      <w:r w:rsidRPr="00F10D5B">
        <w:rPr>
          <w:rFonts w:cs="Calibri"/>
          <w:lang w:val="zh-CN" w:eastAsia="zh-CN"/>
        </w:rPr>
        <w:t>会议上，代表们讨论指出，应制定一种明确的方法，为未来考虑</w:t>
      </w:r>
      <w:r w:rsidRPr="00F10D5B">
        <w:rPr>
          <w:rFonts w:cs="Calibri" w:hint="eastAsia"/>
          <w:lang w:val="zh-CN" w:eastAsia="zh-CN"/>
        </w:rPr>
        <w:t>更改会费单位</w:t>
      </w:r>
      <w:r w:rsidRPr="00F10D5B">
        <w:rPr>
          <w:rFonts w:cs="Calibri"/>
          <w:lang w:val="zh-CN" w:eastAsia="zh-CN"/>
        </w:rPr>
        <w:t>提供方法。秘书处认为这将是</w:t>
      </w:r>
      <w:r w:rsidRPr="00F10D5B">
        <w:rPr>
          <w:rFonts w:cs="Calibri" w:hint="eastAsia"/>
          <w:lang w:val="zh-CN" w:eastAsia="zh-CN"/>
        </w:rPr>
        <w:t>一项</w:t>
      </w:r>
      <w:r w:rsidRPr="00F10D5B">
        <w:rPr>
          <w:rFonts w:cs="Calibri"/>
          <w:lang w:val="zh-CN" w:eastAsia="zh-CN"/>
        </w:rPr>
        <w:t>有价值的工作，因为它将提高国际电联规划和预算制定进程的稳定性。</w:t>
      </w:r>
    </w:p>
    <w:p w14:paraId="12280C75" w14:textId="77777777" w:rsidR="00476936" w:rsidRPr="00F10D5B" w:rsidRDefault="00476936" w:rsidP="00476936">
      <w:pPr>
        <w:rPr>
          <w:rFonts w:cs="Calibri"/>
          <w:color w:val="212121"/>
          <w:szCs w:val="24"/>
          <w:lang w:eastAsia="zh-CN"/>
        </w:rPr>
      </w:pPr>
      <w:r w:rsidRPr="00F10D5B">
        <w:rPr>
          <w:rFonts w:cs="Calibri"/>
          <w:lang w:val="zh-CN" w:eastAsia="zh-CN"/>
        </w:rPr>
        <w:t>6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在理事会批准会费单位的初定金额后，秘书长将致</w:t>
      </w:r>
      <w:r w:rsidRPr="00F10D5B">
        <w:rPr>
          <w:rFonts w:cs="Calibri" w:hint="eastAsia"/>
          <w:lang w:val="zh-CN" w:eastAsia="zh-CN"/>
        </w:rPr>
        <w:t>函</w:t>
      </w:r>
      <w:r w:rsidRPr="00F10D5B">
        <w:rPr>
          <w:rFonts w:cs="Calibri"/>
          <w:lang w:val="zh-CN" w:eastAsia="zh-CN"/>
        </w:rPr>
        <w:t>各成员国，请其在</w:t>
      </w:r>
      <w:r w:rsidRPr="00F10D5B">
        <w:rPr>
          <w:rFonts w:cs="Calibri"/>
          <w:lang w:val="zh-CN" w:eastAsia="zh-CN"/>
        </w:rPr>
        <w:t>2025</w:t>
      </w:r>
      <w:r w:rsidRPr="00F10D5B">
        <w:rPr>
          <w:rFonts w:cs="Calibri"/>
          <w:lang w:val="zh-CN" w:eastAsia="zh-CN"/>
        </w:rPr>
        <w:t>年</w:t>
      </w:r>
      <w:r w:rsidRPr="00F10D5B">
        <w:rPr>
          <w:rFonts w:cs="Calibri"/>
          <w:lang w:val="zh-CN" w:eastAsia="zh-CN"/>
        </w:rPr>
        <w:t>12</w:t>
      </w:r>
      <w:r w:rsidRPr="00F10D5B">
        <w:rPr>
          <w:rFonts w:cs="Calibri"/>
          <w:lang w:val="zh-CN" w:eastAsia="zh-CN"/>
        </w:rPr>
        <w:t>月</w:t>
      </w:r>
      <w:r w:rsidRPr="00F10D5B">
        <w:rPr>
          <w:rFonts w:cs="Calibri"/>
          <w:lang w:val="zh-CN" w:eastAsia="zh-CN"/>
        </w:rPr>
        <w:t>31</w:t>
      </w:r>
      <w:r w:rsidRPr="00F10D5B">
        <w:rPr>
          <w:rFonts w:cs="Calibri"/>
          <w:lang w:val="zh-CN" w:eastAsia="zh-CN"/>
        </w:rPr>
        <w:t>日前宣布</w:t>
      </w:r>
      <w:r w:rsidRPr="00F10D5B">
        <w:rPr>
          <w:rFonts w:cs="Calibri" w:hint="eastAsia"/>
          <w:lang w:val="zh-CN" w:eastAsia="zh-CN"/>
        </w:rPr>
        <w:t>其</w:t>
      </w:r>
      <w:r w:rsidRPr="00F10D5B">
        <w:rPr>
          <w:rFonts w:cs="Calibri"/>
          <w:lang w:val="zh-CN" w:eastAsia="zh-CN"/>
        </w:rPr>
        <w:t>2028-2031</w:t>
      </w:r>
      <w:r w:rsidRPr="00F10D5B">
        <w:rPr>
          <w:rFonts w:cs="Calibri"/>
          <w:lang w:val="zh-CN" w:eastAsia="zh-CN"/>
        </w:rPr>
        <w:t>年期间</w:t>
      </w:r>
      <w:r w:rsidRPr="00F10D5B">
        <w:rPr>
          <w:rFonts w:cs="Calibri" w:hint="eastAsia"/>
          <w:lang w:val="zh-CN" w:eastAsia="zh-CN"/>
        </w:rPr>
        <w:t>所选</w:t>
      </w:r>
      <w:r w:rsidRPr="00F10D5B">
        <w:rPr>
          <w:rFonts w:cs="Calibri"/>
          <w:lang w:val="zh-CN" w:eastAsia="zh-CN"/>
        </w:rPr>
        <w:t>的暂定会费等级。</w:t>
      </w:r>
    </w:p>
    <w:p w14:paraId="2572A6AB" w14:textId="77777777" w:rsidR="00476936" w:rsidRPr="00F10D5B" w:rsidRDefault="00476936" w:rsidP="00476936">
      <w:pPr>
        <w:rPr>
          <w:rFonts w:cs="Calibri"/>
          <w:szCs w:val="24"/>
          <w:lang w:eastAsia="zh-CN"/>
        </w:rPr>
      </w:pPr>
      <w:r w:rsidRPr="00F10D5B">
        <w:rPr>
          <w:rFonts w:cs="Calibri"/>
          <w:lang w:val="zh-CN" w:eastAsia="zh-CN"/>
        </w:rPr>
        <w:lastRenderedPageBreak/>
        <w:t>7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预期</w:t>
      </w:r>
      <w:r w:rsidRPr="00F10D5B">
        <w:rPr>
          <w:rFonts w:cs="Calibri"/>
          <w:lang w:val="zh-CN" w:eastAsia="zh-CN"/>
        </w:rPr>
        <w:t>2026</w:t>
      </w:r>
      <w:r w:rsidRPr="00F10D5B">
        <w:rPr>
          <w:rFonts w:cs="Calibri"/>
          <w:lang w:val="zh-CN" w:eastAsia="zh-CN"/>
        </w:rPr>
        <w:t>年全权代表大会将制定框架及指令</w:t>
      </w:r>
      <w:r w:rsidRPr="00F10D5B">
        <w:rPr>
          <w:rFonts w:cs="Calibri" w:hint="eastAsia"/>
          <w:lang w:val="zh-CN" w:eastAsia="zh-CN"/>
        </w:rPr>
        <w:t>，据此编制</w:t>
      </w:r>
      <w:r w:rsidRPr="00F10D5B">
        <w:rPr>
          <w:rFonts w:cs="Calibri"/>
          <w:lang w:val="zh-CN" w:eastAsia="zh-CN"/>
        </w:rPr>
        <w:t>2028-2029</w:t>
      </w:r>
      <w:r w:rsidRPr="00F10D5B">
        <w:rPr>
          <w:rFonts w:cs="Calibri"/>
          <w:lang w:val="zh-CN" w:eastAsia="zh-CN"/>
        </w:rPr>
        <w:t>年和</w:t>
      </w:r>
      <w:r w:rsidRPr="00F10D5B">
        <w:rPr>
          <w:rFonts w:cs="Calibri"/>
          <w:lang w:val="zh-CN" w:eastAsia="zh-CN"/>
        </w:rPr>
        <w:t>2030-2031</w:t>
      </w:r>
      <w:r w:rsidRPr="00F10D5B">
        <w:rPr>
          <w:rFonts w:cs="Calibri"/>
          <w:lang w:val="zh-CN" w:eastAsia="zh-CN"/>
        </w:rPr>
        <w:t>年两个双年度预算。</w:t>
      </w:r>
    </w:p>
    <w:p w14:paraId="3A70B082" w14:textId="77777777" w:rsidR="00476936" w:rsidRPr="00F10D5B" w:rsidRDefault="00476936" w:rsidP="00476936">
      <w:pPr>
        <w:rPr>
          <w:rFonts w:cs="Calibri"/>
          <w:lang w:eastAsia="zh-CN"/>
        </w:rPr>
      </w:pPr>
      <w:bookmarkStart w:id="8" w:name="_Hlk68691388"/>
      <w:bookmarkStart w:id="9" w:name="_Hlk68691419"/>
      <w:r w:rsidRPr="00F10D5B">
        <w:rPr>
          <w:rFonts w:cs="Calibri"/>
          <w:lang w:val="zh-CN" w:eastAsia="zh-CN"/>
        </w:rPr>
        <w:t>8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《</w:t>
      </w:r>
      <w:r w:rsidRPr="00F10D5B">
        <w:rPr>
          <w:rFonts w:cs="Calibri"/>
          <w:lang w:val="zh-CN" w:eastAsia="zh-CN"/>
        </w:rPr>
        <w:t>202</w:t>
      </w:r>
      <w:r w:rsidRPr="00F10D5B">
        <w:rPr>
          <w:rFonts w:cs="Calibri" w:hint="eastAsia"/>
          <w:lang w:val="zh-CN" w:eastAsia="zh-CN"/>
        </w:rPr>
        <w:t>8</w:t>
      </w:r>
      <w:r w:rsidRPr="00F10D5B">
        <w:rPr>
          <w:rFonts w:cs="Calibri"/>
          <w:lang w:val="zh-CN" w:eastAsia="zh-CN"/>
        </w:rPr>
        <w:t>-20</w:t>
      </w:r>
      <w:r w:rsidRPr="00F10D5B">
        <w:rPr>
          <w:rFonts w:cs="Calibri" w:hint="eastAsia"/>
          <w:lang w:val="zh-CN" w:eastAsia="zh-CN"/>
        </w:rPr>
        <w:t>31</w:t>
      </w:r>
      <w:r w:rsidRPr="00F10D5B">
        <w:rPr>
          <w:rFonts w:cs="Calibri"/>
          <w:lang w:val="zh-CN" w:eastAsia="zh-CN"/>
        </w:rPr>
        <w:t>年财务规划》草案将提交</w:t>
      </w:r>
      <w:r w:rsidRPr="00F10D5B">
        <w:rPr>
          <w:rFonts w:cs="Calibri"/>
          <w:lang w:val="zh-CN" w:eastAsia="zh-CN"/>
        </w:rPr>
        <w:t>CWG-FHR 202</w:t>
      </w:r>
      <w:r w:rsidRPr="00F10D5B">
        <w:rPr>
          <w:rFonts w:cs="Calibri" w:hint="eastAsia"/>
          <w:lang w:val="zh-CN" w:eastAsia="zh-CN"/>
        </w:rPr>
        <w:t>6</w:t>
      </w:r>
      <w:r w:rsidRPr="00F10D5B">
        <w:rPr>
          <w:rFonts w:cs="Calibri"/>
          <w:lang w:val="zh-CN" w:eastAsia="zh-CN"/>
        </w:rPr>
        <w:t>年会议讨论。</w:t>
      </w:r>
      <w:bookmarkEnd w:id="8"/>
    </w:p>
    <w:bookmarkEnd w:id="9"/>
    <w:p w14:paraId="10304285" w14:textId="77777777" w:rsidR="00476936" w:rsidRPr="00F10D5B" w:rsidRDefault="00476936" w:rsidP="00476936">
      <w:pPr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9</w:t>
      </w:r>
      <w:r w:rsidRPr="00F10D5B">
        <w:rPr>
          <w:rFonts w:cs="Calibri"/>
          <w:lang w:val="zh-CN" w:eastAsia="zh-CN"/>
        </w:rPr>
        <w:tab/>
      </w:r>
      <w:r w:rsidRPr="00F10D5B">
        <w:rPr>
          <w:rFonts w:cs="Calibri"/>
          <w:lang w:val="zh-CN" w:eastAsia="zh-CN"/>
        </w:rPr>
        <w:t>各成员国选择的会费等级现状见</w:t>
      </w:r>
      <w:hyperlink w:anchor="Annex1">
        <w:r w:rsidRPr="00F10D5B">
          <w:rPr>
            <w:rStyle w:val="Hyperlink"/>
            <w:rFonts w:eastAsia="SimSun" w:cs="Calibri" w:hint="eastAsia"/>
            <w:lang w:eastAsia="zh-CN"/>
          </w:rPr>
          <w:t>附件</w:t>
        </w:r>
        <w:r w:rsidRPr="00F10D5B">
          <w:rPr>
            <w:rStyle w:val="Hyperlink"/>
            <w:rFonts w:eastAsia="SimSun" w:cs="Calibri"/>
            <w:lang w:eastAsia="zh-CN"/>
          </w:rPr>
          <w:t>1</w:t>
        </w:r>
      </w:hyperlink>
      <w:r w:rsidRPr="00F10D5B">
        <w:rPr>
          <w:rFonts w:cs="Calibri"/>
          <w:lang w:val="zh-CN" w:eastAsia="zh-CN"/>
        </w:rPr>
        <w:t>。</w:t>
      </w:r>
    </w:p>
    <w:p w14:paraId="2674B33F" w14:textId="77777777" w:rsidR="00476936" w:rsidRPr="00F10D5B" w:rsidRDefault="00476936" w:rsidP="00476936">
      <w:pPr>
        <w:rPr>
          <w:rFonts w:cs="Calibri"/>
          <w:lang w:eastAsia="zh-CN"/>
        </w:rPr>
      </w:pPr>
      <w:r w:rsidRPr="00F10D5B">
        <w:rPr>
          <w:rFonts w:cs="Calibri"/>
          <w:lang w:val="zh-CN" w:eastAsia="zh-CN"/>
        </w:rPr>
        <w:t>10</w:t>
      </w:r>
      <w:r w:rsidRPr="00F10D5B">
        <w:rPr>
          <w:rFonts w:cs="Calibri"/>
          <w:lang w:val="zh-CN" w:eastAsia="zh-CN"/>
        </w:rPr>
        <w:tab/>
      </w:r>
      <w:hyperlink w:anchor="Annex2">
        <w:r w:rsidRPr="00F10D5B">
          <w:rPr>
            <w:rStyle w:val="Hyperlink"/>
            <w:rFonts w:eastAsia="SimSun" w:cs="Calibri" w:hint="eastAsia"/>
            <w:lang w:eastAsia="zh-CN"/>
          </w:rPr>
          <w:t>附件</w:t>
        </w:r>
        <w:r w:rsidRPr="00F10D5B">
          <w:rPr>
            <w:rStyle w:val="Hyperlink"/>
            <w:rFonts w:eastAsia="SimSun" w:cs="Calibri"/>
            <w:lang w:eastAsia="zh-CN"/>
          </w:rPr>
          <w:t>2</w:t>
        </w:r>
      </w:hyperlink>
      <w:r w:rsidRPr="00F10D5B">
        <w:rPr>
          <w:rFonts w:cs="Calibri"/>
          <w:lang w:val="zh-CN" w:eastAsia="zh-CN"/>
        </w:rPr>
        <w:t>显示了自</w:t>
      </w:r>
      <w:r w:rsidRPr="00F10D5B">
        <w:rPr>
          <w:rFonts w:cs="Calibri" w:hint="eastAsia"/>
          <w:lang w:val="zh-CN" w:eastAsia="zh-CN"/>
        </w:rPr>
        <w:t>上届</w:t>
      </w:r>
      <w:r w:rsidRPr="00F10D5B">
        <w:rPr>
          <w:rFonts w:cs="Calibri"/>
          <w:lang w:val="zh-CN" w:eastAsia="zh-CN"/>
        </w:rPr>
        <w:t>全权代表大会（</w:t>
      </w:r>
      <w:r w:rsidRPr="00F10D5B">
        <w:rPr>
          <w:rFonts w:cs="Calibri"/>
          <w:lang w:val="zh-CN" w:eastAsia="zh-CN"/>
        </w:rPr>
        <w:t>20</w:t>
      </w:r>
      <w:r w:rsidRPr="00F10D5B">
        <w:rPr>
          <w:rFonts w:cs="Calibri" w:hint="eastAsia"/>
          <w:lang w:val="zh-CN" w:eastAsia="zh-CN"/>
        </w:rPr>
        <w:t>22</w:t>
      </w:r>
      <w:r w:rsidRPr="00F10D5B">
        <w:rPr>
          <w:rFonts w:cs="Calibri"/>
          <w:lang w:val="zh-CN" w:eastAsia="zh-CN"/>
        </w:rPr>
        <w:t>年，</w:t>
      </w:r>
      <w:r w:rsidRPr="00F10D5B">
        <w:rPr>
          <w:rFonts w:cs="Calibri" w:hint="eastAsia"/>
          <w:lang w:val="zh-CN" w:eastAsia="zh-CN"/>
        </w:rPr>
        <w:t>布加勒斯特</w:t>
      </w:r>
      <w:r w:rsidRPr="00F10D5B">
        <w:rPr>
          <w:rFonts w:cs="Calibri"/>
          <w:lang w:val="zh-CN" w:eastAsia="zh-CN"/>
        </w:rPr>
        <w:t>）</w:t>
      </w:r>
      <w:r w:rsidRPr="00F10D5B">
        <w:rPr>
          <w:rFonts w:cs="Calibri" w:hint="eastAsia"/>
          <w:lang w:val="zh-CN" w:eastAsia="zh-CN"/>
        </w:rPr>
        <w:t>以来，截至今日，</w:t>
      </w:r>
      <w:r w:rsidRPr="00F10D5B">
        <w:rPr>
          <w:rFonts w:cs="Calibri"/>
          <w:lang w:val="zh-CN" w:eastAsia="zh-CN"/>
        </w:rPr>
        <w:t>部门成员选择的会费单位</w:t>
      </w:r>
      <w:r w:rsidRPr="00F10D5B">
        <w:rPr>
          <w:rFonts w:cs="Calibri" w:hint="eastAsia"/>
          <w:lang w:val="zh-CN" w:eastAsia="zh-CN"/>
        </w:rPr>
        <w:t>的</w:t>
      </w:r>
      <w:r w:rsidRPr="00F10D5B">
        <w:rPr>
          <w:rFonts w:cs="Calibri"/>
          <w:lang w:val="zh-CN" w:eastAsia="zh-CN"/>
        </w:rPr>
        <w:t>演变情况及部门准成员和学术机构数量的变化情况。</w:t>
      </w:r>
    </w:p>
    <w:p w14:paraId="660D43F0" w14:textId="77777777" w:rsidR="00476936" w:rsidRPr="002D34CF" w:rsidRDefault="00476936" w:rsidP="00476936">
      <w:pPr>
        <w:pStyle w:val="Normalaftertitle"/>
        <w:spacing w:before="2400"/>
        <w:rPr>
          <w:rFonts w:ascii="STKaiti" w:eastAsia="STKaiti" w:hAnsi="STKaiti"/>
          <w:b/>
          <w:bCs/>
          <w:i/>
          <w:iCs/>
          <w:caps/>
        </w:rPr>
      </w:pPr>
      <w:proofErr w:type="spellStart"/>
      <w:r w:rsidRPr="002D34CF">
        <w:rPr>
          <w:rFonts w:ascii="STKaiti" w:eastAsia="STKaiti" w:hAnsi="STKaiti"/>
          <w:b/>
          <w:bCs/>
          <w:lang w:val="zh-CN"/>
        </w:rPr>
        <w:t>附件</w:t>
      </w:r>
      <w:proofErr w:type="spellEnd"/>
      <w:r w:rsidRPr="002D34CF">
        <w:rPr>
          <w:rFonts w:ascii="STKaiti" w:eastAsia="STKaiti" w:hAnsi="STKaiti"/>
          <w:b/>
          <w:bCs/>
          <w:lang w:val="zh-CN"/>
        </w:rPr>
        <w:t>：2件</w:t>
      </w:r>
    </w:p>
    <w:p w14:paraId="25F4360A" w14:textId="77777777" w:rsidR="00476936" w:rsidRDefault="00476936" w:rsidP="00476936">
      <w:r w:rsidRPr="001A7909">
        <w:br w:type="page"/>
      </w:r>
    </w:p>
    <w:p w14:paraId="24C9EE08" w14:textId="77777777" w:rsidR="00476936" w:rsidRDefault="00476936" w:rsidP="00476936">
      <w:pPr>
        <w:pStyle w:val="AnnexNo"/>
        <w:snapToGrid w:val="0"/>
        <w:spacing w:before="1440" w:after="240"/>
      </w:pPr>
      <w:bookmarkStart w:id="10" w:name="Annex1"/>
      <w:bookmarkEnd w:id="10"/>
      <w:proofErr w:type="spellStart"/>
      <w:r>
        <w:rPr>
          <w:lang w:val="zh-CN"/>
        </w:rPr>
        <w:lastRenderedPageBreak/>
        <w:t>附件</w:t>
      </w:r>
      <w:proofErr w:type="spellEnd"/>
      <w:r>
        <w:rPr>
          <w:lang w:val="zh-CN"/>
        </w:rPr>
        <w:t>1</w:t>
      </w:r>
    </w:p>
    <w:tbl>
      <w:tblPr>
        <w:tblW w:w="6080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2116"/>
      </w:tblGrid>
      <w:tr w:rsidR="00476936" w:rsidRPr="004857E0" w14:paraId="5CA11F7D" w14:textId="77777777" w:rsidTr="00B14180">
        <w:trPr>
          <w:cantSplit/>
          <w:tblHeader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EEC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bCs/>
                <w:color w:val="000000"/>
                <w:lang w:val="zh-CN"/>
              </w:rPr>
              <w:t>成员国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1A8" w14:textId="77777777" w:rsidR="00476936" w:rsidRDefault="00476936" w:rsidP="00C15766">
            <w:pPr>
              <w:pStyle w:val="Tablehead"/>
              <w:rPr>
                <w:bCs/>
                <w:color w:val="000000"/>
                <w:lang w:val="zh-CN" w:eastAsia="zh-CN"/>
              </w:rPr>
            </w:pPr>
            <w:r w:rsidRPr="00D31919">
              <w:rPr>
                <w:rFonts w:hint="eastAsia"/>
                <w:lang w:eastAsia="zh-CN"/>
              </w:rPr>
              <w:t>截至</w:t>
            </w:r>
            <w:r w:rsidRPr="00D31919">
              <w:rPr>
                <w:rFonts w:hint="eastAsia"/>
                <w:lang w:eastAsia="zh-CN"/>
              </w:rPr>
              <w:t>2025</w:t>
            </w:r>
            <w:r w:rsidRPr="00D31919">
              <w:rPr>
                <w:rFonts w:hint="eastAsia"/>
                <w:lang w:eastAsia="zh-CN"/>
              </w:rPr>
              <w:t>年</w:t>
            </w:r>
            <w:r w:rsidRPr="00D31919">
              <w:rPr>
                <w:rFonts w:hint="eastAsia"/>
                <w:lang w:eastAsia="zh-CN"/>
              </w:rPr>
              <w:t>2</w:t>
            </w:r>
            <w:r w:rsidRPr="00D31919">
              <w:rPr>
                <w:rFonts w:hint="eastAsia"/>
                <w:lang w:eastAsia="zh-CN"/>
              </w:rPr>
              <w:t>月</w:t>
            </w:r>
            <w:r w:rsidRPr="00D31919">
              <w:rPr>
                <w:rFonts w:hint="eastAsia"/>
                <w:lang w:eastAsia="zh-CN"/>
              </w:rPr>
              <w:t>28</w:t>
            </w:r>
            <w:r w:rsidRPr="00D31919">
              <w:rPr>
                <w:rFonts w:hint="eastAsia"/>
                <w:lang w:eastAsia="zh-CN"/>
              </w:rPr>
              <w:t>日的</w:t>
            </w:r>
            <w:r>
              <w:rPr>
                <w:rFonts w:hint="eastAsia"/>
                <w:lang w:eastAsia="zh-CN"/>
              </w:rPr>
              <w:t>会费</w:t>
            </w:r>
            <w:r w:rsidRPr="00D31919">
              <w:rPr>
                <w:rFonts w:hint="eastAsia"/>
                <w:lang w:eastAsia="zh-CN"/>
              </w:rPr>
              <w:t>单位数</w:t>
            </w:r>
          </w:p>
        </w:tc>
      </w:tr>
      <w:tr w:rsidR="00476936" w:rsidRPr="004857E0" w14:paraId="49913FCE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6DD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 w:rsidRPr="004857E0">
              <w:rPr>
                <w:color w:val="000000"/>
                <w:lang w:eastAsia="zh-CN"/>
              </w:rPr>
              <w:t> 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267B3" w14:textId="77777777" w:rsidR="00476936" w:rsidRPr="004857E0" w:rsidRDefault="00476936" w:rsidP="00C1576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476936" w:rsidRPr="004857E0" w14:paraId="12851F0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98C6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阿富汗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9BA7E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3D33392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384B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阿尔巴尼亚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06428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C33C87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3FCD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阿尔及利亚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A760A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2254C3A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DBF3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安道尔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BC855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7F8D91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1F41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安哥拉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5E192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4EDC1E4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506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安提瓜和巴布达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3F23B5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2EE01DA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15CD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阿根廷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D2C51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61EF0BF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DA99D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亚美尼亚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C0DD1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6017C6F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A83D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澳大利亚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9137D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13</w:t>
            </w:r>
          </w:p>
        </w:tc>
      </w:tr>
      <w:tr w:rsidR="00476936" w:rsidRPr="004857E0" w14:paraId="7BCBEEF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8AA6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奥地利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ED0B0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1CB8BB7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A7BA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阿塞拜疆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858E8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3A272A53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D6EF7" w14:textId="77777777" w:rsidR="00476936" w:rsidRPr="004857E0" w:rsidRDefault="00476936" w:rsidP="00C15766">
            <w:pPr>
              <w:pStyle w:val="Tabletext"/>
            </w:pPr>
            <w:proofErr w:type="spellStart"/>
            <w:r w:rsidRPr="00C87BAE">
              <w:rPr>
                <w:rFonts w:hint="eastAsia"/>
                <w:color w:val="000000"/>
                <w:lang w:val="zh-CN"/>
              </w:rPr>
              <w:t>巴哈马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9701A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1ED4CB3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F970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巴林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A0EDF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336B826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5755E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孟加拉国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F4764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2A5C7D5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66AD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巴巴多斯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ED36C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01ABD9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139C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白俄罗斯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52C34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EF86D3A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8C75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比利时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341AE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3</w:t>
            </w:r>
          </w:p>
        </w:tc>
      </w:tr>
      <w:tr w:rsidR="00476936" w:rsidRPr="004857E0" w14:paraId="311EAB6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3201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伯利兹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2D9E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1921FB7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FCD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贝宁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6C771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3265738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9D9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不丹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DF5FA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65D6C89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E683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玻利维亚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C12C8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29C2514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AC2AA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波斯尼亚和黑塞哥维那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6AE43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4EE9193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4B9D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博茨瓦纳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4ACEB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273800E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A6CC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巴西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6AB5DB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11</w:t>
            </w:r>
          </w:p>
        </w:tc>
      </w:tr>
      <w:tr w:rsidR="00476936" w:rsidRPr="004857E0" w14:paraId="0E270FD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6ED9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文莱达鲁萨兰国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5558DA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5FFA5C2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66C7E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保加利亚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CCCDA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1D93823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3D6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布基纳法索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B18481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EA6153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821D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布隆迪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364FF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4C0A70B3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9979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柬埔寨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89017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43FC484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2528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喀麦隆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74D42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11D2E57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D3FF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加拿大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A3B590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11</w:t>
            </w:r>
          </w:p>
        </w:tc>
      </w:tr>
      <w:tr w:rsidR="00476936" w:rsidRPr="004857E0" w14:paraId="788C9BF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8E49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佛得角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27163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05A483A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7437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中非共和国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F4210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0C6D5E3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3A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lastRenderedPageBreak/>
              <w:t>乍得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D632F3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01DF673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E1F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智利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1E779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7C621F8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6ECF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中国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3D869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20</w:t>
            </w:r>
          </w:p>
        </w:tc>
      </w:tr>
      <w:tr w:rsidR="00476936" w:rsidRPr="004857E0" w14:paraId="7E8412F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9C5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哥伦比亚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FD6E7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506AD21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57A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科摩罗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03FF6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7E7D46C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9850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刚果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40655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7E0A942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0F74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哥斯达黎加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EBB84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80325A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273C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科特迪瓦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87FC05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</w:t>
            </w:r>
          </w:p>
        </w:tc>
      </w:tr>
      <w:tr w:rsidR="00476936" w:rsidRPr="004857E0" w14:paraId="00F9FD5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8FD5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克罗地亚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8AAF15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7948868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A3F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古巴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D9A2D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164D67C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DD39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塞浦路斯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8B2D1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E859F4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22AE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捷克共和国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83FCC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5C234B7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D6FF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刚果民主共和国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AFC4D0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70B8B84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34390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朝鲜民主主义人民共和国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B13C6A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414B7BA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697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丹麦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B7913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  1/2</w:t>
            </w:r>
          </w:p>
        </w:tc>
      </w:tr>
      <w:tr w:rsidR="00476936" w:rsidRPr="004857E0" w14:paraId="751FFC5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3427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吉布提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AA44D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4B529C8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88B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多米尼克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28EE8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2854ED0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C0D2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多米尼加共和国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A1AC1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34ABF6E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57E8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厄瓜多尔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A302B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39CFD3A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AEBC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埃及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A3390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7F451CCA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78F2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萨尔瓦多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83B8AB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6328488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65D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赤道几内亚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450D9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7483EB4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4477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厄立特里亚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E6EFA2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68A8EF1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AD7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爱沙尼亚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993C3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1DD841F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913A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斯威士兰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A3E6C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778E4EB3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A85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埃塞俄比亚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255B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047C35E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E1C5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斐济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2246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3CCB54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BA8C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芬兰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F65FF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</w:t>
            </w:r>
          </w:p>
        </w:tc>
      </w:tr>
      <w:tr w:rsidR="00476936" w:rsidRPr="004857E0" w14:paraId="55735BA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3308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法国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578C6E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21</w:t>
            </w:r>
          </w:p>
        </w:tc>
      </w:tr>
      <w:tr w:rsidR="00476936" w:rsidRPr="004857E0" w14:paraId="62957D0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F869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加蓬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2BD4F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49E435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9DD4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冈比亚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5DA593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425C340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A33D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格鲁吉亚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EF4047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694C8C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3DDF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德国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A7DB4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25</w:t>
            </w:r>
          </w:p>
        </w:tc>
      </w:tr>
      <w:tr w:rsidR="00476936" w:rsidRPr="004857E0" w14:paraId="3BFCB7E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74FC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加纳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8ECB58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33EA7E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8448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希腊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8D8E10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5B494D8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C569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格林纳达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5364A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7C5775D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45B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lastRenderedPageBreak/>
              <w:t>危地马拉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EEE86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5425C6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1781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几内亚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78542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1C85C65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FA04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几内亚比绍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7149AD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53960D4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59D1D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圭亚那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394842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718EEF5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9309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海地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1A071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024960D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0013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洪都拉斯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BA9DE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6B274DE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6015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匈牙利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B3E0E2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22D14B3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A3C3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冰岛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2411F3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3875A9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EDF0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印度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FE36C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10</w:t>
            </w:r>
          </w:p>
        </w:tc>
      </w:tr>
      <w:tr w:rsidR="00476936" w:rsidRPr="004857E0" w14:paraId="23C1A60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B097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印度尼西亚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97771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09E437C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AEBC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伊朗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04029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1EBC2B6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C3D0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伊拉克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FE4C2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7CB993F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9702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爱尔兰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7B02CF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</w:t>
            </w:r>
          </w:p>
        </w:tc>
      </w:tr>
      <w:tr w:rsidR="00476936" w:rsidRPr="004857E0" w14:paraId="2B325F0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E1FD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以色列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C8E62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0D80297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468EF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意大利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AEA670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15</w:t>
            </w:r>
          </w:p>
        </w:tc>
      </w:tr>
      <w:tr w:rsidR="00476936" w:rsidRPr="004857E0" w14:paraId="5302552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3F96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牙买加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42995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2D769B2E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AC21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日本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44DA4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30</w:t>
            </w:r>
          </w:p>
        </w:tc>
      </w:tr>
      <w:tr w:rsidR="00476936" w:rsidRPr="004857E0" w14:paraId="48D9B26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BEED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约旦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7620E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2126E4E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E343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哈萨克斯坦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462C8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736B3923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82BAF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肯尼亚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C20DA8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51CF13D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EF5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基里巴斯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99F81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016DD11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A2E8D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rFonts w:hint="eastAsia"/>
                <w:color w:val="000000"/>
                <w:lang w:val="zh-CN"/>
              </w:rPr>
              <w:t>大韩民国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18973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10</w:t>
            </w:r>
          </w:p>
        </w:tc>
      </w:tr>
      <w:tr w:rsidR="00476936" w:rsidRPr="004857E0" w14:paraId="71F81A1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BAE2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科威特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E551AF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5</w:t>
            </w:r>
          </w:p>
        </w:tc>
      </w:tr>
      <w:tr w:rsidR="00476936" w:rsidRPr="004857E0" w14:paraId="48AF28A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D020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吉尔吉斯斯坦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147A93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74B37F3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8556F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老挝人民民主共和国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B23BF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19CD6FD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48E4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拉脱维亚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738BF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3B749EB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7DD7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黎巴嫩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08536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125F3A9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957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莱索托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E7DEE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15F2FE7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81B5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利比里亚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1E641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67498BA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8D25" w14:textId="1BA2BD57" w:rsidR="00476936" w:rsidRPr="00FE693F" w:rsidRDefault="00FE693F" w:rsidP="00C15766">
            <w:pPr>
              <w:pStyle w:val="Tabletext"/>
              <w:rPr>
                <w:color w:val="000000"/>
                <w:lang w:val="zh-CN"/>
              </w:rPr>
            </w:pPr>
            <w:proofErr w:type="spellStart"/>
            <w:r w:rsidRPr="00FE693F">
              <w:rPr>
                <w:color w:val="000000"/>
                <w:lang w:val="zh-CN"/>
              </w:rPr>
              <w:t>利比</w:t>
            </w:r>
            <w:r w:rsidRPr="00FE693F">
              <w:rPr>
                <w:rFonts w:hint="eastAsia"/>
                <w:color w:val="000000"/>
                <w:lang w:val="zh-CN"/>
              </w:rPr>
              <w:t>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EB989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89F8F6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8BB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列支敦士登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71FC39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54750B3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E80C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立陶宛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AEF18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3D53721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CB6F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卢森堡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43139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5D1FD07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D3F0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马达加斯加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7741B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4C92947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DECD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马拉维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7C35B4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6904A4B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60D2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马来西亚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43FB1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</w:t>
            </w:r>
          </w:p>
        </w:tc>
      </w:tr>
      <w:tr w:rsidR="00476936" w:rsidRPr="004857E0" w14:paraId="68DE43F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F773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lastRenderedPageBreak/>
              <w:t>马尔代夫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FC589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4889D5E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2F2D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马里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89EE5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5D76BC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FC54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马耳他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9FFDC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65EC55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526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马绍尔群岛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BC6AE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14F7E34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559C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毛里塔尼亚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A11B91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7939D9B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809B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毛里求斯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F99E4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F9B2CC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320A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墨西哥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E92772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3</w:t>
            </w:r>
          </w:p>
        </w:tc>
      </w:tr>
      <w:tr w:rsidR="00476936" w:rsidRPr="004857E0" w14:paraId="3EEBE8F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015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密克罗尼西亚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6D51E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3817CED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4B0E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摩尔多瓦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B138D1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9A0C1E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61BB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摩纳哥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C41212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2A85F51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CCA9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蒙古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34B163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A61D6E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29D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黑山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0985E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309568D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DAD9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摩洛哥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E7A302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5DB950C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497F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莫桑比克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A6A29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2A75DD2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CF4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缅甸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2BEED3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4CCAF53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3275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纳米比亚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F8471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62DA4EDE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E5F5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瑙鲁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0BE84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3FE3166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968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尼泊尔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6AB65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4D74404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661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rFonts w:hint="eastAsia"/>
                <w:color w:val="000000"/>
                <w:lang w:val="zh-CN"/>
              </w:rPr>
              <w:t>荷兰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FFA54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5</w:t>
            </w:r>
          </w:p>
        </w:tc>
      </w:tr>
      <w:tr w:rsidR="00476936" w:rsidRPr="004857E0" w14:paraId="1DE2076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1BE9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新西兰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88F9C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</w:t>
            </w:r>
          </w:p>
        </w:tc>
      </w:tr>
      <w:tr w:rsidR="00476936" w:rsidRPr="004857E0" w14:paraId="53AB76D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2CD4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尼加拉瓜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4CA65A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6E419C5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BE50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尼日尔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8E619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234B033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6A27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尼日利亚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62D32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</w:t>
            </w:r>
          </w:p>
        </w:tc>
      </w:tr>
      <w:tr w:rsidR="00476936" w:rsidRPr="004857E0" w14:paraId="1882D07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277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北马其顿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424CA2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2CBAE8AA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481D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挪威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7593F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5</w:t>
            </w:r>
          </w:p>
        </w:tc>
      </w:tr>
      <w:tr w:rsidR="00476936" w:rsidRPr="004857E0" w14:paraId="4E8EBE8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C8B7D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阿曼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000A0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45182CC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F71FE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巴基斯坦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35054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41DDB91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A28F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帕劳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82ED7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4C9D1067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36C2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巴拿马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29974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6AECED3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0D4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巴布亚新几内亚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88DF5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71A0FE13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4297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巴拉圭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C6E08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6EBA972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006F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秘鲁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588A32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CEE245E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77B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菲律宾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0EFC3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3AD795C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5FCF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波兰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59EB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3774E11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A847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葡萄牙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D9468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478C17A3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C4D6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卡塔尔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615F2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2</w:t>
            </w:r>
          </w:p>
        </w:tc>
      </w:tr>
      <w:tr w:rsidR="00476936" w:rsidRPr="004857E0" w14:paraId="011F0529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3921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lastRenderedPageBreak/>
              <w:t>罗马尼亚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B8804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3DD9A46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59AB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俄罗斯联邦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DC0C8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15</w:t>
            </w:r>
          </w:p>
        </w:tc>
      </w:tr>
      <w:tr w:rsidR="00476936" w:rsidRPr="004857E0" w14:paraId="6077985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496E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卢旺达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9DD81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4D9DD9F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CEF7D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圣基茨和尼维斯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C1C881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6A7CB6C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F72A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圣卢西亚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A9E6B0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29768EFA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C8B7E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圣文森特和格林纳丁斯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E00382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557D90B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7D4C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萨摩亚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89B1F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2512F89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4E49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圣马力诺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B624C3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DC468D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81A3D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圣多美和普林西比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737E62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79D11953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6E80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沙特阿拉伯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530524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13</w:t>
            </w:r>
          </w:p>
        </w:tc>
      </w:tr>
      <w:tr w:rsidR="00476936" w:rsidRPr="004857E0" w14:paraId="6386947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737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塞内加尔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EAC4A3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4A88C79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0DE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塞尔维亚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F4B9C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3AB0E10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E993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塞舌尔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28C24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514ECFE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6745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塞拉利昂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9AAF9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303318C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9C20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新加坡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E577D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2746BF3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B0B9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斯洛伐克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08BCF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40A9C060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1F57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斯洛文尼亚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2022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152CABF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08C7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所罗门群岛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8CB955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366F625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D93D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索马里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ACB383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2CC71943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D3EF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南非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06390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4</w:t>
            </w:r>
          </w:p>
        </w:tc>
      </w:tr>
      <w:tr w:rsidR="00476936" w:rsidRPr="004857E0" w14:paraId="1C4D9334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F71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南苏丹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B3AF02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428DBB9E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5038F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西班牙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3684B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6</w:t>
            </w:r>
          </w:p>
        </w:tc>
      </w:tr>
      <w:tr w:rsidR="00476936" w:rsidRPr="004857E0" w14:paraId="6104A85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3682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斯里兰卡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F6C2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DA2151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4CAD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苏丹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1C382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4457D6C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F072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苏里南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92B5D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63F0E99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81F15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瑞典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2D53B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4</w:t>
            </w:r>
          </w:p>
        </w:tc>
      </w:tr>
      <w:tr w:rsidR="00476936" w:rsidRPr="004857E0" w14:paraId="33D3A9B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57D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瑞士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BBC078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10</w:t>
            </w:r>
          </w:p>
        </w:tc>
      </w:tr>
      <w:tr w:rsidR="00476936" w:rsidRPr="004857E0" w14:paraId="5EE0997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3921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阿拉伯叙利亚共和国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A8AC2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1755BFC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D94B8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塔吉克斯坦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EF532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7994744E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A3EF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坦桑尼亚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3F044A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0345A522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EC3F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泰国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F1408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  1/2</w:t>
            </w:r>
          </w:p>
        </w:tc>
      </w:tr>
      <w:tr w:rsidR="00476936" w:rsidRPr="004857E0" w14:paraId="6B62142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CC94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东帝汶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220D3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6450E5D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D05B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多哥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C0678B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37A4AEFB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F02C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汤加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F69C48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4152B78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9A16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特立尼达和多巴哥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1204E6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531B090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7BD4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突尼斯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05946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64C4828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775E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lastRenderedPageBreak/>
              <w:t>土耳其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B285D2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</w:t>
            </w:r>
          </w:p>
        </w:tc>
      </w:tr>
      <w:tr w:rsidR="00476936" w:rsidRPr="004857E0" w14:paraId="52FCEB0A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092E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土库曼斯坦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A1105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2F74434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1CE20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图瓦卢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DD8641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68AC20F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5E89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乌干达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F7BA2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A864C18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A48B4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乌克兰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43DD1C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3A36F4AE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2152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阿拉伯联合酋长国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924A3D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3</w:t>
            </w:r>
          </w:p>
        </w:tc>
      </w:tr>
      <w:tr w:rsidR="00476936" w:rsidRPr="004857E0" w14:paraId="0686139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58DF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rFonts w:hint="eastAsia"/>
                <w:color w:val="000000"/>
                <w:lang w:val="zh-CN"/>
              </w:rPr>
              <w:t>联合王国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3496B3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10</w:t>
            </w:r>
          </w:p>
        </w:tc>
      </w:tr>
      <w:tr w:rsidR="00476936" w:rsidRPr="004857E0" w14:paraId="038E12E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9608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美利坚合众国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CE9772E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35</w:t>
            </w:r>
          </w:p>
        </w:tc>
      </w:tr>
      <w:tr w:rsidR="00476936" w:rsidRPr="004857E0" w14:paraId="78E227F6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6FC2E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乌拉圭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BB5649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4AF452F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4007B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乌兹别克斯坦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3328C0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20BBB9A5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0A71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瓦努阿图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6E3803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0F90130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DB0BA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梵蒂冈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01BBD7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1/4</w:t>
            </w:r>
          </w:p>
        </w:tc>
      </w:tr>
      <w:tr w:rsidR="00476936" w:rsidRPr="004857E0" w14:paraId="5F07D131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5D66C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委内瑞拉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6FA48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65EAA51A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13232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越南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1F897F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4857E0" w14:paraId="2BCFF96A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CB9B9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也门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FDE1E5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1/16</w:t>
            </w:r>
          </w:p>
        </w:tc>
      </w:tr>
      <w:tr w:rsidR="00476936" w:rsidRPr="004857E0" w14:paraId="3A43B2CD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2E93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赞比亚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2799C9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1/8</w:t>
            </w:r>
          </w:p>
        </w:tc>
      </w:tr>
      <w:tr w:rsidR="00476936" w:rsidRPr="004857E0" w14:paraId="569D54DC" w14:textId="77777777" w:rsidTr="00B14180">
        <w:trPr>
          <w:cantSplit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F22D6" w14:textId="77777777" w:rsidR="00476936" w:rsidRPr="004857E0" w:rsidRDefault="00476936" w:rsidP="00C15766">
            <w:pPr>
              <w:pStyle w:val="Tabletext"/>
            </w:pPr>
            <w:proofErr w:type="spellStart"/>
            <w:r>
              <w:rPr>
                <w:color w:val="000000"/>
                <w:lang w:val="zh-CN"/>
              </w:rPr>
              <w:t>津巴布韦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55846B4" w14:textId="77777777" w:rsidR="00476936" w:rsidRDefault="00476936" w:rsidP="00C15766">
            <w:pPr>
              <w:pStyle w:val="Tabletext"/>
              <w:jc w:val="center"/>
              <w:rPr>
                <w:color w:val="000000"/>
                <w:lang w:val="zh-CN"/>
              </w:rPr>
            </w:pPr>
            <w:r w:rsidRPr="004857E0">
              <w:rPr>
                <w:lang w:eastAsia="en-GB"/>
              </w:rPr>
              <w:t>1/2</w:t>
            </w:r>
          </w:p>
        </w:tc>
      </w:tr>
      <w:tr w:rsidR="00476936" w:rsidRPr="007025D5" w14:paraId="383718C5" w14:textId="77777777" w:rsidTr="00B14180">
        <w:trPr>
          <w:cantSplit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44B" w14:textId="77777777" w:rsidR="00476936" w:rsidRPr="007025D5" w:rsidRDefault="00476936" w:rsidP="00C15766">
            <w:pPr>
              <w:pStyle w:val="Tabletext"/>
              <w:jc w:val="right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lang w:val="zh-CN"/>
              </w:rPr>
              <w:t>合计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26D" w14:textId="77777777" w:rsidR="00476936" w:rsidRDefault="00476936" w:rsidP="00C15766">
            <w:pPr>
              <w:pStyle w:val="Tabletext"/>
              <w:jc w:val="center"/>
              <w:rPr>
                <w:b/>
                <w:bCs/>
                <w:color w:val="000000"/>
                <w:lang w:val="zh-CN"/>
              </w:rPr>
            </w:pPr>
            <w:r w:rsidRPr="007025D5">
              <w:rPr>
                <w:b/>
                <w:bCs/>
                <w:lang w:eastAsia="en-GB"/>
              </w:rPr>
              <w:t>356</w:t>
            </w:r>
          </w:p>
        </w:tc>
      </w:tr>
    </w:tbl>
    <w:p w14:paraId="34BE07BF" w14:textId="77777777" w:rsidR="00476936" w:rsidRDefault="00476936" w:rsidP="00476936">
      <w:r>
        <w:br w:type="page"/>
      </w:r>
    </w:p>
    <w:p w14:paraId="793BFD7B" w14:textId="77777777" w:rsidR="00476936" w:rsidRPr="00B14180" w:rsidRDefault="00476936" w:rsidP="00476936">
      <w:pPr>
        <w:pStyle w:val="AnnexNo"/>
        <w:rPr>
          <w:rFonts w:cs="Calibri"/>
        </w:rPr>
      </w:pPr>
      <w:bookmarkStart w:id="11" w:name="Annex2"/>
      <w:bookmarkEnd w:id="11"/>
      <w:proofErr w:type="spellStart"/>
      <w:r w:rsidRPr="00B14180">
        <w:rPr>
          <w:rFonts w:cs="Calibri"/>
          <w:lang w:val="zh-CN"/>
        </w:rPr>
        <w:lastRenderedPageBreak/>
        <w:t>附件</w:t>
      </w:r>
      <w:proofErr w:type="spellEnd"/>
      <w:r w:rsidRPr="00B14180">
        <w:rPr>
          <w:rFonts w:cs="Calibri"/>
          <w:lang w:val="zh-CN"/>
        </w:rPr>
        <w:t>2</w:t>
      </w:r>
    </w:p>
    <w:p w14:paraId="0D784263" w14:textId="77777777" w:rsidR="00476936" w:rsidRDefault="00476936" w:rsidP="00476936">
      <w:pPr>
        <w:overflowPunct/>
        <w:autoSpaceDE/>
        <w:autoSpaceDN/>
        <w:adjustRightInd/>
        <w:spacing w:before="0"/>
        <w:jc w:val="center"/>
        <w:textAlignment w:val="auto"/>
        <w:rPr>
          <w:sz w:val="28"/>
          <w:szCs w:val="28"/>
        </w:rPr>
      </w:pPr>
    </w:p>
    <w:tbl>
      <w:tblPr>
        <w:tblW w:w="97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0"/>
        <w:gridCol w:w="1300"/>
        <w:gridCol w:w="1466"/>
        <w:gridCol w:w="1114"/>
        <w:gridCol w:w="1280"/>
      </w:tblGrid>
      <w:tr w:rsidR="00476936" w:rsidRPr="004857E0" w14:paraId="54A7A115" w14:textId="77777777" w:rsidTr="00B14180">
        <w:trPr>
          <w:cantSplit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7641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bCs/>
                <w:color w:val="000000"/>
                <w:lang w:val="zh-CN"/>
              </w:rPr>
              <w:t>部门成员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E7C" w14:textId="77777777" w:rsidR="00476936" w:rsidRPr="004857E0" w:rsidRDefault="00476936" w:rsidP="00C15766">
            <w:pPr>
              <w:pStyle w:val="Tablehead"/>
              <w:rPr>
                <w:lang w:eastAsia="zh-CN"/>
              </w:rPr>
            </w:pPr>
            <w:r>
              <w:rPr>
                <w:bCs/>
                <w:color w:val="000000"/>
                <w:lang w:val="zh-CN" w:eastAsia="zh-CN"/>
              </w:rPr>
              <w:t>PP-22</w:t>
            </w:r>
            <w:r>
              <w:rPr>
                <w:bCs/>
                <w:color w:val="000000"/>
                <w:lang w:val="zh-CN" w:eastAsia="zh-CN"/>
              </w:rPr>
              <w:t>上选择的</w:t>
            </w:r>
            <w:r>
              <w:rPr>
                <w:rFonts w:hint="eastAsia"/>
                <w:lang w:eastAsia="zh-CN"/>
              </w:rPr>
              <w:t>会费</w:t>
            </w:r>
            <w:r>
              <w:rPr>
                <w:bCs/>
                <w:color w:val="000000"/>
                <w:lang w:val="zh-CN" w:eastAsia="zh-CN"/>
              </w:rPr>
              <w:t>单位数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60D6" w14:textId="77777777" w:rsidR="00476936" w:rsidRPr="004857E0" w:rsidRDefault="00476936" w:rsidP="00C15766">
            <w:pPr>
              <w:pStyle w:val="Tablehead"/>
              <w:rPr>
                <w:lang w:eastAsia="zh-CN"/>
              </w:rPr>
            </w:pPr>
            <w:r w:rsidRPr="00D31919">
              <w:rPr>
                <w:rFonts w:hint="eastAsia"/>
                <w:lang w:eastAsia="zh-CN"/>
              </w:rPr>
              <w:t>截至</w:t>
            </w:r>
            <w:r w:rsidRPr="00D31919">
              <w:rPr>
                <w:rFonts w:hint="eastAsia"/>
                <w:lang w:eastAsia="zh-CN"/>
              </w:rPr>
              <w:t>2025</w:t>
            </w:r>
            <w:r w:rsidRPr="00D31919">
              <w:rPr>
                <w:rFonts w:hint="eastAsia"/>
                <w:lang w:eastAsia="zh-CN"/>
              </w:rPr>
              <w:t>年</w:t>
            </w:r>
            <w:r w:rsidRPr="00D31919">
              <w:rPr>
                <w:rFonts w:hint="eastAsia"/>
                <w:lang w:eastAsia="zh-CN"/>
              </w:rPr>
              <w:t>2</w:t>
            </w:r>
            <w:r w:rsidRPr="00D31919">
              <w:rPr>
                <w:rFonts w:hint="eastAsia"/>
                <w:lang w:eastAsia="zh-CN"/>
              </w:rPr>
              <w:t>月</w:t>
            </w:r>
            <w:r w:rsidRPr="00D31919">
              <w:rPr>
                <w:rFonts w:hint="eastAsia"/>
                <w:lang w:eastAsia="zh-CN"/>
              </w:rPr>
              <w:t>28</w:t>
            </w:r>
            <w:r w:rsidRPr="00D31919">
              <w:rPr>
                <w:rFonts w:hint="eastAsia"/>
                <w:lang w:eastAsia="zh-CN"/>
              </w:rPr>
              <w:t>日的</w:t>
            </w:r>
            <w:r>
              <w:rPr>
                <w:rFonts w:hint="eastAsia"/>
                <w:lang w:eastAsia="zh-CN"/>
              </w:rPr>
              <w:t>会费</w:t>
            </w:r>
            <w:r w:rsidRPr="00D31919">
              <w:rPr>
                <w:rFonts w:hint="eastAsia"/>
                <w:lang w:eastAsia="zh-CN"/>
              </w:rPr>
              <w:t>单位数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11F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rFonts w:hint="eastAsia"/>
                <w:bCs/>
                <w:color w:val="000000"/>
                <w:lang w:val="zh-CN"/>
              </w:rPr>
              <w:t>差异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402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bCs/>
                <w:color w:val="000000"/>
                <w:lang w:val="zh-CN"/>
              </w:rPr>
              <w:t>差异</w:t>
            </w:r>
            <w:r>
              <w:rPr>
                <w:rFonts w:hint="eastAsia"/>
                <w:bCs/>
                <w:color w:val="000000"/>
                <w:lang w:val="zh-CN"/>
              </w:rPr>
              <w:t>百分比</w:t>
            </w:r>
            <w:proofErr w:type="spellEnd"/>
          </w:p>
        </w:tc>
      </w:tr>
      <w:tr w:rsidR="00476936" w:rsidRPr="004857E0" w14:paraId="5BF5C3A8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B933F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ITU-R</w:t>
            </w:r>
            <w:proofErr w:type="spellStart"/>
            <w:r>
              <w:rPr>
                <w:color w:val="000000"/>
                <w:lang w:val="zh-CN"/>
              </w:rPr>
              <w:t>部门成员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B1F4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100 1/2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DDB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A796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F4D7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3%</w:t>
            </w:r>
          </w:p>
        </w:tc>
      </w:tr>
      <w:tr w:rsidR="00476936" w:rsidRPr="004857E0" w14:paraId="2535C925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FDEEA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ITU-T</w:t>
            </w:r>
            <w:proofErr w:type="spellStart"/>
            <w:r>
              <w:rPr>
                <w:rFonts w:hint="eastAsia"/>
                <w:color w:val="000000"/>
                <w:lang w:val="zh-CN"/>
              </w:rPr>
              <w:t>部门</w:t>
            </w:r>
            <w:r>
              <w:rPr>
                <w:color w:val="000000"/>
                <w:lang w:val="zh-CN"/>
              </w:rPr>
              <w:t>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C3E0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2E6F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2BCC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1EC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-4%</w:t>
            </w:r>
          </w:p>
        </w:tc>
      </w:tr>
      <w:tr w:rsidR="00476936" w:rsidRPr="004857E0" w14:paraId="161B7407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26530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ITU-D</w:t>
            </w:r>
            <w:proofErr w:type="spellStart"/>
            <w:r>
              <w:rPr>
                <w:color w:val="000000"/>
                <w:lang w:val="zh-CN"/>
              </w:rPr>
              <w:t>部门成员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A6A0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6D7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4138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662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9%</w:t>
            </w:r>
          </w:p>
        </w:tc>
      </w:tr>
      <w:tr w:rsidR="00476936" w:rsidRPr="00B157E0" w14:paraId="4A44F3FF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EDEED" w14:textId="77777777" w:rsidR="00476936" w:rsidRPr="00B157E0" w:rsidRDefault="00476936" w:rsidP="00C15766">
            <w:pPr>
              <w:pStyle w:val="Tabletext"/>
              <w:jc w:val="right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lang w:val="zh-CN"/>
              </w:rPr>
              <w:t>合计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EE49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216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53C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217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49E9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44B0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0%</w:t>
            </w:r>
          </w:p>
        </w:tc>
      </w:tr>
      <w:tr w:rsidR="00476936" w:rsidRPr="004857E0" w14:paraId="02A9C364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15261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23DCA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92D19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3F331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59A35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</w:tr>
      <w:tr w:rsidR="00476936" w:rsidRPr="004857E0" w14:paraId="7B1BA4B3" w14:textId="77777777" w:rsidTr="00B14180">
        <w:trPr>
          <w:cantSplit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887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rFonts w:hint="eastAsia"/>
                <w:bCs/>
                <w:color w:val="000000"/>
                <w:lang w:val="zh-CN"/>
              </w:rPr>
              <w:t>部门准成员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7B88" w14:textId="77777777" w:rsidR="00476936" w:rsidRPr="004857E0" w:rsidRDefault="00476936" w:rsidP="00C15766">
            <w:pPr>
              <w:pStyle w:val="Tablehead"/>
            </w:pPr>
            <w:r>
              <w:rPr>
                <w:bCs/>
                <w:color w:val="000000"/>
                <w:lang w:val="zh-CN"/>
              </w:rPr>
              <w:t>PP-22</w:t>
            </w:r>
            <w:proofErr w:type="spellStart"/>
            <w:r>
              <w:rPr>
                <w:bCs/>
                <w:color w:val="000000"/>
                <w:lang w:val="zh-CN"/>
              </w:rPr>
              <w:t>部门准成员数目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51C" w14:textId="77777777" w:rsidR="00476936" w:rsidRPr="004857E0" w:rsidRDefault="00476936" w:rsidP="00C15766">
            <w:pPr>
              <w:pStyle w:val="Tablehead"/>
              <w:rPr>
                <w:lang w:eastAsia="zh-CN"/>
              </w:rPr>
            </w:pPr>
            <w:r>
              <w:rPr>
                <w:bCs/>
                <w:color w:val="000000"/>
                <w:lang w:val="zh-CN" w:eastAsia="zh-CN"/>
              </w:rPr>
              <w:t>截至</w:t>
            </w:r>
            <w:r>
              <w:rPr>
                <w:bCs/>
                <w:color w:val="000000"/>
                <w:lang w:val="zh-CN" w:eastAsia="zh-CN"/>
              </w:rPr>
              <w:t>2025</w:t>
            </w:r>
            <w:r>
              <w:rPr>
                <w:bCs/>
                <w:color w:val="000000"/>
                <w:lang w:val="zh-CN" w:eastAsia="zh-CN"/>
              </w:rPr>
              <w:t>年</w:t>
            </w:r>
            <w:r>
              <w:rPr>
                <w:bCs/>
                <w:color w:val="000000"/>
                <w:lang w:val="zh-CN" w:eastAsia="zh-CN"/>
              </w:rPr>
              <w:t>2</w:t>
            </w:r>
            <w:r>
              <w:rPr>
                <w:bCs/>
                <w:color w:val="000000"/>
                <w:lang w:val="zh-CN" w:eastAsia="zh-CN"/>
              </w:rPr>
              <w:t>月</w:t>
            </w:r>
            <w:r>
              <w:rPr>
                <w:bCs/>
                <w:color w:val="000000"/>
                <w:lang w:val="zh-CN" w:eastAsia="zh-CN"/>
              </w:rPr>
              <w:t>28</w:t>
            </w:r>
            <w:r>
              <w:rPr>
                <w:bCs/>
                <w:color w:val="000000"/>
                <w:lang w:val="zh-CN" w:eastAsia="zh-CN"/>
              </w:rPr>
              <w:t>日的部门准成员数目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AA9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rFonts w:hint="eastAsia"/>
                <w:bCs/>
                <w:color w:val="000000"/>
                <w:lang w:val="zh-CN"/>
              </w:rPr>
              <w:t>差异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4AC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bCs/>
                <w:color w:val="000000"/>
                <w:lang w:val="zh-CN"/>
              </w:rPr>
              <w:t>差异</w:t>
            </w:r>
            <w:r>
              <w:rPr>
                <w:rFonts w:hint="eastAsia"/>
                <w:bCs/>
                <w:color w:val="000000"/>
                <w:lang w:val="zh-CN"/>
              </w:rPr>
              <w:t>百分比</w:t>
            </w:r>
            <w:proofErr w:type="spellEnd"/>
          </w:p>
        </w:tc>
      </w:tr>
      <w:tr w:rsidR="00476936" w:rsidRPr="004857E0" w14:paraId="03433360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A6C66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ITU-R</w:t>
            </w:r>
            <w:proofErr w:type="spellStart"/>
            <w:r>
              <w:rPr>
                <w:color w:val="000000"/>
                <w:lang w:val="zh-CN"/>
              </w:rPr>
              <w:t>部门准成员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6B2E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B3BB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D59D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C937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10%</w:t>
            </w:r>
          </w:p>
        </w:tc>
      </w:tr>
      <w:tr w:rsidR="00476936" w:rsidRPr="004857E0" w14:paraId="01CF9580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6AF09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</w:t>
            </w:r>
            <w:r>
              <w:rPr>
                <w:rFonts w:hint="eastAsia"/>
                <w:color w:val="000000"/>
                <w:lang w:val="zh-CN"/>
              </w:rPr>
              <w:t>T</w:t>
            </w:r>
            <w:proofErr w:type="spellStart"/>
            <w:r>
              <w:rPr>
                <w:color w:val="000000"/>
                <w:lang w:val="zh-CN"/>
              </w:rPr>
              <w:t>部门准成员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B8D9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3FBD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0682" w14:textId="77777777" w:rsidR="00476936" w:rsidRPr="004857E0" w:rsidRDefault="00476936" w:rsidP="00C15766">
            <w:pPr>
              <w:pStyle w:val="Tabletext"/>
              <w:jc w:val="center"/>
            </w:pPr>
            <w:r>
              <w:rPr>
                <w:rFonts w:cs="Calibri"/>
                <w:lang w:eastAsia="en-GB"/>
              </w:rPr>
              <w:t>−</w:t>
            </w:r>
            <w:r w:rsidRPr="004857E0">
              <w:rPr>
                <w:lang w:eastAsia="en-GB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2B0" w14:textId="77777777" w:rsidR="00476936" w:rsidRPr="004857E0" w:rsidRDefault="00476936" w:rsidP="00C15766">
            <w:pPr>
              <w:pStyle w:val="Tabletext"/>
              <w:jc w:val="center"/>
            </w:pPr>
            <w:r>
              <w:rPr>
                <w:rFonts w:cs="Calibri"/>
                <w:lang w:eastAsia="en-GB"/>
              </w:rPr>
              <w:t>−</w:t>
            </w:r>
            <w:r w:rsidRPr="004857E0">
              <w:rPr>
                <w:lang w:eastAsia="en-GB"/>
              </w:rPr>
              <w:t>11%</w:t>
            </w:r>
          </w:p>
        </w:tc>
      </w:tr>
      <w:tr w:rsidR="00476936" w:rsidRPr="004857E0" w14:paraId="38F11D36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6F0D9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ITU-D</w:t>
            </w:r>
            <w:proofErr w:type="spellStart"/>
            <w:r>
              <w:rPr>
                <w:color w:val="000000"/>
                <w:lang w:val="zh-CN"/>
              </w:rPr>
              <w:t>部门准成员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61CC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729F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41B6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B803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58%</w:t>
            </w:r>
          </w:p>
        </w:tc>
      </w:tr>
      <w:tr w:rsidR="00476936" w:rsidRPr="00B157E0" w14:paraId="7BADB393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A7D75" w14:textId="77777777" w:rsidR="00476936" w:rsidRPr="00B157E0" w:rsidRDefault="00476936" w:rsidP="00C15766">
            <w:pPr>
              <w:pStyle w:val="Tabletext"/>
              <w:jc w:val="right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lang w:val="zh-CN"/>
              </w:rPr>
              <w:t>合计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A700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194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9F5E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185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8FFF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rFonts w:cs="Calibri"/>
                <w:b/>
                <w:bCs/>
                <w:lang w:eastAsia="en-GB"/>
              </w:rPr>
              <w:t>−</w:t>
            </w:r>
            <w:r w:rsidRPr="00B157E0">
              <w:rPr>
                <w:b/>
                <w:bCs/>
                <w:lang w:eastAsia="en-GB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1FB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rFonts w:cs="Calibri"/>
                <w:b/>
                <w:bCs/>
                <w:lang w:eastAsia="en-GB"/>
              </w:rPr>
              <w:t>−</w:t>
            </w:r>
            <w:r w:rsidRPr="00B157E0">
              <w:rPr>
                <w:b/>
                <w:bCs/>
                <w:lang w:eastAsia="en-GB"/>
              </w:rPr>
              <w:t>5%</w:t>
            </w:r>
          </w:p>
        </w:tc>
      </w:tr>
      <w:tr w:rsidR="00476936" w:rsidRPr="004857E0" w14:paraId="43B78853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F13D9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5901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847CB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6F4B6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  <w:r w:rsidRPr="004857E0">
              <w:rPr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CC47" w14:textId="77777777" w:rsidR="00476936" w:rsidRPr="004857E0" w:rsidRDefault="00476936" w:rsidP="00C15766">
            <w:pPr>
              <w:pStyle w:val="Tabletext"/>
              <w:rPr>
                <w:lang w:eastAsia="en-GB"/>
              </w:rPr>
            </w:pPr>
          </w:p>
        </w:tc>
      </w:tr>
      <w:tr w:rsidR="00476936" w:rsidRPr="004857E0" w14:paraId="559DE5CB" w14:textId="77777777" w:rsidTr="00B14180">
        <w:trPr>
          <w:cantSplit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B65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rFonts w:hint="eastAsia"/>
                <w:bCs/>
                <w:color w:val="000000"/>
                <w:lang w:val="zh-CN"/>
              </w:rPr>
              <w:t>中小企业</w:t>
            </w:r>
            <w:r>
              <w:rPr>
                <w:bCs/>
                <w:color w:val="000000"/>
                <w:lang w:val="zh-CN"/>
              </w:rPr>
              <w:t>部门准成员</w:t>
            </w:r>
            <w:proofErr w:type="spellEnd"/>
            <w:r w:rsidRPr="00B157E0">
              <w:rPr>
                <w:sz w:val="20"/>
                <w:lang w:eastAsia="en-GB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A53" w14:textId="77777777" w:rsidR="00476936" w:rsidRPr="004857E0" w:rsidRDefault="00476936" w:rsidP="00C15766">
            <w:pPr>
              <w:pStyle w:val="Tablehead"/>
            </w:pPr>
            <w:r>
              <w:rPr>
                <w:bCs/>
                <w:color w:val="000000"/>
                <w:lang w:val="zh-CN"/>
              </w:rPr>
              <w:t>PP-22</w:t>
            </w:r>
            <w:proofErr w:type="spellStart"/>
            <w:r>
              <w:rPr>
                <w:bCs/>
                <w:color w:val="000000"/>
                <w:lang w:val="zh-CN"/>
              </w:rPr>
              <w:t>中小企业数</w:t>
            </w:r>
            <w:r>
              <w:rPr>
                <w:rFonts w:hint="eastAsia"/>
                <w:bCs/>
                <w:color w:val="000000"/>
                <w:lang w:val="zh-CN"/>
              </w:rPr>
              <w:t>目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D13" w14:textId="77777777" w:rsidR="00476936" w:rsidRPr="004857E0" w:rsidRDefault="00476936" w:rsidP="00C15766">
            <w:pPr>
              <w:pStyle w:val="Tablehead"/>
              <w:rPr>
                <w:lang w:eastAsia="zh-CN"/>
              </w:rPr>
            </w:pPr>
            <w:r>
              <w:rPr>
                <w:bCs/>
                <w:color w:val="000000"/>
                <w:lang w:val="zh-CN" w:eastAsia="zh-CN"/>
              </w:rPr>
              <w:t>截至</w:t>
            </w:r>
            <w:r>
              <w:rPr>
                <w:bCs/>
                <w:color w:val="000000"/>
                <w:lang w:val="zh-CN" w:eastAsia="zh-CN"/>
              </w:rPr>
              <w:t>2025</w:t>
            </w:r>
            <w:r>
              <w:rPr>
                <w:bCs/>
                <w:color w:val="000000"/>
                <w:lang w:val="zh-CN" w:eastAsia="zh-CN"/>
              </w:rPr>
              <w:t>年</w:t>
            </w:r>
            <w:r>
              <w:rPr>
                <w:bCs/>
                <w:color w:val="000000"/>
                <w:lang w:val="zh-CN" w:eastAsia="zh-CN"/>
              </w:rPr>
              <w:t>2</w:t>
            </w:r>
            <w:r>
              <w:rPr>
                <w:bCs/>
                <w:color w:val="000000"/>
                <w:lang w:val="zh-CN" w:eastAsia="zh-CN"/>
              </w:rPr>
              <w:t>月</w:t>
            </w:r>
            <w:r>
              <w:rPr>
                <w:bCs/>
                <w:color w:val="000000"/>
                <w:lang w:val="zh-CN" w:eastAsia="zh-CN"/>
              </w:rPr>
              <w:t>28</w:t>
            </w:r>
            <w:r>
              <w:rPr>
                <w:bCs/>
                <w:color w:val="000000"/>
                <w:lang w:val="zh-CN" w:eastAsia="zh-CN"/>
              </w:rPr>
              <w:t>日的中小企业数目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377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rFonts w:hint="eastAsia"/>
                <w:bCs/>
                <w:color w:val="000000"/>
                <w:lang w:val="zh-CN"/>
              </w:rPr>
              <w:t>差异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C5F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bCs/>
                <w:color w:val="000000"/>
                <w:lang w:val="zh-CN"/>
              </w:rPr>
              <w:t>差异</w:t>
            </w:r>
            <w:r>
              <w:rPr>
                <w:rFonts w:hint="eastAsia"/>
                <w:bCs/>
                <w:color w:val="000000"/>
                <w:lang w:val="zh-CN"/>
              </w:rPr>
              <w:t>百分比</w:t>
            </w:r>
            <w:proofErr w:type="spellEnd"/>
          </w:p>
        </w:tc>
      </w:tr>
      <w:tr w:rsidR="00476936" w:rsidRPr="004857E0" w14:paraId="6B45AB46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58247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ITU-R</w:t>
            </w:r>
            <w:proofErr w:type="spellStart"/>
            <w:r>
              <w:rPr>
                <w:color w:val="000000"/>
                <w:lang w:val="zh-CN"/>
              </w:rPr>
              <w:t>部门准成员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95FE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ED97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9C2A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6B9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11%</w:t>
            </w:r>
          </w:p>
        </w:tc>
      </w:tr>
      <w:tr w:rsidR="00476936" w:rsidRPr="004857E0" w14:paraId="55666E2C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94FD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</w:t>
            </w:r>
            <w:r>
              <w:rPr>
                <w:rFonts w:hint="eastAsia"/>
                <w:color w:val="000000"/>
                <w:lang w:val="zh-CN"/>
              </w:rPr>
              <w:t>T</w:t>
            </w:r>
            <w:proofErr w:type="spellStart"/>
            <w:r>
              <w:rPr>
                <w:color w:val="000000"/>
                <w:lang w:val="zh-CN"/>
              </w:rPr>
              <w:t>部门准成员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91CB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D12A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73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2FD7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4769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40%</w:t>
            </w:r>
          </w:p>
        </w:tc>
      </w:tr>
      <w:tr w:rsidR="00476936" w:rsidRPr="004857E0" w14:paraId="02CF6782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D5E75" w14:textId="77777777" w:rsidR="00476936" w:rsidRPr="004857E0" w:rsidRDefault="00476936" w:rsidP="00C15766">
            <w:pPr>
              <w:pStyle w:val="Tabletext"/>
            </w:pPr>
            <w:r>
              <w:rPr>
                <w:color w:val="000000"/>
                <w:lang w:val="zh-CN"/>
              </w:rPr>
              <w:t>ITU-D</w:t>
            </w:r>
            <w:proofErr w:type="spellStart"/>
            <w:r>
              <w:rPr>
                <w:color w:val="000000"/>
                <w:lang w:val="zh-CN"/>
              </w:rPr>
              <w:t>部门准成员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8B7E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2437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F160" w14:textId="77777777" w:rsidR="00476936" w:rsidRPr="004857E0" w:rsidRDefault="00476936" w:rsidP="00C15766">
            <w:pPr>
              <w:pStyle w:val="Tabletext"/>
              <w:jc w:val="center"/>
            </w:pPr>
            <w:r w:rsidRPr="004857E0">
              <w:rPr>
                <w:lang w:eastAsia="en-GB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CDD6" w14:textId="77777777" w:rsidR="00476936" w:rsidRPr="004857E0" w:rsidRDefault="00476936" w:rsidP="00C15766">
            <w:pPr>
              <w:pStyle w:val="Tabletext"/>
              <w:jc w:val="center"/>
            </w:pPr>
            <w:r>
              <w:rPr>
                <w:lang w:eastAsia="en-GB"/>
              </w:rPr>
              <w:t>–</w:t>
            </w:r>
          </w:p>
        </w:tc>
      </w:tr>
      <w:tr w:rsidR="00476936" w:rsidRPr="00B157E0" w14:paraId="25E35F12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294C1" w14:textId="77777777" w:rsidR="00476936" w:rsidRPr="00B157E0" w:rsidRDefault="00476936" w:rsidP="00C15766">
            <w:pPr>
              <w:pStyle w:val="Tabletext"/>
              <w:jc w:val="right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lang w:val="zh-CN"/>
              </w:rPr>
              <w:t>合计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A899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E96C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A708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CBB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 w:rsidRPr="00B157E0">
              <w:rPr>
                <w:b/>
                <w:bCs/>
                <w:lang w:eastAsia="en-GB"/>
              </w:rPr>
              <w:t>33%</w:t>
            </w:r>
          </w:p>
        </w:tc>
      </w:tr>
      <w:tr w:rsidR="00476936" w:rsidRPr="00B157E0" w14:paraId="3AECFC86" w14:textId="77777777" w:rsidTr="00C15766">
        <w:trPr>
          <w:cantSplit/>
          <w:jc w:val="center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306EA" w14:textId="44FE4E1F" w:rsidR="00476936" w:rsidRPr="00B157E0" w:rsidRDefault="00476936" w:rsidP="00C15766">
            <w:pPr>
              <w:pStyle w:val="Tablelegend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*</w:t>
            </w:r>
            <w:r w:rsidRPr="00C7439A">
              <w:rPr>
                <w:rFonts w:hint="eastAsia"/>
                <w:color w:val="000000"/>
                <w:lang w:val="zh-CN" w:eastAsia="zh-CN"/>
              </w:rPr>
              <w:t>第</w:t>
            </w:r>
            <w:r w:rsidRPr="00C7439A">
              <w:rPr>
                <w:rFonts w:hint="eastAsia"/>
                <w:color w:val="000000"/>
                <w:lang w:val="zh-CN" w:eastAsia="zh-CN"/>
              </w:rPr>
              <w:t>209</w:t>
            </w:r>
            <w:r w:rsidRPr="00C7439A">
              <w:rPr>
                <w:rFonts w:hint="eastAsia"/>
                <w:color w:val="000000"/>
                <w:lang w:val="zh-CN" w:eastAsia="zh-CN"/>
              </w:rPr>
              <w:t>号决议，</w:t>
            </w:r>
            <w:r w:rsidRPr="00C7439A">
              <w:rPr>
                <w:rFonts w:hint="eastAsia"/>
                <w:color w:val="000000"/>
                <w:lang w:val="zh-CN" w:eastAsia="zh-CN"/>
              </w:rPr>
              <w:t>2018</w:t>
            </w:r>
            <w:r w:rsidRPr="00C7439A">
              <w:rPr>
                <w:rFonts w:hint="eastAsia"/>
                <w:color w:val="000000"/>
                <w:lang w:val="zh-CN" w:eastAsia="zh-CN"/>
              </w:rPr>
              <w:t>年，迪拜</w:t>
            </w:r>
            <w:r w:rsidR="00B14180">
              <w:rPr>
                <w:color w:val="000000"/>
                <w:lang w:val="en-US" w:eastAsia="zh-CN"/>
              </w:rPr>
              <w:t xml:space="preserve"> </w:t>
            </w:r>
            <w:r w:rsidR="00B14180" w:rsidRPr="00B14180">
              <w:rPr>
                <w:color w:val="000000"/>
                <w:lang w:val="en-US" w:eastAsia="zh-CN"/>
              </w:rPr>
              <w:t>–</w:t>
            </w:r>
            <w:r w:rsidR="00B14180">
              <w:rPr>
                <w:color w:val="000000"/>
                <w:lang w:val="en-US" w:eastAsia="zh-CN"/>
              </w:rPr>
              <w:t xml:space="preserve"> </w:t>
            </w:r>
            <w:r w:rsidRPr="00C7439A">
              <w:rPr>
                <w:rFonts w:hint="eastAsia"/>
                <w:color w:val="000000"/>
                <w:lang w:val="zh-CN" w:eastAsia="zh-CN"/>
              </w:rPr>
              <w:t>中小企业作为部门准成员</w:t>
            </w:r>
            <w:r>
              <w:rPr>
                <w:rFonts w:hint="eastAsia"/>
                <w:color w:val="000000"/>
                <w:lang w:val="zh-CN" w:eastAsia="zh-CN"/>
              </w:rPr>
              <w:t>参加</w:t>
            </w:r>
            <w:r w:rsidRPr="00C7439A">
              <w:rPr>
                <w:rFonts w:hint="eastAsia"/>
                <w:color w:val="000000"/>
                <w:lang w:val="zh-CN" w:eastAsia="zh-CN"/>
              </w:rPr>
              <w:t>国际电联各部门</w:t>
            </w:r>
            <w:r>
              <w:rPr>
                <w:rFonts w:hint="eastAsia"/>
                <w:color w:val="000000"/>
                <w:lang w:val="zh-CN" w:eastAsia="zh-CN"/>
              </w:rPr>
              <w:t>活动的新情况</w:t>
            </w:r>
            <w:r>
              <w:rPr>
                <w:color w:val="000000"/>
                <w:lang w:val="zh-CN" w:eastAsia="zh-CN"/>
              </w:rPr>
              <w:t>。</w:t>
            </w:r>
          </w:p>
        </w:tc>
      </w:tr>
      <w:tr w:rsidR="00476936" w:rsidRPr="004857E0" w14:paraId="29441971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07F64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 w:rsidRPr="004857E0">
              <w:rPr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3E996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 w:rsidRPr="004857E0">
              <w:rPr>
                <w:color w:val="000000"/>
                <w:lang w:eastAsia="zh-CN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4D332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 w:rsidRPr="004857E0">
              <w:rPr>
                <w:color w:val="000000"/>
                <w:lang w:eastAsia="zh-CN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6E561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 w:rsidRPr="004857E0">
              <w:rPr>
                <w:color w:val="000000"/>
                <w:lang w:eastAsia="zh-C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A8745" w14:textId="77777777" w:rsidR="00476936" w:rsidRPr="004857E0" w:rsidRDefault="00476936" w:rsidP="00C15766">
            <w:pPr>
              <w:pStyle w:val="Tabletext"/>
              <w:rPr>
                <w:lang w:eastAsia="zh-CN"/>
              </w:rPr>
            </w:pPr>
            <w:r w:rsidRPr="004857E0">
              <w:rPr>
                <w:color w:val="000000"/>
                <w:lang w:eastAsia="zh-CN"/>
              </w:rPr>
              <w:t> </w:t>
            </w:r>
          </w:p>
        </w:tc>
      </w:tr>
      <w:tr w:rsidR="00476936" w:rsidRPr="004857E0" w14:paraId="7A681AD9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072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bCs/>
                <w:color w:val="000000"/>
                <w:lang w:val="zh-CN"/>
              </w:rPr>
              <w:t>学术机构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854" w14:textId="77777777" w:rsidR="00476936" w:rsidRPr="004857E0" w:rsidRDefault="00476936" w:rsidP="00C15766">
            <w:pPr>
              <w:pStyle w:val="Tablehead"/>
            </w:pPr>
            <w:r>
              <w:rPr>
                <w:bCs/>
                <w:color w:val="000000"/>
                <w:lang w:val="zh-CN"/>
              </w:rPr>
              <w:t>PP-22</w:t>
            </w:r>
            <w:proofErr w:type="spellStart"/>
            <w:r>
              <w:rPr>
                <w:bCs/>
                <w:color w:val="000000"/>
                <w:lang w:val="zh-CN"/>
              </w:rPr>
              <w:t>学术成员数</w:t>
            </w:r>
            <w:r>
              <w:rPr>
                <w:rFonts w:hint="eastAsia"/>
                <w:bCs/>
                <w:color w:val="000000"/>
                <w:lang w:val="zh-CN"/>
              </w:rPr>
              <w:t>目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9DC" w14:textId="77777777" w:rsidR="00476936" w:rsidRPr="004857E0" w:rsidRDefault="00476936" w:rsidP="00C15766">
            <w:pPr>
              <w:pStyle w:val="Tablehead"/>
              <w:rPr>
                <w:lang w:eastAsia="zh-CN"/>
              </w:rPr>
            </w:pPr>
            <w:r>
              <w:rPr>
                <w:bCs/>
                <w:color w:val="000000"/>
                <w:lang w:val="zh-CN" w:eastAsia="zh-CN"/>
              </w:rPr>
              <w:t>截至</w:t>
            </w:r>
            <w:r>
              <w:rPr>
                <w:bCs/>
                <w:color w:val="000000"/>
                <w:lang w:val="zh-CN" w:eastAsia="zh-CN"/>
              </w:rPr>
              <w:t>2025</w:t>
            </w:r>
            <w:r>
              <w:rPr>
                <w:bCs/>
                <w:color w:val="000000"/>
                <w:lang w:val="zh-CN" w:eastAsia="zh-CN"/>
              </w:rPr>
              <w:t>年</w:t>
            </w:r>
            <w:r>
              <w:rPr>
                <w:bCs/>
                <w:color w:val="000000"/>
                <w:lang w:val="zh-CN" w:eastAsia="zh-CN"/>
              </w:rPr>
              <w:t>2</w:t>
            </w:r>
            <w:r>
              <w:rPr>
                <w:bCs/>
                <w:color w:val="000000"/>
                <w:lang w:val="zh-CN" w:eastAsia="zh-CN"/>
              </w:rPr>
              <w:t>月</w:t>
            </w:r>
            <w:r>
              <w:rPr>
                <w:bCs/>
                <w:color w:val="000000"/>
                <w:lang w:val="zh-CN" w:eastAsia="zh-CN"/>
              </w:rPr>
              <w:t>28</w:t>
            </w:r>
            <w:r>
              <w:rPr>
                <w:bCs/>
                <w:color w:val="000000"/>
                <w:lang w:val="zh-CN" w:eastAsia="zh-CN"/>
              </w:rPr>
              <w:t>日的学术成员数</w:t>
            </w:r>
            <w:r>
              <w:rPr>
                <w:rFonts w:hint="eastAsia"/>
                <w:bCs/>
                <w:color w:val="000000"/>
                <w:lang w:val="zh-CN" w:eastAsia="zh-CN"/>
              </w:rPr>
              <w:t>目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15F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rFonts w:hint="eastAsia"/>
                <w:bCs/>
                <w:color w:val="000000"/>
                <w:lang w:val="zh-CN"/>
              </w:rPr>
              <w:t>差异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1D3" w14:textId="77777777" w:rsidR="00476936" w:rsidRPr="004857E0" w:rsidRDefault="00476936" w:rsidP="00C15766">
            <w:pPr>
              <w:pStyle w:val="Tablehead"/>
            </w:pPr>
            <w:proofErr w:type="spellStart"/>
            <w:r>
              <w:rPr>
                <w:bCs/>
                <w:color w:val="000000"/>
                <w:lang w:val="zh-CN"/>
              </w:rPr>
              <w:t>差异</w:t>
            </w:r>
            <w:r>
              <w:rPr>
                <w:rFonts w:hint="eastAsia"/>
                <w:bCs/>
                <w:color w:val="000000"/>
                <w:lang w:val="zh-CN"/>
              </w:rPr>
              <w:t>百分比</w:t>
            </w:r>
            <w:proofErr w:type="spellEnd"/>
          </w:p>
        </w:tc>
      </w:tr>
      <w:tr w:rsidR="00476936" w:rsidRPr="00B157E0" w14:paraId="5B687B9E" w14:textId="77777777" w:rsidTr="00B14180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AF6D0" w14:textId="77777777" w:rsidR="00476936" w:rsidRPr="00B157E0" w:rsidRDefault="00476936" w:rsidP="00C15766">
            <w:pPr>
              <w:pStyle w:val="Tabletext"/>
              <w:jc w:val="right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lang w:val="zh-CN"/>
              </w:rPr>
              <w:t>合计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4655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val="zh-CN"/>
              </w:rPr>
              <w:t>151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EA45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val="zh-CN"/>
              </w:rPr>
              <w:t>162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262C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val="zh-CN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5EF" w14:textId="77777777" w:rsidR="00476936" w:rsidRPr="00B157E0" w:rsidRDefault="00476936" w:rsidP="00C15766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val="zh-CN"/>
              </w:rPr>
              <w:t>7%</w:t>
            </w:r>
          </w:p>
        </w:tc>
      </w:tr>
    </w:tbl>
    <w:p w14:paraId="10761140" w14:textId="77777777" w:rsidR="00476936" w:rsidRPr="00C0458D" w:rsidRDefault="00476936" w:rsidP="00476936">
      <w:pPr>
        <w:spacing w:before="480"/>
        <w:jc w:val="center"/>
      </w:pPr>
      <w:r>
        <w:rPr>
          <w:lang w:val="zh-CN"/>
        </w:rPr>
        <w:t>______________</w:t>
      </w:r>
    </w:p>
    <w:sectPr w:rsidR="00476936" w:rsidRPr="00C0458D" w:rsidSect="00E24D59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9FA8" w14:textId="77777777" w:rsidR="00B218E9" w:rsidRDefault="00B218E9">
      <w:r>
        <w:separator/>
      </w:r>
    </w:p>
  </w:endnote>
  <w:endnote w:type="continuationSeparator" w:id="0">
    <w:p w14:paraId="2438F909" w14:textId="77777777" w:rsidR="00B218E9" w:rsidRDefault="00B2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77777777" w:rsidR="00E24D59" w:rsidRPr="00A13406" w:rsidRDefault="00A13406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#gDoc</w:t>
          </w:r>
        </w:p>
      </w:tc>
      <w:tc>
        <w:tcPr>
          <w:tcW w:w="8261" w:type="dxa"/>
        </w:tcPr>
        <w:p w14:paraId="4BD8989B" w14:textId="6D8283AF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5B4BF7">
            <w:rPr>
              <w:bCs/>
              <w:color w:val="808080" w:themeColor="background1" w:themeShade="80"/>
            </w:rPr>
            <w:t>54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61B09A19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ED7EBA">
            <w:rPr>
              <w:bCs/>
              <w:color w:val="808080" w:themeColor="background1" w:themeShade="80"/>
            </w:rPr>
            <w:t>54</w:t>
          </w:r>
          <w:r w:rsidR="00766FBF">
            <w:rPr>
              <w:bCs/>
              <w:color w:val="808080" w:themeColor="background1" w:themeShade="80"/>
            </w:rPr>
            <w:t>-</w:t>
          </w:r>
          <w:r w:rsidRPr="003F086E">
            <w:rPr>
              <w:bCs/>
              <w:color w:val="808080" w:themeColor="background1" w:themeShade="80"/>
            </w:rPr>
            <w:t>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6366" w14:textId="77777777" w:rsidR="00B218E9" w:rsidRDefault="00B218E9">
      <w:r>
        <w:t>____________________</w:t>
      </w:r>
    </w:p>
  </w:footnote>
  <w:footnote w:type="continuationSeparator" w:id="0">
    <w:p w14:paraId="35806572" w14:textId="77777777" w:rsidR="00B218E9" w:rsidRDefault="00B2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853C0"/>
    <w:rsid w:val="00093DD9"/>
    <w:rsid w:val="0009409E"/>
    <w:rsid w:val="000A1C21"/>
    <w:rsid w:val="000C0BC5"/>
    <w:rsid w:val="000D15EA"/>
    <w:rsid w:val="000D7012"/>
    <w:rsid w:val="00100D84"/>
    <w:rsid w:val="001113B9"/>
    <w:rsid w:val="00124C9D"/>
    <w:rsid w:val="001305DE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80EB8"/>
    <w:rsid w:val="0029345E"/>
    <w:rsid w:val="002A6670"/>
    <w:rsid w:val="002C3F32"/>
    <w:rsid w:val="00303502"/>
    <w:rsid w:val="00325C25"/>
    <w:rsid w:val="00326DEF"/>
    <w:rsid w:val="00372C8F"/>
    <w:rsid w:val="00380ECE"/>
    <w:rsid w:val="00393DDF"/>
    <w:rsid w:val="00397F55"/>
    <w:rsid w:val="003A65DE"/>
    <w:rsid w:val="003B4454"/>
    <w:rsid w:val="003C2E37"/>
    <w:rsid w:val="003F086E"/>
    <w:rsid w:val="003F1415"/>
    <w:rsid w:val="0040144C"/>
    <w:rsid w:val="00403EB7"/>
    <w:rsid w:val="004178E6"/>
    <w:rsid w:val="00430BF0"/>
    <w:rsid w:val="00457BC3"/>
    <w:rsid w:val="004672E6"/>
    <w:rsid w:val="00474ED1"/>
    <w:rsid w:val="00476936"/>
    <w:rsid w:val="00477D57"/>
    <w:rsid w:val="00491BA9"/>
    <w:rsid w:val="00493085"/>
    <w:rsid w:val="004A36EC"/>
    <w:rsid w:val="004D163F"/>
    <w:rsid w:val="004E4BFF"/>
    <w:rsid w:val="004F2598"/>
    <w:rsid w:val="00520DC1"/>
    <w:rsid w:val="005403F7"/>
    <w:rsid w:val="00540632"/>
    <w:rsid w:val="00541CF4"/>
    <w:rsid w:val="005451E8"/>
    <w:rsid w:val="005507F2"/>
    <w:rsid w:val="005759CC"/>
    <w:rsid w:val="005A72E1"/>
    <w:rsid w:val="005B4BF7"/>
    <w:rsid w:val="005C341E"/>
    <w:rsid w:val="005C6632"/>
    <w:rsid w:val="005D1C9E"/>
    <w:rsid w:val="00606B22"/>
    <w:rsid w:val="00630DD5"/>
    <w:rsid w:val="00637584"/>
    <w:rsid w:val="00641A01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66FBF"/>
    <w:rsid w:val="0077110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57F89"/>
    <w:rsid w:val="0086059C"/>
    <w:rsid w:val="00864589"/>
    <w:rsid w:val="00874C82"/>
    <w:rsid w:val="00890AFB"/>
    <w:rsid w:val="00890FC4"/>
    <w:rsid w:val="00895905"/>
    <w:rsid w:val="008F64AD"/>
    <w:rsid w:val="00911230"/>
    <w:rsid w:val="00911867"/>
    <w:rsid w:val="009164A9"/>
    <w:rsid w:val="009258CB"/>
    <w:rsid w:val="0093362E"/>
    <w:rsid w:val="00944563"/>
    <w:rsid w:val="00953160"/>
    <w:rsid w:val="00956144"/>
    <w:rsid w:val="009625D8"/>
    <w:rsid w:val="00983878"/>
    <w:rsid w:val="0098459B"/>
    <w:rsid w:val="00997185"/>
    <w:rsid w:val="009A2AD6"/>
    <w:rsid w:val="009C2458"/>
    <w:rsid w:val="009C4A7B"/>
    <w:rsid w:val="009C6123"/>
    <w:rsid w:val="009F1E3E"/>
    <w:rsid w:val="00A1213C"/>
    <w:rsid w:val="00A13406"/>
    <w:rsid w:val="00A272FF"/>
    <w:rsid w:val="00A5354B"/>
    <w:rsid w:val="00A71B57"/>
    <w:rsid w:val="00AB42C1"/>
    <w:rsid w:val="00AC516F"/>
    <w:rsid w:val="00AD0919"/>
    <w:rsid w:val="00AE195F"/>
    <w:rsid w:val="00AE2926"/>
    <w:rsid w:val="00B0184B"/>
    <w:rsid w:val="00B035CD"/>
    <w:rsid w:val="00B0769D"/>
    <w:rsid w:val="00B14180"/>
    <w:rsid w:val="00B217F8"/>
    <w:rsid w:val="00B218E9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F416B"/>
    <w:rsid w:val="00C41FAD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299D"/>
    <w:rsid w:val="00CE6F22"/>
    <w:rsid w:val="00CF2FB2"/>
    <w:rsid w:val="00CF41F6"/>
    <w:rsid w:val="00CF7D3E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C2B6D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67C67"/>
    <w:rsid w:val="00E77476"/>
    <w:rsid w:val="00E8228B"/>
    <w:rsid w:val="00E97582"/>
    <w:rsid w:val="00ED7EBA"/>
    <w:rsid w:val="00EE4FB5"/>
    <w:rsid w:val="00EE5706"/>
    <w:rsid w:val="00EF373D"/>
    <w:rsid w:val="00F10D5B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uiPriority w:val="99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CWGSFP2-C-0007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DEC-005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stitution-E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2772</Words>
  <Characters>3526</Characters>
  <Application>Microsoft Office Word</Application>
  <DocSecurity>0</DocSecurity>
  <Lines>590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amount of the contributory unit</vt:lpstr>
    </vt:vector>
  </TitlesOfParts>
  <Manager>General Secretariat - Pool</Manager>
  <Company>International Telecommunication Union (ITU)</Company>
  <LinksUpToDate>false</LinksUpToDate>
  <CharactersWithSpaces>3569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ITU Council 2025</dc:subject>
  <cp:keywords>C2025, C25, Council-25</cp:keywords>
  <dc:description/>
  <cp:lastPrinted>2015-02-24T13:23:00Z</cp:lastPrinted>
  <dcterms:created xsi:type="dcterms:W3CDTF">2025-06-17T15:25:00Z</dcterms:created>
  <dcterms:modified xsi:type="dcterms:W3CDTF">2025-06-17T15:53:00Z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