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A1197A" w:rsidRPr="00813E5E" w14:paraId="775DC796" w14:textId="77777777" w:rsidTr="00DA770A">
        <w:trPr>
          <w:cantSplit/>
          <w:trHeight w:val="23"/>
        </w:trPr>
        <w:tc>
          <w:tcPr>
            <w:tcW w:w="3969" w:type="dxa"/>
            <w:vMerge w:val="restart"/>
            <w:tcMar>
              <w:left w:w="0" w:type="dxa"/>
            </w:tcMar>
          </w:tcPr>
          <w:p w14:paraId="202FBDFA" w14:textId="58012DA1" w:rsidR="00A1197A" w:rsidRPr="00E85629" w:rsidRDefault="00A1197A" w:rsidP="00A1197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proofErr w:type="spellStart"/>
            <w:r w:rsidRPr="0033025A">
              <w:rPr>
                <w:b/>
              </w:rPr>
              <w:t>Пункт</w:t>
            </w:r>
            <w:proofErr w:type="spellEnd"/>
            <w:r w:rsidRPr="0033025A">
              <w:rPr>
                <w:b/>
              </w:rPr>
              <w:t xml:space="preserve"> </w:t>
            </w:r>
            <w:proofErr w:type="spellStart"/>
            <w:r w:rsidRPr="0033025A">
              <w:rPr>
                <w:b/>
              </w:rPr>
              <w:t>повестки</w:t>
            </w:r>
            <w:proofErr w:type="spellEnd"/>
            <w:r w:rsidRPr="0033025A">
              <w:rPr>
                <w:b/>
              </w:rPr>
              <w:t xml:space="preserve"> </w:t>
            </w:r>
            <w:proofErr w:type="spellStart"/>
            <w:r w:rsidRPr="0033025A">
              <w:rPr>
                <w:b/>
              </w:rPr>
              <w:t>дня</w:t>
            </w:r>
            <w:proofErr w:type="spellEnd"/>
            <w:r w:rsidRPr="0033025A">
              <w:rPr>
                <w:b/>
              </w:rPr>
              <w:t>:</w:t>
            </w:r>
            <w:r w:rsidRPr="006E7941">
              <w:rPr>
                <w:rFonts w:asciiTheme="minorHAnsi" w:hAnsiTheme="minorHAnsi" w:cstheme="minorHAnsi"/>
                <w:b/>
                <w:szCs w:val="18"/>
              </w:rPr>
              <w:t xml:space="preserve"> PL 2</w:t>
            </w:r>
          </w:p>
        </w:tc>
        <w:tc>
          <w:tcPr>
            <w:tcW w:w="5245" w:type="dxa"/>
          </w:tcPr>
          <w:p w14:paraId="6297DF48" w14:textId="39B91856" w:rsidR="00A1197A" w:rsidRPr="00E85629" w:rsidRDefault="00A1197A" w:rsidP="00A1197A">
            <w:pPr>
              <w:tabs>
                <w:tab w:val="left" w:pos="851"/>
              </w:tabs>
              <w:spacing w:before="0" w:line="240" w:lineRule="atLeast"/>
              <w:jc w:val="right"/>
              <w:rPr>
                <w:b/>
              </w:rPr>
            </w:pPr>
            <w:r w:rsidRPr="006E7941">
              <w:rPr>
                <w:rFonts w:asciiTheme="minorHAnsi" w:hAnsiTheme="minorHAnsi" w:cstheme="minorHAnsi"/>
                <w:b/>
                <w:szCs w:val="22"/>
              </w:rPr>
              <w:t>Документ C25/52-R</w:t>
            </w:r>
          </w:p>
        </w:tc>
      </w:tr>
      <w:tr w:rsidR="00A1197A" w:rsidRPr="00813E5E" w14:paraId="0854DEA9" w14:textId="77777777" w:rsidTr="00DA770A">
        <w:trPr>
          <w:cantSplit/>
        </w:trPr>
        <w:tc>
          <w:tcPr>
            <w:tcW w:w="3969" w:type="dxa"/>
            <w:vMerge/>
          </w:tcPr>
          <w:p w14:paraId="63BEBE0D" w14:textId="77777777" w:rsidR="00A1197A" w:rsidRPr="00813E5E" w:rsidRDefault="00A1197A" w:rsidP="00A1197A">
            <w:pPr>
              <w:tabs>
                <w:tab w:val="left" w:pos="851"/>
              </w:tabs>
              <w:spacing w:line="240" w:lineRule="atLeast"/>
              <w:rPr>
                <w:b/>
              </w:rPr>
            </w:pPr>
            <w:bookmarkStart w:id="3" w:name="ddate" w:colFirst="1" w:colLast="1"/>
            <w:bookmarkEnd w:id="0"/>
            <w:bookmarkEnd w:id="1"/>
          </w:p>
        </w:tc>
        <w:tc>
          <w:tcPr>
            <w:tcW w:w="5245" w:type="dxa"/>
          </w:tcPr>
          <w:p w14:paraId="278DDC9B" w14:textId="4C08B0B2" w:rsidR="00A1197A" w:rsidRPr="00E85629" w:rsidRDefault="00A1197A" w:rsidP="00A1197A">
            <w:pPr>
              <w:tabs>
                <w:tab w:val="left" w:pos="851"/>
              </w:tabs>
              <w:spacing w:before="0"/>
              <w:jc w:val="right"/>
              <w:rPr>
                <w:b/>
              </w:rPr>
            </w:pPr>
            <w:r w:rsidRPr="006E7941">
              <w:rPr>
                <w:rFonts w:asciiTheme="minorHAnsi" w:hAnsiTheme="minorHAnsi" w:cstheme="minorHAnsi"/>
                <w:b/>
                <w:szCs w:val="22"/>
              </w:rPr>
              <w:t>16</w:t>
            </w:r>
            <w:r>
              <w:rPr>
                <w:rFonts w:asciiTheme="minorHAnsi" w:hAnsiTheme="minorHAnsi" w:cstheme="minorHAnsi"/>
                <w:b/>
                <w:szCs w:val="22"/>
              </w:rPr>
              <w:t xml:space="preserve"> </w:t>
            </w:r>
            <w:r w:rsidRPr="006E7941">
              <w:rPr>
                <w:rFonts w:asciiTheme="minorHAnsi" w:hAnsiTheme="minorHAnsi" w:cstheme="minorHAnsi"/>
                <w:b/>
                <w:szCs w:val="22"/>
              </w:rPr>
              <w:t>мая 2025 года</w:t>
            </w:r>
          </w:p>
        </w:tc>
      </w:tr>
      <w:bookmarkEnd w:id="3"/>
      <w:tr w:rsidR="00A1197A" w:rsidRPr="00813E5E" w14:paraId="0D05E1B6" w14:textId="77777777" w:rsidTr="00DA770A">
        <w:trPr>
          <w:cantSplit/>
          <w:trHeight w:val="23"/>
        </w:trPr>
        <w:tc>
          <w:tcPr>
            <w:tcW w:w="3969" w:type="dxa"/>
            <w:vMerge/>
          </w:tcPr>
          <w:p w14:paraId="3AEE9D49" w14:textId="77777777" w:rsidR="00A1197A" w:rsidRPr="00813E5E" w:rsidRDefault="00A1197A" w:rsidP="00A1197A">
            <w:pPr>
              <w:tabs>
                <w:tab w:val="left" w:pos="851"/>
              </w:tabs>
              <w:spacing w:line="240" w:lineRule="atLeast"/>
              <w:rPr>
                <w:b/>
              </w:rPr>
            </w:pPr>
          </w:p>
        </w:tc>
        <w:tc>
          <w:tcPr>
            <w:tcW w:w="5245" w:type="dxa"/>
          </w:tcPr>
          <w:p w14:paraId="6F14D395" w14:textId="30E97932" w:rsidR="00A1197A" w:rsidRPr="00E85629" w:rsidRDefault="00A1197A" w:rsidP="00A1197A">
            <w:pPr>
              <w:tabs>
                <w:tab w:val="left" w:pos="851"/>
              </w:tabs>
              <w:spacing w:before="0" w:line="240" w:lineRule="atLeast"/>
              <w:jc w:val="right"/>
              <w:rPr>
                <w:b/>
              </w:rPr>
            </w:pPr>
            <w:r w:rsidRPr="006E7941">
              <w:rPr>
                <w:rFonts w:asciiTheme="minorHAnsi" w:hAnsiTheme="minorHAnsi" w:cstheme="minorHAnsi"/>
                <w:b/>
                <w:szCs w:val="22"/>
              </w:rPr>
              <w:t>Оригинал: английский</w:t>
            </w:r>
          </w:p>
        </w:tc>
      </w:tr>
      <w:tr w:rsidR="00796BD3" w:rsidRPr="00813E5E" w14:paraId="6D07D0CD" w14:textId="77777777" w:rsidTr="00DA770A">
        <w:trPr>
          <w:cantSplit/>
          <w:trHeight w:val="23"/>
        </w:trPr>
        <w:tc>
          <w:tcPr>
            <w:tcW w:w="3969" w:type="dxa"/>
          </w:tcPr>
          <w:p w14:paraId="35B0A9DB" w14:textId="77777777" w:rsidR="00796BD3" w:rsidRPr="00813E5E" w:rsidRDefault="00796BD3" w:rsidP="00DA770A">
            <w:pPr>
              <w:tabs>
                <w:tab w:val="left" w:pos="851"/>
              </w:tabs>
              <w:spacing w:line="240" w:lineRule="atLeast"/>
              <w:rPr>
                <w:b/>
              </w:rPr>
            </w:pPr>
            <w:bookmarkStart w:id="4" w:name="dorlang" w:colFirst="1" w:colLast="1"/>
          </w:p>
        </w:tc>
        <w:tc>
          <w:tcPr>
            <w:tcW w:w="5245" w:type="dxa"/>
          </w:tcPr>
          <w:p w14:paraId="55710CE0" w14:textId="77777777" w:rsidR="00796BD3" w:rsidRDefault="00796BD3" w:rsidP="00DA770A">
            <w:pPr>
              <w:tabs>
                <w:tab w:val="left" w:pos="851"/>
              </w:tabs>
              <w:spacing w:before="0" w:line="240" w:lineRule="atLeast"/>
              <w:jc w:val="right"/>
              <w:rPr>
                <w:b/>
              </w:rPr>
            </w:pPr>
          </w:p>
        </w:tc>
      </w:tr>
      <w:tr w:rsidR="00796BD3" w:rsidRPr="00813E5E" w14:paraId="07418437" w14:textId="77777777" w:rsidTr="00DA770A">
        <w:trPr>
          <w:cantSplit/>
        </w:trPr>
        <w:tc>
          <w:tcPr>
            <w:tcW w:w="9214" w:type="dxa"/>
            <w:gridSpan w:val="2"/>
            <w:tcMar>
              <w:left w:w="0" w:type="dxa"/>
            </w:tcMar>
          </w:tcPr>
          <w:p w14:paraId="5FE24A19" w14:textId="77777777" w:rsidR="00796BD3" w:rsidRPr="00672F8A" w:rsidRDefault="0033025A" w:rsidP="00DA770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813E5E" w14:paraId="1C2D969E" w14:textId="77777777" w:rsidTr="00DA770A">
        <w:trPr>
          <w:cantSplit/>
        </w:trPr>
        <w:tc>
          <w:tcPr>
            <w:tcW w:w="9214" w:type="dxa"/>
            <w:gridSpan w:val="2"/>
            <w:tcMar>
              <w:left w:w="0" w:type="dxa"/>
            </w:tcMar>
          </w:tcPr>
          <w:p w14:paraId="7779F15E" w14:textId="659466E4" w:rsidR="00796BD3" w:rsidRPr="00A1197A" w:rsidRDefault="00A1197A" w:rsidP="00731B05">
            <w:pPr>
              <w:pStyle w:val="Subtitle"/>
              <w:framePr w:hSpace="0" w:wrap="auto" w:hAnchor="text" w:xAlign="left" w:yAlign="inline"/>
              <w:rPr>
                <w:sz w:val="32"/>
                <w:szCs w:val="32"/>
              </w:rPr>
            </w:pPr>
            <w:bookmarkStart w:id="6" w:name="_Hlk194995037"/>
            <w:bookmarkStart w:id="7" w:name="dtitle1" w:colFirst="0" w:colLast="0"/>
            <w:bookmarkEnd w:id="5"/>
            <w:r w:rsidRPr="00A1197A">
              <w:rPr>
                <w:rFonts w:asciiTheme="minorHAnsi" w:eastAsia="Malgun Gothic" w:hAnsiTheme="minorHAnsi" w:cstheme="minorHAnsi"/>
                <w:sz w:val="32"/>
                <w:szCs w:val="32"/>
                <w:lang w:val="ru-RU" w:eastAsia="ko-KR"/>
              </w:rPr>
              <w:t xml:space="preserve">Обновленная информация о Плане </w:t>
            </w:r>
            <w:r w:rsidRPr="00A1197A">
              <w:rPr>
                <w:rFonts w:asciiTheme="minorHAnsi" w:hAnsiTheme="minorHAnsi" w:cstheme="minorHAnsi"/>
                <w:sz w:val="32"/>
                <w:szCs w:val="32"/>
                <w:lang w:val="ru-RU"/>
              </w:rPr>
              <w:t>действий МСЭ по</w:t>
            </w:r>
            <w:r w:rsidRPr="00A1197A">
              <w:rPr>
                <w:rFonts w:asciiTheme="minorHAnsi" w:hAnsiTheme="minorHAnsi" w:cstheme="minorHAnsi"/>
                <w:sz w:val="32"/>
                <w:szCs w:val="32"/>
              </w:rPr>
              <w:t> </w:t>
            </w:r>
            <w:r w:rsidRPr="00A1197A">
              <w:rPr>
                <w:rFonts w:asciiTheme="minorHAnsi" w:hAnsiTheme="minorHAnsi" w:cstheme="minorHAnsi"/>
                <w:sz w:val="32"/>
                <w:szCs w:val="32"/>
                <w:lang w:val="ru-RU"/>
              </w:rPr>
              <w:t xml:space="preserve">осуществлению </w:t>
            </w:r>
            <w:r w:rsidRPr="00A1197A">
              <w:rPr>
                <w:rFonts w:asciiTheme="minorHAnsi" w:hAnsiTheme="minorHAnsi" w:cstheme="minorHAnsi"/>
                <w:sz w:val="32"/>
                <w:szCs w:val="32"/>
              </w:rPr>
              <w:t>Глобального цифрового договора</w:t>
            </w:r>
            <w:bookmarkEnd w:id="6"/>
          </w:p>
        </w:tc>
      </w:tr>
      <w:tr w:rsidR="00796BD3" w:rsidRPr="00637AED" w14:paraId="64320A14" w14:textId="77777777" w:rsidTr="00637AED">
        <w:trPr>
          <w:cantSplit/>
          <w:trHeight w:val="5375"/>
        </w:trPr>
        <w:tc>
          <w:tcPr>
            <w:tcW w:w="9214" w:type="dxa"/>
            <w:gridSpan w:val="2"/>
            <w:tcBorders>
              <w:top w:val="single" w:sz="4" w:space="0" w:color="auto"/>
              <w:bottom w:val="single" w:sz="4" w:space="0" w:color="auto"/>
            </w:tcBorders>
            <w:tcMar>
              <w:left w:w="0" w:type="dxa"/>
            </w:tcMar>
          </w:tcPr>
          <w:p w14:paraId="1BF7DB6E" w14:textId="75B8E7CF" w:rsidR="00796BD3" w:rsidRPr="00637AED" w:rsidRDefault="0033025A" w:rsidP="00DA770A">
            <w:pPr>
              <w:spacing w:before="160"/>
              <w:rPr>
                <w:b/>
                <w:bCs/>
                <w:sz w:val="24"/>
                <w:szCs w:val="24"/>
                <w:lang w:val="ru-RU"/>
              </w:rPr>
            </w:pPr>
            <w:r w:rsidRPr="00D631AA">
              <w:rPr>
                <w:b/>
                <w:bCs/>
                <w:sz w:val="24"/>
                <w:szCs w:val="24"/>
                <w:lang w:val="ru-RU"/>
              </w:rPr>
              <w:t>Назначение</w:t>
            </w:r>
          </w:p>
          <w:p w14:paraId="0EA9CF00" w14:textId="6D877A63" w:rsidR="00796BD3" w:rsidRPr="00A1197A" w:rsidRDefault="00A1197A" w:rsidP="00A1197A">
            <w:pPr>
              <w:rPr>
                <w:lang w:val="ru-RU"/>
              </w:rPr>
            </w:pPr>
            <w:r w:rsidRPr="00A1197A">
              <w:rPr>
                <w:lang w:val="ru-RU"/>
              </w:rPr>
              <w:t>Цель настоящего документа – представить обновленную информацию о Плане действий МСЭ и его текущей деятельности в поддержку осуществления Глобального цифрового договора.</w:t>
            </w:r>
          </w:p>
          <w:p w14:paraId="2376E3C8" w14:textId="77777777" w:rsidR="00796BD3" w:rsidRPr="00D631AA" w:rsidRDefault="0033025A" w:rsidP="00DA770A">
            <w:pPr>
              <w:spacing w:before="160"/>
              <w:rPr>
                <w:b/>
                <w:bCs/>
                <w:sz w:val="24"/>
                <w:szCs w:val="24"/>
                <w:lang w:val="ru-RU"/>
              </w:rPr>
            </w:pPr>
            <w:r w:rsidRPr="00D631AA">
              <w:rPr>
                <w:b/>
                <w:bCs/>
                <w:sz w:val="24"/>
                <w:szCs w:val="24"/>
                <w:lang w:val="ru-RU"/>
              </w:rPr>
              <w:t>Необходимые действия Совета</w:t>
            </w:r>
          </w:p>
          <w:p w14:paraId="230D2CA6" w14:textId="43751E44" w:rsidR="00796BD3" w:rsidRPr="00A1197A" w:rsidRDefault="00A1197A" w:rsidP="00A1197A">
            <w:pPr>
              <w:rPr>
                <w:lang w:val="ru-RU"/>
              </w:rPr>
            </w:pPr>
            <w:r w:rsidRPr="00A1197A">
              <w:rPr>
                <w:lang w:val="ru-RU" w:eastAsia="ko-KR"/>
              </w:rPr>
              <w:t xml:space="preserve">Совету предлагается </w:t>
            </w:r>
            <w:r w:rsidRPr="00A1197A">
              <w:rPr>
                <w:b/>
                <w:bCs/>
                <w:lang w:val="ru-RU" w:eastAsia="ko-KR"/>
              </w:rPr>
              <w:t>принять к сведению</w:t>
            </w:r>
            <w:r w:rsidRPr="00A1197A">
              <w:rPr>
                <w:lang w:val="ru-RU" w:eastAsia="ko-KR"/>
              </w:rPr>
              <w:t xml:space="preserve"> настоящий документ</w:t>
            </w:r>
            <w:r w:rsidRPr="00A1197A">
              <w:rPr>
                <w:lang w:val="ru-RU"/>
              </w:rPr>
              <w:t>.</w:t>
            </w:r>
          </w:p>
          <w:p w14:paraId="4B76B099" w14:textId="77777777" w:rsidR="00796BD3" w:rsidRPr="00D631AA" w:rsidRDefault="0033025A" w:rsidP="00DA770A">
            <w:pPr>
              <w:spacing w:before="160"/>
              <w:rPr>
                <w:b/>
                <w:bCs/>
                <w:sz w:val="24"/>
                <w:szCs w:val="24"/>
                <w:lang w:val="ru-RU"/>
              </w:rPr>
            </w:pPr>
            <w:r w:rsidRPr="00D631AA">
              <w:rPr>
                <w:b/>
                <w:bCs/>
                <w:sz w:val="24"/>
                <w:szCs w:val="24"/>
                <w:lang w:val="ru-RU"/>
              </w:rPr>
              <w:t>Соответствующая увязка со Стратегическим планом</w:t>
            </w:r>
          </w:p>
          <w:p w14:paraId="2361C4AF" w14:textId="6088C8B2" w:rsidR="00796BD3" w:rsidRPr="00A1197A" w:rsidRDefault="00A1197A" w:rsidP="00A1197A">
            <w:pPr>
              <w:rPr>
                <w:lang w:val="ru-RU"/>
              </w:rPr>
            </w:pPr>
            <w:r w:rsidRPr="00A1197A">
              <w:rPr>
                <w:lang w:val="ru-RU"/>
              </w:rPr>
              <w:t>Партнерские отношения и международное сотрудничество.</w:t>
            </w:r>
          </w:p>
          <w:p w14:paraId="78C34503" w14:textId="1C8F93D1" w:rsidR="00796BD3" w:rsidRPr="00637AED" w:rsidRDefault="0033025A" w:rsidP="00DA770A">
            <w:pPr>
              <w:spacing w:before="160"/>
              <w:rPr>
                <w:b/>
                <w:bCs/>
                <w:sz w:val="24"/>
                <w:szCs w:val="24"/>
                <w:lang w:val="ru-RU"/>
              </w:rPr>
            </w:pPr>
            <w:r w:rsidRPr="00D631AA">
              <w:rPr>
                <w:b/>
                <w:bCs/>
                <w:sz w:val="24"/>
                <w:szCs w:val="24"/>
                <w:lang w:val="ru-RU"/>
              </w:rPr>
              <w:t>Финансовые последствия</w:t>
            </w:r>
          </w:p>
          <w:p w14:paraId="722C7C22" w14:textId="33CADCBD" w:rsidR="00345D2A" w:rsidRPr="00A1197A" w:rsidRDefault="00A1197A" w:rsidP="00A1197A">
            <w:pPr>
              <w:rPr>
                <w:lang w:val="ru-RU"/>
              </w:rPr>
            </w:pPr>
            <w:r w:rsidRPr="00A1197A">
              <w:rPr>
                <w:lang w:val="ru-RU"/>
              </w:rPr>
              <w:t xml:space="preserve">В рамках выделенного бюджета на </w:t>
            </w:r>
            <w:proofErr w:type="gramStart"/>
            <w:r w:rsidRPr="00A1197A">
              <w:rPr>
                <w:lang w:val="ru-RU"/>
              </w:rPr>
              <w:t>2024−2025</w:t>
            </w:r>
            <w:proofErr w:type="gramEnd"/>
            <w:r w:rsidRPr="00A1197A">
              <w:rPr>
                <w:lang w:val="ru-RU"/>
              </w:rPr>
              <w:t xml:space="preserve"> годы</w:t>
            </w:r>
          </w:p>
          <w:p w14:paraId="763B8351" w14:textId="77777777" w:rsidR="00796BD3" w:rsidRPr="00731B05" w:rsidRDefault="00796BD3" w:rsidP="00DA770A">
            <w:pPr>
              <w:spacing w:before="160"/>
              <w:rPr>
                <w:caps/>
                <w:sz w:val="20"/>
                <w:szCs w:val="18"/>
                <w:lang w:val="ru-RU"/>
              </w:rPr>
            </w:pPr>
            <w:r w:rsidRPr="00731B05">
              <w:rPr>
                <w:sz w:val="20"/>
                <w:szCs w:val="18"/>
                <w:lang w:val="ru-RU"/>
              </w:rPr>
              <w:t>__________________</w:t>
            </w:r>
          </w:p>
          <w:p w14:paraId="6429A4BF" w14:textId="77777777" w:rsidR="00796BD3" w:rsidRPr="00731B05" w:rsidRDefault="0033025A" w:rsidP="00DA770A">
            <w:pPr>
              <w:spacing w:before="160"/>
              <w:rPr>
                <w:b/>
                <w:bCs/>
                <w:sz w:val="26"/>
                <w:szCs w:val="26"/>
                <w:lang w:val="ru-RU"/>
              </w:rPr>
            </w:pPr>
            <w:r w:rsidRPr="00731B05">
              <w:rPr>
                <w:b/>
                <w:bCs/>
                <w:sz w:val="24"/>
                <w:szCs w:val="24"/>
                <w:lang w:val="ru-RU"/>
              </w:rPr>
              <w:t>Справочные материалы</w:t>
            </w:r>
          </w:p>
          <w:p w14:paraId="2CA22A00" w14:textId="0DB82D72" w:rsidR="00796BD3" w:rsidRPr="00637AED" w:rsidRDefault="00A1197A" w:rsidP="00DA770A">
            <w:pPr>
              <w:spacing w:after="160"/>
              <w:rPr>
                <w:i/>
                <w:iCs/>
                <w:lang w:val="ru-RU"/>
              </w:rPr>
            </w:pPr>
            <w:r w:rsidRPr="00637AED">
              <w:rPr>
                <w:rFonts w:asciiTheme="minorHAnsi" w:hAnsiTheme="minorHAnsi" w:cstheme="minorHAnsi"/>
                <w:i/>
                <w:iCs/>
                <w:szCs w:val="22"/>
                <w:lang w:val="ru-RU"/>
              </w:rPr>
              <w:t xml:space="preserve">Резолюция </w:t>
            </w:r>
            <w:hyperlink r:id="rId7" w:history="1">
              <w:r w:rsidRPr="00637AED">
                <w:rPr>
                  <w:rStyle w:val="Hyperlink"/>
                  <w:i/>
                  <w:iCs/>
                </w:rPr>
                <w:t>A</w:t>
              </w:r>
              <w:r w:rsidRPr="00637AED">
                <w:rPr>
                  <w:rStyle w:val="Hyperlink"/>
                  <w:i/>
                  <w:iCs/>
                  <w:lang w:val="ru-RU"/>
                </w:rPr>
                <w:t>/</w:t>
              </w:r>
              <w:r w:rsidRPr="00637AED">
                <w:rPr>
                  <w:rStyle w:val="Hyperlink"/>
                  <w:i/>
                  <w:iCs/>
                </w:rPr>
                <w:t>RES</w:t>
              </w:r>
              <w:r w:rsidRPr="00637AED">
                <w:rPr>
                  <w:rStyle w:val="Hyperlink"/>
                  <w:i/>
                  <w:iCs/>
                  <w:lang w:val="ru-RU"/>
                </w:rPr>
                <w:t>/76/307</w:t>
              </w:r>
            </w:hyperlink>
            <w:r w:rsidRPr="00637AED">
              <w:rPr>
                <w:rFonts w:asciiTheme="minorHAnsi" w:hAnsiTheme="minorHAnsi" w:cstheme="minorHAnsi"/>
                <w:i/>
                <w:iCs/>
                <w:szCs w:val="22"/>
                <w:lang w:val="ru-RU"/>
              </w:rPr>
              <w:t xml:space="preserve"> ГА ООН,</w:t>
            </w:r>
            <w:r w:rsidRPr="00637AED">
              <w:rPr>
                <w:i/>
                <w:iCs/>
                <w:lang w:val="ru-RU"/>
              </w:rPr>
              <w:t xml:space="preserve"> </w:t>
            </w:r>
            <w:hyperlink r:id="rId8" w:history="1">
              <w:r w:rsidRPr="00637AED">
                <w:rPr>
                  <w:rStyle w:val="Hyperlink"/>
                  <w:i/>
                  <w:iCs/>
                </w:rPr>
                <w:t>A</w:t>
              </w:r>
              <w:r w:rsidRPr="00637AED">
                <w:rPr>
                  <w:rStyle w:val="Hyperlink"/>
                  <w:i/>
                  <w:iCs/>
                  <w:lang w:val="ru-RU"/>
                </w:rPr>
                <w:t>/77/</w:t>
              </w:r>
              <w:r w:rsidRPr="00637AED">
                <w:rPr>
                  <w:rStyle w:val="Hyperlink"/>
                  <w:i/>
                  <w:iCs/>
                </w:rPr>
                <w:t>L</w:t>
              </w:r>
              <w:r w:rsidRPr="00637AED">
                <w:rPr>
                  <w:rStyle w:val="Hyperlink"/>
                  <w:i/>
                  <w:iCs/>
                  <w:lang w:val="ru-RU"/>
                </w:rPr>
                <w:t>.109</w:t>
              </w:r>
            </w:hyperlink>
            <w:r w:rsidRPr="00637AED">
              <w:rPr>
                <w:rFonts w:asciiTheme="minorHAnsi" w:hAnsiTheme="minorHAnsi" w:cstheme="minorHAnsi"/>
                <w:i/>
                <w:iCs/>
                <w:szCs w:val="22"/>
                <w:lang w:val="ru-RU"/>
              </w:rPr>
              <w:t xml:space="preserve"> (Решение 77/568), </w:t>
            </w:r>
            <w:hyperlink r:id="rId9" w:history="1">
              <w:r w:rsidRPr="00637AED">
                <w:rPr>
                  <w:rStyle w:val="Hyperlink"/>
                  <w:i/>
                  <w:iCs/>
                </w:rPr>
                <w:t>A</w:t>
              </w:r>
              <w:r w:rsidRPr="00637AED">
                <w:rPr>
                  <w:rStyle w:val="Hyperlink"/>
                  <w:i/>
                  <w:iCs/>
                  <w:lang w:val="ru-RU"/>
                </w:rPr>
                <w:t>/77/</w:t>
              </w:r>
              <w:r w:rsidRPr="00637AED">
                <w:rPr>
                  <w:rStyle w:val="Hyperlink"/>
                  <w:i/>
                  <w:iCs/>
                </w:rPr>
                <w:t>L</w:t>
              </w:r>
              <w:r w:rsidRPr="00637AED">
                <w:rPr>
                  <w:rStyle w:val="Hyperlink"/>
                  <w:i/>
                  <w:iCs/>
                  <w:lang w:val="ru-RU"/>
                </w:rPr>
                <w:t>.63</w:t>
              </w:r>
            </w:hyperlink>
            <w:r w:rsidRPr="00637AED">
              <w:rPr>
                <w:rFonts w:asciiTheme="minorHAnsi" w:hAnsiTheme="minorHAnsi" w:cstheme="minorHAnsi"/>
                <w:i/>
                <w:iCs/>
                <w:szCs w:val="22"/>
                <w:lang w:val="ru-RU"/>
              </w:rPr>
              <w:t xml:space="preserve">, </w:t>
            </w:r>
            <w:hyperlink r:id="rId10" w:history="1">
              <w:r w:rsidRPr="00637AED">
                <w:rPr>
                  <w:rStyle w:val="Hyperlink"/>
                  <w:i/>
                  <w:iCs/>
                </w:rPr>
                <w:t>A</w:t>
              </w:r>
              <w:r w:rsidRPr="00637AED">
                <w:rPr>
                  <w:rStyle w:val="Hyperlink"/>
                  <w:i/>
                  <w:iCs/>
                  <w:lang w:val="ru-RU"/>
                </w:rPr>
                <w:t>/78/</w:t>
              </w:r>
              <w:r w:rsidRPr="00637AED">
                <w:rPr>
                  <w:rStyle w:val="Hyperlink"/>
                  <w:i/>
                  <w:iCs/>
                </w:rPr>
                <w:t>L</w:t>
              </w:r>
              <w:r w:rsidRPr="00637AED">
                <w:rPr>
                  <w:rStyle w:val="Hyperlink"/>
                  <w:i/>
                  <w:iCs/>
                  <w:lang w:val="ru-RU"/>
                </w:rPr>
                <w:t>.77</w:t>
              </w:r>
              <w:r w:rsidRPr="00637AED">
                <w:rPr>
                  <w:rStyle w:val="Hyperlink"/>
                  <w:rFonts w:asciiTheme="minorHAnsi" w:hAnsiTheme="minorHAnsi" w:cstheme="minorHAnsi"/>
                  <w:i/>
                  <w:iCs/>
                  <w:szCs w:val="22"/>
                  <w:u w:val="none"/>
                  <w:lang w:val="ru-RU"/>
                </w:rPr>
                <w:t xml:space="preserve"> </w:t>
              </w:r>
            </w:hyperlink>
            <w:r w:rsidRPr="00637AED">
              <w:rPr>
                <w:rFonts w:asciiTheme="minorHAnsi" w:hAnsiTheme="minorHAnsi" w:cstheme="minorHAnsi"/>
                <w:i/>
                <w:iCs/>
                <w:szCs w:val="22"/>
                <w:lang w:val="ru-RU"/>
              </w:rPr>
              <w:t>(Решение</w:t>
            </w:r>
            <w:r w:rsidRPr="00637AED">
              <w:rPr>
                <w:rFonts w:asciiTheme="minorHAnsi" w:hAnsiTheme="minorHAnsi" w:cstheme="minorHAnsi"/>
                <w:i/>
                <w:iCs/>
                <w:szCs w:val="22"/>
              </w:rPr>
              <w:t> </w:t>
            </w:r>
            <w:r w:rsidRPr="00637AED">
              <w:rPr>
                <w:rFonts w:asciiTheme="minorHAnsi" w:hAnsiTheme="minorHAnsi" w:cstheme="minorHAnsi"/>
                <w:i/>
                <w:iCs/>
                <w:szCs w:val="22"/>
                <w:lang w:val="ru-RU"/>
              </w:rPr>
              <w:t>78/555),</w:t>
            </w:r>
            <w:r w:rsidRPr="00637AED">
              <w:rPr>
                <w:rFonts w:asciiTheme="minorHAnsi" w:hAnsiTheme="minorHAnsi" w:cstheme="minorHAnsi"/>
                <w:i/>
                <w:iCs/>
                <w:szCs w:val="22"/>
                <w:lang w:val="ru-RU" w:eastAsia="ko-KR"/>
              </w:rPr>
              <w:t xml:space="preserve"> </w:t>
            </w:r>
            <w:hyperlink r:id="rId11" w:history="1">
              <w:r w:rsidRPr="00637AED">
                <w:rPr>
                  <w:rStyle w:val="Hyperlink"/>
                  <w:i/>
                  <w:iCs/>
                </w:rPr>
                <w:t>A</w:t>
              </w:r>
              <w:r w:rsidRPr="00637AED">
                <w:rPr>
                  <w:rStyle w:val="Hyperlink"/>
                  <w:i/>
                  <w:iCs/>
                  <w:lang w:val="ru-RU"/>
                </w:rPr>
                <w:t>/79/</w:t>
              </w:r>
              <w:r w:rsidRPr="00637AED">
                <w:rPr>
                  <w:rStyle w:val="Hyperlink"/>
                  <w:i/>
                  <w:iCs/>
                </w:rPr>
                <w:t>L</w:t>
              </w:r>
              <w:r w:rsidRPr="00637AED">
                <w:rPr>
                  <w:rStyle w:val="Hyperlink"/>
                  <w:i/>
                  <w:iCs/>
                  <w:lang w:val="ru-RU"/>
                </w:rPr>
                <w:t>.2</w:t>
              </w:r>
            </w:hyperlink>
            <w:r w:rsidRPr="00637AED">
              <w:rPr>
                <w:i/>
                <w:iCs/>
                <w:lang w:val="ru-RU"/>
              </w:rPr>
              <w:t xml:space="preserve"> и </w:t>
            </w:r>
            <w:hyperlink r:id="rId12" w:history="1">
              <w:r w:rsidRPr="00637AED">
                <w:rPr>
                  <w:rStyle w:val="Hyperlink"/>
                  <w:i/>
                  <w:iCs/>
                </w:rPr>
                <w:t>A</w:t>
              </w:r>
              <w:r w:rsidRPr="00637AED">
                <w:rPr>
                  <w:rStyle w:val="Hyperlink"/>
                  <w:i/>
                  <w:iCs/>
                  <w:lang w:val="ru-RU"/>
                </w:rPr>
                <w:t>/79/</w:t>
              </w:r>
              <w:r w:rsidRPr="00637AED">
                <w:rPr>
                  <w:rStyle w:val="Hyperlink"/>
                  <w:i/>
                  <w:iCs/>
                </w:rPr>
                <w:t>L</w:t>
              </w:r>
              <w:r w:rsidRPr="00637AED">
                <w:rPr>
                  <w:rStyle w:val="Hyperlink"/>
                  <w:i/>
                  <w:iCs/>
                  <w:lang w:val="ru-RU"/>
                </w:rPr>
                <w:t>.3</w:t>
              </w:r>
            </w:hyperlink>
            <w:r w:rsidRPr="00637AED">
              <w:rPr>
                <w:rFonts w:asciiTheme="minorHAnsi" w:hAnsiTheme="minorHAnsi" w:cstheme="minorHAnsi"/>
                <w:i/>
                <w:iCs/>
                <w:szCs w:val="22"/>
                <w:lang w:val="ru-RU" w:eastAsia="ko-KR"/>
              </w:rPr>
              <w:t>,</w:t>
            </w:r>
            <w:r w:rsidRPr="00637AED">
              <w:rPr>
                <w:rFonts w:asciiTheme="minorHAnsi" w:hAnsiTheme="minorHAnsi" w:cstheme="minorHAnsi"/>
                <w:i/>
                <w:iCs/>
                <w:szCs w:val="22"/>
                <w:lang w:val="ru-RU"/>
              </w:rPr>
              <w:t xml:space="preserve"> Документы</w:t>
            </w:r>
            <w:r w:rsidRPr="00637AED">
              <w:rPr>
                <w:rFonts w:asciiTheme="minorHAnsi" w:eastAsia="SimSun" w:hAnsiTheme="minorHAnsi" w:cstheme="minorHAnsi"/>
                <w:i/>
                <w:iCs/>
                <w:szCs w:val="22"/>
                <w:lang w:val="ru-RU"/>
              </w:rPr>
              <w:t xml:space="preserve"> </w:t>
            </w:r>
            <w:hyperlink r:id="rId13" w:history="1">
              <w:r w:rsidRPr="00637AED">
                <w:rPr>
                  <w:rStyle w:val="Hyperlink"/>
                  <w:rFonts w:eastAsia="SimSun"/>
                  <w:i/>
                  <w:iCs/>
                </w:rPr>
                <w:t>C</w:t>
              </w:r>
              <w:r w:rsidRPr="00637AED">
                <w:rPr>
                  <w:rStyle w:val="Hyperlink"/>
                  <w:rFonts w:eastAsia="SimSun"/>
                  <w:i/>
                  <w:iCs/>
                  <w:lang w:val="ru-RU"/>
                </w:rPr>
                <w:t>19/</w:t>
              </w:r>
              <w:r w:rsidRPr="00637AED">
                <w:rPr>
                  <w:rStyle w:val="Hyperlink"/>
                  <w:rFonts w:eastAsia="SimSun"/>
                  <w:i/>
                  <w:iCs/>
                </w:rPr>
                <w:t>INF</w:t>
              </w:r>
              <w:r w:rsidRPr="00637AED">
                <w:rPr>
                  <w:rStyle w:val="Hyperlink"/>
                  <w:rFonts w:eastAsia="SimSun"/>
                  <w:i/>
                  <w:iCs/>
                  <w:lang w:val="ru-RU"/>
                </w:rPr>
                <w:t>/8</w:t>
              </w:r>
            </w:hyperlink>
            <w:r w:rsidRPr="00637AED">
              <w:rPr>
                <w:rFonts w:asciiTheme="minorHAnsi" w:eastAsia="SimSun" w:hAnsiTheme="minorHAnsi" w:cstheme="minorHAnsi"/>
                <w:i/>
                <w:iCs/>
                <w:szCs w:val="22"/>
                <w:lang w:val="ru-RU"/>
              </w:rPr>
              <w:t xml:space="preserve">, </w:t>
            </w:r>
            <w:hyperlink r:id="rId14" w:history="1">
              <w:r w:rsidRPr="00637AED">
                <w:rPr>
                  <w:rStyle w:val="Hyperlink"/>
                  <w:rFonts w:eastAsia="SimSun"/>
                  <w:i/>
                  <w:iCs/>
                </w:rPr>
                <w:t>C</w:t>
              </w:r>
              <w:r w:rsidRPr="00637AED">
                <w:rPr>
                  <w:rStyle w:val="Hyperlink"/>
                  <w:rFonts w:eastAsia="SimSun"/>
                  <w:i/>
                  <w:iCs/>
                  <w:lang w:val="ru-RU"/>
                </w:rPr>
                <w:t>20/</w:t>
              </w:r>
              <w:r w:rsidRPr="00637AED">
                <w:rPr>
                  <w:rStyle w:val="Hyperlink"/>
                  <w:rFonts w:eastAsia="SimSun"/>
                  <w:i/>
                  <w:iCs/>
                </w:rPr>
                <w:t>INF</w:t>
              </w:r>
              <w:r w:rsidRPr="00637AED">
                <w:rPr>
                  <w:rStyle w:val="Hyperlink"/>
                  <w:rFonts w:eastAsia="SimSun"/>
                  <w:i/>
                  <w:iCs/>
                  <w:lang w:val="ru-RU"/>
                </w:rPr>
                <w:t>/3</w:t>
              </w:r>
            </w:hyperlink>
            <w:r w:rsidRPr="00637AED">
              <w:rPr>
                <w:rFonts w:asciiTheme="minorHAnsi" w:eastAsia="SimSun" w:hAnsiTheme="minorHAnsi" w:cstheme="minorHAnsi"/>
                <w:i/>
                <w:iCs/>
                <w:szCs w:val="22"/>
                <w:lang w:val="ru-RU"/>
              </w:rPr>
              <w:t xml:space="preserve">, </w:t>
            </w:r>
            <w:hyperlink r:id="rId15" w:history="1">
              <w:r w:rsidRPr="00637AED">
                <w:rPr>
                  <w:rStyle w:val="Hyperlink"/>
                  <w:rFonts w:eastAsia="SimSun"/>
                  <w:i/>
                  <w:iCs/>
                </w:rPr>
                <w:t>C</w:t>
              </w:r>
              <w:r w:rsidRPr="00637AED">
                <w:rPr>
                  <w:rStyle w:val="Hyperlink"/>
                  <w:rFonts w:eastAsia="SimSun"/>
                  <w:i/>
                  <w:iCs/>
                  <w:lang w:val="ru-RU"/>
                </w:rPr>
                <w:t>21/</w:t>
              </w:r>
              <w:r w:rsidRPr="00637AED">
                <w:rPr>
                  <w:rStyle w:val="Hyperlink"/>
                  <w:rFonts w:eastAsia="SimSun"/>
                  <w:i/>
                  <w:iCs/>
                </w:rPr>
                <w:t>INF</w:t>
              </w:r>
              <w:r w:rsidRPr="00637AED">
                <w:rPr>
                  <w:rStyle w:val="Hyperlink"/>
                  <w:rFonts w:eastAsia="SimSun"/>
                  <w:i/>
                  <w:iCs/>
                  <w:lang w:val="ru-RU"/>
                </w:rPr>
                <w:t>/2</w:t>
              </w:r>
            </w:hyperlink>
            <w:r w:rsidRPr="00637AED">
              <w:rPr>
                <w:rFonts w:asciiTheme="minorHAnsi" w:eastAsia="SimSun" w:hAnsiTheme="minorHAnsi" w:cstheme="minorHAnsi"/>
                <w:i/>
                <w:iCs/>
                <w:szCs w:val="22"/>
                <w:lang w:val="ru-RU"/>
              </w:rPr>
              <w:t xml:space="preserve">, </w:t>
            </w:r>
            <w:hyperlink r:id="rId16" w:history="1">
              <w:r w:rsidRPr="00637AED">
                <w:rPr>
                  <w:rStyle w:val="Hyperlink"/>
                  <w:rFonts w:eastAsia="SimSun"/>
                  <w:i/>
                  <w:iCs/>
                </w:rPr>
                <w:t>C</w:t>
              </w:r>
              <w:r w:rsidRPr="00637AED">
                <w:rPr>
                  <w:rStyle w:val="Hyperlink"/>
                  <w:rFonts w:eastAsia="SimSun"/>
                  <w:i/>
                  <w:iCs/>
                  <w:lang w:val="ru-RU"/>
                </w:rPr>
                <w:t>22/</w:t>
              </w:r>
              <w:r w:rsidRPr="00637AED">
                <w:rPr>
                  <w:rStyle w:val="Hyperlink"/>
                  <w:rFonts w:eastAsia="SimSun"/>
                  <w:i/>
                  <w:iCs/>
                </w:rPr>
                <w:t>INF</w:t>
              </w:r>
              <w:r w:rsidRPr="00637AED">
                <w:rPr>
                  <w:rStyle w:val="Hyperlink"/>
                  <w:rFonts w:eastAsia="SimSun"/>
                  <w:i/>
                  <w:iCs/>
                  <w:lang w:val="ru-RU"/>
                </w:rPr>
                <w:t>/2</w:t>
              </w:r>
            </w:hyperlink>
            <w:r w:rsidRPr="00637AED">
              <w:rPr>
                <w:rFonts w:asciiTheme="minorHAnsi" w:eastAsia="SimSun" w:hAnsiTheme="minorHAnsi" w:cstheme="minorHAnsi"/>
                <w:i/>
                <w:iCs/>
                <w:szCs w:val="22"/>
                <w:lang w:val="ru-RU"/>
              </w:rPr>
              <w:t xml:space="preserve">, </w:t>
            </w:r>
            <w:hyperlink r:id="rId17" w:history="1">
              <w:r w:rsidRPr="00637AED">
                <w:rPr>
                  <w:rStyle w:val="Hyperlink"/>
                  <w:rFonts w:eastAsia="SimSun"/>
                  <w:i/>
                  <w:iCs/>
                </w:rPr>
                <w:t>C</w:t>
              </w:r>
              <w:r w:rsidRPr="00637AED">
                <w:rPr>
                  <w:rStyle w:val="Hyperlink"/>
                  <w:rFonts w:eastAsia="SimSun"/>
                  <w:i/>
                  <w:iCs/>
                  <w:lang w:val="ru-RU"/>
                </w:rPr>
                <w:t>23/</w:t>
              </w:r>
              <w:r w:rsidRPr="00637AED">
                <w:rPr>
                  <w:rStyle w:val="Hyperlink"/>
                  <w:rFonts w:eastAsia="SimSun"/>
                  <w:i/>
                  <w:iCs/>
                </w:rPr>
                <w:t>INF</w:t>
              </w:r>
              <w:r w:rsidRPr="00637AED">
                <w:rPr>
                  <w:rStyle w:val="Hyperlink"/>
                  <w:rFonts w:eastAsia="SimSun"/>
                  <w:i/>
                  <w:iCs/>
                  <w:lang w:val="ru-RU"/>
                </w:rPr>
                <w:t>/8</w:t>
              </w:r>
            </w:hyperlink>
            <w:r w:rsidRPr="00637AED">
              <w:rPr>
                <w:rFonts w:asciiTheme="minorHAnsi" w:eastAsia="SimSun" w:hAnsiTheme="minorHAnsi" w:cstheme="minorHAnsi"/>
                <w:i/>
                <w:iCs/>
                <w:szCs w:val="22"/>
                <w:lang w:val="ru-RU"/>
              </w:rPr>
              <w:t>,</w:t>
            </w:r>
            <w:r w:rsidRPr="00637AED">
              <w:rPr>
                <w:rFonts w:asciiTheme="minorHAnsi" w:hAnsiTheme="minorHAnsi" w:cstheme="minorHAnsi"/>
                <w:i/>
                <w:iCs/>
                <w:szCs w:val="22"/>
                <w:lang w:val="ru-RU"/>
              </w:rPr>
              <w:t xml:space="preserve"> </w:t>
            </w:r>
            <w:hyperlink r:id="rId18" w:history="1">
              <w:r w:rsidRPr="00637AED">
                <w:rPr>
                  <w:rStyle w:val="Hyperlink"/>
                  <w:rFonts w:eastAsia="SimSun"/>
                  <w:i/>
                  <w:iCs/>
                </w:rPr>
                <w:t>C</w:t>
              </w:r>
              <w:r w:rsidRPr="00637AED">
                <w:rPr>
                  <w:rStyle w:val="Hyperlink"/>
                  <w:rFonts w:eastAsia="SimSun"/>
                  <w:i/>
                  <w:iCs/>
                  <w:lang w:val="ru-RU"/>
                </w:rPr>
                <w:t>23/</w:t>
              </w:r>
              <w:r w:rsidRPr="00637AED">
                <w:rPr>
                  <w:rStyle w:val="Hyperlink"/>
                  <w:rFonts w:eastAsia="SimSun"/>
                  <w:i/>
                  <w:iCs/>
                </w:rPr>
                <w:t>INF</w:t>
              </w:r>
              <w:r w:rsidRPr="00637AED">
                <w:rPr>
                  <w:rStyle w:val="Hyperlink"/>
                  <w:rFonts w:eastAsia="SimSun"/>
                  <w:i/>
                  <w:iCs/>
                  <w:lang w:val="ru-RU"/>
                </w:rPr>
                <w:t>/9</w:t>
              </w:r>
            </w:hyperlink>
            <w:r w:rsidRPr="00637AED">
              <w:rPr>
                <w:i/>
                <w:iCs/>
                <w:lang w:val="ru-RU"/>
              </w:rPr>
              <w:t xml:space="preserve">, </w:t>
            </w:r>
            <w:hyperlink r:id="rId19" w:history="1">
              <w:r w:rsidRPr="00637AED">
                <w:rPr>
                  <w:rStyle w:val="Hyperlink"/>
                  <w:rFonts w:eastAsia="SimSun"/>
                  <w:i/>
                  <w:iCs/>
                </w:rPr>
                <w:t>C</w:t>
              </w:r>
              <w:r w:rsidRPr="00637AED">
                <w:rPr>
                  <w:rStyle w:val="Hyperlink"/>
                  <w:rFonts w:eastAsia="SimSun"/>
                  <w:i/>
                  <w:iCs/>
                  <w:lang w:val="ru-RU"/>
                </w:rPr>
                <w:t>24/55</w:t>
              </w:r>
            </w:hyperlink>
            <w:r w:rsidRPr="00637AED">
              <w:rPr>
                <w:rFonts w:asciiTheme="minorHAnsi" w:eastAsia="SimSun" w:hAnsiTheme="minorHAnsi" w:cstheme="minorHAnsi"/>
                <w:i/>
                <w:iCs/>
                <w:szCs w:val="22"/>
                <w:lang w:val="ru-RU"/>
              </w:rPr>
              <w:t xml:space="preserve">, </w:t>
            </w:r>
            <w:hyperlink r:id="rId20" w:history="1">
              <w:r w:rsidRPr="00637AED">
                <w:rPr>
                  <w:rStyle w:val="Hyperlink"/>
                  <w:rFonts w:eastAsia="SimSun"/>
                  <w:i/>
                  <w:iCs/>
                </w:rPr>
                <w:t>C</w:t>
              </w:r>
              <w:r w:rsidRPr="00637AED">
                <w:rPr>
                  <w:rStyle w:val="Hyperlink"/>
                  <w:rFonts w:eastAsia="SimSun"/>
                  <w:i/>
                  <w:iCs/>
                  <w:lang w:val="ru-RU"/>
                </w:rPr>
                <w:t>24/</w:t>
              </w:r>
              <w:r w:rsidRPr="00637AED">
                <w:rPr>
                  <w:rStyle w:val="Hyperlink"/>
                  <w:rFonts w:eastAsia="SimSun"/>
                  <w:i/>
                  <w:iCs/>
                </w:rPr>
                <w:t>INF</w:t>
              </w:r>
              <w:r w:rsidRPr="00637AED">
                <w:rPr>
                  <w:rStyle w:val="Hyperlink"/>
                  <w:rFonts w:eastAsia="SimSun"/>
                  <w:i/>
                  <w:iCs/>
                  <w:lang w:val="ru-RU"/>
                </w:rPr>
                <w:t>/9</w:t>
              </w:r>
            </w:hyperlink>
            <w:r w:rsidRPr="00637AED">
              <w:rPr>
                <w:rFonts w:asciiTheme="minorHAnsi" w:hAnsiTheme="minorHAnsi" w:cstheme="minorHAnsi"/>
                <w:i/>
                <w:iCs/>
                <w:szCs w:val="22"/>
                <w:lang w:val="ru-RU"/>
              </w:rPr>
              <w:t xml:space="preserve"> и </w:t>
            </w:r>
            <w:hyperlink r:id="rId21" w:history="1">
              <w:r w:rsidRPr="00637AED">
                <w:rPr>
                  <w:rStyle w:val="Hyperlink"/>
                  <w:i/>
                  <w:iCs/>
                </w:rPr>
                <w:t>CWG</w:t>
              </w:r>
              <w:r w:rsidRPr="00637AED">
                <w:rPr>
                  <w:rStyle w:val="Hyperlink"/>
                  <w:i/>
                  <w:iCs/>
                  <w:lang w:val="ru-RU"/>
                </w:rPr>
                <w:t>-</w:t>
              </w:r>
              <w:r w:rsidRPr="00637AED">
                <w:rPr>
                  <w:rStyle w:val="Hyperlink"/>
                  <w:i/>
                  <w:iCs/>
                </w:rPr>
                <w:t>WSIS</w:t>
              </w:r>
              <w:r w:rsidRPr="00637AED">
                <w:rPr>
                  <w:rStyle w:val="Hyperlink"/>
                  <w:i/>
                  <w:iCs/>
                  <w:lang w:val="ru-RU"/>
                </w:rPr>
                <w:t>&amp;</w:t>
              </w:r>
              <w:r w:rsidRPr="00637AED">
                <w:rPr>
                  <w:rStyle w:val="Hyperlink"/>
                  <w:i/>
                  <w:iCs/>
                </w:rPr>
                <w:t>SDG</w:t>
              </w:r>
              <w:r w:rsidRPr="00637AED">
                <w:rPr>
                  <w:rStyle w:val="Hyperlink"/>
                  <w:i/>
                  <w:iCs/>
                  <w:lang w:val="ru-RU"/>
                </w:rPr>
                <w:t>-42/10</w:t>
              </w:r>
            </w:hyperlink>
          </w:p>
        </w:tc>
      </w:tr>
      <w:bookmarkEnd w:id="2"/>
      <w:bookmarkEnd w:id="7"/>
    </w:tbl>
    <w:p w14:paraId="60F31B98" w14:textId="77777777" w:rsidR="00165D06" w:rsidRPr="00731B05" w:rsidRDefault="00165D06">
      <w:pPr>
        <w:tabs>
          <w:tab w:val="clear" w:pos="794"/>
          <w:tab w:val="clear" w:pos="1191"/>
          <w:tab w:val="clear" w:pos="1588"/>
          <w:tab w:val="clear" w:pos="1985"/>
        </w:tabs>
        <w:overflowPunct/>
        <w:autoSpaceDE/>
        <w:autoSpaceDN/>
        <w:adjustRightInd/>
        <w:spacing w:before="0"/>
        <w:textAlignment w:val="auto"/>
        <w:rPr>
          <w:lang w:val="ru-RU"/>
        </w:rPr>
      </w:pPr>
      <w:r w:rsidRPr="00731B05">
        <w:rPr>
          <w:lang w:val="ru-RU"/>
        </w:rPr>
        <w:br w:type="page"/>
      </w:r>
    </w:p>
    <w:p w14:paraId="6DC1B755" w14:textId="77777777" w:rsidR="00A1197A" w:rsidRPr="00A1197A" w:rsidRDefault="00A1197A" w:rsidP="00637AED">
      <w:pPr>
        <w:jc w:val="both"/>
        <w:rPr>
          <w:lang w:val="ru-RU"/>
        </w:rPr>
      </w:pPr>
      <w:r w:rsidRPr="00A1197A">
        <w:rPr>
          <w:lang w:val="ru-RU"/>
        </w:rPr>
        <w:lastRenderedPageBreak/>
        <w:t xml:space="preserve">МСЭ стремится быть в авангарде глобальной цифровой трансформации, руководствуясь задачами Глобального цифрового договора (ГЦД), принятого Государствами-Членами на состоявшемся в сентябре 2024 года Саммите будущего в качестве приложения к Пакту во имя будущего. Являясь специализированным учреждением ООН в области электросвязи/ИКТ, МСЭ играет ключевую роль в укреплении международного сотрудничества, стимулировании инноваций и обеспечении того, чтобы цифровые технологии способствовали достижению Целей в области устойчивого развития (ЦУР). </w:t>
      </w:r>
    </w:p>
    <w:p w14:paraId="3BA33BFA" w14:textId="4186677D" w:rsidR="00A1197A" w:rsidRPr="00A1197A" w:rsidRDefault="00A1197A" w:rsidP="00637AED">
      <w:pPr>
        <w:jc w:val="both"/>
        <w:rPr>
          <w:rFonts w:asciiTheme="minorHAnsi" w:hAnsiTheme="minorHAnsi" w:cstheme="minorBidi"/>
          <w:szCs w:val="22"/>
          <w:lang w:val="ru-RU"/>
        </w:rPr>
      </w:pPr>
      <w:r w:rsidRPr="00A1197A">
        <w:rPr>
          <w:rFonts w:asciiTheme="minorHAnsi" w:hAnsiTheme="minorHAnsi" w:cstheme="minorHAnsi"/>
          <w:szCs w:val="22"/>
          <w:lang w:val="ru-RU"/>
        </w:rPr>
        <w:t xml:space="preserve">Цель настоящего документа </w:t>
      </w:r>
      <w:r w:rsidR="009F5830">
        <w:rPr>
          <w:rFonts w:eastAsia="Calibri" w:cs="Calibri"/>
          <w:lang w:val="ru-RU"/>
        </w:rPr>
        <w:t>−</w:t>
      </w:r>
      <w:r w:rsidRPr="00A1197A">
        <w:rPr>
          <w:rFonts w:asciiTheme="minorHAnsi" w:hAnsiTheme="minorHAnsi" w:cstheme="minorHAnsi"/>
          <w:szCs w:val="22"/>
          <w:lang w:val="ru-RU"/>
        </w:rPr>
        <w:t xml:space="preserve"> представить обновленную информацию о реализации </w:t>
      </w:r>
      <w:hyperlink r:id="rId22" w:history="1">
        <w:r w:rsidRPr="007675E8">
          <w:rPr>
            <w:rStyle w:val="Hyperlink"/>
            <w:lang w:val="ru-RU"/>
          </w:rPr>
          <w:t>Плана действий МСЭ</w:t>
        </w:r>
      </w:hyperlink>
      <w:r w:rsidRPr="00A1197A">
        <w:rPr>
          <w:rFonts w:asciiTheme="minorHAnsi" w:hAnsiTheme="minorHAnsi" w:cstheme="minorHAnsi"/>
          <w:szCs w:val="22"/>
          <w:lang w:val="ru-RU"/>
        </w:rPr>
        <w:t xml:space="preserve"> со времени последнего собрания Рабочей группы Совета по ВВУИО и ЦУР, состоявшегося в начале </w:t>
      </w:r>
      <w:r w:rsidRPr="00A1197A">
        <w:rPr>
          <w:lang w:val="ru-RU"/>
        </w:rPr>
        <w:t>февраля</w:t>
      </w:r>
      <w:r w:rsidRPr="00A1197A">
        <w:rPr>
          <w:rFonts w:asciiTheme="minorHAnsi" w:hAnsiTheme="minorHAnsi" w:cstheme="minorHAnsi"/>
          <w:szCs w:val="22"/>
          <w:lang w:val="ru-RU"/>
        </w:rPr>
        <w:t xml:space="preserve"> этого года. В документе излагаются стратегические действия МСЭ в поддержку </w:t>
      </w:r>
      <w:r w:rsidRPr="00A1197A">
        <w:rPr>
          <w:lang w:val="ru-RU"/>
        </w:rPr>
        <w:t>осуществления</w:t>
      </w:r>
      <w:r w:rsidRPr="00A1197A">
        <w:rPr>
          <w:rFonts w:asciiTheme="minorHAnsi" w:hAnsiTheme="minorHAnsi" w:cstheme="minorHAnsi"/>
          <w:szCs w:val="22"/>
          <w:lang w:val="ru-RU"/>
        </w:rPr>
        <w:t xml:space="preserve"> ГЦД, включая усилия по обеспечению универсальной возможности установления соединений, внедрению </w:t>
      </w:r>
      <w:r w:rsidRPr="00A1197A">
        <w:rPr>
          <w:lang w:val="ru-RU"/>
        </w:rPr>
        <w:t>стандартов</w:t>
      </w:r>
      <w:r w:rsidRPr="00A1197A">
        <w:rPr>
          <w:rFonts w:asciiTheme="minorHAnsi" w:hAnsiTheme="minorHAnsi" w:cstheme="minorHAnsi"/>
          <w:szCs w:val="22"/>
          <w:lang w:val="ru-RU"/>
        </w:rPr>
        <w:t xml:space="preserve"> ответственного использования ИИ и содействию охвату цифровыми технологиями.</w:t>
      </w:r>
    </w:p>
    <w:p w14:paraId="0040C8A8" w14:textId="48B8B9C3" w:rsidR="00A1197A" w:rsidRPr="00A1197A" w:rsidRDefault="00A1197A" w:rsidP="00637AED">
      <w:pPr>
        <w:pStyle w:val="Heading1"/>
      </w:pPr>
      <w:r w:rsidRPr="00A1197A">
        <w:t>1</w:t>
      </w:r>
      <w:r w:rsidRPr="00A1197A">
        <w:tab/>
        <w:t xml:space="preserve">Обновленная информация об </w:t>
      </w:r>
      <w:r w:rsidRPr="00637AED">
        <w:t>интеграции</w:t>
      </w:r>
      <w:r w:rsidRPr="00A1197A">
        <w:t xml:space="preserve"> задач </w:t>
      </w:r>
      <w:proofErr w:type="spellStart"/>
      <w:r w:rsidRPr="00A1197A">
        <w:t>ГЦД</w:t>
      </w:r>
      <w:proofErr w:type="spellEnd"/>
      <w:r w:rsidRPr="00A1197A">
        <w:t xml:space="preserve"> в мандаты МСЭ</w:t>
      </w:r>
    </w:p>
    <w:p w14:paraId="505E788C" w14:textId="77777777" w:rsidR="00A1197A" w:rsidRPr="00A1197A" w:rsidRDefault="00A1197A" w:rsidP="00637AED">
      <w:pPr>
        <w:spacing w:after="120"/>
        <w:jc w:val="both"/>
        <w:rPr>
          <w:rFonts w:asciiTheme="minorHAnsi" w:hAnsiTheme="minorHAnsi" w:cstheme="minorHAnsi"/>
          <w:szCs w:val="22"/>
          <w:lang w:val="ru-RU"/>
        </w:rPr>
      </w:pPr>
      <w:r w:rsidRPr="00A1197A">
        <w:rPr>
          <w:rFonts w:asciiTheme="minorHAnsi" w:hAnsiTheme="minorHAnsi" w:cstheme="minorHAnsi"/>
          <w:szCs w:val="22"/>
          <w:lang w:val="ru-RU"/>
        </w:rPr>
        <w:t xml:space="preserve">Задачи, принципы и </w:t>
      </w:r>
      <w:r w:rsidRPr="00A1197A">
        <w:rPr>
          <w:lang w:val="ru-RU"/>
        </w:rPr>
        <w:t>обязательства</w:t>
      </w:r>
      <w:r w:rsidRPr="00A1197A">
        <w:rPr>
          <w:rFonts w:asciiTheme="minorHAnsi" w:hAnsiTheme="minorHAnsi" w:cstheme="minorHAnsi"/>
          <w:szCs w:val="22"/>
          <w:lang w:val="ru-RU"/>
        </w:rPr>
        <w:t xml:space="preserve"> ГЦД непосредственно согласованы с существующими мандатами МСЭ. МСЭ активно поддерживает Государства-Члены в осуществлении ГЦД в рамках собраний своих руководящих органов и соответствующих инициатив, уделяя особое внимание </w:t>
      </w:r>
      <w:r w:rsidRPr="00A1197A">
        <w:rPr>
          <w:lang w:val="ru-RU"/>
        </w:rPr>
        <w:t>универсальной</w:t>
      </w:r>
      <w:r w:rsidRPr="00A1197A">
        <w:rPr>
          <w:rFonts w:asciiTheme="minorHAnsi" w:hAnsiTheme="minorHAnsi" w:cstheme="minorHAnsi"/>
          <w:szCs w:val="22"/>
          <w:lang w:val="ru-RU"/>
        </w:rPr>
        <w:t xml:space="preserve"> возможности установления соединений, введению стандартов ответственного использования ИИ, охвату цифровыми технологиями и специализированной поддержке, </w:t>
      </w:r>
      <w:r w:rsidRPr="00A1197A">
        <w:rPr>
          <w:lang w:val="ru-RU"/>
        </w:rPr>
        <w:t>призванной</w:t>
      </w:r>
      <w:r w:rsidRPr="00A1197A">
        <w:rPr>
          <w:rFonts w:asciiTheme="minorHAnsi" w:hAnsiTheme="minorHAnsi" w:cstheme="minorHAnsi"/>
          <w:szCs w:val="22"/>
          <w:lang w:val="ru-RU"/>
        </w:rPr>
        <w:t xml:space="preserve"> помочь странам привести национальные стратегии в соответствие с глобальными целями в области цифрового развития и достичь устойчивой цифровой трансформации.</w:t>
      </w:r>
    </w:p>
    <w:tbl>
      <w:tblPr>
        <w:tblStyle w:val="TableGrid"/>
        <w:tblW w:w="0" w:type="auto"/>
        <w:tblLook w:val="04A0" w:firstRow="1" w:lastRow="0" w:firstColumn="1" w:lastColumn="0" w:noHBand="0" w:noVBand="1"/>
      </w:tblPr>
      <w:tblGrid>
        <w:gridCol w:w="9061"/>
      </w:tblGrid>
      <w:tr w:rsidR="00A1197A" w:rsidRPr="00637AED" w14:paraId="025B5559" w14:textId="77777777" w:rsidTr="00B671FA">
        <w:tc>
          <w:tcPr>
            <w:tcW w:w="9061" w:type="dxa"/>
          </w:tcPr>
          <w:p w14:paraId="5D3DA89E" w14:textId="77777777" w:rsidR="00A1197A" w:rsidRPr="00A1197A" w:rsidRDefault="00A1197A" w:rsidP="00637AED">
            <w:pPr>
              <w:jc w:val="both"/>
              <w:rPr>
                <w:rFonts w:asciiTheme="minorHAnsi" w:hAnsiTheme="minorHAnsi" w:cstheme="minorHAnsi"/>
                <w:lang w:val="ru-RU"/>
              </w:rPr>
            </w:pPr>
            <w:r w:rsidRPr="00A1197A">
              <w:rPr>
                <w:rFonts w:asciiTheme="minorHAnsi" w:hAnsiTheme="minorHAnsi"/>
                <w:lang w:val="ru-RU"/>
              </w:rPr>
              <w:t xml:space="preserve">В разделе ниже </w:t>
            </w:r>
            <w:r w:rsidRPr="00A1197A">
              <w:rPr>
                <w:lang w:val="ru-RU"/>
              </w:rPr>
              <w:t>представлена</w:t>
            </w:r>
            <w:r w:rsidRPr="00A1197A">
              <w:rPr>
                <w:rFonts w:asciiTheme="minorHAnsi" w:hAnsiTheme="minorHAnsi"/>
                <w:lang w:val="ru-RU"/>
              </w:rPr>
              <w:t xml:space="preserve"> обновленная информация о действиях МСЭ, направленных, в частности, на решение задач 1 и 3 ГЦД</w:t>
            </w:r>
            <w:r w:rsidRPr="005C0C30">
              <w:rPr>
                <w:rStyle w:val="FootnoteReference"/>
                <w:rFonts w:asciiTheme="minorHAnsi" w:hAnsiTheme="minorHAnsi"/>
                <w:sz w:val="18"/>
                <w:szCs w:val="18"/>
              </w:rPr>
              <w:footnoteReference w:id="1"/>
            </w:r>
            <w:r w:rsidRPr="00A1197A">
              <w:rPr>
                <w:rFonts w:asciiTheme="minorHAnsi" w:hAnsiTheme="minorHAnsi"/>
                <w:lang w:val="ru-RU"/>
              </w:rPr>
              <w:t>:</w:t>
            </w:r>
          </w:p>
          <w:p w14:paraId="217AA21F" w14:textId="77777777" w:rsidR="00A1197A" w:rsidRPr="00A1197A" w:rsidRDefault="00A1197A" w:rsidP="00637AED">
            <w:pPr>
              <w:jc w:val="both"/>
              <w:rPr>
                <w:b/>
                <w:bCs/>
                <w:lang w:val="ru-RU"/>
              </w:rPr>
            </w:pPr>
            <w:r w:rsidRPr="00A1197A">
              <w:rPr>
                <w:b/>
                <w:bCs/>
                <w:lang w:val="ru-RU"/>
              </w:rPr>
              <w:t>Задача 1 ГЦД. Устранить все цифровые разрывы и ускорить ход достижения всех целей в области устойчивого развития</w:t>
            </w:r>
          </w:p>
          <w:p w14:paraId="78AA483D" w14:textId="7303DDC6" w:rsidR="00A1197A" w:rsidRPr="005C0C30" w:rsidRDefault="00A1197A" w:rsidP="00637AED">
            <w:pPr>
              <w:pStyle w:val="enumlev1"/>
              <w:jc w:val="both"/>
              <w:rPr>
                <w:lang w:val="ru-RU"/>
              </w:rPr>
            </w:pPr>
            <w:r w:rsidRPr="00A1197A">
              <w:rPr>
                <w:lang w:val="ru-RU"/>
              </w:rPr>
              <w:t>–</w:t>
            </w:r>
            <w:r w:rsidRPr="00A1197A">
              <w:rPr>
                <w:lang w:val="ru-RU"/>
              </w:rPr>
              <w:tab/>
            </w:r>
            <w:r w:rsidRPr="005C0C30">
              <w:rPr>
                <w:lang w:val="ru-RU"/>
              </w:rPr>
              <w:t xml:space="preserve">МСЭ сотрудничает с различными заинтересованными сторонами, стараясь преодолеть цифровой разрыв и ускорить прогресс в достижении ЦУР. Это включает разработку ключевых показателей, сотрудничество с Симпозиумом по всемирным показателям в области электросвязи/ИКТ (WTIS) и ЮНЕСКО, повышение устойчивости с помощью стандартов и политики, подключение школ к интернету в рамках инициативы Giga, реализуемой совместно с ЮНИСЕФ, содействие устойчивому развитию в рамках инициативы </w:t>
            </w:r>
            <w:r w:rsidRPr="005C0C30">
              <w:rPr>
                <w:rFonts w:eastAsia="Calibri"/>
                <w:lang w:val="ru-RU"/>
              </w:rPr>
              <w:t>"Зеленая цифровая кампания"</w:t>
            </w:r>
            <w:r w:rsidRPr="005C0C30">
              <w:rPr>
                <w:lang w:val="ru-RU"/>
              </w:rPr>
              <w:t>, преодоление гендерного цифрового разрыва в рамках глобального партнерства "РАВНЫЕ", устранение пробелов в навыках в рамках партнерских отношений с Академией МСЭ и МОТ, а также реализацию инициатив в области совместного использования цифровой инфраструктуры и инвестиций.</w:t>
            </w:r>
          </w:p>
          <w:p w14:paraId="37A24937" w14:textId="77777777" w:rsidR="00A1197A" w:rsidRPr="00A1197A" w:rsidRDefault="00A1197A" w:rsidP="00637AED">
            <w:pPr>
              <w:jc w:val="both"/>
              <w:rPr>
                <w:lang w:val="ru-RU"/>
              </w:rPr>
            </w:pPr>
            <w:r w:rsidRPr="00A1197A">
              <w:rPr>
                <w:rFonts w:cstheme="minorHAnsi"/>
                <w:lang w:val="ru-RU"/>
              </w:rPr>
              <w:t xml:space="preserve">МСЭ играет ключевую роль в области спутниковой связи, обеспечивая контроль за распределением </w:t>
            </w:r>
            <w:r w:rsidRPr="00A1197A">
              <w:rPr>
                <w:rFonts w:cs="Times New Roman"/>
                <w:lang w:val="ru-RU"/>
              </w:rPr>
              <w:t>радиочастот</w:t>
            </w:r>
            <w:r w:rsidRPr="00A1197A">
              <w:rPr>
                <w:rFonts w:cstheme="minorHAnsi"/>
                <w:lang w:val="ru-RU"/>
              </w:rPr>
              <w:t>, управляя регистрацией частот для спутниковых служб и обеспечивая необходимые регламентарные условия для удовлетворения растущего спроса на услуги спутниковой связи, особенно в отдаленных районах. Это включает создание условий для передовых применений, таких как телемедицина и образование.</w:t>
            </w:r>
          </w:p>
          <w:p w14:paraId="67DFA2F6" w14:textId="77777777" w:rsidR="00A1197A" w:rsidRPr="007675E8" w:rsidRDefault="00A1197A" w:rsidP="00637AED">
            <w:pPr>
              <w:keepNext/>
              <w:jc w:val="both"/>
              <w:rPr>
                <w:b/>
                <w:bCs/>
                <w:lang w:val="ru-RU"/>
              </w:rPr>
            </w:pPr>
            <w:r w:rsidRPr="007675E8">
              <w:rPr>
                <w:b/>
                <w:bCs/>
                <w:lang w:val="ru-RU"/>
              </w:rPr>
              <w:lastRenderedPageBreak/>
              <w:t>Задача 2 ГЦД. Расширить возможности участия в цифровой экономике и использования связанных с нею преимуществ для всех</w:t>
            </w:r>
          </w:p>
          <w:p w14:paraId="097BAB5C" w14:textId="5CC59442" w:rsidR="00A1197A" w:rsidRPr="005C0C30" w:rsidRDefault="007675E8" w:rsidP="00637AED">
            <w:pPr>
              <w:pStyle w:val="enumlev1"/>
              <w:jc w:val="both"/>
              <w:rPr>
                <w:rFonts w:cstheme="minorHAnsi"/>
                <w:b/>
                <w:bCs/>
                <w:lang w:val="ru-RU"/>
              </w:rPr>
            </w:pPr>
            <w:r w:rsidRPr="00A1197A">
              <w:rPr>
                <w:lang w:val="ru-RU"/>
              </w:rPr>
              <w:t>–</w:t>
            </w:r>
            <w:r w:rsidRPr="00A1197A">
              <w:rPr>
                <w:lang w:val="ru-RU"/>
              </w:rPr>
              <w:tab/>
            </w:r>
            <w:r w:rsidR="00A1197A" w:rsidRPr="007675E8">
              <w:rPr>
                <w:lang w:val="ru-RU"/>
              </w:rPr>
              <w:t>Страновые</w:t>
            </w:r>
            <w:r w:rsidR="00A1197A" w:rsidRPr="005C0C30">
              <w:rPr>
                <w:lang w:val="ru-RU"/>
              </w:rPr>
              <w:t xml:space="preserve"> обзоры и руководящие указания МСЭ в сфере регулирования ИКТ способствуют доступу к глобальной цифровой экономике, а Глобальный симпозиум для регуляторных органов (ГСР) дает возможность регуляторным органам обмениваться мнениями. Курсы Академии МСЭ и обучение цифровым навыкам способствуют обмену знаниями и наращиванию потенциала для цифровой </w:t>
            </w:r>
            <w:r w:rsidR="00A1197A" w:rsidRPr="00637AED">
              <w:rPr>
                <w:lang w:val="ru-RU"/>
              </w:rPr>
              <w:t>трансформации</w:t>
            </w:r>
            <w:r w:rsidR="00A1197A" w:rsidRPr="005C0C30">
              <w:rPr>
                <w:lang w:val="ru-RU"/>
              </w:rPr>
              <w:t>, а различные инициативы стимулируют инновации, особенно среди маргинализированных групп населения.</w:t>
            </w:r>
          </w:p>
          <w:p w14:paraId="6869A2CA" w14:textId="77777777" w:rsidR="00A1197A" w:rsidRPr="007675E8" w:rsidRDefault="00A1197A" w:rsidP="007675E8">
            <w:pPr>
              <w:rPr>
                <w:b/>
                <w:bCs/>
                <w:lang w:val="ru-RU"/>
              </w:rPr>
            </w:pPr>
            <w:r w:rsidRPr="007675E8">
              <w:rPr>
                <w:b/>
                <w:bCs/>
                <w:lang w:val="ru-RU"/>
              </w:rPr>
              <w:t>Задача 3 ГЦД. Сформировать инклюзивное, открытое, безопасное и защищенное цифровое пространство, в котором соблюдаются, защищаются и поощряются права человека</w:t>
            </w:r>
          </w:p>
          <w:p w14:paraId="37970C54" w14:textId="71BB4906" w:rsidR="00A1197A" w:rsidRPr="00A1197A" w:rsidRDefault="007675E8" w:rsidP="00637AED">
            <w:pPr>
              <w:pStyle w:val="enumlev1"/>
              <w:jc w:val="both"/>
              <w:rPr>
                <w:lang w:val="ru-RU"/>
              </w:rPr>
            </w:pPr>
            <w:r w:rsidRPr="00A1197A">
              <w:rPr>
                <w:lang w:val="ru-RU"/>
              </w:rPr>
              <w:t>–</w:t>
            </w:r>
            <w:r w:rsidRPr="00A1197A">
              <w:rPr>
                <w:lang w:val="ru-RU"/>
              </w:rPr>
              <w:tab/>
            </w:r>
            <w:r w:rsidR="00A1197A" w:rsidRPr="00A1197A">
              <w:rPr>
                <w:lang w:val="ru-RU"/>
              </w:rPr>
              <w:t xml:space="preserve">МСЭ и </w:t>
            </w:r>
            <w:r w:rsidR="00A1197A" w:rsidRPr="00637AED">
              <w:rPr>
                <w:lang w:val="ru-RU"/>
              </w:rPr>
              <w:t>Управление</w:t>
            </w:r>
            <w:r w:rsidR="00A1197A" w:rsidRPr="00A1197A">
              <w:rPr>
                <w:lang w:val="ru-RU"/>
              </w:rPr>
              <w:t xml:space="preserve"> Верховного комиссара по правам человека (УВКПЧ) укрепляют сотрудничество в целях построения основанного на правах человека цифрового будущего. Развивая достигнутые успехи, включая платформу "ИИ во благо" и Всемирное </w:t>
            </w:r>
            <w:r w:rsidR="00A1197A" w:rsidRPr="007675E8">
              <w:rPr>
                <w:rFonts w:eastAsia="Calibri" w:cs="Calibri"/>
                <w:lang w:val="ru-RU"/>
              </w:rPr>
              <w:t>сотрудничество</w:t>
            </w:r>
            <w:r w:rsidR="00A1197A" w:rsidRPr="00A1197A">
              <w:rPr>
                <w:lang w:val="ru-RU"/>
              </w:rPr>
              <w:t xml:space="preserve"> по стандартам (ВСС), МСЭ внедряет принципы защиты прав человека в процесс разработки технических стандартов, особенно в таких новых областях, как маркировка контента, созданного ИИ, установление аутентичности мультимедиа и обнаружение дипфейков.</w:t>
            </w:r>
          </w:p>
          <w:p w14:paraId="38C0D067" w14:textId="0790BC87" w:rsidR="00A1197A" w:rsidRPr="00A1197A" w:rsidRDefault="007675E8" w:rsidP="00637AED">
            <w:pPr>
              <w:pStyle w:val="enumlev1"/>
              <w:jc w:val="both"/>
              <w:rPr>
                <w:lang w:val="ru-RU"/>
              </w:rPr>
            </w:pPr>
            <w:r w:rsidRPr="00A1197A">
              <w:rPr>
                <w:lang w:val="ru-RU"/>
              </w:rPr>
              <w:t>–</w:t>
            </w:r>
            <w:r w:rsidRPr="00A1197A">
              <w:rPr>
                <w:lang w:val="ru-RU"/>
              </w:rPr>
              <w:tab/>
            </w:r>
            <w:r w:rsidR="00A1197A" w:rsidRPr="00A1197A">
              <w:rPr>
                <w:lang w:val="ru-RU"/>
              </w:rPr>
              <w:t xml:space="preserve">Форум ВВУИО остается одной из важнейших платформ с участием многих </w:t>
            </w:r>
            <w:r w:rsidR="00A1197A" w:rsidRPr="007675E8">
              <w:rPr>
                <w:rFonts w:eastAsia="Calibri" w:cs="Calibri"/>
                <w:lang w:val="ru-RU"/>
              </w:rPr>
              <w:t>заинтересованных</w:t>
            </w:r>
            <w:r w:rsidR="00A1197A" w:rsidRPr="00A1197A">
              <w:rPr>
                <w:lang w:val="ru-RU"/>
              </w:rPr>
              <w:t xml:space="preserve"> </w:t>
            </w:r>
            <w:r w:rsidR="00A1197A" w:rsidRPr="00A70E55">
              <w:rPr>
                <w:lang w:val="ru-RU"/>
              </w:rPr>
              <w:t>сторон</w:t>
            </w:r>
            <w:r w:rsidR="00A1197A" w:rsidRPr="00A1197A">
              <w:rPr>
                <w:lang w:val="ru-RU"/>
              </w:rPr>
              <w:t xml:space="preserve"> для содействия охвату цифровыми технологиями, обеспечению безопасности и подотчетности. Государства-Члены также будут активно участвовать в этом процессе, используя специальные механизмы, такие как рабочие группы Совета по защите ребенка в онлайновой среде и по вопросам интернета. Дополнительные усилия будут включать разработку руководящих принципов, основанных на правах человека, учебных материалов, инструментов для обеспечения безопасности в онлайновой среде</w:t>
            </w:r>
            <w:r w:rsidR="00A70E55">
              <w:rPr>
                <w:lang w:val="ru-RU"/>
              </w:rPr>
              <w:t xml:space="preserve"> </w:t>
            </w:r>
            <w:r w:rsidR="00A1197A" w:rsidRPr="00A1197A">
              <w:rPr>
                <w:lang w:val="ru-RU"/>
              </w:rPr>
              <w:t>и проведение исследований, в частности, для содействия созданию безопасной и благоприятной онлайновой среды для детей и других уязвимых групп. Эти инициативы соответствуют лежащей в основе Глобального цифрового договора концепции создания открытого, инклюзивного и безопасного цифрового пространства, основанного на международных стандартах в области прав человека.</w:t>
            </w:r>
          </w:p>
          <w:p w14:paraId="5807C9BF" w14:textId="77777777" w:rsidR="00A1197A" w:rsidRPr="007675E8" w:rsidRDefault="00A1197A" w:rsidP="007675E8">
            <w:pPr>
              <w:rPr>
                <w:b/>
                <w:bCs/>
                <w:lang w:val="ru-RU"/>
              </w:rPr>
            </w:pPr>
            <w:r w:rsidRPr="007675E8">
              <w:rPr>
                <w:b/>
                <w:bCs/>
                <w:lang w:val="ru-RU"/>
              </w:rPr>
              <w:t>Задача 4 ГЦД. Добиться успехов в развитии ответственных, справедливых и основанных на обеспечении функциональной совместимости подходов к управлению данными</w:t>
            </w:r>
          </w:p>
          <w:p w14:paraId="3DD3856B" w14:textId="790B8A11" w:rsidR="00A1197A" w:rsidRPr="00A1197A" w:rsidRDefault="00A1197A" w:rsidP="00637AED">
            <w:pPr>
              <w:pStyle w:val="enumlev1"/>
              <w:jc w:val="both"/>
              <w:rPr>
                <w:rFonts w:eastAsia="Calibri" w:cs="Calibri"/>
                <w:lang w:val="ru-RU"/>
              </w:rPr>
            </w:pPr>
            <w:r w:rsidRPr="00A1197A">
              <w:rPr>
                <w:rFonts w:ascii="Aptos" w:eastAsia="Aptos" w:hAnsi="Aptos" w:cs="Aptos"/>
                <w:lang w:val="ru-RU"/>
              </w:rPr>
              <w:t>–</w:t>
            </w:r>
            <w:r w:rsidRPr="00A1197A">
              <w:rPr>
                <w:lang w:val="ru-RU"/>
              </w:rPr>
              <w:tab/>
              <w:t xml:space="preserve">Составление </w:t>
            </w:r>
            <w:r w:rsidRPr="00A1197A">
              <w:rPr>
                <w:rFonts w:eastAsia="Calibri" w:cs="Calibri"/>
                <w:lang w:val="ru-RU"/>
              </w:rPr>
              <w:t>МСЭ Индекса развития ИКТ (</w:t>
            </w:r>
            <w:r w:rsidRPr="005C0C30">
              <w:rPr>
                <w:rFonts w:eastAsia="Calibri" w:cs="Calibri"/>
              </w:rPr>
              <w:t>IDI</w:t>
            </w:r>
            <w:r w:rsidRPr="00A1197A">
              <w:rPr>
                <w:rFonts w:eastAsia="Calibri" w:cs="Calibri"/>
                <w:lang w:val="ru-RU"/>
              </w:rPr>
              <w:t>), Глобального индекса кибербезопасности (</w:t>
            </w:r>
            <w:r w:rsidRPr="005C0C30">
              <w:rPr>
                <w:rFonts w:eastAsia="Calibri" w:cs="Calibri"/>
              </w:rPr>
              <w:t>GCI</w:t>
            </w:r>
            <w:r w:rsidRPr="00A1197A">
              <w:rPr>
                <w:rFonts w:eastAsia="Calibri" w:cs="Calibri"/>
                <w:lang w:val="ru-RU"/>
              </w:rPr>
              <w:t xml:space="preserve">) и работа с </w:t>
            </w:r>
            <w:r w:rsidRPr="007675E8">
              <w:rPr>
                <w:lang w:val="ru-RU"/>
              </w:rPr>
              <w:t>другими</w:t>
            </w:r>
            <w:r w:rsidRPr="00A1197A">
              <w:rPr>
                <w:rFonts w:eastAsia="Calibri" w:cs="Calibri"/>
                <w:lang w:val="ru-RU"/>
              </w:rPr>
              <w:t xml:space="preserve"> статистическими данными, а также сотрудничество с ЮНЕСКО в рамках Комиссии ООН по широкополосной связи, в частности ее Рабочей группы по управлению данными, и усилия БСЭ по обеспечению функциональной совместимости данных </w:t>
            </w:r>
            <w:r w:rsidR="009F5830">
              <w:rPr>
                <w:rFonts w:eastAsia="Calibri" w:cs="Calibri"/>
                <w:lang w:val="ru-RU"/>
              </w:rPr>
              <w:t>−</w:t>
            </w:r>
            <w:r w:rsidRPr="00A1197A">
              <w:rPr>
                <w:rFonts w:eastAsia="Calibri" w:cs="Calibri"/>
                <w:lang w:val="ru-RU"/>
              </w:rPr>
              <w:t xml:space="preserve"> все это способствует решению этой задачи.</w:t>
            </w:r>
          </w:p>
          <w:p w14:paraId="76B23C53" w14:textId="77777777" w:rsidR="00A1197A" w:rsidRPr="007675E8" w:rsidRDefault="00A1197A" w:rsidP="007675E8">
            <w:pPr>
              <w:rPr>
                <w:b/>
                <w:bCs/>
                <w:lang w:val="ru-RU"/>
              </w:rPr>
            </w:pPr>
            <w:r w:rsidRPr="007675E8">
              <w:rPr>
                <w:b/>
                <w:bCs/>
                <w:lang w:val="ru-RU"/>
              </w:rPr>
              <w:t>Задача 5 ГЦД. Усилить международное регулирование в отношении искусственного интеллекта на благо человечества</w:t>
            </w:r>
          </w:p>
          <w:p w14:paraId="2EC12FEB" w14:textId="1C1844DC" w:rsidR="00A1197A" w:rsidRPr="00A1197A" w:rsidRDefault="007675E8" w:rsidP="00637AED">
            <w:pPr>
              <w:pStyle w:val="enumlev1"/>
              <w:jc w:val="both"/>
              <w:rPr>
                <w:rFonts w:asciiTheme="minorHAnsi" w:hAnsiTheme="minorHAnsi" w:cstheme="minorHAnsi"/>
                <w:lang w:val="ru-RU"/>
              </w:rPr>
            </w:pPr>
            <w:r w:rsidRPr="00A1197A">
              <w:rPr>
                <w:lang w:val="ru-RU"/>
              </w:rPr>
              <w:t>–</w:t>
            </w:r>
            <w:r w:rsidRPr="00A1197A">
              <w:rPr>
                <w:lang w:val="ru-RU"/>
              </w:rPr>
              <w:tab/>
            </w:r>
            <w:r w:rsidR="00A1197A" w:rsidRPr="00A1197A">
              <w:rPr>
                <w:rFonts w:eastAsia="Calibri" w:cs="Calibri"/>
                <w:lang w:val="ru-RU"/>
              </w:rPr>
              <w:t>ГСР МСЭ и Межучрежденческая рабочая группа ООН по ИИ (</w:t>
            </w:r>
            <w:r w:rsidR="00A1197A" w:rsidRPr="005C0C30">
              <w:rPr>
                <w:rFonts w:eastAsia="Calibri" w:cs="Calibri"/>
              </w:rPr>
              <w:t>IAWG</w:t>
            </w:r>
            <w:r w:rsidR="00A1197A" w:rsidRPr="00A1197A">
              <w:rPr>
                <w:rFonts w:eastAsia="Calibri" w:cs="Calibri"/>
                <w:lang w:val="ru-RU"/>
              </w:rPr>
              <w:t>-</w:t>
            </w:r>
            <w:r w:rsidR="00A1197A" w:rsidRPr="005C0C30">
              <w:rPr>
                <w:rFonts w:eastAsia="Calibri" w:cs="Calibri"/>
              </w:rPr>
              <w:t>AI</w:t>
            </w:r>
            <w:r w:rsidR="00A1197A" w:rsidRPr="00A1197A">
              <w:rPr>
                <w:rFonts w:eastAsia="Calibri" w:cs="Calibri"/>
                <w:lang w:val="ru-RU"/>
              </w:rPr>
              <w:t xml:space="preserve">), возглавляемая МСЭ совместно с ЮНЕСКО, продолжают свою важную работу в этой области, в то время как Всемирное сотрудничество по стандартам (ВСС) </w:t>
            </w:r>
            <w:r w:rsidR="009F5830">
              <w:rPr>
                <w:rFonts w:eastAsia="Calibri" w:cs="Calibri"/>
                <w:lang w:val="ru-RU"/>
              </w:rPr>
              <w:t>−</w:t>
            </w:r>
            <w:r w:rsidR="00A1197A" w:rsidRPr="00A1197A">
              <w:rPr>
                <w:rFonts w:eastAsia="Calibri" w:cs="Calibri"/>
                <w:lang w:val="ru-RU"/>
              </w:rPr>
              <w:t xml:space="preserve"> партнерство с участием МСЭ, ИСО и МЭК </w:t>
            </w:r>
            <w:r w:rsidR="009F5830">
              <w:rPr>
                <w:rFonts w:eastAsia="Calibri" w:cs="Calibri"/>
                <w:lang w:val="ru-RU"/>
              </w:rPr>
              <w:t>−</w:t>
            </w:r>
            <w:r w:rsidR="00A1197A" w:rsidRPr="00A1197A">
              <w:rPr>
                <w:rFonts w:eastAsia="Calibri" w:cs="Calibri"/>
                <w:lang w:val="ru-RU"/>
              </w:rPr>
              <w:t xml:space="preserve"> способствует более эффективному обмену информацией о стандартах; в настоящее время в распоряжении БСЭ имеется более 165 стандартов ИИ и еще 150</w:t>
            </w:r>
            <w:r w:rsidR="00A1197A" w:rsidRPr="005C0C30">
              <w:rPr>
                <w:rFonts w:eastAsia="Calibri" w:cs="Calibri"/>
              </w:rPr>
              <w:t> </w:t>
            </w:r>
            <w:r w:rsidR="00A1197A" w:rsidRPr="00A1197A">
              <w:rPr>
                <w:rFonts w:eastAsia="Calibri" w:cs="Calibri"/>
                <w:lang w:val="ru-RU"/>
              </w:rPr>
              <w:t xml:space="preserve">стандартов в этой области находится на этапе разработки, при этом Бюро использует уникальные возможности своих членов для взаимодействия с </w:t>
            </w:r>
            <w:r w:rsidR="00A1197A" w:rsidRPr="00A1197A">
              <w:rPr>
                <w:rFonts w:eastAsia="Calibri" w:cs="Calibri"/>
                <w:lang w:val="ru-RU"/>
              </w:rPr>
              <w:lastRenderedPageBreak/>
              <w:t>ключевыми техническими компаниями и членами сообщества и укрепления сотрудничества с родственными учреждениями ООН, включая Всемирную организацию здравоохранения, ФАО, ВМО, МАГАТЭ, ЮНЕП и другие.</w:t>
            </w:r>
          </w:p>
          <w:p w14:paraId="44581646" w14:textId="77777777" w:rsidR="00A1197A" w:rsidRPr="00A1197A" w:rsidRDefault="00A1197A" w:rsidP="00637AED">
            <w:pPr>
              <w:spacing w:after="120"/>
              <w:jc w:val="both"/>
              <w:rPr>
                <w:lang w:val="ru-RU"/>
              </w:rPr>
            </w:pPr>
            <w:r w:rsidRPr="00A1197A">
              <w:rPr>
                <w:lang w:val="ru-RU"/>
              </w:rPr>
              <w:t xml:space="preserve">Подробная информация об осуществлении ГЦД в рамках процесса ВВУИО и деятельности МСЭ представлена в </w:t>
            </w:r>
            <w:hyperlink r:id="rId23" w:history="1">
              <w:r w:rsidRPr="00637AED">
                <w:rPr>
                  <w:rStyle w:val="Hyperlink"/>
                  <w:lang w:val="ru-RU"/>
                </w:rPr>
                <w:t>Приложении</w:t>
              </w:r>
            </w:hyperlink>
            <w:r w:rsidRPr="00A1197A">
              <w:rPr>
                <w:lang w:val="ru-RU"/>
              </w:rPr>
              <w:t xml:space="preserve"> к Плану действий, а сравнительная таблица, озаглавленная "Деятельность МСЭ и ВВУИО по выполнению задач Глобального цифрового договора (</w:t>
            </w:r>
            <w:proofErr w:type="spellStart"/>
            <w:r w:rsidRPr="00A1197A">
              <w:rPr>
                <w:lang w:val="ru-RU"/>
              </w:rPr>
              <w:t>ГЦД</w:t>
            </w:r>
            <w:proofErr w:type="spellEnd"/>
            <w:r w:rsidRPr="00A1197A">
              <w:rPr>
                <w:lang w:val="ru-RU"/>
              </w:rPr>
              <w:t xml:space="preserve">)", доступна </w:t>
            </w:r>
            <w:hyperlink r:id="rId24" w:history="1">
              <w:r w:rsidRPr="00637AED">
                <w:rPr>
                  <w:rStyle w:val="Hyperlink"/>
                  <w:lang w:val="ru-RU"/>
                </w:rPr>
                <w:t>здесь</w:t>
              </w:r>
            </w:hyperlink>
            <w:r w:rsidRPr="00A1197A">
              <w:rPr>
                <w:lang w:val="ru-RU"/>
              </w:rPr>
              <w:t>.</w:t>
            </w:r>
          </w:p>
        </w:tc>
      </w:tr>
    </w:tbl>
    <w:p w14:paraId="04E5E99D" w14:textId="77777777" w:rsidR="00A1197A" w:rsidRPr="00A1197A" w:rsidRDefault="00A1197A" w:rsidP="00637AED">
      <w:pPr>
        <w:pStyle w:val="Heading1"/>
      </w:pPr>
      <w:r w:rsidRPr="00A1197A">
        <w:lastRenderedPageBreak/>
        <w:t>2</w:t>
      </w:r>
      <w:r w:rsidRPr="00A1197A">
        <w:tab/>
        <w:t xml:space="preserve">Обновленная </w:t>
      </w:r>
      <w:r w:rsidRPr="00637AED">
        <w:t>информация</w:t>
      </w:r>
      <w:r w:rsidRPr="00A1197A">
        <w:t xml:space="preserve"> об укреплении цифрового сотрудничества в рамках ООН</w:t>
      </w:r>
    </w:p>
    <w:p w14:paraId="033FDAF2" w14:textId="77777777" w:rsidR="00A1197A" w:rsidRPr="00A1197A" w:rsidRDefault="00A1197A" w:rsidP="00637AED">
      <w:pPr>
        <w:jc w:val="both"/>
        <w:rPr>
          <w:lang w:val="ru-RU"/>
        </w:rPr>
      </w:pPr>
      <w:r w:rsidRPr="00A1197A">
        <w:rPr>
          <w:lang w:val="ru-RU"/>
        </w:rPr>
        <w:t>МСЭ играет активную роль в укреплении координации в рамках системы ООН, содействуя межсекторальному цифровому сотрудничеству, в том числе участвуя в работе Руководящего комитета ООН по реализации Пакта, возглавляемого Генеральным секретарем ООН, сопредседательствуя в Рабочей группе по цифровым технологиям совместно с Управлением цифровых и новейших технологий (УЦНТ), и участвуя в работе других рабочих группах, занимающихся соответствующими вопросами. Прилагая эти усилия, МСЭ стремится обеспечить согласованное решение задач цифрового развития в рамках системы ООН, способствуя коллективной ответственности за осуществление ГЦД и поддерживая реализацию Пакта.</w:t>
      </w:r>
    </w:p>
    <w:p w14:paraId="43BF3525" w14:textId="77777777" w:rsidR="00A1197A" w:rsidRPr="00A1197A" w:rsidRDefault="00A1197A" w:rsidP="00637AED">
      <w:pPr>
        <w:pStyle w:val="Heading2"/>
      </w:pPr>
      <w:r w:rsidRPr="00A1197A">
        <w:t>2.1</w:t>
      </w:r>
      <w:r w:rsidRPr="00A1197A">
        <w:tab/>
        <w:t>Рабочая группа по цифровым технологиям</w:t>
      </w:r>
    </w:p>
    <w:p w14:paraId="1966A2B8" w14:textId="77777777" w:rsidR="00A1197A" w:rsidRPr="007675E8" w:rsidRDefault="00A1197A" w:rsidP="00637AED">
      <w:pPr>
        <w:jc w:val="both"/>
        <w:rPr>
          <w:lang w:val="ru-RU"/>
        </w:rPr>
      </w:pPr>
      <w:r w:rsidRPr="007675E8">
        <w:rPr>
          <w:lang w:val="ru-RU"/>
        </w:rPr>
        <w:t>Созданная в октябре 2024 года Рабочая группа по цифровым технологиям (РГЦТ) разработала свой круг ведения и план работы, определяющие структуру этой группы, действующей под руководством МСЭ и УЦНТ, объем и содержание ее работы по выполнению действий, предусмотренных главой 3 Пакта во имя будущего, "Наука, техника и инновации (НТИ) и цифровое сотрудничество", и Глобальным цифровым договором (ГЦД).</w:t>
      </w:r>
    </w:p>
    <w:p w14:paraId="117D1B01" w14:textId="77777777" w:rsidR="00A1197A" w:rsidRPr="007675E8" w:rsidRDefault="00A1197A" w:rsidP="00637AED">
      <w:pPr>
        <w:jc w:val="both"/>
        <w:rPr>
          <w:lang w:val="ru-RU"/>
        </w:rPr>
      </w:pPr>
      <w:r w:rsidRPr="007675E8">
        <w:rPr>
          <w:lang w:val="ru-RU"/>
        </w:rPr>
        <w:t>Действуя под эгидой Руководящего комитета Генерального секретаря ООН, РГЦТ отвечает за координацию и общее руководство выполнением действий, порученных системе ООН, в том числе Генеральному секретарю ООН, а также за мониторинг, отслеживание и поддержку действий, предпринимаемых Государствами-Членами и соответствующими заинтересованными сторонами и относящихся к компетенции группы. Кроме того, ей поручено проанализировать относящуюся к ее компетенции работу по основным направлениям деятельности, распространять информацию об этой работе и оказывать поддержку КР и СГООН с целью эффективного осуществления ГЦД с использованием существующих структур.</w:t>
      </w:r>
    </w:p>
    <w:p w14:paraId="0781A4A6" w14:textId="77777777" w:rsidR="00A1197A" w:rsidRPr="007675E8" w:rsidRDefault="00A1197A" w:rsidP="00637AED">
      <w:pPr>
        <w:jc w:val="both"/>
        <w:rPr>
          <w:lang w:val="ru-RU"/>
        </w:rPr>
      </w:pPr>
      <w:r w:rsidRPr="007675E8">
        <w:rPr>
          <w:lang w:val="ru-RU"/>
        </w:rPr>
        <w:t>В составе Рабочей группы создано шесть подгрупп, занимающихся деятельностью, предусмотренной главой 3 "НТИ и цифровое сотрудничество" Пакта во имя будущего, а также по одной подгруппе для каждой из задач ГЦД. Помимо того, что МСЭ является сопредседателем Рабочей группы, он также участвует в руководстве работой подгрупп по выполнению Задачи 1 ГЦД, касающейся устранения цифровых разрывов, и Задачи 5, касающейся искусственного интеллекта. Одной из ключевых приоритетных задач Рабочей группы в целом будет разработка Плана осуществления ГЦД, упомянутого в пункте 71 ГЦД. Было бы желательно получить от Государств-Членов дополнительные рекомендации в отношении того, в какой форме они хотели бы видеть План осуществления ГЦД.</w:t>
      </w:r>
    </w:p>
    <w:p w14:paraId="13961906" w14:textId="77777777" w:rsidR="00A1197A" w:rsidRPr="007675E8" w:rsidRDefault="00A1197A" w:rsidP="00637AED">
      <w:pPr>
        <w:jc w:val="both"/>
        <w:rPr>
          <w:lang w:val="ru-RU"/>
        </w:rPr>
      </w:pPr>
      <w:r w:rsidRPr="007675E8">
        <w:rPr>
          <w:lang w:val="ru-RU"/>
        </w:rPr>
        <w:t xml:space="preserve">Первое собрание Рабочей группы по цифровым технологиям, состоявшееся 21 октября 2024 года, было посвящено определению задач и масштабов работы, а также планам доработки стратегий и определению направлений деятельности. С тех пор группа неоднократно проводила собрания на рабочем уровне для обмена информацией о ходе осуществления ГЦД, разработки своего круга ведения и усовершенствования своего плана работы. Представители сопредседателей проинформировали различные стороны о том, что сделано в процессе </w:t>
      </w:r>
      <w:r w:rsidRPr="007675E8">
        <w:rPr>
          <w:lang w:val="ru-RU"/>
        </w:rPr>
        <w:lastRenderedPageBreak/>
        <w:t>разработки планов осуществления ГЦД. Государства-Члены были проинформированы об этом в Нью-Йорке через Группу друзей по цифровым технологиям, компании – во время мероприятия, организованного</w:t>
      </w:r>
      <w:r w:rsidRPr="00A1197A">
        <w:rPr>
          <w:lang w:val="ru-RU"/>
        </w:rPr>
        <w:t xml:space="preserve"> </w:t>
      </w:r>
      <w:r w:rsidRPr="007675E8">
        <w:rPr>
          <w:lang w:val="ru-RU"/>
        </w:rPr>
        <w:t>Советом Соединенных Штатов по международному предпринимательству (USCIB) и</w:t>
      </w:r>
      <w:r w:rsidRPr="00A1197A">
        <w:rPr>
          <w:lang w:val="ru-RU"/>
        </w:rPr>
        <w:t xml:space="preserve"> </w:t>
      </w:r>
      <w:r w:rsidRPr="007675E8">
        <w:rPr>
          <w:lang w:val="ru-RU"/>
        </w:rPr>
        <w:t>организацией "Международная торговая палата – бизнес в поддержку информационного общества" (МТП-БПИО), гражданское общество – на ФУИ 2024 года в Эр-Рияде и на мероприятиях Коалиции за свободу в интернете в Женеве, а учреждения ООН в Нью-Йорке – через Межучрежденческую целевую группу ООН по науке, технике и инновациям. На собрании директоров, состоявшемся 27 февраля 2025 года, были окончательно согласованы круг ведения и план работы, а также были запрошены рекомендации в отношении дальнейших действий.</w:t>
      </w:r>
    </w:p>
    <w:p w14:paraId="004AAECF" w14:textId="77777777" w:rsidR="00A1197A" w:rsidRPr="007675E8" w:rsidRDefault="00A1197A" w:rsidP="00637AED">
      <w:pPr>
        <w:jc w:val="both"/>
        <w:rPr>
          <w:lang w:val="ru-RU"/>
        </w:rPr>
      </w:pPr>
      <w:r w:rsidRPr="007675E8">
        <w:rPr>
          <w:lang w:val="ru-RU"/>
        </w:rPr>
        <w:t>В план работы Рабочей группы были включены инициативы МСЭ в таких важнейших областях, как преодоление цифрового разрыва, цифровая экономика, цифровая грамотность, инклюзивность, безопасность в онлайновой среде, данные и ИИ, а также инициативы других подразделений и органов ООН. МСЭ поддерживает деятельность Рабочей группы для ускорения осуществления ГЦД, используя существующие механизмы, такие как Giga, "Девушки в ИКТ", "РАВНЫЕ", "Зеленая цифровая кампания", Академия МСЭ и цифровые навыки, Измерение ИКТ, Цифровая инициатива в поддержку ЦУР, Платформа цифрового регулирования, Комиссия МСЭ по широкополосной связи, Обмен данными по стандартам в области ИИ, и Коалиция по навыкам в области ИИ. Также отмечается значение крупных мероприятий МСЭ, таких как Глобальный симпозиум для регуляторных органов (ГСР), Глобальный саммит "ИИ во благо", Форум ВВУИО, Саммит по международным стандартам ИИ, Всемирная конференция радиосвязи (ВКР), Всемирная ассамблея по стандартизации электросвязи (ВАСЭ) и Всемирная конференция по развитию электросвязи (ВКРЭ) в качестве существующих механизмов и/или знаменательных событий, произошедших в 2025 году и запланированных на будущее.</w:t>
      </w:r>
    </w:p>
    <w:p w14:paraId="4C20F472" w14:textId="569D35A6" w:rsidR="00A1197A" w:rsidRPr="00637AED" w:rsidRDefault="00A1197A" w:rsidP="00637AED">
      <w:pPr>
        <w:pStyle w:val="Heading2"/>
      </w:pPr>
      <w:r w:rsidRPr="00A1197A">
        <w:t>2.2</w:t>
      </w:r>
      <w:r w:rsidRPr="00A1197A">
        <w:tab/>
        <w:t>Другие рабочие группы, участвующие в реализации Пакта</w:t>
      </w:r>
    </w:p>
    <w:p w14:paraId="274E8A91" w14:textId="5C3CFAEE" w:rsidR="00A1197A" w:rsidRPr="00A70E55" w:rsidRDefault="00A1197A" w:rsidP="00637AED">
      <w:pPr>
        <w:jc w:val="both"/>
        <w:rPr>
          <w:rFonts w:asciiTheme="minorHAnsi" w:hAnsiTheme="minorHAnsi" w:cstheme="minorHAnsi"/>
          <w:szCs w:val="22"/>
          <w:lang w:val="ru-RU" w:eastAsia="ko-KR"/>
        </w:rPr>
      </w:pPr>
      <w:r w:rsidRPr="00A1197A">
        <w:rPr>
          <w:rFonts w:asciiTheme="minorHAnsi" w:hAnsiTheme="minorHAnsi" w:cstheme="minorHAnsi"/>
          <w:szCs w:val="22"/>
          <w:lang w:val="ru-RU" w:eastAsia="ko-KR"/>
        </w:rPr>
        <w:t>МСЭ активно участвует в работе других рабочих групп, созданных в рамках Руководящего комитета по реализации Пакта, в том числе тех, которые занимаются вопросами, касающимися значения реализации Пакта для достижения ЦУР, мира и безопасности, реформ международной финансовой архитектуры (МФА), реформ системы управления ООН и молодежи.</w:t>
      </w:r>
    </w:p>
    <w:p w14:paraId="0B2693AD" w14:textId="2DD5CD68" w:rsidR="00A1197A" w:rsidRPr="007675E8" w:rsidRDefault="00A1197A" w:rsidP="00637AED">
      <w:pPr>
        <w:jc w:val="both"/>
        <w:rPr>
          <w:lang w:val="ru-RU"/>
        </w:rPr>
      </w:pPr>
      <w:r w:rsidRPr="007675E8">
        <w:rPr>
          <w:lang w:val="ru-RU"/>
        </w:rPr>
        <w:t>Примечательно, что вместе с УВРООН и УЦНТ МСЭ был назначен ведущим учреждением, ответственным за руководство работой, предусмотренной пунктом с) Действия 27 Пакта, касающегося устранения цифровых разрывов и укрепления международного сотрудничества для использования цифровых технологий, в составе Рабочей группы по вопросам мира и безопасности. Кроме того МСЭ, наряду с другими учреждениями, вносит свой вклад в выполнение пункта b) Действия 24 Пакта. Поскольку этот пункт предусматривает укрепление международного сотрудничества в целях предупреждения транснациональной организованной преступности во всех ее формах и борьбы с ней, в том числе с преступлениями, совершаемыми с использованием систем на основе информационно-коммуникационных технологий, МСЭ будет вносить, по мере необходимости, вклад в деятельность, связанную с укреплением доверия и безопасности при использовании ИКТ, действуя в рамках своего мандата.</w:t>
      </w:r>
    </w:p>
    <w:p w14:paraId="61FC13C2" w14:textId="77777777" w:rsidR="00A1197A" w:rsidRPr="00A1197A" w:rsidRDefault="00A1197A" w:rsidP="00637AED">
      <w:pPr>
        <w:jc w:val="both"/>
        <w:rPr>
          <w:rFonts w:asciiTheme="minorHAnsi" w:hAnsiTheme="minorHAnsi" w:cstheme="minorHAnsi"/>
          <w:b/>
          <w:bCs/>
          <w:szCs w:val="22"/>
          <w:lang w:val="ru-RU" w:eastAsia="ko-KR"/>
        </w:rPr>
      </w:pPr>
      <w:r w:rsidRPr="007675E8">
        <w:rPr>
          <w:lang w:val="ru-RU"/>
        </w:rPr>
        <w:t>МСЭ также участвует в деятельности Рабочей группы по реформе системы управления ООН, внося свой вклад в работу, направленную на укрепление системы ООН, расширение международного сотрудничества в исследовании космического пространства, защиту прав</w:t>
      </w:r>
      <w:r w:rsidRPr="00A1197A">
        <w:rPr>
          <w:rFonts w:asciiTheme="minorHAnsi" w:hAnsiTheme="minorHAnsi" w:cstheme="minorHAnsi"/>
          <w:szCs w:val="22"/>
          <w:lang w:val="ru-RU" w:eastAsia="ko-KR"/>
        </w:rPr>
        <w:t xml:space="preserve"> </w:t>
      </w:r>
      <w:r w:rsidRPr="007675E8">
        <w:rPr>
          <w:lang w:val="ru-RU"/>
        </w:rPr>
        <w:t>человека и решение глобальных проблем. В поддержку этих усилий МСЭ реализует важнейшие</w:t>
      </w:r>
      <w:r w:rsidRPr="00A1197A">
        <w:rPr>
          <w:rFonts w:asciiTheme="minorHAnsi" w:hAnsiTheme="minorHAnsi" w:cstheme="minorHAnsi"/>
          <w:szCs w:val="22"/>
          <w:lang w:val="ru-RU" w:eastAsia="ko-KR"/>
        </w:rPr>
        <w:t xml:space="preserve"> инициативы, такие как ВВУИО, </w:t>
      </w:r>
      <w:r w:rsidRPr="005C0C30">
        <w:rPr>
          <w:rFonts w:asciiTheme="minorHAnsi" w:hAnsiTheme="minorHAnsi" w:cstheme="minorHAnsi"/>
          <w:szCs w:val="22"/>
          <w:lang w:eastAsia="ko-KR"/>
        </w:rPr>
        <w:t>P</w:t>
      </w:r>
      <w:r w:rsidRPr="00A1197A">
        <w:rPr>
          <w:rFonts w:asciiTheme="minorHAnsi" w:hAnsiTheme="minorHAnsi" w:cstheme="minorHAnsi"/>
          <w:szCs w:val="22"/>
          <w:lang w:val="ru-RU" w:eastAsia="ko-KR"/>
        </w:rPr>
        <w:t>2</w:t>
      </w:r>
      <w:r w:rsidRPr="005C0C30">
        <w:rPr>
          <w:rFonts w:asciiTheme="minorHAnsi" w:hAnsiTheme="minorHAnsi" w:cstheme="minorHAnsi"/>
          <w:szCs w:val="22"/>
          <w:lang w:eastAsia="ko-KR"/>
        </w:rPr>
        <w:t>C</w:t>
      </w:r>
      <w:r w:rsidRPr="00A1197A">
        <w:rPr>
          <w:rFonts w:asciiTheme="minorHAnsi" w:hAnsiTheme="minorHAnsi" w:cstheme="minorHAnsi"/>
          <w:szCs w:val="22"/>
          <w:lang w:val="ru-RU" w:eastAsia="ko-KR"/>
        </w:rPr>
        <w:t xml:space="preserve"> и инициатива "Раннее предупреждение для всех" (</w:t>
      </w:r>
      <w:r w:rsidRPr="005C0C30">
        <w:rPr>
          <w:rFonts w:asciiTheme="minorHAnsi" w:hAnsiTheme="minorHAnsi" w:cstheme="minorHAnsi"/>
          <w:szCs w:val="22"/>
          <w:lang w:eastAsia="ko-KR"/>
        </w:rPr>
        <w:t>EW</w:t>
      </w:r>
      <w:r w:rsidRPr="00A1197A">
        <w:rPr>
          <w:rFonts w:asciiTheme="minorHAnsi" w:hAnsiTheme="minorHAnsi" w:cstheme="minorHAnsi"/>
          <w:szCs w:val="22"/>
          <w:lang w:val="ru-RU" w:eastAsia="ko-KR"/>
        </w:rPr>
        <w:t>4</w:t>
      </w:r>
      <w:r w:rsidRPr="005C0C30">
        <w:rPr>
          <w:rFonts w:asciiTheme="minorHAnsi" w:hAnsiTheme="minorHAnsi" w:cstheme="minorHAnsi"/>
          <w:szCs w:val="22"/>
          <w:lang w:eastAsia="ko-KR"/>
        </w:rPr>
        <w:t>A</w:t>
      </w:r>
      <w:r w:rsidRPr="00A1197A">
        <w:rPr>
          <w:rFonts w:asciiTheme="minorHAnsi" w:hAnsiTheme="minorHAnsi" w:cstheme="minorHAnsi"/>
          <w:szCs w:val="22"/>
          <w:lang w:val="ru-RU" w:eastAsia="ko-KR"/>
        </w:rPr>
        <w:t>).</w:t>
      </w:r>
    </w:p>
    <w:p w14:paraId="1E8EF75C" w14:textId="20B2784D" w:rsidR="00A1197A" w:rsidRPr="00A1197A" w:rsidRDefault="00A1197A" w:rsidP="00637AED">
      <w:pPr>
        <w:pStyle w:val="Heading2"/>
      </w:pPr>
      <w:r w:rsidRPr="00A1197A">
        <w:rPr>
          <w:rFonts w:asciiTheme="minorHAnsi" w:hAnsiTheme="minorHAnsi" w:cstheme="minorHAnsi"/>
        </w:rPr>
        <w:t>2.3</w:t>
      </w:r>
      <w:r w:rsidRPr="00A1197A">
        <w:rPr>
          <w:rFonts w:asciiTheme="minorHAnsi" w:hAnsiTheme="minorHAnsi" w:cstheme="minorHAnsi"/>
        </w:rPr>
        <w:tab/>
      </w:r>
      <w:r w:rsidRPr="00A1197A">
        <w:t xml:space="preserve">Межучрежденческая рабочая группа по искусственному интеллекту </w:t>
      </w:r>
    </w:p>
    <w:p w14:paraId="6DB43DE4" w14:textId="77777777" w:rsidR="00A1197A" w:rsidRPr="00A1197A" w:rsidRDefault="00A1197A" w:rsidP="00637AED">
      <w:pPr>
        <w:jc w:val="both"/>
        <w:rPr>
          <w:rFonts w:asciiTheme="minorHAnsi" w:eastAsiaTheme="minorEastAsia" w:hAnsiTheme="minorHAnsi" w:cstheme="minorHAnsi"/>
          <w:szCs w:val="22"/>
          <w:lang w:val="ru-RU" w:eastAsia="zh-CN"/>
        </w:rPr>
      </w:pPr>
      <w:r w:rsidRPr="00A1197A">
        <w:rPr>
          <w:szCs w:val="22"/>
          <w:lang w:val="ru-RU"/>
        </w:rPr>
        <w:t xml:space="preserve">Кроме того, </w:t>
      </w:r>
      <w:hyperlink r:id="rId25" w:anchor=":~:text=HLCP%2C%20established%20on%2027%20October,facing%20the%20United%20Nations%20system." w:history="1">
        <w:r w:rsidRPr="007675E8">
          <w:rPr>
            <w:rStyle w:val="Hyperlink"/>
            <w:lang w:val="ru-RU"/>
          </w:rPr>
          <w:t>Комитет высокого уровня по программам (КВУП</w:t>
        </w:r>
      </w:hyperlink>
      <w:r w:rsidRPr="007675E8">
        <w:rPr>
          <w:rStyle w:val="Hyperlink"/>
          <w:lang w:val="ru-RU"/>
        </w:rPr>
        <w:t>)</w:t>
      </w:r>
      <w:r w:rsidRPr="00A1197A">
        <w:rPr>
          <w:szCs w:val="22"/>
          <w:lang w:val="ru-RU"/>
        </w:rPr>
        <w:t xml:space="preserve">, действующий под эгидой </w:t>
      </w:r>
      <w:r w:rsidRPr="007675E8">
        <w:rPr>
          <w:lang w:val="ru-RU"/>
        </w:rPr>
        <w:t>Координационного</w:t>
      </w:r>
      <w:r w:rsidRPr="00A1197A">
        <w:rPr>
          <w:szCs w:val="22"/>
          <w:lang w:val="ru-RU"/>
        </w:rPr>
        <w:t xml:space="preserve"> совета руководителей системы ООН (</w:t>
      </w:r>
      <w:proofErr w:type="spellStart"/>
      <w:r w:rsidRPr="00A1197A">
        <w:rPr>
          <w:szCs w:val="22"/>
          <w:lang w:val="ru-RU"/>
        </w:rPr>
        <w:t>КСР</w:t>
      </w:r>
      <w:proofErr w:type="spellEnd"/>
      <w:r w:rsidRPr="00A1197A">
        <w:rPr>
          <w:szCs w:val="22"/>
          <w:lang w:val="ru-RU"/>
        </w:rPr>
        <w:t xml:space="preserve">), признавая важность </w:t>
      </w:r>
      <w:hyperlink r:id="rId26" w:history="1">
        <w:r w:rsidRPr="007675E8">
          <w:rPr>
            <w:rStyle w:val="Hyperlink"/>
            <w:lang w:val="ru-RU"/>
          </w:rPr>
          <w:t>Межучрежденческой рабочей группы по ИИ (</w:t>
        </w:r>
        <w:r w:rsidRPr="007675E8">
          <w:rPr>
            <w:rStyle w:val="Hyperlink"/>
          </w:rPr>
          <w:t>IAWG</w:t>
        </w:r>
        <w:r w:rsidRPr="007675E8">
          <w:rPr>
            <w:rStyle w:val="Hyperlink"/>
            <w:lang w:val="ru-RU"/>
          </w:rPr>
          <w:t>-</w:t>
        </w:r>
        <w:r w:rsidRPr="007675E8">
          <w:rPr>
            <w:rStyle w:val="Hyperlink"/>
          </w:rPr>
          <w:t>AI</w:t>
        </w:r>
      </w:hyperlink>
      <w:r w:rsidRPr="007675E8">
        <w:rPr>
          <w:rStyle w:val="Hyperlink"/>
          <w:lang w:val="ru-RU"/>
        </w:rPr>
        <w:t>)</w:t>
      </w:r>
      <w:r w:rsidRPr="00A1197A">
        <w:rPr>
          <w:szCs w:val="22"/>
          <w:lang w:val="ru-RU"/>
        </w:rPr>
        <w:t xml:space="preserve">, сопредседателями которой являются МСЭ и ЮНЕСКО, поручил согласовать ее работу с деятельностью других учреждений и обеспечить поддержку осуществления ГЦД системой ООН. В настоящее время МСЭ и ЮНЕСКО сотрудничают с другими учреждениями-членами </w:t>
      </w:r>
      <w:r w:rsidRPr="005C0C30">
        <w:rPr>
          <w:szCs w:val="22"/>
        </w:rPr>
        <w:t>IAWG</w:t>
      </w:r>
      <w:r w:rsidRPr="00A1197A">
        <w:rPr>
          <w:szCs w:val="22"/>
          <w:lang w:val="ru-RU"/>
        </w:rPr>
        <w:t>-</w:t>
      </w:r>
      <w:r w:rsidRPr="005C0C30">
        <w:rPr>
          <w:szCs w:val="22"/>
        </w:rPr>
        <w:t>AI</w:t>
      </w:r>
      <w:r w:rsidRPr="00A1197A">
        <w:rPr>
          <w:szCs w:val="22"/>
          <w:lang w:val="ru-RU"/>
        </w:rPr>
        <w:t xml:space="preserve">, предоставляя необходимую информацию Рабочей группе по цифровым технологиям (РГЦТ) и участвуя в обновлении плана работы </w:t>
      </w:r>
      <w:r w:rsidRPr="005C0C30">
        <w:rPr>
          <w:szCs w:val="22"/>
        </w:rPr>
        <w:t>IAWG</w:t>
      </w:r>
      <w:r w:rsidRPr="00A1197A">
        <w:rPr>
          <w:szCs w:val="22"/>
          <w:lang w:val="ru-RU"/>
        </w:rPr>
        <w:t>-</w:t>
      </w:r>
      <w:r w:rsidRPr="005C0C30">
        <w:rPr>
          <w:szCs w:val="22"/>
        </w:rPr>
        <w:t>AI</w:t>
      </w:r>
      <w:r w:rsidRPr="00A1197A">
        <w:rPr>
          <w:szCs w:val="22"/>
          <w:lang w:val="ru-RU"/>
        </w:rPr>
        <w:t xml:space="preserve"> на 12 месяцев. Кроме того, </w:t>
      </w:r>
      <w:r w:rsidRPr="005C0C30">
        <w:rPr>
          <w:rFonts w:asciiTheme="minorHAnsi" w:hAnsiTheme="minorHAnsi" w:cstheme="minorHAnsi"/>
          <w:szCs w:val="22"/>
        </w:rPr>
        <w:t>IAWG</w:t>
      </w:r>
      <w:r w:rsidRPr="00A1197A">
        <w:rPr>
          <w:rFonts w:asciiTheme="minorHAnsi" w:hAnsiTheme="minorHAnsi" w:cstheme="minorHAnsi"/>
          <w:szCs w:val="22"/>
          <w:lang w:val="ru-RU"/>
        </w:rPr>
        <w:t>-</w:t>
      </w:r>
      <w:r w:rsidRPr="005C0C30">
        <w:rPr>
          <w:rFonts w:asciiTheme="minorHAnsi" w:hAnsiTheme="minorHAnsi" w:cstheme="minorHAnsi"/>
          <w:szCs w:val="22"/>
        </w:rPr>
        <w:t>AI</w:t>
      </w:r>
      <w:r w:rsidRPr="00A1197A">
        <w:rPr>
          <w:rFonts w:asciiTheme="minorHAnsi" w:hAnsiTheme="minorHAnsi" w:cstheme="minorHAnsi"/>
          <w:szCs w:val="22"/>
          <w:lang w:val="ru-RU"/>
        </w:rPr>
        <w:t xml:space="preserve"> </w:t>
      </w:r>
      <w:r w:rsidRPr="00A1197A">
        <w:rPr>
          <w:szCs w:val="22"/>
          <w:lang w:val="ru-RU"/>
        </w:rPr>
        <w:t xml:space="preserve">провела совместное собрание с Подгруппой 5 РГЦТ, возглавляемой МСЭ, </w:t>
      </w:r>
      <w:r w:rsidRPr="00A1197A">
        <w:rPr>
          <w:rFonts w:asciiTheme="minorHAnsi" w:hAnsiTheme="minorHAnsi" w:cstheme="minorHAnsi"/>
          <w:szCs w:val="22"/>
          <w:lang w:val="ru-RU"/>
        </w:rPr>
        <w:t xml:space="preserve">УЦНТ </w:t>
      </w:r>
      <w:r w:rsidRPr="00A1197A">
        <w:rPr>
          <w:szCs w:val="22"/>
          <w:lang w:val="ru-RU"/>
        </w:rPr>
        <w:t>и ЮНЕСКО, в качестве вклада системы ООН в соответствующие процессы, предусмотренные ГЦД.</w:t>
      </w:r>
    </w:p>
    <w:p w14:paraId="36B739E2" w14:textId="77777777" w:rsidR="00A1197A" w:rsidRPr="00A1197A" w:rsidRDefault="00A1197A" w:rsidP="00637AED">
      <w:pPr>
        <w:pStyle w:val="Heading2"/>
      </w:pPr>
      <w:r w:rsidRPr="00A1197A">
        <w:t>2.4</w:t>
      </w:r>
      <w:r w:rsidRPr="00A1197A">
        <w:tab/>
        <w:t xml:space="preserve">Мероприятия на тему "Поговорим о цифровых технологиях" в рамках осуществления Глобального цифрового договора </w:t>
      </w:r>
    </w:p>
    <w:p w14:paraId="2E3455DD" w14:textId="77777777" w:rsidR="00A1197A" w:rsidRPr="00A1197A" w:rsidRDefault="00A1197A" w:rsidP="00637AED">
      <w:pPr>
        <w:jc w:val="both"/>
        <w:rPr>
          <w:lang w:val="ru-RU"/>
        </w:rPr>
      </w:pPr>
      <w:r w:rsidRPr="00A1197A">
        <w:rPr>
          <w:lang w:val="ru-RU"/>
        </w:rPr>
        <w:t xml:space="preserve">МСЭ также </w:t>
      </w:r>
      <w:r w:rsidRPr="007675E8">
        <w:rPr>
          <w:lang w:val="ru-RU"/>
        </w:rPr>
        <w:t>регулярно</w:t>
      </w:r>
      <w:r w:rsidRPr="00A1197A">
        <w:rPr>
          <w:lang w:val="ru-RU"/>
        </w:rPr>
        <w:t xml:space="preserve"> проводит мероприятия на тему "Поговорим о цифровых технологиях" в рамках сети "Женевская цифровая кухня", в которых принимают участие представители базирующихся в Женеве учреждений ООН и других международных организаций, чтобы обсудить новые тенденции цифрового развития, обменяться информацией об инициативах и укрепить сотрудничество. В ходе недавно проведенных мероприятий был обсужден вопрос о том, как такое сотрудничество может обеспечить полезный синергетический эффект для удовлетворения разнообразных потребностей Государств-Членов и заинтересованных сторон, особенно в том, что касается работы, предусмотренной ГЦД. Группа разработала "Женевский план сотрудничества" в поддержку осуществления ГЦД и в целях укрепления духа сотрудничества.</w:t>
      </w:r>
    </w:p>
    <w:p w14:paraId="28CED30F" w14:textId="77777777" w:rsidR="00A1197A" w:rsidRPr="00A1197A" w:rsidRDefault="00A1197A" w:rsidP="00637AED">
      <w:pPr>
        <w:jc w:val="both"/>
        <w:rPr>
          <w:lang w:val="ru-RU"/>
        </w:rPr>
      </w:pPr>
      <w:r w:rsidRPr="00A1197A">
        <w:rPr>
          <w:lang w:val="ru-RU"/>
        </w:rPr>
        <w:t xml:space="preserve">Начиная с января 2025 года, сеть "Женевская цифровая кухня" проводит серию углубленных тематических дискуссий на тему ГЦД. Первое такое мероприятие прошло под руководством УВКПЧ и было посвящено правам человека. За ним последовала вторая дискуссия в марте, </w:t>
      </w:r>
      <w:r w:rsidRPr="007675E8">
        <w:rPr>
          <w:lang w:val="ru-RU"/>
        </w:rPr>
        <w:t>организованная</w:t>
      </w:r>
      <w:r w:rsidRPr="00A1197A">
        <w:rPr>
          <w:lang w:val="ru-RU"/>
        </w:rPr>
        <w:t xml:space="preserve"> в сотрудничестве с МОТ и посвященная цифровым технологиям и будущему сферы труда. На своем собрании, состоявшемся в марте, группа также рассмотрела вопрос о развитии </w:t>
      </w:r>
      <w:r w:rsidRPr="007675E8">
        <w:rPr>
          <w:lang w:val="ru-RU"/>
        </w:rPr>
        <w:t>Центра</w:t>
      </w:r>
      <w:r w:rsidRPr="00A1197A">
        <w:rPr>
          <w:lang w:val="ru-RU"/>
        </w:rPr>
        <w:t xml:space="preserve"> данных для измерения ИКТ, созданного на базе Центра сбора данных МСЭ в качестве ключевого компонента Женевского плана сотрудничества и призванного сыграть важную роль в поддержке осуществления ЦГД и содействовать усилиям по оценке его осуществления.</w:t>
      </w:r>
    </w:p>
    <w:p w14:paraId="69767EBE" w14:textId="75A7EF25" w:rsidR="00796BD3" w:rsidRPr="000E6C97" w:rsidRDefault="00C462C5" w:rsidP="00A1197A">
      <w:pPr>
        <w:spacing w:before="720"/>
        <w:jc w:val="center"/>
        <w:rPr>
          <w:lang w:val="ru-RU"/>
        </w:rPr>
      </w:pPr>
      <w:r w:rsidRPr="000E6C97">
        <w:rPr>
          <w:lang w:val="ru-RU"/>
        </w:rPr>
        <w:t>______________</w:t>
      </w:r>
    </w:p>
    <w:sectPr w:rsidR="00796BD3" w:rsidRPr="000E6C97" w:rsidSect="00796BD3">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9B2A" w14:textId="77777777" w:rsidR="00022329" w:rsidRDefault="00022329">
      <w:r>
        <w:separator/>
      </w:r>
    </w:p>
  </w:endnote>
  <w:endnote w:type="continuationSeparator" w:id="0">
    <w:p w14:paraId="671FFF6A" w14:textId="77777777" w:rsidR="00022329" w:rsidRDefault="0002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C6D419" w14:textId="77777777" w:rsidTr="00E31DCE">
      <w:trPr>
        <w:jc w:val="center"/>
      </w:trPr>
      <w:tc>
        <w:tcPr>
          <w:tcW w:w="1803" w:type="dxa"/>
          <w:vAlign w:val="center"/>
        </w:tcPr>
        <w:p w14:paraId="794BBD74" w14:textId="63D30C9A" w:rsidR="00672F8A" w:rsidRDefault="00672F8A" w:rsidP="00672F8A">
          <w:pPr>
            <w:pStyle w:val="Header"/>
            <w:jc w:val="left"/>
            <w:rPr>
              <w:noProof/>
            </w:rPr>
          </w:pPr>
        </w:p>
      </w:tc>
      <w:tc>
        <w:tcPr>
          <w:tcW w:w="8261" w:type="dxa"/>
        </w:tcPr>
        <w:p w14:paraId="69B0129C" w14:textId="5595F481"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A1197A">
            <w:rPr>
              <w:bCs/>
            </w:rPr>
            <w:t>52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0C38C5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59252A8" w14:textId="77777777" w:rsidTr="00E31DCE">
      <w:trPr>
        <w:jc w:val="center"/>
      </w:trPr>
      <w:tc>
        <w:tcPr>
          <w:tcW w:w="1803" w:type="dxa"/>
          <w:vAlign w:val="center"/>
        </w:tcPr>
        <w:p w14:paraId="06743D96" w14:textId="42DFE8FF" w:rsidR="00672F8A" w:rsidRDefault="00D631AA" w:rsidP="00672F8A">
          <w:pPr>
            <w:pStyle w:val="Header"/>
            <w:jc w:val="left"/>
            <w:rPr>
              <w:noProof/>
            </w:rPr>
          </w:pPr>
          <w:r w:rsidRPr="00D631AA">
            <w:rPr>
              <w:color w:val="0563C1"/>
              <w:szCs w:val="14"/>
            </w:rPr>
            <w:t>council.itu.int/2025</w:t>
          </w:r>
        </w:p>
      </w:tc>
      <w:tc>
        <w:tcPr>
          <w:tcW w:w="8261" w:type="dxa"/>
        </w:tcPr>
        <w:p w14:paraId="346B5B17" w14:textId="33C91AB7"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A1197A">
            <w:rPr>
              <w:bCs/>
            </w:rPr>
            <w:t>52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979AD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8E48" w14:textId="77777777" w:rsidR="00022329" w:rsidRDefault="00022329">
      <w:r>
        <w:t>____________________</w:t>
      </w:r>
    </w:p>
  </w:footnote>
  <w:footnote w:type="continuationSeparator" w:id="0">
    <w:p w14:paraId="69ADCCC5" w14:textId="77777777" w:rsidR="00022329" w:rsidRDefault="00022329">
      <w:r>
        <w:continuationSeparator/>
      </w:r>
    </w:p>
  </w:footnote>
  <w:footnote w:id="1">
    <w:p w14:paraId="21839CC6" w14:textId="77777777" w:rsidR="00A1197A" w:rsidRPr="00DB0383" w:rsidRDefault="00A1197A" w:rsidP="00637AED">
      <w:pPr>
        <w:pStyle w:val="FootnoteText"/>
        <w:jc w:val="both"/>
      </w:pPr>
      <w:r w:rsidRPr="006E7941">
        <w:rPr>
          <w:rStyle w:val="FootnoteReference"/>
        </w:rPr>
        <w:footnoteRef/>
      </w:r>
      <w:r w:rsidRPr="00A1197A">
        <w:rPr>
          <w:lang w:val="ru-RU"/>
        </w:rPr>
        <w:tab/>
      </w:r>
      <w:r w:rsidRPr="00A1197A">
        <w:rPr>
          <w:rFonts w:cs="Calibri"/>
          <w:lang w:val="ru-RU"/>
        </w:rPr>
        <w:t>"Обзор Глобального цифрового договора, включая связанные с ним действия МСЭ"</w:t>
      </w:r>
      <w:r w:rsidRPr="00A1197A">
        <w:rPr>
          <w:rFonts w:hint="eastAsia"/>
          <w:lang w:val="ru-RU"/>
        </w:rPr>
        <w:t>,</w:t>
      </w:r>
      <w:r w:rsidRPr="00A1197A">
        <w:rPr>
          <w:lang w:val="ru-RU"/>
        </w:rPr>
        <w:t xml:space="preserve"> представленный РГС в 2024</w:t>
      </w:r>
      <w:r w:rsidRPr="006E7941">
        <w:t> </w:t>
      </w:r>
      <w:r w:rsidRPr="00A1197A">
        <w:rPr>
          <w:lang w:val="ru-RU"/>
        </w:rPr>
        <w:t xml:space="preserve">году, см. </w:t>
      </w:r>
      <w:hyperlink r:id="rId1" w:history="1">
        <w:proofErr w:type="spellStart"/>
        <w:r w:rsidRPr="007675E8">
          <w:rPr>
            <w:rStyle w:val="Hyperlink"/>
          </w:rPr>
          <w:t>здесь</w:t>
        </w:r>
        <w:proofErr w:type="spellEnd"/>
      </w:hyperlink>
      <w:r w:rsidRPr="006E794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7BB0AE95" w14:textId="77777777" w:rsidTr="00156890">
      <w:trPr>
        <w:trHeight w:val="1104"/>
        <w:jc w:val="center"/>
      </w:trPr>
      <w:tc>
        <w:tcPr>
          <w:tcW w:w="6359" w:type="dxa"/>
          <w:vAlign w:val="center"/>
        </w:tcPr>
        <w:p w14:paraId="65A9CAA7" w14:textId="548BDF22"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4FC0DEB" wp14:editId="19801713">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3DD05098" w14:textId="77777777" w:rsidR="00156890" w:rsidRDefault="00156890" w:rsidP="00796BD3">
          <w:pPr>
            <w:pStyle w:val="Header"/>
            <w:jc w:val="right"/>
            <w:rPr>
              <w:rFonts w:ascii="Arial" w:hAnsi="Arial" w:cs="Arial"/>
              <w:b/>
              <w:bCs/>
              <w:color w:val="009CD6"/>
              <w:szCs w:val="18"/>
            </w:rPr>
          </w:pPr>
        </w:p>
      </w:tc>
    </w:tr>
  </w:tbl>
  <w:p w14:paraId="008408D1" w14:textId="6452FD5C"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F2FE86" wp14:editId="771B154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79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4395"/>
        </w:tabs>
        <w:ind w:left="4395" w:hanging="360"/>
      </w:pPr>
      <w:rPr>
        <w:rFonts w:ascii="Symbol" w:hAnsi="Symbol" w:hint="default"/>
      </w:rPr>
    </w:lvl>
  </w:abstractNum>
  <w:abstractNum w:abstractNumId="1" w15:restartNumberingAfterBreak="0">
    <w:nsid w:val="45575CAF"/>
    <w:multiLevelType w:val="hybridMultilevel"/>
    <w:tmpl w:val="C0CE4914"/>
    <w:lvl w:ilvl="0" w:tplc="57F277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262DB"/>
    <w:multiLevelType w:val="hybridMultilevel"/>
    <w:tmpl w:val="4AD077A8"/>
    <w:lvl w:ilvl="0" w:tplc="51FCACB4">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209951880">
    <w:abstractNumId w:val="1"/>
  </w:num>
  <w:num w:numId="3" w16cid:durableId="6353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22329"/>
    <w:rsid w:val="000569B4"/>
    <w:rsid w:val="0006007D"/>
    <w:rsid w:val="0007184B"/>
    <w:rsid w:val="00080E82"/>
    <w:rsid w:val="000B2DE7"/>
    <w:rsid w:val="000C29CD"/>
    <w:rsid w:val="000E568E"/>
    <w:rsid w:val="000E6C97"/>
    <w:rsid w:val="0014229E"/>
    <w:rsid w:val="0014734F"/>
    <w:rsid w:val="00156890"/>
    <w:rsid w:val="0015710D"/>
    <w:rsid w:val="00163A32"/>
    <w:rsid w:val="00165D06"/>
    <w:rsid w:val="00192B41"/>
    <w:rsid w:val="001B7B09"/>
    <w:rsid w:val="001E6719"/>
    <w:rsid w:val="001E7F50"/>
    <w:rsid w:val="00225368"/>
    <w:rsid w:val="00227FF0"/>
    <w:rsid w:val="00291EB6"/>
    <w:rsid w:val="002C3F32"/>
    <w:rsid w:val="002D2F57"/>
    <w:rsid w:val="002D48C5"/>
    <w:rsid w:val="0033025A"/>
    <w:rsid w:val="00341BE3"/>
    <w:rsid w:val="00345D2A"/>
    <w:rsid w:val="003F099E"/>
    <w:rsid w:val="003F235E"/>
    <w:rsid w:val="00401FD7"/>
    <w:rsid w:val="004023E0"/>
    <w:rsid w:val="00403DD8"/>
    <w:rsid w:val="00442515"/>
    <w:rsid w:val="0045686C"/>
    <w:rsid w:val="004918C4"/>
    <w:rsid w:val="00496A91"/>
    <w:rsid w:val="00497703"/>
    <w:rsid w:val="004A0374"/>
    <w:rsid w:val="004A45B5"/>
    <w:rsid w:val="004D0129"/>
    <w:rsid w:val="00515795"/>
    <w:rsid w:val="005A64D5"/>
    <w:rsid w:val="005B3DEC"/>
    <w:rsid w:val="00601994"/>
    <w:rsid w:val="00637AED"/>
    <w:rsid w:val="00660449"/>
    <w:rsid w:val="00672F8A"/>
    <w:rsid w:val="00696352"/>
    <w:rsid w:val="006E2D42"/>
    <w:rsid w:val="00703676"/>
    <w:rsid w:val="00707304"/>
    <w:rsid w:val="00731B05"/>
    <w:rsid w:val="00732269"/>
    <w:rsid w:val="00762555"/>
    <w:rsid w:val="007675E8"/>
    <w:rsid w:val="0077110E"/>
    <w:rsid w:val="00785ABD"/>
    <w:rsid w:val="00796BD3"/>
    <w:rsid w:val="007A2DD4"/>
    <w:rsid w:val="007D38B5"/>
    <w:rsid w:val="007E7EA0"/>
    <w:rsid w:val="00807255"/>
    <w:rsid w:val="0081023E"/>
    <w:rsid w:val="008173AA"/>
    <w:rsid w:val="00840A14"/>
    <w:rsid w:val="008756BD"/>
    <w:rsid w:val="008B4484"/>
    <w:rsid w:val="008B62B4"/>
    <w:rsid w:val="008D2D7B"/>
    <w:rsid w:val="008E0737"/>
    <w:rsid w:val="008E1EFB"/>
    <w:rsid w:val="008F7C2C"/>
    <w:rsid w:val="00940E96"/>
    <w:rsid w:val="00950A82"/>
    <w:rsid w:val="009B0BAE"/>
    <w:rsid w:val="009C1C89"/>
    <w:rsid w:val="009F3448"/>
    <w:rsid w:val="009F5830"/>
    <w:rsid w:val="00A01CF9"/>
    <w:rsid w:val="00A1197A"/>
    <w:rsid w:val="00A20B63"/>
    <w:rsid w:val="00A70E55"/>
    <w:rsid w:val="00A71773"/>
    <w:rsid w:val="00AE2C85"/>
    <w:rsid w:val="00B0107F"/>
    <w:rsid w:val="00B12A37"/>
    <w:rsid w:val="00B41837"/>
    <w:rsid w:val="00B63EF2"/>
    <w:rsid w:val="00BA7D89"/>
    <w:rsid w:val="00BC0D39"/>
    <w:rsid w:val="00BC7BC0"/>
    <w:rsid w:val="00BD57B7"/>
    <w:rsid w:val="00BE63E2"/>
    <w:rsid w:val="00C012E5"/>
    <w:rsid w:val="00C06509"/>
    <w:rsid w:val="00C42122"/>
    <w:rsid w:val="00C462C5"/>
    <w:rsid w:val="00C54C1D"/>
    <w:rsid w:val="00CD2009"/>
    <w:rsid w:val="00CF629C"/>
    <w:rsid w:val="00D631AA"/>
    <w:rsid w:val="00D92EEA"/>
    <w:rsid w:val="00DA5D4E"/>
    <w:rsid w:val="00DA770A"/>
    <w:rsid w:val="00E05752"/>
    <w:rsid w:val="00E176BA"/>
    <w:rsid w:val="00E423EC"/>
    <w:rsid w:val="00E55121"/>
    <w:rsid w:val="00EB4FCB"/>
    <w:rsid w:val="00EC6BC5"/>
    <w:rsid w:val="00F348D0"/>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F7DF9"/>
  <w15:docId w15:val="{E3373710-F0C9-464E-B9D0-C039B75E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637AED"/>
    <w:pPr>
      <w:keepNext/>
      <w:keepLines/>
      <w:spacing w:before="360"/>
      <w:ind w:left="794" w:hanging="794"/>
      <w:outlineLvl w:val="0"/>
    </w:pPr>
    <w:rPr>
      <w:rFonts w:eastAsiaTheme="minorEastAsia"/>
      <w:b/>
      <w:sz w:val="26"/>
      <w:lang w:val="ru-RU" w:eastAsia="ko-KR"/>
    </w:rPr>
  </w:style>
  <w:style w:type="paragraph" w:styleId="Heading2">
    <w:name w:val="heading 2"/>
    <w:basedOn w:val="Heading1"/>
    <w:next w:val="Normal"/>
    <w:qFormat/>
    <w:rsid w:val="00637AED"/>
    <w:pPr>
      <w:spacing w:before="240"/>
      <w:jc w:val="both"/>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637AED"/>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paragraph" w:styleId="ListParagraph">
    <w:name w:val="List Paragraph"/>
    <w:aliases w:val="Listenabsatz Standard"/>
    <w:basedOn w:val="Normal"/>
    <w:link w:val="ListParagraphChar"/>
    <w:uiPriority w:val="34"/>
    <w:qFormat/>
    <w:rsid w:val="00A1197A"/>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kern w:val="2"/>
      <w:szCs w:val="22"/>
      <w:lang w:val="en-US" w:eastAsia="ko-KR"/>
      <w14:ligatures w14:val="standardContextual"/>
    </w:rPr>
  </w:style>
  <w:style w:type="character" w:customStyle="1" w:styleId="ListParagraphChar">
    <w:name w:val="List Paragraph Char"/>
    <w:aliases w:val="Listenabsatz Standard Char"/>
    <w:basedOn w:val="DefaultParagraphFont"/>
    <w:link w:val="ListParagraph"/>
    <w:uiPriority w:val="34"/>
    <w:locked/>
    <w:rsid w:val="00A1197A"/>
    <w:rPr>
      <w:rFonts w:asciiTheme="minorHAnsi" w:eastAsiaTheme="minorEastAsia" w:hAnsiTheme="minorHAnsi" w:cstheme="minorBidi"/>
      <w:kern w:val="2"/>
      <w:sz w:val="22"/>
      <w:szCs w:val="2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77/L.109" TargetMode="External"/><Relationship Id="rId13" Type="http://schemas.openxmlformats.org/officeDocument/2006/relationships/hyperlink" Target="https://www.itu.int/md/S19-CL-INF-0008/en" TargetMode="External"/><Relationship Id="rId18" Type="http://schemas.openxmlformats.org/officeDocument/2006/relationships/hyperlink" Target="https://www.itu.int/md/S23-CL-INF-0009/en" TargetMode="External"/><Relationship Id="rId26" Type="http://schemas.openxmlformats.org/officeDocument/2006/relationships/hyperlink" Target="https://unsceb.org/inter-agency-working-group-artificial-intelligence" TargetMode="External"/><Relationship Id="rId3" Type="http://schemas.openxmlformats.org/officeDocument/2006/relationships/settings" Target="settings.xml"/><Relationship Id="rId21" Type="http://schemas.openxmlformats.org/officeDocument/2006/relationships/hyperlink" Target="https://www.itu.int/md/S25-CWGWSIS42-C-0010/en" TargetMode="External"/><Relationship Id="rId7" Type="http://schemas.openxmlformats.org/officeDocument/2006/relationships/hyperlink" Target="https://undocs.org/en/A/RES/76/307" TargetMode="External"/><Relationship Id="rId12" Type="http://schemas.openxmlformats.org/officeDocument/2006/relationships/hyperlink" Target="https://undocs.org/Home/Mobile?FinalSymbol=A%2F79%2FL.3&amp;Language=E&amp;DeviceType=Desktop&amp;LangRequested=False" TargetMode="External"/><Relationship Id="rId17" Type="http://schemas.openxmlformats.org/officeDocument/2006/relationships/hyperlink" Target="https://www.itu.int/md/S23-CL-INF-0008/en" TargetMode="External"/><Relationship Id="rId25" Type="http://schemas.openxmlformats.org/officeDocument/2006/relationships/hyperlink" Target="https://unsceb.org/high-level-committee-programmes-hlcp" TargetMode="External"/><Relationship Id="rId2" Type="http://schemas.openxmlformats.org/officeDocument/2006/relationships/styles" Target="styles.xml"/><Relationship Id="rId16" Type="http://schemas.openxmlformats.org/officeDocument/2006/relationships/hyperlink" Target="https://www.itu.int/md/S22-CL-INF-0002/en" TargetMode="External"/><Relationship Id="rId20" Type="http://schemas.openxmlformats.org/officeDocument/2006/relationships/hyperlink" Target="https://www.itu.int/md/S24-CL-INF-0009/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Home/Mobile?FinalSymbol=A%2F79%2FL.2&amp;Language=E&amp;DeviceType=Desktop&amp;LangRequested=False" TargetMode="External"/><Relationship Id="rId24" Type="http://schemas.openxmlformats.org/officeDocument/2006/relationships/hyperlink" Target="https://www.itu.int/en/Documents/ITU-WSIS-global-digital-compact-objectives.pdf" TargetMode="External"/><Relationship Id="rId5" Type="http://schemas.openxmlformats.org/officeDocument/2006/relationships/footnotes" Target="footnotes.xml"/><Relationship Id="rId15" Type="http://schemas.openxmlformats.org/officeDocument/2006/relationships/hyperlink" Target="https://www.itu.int/md/S21-CL-INF-0002/en" TargetMode="External"/><Relationship Id="rId23" Type="http://schemas.openxmlformats.org/officeDocument/2006/relationships/hyperlink" Target="https://www.itu.int/md/S25-CWGWSIS42-C-0010/en" TargetMode="External"/><Relationship Id="rId28" Type="http://schemas.openxmlformats.org/officeDocument/2006/relationships/header" Target="header1.xml"/><Relationship Id="rId10" Type="http://schemas.openxmlformats.org/officeDocument/2006/relationships/hyperlink" Target="https://undocs.org/en/A/78/L.77" TargetMode="External"/><Relationship Id="rId19" Type="http://schemas.openxmlformats.org/officeDocument/2006/relationships/hyperlink" Target="https://www.itu.int/md/S24-CL-C-0055/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docs.org/en/A/77/L.63" TargetMode="External"/><Relationship Id="rId14" Type="http://schemas.openxmlformats.org/officeDocument/2006/relationships/hyperlink" Target="https://www.itu.int/md/S20-CL-INF-0003/en" TargetMode="External"/><Relationship Id="rId22" Type="http://schemas.openxmlformats.org/officeDocument/2006/relationships/hyperlink" Target="https://www.itu.int/md/S25-CWGWSIS42-C-0010/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cwg-wsis/Documents/2024/InfoSession%20on%20GDC_2Oct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14817</Characters>
  <Application>Microsoft Office Word</Application>
  <DocSecurity>0</DocSecurity>
  <Lines>239</Lines>
  <Paragraphs>53</Paragraphs>
  <ScaleCrop>false</ScaleCrop>
  <HeadingPairs>
    <vt:vector size="2" baseType="variant">
      <vt:variant>
        <vt:lpstr>Title</vt:lpstr>
      </vt:variant>
      <vt:variant>
        <vt:i4>1</vt:i4>
      </vt:variant>
    </vt:vector>
  </HeadingPairs>
  <TitlesOfParts>
    <vt:vector size="1" baseType="lpstr">
      <vt:lpstr>Updates on the ITU action plan for implementing the Global Digital Compact</vt:lpstr>
    </vt:vector>
  </TitlesOfParts>
  <Manager>General Secretariat - Pool</Manager>
  <Company>International Telecommunication Union (ITU)</Company>
  <LinksUpToDate>false</LinksUpToDate>
  <CharactersWithSpaces>16923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ITU action plan for implementing the Global Digital Compact</dc:title>
  <dc:subject>ITU Council 2025</dc:subject>
  <cp:keywords>C2025, C25, Council-25</cp:keywords>
  <dc:description/>
  <cp:lastPrinted>2006-03-28T16:12:00Z</cp:lastPrinted>
  <dcterms:created xsi:type="dcterms:W3CDTF">2025-06-03T12:52:00Z</dcterms:created>
  <dcterms:modified xsi:type="dcterms:W3CDTF">2025-06-03T12:52:00Z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