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821" w:tblpY="2314"/>
        <w:tblW w:w="9214" w:type="dxa"/>
        <w:tblLayout w:type="fixed"/>
        <w:tblLook w:val="0000" w:firstRow="0" w:lastRow="0" w:firstColumn="0" w:lastColumn="0" w:noHBand="0" w:noVBand="0"/>
      </w:tblPr>
      <w:tblGrid>
        <w:gridCol w:w="3969"/>
        <w:gridCol w:w="5245"/>
      </w:tblGrid>
      <w:tr w:rsidR="00D72F49" w:rsidRPr="00995C93" w14:paraId="0A827962" w14:textId="77777777" w:rsidTr="00D72F49">
        <w:trPr>
          <w:cantSplit/>
          <w:trHeight w:val="23"/>
        </w:trPr>
        <w:tc>
          <w:tcPr>
            <w:tcW w:w="3969" w:type="dxa"/>
            <w:vMerge w:val="restart"/>
            <w:tcMar>
              <w:left w:w="0" w:type="dxa"/>
            </w:tcMar>
          </w:tcPr>
          <w:p w14:paraId="7A7FF564" w14:textId="1E6870AD" w:rsidR="00D72F49" w:rsidRPr="00995C93" w:rsidRDefault="00D72F49" w:rsidP="00D72F49">
            <w:pPr>
              <w:tabs>
                <w:tab w:val="left" w:pos="851"/>
              </w:tabs>
              <w:spacing w:before="0" w:line="240" w:lineRule="atLeast"/>
              <w:rPr>
                <w:b/>
              </w:rPr>
            </w:pPr>
            <w:r w:rsidRPr="00995C93">
              <w:rPr>
                <w:b/>
              </w:rPr>
              <w:t>Point de l'ordre du jour:</w:t>
            </w:r>
            <w:r w:rsidR="00ED5B8E" w:rsidRPr="00995C93">
              <w:rPr>
                <w:b/>
              </w:rPr>
              <w:t xml:space="preserve"> PL 2</w:t>
            </w:r>
          </w:p>
        </w:tc>
        <w:tc>
          <w:tcPr>
            <w:tcW w:w="5245" w:type="dxa"/>
          </w:tcPr>
          <w:p w14:paraId="19F5EC99" w14:textId="0D56F554" w:rsidR="00D72F49" w:rsidRPr="00995C93" w:rsidRDefault="00D72F49" w:rsidP="00D72F49">
            <w:pPr>
              <w:tabs>
                <w:tab w:val="left" w:pos="851"/>
              </w:tabs>
              <w:spacing w:before="0" w:line="240" w:lineRule="atLeast"/>
              <w:jc w:val="right"/>
              <w:rPr>
                <w:b/>
              </w:rPr>
            </w:pPr>
            <w:r w:rsidRPr="00995C93">
              <w:rPr>
                <w:b/>
              </w:rPr>
              <w:t>Document C2</w:t>
            </w:r>
            <w:r w:rsidR="00FC6D7D" w:rsidRPr="00995C93">
              <w:rPr>
                <w:b/>
              </w:rPr>
              <w:t>5</w:t>
            </w:r>
            <w:r w:rsidRPr="00995C93">
              <w:rPr>
                <w:b/>
              </w:rPr>
              <w:t>/</w:t>
            </w:r>
            <w:r w:rsidR="00ED5B8E" w:rsidRPr="00995C93">
              <w:rPr>
                <w:b/>
              </w:rPr>
              <w:t>52</w:t>
            </w:r>
            <w:r w:rsidRPr="00995C93">
              <w:rPr>
                <w:b/>
              </w:rPr>
              <w:t>-F</w:t>
            </w:r>
          </w:p>
        </w:tc>
      </w:tr>
      <w:tr w:rsidR="00D72F49" w:rsidRPr="00995C93" w14:paraId="2978318A" w14:textId="77777777" w:rsidTr="00D72F49">
        <w:trPr>
          <w:cantSplit/>
        </w:trPr>
        <w:tc>
          <w:tcPr>
            <w:tcW w:w="3969" w:type="dxa"/>
            <w:vMerge/>
          </w:tcPr>
          <w:p w14:paraId="4A77693C" w14:textId="77777777" w:rsidR="00D72F49" w:rsidRPr="00995C93" w:rsidRDefault="00D72F49" w:rsidP="00D72F49">
            <w:pPr>
              <w:tabs>
                <w:tab w:val="left" w:pos="851"/>
              </w:tabs>
              <w:spacing w:line="240" w:lineRule="atLeast"/>
              <w:rPr>
                <w:b/>
              </w:rPr>
            </w:pPr>
          </w:p>
        </w:tc>
        <w:tc>
          <w:tcPr>
            <w:tcW w:w="5245" w:type="dxa"/>
          </w:tcPr>
          <w:p w14:paraId="620D0B52" w14:textId="528A143E" w:rsidR="00D72F49" w:rsidRPr="00995C93" w:rsidRDefault="00ED5B8E" w:rsidP="00D72F49">
            <w:pPr>
              <w:tabs>
                <w:tab w:val="left" w:pos="851"/>
              </w:tabs>
              <w:spacing w:before="0"/>
              <w:jc w:val="right"/>
              <w:rPr>
                <w:b/>
              </w:rPr>
            </w:pPr>
            <w:r w:rsidRPr="00995C93">
              <w:rPr>
                <w:b/>
              </w:rPr>
              <w:t>16 mai 2025</w:t>
            </w:r>
          </w:p>
        </w:tc>
      </w:tr>
      <w:tr w:rsidR="00D72F49" w:rsidRPr="00995C93" w14:paraId="27990919" w14:textId="77777777" w:rsidTr="00D72F49">
        <w:trPr>
          <w:cantSplit/>
          <w:trHeight w:val="23"/>
        </w:trPr>
        <w:tc>
          <w:tcPr>
            <w:tcW w:w="3969" w:type="dxa"/>
            <w:vMerge/>
          </w:tcPr>
          <w:p w14:paraId="0311526E" w14:textId="77777777" w:rsidR="00D72F49" w:rsidRPr="00995C93" w:rsidRDefault="00D72F49" w:rsidP="00D72F49">
            <w:pPr>
              <w:tabs>
                <w:tab w:val="left" w:pos="851"/>
              </w:tabs>
              <w:spacing w:line="240" w:lineRule="atLeast"/>
              <w:rPr>
                <w:b/>
              </w:rPr>
            </w:pPr>
          </w:p>
        </w:tc>
        <w:tc>
          <w:tcPr>
            <w:tcW w:w="5245" w:type="dxa"/>
          </w:tcPr>
          <w:p w14:paraId="4A93EA87" w14:textId="77777777" w:rsidR="00D72F49" w:rsidRPr="00995C93" w:rsidRDefault="00D72F49" w:rsidP="00D72F49">
            <w:pPr>
              <w:tabs>
                <w:tab w:val="left" w:pos="851"/>
              </w:tabs>
              <w:spacing w:before="0" w:line="240" w:lineRule="atLeast"/>
              <w:jc w:val="right"/>
              <w:rPr>
                <w:b/>
              </w:rPr>
            </w:pPr>
            <w:r w:rsidRPr="00995C93">
              <w:rPr>
                <w:b/>
              </w:rPr>
              <w:t>Original: anglais</w:t>
            </w:r>
          </w:p>
        </w:tc>
      </w:tr>
      <w:tr w:rsidR="00D72F49" w:rsidRPr="00995C93" w14:paraId="09E89524" w14:textId="77777777" w:rsidTr="00D72F49">
        <w:trPr>
          <w:cantSplit/>
          <w:trHeight w:val="23"/>
        </w:trPr>
        <w:tc>
          <w:tcPr>
            <w:tcW w:w="3969" w:type="dxa"/>
          </w:tcPr>
          <w:p w14:paraId="34FEDC93" w14:textId="77777777" w:rsidR="00D72F49" w:rsidRPr="00995C93" w:rsidRDefault="00D72F49" w:rsidP="00D72F49">
            <w:pPr>
              <w:tabs>
                <w:tab w:val="left" w:pos="851"/>
              </w:tabs>
              <w:spacing w:line="240" w:lineRule="atLeast"/>
              <w:rPr>
                <w:b/>
              </w:rPr>
            </w:pPr>
          </w:p>
        </w:tc>
        <w:tc>
          <w:tcPr>
            <w:tcW w:w="5245" w:type="dxa"/>
          </w:tcPr>
          <w:p w14:paraId="3060BABC" w14:textId="77777777" w:rsidR="00D72F49" w:rsidRPr="00995C93" w:rsidRDefault="00D72F49" w:rsidP="00D72F49">
            <w:pPr>
              <w:tabs>
                <w:tab w:val="left" w:pos="851"/>
              </w:tabs>
              <w:spacing w:before="0" w:line="240" w:lineRule="atLeast"/>
              <w:jc w:val="right"/>
              <w:rPr>
                <w:b/>
              </w:rPr>
            </w:pPr>
          </w:p>
        </w:tc>
      </w:tr>
      <w:tr w:rsidR="00D72F49" w:rsidRPr="00995C93" w14:paraId="4BE24BBA" w14:textId="77777777" w:rsidTr="00D72F49">
        <w:trPr>
          <w:cantSplit/>
        </w:trPr>
        <w:tc>
          <w:tcPr>
            <w:tcW w:w="9214" w:type="dxa"/>
            <w:gridSpan w:val="2"/>
            <w:tcMar>
              <w:left w:w="0" w:type="dxa"/>
            </w:tcMar>
          </w:tcPr>
          <w:p w14:paraId="3AAE4D8F" w14:textId="33EFB38D" w:rsidR="00D72F49" w:rsidRPr="00995C93" w:rsidRDefault="00D72F49" w:rsidP="00D72F49">
            <w:pPr>
              <w:pStyle w:val="Source"/>
              <w:jc w:val="left"/>
              <w:rPr>
                <w:sz w:val="34"/>
                <w:szCs w:val="34"/>
              </w:rPr>
            </w:pPr>
            <w:r w:rsidRPr="00995C93">
              <w:rPr>
                <w:rFonts w:cstheme="minorHAnsi"/>
                <w:color w:val="000000"/>
                <w:sz w:val="34"/>
                <w:szCs w:val="34"/>
              </w:rPr>
              <w:t xml:space="preserve">Rapport </w:t>
            </w:r>
            <w:r w:rsidR="00E95647" w:rsidRPr="00995C93">
              <w:rPr>
                <w:rFonts w:cstheme="minorHAnsi"/>
                <w:color w:val="000000"/>
                <w:sz w:val="34"/>
                <w:szCs w:val="34"/>
              </w:rPr>
              <w:t xml:space="preserve">de la </w:t>
            </w:r>
            <w:r w:rsidRPr="00995C93">
              <w:rPr>
                <w:rFonts w:cstheme="minorHAnsi"/>
                <w:color w:val="000000"/>
                <w:sz w:val="34"/>
                <w:szCs w:val="34"/>
              </w:rPr>
              <w:t>Secrétaire général</w:t>
            </w:r>
            <w:r w:rsidR="00E95647" w:rsidRPr="00995C93">
              <w:rPr>
                <w:rFonts w:cstheme="minorHAnsi"/>
                <w:color w:val="000000"/>
                <w:sz w:val="34"/>
                <w:szCs w:val="34"/>
              </w:rPr>
              <w:t>e</w:t>
            </w:r>
          </w:p>
        </w:tc>
      </w:tr>
      <w:tr w:rsidR="00D72F49" w:rsidRPr="00995C93" w14:paraId="212CF184" w14:textId="77777777" w:rsidTr="00D72F49">
        <w:trPr>
          <w:cantSplit/>
        </w:trPr>
        <w:tc>
          <w:tcPr>
            <w:tcW w:w="9214" w:type="dxa"/>
            <w:gridSpan w:val="2"/>
            <w:tcMar>
              <w:left w:w="0" w:type="dxa"/>
            </w:tcMar>
          </w:tcPr>
          <w:p w14:paraId="4380042C" w14:textId="0357AEDF" w:rsidR="00D72F49" w:rsidRPr="00995C93" w:rsidRDefault="00F005CB" w:rsidP="00D72F49">
            <w:pPr>
              <w:pStyle w:val="Subtitle"/>
              <w:framePr w:hSpace="0" w:wrap="auto" w:hAnchor="text" w:xAlign="left" w:yAlign="inline"/>
              <w:rPr>
                <w:sz w:val="32"/>
                <w:szCs w:val="32"/>
                <w:lang w:val="fr-FR"/>
              </w:rPr>
            </w:pPr>
            <w:r w:rsidRPr="00995C93">
              <w:rPr>
                <w:rFonts w:cstheme="minorHAnsi"/>
                <w:sz w:val="32"/>
                <w:szCs w:val="32"/>
                <w:lang w:val="fr-FR"/>
              </w:rPr>
              <w:t>INFORMATIONS ACTUALISÉES SUR LE PLAN D'ACTION DE L'UIT POUR LA MISE EN ŒUVRE DU PACTE NUMÉRIQUE MONDIAL</w:t>
            </w:r>
          </w:p>
        </w:tc>
      </w:tr>
      <w:tr w:rsidR="00D72F49" w:rsidRPr="00995C93" w14:paraId="34013283" w14:textId="77777777" w:rsidTr="00D72F49">
        <w:trPr>
          <w:cantSplit/>
        </w:trPr>
        <w:tc>
          <w:tcPr>
            <w:tcW w:w="9214" w:type="dxa"/>
            <w:gridSpan w:val="2"/>
            <w:tcBorders>
              <w:top w:val="single" w:sz="4" w:space="0" w:color="auto"/>
              <w:bottom w:val="single" w:sz="4" w:space="0" w:color="auto"/>
            </w:tcBorders>
            <w:tcMar>
              <w:left w:w="0" w:type="dxa"/>
            </w:tcMar>
          </w:tcPr>
          <w:p w14:paraId="543A0D26" w14:textId="77777777" w:rsidR="00D72F49" w:rsidRPr="00995C93" w:rsidRDefault="00F37FE5" w:rsidP="00D72F49">
            <w:pPr>
              <w:spacing w:before="160"/>
              <w:rPr>
                <w:b/>
                <w:bCs/>
                <w:sz w:val="26"/>
                <w:szCs w:val="26"/>
              </w:rPr>
            </w:pPr>
            <w:r w:rsidRPr="00995C93">
              <w:rPr>
                <w:b/>
                <w:bCs/>
                <w:sz w:val="26"/>
                <w:szCs w:val="26"/>
              </w:rPr>
              <w:t>Objet</w:t>
            </w:r>
          </w:p>
          <w:p w14:paraId="52174D7C" w14:textId="0BC7E1E1" w:rsidR="00D72F49" w:rsidRPr="00995C93" w:rsidRDefault="00ED5B8E" w:rsidP="00D72F49">
            <w:r w:rsidRPr="00995C93">
              <w:t>L'objectif du présent document est de fournir des informations actualisées sur le plan d'action de l'UIT en mettant en évidence les activités actuellement menées par l'Union à l'appui de la mise en œuvre du Pacte numérique mondial.</w:t>
            </w:r>
          </w:p>
          <w:p w14:paraId="6304705A" w14:textId="77777777" w:rsidR="00D72F49" w:rsidRPr="00995C93" w:rsidRDefault="00D72F49" w:rsidP="00D72F49">
            <w:pPr>
              <w:spacing w:before="160"/>
              <w:rPr>
                <w:b/>
                <w:bCs/>
                <w:sz w:val="26"/>
                <w:szCs w:val="26"/>
              </w:rPr>
            </w:pPr>
            <w:r w:rsidRPr="00995C93">
              <w:rPr>
                <w:b/>
                <w:bCs/>
                <w:sz w:val="26"/>
                <w:szCs w:val="26"/>
              </w:rPr>
              <w:t>Suite à donner par le Conseil</w:t>
            </w:r>
          </w:p>
          <w:p w14:paraId="3C571286" w14:textId="1B6D04B7" w:rsidR="00D72F49" w:rsidRPr="00995C93" w:rsidRDefault="00ED5B8E" w:rsidP="00D72F49">
            <w:r w:rsidRPr="00995C93">
              <w:t xml:space="preserve">Le Conseil est invité à </w:t>
            </w:r>
            <w:r w:rsidRPr="00995C93">
              <w:rPr>
                <w:b/>
                <w:bCs/>
              </w:rPr>
              <w:t>prendre note</w:t>
            </w:r>
            <w:r w:rsidRPr="00995C93">
              <w:t xml:space="preserve"> du présent document.</w:t>
            </w:r>
          </w:p>
          <w:p w14:paraId="736E72BF" w14:textId="77777777" w:rsidR="00D72F49" w:rsidRPr="00995C93" w:rsidRDefault="00D72F49" w:rsidP="00D72F49">
            <w:pPr>
              <w:spacing w:before="160"/>
              <w:rPr>
                <w:b/>
                <w:bCs/>
                <w:sz w:val="26"/>
                <w:szCs w:val="26"/>
              </w:rPr>
            </w:pPr>
            <w:r w:rsidRPr="00995C93">
              <w:rPr>
                <w:b/>
                <w:bCs/>
                <w:sz w:val="26"/>
                <w:szCs w:val="26"/>
              </w:rPr>
              <w:t xml:space="preserve">Lien(s) pertinent(s) avec le </w:t>
            </w:r>
            <w:r w:rsidR="00F37FE5" w:rsidRPr="00995C93">
              <w:rPr>
                <w:b/>
                <w:bCs/>
                <w:sz w:val="26"/>
                <w:szCs w:val="26"/>
              </w:rPr>
              <w:t>p</w:t>
            </w:r>
            <w:r w:rsidRPr="00995C93">
              <w:rPr>
                <w:b/>
                <w:bCs/>
                <w:sz w:val="26"/>
                <w:szCs w:val="26"/>
              </w:rPr>
              <w:t>lan stratégique</w:t>
            </w:r>
          </w:p>
          <w:p w14:paraId="6F3501F2" w14:textId="19016FB9" w:rsidR="00D72F49" w:rsidRPr="00995C93" w:rsidRDefault="00ED5B8E" w:rsidP="00D72F49">
            <w:r w:rsidRPr="00995C93">
              <w:t>Partenariats et coopération internationale.</w:t>
            </w:r>
          </w:p>
          <w:p w14:paraId="5F9884CB" w14:textId="77777777" w:rsidR="00E95647" w:rsidRPr="00995C93" w:rsidRDefault="00D72F49" w:rsidP="00D72F49">
            <w:pPr>
              <w:spacing w:before="160"/>
              <w:rPr>
                <w:b/>
                <w:bCs/>
                <w:sz w:val="26"/>
                <w:szCs w:val="26"/>
              </w:rPr>
            </w:pPr>
            <w:r w:rsidRPr="00995C93">
              <w:rPr>
                <w:b/>
                <w:bCs/>
                <w:sz w:val="26"/>
                <w:szCs w:val="26"/>
              </w:rPr>
              <w:t>Incidences financières</w:t>
            </w:r>
          </w:p>
          <w:p w14:paraId="792B3E87" w14:textId="14D03705" w:rsidR="00D72F49" w:rsidRPr="00995C93" w:rsidRDefault="00ED5B8E" w:rsidP="00882919">
            <w:pPr>
              <w:rPr>
                <w:szCs w:val="24"/>
              </w:rPr>
            </w:pPr>
            <w:r w:rsidRPr="00995C93">
              <w:rPr>
                <w:szCs w:val="24"/>
              </w:rPr>
              <w:t>Les coûts sont couverts par le budget alloué pour la période 2024-2025.</w:t>
            </w:r>
          </w:p>
          <w:p w14:paraId="0B0AB8A2" w14:textId="77777777" w:rsidR="00D72F49" w:rsidRPr="00995C93" w:rsidRDefault="00D72F49" w:rsidP="00D72F49">
            <w:pPr>
              <w:spacing w:before="160"/>
              <w:rPr>
                <w:caps/>
                <w:sz w:val="22"/>
              </w:rPr>
            </w:pPr>
            <w:r w:rsidRPr="00995C93">
              <w:rPr>
                <w:sz w:val="22"/>
              </w:rPr>
              <w:t>__________________</w:t>
            </w:r>
          </w:p>
          <w:p w14:paraId="3559CE6F" w14:textId="77777777" w:rsidR="00D72F49" w:rsidRPr="00995C93" w:rsidRDefault="00D72F49" w:rsidP="00D72F49">
            <w:pPr>
              <w:spacing w:before="160"/>
              <w:rPr>
                <w:b/>
                <w:bCs/>
                <w:sz w:val="26"/>
                <w:szCs w:val="26"/>
              </w:rPr>
            </w:pPr>
            <w:r w:rsidRPr="00995C93">
              <w:rPr>
                <w:b/>
                <w:bCs/>
                <w:sz w:val="26"/>
                <w:szCs w:val="26"/>
              </w:rPr>
              <w:t>Références</w:t>
            </w:r>
          </w:p>
          <w:p w14:paraId="515138E9" w14:textId="0464A163" w:rsidR="00D72F49" w:rsidRPr="001E28EE" w:rsidRDefault="00ED5B8E" w:rsidP="00D72F49">
            <w:pPr>
              <w:spacing w:after="160"/>
              <w:rPr>
                <w:i/>
                <w:iCs/>
                <w:sz w:val="22"/>
                <w:szCs w:val="22"/>
              </w:rPr>
            </w:pPr>
            <w:r w:rsidRPr="001E28EE">
              <w:rPr>
                <w:i/>
                <w:iCs/>
                <w:sz w:val="22"/>
                <w:szCs w:val="22"/>
              </w:rPr>
              <w:t xml:space="preserve">Résolutions </w:t>
            </w:r>
            <w:hyperlink r:id="rId7" w:history="1">
              <w:r w:rsidRPr="001E28EE">
                <w:rPr>
                  <w:rStyle w:val="Hyperlink"/>
                  <w:rFonts w:eastAsia="Times New Roman" w:cs="Times New Roman"/>
                  <w:i/>
                  <w:iCs/>
                  <w:sz w:val="22"/>
                </w:rPr>
                <w:t>A/RES/76/307</w:t>
              </w:r>
            </w:hyperlink>
            <w:r w:rsidRPr="001E28EE">
              <w:rPr>
                <w:i/>
                <w:iCs/>
                <w:sz w:val="22"/>
                <w:szCs w:val="22"/>
              </w:rPr>
              <w:t xml:space="preserve">, </w:t>
            </w:r>
            <w:hyperlink r:id="rId8" w:history="1">
              <w:r w:rsidRPr="001E28EE">
                <w:rPr>
                  <w:rStyle w:val="Hyperlink"/>
                  <w:rFonts w:eastAsia="Times New Roman" w:cs="Times New Roman"/>
                  <w:i/>
                  <w:iCs/>
                  <w:sz w:val="22"/>
                </w:rPr>
                <w:t>A/77/L.109</w:t>
              </w:r>
            </w:hyperlink>
            <w:r w:rsidRPr="001E28EE">
              <w:rPr>
                <w:i/>
                <w:iCs/>
                <w:sz w:val="22"/>
                <w:szCs w:val="22"/>
              </w:rPr>
              <w:t xml:space="preserve"> (Décision 77/568), </w:t>
            </w:r>
            <w:hyperlink r:id="rId9" w:history="1">
              <w:r w:rsidRPr="001E28EE">
                <w:rPr>
                  <w:rStyle w:val="Hyperlink"/>
                  <w:rFonts w:eastAsia="Times New Roman" w:cs="Times New Roman"/>
                  <w:i/>
                  <w:iCs/>
                  <w:sz w:val="22"/>
                </w:rPr>
                <w:t>A/77/L.63</w:t>
              </w:r>
            </w:hyperlink>
            <w:r w:rsidRPr="001E28EE">
              <w:rPr>
                <w:i/>
                <w:iCs/>
                <w:sz w:val="22"/>
                <w:szCs w:val="22"/>
              </w:rPr>
              <w:t xml:space="preserve">, </w:t>
            </w:r>
            <w:hyperlink r:id="rId10" w:history="1">
              <w:r w:rsidRPr="001E28EE">
                <w:rPr>
                  <w:rStyle w:val="Hyperlink"/>
                  <w:rFonts w:eastAsia="Times New Roman" w:cs="Times New Roman"/>
                  <w:i/>
                  <w:iCs/>
                  <w:sz w:val="22"/>
                </w:rPr>
                <w:t>A/78/L.77</w:t>
              </w:r>
            </w:hyperlink>
            <w:r w:rsidRPr="001E28EE">
              <w:rPr>
                <w:i/>
                <w:iCs/>
                <w:sz w:val="22"/>
                <w:szCs w:val="22"/>
              </w:rPr>
              <w:t xml:space="preserve"> (Décision 78/555), </w:t>
            </w:r>
            <w:hyperlink r:id="rId11" w:history="1">
              <w:r w:rsidRPr="001E28EE">
                <w:rPr>
                  <w:rStyle w:val="Hyperlink"/>
                  <w:rFonts w:eastAsia="Times New Roman" w:cs="Times New Roman"/>
                  <w:i/>
                  <w:iCs/>
                  <w:sz w:val="22"/>
                </w:rPr>
                <w:t>A/79/L.2</w:t>
              </w:r>
            </w:hyperlink>
            <w:r w:rsidRPr="001E28EE">
              <w:rPr>
                <w:i/>
                <w:iCs/>
                <w:sz w:val="22"/>
                <w:szCs w:val="22"/>
              </w:rPr>
              <w:t xml:space="preserve"> et </w:t>
            </w:r>
            <w:hyperlink r:id="rId12" w:history="1">
              <w:r w:rsidRPr="001E28EE">
                <w:rPr>
                  <w:rStyle w:val="Hyperlink"/>
                  <w:rFonts w:eastAsia="Times New Roman" w:cs="Times New Roman"/>
                  <w:i/>
                  <w:iCs/>
                  <w:sz w:val="22"/>
                </w:rPr>
                <w:t>A/79/L.3</w:t>
              </w:r>
            </w:hyperlink>
            <w:r w:rsidRPr="001E28EE">
              <w:rPr>
                <w:i/>
                <w:iCs/>
                <w:sz w:val="22"/>
                <w:szCs w:val="22"/>
              </w:rPr>
              <w:t xml:space="preserve"> de l'Assemblée générale des Nations Unies</w:t>
            </w:r>
            <w:r w:rsidR="00D2335F" w:rsidRPr="001E28EE">
              <w:rPr>
                <w:i/>
                <w:iCs/>
                <w:sz w:val="22"/>
                <w:szCs w:val="22"/>
              </w:rPr>
              <w:t>;</w:t>
            </w:r>
            <w:r w:rsidRPr="001E28EE">
              <w:rPr>
                <w:i/>
                <w:iCs/>
                <w:sz w:val="22"/>
                <w:szCs w:val="22"/>
              </w:rPr>
              <w:t xml:space="preserve"> Documents </w:t>
            </w:r>
            <w:hyperlink r:id="rId13" w:history="1">
              <w:r w:rsidRPr="001E28EE">
                <w:rPr>
                  <w:rStyle w:val="Hyperlink"/>
                  <w:rFonts w:eastAsia="Times New Roman" w:cs="Times New Roman"/>
                  <w:i/>
                  <w:iCs/>
                  <w:sz w:val="22"/>
                </w:rPr>
                <w:t>C19/INF/8</w:t>
              </w:r>
            </w:hyperlink>
            <w:r w:rsidRPr="001E28EE">
              <w:rPr>
                <w:i/>
                <w:iCs/>
                <w:sz w:val="22"/>
                <w:szCs w:val="22"/>
              </w:rPr>
              <w:t xml:space="preserve">, </w:t>
            </w:r>
            <w:hyperlink r:id="rId14" w:history="1">
              <w:r w:rsidRPr="001E28EE">
                <w:rPr>
                  <w:rStyle w:val="Hyperlink"/>
                  <w:rFonts w:eastAsia="Times New Roman" w:cs="Times New Roman"/>
                  <w:i/>
                  <w:iCs/>
                  <w:sz w:val="22"/>
                </w:rPr>
                <w:t>C20/INF/3</w:t>
              </w:r>
            </w:hyperlink>
            <w:r w:rsidR="00D2335F" w:rsidRPr="001E28EE">
              <w:rPr>
                <w:i/>
                <w:iCs/>
                <w:sz w:val="22"/>
                <w:szCs w:val="22"/>
              </w:rPr>
              <w:t>,</w:t>
            </w:r>
            <w:r w:rsidRPr="001E28EE">
              <w:rPr>
                <w:i/>
                <w:iCs/>
                <w:sz w:val="22"/>
                <w:szCs w:val="22"/>
              </w:rPr>
              <w:t xml:space="preserve"> </w:t>
            </w:r>
            <w:hyperlink r:id="rId15" w:history="1">
              <w:r w:rsidRPr="001E28EE">
                <w:rPr>
                  <w:rStyle w:val="Hyperlink"/>
                  <w:rFonts w:eastAsia="Times New Roman" w:cs="Times New Roman"/>
                  <w:i/>
                  <w:iCs/>
                  <w:sz w:val="22"/>
                </w:rPr>
                <w:t>C21/INF/2</w:t>
              </w:r>
            </w:hyperlink>
            <w:r w:rsidR="00D2335F" w:rsidRPr="001E28EE">
              <w:rPr>
                <w:i/>
                <w:iCs/>
                <w:sz w:val="22"/>
                <w:szCs w:val="22"/>
              </w:rPr>
              <w:t>,</w:t>
            </w:r>
            <w:r w:rsidRPr="001E28EE">
              <w:rPr>
                <w:i/>
                <w:iCs/>
                <w:sz w:val="22"/>
                <w:szCs w:val="22"/>
              </w:rPr>
              <w:t xml:space="preserve"> </w:t>
            </w:r>
            <w:hyperlink r:id="rId16" w:history="1">
              <w:r w:rsidRPr="001E28EE">
                <w:rPr>
                  <w:rStyle w:val="Hyperlink"/>
                  <w:rFonts w:eastAsia="Times New Roman" w:cs="Times New Roman"/>
                  <w:i/>
                  <w:iCs/>
                  <w:sz w:val="22"/>
                </w:rPr>
                <w:t>C22/INF/2</w:t>
              </w:r>
            </w:hyperlink>
            <w:r w:rsidR="00D2335F" w:rsidRPr="001E28EE">
              <w:rPr>
                <w:i/>
                <w:iCs/>
                <w:sz w:val="22"/>
                <w:szCs w:val="22"/>
              </w:rPr>
              <w:t>,</w:t>
            </w:r>
            <w:r w:rsidRPr="001E28EE">
              <w:rPr>
                <w:i/>
                <w:iCs/>
                <w:sz w:val="22"/>
                <w:szCs w:val="22"/>
              </w:rPr>
              <w:t xml:space="preserve"> </w:t>
            </w:r>
            <w:hyperlink r:id="rId17" w:history="1">
              <w:r w:rsidRPr="001E28EE">
                <w:rPr>
                  <w:rStyle w:val="Hyperlink"/>
                  <w:rFonts w:eastAsia="Times New Roman" w:cs="Times New Roman"/>
                  <w:i/>
                  <w:iCs/>
                  <w:sz w:val="22"/>
                </w:rPr>
                <w:t>C23/INF/8</w:t>
              </w:r>
            </w:hyperlink>
            <w:r w:rsidRPr="001E28EE">
              <w:rPr>
                <w:i/>
                <w:iCs/>
                <w:sz w:val="22"/>
                <w:szCs w:val="22"/>
              </w:rPr>
              <w:t xml:space="preserve">, </w:t>
            </w:r>
            <w:hyperlink r:id="rId18" w:history="1">
              <w:r w:rsidRPr="001E28EE">
                <w:rPr>
                  <w:rStyle w:val="Hyperlink"/>
                  <w:rFonts w:eastAsia="Times New Roman" w:cs="Times New Roman"/>
                  <w:i/>
                  <w:iCs/>
                  <w:sz w:val="22"/>
                </w:rPr>
                <w:t>C23/INF/9</w:t>
              </w:r>
            </w:hyperlink>
            <w:r w:rsidR="00D2335F" w:rsidRPr="001E28EE">
              <w:rPr>
                <w:i/>
                <w:iCs/>
                <w:sz w:val="22"/>
                <w:szCs w:val="22"/>
              </w:rPr>
              <w:t>,</w:t>
            </w:r>
            <w:r w:rsidRPr="001E28EE">
              <w:rPr>
                <w:i/>
                <w:iCs/>
                <w:sz w:val="22"/>
                <w:szCs w:val="22"/>
              </w:rPr>
              <w:t xml:space="preserve"> </w:t>
            </w:r>
            <w:hyperlink r:id="rId19" w:history="1">
              <w:r w:rsidRPr="001E28EE">
                <w:rPr>
                  <w:rStyle w:val="Hyperlink"/>
                  <w:rFonts w:eastAsia="Times New Roman" w:cs="Times New Roman"/>
                  <w:i/>
                  <w:iCs/>
                  <w:sz w:val="22"/>
                </w:rPr>
                <w:t>C24/55</w:t>
              </w:r>
            </w:hyperlink>
            <w:r w:rsidRPr="001E28EE">
              <w:rPr>
                <w:i/>
                <w:iCs/>
                <w:sz w:val="22"/>
                <w:szCs w:val="22"/>
              </w:rPr>
              <w:t xml:space="preserve">, </w:t>
            </w:r>
            <w:hyperlink r:id="rId20" w:history="1">
              <w:r w:rsidRPr="001E28EE">
                <w:rPr>
                  <w:rStyle w:val="Hyperlink"/>
                  <w:rFonts w:eastAsia="Times New Roman" w:cs="Times New Roman"/>
                  <w:i/>
                  <w:iCs/>
                  <w:sz w:val="22"/>
                </w:rPr>
                <w:t>C24/INF/9</w:t>
              </w:r>
            </w:hyperlink>
            <w:r w:rsidRPr="001E28EE">
              <w:rPr>
                <w:i/>
                <w:iCs/>
                <w:sz w:val="22"/>
                <w:szCs w:val="22"/>
              </w:rPr>
              <w:t xml:space="preserve"> et </w:t>
            </w:r>
            <w:hyperlink r:id="rId21" w:history="1">
              <w:r w:rsidRPr="001E28EE">
                <w:rPr>
                  <w:rStyle w:val="Hyperlink"/>
                  <w:rFonts w:eastAsia="Times New Roman" w:cs="Times New Roman"/>
                  <w:i/>
                  <w:iCs/>
                  <w:sz w:val="22"/>
                </w:rPr>
                <w:t>CWG-WSIS&amp;SDG-42/10</w:t>
              </w:r>
            </w:hyperlink>
            <w:r w:rsidRPr="001E28EE">
              <w:rPr>
                <w:i/>
                <w:iCs/>
                <w:sz w:val="22"/>
                <w:szCs w:val="22"/>
              </w:rPr>
              <w:t>.</w:t>
            </w:r>
          </w:p>
        </w:tc>
      </w:tr>
    </w:tbl>
    <w:p w14:paraId="4E1D1216" w14:textId="77777777" w:rsidR="00A51849" w:rsidRPr="00995C93" w:rsidRDefault="00A51849">
      <w:pPr>
        <w:tabs>
          <w:tab w:val="clear" w:pos="567"/>
          <w:tab w:val="clear" w:pos="1134"/>
          <w:tab w:val="clear" w:pos="1701"/>
          <w:tab w:val="clear" w:pos="2268"/>
          <w:tab w:val="clear" w:pos="2835"/>
        </w:tabs>
        <w:overflowPunct/>
        <w:autoSpaceDE/>
        <w:autoSpaceDN/>
        <w:adjustRightInd/>
        <w:spacing w:before="0"/>
        <w:textAlignment w:val="auto"/>
      </w:pPr>
      <w:r w:rsidRPr="00995C93">
        <w:br w:type="page"/>
      </w:r>
    </w:p>
    <w:p w14:paraId="4ED6039E" w14:textId="58765CD0" w:rsidR="0085253A" w:rsidRPr="00995C93" w:rsidRDefault="0085253A" w:rsidP="00F005CB">
      <w:pPr>
        <w:jc w:val="both"/>
      </w:pPr>
      <w:r w:rsidRPr="00995C93">
        <w:lastRenderedPageBreak/>
        <w:t>L'UIT est résolue à assumer le rôle de chef de file de la transformation numérique mondiale, dans la droite ligne des objectifs du Pacte numérique mondial adopté par les États Membres au Sommet de l'avenir en septembre 2024 en tant qu'</w:t>
      </w:r>
      <w:r w:rsidR="00793954" w:rsidRPr="00995C93">
        <w:t>a</w:t>
      </w:r>
      <w:r w:rsidRPr="00995C93">
        <w:t>nnexe du Pacte pour l'avenir. En sa qualité d'institution spécialisée des Nations Unies pour les télécommunications/TIC, l'UIT joue un rôle déterminant pour promouvoir la collaboration internationale, stimuler l'innovation et faire en sorte que les technologies numériques contribuent à la réalisation des Objectifs de développement durable (ODD).</w:t>
      </w:r>
    </w:p>
    <w:p w14:paraId="0355B4DF" w14:textId="63112EEC" w:rsidR="0085253A" w:rsidRPr="00995C93" w:rsidRDefault="0085253A" w:rsidP="00F005CB">
      <w:pPr>
        <w:jc w:val="both"/>
      </w:pPr>
      <w:r w:rsidRPr="00995C93">
        <w:t xml:space="preserve">Le présent document vise à fournir des informations actualisées sur l'avancement de la mise en œuvre du </w:t>
      </w:r>
      <w:hyperlink r:id="rId22" w:history="1">
        <w:r w:rsidRPr="00995C93">
          <w:rPr>
            <w:rStyle w:val="Hyperlink"/>
            <w:rFonts w:eastAsia="Times New Roman" w:cs="Times New Roman"/>
            <w:szCs w:val="20"/>
          </w:rPr>
          <w:t>Plan d'action de l'UIT</w:t>
        </w:r>
      </w:hyperlink>
      <w:r w:rsidRPr="00995C93">
        <w:t xml:space="preserve"> depuis la dernière séance du Groupe de travail du Conseil sur le SMSI et les ODD, tenue début février 2025, en mettant en évidence les mesures stratégiques prises par l'UIT à l'appui du Pacte numérique mondial, y compris les activités destinées à renforcer la connectivité universelle, à faire progresser l'élaboration de normes sur l'utilisation responsable de l'intelligence artificielle (IA) et à promouvoir l'inclusion numérique.</w:t>
      </w:r>
    </w:p>
    <w:p w14:paraId="0A0874C7" w14:textId="77777777" w:rsidR="0085253A" w:rsidRPr="00995C93" w:rsidRDefault="0085253A" w:rsidP="00F005CB">
      <w:pPr>
        <w:pStyle w:val="Heading1"/>
      </w:pPr>
      <w:r w:rsidRPr="00995C93">
        <w:t>1</w:t>
      </w:r>
      <w:r w:rsidRPr="00995C93">
        <w:tab/>
        <w:t>Informations actualisées sur l'intégration des objectifs du Pacte numérique mondial dans les mandats de l'UIT</w:t>
      </w:r>
    </w:p>
    <w:p w14:paraId="4C4BC5A3" w14:textId="2376ACCA" w:rsidR="006A11AE" w:rsidRPr="00995C93" w:rsidRDefault="0085253A" w:rsidP="00F005CB">
      <w:pPr>
        <w:spacing w:after="120"/>
        <w:jc w:val="both"/>
      </w:pPr>
      <w:r w:rsidRPr="00995C93">
        <w:t>Les objectifs, principes et engagements énoncés dans le Pacte numérique mondial coïncident directement avec les mandats actuels de l'UIT. L'Union aide activement les États</w:t>
      </w:r>
      <w:r w:rsidR="00FC4CBA" w:rsidRPr="00995C93">
        <w:t> </w:t>
      </w:r>
      <w:r w:rsidRPr="00995C93">
        <w:t>Membres à mettre en œuvre le Pacte numérique mondial dans le cadre des réunions de ses organes directeurs et de ses initiatives, en mettant l'accent sur la connectivité universelle, les normes relatives à l'utilisation responsable de l'IA, l'inclusion numérique et la fourniture d'un appui sur mesure aux pays pour les aider à aligner leurs stratégies nationales sur les objectifs mondiaux dans le domaine du numérique et à parvenir à une transformation numérique durable.</w:t>
      </w:r>
    </w:p>
    <w:tbl>
      <w:tblPr>
        <w:tblStyle w:val="TableGrid"/>
        <w:tblW w:w="0" w:type="auto"/>
        <w:tblLook w:val="04A0" w:firstRow="1" w:lastRow="0" w:firstColumn="1" w:lastColumn="0" w:noHBand="0" w:noVBand="1"/>
      </w:tblPr>
      <w:tblGrid>
        <w:gridCol w:w="9061"/>
      </w:tblGrid>
      <w:tr w:rsidR="009A5377" w:rsidRPr="00995C93" w14:paraId="0ED9A3A2" w14:textId="77777777" w:rsidTr="009A5377">
        <w:tc>
          <w:tcPr>
            <w:tcW w:w="9061" w:type="dxa"/>
          </w:tcPr>
          <w:p w14:paraId="180CAE30" w14:textId="657AF170" w:rsidR="009A5377" w:rsidRPr="00995C93" w:rsidRDefault="009A5377" w:rsidP="009A5377">
            <w:r w:rsidRPr="00995C93">
              <w:t>La section ci-après contient des informations actualisées sur les mesures de l'UIT liées aux Objectifs 1 et 3, entre autres, du Pacte numérique mondial</w:t>
            </w:r>
            <w:r w:rsidR="00943836" w:rsidRPr="00995C93">
              <w:rPr>
                <w:rStyle w:val="FootnoteReference"/>
              </w:rPr>
              <w:footnoteReference w:id="1"/>
            </w:r>
            <w:r w:rsidRPr="00995C93">
              <w:t>:</w:t>
            </w:r>
          </w:p>
          <w:p w14:paraId="39831D3D" w14:textId="77777777" w:rsidR="009A5377" w:rsidRPr="00995C93" w:rsidRDefault="009A5377" w:rsidP="00943836">
            <w:pPr>
              <w:rPr>
                <w:b/>
                <w:bCs/>
              </w:rPr>
            </w:pPr>
            <w:r w:rsidRPr="00995C93">
              <w:rPr>
                <w:b/>
                <w:bCs/>
              </w:rPr>
              <w:t>Objectif 1 du Pacte numérique mondial: Réduire toutes les fractures numériques et avancer plus rapidement dans la mise en œuvre des objectifs de développement durable</w:t>
            </w:r>
          </w:p>
          <w:p w14:paraId="214C8010" w14:textId="5C913054" w:rsidR="009A5377" w:rsidRPr="00995C93" w:rsidRDefault="00943836" w:rsidP="00F005CB">
            <w:pPr>
              <w:pStyle w:val="enumlev1"/>
              <w:jc w:val="both"/>
            </w:pPr>
            <w:r w:rsidRPr="00995C93">
              <w:t>–</w:t>
            </w:r>
            <w:r w:rsidR="009A5377" w:rsidRPr="00995C93">
              <w:tab/>
              <w:t xml:space="preserve">L'UIT collabore avec diverses parties prenantes pour réduire les fractures numériques et accélérer les progrès vers la réalisation des ODD. Les activités menées consistent notamment à définir des indicateurs clés, à collaborer avec le Colloque sur les indicateurs des télécommunications/TIC dans le monde (WTIS) et l'UNESCO, à accroître la résilience via l'élaboration de normes et de politiques, à connecter les écoles grâce à l'initiative Giga créée avec l'UNICEF, à promouvoir la durabilité via l'initiative sur l'Action du secteur du numérique pour l'environnement, à réduire la fracture numérique entre les hommes et les femmes dans le cadre </w:t>
            </w:r>
            <w:r w:rsidR="00B36354" w:rsidRPr="00995C93">
              <w:t>du Partenariat mondial EQUALS, à combler les écarts en matière de compétences</w:t>
            </w:r>
          </w:p>
        </w:tc>
      </w:tr>
      <w:tr w:rsidR="00B36354" w:rsidRPr="00995C93" w14:paraId="5EE314E8" w14:textId="77777777" w:rsidTr="00B36354">
        <w:tc>
          <w:tcPr>
            <w:tcW w:w="9061" w:type="dxa"/>
          </w:tcPr>
          <w:p w14:paraId="22B1D751" w14:textId="59779B64" w:rsidR="00B36354" w:rsidRPr="00995C93" w:rsidRDefault="00B36354" w:rsidP="00F005CB">
            <w:pPr>
              <w:pStyle w:val="enumlev1"/>
              <w:jc w:val="both"/>
            </w:pPr>
            <w:r w:rsidRPr="00995C93">
              <w:lastRenderedPageBreak/>
              <w:tab/>
              <w:t>par l'intermédiaire de l'Académie de l'UIT et des partenariats noués avec l'OIT, et à faire progresser les initiatives sur l'infrastructure publique numérique et sur les investissements dans l'infrastructure numérique.</w:t>
            </w:r>
          </w:p>
          <w:p w14:paraId="1B9DF7E6" w14:textId="77777777" w:rsidR="00B36354" w:rsidRPr="00995C93" w:rsidRDefault="00B36354" w:rsidP="00F005CB">
            <w:pPr>
              <w:jc w:val="both"/>
            </w:pPr>
            <w:r w:rsidRPr="00995C93">
              <w:t>L'UIT joue un rôle central dans le domaine de la connectivité par satellite en supervisant l'attribution des fréquences radioélectriques, en gérant l'enregistrement des fréquences attribuées aux services par satellite et en garantissant les conditions réglementaires nécessaires pour répondre à la demande croissante de ces services, en particulier dans les zones isolées. Cela consiste notamment à faciliter l'utilisation d'applications avancées comme la télémédecine et le cyberenseignement.</w:t>
            </w:r>
          </w:p>
          <w:p w14:paraId="163BF23F" w14:textId="77777777" w:rsidR="00B36354" w:rsidRPr="00995C93" w:rsidRDefault="00B36354" w:rsidP="00F005CB">
            <w:pPr>
              <w:jc w:val="both"/>
            </w:pPr>
            <w:r w:rsidRPr="00995C93">
              <w:rPr>
                <w:b/>
                <w:bCs/>
              </w:rPr>
              <w:t>Objectif 2 du Pacte numérique mondial: Rendre l'économie numérique plus inclusive et faire profiter toutes et tous de ses avantages</w:t>
            </w:r>
          </w:p>
          <w:p w14:paraId="14C91D80" w14:textId="77777777" w:rsidR="00B36354" w:rsidRPr="00995C93" w:rsidRDefault="00B36354" w:rsidP="00F005CB">
            <w:pPr>
              <w:pStyle w:val="enumlev1"/>
              <w:jc w:val="both"/>
            </w:pPr>
            <w:r w:rsidRPr="00995C93">
              <w:t>–</w:t>
            </w:r>
            <w:r w:rsidRPr="00995C93">
              <w:tab/>
              <w:t>Les examens et les lignes directrices de l'UIT sur la réglementation nationale des TIC favorisent l'accès à l'économie numérique à l'échelle mondiale, tandis que le Colloque mondial des régulateurs (GSR) facilite les échanges entre les régulateurs. L'Académie de l'UIT et les formations aux compétences numériques permettent d'améliorer l'échange de connaissances et le renforcement des compétences aux fins de la transformation numérique et diverses initiatives stimulent l'innovation, en particulier au sein des populations marginalisées.</w:t>
            </w:r>
          </w:p>
          <w:p w14:paraId="027D7D56" w14:textId="77777777" w:rsidR="00B36354" w:rsidRPr="00995C93" w:rsidRDefault="00B36354" w:rsidP="00F005CB">
            <w:pPr>
              <w:jc w:val="both"/>
              <w:rPr>
                <w:b/>
                <w:bCs/>
              </w:rPr>
            </w:pPr>
            <w:r w:rsidRPr="00995C93">
              <w:rPr>
                <w:b/>
                <w:bCs/>
              </w:rPr>
              <w:t>Objectif 3 du Pacte numérique mondial: Favoriser un espace numérique inclusif, ouvert, sûr et sécurisé qui respecte, protège et promeut les droits humains</w:t>
            </w:r>
          </w:p>
          <w:p w14:paraId="233E0ACF" w14:textId="77777777" w:rsidR="00B36354" w:rsidRPr="00995C93" w:rsidRDefault="00B36354" w:rsidP="00F005CB">
            <w:pPr>
              <w:pStyle w:val="enumlev1"/>
              <w:jc w:val="both"/>
            </w:pPr>
            <w:r w:rsidRPr="00995C93">
              <w:t>–</w:t>
            </w:r>
            <w:r w:rsidRPr="00995C93">
              <w:tab/>
              <w:t>L'UIT et le Haut-Commissariat aux droits de l'homme (HCDH) intensifient leur collaboration afin de bâtir un avenir numérique fondé sur les droits humains. Grâce à une dynamique croissante, due notamment à la plate-forme sur l'IA au service du bien social et à la World Standards Cooperation (WSC), l'UIT intègre les principes relatifs aux droits humains dans l'élaboration des normes techniques, en particulier dans des domaines émergents comme le filigranage des contenus générés par l'IA, l'authenticité des contenus multimédias et la détection de l'hypertrucage.</w:t>
            </w:r>
          </w:p>
          <w:p w14:paraId="1E317461" w14:textId="77777777" w:rsidR="00B36354" w:rsidRPr="00995C93" w:rsidRDefault="00B36354" w:rsidP="00F005CB">
            <w:pPr>
              <w:pStyle w:val="enumlev1"/>
              <w:jc w:val="both"/>
            </w:pPr>
            <w:r w:rsidRPr="00995C93">
              <w:t>–</w:t>
            </w:r>
            <w:r w:rsidRPr="00995C93">
              <w:tab/>
              <w:t>Le Forum du SMSI constitue toujours une tribune multi-parties prenantes essentielle pour promouvoir l'inclusion numérique, la sécurité et la responsabilisation. En outre, les États Membres seront activement mobilisés dans le cadre de mécanismes spéciaux, y compris les groupes de travail du Conseil sur la protection en ligne des enfants et sur l'Internet. Les activités complémentaires consisteront notamment à élaborer des lignes directrices fondées sur les droits, des supports de formation, des outils sur la sécurité en ligne et des documents de recherche, essentiellement pour promouvoir des environnements en ligne sécurisés favorisant l'autonomisation des enfants et d'autres groupes vulnérables. Ces initiatives s'inscrivent directement dans la vision d'un espace numérique ouvert, inclusif, sécurisé et fondé sur les normes internationales en matière de droits humains, telle qu'elle est décrite dans le Pacte numérique mondial.</w:t>
            </w:r>
          </w:p>
          <w:p w14:paraId="6A4A7B29" w14:textId="77777777" w:rsidR="00B36354" w:rsidRPr="00995C93" w:rsidRDefault="00B36354" w:rsidP="00F005CB">
            <w:pPr>
              <w:jc w:val="both"/>
              <w:rPr>
                <w:b/>
                <w:bCs/>
              </w:rPr>
            </w:pPr>
            <w:r w:rsidRPr="00995C93">
              <w:rPr>
                <w:b/>
                <w:bCs/>
              </w:rPr>
              <w:t>Objectif 4 du Pacte numérique mondial: Promouvoir des modèles de gouvernance des données qui soient responsables, équitables et interopérables</w:t>
            </w:r>
          </w:p>
          <w:p w14:paraId="4663D080" w14:textId="77777777" w:rsidR="00B36354" w:rsidRPr="00995C93" w:rsidRDefault="00B36354" w:rsidP="00F005CB">
            <w:pPr>
              <w:pStyle w:val="enumlev1"/>
              <w:jc w:val="both"/>
            </w:pPr>
            <w:r w:rsidRPr="00995C93">
              <w:t>–</w:t>
            </w:r>
            <w:r w:rsidRPr="00995C93">
              <w:tab/>
              <w:t xml:space="preserve">Les travaux de l'UIT relatifs aux indicateurs de l'Indice de développement des TIC (IDI), à l'Indice mondial de cybersécurité (GCI) et à d'autres statistiques, ainsi que la collaboration entre la Commission des Nations Unies sur le large bande et l'UNESCO, </w:t>
            </w:r>
            <w:r w:rsidRPr="00995C93">
              <w:lastRenderedPageBreak/>
              <w:t>notamment son Groupe de travail sur la gouvernance des données, et les efforts déployés par le TSB pour garantir l'interopérabilité des données contribuent à la réalisation de cet objectif.</w:t>
            </w:r>
          </w:p>
          <w:p w14:paraId="7E429AF5" w14:textId="77777777" w:rsidR="00B36354" w:rsidRPr="00995C93" w:rsidRDefault="00B36354" w:rsidP="00F005CB">
            <w:pPr>
              <w:jc w:val="both"/>
              <w:rPr>
                <w:b/>
                <w:bCs/>
              </w:rPr>
            </w:pPr>
            <w:r w:rsidRPr="00995C93">
              <w:rPr>
                <w:b/>
                <w:bCs/>
              </w:rPr>
              <w:t>Objectif 5 du Pacte numérique mondial: Renforcer la gouvernance internationale de l'intelligence artificielle pour le bien de l'humanité</w:t>
            </w:r>
          </w:p>
          <w:p w14:paraId="5C3FAEC0" w14:textId="59E2D304" w:rsidR="00B36354" w:rsidRPr="00995C93" w:rsidRDefault="00B36354" w:rsidP="00F005CB">
            <w:pPr>
              <w:pStyle w:val="enumlev1"/>
              <w:jc w:val="both"/>
            </w:pPr>
            <w:r w:rsidRPr="00995C93">
              <w:t>–</w:t>
            </w:r>
            <w:r w:rsidRPr="00995C93">
              <w:tab/>
              <w:t>Le GSR de l'UIT et le Groupe de travail interinstitutions sur l'IA (GTI-IA), dirigé par l'UIT et l'UNESCO, s'appuient sur leurs travaux essentiels, tandis que la World</w:t>
            </w:r>
            <w:r w:rsidR="00B21E5D" w:rsidRPr="00995C93">
              <w:t> </w:t>
            </w:r>
            <w:r w:rsidRPr="00995C93">
              <w:t>Standards Cooperation (WSC), créée par l'UIT, l'ISO et la CEI, permet de renforcer les échanges sur les normes. Le TSB compte actuellement plus de 165</w:t>
            </w:r>
            <w:r w:rsidR="00B21E5D" w:rsidRPr="00995C93">
              <w:t> </w:t>
            </w:r>
            <w:r w:rsidRPr="00995C93">
              <w:t>normes relatives à l'IA et 150 autres en cours d'élaboration, et tire par</w:t>
            </w:r>
            <w:r w:rsidR="00B21E5D" w:rsidRPr="00995C93">
              <w:t>t</w:t>
            </w:r>
            <w:r w:rsidRPr="00995C93">
              <w:t>i de sa composition unique pour collaborer avec les principaux membres des milieux techniques, commerciaux et communautaires et pour renforcer la collaboration avec d'autres institutions des Nations Unies, dont l'OMS, la FAO, l'OMM, l'AIEA et le PNUD, entre autres.</w:t>
            </w:r>
          </w:p>
          <w:p w14:paraId="23E68E05" w14:textId="38D2F848" w:rsidR="00B36354" w:rsidRPr="00995C93" w:rsidRDefault="00B36354" w:rsidP="00F005CB">
            <w:pPr>
              <w:spacing w:after="120"/>
              <w:jc w:val="both"/>
            </w:pPr>
            <w:r w:rsidRPr="00995C93">
              <w:t>Une mise en correspondance détaillée de la mise en œuvre du Pacte numérique mondial dans le cadre du processus du SMSI et des activités de l'UIT figure dans l'</w:t>
            </w:r>
            <w:hyperlink r:id="rId23" w:history="1">
              <w:r w:rsidR="00793954" w:rsidRPr="00995C93">
                <w:rPr>
                  <w:rStyle w:val="Hyperlink"/>
                </w:rPr>
                <w:t>a</w:t>
              </w:r>
              <w:r w:rsidRPr="00995C93">
                <w:rPr>
                  <w:rStyle w:val="Hyperlink"/>
                </w:rPr>
                <w:t>nnexe</w:t>
              </w:r>
            </w:hyperlink>
            <w:r w:rsidRPr="00995C93">
              <w:t xml:space="preserve"> du Plan d'action, et un tableau comparatif sur les activités de l'UIT et du SMSI se rapportant aux objectifs du Pacte numérique mondial est disponible </w:t>
            </w:r>
            <w:hyperlink r:id="rId24" w:history="1">
              <w:r w:rsidRPr="00995C93">
                <w:rPr>
                  <w:rStyle w:val="Hyperlink"/>
                </w:rPr>
                <w:t>ici</w:t>
              </w:r>
            </w:hyperlink>
            <w:r w:rsidRPr="00995C93">
              <w:t>.</w:t>
            </w:r>
          </w:p>
        </w:tc>
      </w:tr>
    </w:tbl>
    <w:p w14:paraId="35196242" w14:textId="1DBDDD2B" w:rsidR="002B6DF1" w:rsidRPr="00995C93" w:rsidRDefault="002B6DF1" w:rsidP="00F005CB">
      <w:pPr>
        <w:pStyle w:val="Heading1"/>
      </w:pPr>
      <w:r w:rsidRPr="00995C93">
        <w:lastRenderedPageBreak/>
        <w:t>2</w:t>
      </w:r>
      <w:r w:rsidRPr="00995C93">
        <w:tab/>
      </w:r>
      <w:r w:rsidRPr="00F005CB">
        <w:t>Informations</w:t>
      </w:r>
      <w:r w:rsidRPr="00995C93">
        <w:t xml:space="preserve"> actualisées sur le renforcement de la coopération numérique à l'échelle du système des Nations Unies</w:t>
      </w:r>
    </w:p>
    <w:p w14:paraId="29DB3F04" w14:textId="77777777" w:rsidR="002B6DF1" w:rsidRPr="00995C93" w:rsidRDefault="002B6DF1" w:rsidP="00F005CB">
      <w:pPr>
        <w:jc w:val="both"/>
      </w:pPr>
      <w:r w:rsidRPr="00995C93">
        <w:t>L'UIT contribue activement à renforcer la coordination au sein du système des Nations Unies pour favoriser la coopération intersectorielle dans le domaine du numérique, notamment en participant aux travaux du comité de pilotage de l'ONU chargé de l'exécution du Pacte présidé par le Secrétaire général de l'ONU, en présidant le Groupe de travail des technologies numériques aux côtés du Bureau des technologies numériques et émergentes et en participant aux travaux d'autres groupes de travail connexes. Grâce à ces efforts, l'UIT entend faire en sorte que les questions numériques soient traitées de façon cohérente au sein du système des Nations Unies, pour favoriser une appropriation collective du Pacte numérique mondial et appuyer sa mise en œuvre.</w:t>
      </w:r>
    </w:p>
    <w:p w14:paraId="5B0D4967" w14:textId="77777777" w:rsidR="002B6DF1" w:rsidRPr="00995C93" w:rsidRDefault="002B6DF1" w:rsidP="00F005CB">
      <w:pPr>
        <w:pStyle w:val="Heading2"/>
      </w:pPr>
      <w:r w:rsidRPr="00995C93">
        <w:t>2.1</w:t>
      </w:r>
      <w:r w:rsidRPr="00995C93">
        <w:tab/>
        <w:t>Groupe de travail des technologies numériques</w:t>
      </w:r>
    </w:p>
    <w:p w14:paraId="27C5E32A" w14:textId="72EB5319" w:rsidR="002B6DF1" w:rsidRPr="00995C93" w:rsidRDefault="002B6DF1" w:rsidP="00F005CB">
      <w:pPr>
        <w:jc w:val="both"/>
      </w:pPr>
      <w:r w:rsidRPr="00995C93">
        <w:t xml:space="preserve">Créé en octobre 2024, le Groupe de travail des technologies numériques (WGDT) a élaboré son mandat et son programme de travail afin de définir sa structure. Ce groupe, présidé par l'UIT et le Bureau des technologies numériques et émergentes, est chargé de suivre la mise en œuvre du </w:t>
      </w:r>
      <w:r w:rsidR="00323CB9" w:rsidRPr="00995C93">
        <w:t>C</w:t>
      </w:r>
      <w:r w:rsidRPr="00995C93">
        <w:t>hapitre 3 du Pacte pour l'avenir, intitulé "Les sciences, la technologie et l</w:t>
      </w:r>
      <w:r w:rsidR="007F1474" w:rsidRPr="00995C93">
        <w:t>'</w:t>
      </w:r>
      <w:r w:rsidRPr="00995C93">
        <w:t>innovation et la coopération numérique" ainsi que du Pacte numérique mondial.</w:t>
      </w:r>
    </w:p>
    <w:p w14:paraId="6DA88790" w14:textId="39765DD7" w:rsidR="002B6DF1" w:rsidRPr="00995C93" w:rsidRDefault="002B6DF1" w:rsidP="00F005CB">
      <w:pPr>
        <w:jc w:val="both"/>
      </w:pPr>
      <w:r w:rsidRPr="00995C93">
        <w:t>Sous l'égide du Comité de pilotage du Secrétaire général de l'ONU, le Groupe WGDT est chargé de coordonner et de superviser l'exécution des tâches confiées aux organismes du système des Nations Unies, y compris celle confiées au Secrétaire général de l'ONU, tout en surveillant, en suivant et en appuyant les mesures prises en faveur des États Membres et des parties prenantes concernées, dans la limite de ses compétences. En outre, il analysera et promouvra la mise en œuvre des mesures relevant de sa compétence et fournira un appui aux coordonnateurs résidents et aux équipes de pays des Nations Unies pour garantir la bonne mise en œuvre du Pacte numérique mondial par l'intermédiaire des structures existantes.</w:t>
      </w:r>
    </w:p>
    <w:p w14:paraId="7565A030" w14:textId="4F427949" w:rsidR="002B6DF1" w:rsidRPr="00995C93" w:rsidRDefault="002B6DF1" w:rsidP="00F005CB">
      <w:pPr>
        <w:jc w:val="both"/>
      </w:pPr>
      <w:r w:rsidRPr="00995C93">
        <w:lastRenderedPageBreak/>
        <w:t xml:space="preserve">Le groupe de travail a établi six sous-groupes couvrant le </w:t>
      </w:r>
      <w:r w:rsidR="00323CB9" w:rsidRPr="00995C93">
        <w:t>C</w:t>
      </w:r>
      <w:r w:rsidRPr="00995C93">
        <w:t>hapitre 3 du Pacte pour l'avenir sur les sciences, la technologie et l'innovation et la coopération numérique, ainsi qu'un sous</w:t>
      </w:r>
      <w:r w:rsidR="00323CB9" w:rsidRPr="00995C93">
        <w:noBreakHyphen/>
      </w:r>
      <w:r w:rsidRPr="00995C93">
        <w:t>groupe pour chacun des objectifs du Pacte numérique mondial. En plus de coprésider le groupe de travail lui-même, l'UIT codirige les sous-groupes dédiés à l'Objectif 1 du Pacte numérique mondial sur les fractures numériques et l'Objectif 5 sur l'intelligence artificielle. L'une des priorités majeures du groupe de travail sera d'élaborer le plan de mise en œuvre du Pacte dont il est question au § 71 du Pacte numérique mondial. Il serait intéressant que les États Membres apportent des précisions additionnelles sur leur souhait concernant la forme du plan de mise en œuvre.</w:t>
      </w:r>
    </w:p>
    <w:p w14:paraId="56BF3B76" w14:textId="5B4FDBBA" w:rsidR="002B6DF1" w:rsidRPr="00995C93" w:rsidRDefault="002B6DF1" w:rsidP="00F005CB">
      <w:pPr>
        <w:jc w:val="both"/>
      </w:pPr>
      <w:r w:rsidRPr="00995C93">
        <w:t>La réunion inaugurale du Groupe de travail des technologies numériques, tenue le</w:t>
      </w:r>
      <w:r w:rsidR="00DC44B0" w:rsidRPr="00995C93">
        <w:t> </w:t>
      </w:r>
      <w:r w:rsidRPr="00995C93">
        <w:t>21</w:t>
      </w:r>
      <w:r w:rsidR="00DC44B0" w:rsidRPr="00995C93">
        <w:t> </w:t>
      </w:r>
      <w:r w:rsidRPr="00995C93">
        <w:t>octobre 2024, a essentiellement visé à définir le domaine de compétence du groupe et des plans ont été élaborés pour parachever les stratégies et les mesures à prendre. Depuis, le groupe s'est réuni plusieurs fois de manière informelle pour partager des informations sur la mise en œuvre du Pacte numérique mondial, définir son mandat et faire progresser son programme de travail. Les représentants des entités assurant la coprésidence du groupe ont fourni des informations sur les progrès relatifs aux plans de mise en œuvre du Pacte numérique mondial à diverses parties, y compris aux États Membres dans le cadre du Groupe des amis des technologies numériques à New York, aux entreprises à l'occasion d'une manifestation accueillie par le United States Council for International Business (USCIB) et l'Initiative "Business Action to Support the Information Society" (ICC BASIS), aux acteurs de la société civile lors du Forum sur la gouvernance de l'Internet de 2024 tenu à Riyad, à l'occasion de la réunion de la Coalition pour la liberté en ligne tenue à Genève, et aux institutions des Nations Unies dans le cadre du groupe de travail interinstitutions des Nations Unies sur la science, la technologie et l'innovation. Les participants à la réunion des responsables tenue le 27 février 2025 ont achevé l'élaboration du mandat et du programme de travail et ont sollicité des orientations quant aux prochaines étapes.</w:t>
      </w:r>
    </w:p>
    <w:p w14:paraId="0158F89C" w14:textId="20451E5B" w:rsidR="002B6DF1" w:rsidRPr="00995C93" w:rsidRDefault="002B6DF1" w:rsidP="00F005CB">
      <w:pPr>
        <w:jc w:val="both"/>
      </w:pPr>
      <w:r w:rsidRPr="00995C93">
        <w:t>Des initiatives de l'UIT portant sur des questions clés comme la fracture numérique, l'économie numérique, la maîtrise des outils numériques, l'inclusion, la sécurité et la sûreté en ligne, les données et l'intelligence artificielle, ainsi que des initiatives d'autres entités et organismes des Nations Unies ont été intégrées dans le programme de travail du groupe. L'UIT aide le groupe de travail à faire progresser la mise en œuvre du Pacte numérique mondial en tirant parti des mécanismes existants, y compris, mais non exclusivement, l'Initiative Giga, la Journée internationale des jeunes filles dans le secteur des TIC, le Partenariat EQUALS, l'Action du secteur numérique pour l'environnement, l'Académie de l'UIT et les mécanismes de renforcement des compétences numériques, le Partenariat sur la mesure des TIC, l'Initiative "Le numérique au service des ODD", la plate-forme sur la réglementation du numérique, la Commission de l'UIT sur le large bande, les échanges sur les normes relatives à l'IA et la Coalition pour les compétences associées à l'IA. En outre, les grandes conférences et manifestations de l'UIT, dont le Colloque mondial des régulateurs (GSR), le Sommet mondial sur l'IA au service du bien social, le Forum du SMSI, le Sommet international sur les normes relatives à l'IA, la Conférence mondiale des radiocommunications (CMR), l'Assemblée mondiale de normalisation des télécommunications (AMN</w:t>
      </w:r>
      <w:r w:rsidR="00CF1209" w:rsidRPr="00995C93">
        <w:t>T</w:t>
      </w:r>
      <w:r w:rsidRPr="00995C93">
        <w:t>) et la Conférence mondiale de développement des télécommunications (CMDT), sont reconnues comme des mécanismes existants et/ou des manifestations décisives pour 2025 et au-delà.</w:t>
      </w:r>
    </w:p>
    <w:p w14:paraId="4D462AE0" w14:textId="77777777" w:rsidR="002B6DF1" w:rsidRPr="00995C93" w:rsidRDefault="002B6DF1" w:rsidP="00F005CB">
      <w:pPr>
        <w:pStyle w:val="Heading2"/>
        <w:jc w:val="both"/>
      </w:pPr>
      <w:r w:rsidRPr="00995C93">
        <w:lastRenderedPageBreak/>
        <w:t>2.2</w:t>
      </w:r>
      <w:r w:rsidRPr="00995C93">
        <w:tab/>
        <w:t xml:space="preserve">Autres </w:t>
      </w:r>
      <w:r w:rsidRPr="00F005CB">
        <w:t>groupes</w:t>
      </w:r>
      <w:r w:rsidRPr="00995C93">
        <w:t xml:space="preserve"> de travail sur la mise en œuvre du Pacte</w:t>
      </w:r>
    </w:p>
    <w:p w14:paraId="17E7A1AE" w14:textId="24558700" w:rsidR="002B6DF1" w:rsidRPr="00995C93" w:rsidRDefault="002B6DF1" w:rsidP="00F005CB">
      <w:pPr>
        <w:jc w:val="both"/>
      </w:pPr>
      <w:r w:rsidRPr="00995C93">
        <w:t>L'UIT participe activement aux activités d'autres groupes de travail établis sous l'égide du Comité de pilotage chargé de l'exécution du Pacte, y compris ceux dont les travaux sont axés sur la contribution du Pacte à la réalisation des ODD, la paix et la sécurité, la réforme de l'architecture financière internationale, la réforme du système de gouvernance des Nations</w:t>
      </w:r>
      <w:r w:rsidR="00FC4CBA" w:rsidRPr="00995C93">
        <w:t> </w:t>
      </w:r>
      <w:r w:rsidRPr="00995C93">
        <w:t>Unies et la jeunesse.</w:t>
      </w:r>
    </w:p>
    <w:p w14:paraId="2C324809" w14:textId="77777777" w:rsidR="002B6DF1" w:rsidRPr="00995C93" w:rsidRDefault="002B6DF1" w:rsidP="00F005CB">
      <w:pPr>
        <w:jc w:val="both"/>
      </w:pPr>
      <w:r w:rsidRPr="00995C93">
        <w:t>Il est à noter que l'UIT a été désignée coresponsable, conjointement avec le Bureau des affaires de désarmement de l'ONU et le Bureau des technologies numériques et émergentes, de la Mesure 27, alinéa c) du Pacte, qui consiste à réduire les fractures numériques et à améliorer la coopération internationale pour tirer parti des technologies numériques, dans le cadre du Groupe de travail sur la paix et la sécurité. L'UIT contribue également, aux côtés d'autres entités, aux travaux sur la Mesure 24, alinéa b) du Pacte. Si cette disposition vise à renforcer la coopération internationale pour prévenir et combattre la criminalité transnationale organisée sous toutes ses formes, y compris lorsqu'elle est commise au moyen de systèmes reposant sur des technologies de l'information et de la communication, l'UIT contribuera, si nécessaire, aux activités relevant de son mandat pour instaurer la confiance et la sécurité dans l'utilisation des TIC.</w:t>
      </w:r>
    </w:p>
    <w:p w14:paraId="2002411C" w14:textId="77777777" w:rsidR="002B6DF1" w:rsidRPr="00995C93" w:rsidRDefault="002B6DF1" w:rsidP="00F005CB">
      <w:pPr>
        <w:jc w:val="both"/>
      </w:pPr>
      <w:r w:rsidRPr="00995C93">
        <w:t>En outre, l'UIT participe aux travaux du Groupe de travail sur la réforme du système de gouvernance des Nations Unies et contribue, dans ce cadre, aux activités visant à renforcer le système des Nations Unies, à améliorer la coopération internationale en matière d'exploration de l'espace, à garantir le respect des droits humains et à relever les défis mondiaux. Elle dresse la liste des initiatives clés comme le SMSI, Partner2Connect et l'Initiative "Alertes précoces pour tous" (EW4A) à l'appui de ces efforts.</w:t>
      </w:r>
    </w:p>
    <w:p w14:paraId="11889FB9" w14:textId="54E42FB9" w:rsidR="002B6DF1" w:rsidRPr="00995C93" w:rsidRDefault="002B6DF1" w:rsidP="00F005CB">
      <w:pPr>
        <w:pStyle w:val="Heading2"/>
      </w:pPr>
      <w:r w:rsidRPr="00995C93">
        <w:t>2.3</w:t>
      </w:r>
      <w:r w:rsidRPr="00995C93">
        <w:tab/>
        <w:t>Groupe de travail interinstitutions sur l'intelligence artificielle</w:t>
      </w:r>
    </w:p>
    <w:p w14:paraId="416439CC" w14:textId="7FC9495F" w:rsidR="002B6DF1" w:rsidRPr="00995C93" w:rsidRDefault="002B6DF1" w:rsidP="00F005CB">
      <w:pPr>
        <w:jc w:val="both"/>
      </w:pPr>
      <w:r w:rsidRPr="00995C93">
        <w:t xml:space="preserve">Par ailleurs, le </w:t>
      </w:r>
      <w:hyperlink r:id="rId25" w:anchor=":~:text=HLCP%2C%20established%20on%2027%20October,facing%20the%20United%20Nations%20system." w:history="1">
        <w:r w:rsidRPr="00995C93">
          <w:rPr>
            <w:rStyle w:val="Hyperlink"/>
            <w:rFonts w:eastAsia="Times New Roman" w:cs="Times New Roman"/>
            <w:szCs w:val="20"/>
          </w:rPr>
          <w:t>Comité de haut niveau sur les programmes (HLCP)</w:t>
        </w:r>
      </w:hyperlink>
      <w:r w:rsidRPr="00995C93">
        <w:t xml:space="preserve">, sous l'égide du Conseil des chefs de secrétariat (CCS), reconnaissant l'importance du </w:t>
      </w:r>
      <w:hyperlink r:id="rId26" w:history="1">
        <w:r w:rsidRPr="00995C93">
          <w:rPr>
            <w:rStyle w:val="Hyperlink"/>
            <w:rFonts w:eastAsia="Times New Roman" w:cs="Times New Roman"/>
            <w:szCs w:val="20"/>
          </w:rPr>
          <w:t>Groupe de travail interinstitutions sur l'IA (GTI-IA)</w:t>
        </w:r>
      </w:hyperlink>
      <w:r w:rsidRPr="00995C93">
        <w:t xml:space="preserve">, coprésidé par l'UIT et l'UNESCO, a demandé à ce que ses travaux soient harmonisés et que les institutions du système des Nations Unies appuient la mise en œuvre du Pacte numérique mondial. L'UIT et l'UNESCO collaborent actuellement avec d'autres institutions membres du Groupe GTI-IA afin de fournir des contributions au Groupe de travail des technologies numériques, ainsi qu'un programme de travail actualisé sur </w:t>
      </w:r>
      <w:r w:rsidR="00CF1209" w:rsidRPr="00995C93">
        <w:t>12 </w:t>
      </w:r>
      <w:r w:rsidRPr="00995C93">
        <w:t>mois pour les travaux du Groupe. En outre, le Groupe GTI-IA tient des réunions communes avec le sous-groupe 5 du Groupe de travail des technologies numériques, codirigé par l'UIT, le Bureau des technologies numériques et émergentes et l'UNESCO, pour faire en sorte que les contributions des institutions du système des Nations Unies soient prises en compte dans les processus prescrits dans le Pacte numérique mondial.</w:t>
      </w:r>
    </w:p>
    <w:p w14:paraId="3D0A2CCA" w14:textId="30127FA3" w:rsidR="002B6DF1" w:rsidRPr="00995C93" w:rsidRDefault="002B6DF1" w:rsidP="00F005CB">
      <w:pPr>
        <w:pStyle w:val="Heading2"/>
      </w:pPr>
      <w:r w:rsidRPr="00995C93">
        <w:lastRenderedPageBreak/>
        <w:t>2.4</w:t>
      </w:r>
      <w:r w:rsidRPr="00995C93">
        <w:tab/>
        <w:t>Manifestations "Parlons du numérique" dédiées au Pacte numérique mondial</w:t>
      </w:r>
    </w:p>
    <w:p w14:paraId="4A650784" w14:textId="77777777" w:rsidR="002B6DF1" w:rsidRPr="00995C93" w:rsidRDefault="002B6DF1" w:rsidP="00F005CB">
      <w:pPr>
        <w:keepNext/>
        <w:keepLines/>
        <w:jc w:val="both"/>
      </w:pPr>
      <w:r w:rsidRPr="00995C93">
        <w:t>L'UIT organise régulièrement des rencontres sur le thème "Parlons du numérique" en collaboration avec des institutions des Nations Unies et des organisations internationales basées à Genève qui composent notre réseau "Geneva Digital Kitchen", pour échanger sur les nouvelles tendances dans le domaine du numérique, partager des informations sur les initiatives et renforcer la collaboration. Les réunions organisées récemment dans ce cadre ont essentiellement porté sur la manière dont ces efforts de collaboration peuvent créer des synergies intéressantes pour répondre aux différents besoins des États Membres et des parties prenantes, en particulier pour le suivi de la mise en œuvre du Pacte numérique mondial. Le groupe a élaboré le "plan de contribution de Genève" pour appuyer la mise en œuvre du Pacte et encourager cet esprit de collaboration.</w:t>
      </w:r>
    </w:p>
    <w:p w14:paraId="391F0263" w14:textId="20DE2D65" w:rsidR="0085253A" w:rsidRDefault="002B6DF1" w:rsidP="00F005CB">
      <w:pPr>
        <w:jc w:val="both"/>
      </w:pPr>
      <w:r w:rsidRPr="00995C93">
        <w:t>Créé en janvier 2025, le réseau "Geneva Digital Kitchen" a lancé une série de débats thématiques approfondis sur le Pacte numérique mondial, en commençant par une séance sur les droits humains menée par le HCDH. Elle a été suivie, en mars, d'un deuxième débat consacré aux technologies numériques et à l'avenir des travaux organisé en collaboration avec l'OIT. À l'occasion de son rassemblement de mars, le groupe a également envisagé de créer un pôle de données sur la mesure des TIC, fondé sur le pôle de données de l'UIT, en tant qu'élément clé du plan de contribution de Genève, qui jouera un rôle important pour appuyer la mise en œuvre du Pacte numérique mondial et contribuer aux efforts d'évaluation du Pacte.</w:t>
      </w:r>
    </w:p>
    <w:p w14:paraId="34418072" w14:textId="77777777" w:rsidR="00F005CB" w:rsidRPr="00995C93" w:rsidRDefault="00F005CB" w:rsidP="00F005CB">
      <w:pPr>
        <w:jc w:val="both"/>
      </w:pPr>
    </w:p>
    <w:p w14:paraId="51073A4B" w14:textId="77777777" w:rsidR="00897553" w:rsidRPr="00995C93" w:rsidRDefault="006A11AE" w:rsidP="006A11AE">
      <w:pPr>
        <w:jc w:val="center"/>
      </w:pPr>
      <w:r w:rsidRPr="00995C93">
        <w:t>______________</w:t>
      </w:r>
    </w:p>
    <w:sectPr w:rsidR="00897553" w:rsidRPr="00995C93" w:rsidSect="00D72F49">
      <w:headerReference w:type="even" r:id="rId27"/>
      <w:footerReference w:type="even" r:id="rId28"/>
      <w:footerReference w:type="default" r:id="rId29"/>
      <w:headerReference w:type="first" r:id="rId30"/>
      <w:footerReference w:type="first" r:id="rId31"/>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6488C" w14:textId="77777777" w:rsidR="000F146B" w:rsidRDefault="000F146B">
      <w:r>
        <w:separator/>
      </w:r>
    </w:p>
  </w:endnote>
  <w:endnote w:type="continuationSeparator" w:id="0">
    <w:p w14:paraId="386BC4FD" w14:textId="77777777" w:rsidR="000F146B" w:rsidRDefault="000F1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Nxt2 W1G Medium">
    <w:altName w:val="Calibri"/>
    <w:panose1 w:val="020B0603020202020204"/>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2D9EE" w14:textId="5631DFAB" w:rsidR="00732045" w:rsidRPr="00073A88" w:rsidRDefault="00E47427">
    <w:pPr>
      <w:pStyle w:val="Footer"/>
      <w:rPr>
        <w:lang w:val="en-GB"/>
      </w:rPr>
    </w:pPr>
    <w:r>
      <w:fldChar w:fldCharType="begin"/>
    </w:r>
    <w:r w:rsidRPr="00073A88">
      <w:rPr>
        <w:lang w:val="en-GB"/>
      </w:rPr>
      <w:instrText xml:space="preserve"> FILENAME \p \* MERGEFORMAT </w:instrText>
    </w:r>
    <w:r>
      <w:fldChar w:fldCharType="separate"/>
    </w:r>
    <w:r w:rsidR="004F7EE3">
      <w:rPr>
        <w:lang w:val="en-GB"/>
      </w:rPr>
      <w:t>P:\FRA\gDoc\SG\C25\2501185F.docx</w:t>
    </w:r>
    <w:r>
      <w:fldChar w:fldCharType="end"/>
    </w:r>
    <w:r w:rsidR="00732045" w:rsidRPr="00073A88">
      <w:rPr>
        <w:lang w:val="en-GB"/>
      </w:rPr>
      <w:tab/>
    </w:r>
    <w:r w:rsidR="002F1B76">
      <w:fldChar w:fldCharType="begin"/>
    </w:r>
    <w:r w:rsidR="00732045">
      <w:instrText xml:space="preserve"> savedate \@ dd.MM.yy </w:instrText>
    </w:r>
    <w:r w:rsidR="002F1B76">
      <w:fldChar w:fldCharType="separate"/>
    </w:r>
    <w:r w:rsidR="001E28EE">
      <w:t>23.05.25</w:t>
    </w:r>
    <w:r w:rsidR="002F1B76">
      <w:fldChar w:fldCharType="end"/>
    </w:r>
    <w:r w:rsidR="00732045" w:rsidRPr="00073A88">
      <w:rPr>
        <w:lang w:val="en-GB"/>
      </w:rPr>
      <w:tab/>
    </w:r>
    <w:r w:rsidR="002F1B76">
      <w:fldChar w:fldCharType="begin"/>
    </w:r>
    <w:r w:rsidR="00732045">
      <w:instrText xml:space="preserve"> printdate \@ dd.MM.yy </w:instrText>
    </w:r>
    <w:r w:rsidR="002F1B76">
      <w:fldChar w:fldCharType="separate"/>
    </w:r>
    <w:r w:rsidR="004F7EE3">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61EA311C" w14:textId="77777777" w:rsidTr="00E31DCE">
      <w:trPr>
        <w:jc w:val="center"/>
      </w:trPr>
      <w:tc>
        <w:tcPr>
          <w:tcW w:w="1803" w:type="dxa"/>
          <w:vAlign w:val="center"/>
        </w:tcPr>
        <w:p w14:paraId="4E9C20D0" w14:textId="5F2B569E" w:rsidR="00A51849" w:rsidRDefault="0085253A" w:rsidP="00A51849">
          <w:pPr>
            <w:pStyle w:val="Header"/>
            <w:jc w:val="left"/>
            <w:rPr>
              <w:noProof/>
            </w:rPr>
          </w:pPr>
          <w:r>
            <w:rPr>
              <w:noProof/>
            </w:rPr>
            <w:t>2501185</w:t>
          </w:r>
        </w:p>
      </w:tc>
      <w:tc>
        <w:tcPr>
          <w:tcW w:w="8261" w:type="dxa"/>
        </w:tcPr>
        <w:p w14:paraId="56A3B882" w14:textId="7A22EDCF"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FC6D7D">
            <w:rPr>
              <w:bCs/>
            </w:rPr>
            <w:t>5</w:t>
          </w:r>
          <w:r w:rsidRPr="00623AE3">
            <w:rPr>
              <w:bCs/>
            </w:rPr>
            <w:t>/</w:t>
          </w:r>
          <w:r w:rsidR="00073A88">
            <w:rPr>
              <w:bCs/>
            </w:rPr>
            <w:t>52</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706AEFDD" w14:textId="77777777" w:rsidR="00732045" w:rsidRPr="00A51849" w:rsidRDefault="00732045" w:rsidP="00FC6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4E14346F" w14:textId="77777777" w:rsidTr="00E31DCE">
      <w:trPr>
        <w:jc w:val="center"/>
      </w:trPr>
      <w:tc>
        <w:tcPr>
          <w:tcW w:w="1803" w:type="dxa"/>
          <w:vAlign w:val="center"/>
        </w:tcPr>
        <w:p w14:paraId="2C8599FF" w14:textId="77777777" w:rsidR="00A51849" w:rsidRPr="00FC6D7D" w:rsidRDefault="00FC6D7D" w:rsidP="00A51849">
          <w:pPr>
            <w:pStyle w:val="Header"/>
            <w:jc w:val="left"/>
            <w:rPr>
              <w:noProof/>
              <w:color w:val="0563C1"/>
            </w:rPr>
          </w:pPr>
          <w:hyperlink r:id="rId1" w:history="1">
            <w:r w:rsidRPr="00FC6D7D">
              <w:rPr>
                <w:rStyle w:val="Hyperlink"/>
              </w:rPr>
              <w:t>council.itu.int/2025</w:t>
            </w:r>
          </w:hyperlink>
        </w:p>
      </w:tc>
      <w:tc>
        <w:tcPr>
          <w:tcW w:w="8261" w:type="dxa"/>
        </w:tcPr>
        <w:p w14:paraId="1C71A002" w14:textId="15312AC5"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FC6D7D">
            <w:rPr>
              <w:bCs/>
            </w:rPr>
            <w:t>5</w:t>
          </w:r>
          <w:r w:rsidRPr="00623AE3">
            <w:rPr>
              <w:bCs/>
            </w:rPr>
            <w:t>/</w:t>
          </w:r>
          <w:r w:rsidR="0085253A">
            <w:rPr>
              <w:bCs/>
            </w:rPr>
            <w:t>52</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782C59A4" w14:textId="77777777" w:rsidR="00732045" w:rsidRPr="00A51849" w:rsidRDefault="00732045" w:rsidP="00FC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25EF8" w14:textId="77777777" w:rsidR="000F146B" w:rsidRDefault="000F146B">
      <w:r>
        <w:t>____________________</w:t>
      </w:r>
    </w:p>
  </w:footnote>
  <w:footnote w:type="continuationSeparator" w:id="0">
    <w:p w14:paraId="1C53B0FF" w14:textId="77777777" w:rsidR="000F146B" w:rsidRDefault="000F146B">
      <w:r>
        <w:continuationSeparator/>
      </w:r>
    </w:p>
  </w:footnote>
  <w:footnote w:id="1">
    <w:p w14:paraId="388D53CB" w14:textId="336E57D8" w:rsidR="00943836" w:rsidRDefault="00943836" w:rsidP="001E28EE">
      <w:pPr>
        <w:pStyle w:val="FootnoteText"/>
      </w:pPr>
      <w:r>
        <w:rPr>
          <w:rStyle w:val="FootnoteReference"/>
        </w:rPr>
        <w:footnoteRef/>
      </w:r>
      <w:r>
        <w:tab/>
      </w:r>
      <w:r w:rsidR="0039091F" w:rsidRPr="0039091F">
        <w:t xml:space="preserve">L'exposé intitulé </w:t>
      </w:r>
      <w:r w:rsidR="007F1474">
        <w:t>"</w:t>
      </w:r>
      <w:r w:rsidR="0039091F" w:rsidRPr="007F1474">
        <w:t xml:space="preserve">An </w:t>
      </w:r>
      <w:proofErr w:type="spellStart"/>
      <w:r w:rsidR="0039091F" w:rsidRPr="001E28EE">
        <w:t>overview</w:t>
      </w:r>
      <w:proofErr w:type="spellEnd"/>
      <w:r w:rsidR="0039091F" w:rsidRPr="007F1474">
        <w:t xml:space="preserve"> of the Global Digital Compact – including ITU</w:t>
      </w:r>
      <w:r w:rsidR="007F1474" w:rsidRPr="007F1474">
        <w:t>'</w:t>
      </w:r>
      <w:r w:rsidR="0039091F" w:rsidRPr="007F1474">
        <w:t>s related actions</w:t>
      </w:r>
      <w:r w:rsidR="007F1474">
        <w:t>"</w:t>
      </w:r>
      <w:r w:rsidR="0039091F" w:rsidRPr="0039091F">
        <w:t xml:space="preserve"> (Aperçu du Pacte numérique mondial, y compris des actions correspondantes de l'UIT), présenté aux GTC en 2024, est disponible </w:t>
      </w:r>
      <w:hyperlink r:id="rId1" w:history="1">
        <w:r w:rsidR="0039091F" w:rsidRPr="0039091F">
          <w:rPr>
            <w:rStyle w:val="Hyperlink"/>
            <w:rFonts w:eastAsia="Times New Roman" w:cs="Times New Roman"/>
            <w:szCs w:val="20"/>
          </w:rPr>
          <w:t>ici</w:t>
        </w:r>
      </w:hyperlink>
      <w:r w:rsidR="0039091F" w:rsidRPr="0039091F">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5E7A2"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2993FC8F" w14:textId="77777777" w:rsidR="00732045" w:rsidRDefault="00732045">
    <w:pPr>
      <w:pStyle w:val="Header"/>
    </w:pPr>
    <w:r>
      <w:t>C2001/#-F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7"/>
      <w:gridCol w:w="4703"/>
    </w:tblGrid>
    <w:tr w:rsidR="00524E8D" w:rsidRPr="00784011" w14:paraId="22A6B095" w14:textId="77777777" w:rsidTr="00D37B53">
      <w:trPr>
        <w:trHeight w:val="1104"/>
        <w:jc w:val="center"/>
      </w:trPr>
      <w:tc>
        <w:tcPr>
          <w:tcW w:w="5317" w:type="dxa"/>
          <w:vAlign w:val="center"/>
        </w:tcPr>
        <w:p w14:paraId="56114FF5" w14:textId="77777777" w:rsidR="00524E8D" w:rsidRDefault="00524E8D" w:rsidP="00A51849">
          <w:pPr>
            <w:pStyle w:val="Header"/>
            <w:jc w:val="left"/>
            <w:rPr>
              <w:rFonts w:ascii="Arial" w:hAnsi="Arial" w:cs="Arial"/>
              <w:b/>
              <w:bCs/>
              <w:noProof/>
              <w:color w:val="009CD6"/>
              <w:sz w:val="36"/>
              <w:szCs w:val="36"/>
            </w:rPr>
          </w:pPr>
          <w:r>
            <w:rPr>
              <w:rFonts w:ascii="Arial" w:hAnsi="Arial" w:cs="Arial"/>
              <w:b/>
              <w:bCs/>
              <w:noProof/>
              <w:color w:val="009CD6"/>
              <w:sz w:val="36"/>
              <w:szCs w:val="36"/>
            </w:rPr>
            <w:drawing>
              <wp:inline distT="0" distB="0" distL="0" distR="0" wp14:anchorId="75DD8AA6" wp14:editId="4F1CEFC6">
                <wp:extent cx="3239444" cy="612000"/>
                <wp:effectExtent l="0" t="0" r="0" b="0"/>
                <wp:docPr id="634183481"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183481" name="Picture 1" descr="A black background with blue text&#10;&#10;AI-generated content may be incorrect."/>
                        <pic:cNvPicPr/>
                      </pic:nvPicPr>
                      <pic:blipFill rotWithShape="1">
                        <a:blip r:embed="rId1">
                          <a:extLst>
                            <a:ext uri="{28A0092B-C50C-407E-A947-70E740481C1C}">
                              <a14:useLocalDpi xmlns:a14="http://schemas.microsoft.com/office/drawing/2010/main" val="0"/>
                            </a:ext>
                          </a:extLst>
                        </a:blip>
                        <a:srcRect r="11653"/>
                        <a:stretch/>
                      </pic:blipFill>
                      <pic:spPr bwMode="auto">
                        <a:xfrm>
                          <a:off x="0" y="0"/>
                          <a:ext cx="3239444" cy="612000"/>
                        </a:xfrm>
                        <a:prstGeom prst="rect">
                          <a:avLst/>
                        </a:prstGeom>
                        <a:ln>
                          <a:noFill/>
                        </a:ln>
                        <a:extLst>
                          <a:ext uri="{53640926-AAD7-44D8-BBD7-CCE9431645EC}">
                            <a14:shadowObscured xmlns:a14="http://schemas.microsoft.com/office/drawing/2010/main"/>
                          </a:ext>
                        </a:extLst>
                      </pic:spPr>
                    </pic:pic>
                  </a:graphicData>
                </a:graphic>
              </wp:inline>
            </w:drawing>
          </w:r>
        </w:p>
      </w:tc>
      <w:tc>
        <w:tcPr>
          <w:tcW w:w="4703" w:type="dxa"/>
        </w:tcPr>
        <w:p w14:paraId="71353E5F" w14:textId="77777777" w:rsidR="00524E8D" w:rsidRDefault="00524E8D" w:rsidP="00A51849">
          <w:pPr>
            <w:pStyle w:val="Header"/>
            <w:jc w:val="right"/>
            <w:rPr>
              <w:rFonts w:ascii="Arial" w:hAnsi="Arial" w:cs="Arial"/>
              <w:b/>
              <w:bCs/>
              <w:color w:val="009CD6"/>
              <w:szCs w:val="18"/>
            </w:rPr>
          </w:pPr>
        </w:p>
      </w:tc>
    </w:tr>
  </w:tbl>
  <w:p w14:paraId="6FD11786" w14:textId="77777777" w:rsidR="00A51849" w:rsidRDefault="00A51849">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2427674F" wp14:editId="16B2F627">
              <wp:simplePos x="0" y="0"/>
              <wp:positionH relativeFrom="page">
                <wp:posOffset>12065</wp:posOffset>
              </wp:positionH>
              <wp:positionV relativeFrom="topMargin">
                <wp:posOffset>652450</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3B41FA" id="Rectangle 5" o:spid="_x0000_s1026" style="position:absolute;margin-left:.95pt;margin-top:51.3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EJS5wN4AAAAIAQAADwAAAGRycy9kb3ducmV2LnhtbEyPQU/C&#10;QBCF7yb+h82YeJOtjYDUbokxeiB4QOTCbeiObbU7W7sLFH+9w0lPLy/v5c03+XxwrTpQHxrPBm5H&#10;CSji0tuGKwOb95ebe1AhIltsPZOBEwWYF5cXOWbWH/mNDutYKRnhkKGBOsYu0zqUNTkMI98RS/bh&#10;e4dRbF9p2+NRxl2r0ySZaIcNy4UaO3qqqfxa752BuE2r6Wm1jOnmefn9+rlYND92a8z11fD4ACrS&#10;EP/KcMYXdCiEaef3bINqxc+kKJKkU1DnfHIHaic6no1BF7n+/0DxCwAA//8DAFBLAQItABQABgAI&#10;AAAAIQC2gziS/gAAAOEBAAATAAAAAAAAAAAAAAAAAAAAAABbQ29udGVudF9UeXBlc10ueG1sUEsB&#10;Ai0AFAAGAAgAAAAhADj9If/WAAAAlAEAAAsAAAAAAAAAAAAAAAAALwEAAF9yZWxzLy5yZWxzUEsB&#10;Ai0AFAAGAAgAAAAhABqXufjoAQAAswMAAA4AAAAAAAAAAAAAAAAALgIAAGRycy9lMm9Eb2MueG1s&#10;UEsBAi0AFAAGAAgAAAAhABCUucDeAAAACAEAAA8AAAAAAAAAAAAAAAAAQgQAAGRycy9kb3ducmV2&#10;LnhtbFBLBQYAAAAABAAEAPMAAABNBQAAAAA=&#10;" fillcolor="#009cd5" stroked="f">
              <w10:wrap anchorx="page" anchory="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46B"/>
    <w:rsid w:val="00073A88"/>
    <w:rsid w:val="00076A2C"/>
    <w:rsid w:val="000D0D0A"/>
    <w:rsid w:val="000F146B"/>
    <w:rsid w:val="00103163"/>
    <w:rsid w:val="00106B19"/>
    <w:rsid w:val="001133EF"/>
    <w:rsid w:val="00115D93"/>
    <w:rsid w:val="00122226"/>
    <w:rsid w:val="001247A8"/>
    <w:rsid w:val="001370B2"/>
    <w:rsid w:val="001378C0"/>
    <w:rsid w:val="00177C4D"/>
    <w:rsid w:val="0018694A"/>
    <w:rsid w:val="001A3287"/>
    <w:rsid w:val="001A6508"/>
    <w:rsid w:val="001D4C31"/>
    <w:rsid w:val="001E2399"/>
    <w:rsid w:val="001E28EE"/>
    <w:rsid w:val="001E4D21"/>
    <w:rsid w:val="00207CD1"/>
    <w:rsid w:val="00226657"/>
    <w:rsid w:val="002477A2"/>
    <w:rsid w:val="00263A51"/>
    <w:rsid w:val="00267E02"/>
    <w:rsid w:val="002A5D44"/>
    <w:rsid w:val="002B6DF1"/>
    <w:rsid w:val="002C3F32"/>
    <w:rsid w:val="002C4E3D"/>
    <w:rsid w:val="002E0BC4"/>
    <w:rsid w:val="002F1B76"/>
    <w:rsid w:val="00323CB9"/>
    <w:rsid w:val="0033568E"/>
    <w:rsid w:val="00355FF5"/>
    <w:rsid w:val="00361350"/>
    <w:rsid w:val="0039091F"/>
    <w:rsid w:val="003C3FAE"/>
    <w:rsid w:val="004038CB"/>
    <w:rsid w:val="0040546F"/>
    <w:rsid w:val="004177BD"/>
    <w:rsid w:val="0042404A"/>
    <w:rsid w:val="0044618F"/>
    <w:rsid w:val="0046769A"/>
    <w:rsid w:val="00475FB3"/>
    <w:rsid w:val="004C37A9"/>
    <w:rsid w:val="004D1D50"/>
    <w:rsid w:val="004F259E"/>
    <w:rsid w:val="004F7EE3"/>
    <w:rsid w:val="00507A27"/>
    <w:rsid w:val="00511F1D"/>
    <w:rsid w:val="00520F36"/>
    <w:rsid w:val="00524E8D"/>
    <w:rsid w:val="00534E13"/>
    <w:rsid w:val="00540615"/>
    <w:rsid w:val="00540A6D"/>
    <w:rsid w:val="00566679"/>
    <w:rsid w:val="00571EEA"/>
    <w:rsid w:val="00575417"/>
    <w:rsid w:val="005768E1"/>
    <w:rsid w:val="005B1938"/>
    <w:rsid w:val="005C3890"/>
    <w:rsid w:val="005F7BFE"/>
    <w:rsid w:val="00600017"/>
    <w:rsid w:val="006235CA"/>
    <w:rsid w:val="0062366E"/>
    <w:rsid w:val="006643AB"/>
    <w:rsid w:val="006A11AE"/>
    <w:rsid w:val="006F0A53"/>
    <w:rsid w:val="007210CD"/>
    <w:rsid w:val="00732045"/>
    <w:rsid w:val="0073275D"/>
    <w:rsid w:val="007369DB"/>
    <w:rsid w:val="0077110E"/>
    <w:rsid w:val="00793954"/>
    <w:rsid w:val="007956C2"/>
    <w:rsid w:val="007A187E"/>
    <w:rsid w:val="007C72C2"/>
    <w:rsid w:val="007D4436"/>
    <w:rsid w:val="007F1474"/>
    <w:rsid w:val="007F257A"/>
    <w:rsid w:val="007F3665"/>
    <w:rsid w:val="00800037"/>
    <w:rsid w:val="0082299A"/>
    <w:rsid w:val="0083391C"/>
    <w:rsid w:val="0085253A"/>
    <w:rsid w:val="00861D73"/>
    <w:rsid w:val="00882919"/>
    <w:rsid w:val="00897553"/>
    <w:rsid w:val="008A4E87"/>
    <w:rsid w:val="008C60F8"/>
    <w:rsid w:val="008D76E6"/>
    <w:rsid w:val="0092392D"/>
    <w:rsid w:val="0093234A"/>
    <w:rsid w:val="00943836"/>
    <w:rsid w:val="00956A78"/>
    <w:rsid w:val="0097363B"/>
    <w:rsid w:val="00973F53"/>
    <w:rsid w:val="00995C93"/>
    <w:rsid w:val="009A5377"/>
    <w:rsid w:val="009A6BAA"/>
    <w:rsid w:val="009C307F"/>
    <w:rsid w:val="009C353C"/>
    <w:rsid w:val="009E4C6B"/>
    <w:rsid w:val="009F0FB8"/>
    <w:rsid w:val="00A2113E"/>
    <w:rsid w:val="00A23A51"/>
    <w:rsid w:val="00A24607"/>
    <w:rsid w:val="00A25CD3"/>
    <w:rsid w:val="00A51849"/>
    <w:rsid w:val="00A54311"/>
    <w:rsid w:val="00A709FE"/>
    <w:rsid w:val="00A73C60"/>
    <w:rsid w:val="00A82767"/>
    <w:rsid w:val="00AA332F"/>
    <w:rsid w:val="00AA7BBB"/>
    <w:rsid w:val="00AB64A8"/>
    <w:rsid w:val="00AC0266"/>
    <w:rsid w:val="00AD0B84"/>
    <w:rsid w:val="00AD24EC"/>
    <w:rsid w:val="00B21E5D"/>
    <w:rsid w:val="00B27B00"/>
    <w:rsid w:val="00B309F9"/>
    <w:rsid w:val="00B32B60"/>
    <w:rsid w:val="00B36354"/>
    <w:rsid w:val="00B51005"/>
    <w:rsid w:val="00B61619"/>
    <w:rsid w:val="00BB4545"/>
    <w:rsid w:val="00BD5873"/>
    <w:rsid w:val="00BF4B60"/>
    <w:rsid w:val="00C049D7"/>
    <w:rsid w:val="00C04BE3"/>
    <w:rsid w:val="00C06509"/>
    <w:rsid w:val="00C25D29"/>
    <w:rsid w:val="00C27A7C"/>
    <w:rsid w:val="00C42437"/>
    <w:rsid w:val="00CA08ED"/>
    <w:rsid w:val="00CC6EAA"/>
    <w:rsid w:val="00CF1209"/>
    <w:rsid w:val="00CF183B"/>
    <w:rsid w:val="00D2335F"/>
    <w:rsid w:val="00D375CD"/>
    <w:rsid w:val="00D37B53"/>
    <w:rsid w:val="00D553A2"/>
    <w:rsid w:val="00D72F49"/>
    <w:rsid w:val="00D774D3"/>
    <w:rsid w:val="00D904E8"/>
    <w:rsid w:val="00DA08C3"/>
    <w:rsid w:val="00DB5A3E"/>
    <w:rsid w:val="00DC22AA"/>
    <w:rsid w:val="00DC44B0"/>
    <w:rsid w:val="00DD1A99"/>
    <w:rsid w:val="00DD3E77"/>
    <w:rsid w:val="00DF74DD"/>
    <w:rsid w:val="00E25AD0"/>
    <w:rsid w:val="00E4428F"/>
    <w:rsid w:val="00E47427"/>
    <w:rsid w:val="00E93668"/>
    <w:rsid w:val="00E95647"/>
    <w:rsid w:val="00EB6350"/>
    <w:rsid w:val="00ED5B8E"/>
    <w:rsid w:val="00F005CB"/>
    <w:rsid w:val="00F15B57"/>
    <w:rsid w:val="00F35EF4"/>
    <w:rsid w:val="00F37FE5"/>
    <w:rsid w:val="00F427DB"/>
    <w:rsid w:val="00FA5EB1"/>
    <w:rsid w:val="00FA7439"/>
    <w:rsid w:val="00FC4CBA"/>
    <w:rsid w:val="00FC4EC0"/>
    <w:rsid w:val="00FC6D7D"/>
    <w:rsid w:val="00FE6109"/>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7FA6C9"/>
  <w15:docId w15:val="{4E5F5B3B-6CFA-4B2C-B38E-1F1949909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F005CB"/>
    <w:pPr>
      <w:keepNext/>
      <w:keepLines/>
      <w:spacing w:before="360"/>
      <w:ind w:left="567" w:hanging="567"/>
      <w:outlineLvl w:val="0"/>
    </w:pPr>
    <w:rPr>
      <w:b/>
      <w:sz w:val="28"/>
    </w:rPr>
  </w:style>
  <w:style w:type="paragraph" w:styleId="Heading2">
    <w:name w:val="heading 2"/>
    <w:basedOn w:val="Heading1"/>
    <w:next w:val="Normal"/>
    <w:qFormat/>
    <w:rsid w:val="00F005CB"/>
    <w:pPr>
      <w:spacing w:before="240"/>
      <w:outlineLvl w:val="1"/>
    </w:pPr>
    <w:rPr>
      <w:sz w:val="24"/>
    </w:rPr>
  </w:style>
  <w:style w:type="paragraph" w:styleId="Heading3">
    <w:name w:val="heading 3"/>
    <w:basedOn w:val="Heading1"/>
    <w:next w:val="Normal"/>
    <w:qFormat/>
    <w:rsid w:val="00732045"/>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73204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32045"/>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1E28EE"/>
    <w:pPr>
      <w:keepLines/>
      <w:tabs>
        <w:tab w:val="left" w:pos="256"/>
      </w:tabs>
      <w:ind w:left="256" w:hanging="256"/>
    </w:pPr>
    <w:rPr>
      <w:sz w:val="22"/>
      <w:szCs w:val="22"/>
    </w:rPr>
  </w:style>
  <w:style w:type="paragraph" w:styleId="NormalIndent">
    <w:name w:val="Normal Indent"/>
    <w:basedOn w:val="Normal"/>
    <w:rsid w:val="00732045"/>
    <w:pPr>
      <w:ind w:left="567"/>
    </w:pPr>
  </w:style>
  <w:style w:type="paragraph" w:customStyle="1" w:styleId="enumlev1">
    <w:name w:val="enumlev1"/>
    <w:basedOn w:val="Normal"/>
    <w:rsid w:val="00732045"/>
    <w:pPr>
      <w:spacing w:before="86"/>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73204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732045"/>
    <w:pPr>
      <w:spacing w:before="160"/>
      <w:outlineLvl w:val="0"/>
    </w:pPr>
  </w:style>
  <w:style w:type="paragraph" w:customStyle="1" w:styleId="Title1">
    <w:name w:val="Title 1"/>
    <w:basedOn w:val="Source"/>
    <w:next w:val="Title2"/>
    <w:rsid w:val="00732045"/>
    <w:pPr>
      <w:spacing w:before="240"/>
    </w:pPr>
    <w:rPr>
      <w:b w:val="0"/>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5C3890"/>
    <w:pPr>
      <w:spacing w:before="80"/>
    </w:p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732045"/>
    <w:pPr>
      <w:spacing w:before="720"/>
      <w:jc w:val="center"/>
    </w:pPr>
    <w:rPr>
      <w:caps/>
      <w:sz w:val="28"/>
    </w:rPr>
  </w:style>
  <w:style w:type="paragraph" w:customStyle="1" w:styleId="Annexref">
    <w:name w:val="Annex_ref"/>
    <w:basedOn w:val="Normal"/>
    <w:next w:val="Annextitle"/>
    <w:rsid w:val="00732045"/>
    <w:pPr>
      <w:jc w:val="center"/>
    </w:pPr>
    <w:rPr>
      <w:sz w:val="28"/>
    </w:rPr>
  </w:style>
  <w:style w:type="paragraph" w:customStyle="1" w:styleId="Annextitle">
    <w:name w:val="Annex_title"/>
    <w:basedOn w:val="Normal"/>
    <w:next w:val="Normal"/>
    <w:rsid w:val="00732045"/>
    <w:pPr>
      <w:spacing w:before="240" w:after="240"/>
      <w:jc w:val="center"/>
    </w:pPr>
    <w:rPr>
      <w:b/>
      <w:sz w:val="28"/>
    </w:rPr>
  </w:style>
  <w:style w:type="paragraph" w:customStyle="1" w:styleId="AppendixNo">
    <w:name w:val="Appendix_No"/>
    <w:basedOn w:val="AnnexNo"/>
    <w:next w:val="Appendixref"/>
    <w:rsid w:val="00732045"/>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
    <w:rsid w:val="00732045"/>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732045"/>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32045"/>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Figuretitle"/>
    <w:rsid w:val="005C3890"/>
    <w:pPr>
      <w:keepNext/>
      <w:keepLines/>
      <w:spacing w:after="120"/>
      <w:jc w:val="center"/>
    </w:pPr>
  </w:style>
  <w:style w:type="paragraph" w:customStyle="1" w:styleId="Figurelegend">
    <w:name w:val="Figure_legend"/>
    <w:basedOn w:val="Normal"/>
    <w:rsid w:val="00A709FE"/>
    <w:pPr>
      <w:spacing w:before="20" w:after="20"/>
    </w:pPr>
    <w:rPr>
      <w:sz w:val="18"/>
    </w:rPr>
  </w:style>
  <w:style w:type="paragraph" w:customStyle="1" w:styleId="TableNo">
    <w:name w:val="Table_No"/>
    <w:basedOn w:val="Normal"/>
    <w:next w:val="Tabletitle"/>
    <w:rsid w:val="00732045"/>
    <w:pPr>
      <w:keepNext/>
      <w:spacing w:before="560" w:after="120"/>
      <w:jc w:val="center"/>
    </w:pPr>
    <w:rPr>
      <w:caps/>
    </w:rPr>
  </w:style>
  <w:style w:type="paragraph" w:customStyle="1" w:styleId="Tabletitle">
    <w:name w:val="Table_title"/>
    <w:basedOn w:val="TableNo"/>
    <w:next w:val="Tabletext"/>
    <w:rsid w:val="0073204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5C3890"/>
    <w:pPr>
      <w:spacing w:before="240" w:after="480"/>
    </w:pPr>
  </w:style>
  <w:style w:type="paragraph" w:customStyle="1" w:styleId="Figurewithouttitle">
    <w:name w:val="Figure_without_title"/>
    <w:basedOn w:val="Figure"/>
    <w:next w:val="Normalaftertitle"/>
    <w:rsid w:val="005C3890"/>
    <w:pPr>
      <w:keepNext w:val="0"/>
      <w:spacing w:after="240"/>
    </w:pPr>
  </w:style>
  <w:style w:type="paragraph" w:customStyle="1" w:styleId="Headingi">
    <w:name w:val="Heading_i"/>
    <w:basedOn w:val="Heading3"/>
    <w:next w:val="Normal"/>
    <w:rsid w:val="00732045"/>
    <w:pPr>
      <w:spacing w:before="16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32045"/>
    <w:pPr>
      <w:spacing w:before="720"/>
      <w:jc w:val="center"/>
    </w:pPr>
    <w:rPr>
      <w:caps/>
      <w:sz w:val="28"/>
    </w:rPr>
  </w:style>
  <w:style w:type="paragraph" w:customStyle="1" w:styleId="Rectitle">
    <w:name w:val="Rec_title"/>
    <w:basedOn w:val="Normal"/>
    <w:next w:val="Heading1"/>
    <w:rsid w:val="00732045"/>
    <w:pPr>
      <w:spacing w:before="240"/>
      <w:jc w:val="center"/>
    </w:pPr>
    <w:rPr>
      <w:b/>
      <w:sz w:val="28"/>
    </w:rPr>
  </w:style>
  <w:style w:type="paragraph" w:customStyle="1" w:styleId="Recref">
    <w:name w:val="Rec_ref"/>
    <w:basedOn w:val="Rectitle"/>
    <w:next w:val="Recdate"/>
    <w:rsid w:val="005C3890"/>
    <w:pPr>
      <w:spacing w:before="120"/>
    </w:pPr>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5C3890"/>
  </w:style>
  <w:style w:type="paragraph" w:customStyle="1" w:styleId="QuestionNo">
    <w:name w:val="Question_No"/>
    <w:basedOn w:val="RecNo"/>
    <w:next w:val="Questiontitle"/>
    <w:rsid w:val="005C3890"/>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5C3890"/>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32045"/>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5C3890"/>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32045"/>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rsid w:val="00732045"/>
    <w:pPr>
      <w:spacing w:before="120" w:after="120"/>
      <w:jc w:val="center"/>
    </w:pPr>
    <w:rPr>
      <w:b/>
    </w:rPr>
  </w:style>
  <w:style w:type="paragraph" w:customStyle="1" w:styleId="Tablelegend">
    <w:name w:val="Table_legend"/>
    <w:basedOn w:val="Tabletext"/>
    <w:rsid w:val="00732045"/>
    <w:pPr>
      <w:spacing w:before="120"/>
    </w:pPr>
  </w:style>
  <w:style w:type="paragraph" w:customStyle="1" w:styleId="Tableref">
    <w:name w:val="Table_ref"/>
    <w:basedOn w:val="Normal"/>
    <w:next w:val="Tabletitle"/>
    <w:rsid w:val="005C3890"/>
    <w:pPr>
      <w:keepNext/>
      <w:spacing w:before="567"/>
      <w:jc w:val="center"/>
    </w:pPr>
  </w:style>
  <w:style w:type="paragraph" w:customStyle="1" w:styleId="Title2">
    <w:name w:val="Title 2"/>
    <w:basedOn w:val="Source"/>
    <w:next w:val="Title3"/>
    <w:rsid w:val="00732045"/>
    <w:pPr>
      <w:spacing w:before="240"/>
    </w:pPr>
    <w:rPr>
      <w:b w:val="0"/>
      <w:caps/>
    </w:rPr>
  </w:style>
  <w:style w:type="paragraph" w:customStyle="1" w:styleId="Title3">
    <w:name w:val="Title 3"/>
    <w:basedOn w:val="Title2"/>
    <w:next w:val="Normalaftertitle"/>
    <w:rsid w:val="00732045"/>
    <w:rPr>
      <w:caps w:val="0"/>
    </w:rPr>
  </w:style>
  <w:style w:type="paragraph" w:customStyle="1" w:styleId="Title4">
    <w:name w:val="Title 4"/>
    <w:basedOn w:val="Title3"/>
    <w:next w:val="Heading1"/>
    <w:rsid w:val="005C3890"/>
    <w:rPr>
      <w:b/>
    </w:rPr>
  </w:style>
  <w:style w:type="paragraph" w:customStyle="1" w:styleId="FigureNo">
    <w:name w:val="Figure_No"/>
    <w:basedOn w:val="Normal"/>
    <w:next w:val="Figuretitle"/>
    <w:rsid w:val="005C3890"/>
    <w:pPr>
      <w:keepNext/>
      <w:keepLines/>
      <w:spacing w:before="24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S19-CL-INF-0008/fr" TargetMode="External"/><Relationship Id="rId18" Type="http://schemas.openxmlformats.org/officeDocument/2006/relationships/hyperlink" Target="https://www.itu.int/md/S23-CL-INF-0009/fr" TargetMode="External"/><Relationship Id="rId26" Type="http://schemas.openxmlformats.org/officeDocument/2006/relationships/hyperlink" Target="https://unsceb.org/inter-agency-working-group-artificial-intelligence" TargetMode="External"/><Relationship Id="rId3" Type="http://schemas.openxmlformats.org/officeDocument/2006/relationships/settings" Target="settings.xml"/><Relationship Id="rId21" Type="http://schemas.openxmlformats.org/officeDocument/2006/relationships/hyperlink" Target="https://www.itu.int/md/S25-CWGWSIS42-C-0010/fr" TargetMode="External"/><Relationship Id="rId7" Type="http://schemas.openxmlformats.org/officeDocument/2006/relationships/hyperlink" Target="https://docs.un.org/fr/A/RES/76/307" TargetMode="External"/><Relationship Id="rId12" Type="http://schemas.openxmlformats.org/officeDocument/2006/relationships/hyperlink" Target="https://docs.un.org/fr/A/79/L.3" TargetMode="External"/><Relationship Id="rId17" Type="http://schemas.openxmlformats.org/officeDocument/2006/relationships/hyperlink" Target="https://www.itu.int/md/S23-CL-INF-0008/fr" TargetMode="External"/><Relationship Id="rId25" Type="http://schemas.openxmlformats.org/officeDocument/2006/relationships/hyperlink" Target="https://unsceb.org/high-level-committee-programmes-hlcp"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itu.int/md/S22-CL-INF-0002/fr" TargetMode="External"/><Relationship Id="rId20" Type="http://schemas.openxmlformats.org/officeDocument/2006/relationships/hyperlink" Target="https://www.itu.int/md/S24-CL-INF-0009/fr"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cs.un.org/fr/A/79/L.2" TargetMode="External"/><Relationship Id="rId24" Type="http://schemas.openxmlformats.org/officeDocument/2006/relationships/hyperlink" Target="https://www.itu.int/en/Documents/ITU-WSIS-global-digital-compact-objectives.pdf"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itu.int/md/S21-CL-INF-0002/fr" TargetMode="External"/><Relationship Id="rId23" Type="http://schemas.openxmlformats.org/officeDocument/2006/relationships/hyperlink" Target="https://www.itu.int/md/S25-CWGWSIS42-C-0010/fr" TargetMode="External"/><Relationship Id="rId28" Type="http://schemas.openxmlformats.org/officeDocument/2006/relationships/footer" Target="footer1.xml"/><Relationship Id="rId10" Type="http://schemas.openxmlformats.org/officeDocument/2006/relationships/hyperlink" Target="https://docs.un.org/fr/A/78/L.77" TargetMode="External"/><Relationship Id="rId19" Type="http://schemas.openxmlformats.org/officeDocument/2006/relationships/hyperlink" Target="https://www.itu.int/md/S24-CL-C-0055/fr"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cs.un.org/fr/A/77/L.63" TargetMode="External"/><Relationship Id="rId14" Type="http://schemas.openxmlformats.org/officeDocument/2006/relationships/hyperlink" Target="https://www.itu.int/md/S20-CL-INF-0003/fr" TargetMode="External"/><Relationship Id="rId22" Type="http://schemas.openxmlformats.org/officeDocument/2006/relationships/hyperlink" Target="https://www.itu.int/md/S25-CWGWSIS42-C-0010/fr" TargetMode="External"/><Relationship Id="rId27" Type="http://schemas.openxmlformats.org/officeDocument/2006/relationships/header" Target="header1.xml"/><Relationship Id="rId30" Type="http://schemas.openxmlformats.org/officeDocument/2006/relationships/header" Target="header2.xml"/><Relationship Id="rId8" Type="http://schemas.openxmlformats.org/officeDocument/2006/relationships/hyperlink" Target="https://docs.un.org/fr/A/77/L.109"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tu.int/en/council/cwg-wsis/Documents/2024/InfoSession%20on%20GDC_2Oct2024V2.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zziala\AppData\Roaming\Microsoft\Templates\POOL%20F%20-%20ITU\SG\PF_Council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AE83CC-692C-4016-8790-4FCF691D4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PF_Council25.dotx</Template>
  <TotalTime>0</TotalTime>
  <Pages>7</Pages>
  <Words>2923</Words>
  <Characters>17764</Characters>
  <Application>Microsoft Office Word</Application>
  <DocSecurity>0</DocSecurity>
  <Lines>273</Lines>
  <Paragraphs>68</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20619</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Informations actualisées sur le plan d'action de l'UIT pour la mise en œuvre du Pacte numérique mondial</dc:title>
  <dc:subject>Conseil 2025 de l'UIT</dc:subject>
  <cp:keywords>C2025, C25, Council-25</cp:keywords>
  <dc:description/>
  <cp:lastPrinted>2000-07-18T08:55:00Z</cp:lastPrinted>
  <dcterms:created xsi:type="dcterms:W3CDTF">2025-06-03T12:50:00Z</dcterms:created>
  <dcterms:modified xsi:type="dcterms:W3CDTF">2025-06-03T12:50:00Z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