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B679E" w14:paraId="3E1C2769" w14:textId="77777777" w:rsidTr="23DED9D3">
        <w:trPr>
          <w:cantSplit/>
          <w:trHeight w:val="23"/>
        </w:trPr>
        <w:tc>
          <w:tcPr>
            <w:tcW w:w="3969" w:type="dxa"/>
            <w:vMerge w:val="restart"/>
            <w:tcMar>
              <w:left w:w="0" w:type="dxa"/>
            </w:tcMar>
          </w:tcPr>
          <w:p w14:paraId="7147B863" w14:textId="0332F16B" w:rsidR="00AD3606" w:rsidRPr="00CB679E" w:rsidRDefault="00AD3606" w:rsidP="00472BAD">
            <w:pPr>
              <w:tabs>
                <w:tab w:val="left" w:pos="851"/>
              </w:tabs>
              <w:spacing w:before="0" w:line="240" w:lineRule="atLeast"/>
              <w:rPr>
                <w:rFonts w:asciiTheme="minorHAnsi" w:hAnsiTheme="minorHAnsi" w:cstheme="minorHAnsi"/>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B679E">
              <w:rPr>
                <w:rFonts w:asciiTheme="minorHAnsi" w:hAnsiTheme="minorHAnsi" w:cstheme="minorHAnsi"/>
                <w:b/>
              </w:rPr>
              <w:t xml:space="preserve">Agenda item: </w:t>
            </w:r>
            <w:r w:rsidR="00FF7A26">
              <w:rPr>
                <w:rFonts w:asciiTheme="minorHAnsi" w:hAnsiTheme="minorHAnsi" w:cstheme="minorHAnsi"/>
                <w:b/>
              </w:rPr>
              <w:t>PL 2</w:t>
            </w:r>
          </w:p>
        </w:tc>
        <w:tc>
          <w:tcPr>
            <w:tcW w:w="5245" w:type="dxa"/>
          </w:tcPr>
          <w:p w14:paraId="6779937E" w14:textId="4E0AC41F" w:rsidR="00AD3606" w:rsidRPr="00CB679E" w:rsidRDefault="00AD3606" w:rsidP="00472BAD">
            <w:pPr>
              <w:tabs>
                <w:tab w:val="left" w:pos="851"/>
              </w:tabs>
              <w:spacing w:before="0" w:line="240" w:lineRule="atLeast"/>
              <w:jc w:val="right"/>
              <w:rPr>
                <w:rFonts w:asciiTheme="minorHAnsi" w:hAnsiTheme="minorHAnsi" w:cstheme="minorHAnsi"/>
                <w:b/>
              </w:rPr>
            </w:pPr>
            <w:r w:rsidRPr="00CB679E">
              <w:rPr>
                <w:rFonts w:asciiTheme="minorHAnsi" w:hAnsiTheme="minorHAnsi" w:cstheme="minorHAnsi"/>
                <w:b/>
              </w:rPr>
              <w:t>Document C2</w:t>
            </w:r>
            <w:r w:rsidR="00BF1FDE" w:rsidRPr="00CB679E">
              <w:rPr>
                <w:rFonts w:asciiTheme="minorHAnsi" w:hAnsiTheme="minorHAnsi" w:cstheme="minorHAnsi"/>
                <w:b/>
              </w:rPr>
              <w:t>5</w:t>
            </w:r>
            <w:r w:rsidRPr="00CB679E">
              <w:rPr>
                <w:rFonts w:asciiTheme="minorHAnsi" w:hAnsiTheme="minorHAnsi" w:cstheme="minorHAnsi"/>
                <w:b/>
              </w:rPr>
              <w:t>/</w:t>
            </w:r>
            <w:r w:rsidR="00CB679E" w:rsidRPr="00CB679E">
              <w:rPr>
                <w:rFonts w:asciiTheme="minorHAnsi" w:hAnsiTheme="minorHAnsi" w:cstheme="minorHAnsi"/>
                <w:b/>
              </w:rPr>
              <w:t>52</w:t>
            </w:r>
            <w:r w:rsidRPr="00CB679E">
              <w:rPr>
                <w:rFonts w:asciiTheme="minorHAnsi" w:hAnsiTheme="minorHAnsi" w:cstheme="minorHAnsi"/>
                <w:b/>
              </w:rPr>
              <w:t>-E</w:t>
            </w:r>
          </w:p>
        </w:tc>
      </w:tr>
      <w:tr w:rsidR="00AD3606" w:rsidRPr="00CB679E" w14:paraId="3E3F9DA5" w14:textId="77777777" w:rsidTr="23DED9D3">
        <w:trPr>
          <w:cantSplit/>
        </w:trPr>
        <w:tc>
          <w:tcPr>
            <w:tcW w:w="3969" w:type="dxa"/>
            <w:vMerge/>
          </w:tcPr>
          <w:p w14:paraId="5920AA6E" w14:textId="77777777" w:rsidR="00AD3606" w:rsidRPr="00CB679E" w:rsidRDefault="00AD3606" w:rsidP="00AD3606">
            <w:pPr>
              <w:tabs>
                <w:tab w:val="left" w:pos="851"/>
              </w:tabs>
              <w:spacing w:line="240" w:lineRule="atLeast"/>
              <w:rPr>
                <w:rFonts w:asciiTheme="minorHAnsi" w:hAnsiTheme="minorHAnsi" w:cstheme="minorHAnsi"/>
                <w:b/>
              </w:rPr>
            </w:pPr>
            <w:bookmarkStart w:id="6" w:name="ddate" w:colFirst="1" w:colLast="1"/>
            <w:bookmarkEnd w:id="0"/>
            <w:bookmarkEnd w:id="1"/>
          </w:p>
        </w:tc>
        <w:tc>
          <w:tcPr>
            <w:tcW w:w="5245" w:type="dxa"/>
          </w:tcPr>
          <w:p w14:paraId="55371C25" w14:textId="763F951C" w:rsidR="00AD3606" w:rsidRPr="00CB679E" w:rsidRDefault="00C068B8" w:rsidP="00AD3606">
            <w:pPr>
              <w:tabs>
                <w:tab w:val="left" w:pos="851"/>
              </w:tabs>
              <w:spacing w:before="0"/>
              <w:jc w:val="right"/>
              <w:rPr>
                <w:rFonts w:asciiTheme="minorHAnsi" w:hAnsiTheme="minorHAnsi" w:cstheme="minorHAnsi"/>
                <w:b/>
              </w:rPr>
            </w:pPr>
            <w:r>
              <w:rPr>
                <w:rFonts w:asciiTheme="minorHAnsi" w:hAnsiTheme="minorHAnsi" w:cstheme="minorHAnsi"/>
                <w:b/>
              </w:rPr>
              <w:t>16 May</w:t>
            </w:r>
            <w:r w:rsidR="00FF7A26">
              <w:rPr>
                <w:rFonts w:asciiTheme="minorHAnsi" w:hAnsiTheme="minorHAnsi" w:cstheme="minorHAnsi"/>
                <w:b/>
              </w:rPr>
              <w:t xml:space="preserve"> 2025</w:t>
            </w:r>
          </w:p>
        </w:tc>
      </w:tr>
      <w:tr w:rsidR="00AD3606" w:rsidRPr="00CB679E" w14:paraId="75730376" w14:textId="77777777" w:rsidTr="23DED9D3">
        <w:trPr>
          <w:cantSplit/>
          <w:trHeight w:val="23"/>
        </w:trPr>
        <w:tc>
          <w:tcPr>
            <w:tcW w:w="3969" w:type="dxa"/>
            <w:vMerge/>
          </w:tcPr>
          <w:p w14:paraId="298F937E" w14:textId="77777777" w:rsidR="00AD3606" w:rsidRPr="00CB679E" w:rsidRDefault="00AD3606" w:rsidP="00AD3606">
            <w:pPr>
              <w:tabs>
                <w:tab w:val="left" w:pos="851"/>
              </w:tabs>
              <w:spacing w:line="240" w:lineRule="atLeast"/>
              <w:rPr>
                <w:rFonts w:asciiTheme="minorHAnsi" w:hAnsiTheme="minorHAnsi" w:cstheme="minorHAnsi"/>
                <w:b/>
              </w:rPr>
            </w:pPr>
            <w:bookmarkStart w:id="7" w:name="dorlang" w:colFirst="1" w:colLast="1"/>
            <w:bookmarkEnd w:id="6"/>
          </w:p>
        </w:tc>
        <w:tc>
          <w:tcPr>
            <w:tcW w:w="5245" w:type="dxa"/>
          </w:tcPr>
          <w:p w14:paraId="041A065E" w14:textId="77777777" w:rsidR="00AD3606" w:rsidRPr="00CB679E" w:rsidRDefault="00AD3606" w:rsidP="00AD3606">
            <w:pPr>
              <w:tabs>
                <w:tab w:val="left" w:pos="851"/>
              </w:tabs>
              <w:spacing w:before="0" w:line="240" w:lineRule="atLeast"/>
              <w:jc w:val="right"/>
              <w:rPr>
                <w:rFonts w:asciiTheme="minorHAnsi" w:hAnsiTheme="minorHAnsi" w:cstheme="minorHAnsi"/>
                <w:b/>
              </w:rPr>
            </w:pPr>
            <w:r w:rsidRPr="00CB679E">
              <w:rPr>
                <w:rFonts w:asciiTheme="minorHAnsi" w:hAnsiTheme="minorHAnsi" w:cstheme="minorHAnsi"/>
                <w:b/>
              </w:rPr>
              <w:t>Original: English</w:t>
            </w:r>
          </w:p>
        </w:tc>
      </w:tr>
      <w:tr w:rsidR="00472BAD" w:rsidRPr="00CB679E" w14:paraId="14DA91C4" w14:textId="77777777" w:rsidTr="23DED9D3">
        <w:trPr>
          <w:cantSplit/>
          <w:trHeight w:val="23"/>
        </w:trPr>
        <w:tc>
          <w:tcPr>
            <w:tcW w:w="3969" w:type="dxa"/>
          </w:tcPr>
          <w:p w14:paraId="5858B25D" w14:textId="77777777" w:rsidR="00472BAD" w:rsidRPr="00CB679E" w:rsidRDefault="00472BAD" w:rsidP="00AD3606">
            <w:pPr>
              <w:tabs>
                <w:tab w:val="left" w:pos="851"/>
              </w:tabs>
              <w:spacing w:line="240" w:lineRule="atLeast"/>
              <w:rPr>
                <w:rFonts w:asciiTheme="minorHAnsi" w:hAnsiTheme="minorHAnsi" w:cstheme="minorHAnsi"/>
                <w:b/>
              </w:rPr>
            </w:pPr>
          </w:p>
        </w:tc>
        <w:tc>
          <w:tcPr>
            <w:tcW w:w="5245" w:type="dxa"/>
          </w:tcPr>
          <w:p w14:paraId="5DBF7439" w14:textId="77777777" w:rsidR="00472BAD" w:rsidRPr="00CB679E" w:rsidRDefault="00472BAD" w:rsidP="00AD3606">
            <w:pPr>
              <w:tabs>
                <w:tab w:val="left" w:pos="851"/>
              </w:tabs>
              <w:spacing w:before="0" w:line="240" w:lineRule="atLeast"/>
              <w:jc w:val="right"/>
              <w:rPr>
                <w:rFonts w:asciiTheme="minorHAnsi" w:hAnsiTheme="minorHAnsi" w:cstheme="minorHAnsi"/>
                <w:b/>
              </w:rPr>
            </w:pPr>
          </w:p>
        </w:tc>
      </w:tr>
      <w:tr w:rsidR="00AD3606" w:rsidRPr="00CB679E" w14:paraId="2481FF59" w14:textId="77777777" w:rsidTr="23DED9D3">
        <w:trPr>
          <w:cantSplit/>
        </w:trPr>
        <w:tc>
          <w:tcPr>
            <w:tcW w:w="9214" w:type="dxa"/>
            <w:gridSpan w:val="2"/>
            <w:tcMar>
              <w:left w:w="0" w:type="dxa"/>
            </w:tcMar>
          </w:tcPr>
          <w:p w14:paraId="2016C4A0" w14:textId="77777777" w:rsidR="00AD3606" w:rsidRPr="00CB679E" w:rsidRDefault="00AD3606" w:rsidP="000F7289">
            <w:pPr>
              <w:pStyle w:val="Source"/>
              <w:framePr w:hSpace="0" w:wrap="auto" w:vAnchor="margin" w:hAnchor="text" w:xAlign="left" w:yAlign="inline"/>
              <w:rPr>
                <w:rFonts w:asciiTheme="minorHAnsi" w:hAnsiTheme="minorHAnsi" w:cstheme="minorHAnsi"/>
              </w:rPr>
            </w:pPr>
            <w:bookmarkStart w:id="8" w:name="dsource" w:colFirst="0" w:colLast="0"/>
            <w:bookmarkEnd w:id="7"/>
            <w:r w:rsidRPr="00CB679E">
              <w:rPr>
                <w:rFonts w:asciiTheme="minorHAnsi" w:hAnsiTheme="minorHAnsi" w:cstheme="minorHAnsi"/>
              </w:rPr>
              <w:t>Report by the Secretary-General</w:t>
            </w:r>
          </w:p>
        </w:tc>
      </w:tr>
      <w:tr w:rsidR="00AD3606" w:rsidRPr="00CB679E" w14:paraId="3A759762" w14:textId="77777777" w:rsidTr="23DED9D3">
        <w:trPr>
          <w:cantSplit/>
        </w:trPr>
        <w:tc>
          <w:tcPr>
            <w:tcW w:w="9214" w:type="dxa"/>
            <w:gridSpan w:val="2"/>
            <w:tcMar>
              <w:left w:w="0" w:type="dxa"/>
            </w:tcMar>
          </w:tcPr>
          <w:p w14:paraId="2A2DCF47" w14:textId="0AF21B7C" w:rsidR="00AD3606" w:rsidRPr="00CB679E" w:rsidRDefault="00204738" w:rsidP="000F7289">
            <w:pPr>
              <w:pStyle w:val="Subtitle"/>
              <w:framePr w:hSpace="0" w:wrap="auto" w:xAlign="left" w:yAlign="inline"/>
              <w:rPr>
                <w:rFonts w:asciiTheme="minorHAnsi" w:hAnsiTheme="minorHAnsi" w:cstheme="minorHAnsi"/>
              </w:rPr>
            </w:pPr>
            <w:bookmarkStart w:id="9" w:name="_Hlk194995037"/>
            <w:bookmarkStart w:id="10" w:name="dtitle1" w:colFirst="0" w:colLast="0"/>
            <w:bookmarkEnd w:id="8"/>
            <w:r w:rsidRPr="00CB679E">
              <w:rPr>
                <w:rFonts w:asciiTheme="minorHAnsi" w:eastAsia="Malgun Gothic" w:hAnsiTheme="minorHAnsi" w:cstheme="minorHAnsi"/>
                <w:lang w:eastAsia="ko-KR"/>
              </w:rPr>
              <w:t xml:space="preserve">UPDATES ON THE ITU </w:t>
            </w:r>
            <w:r w:rsidRPr="00CB679E">
              <w:rPr>
                <w:rFonts w:asciiTheme="minorHAnsi" w:hAnsiTheme="minorHAnsi" w:cstheme="minorHAnsi"/>
              </w:rPr>
              <w:t>ACTION PLAN FOR IMPLEMENTING THE GLOBAL DIGITAL COMPACT</w:t>
            </w:r>
            <w:bookmarkEnd w:id="9"/>
          </w:p>
        </w:tc>
      </w:tr>
      <w:tr w:rsidR="00AD3606" w:rsidRPr="00CB679E" w14:paraId="72B25568" w14:textId="77777777" w:rsidTr="23DED9D3">
        <w:trPr>
          <w:cantSplit/>
        </w:trPr>
        <w:tc>
          <w:tcPr>
            <w:tcW w:w="9214" w:type="dxa"/>
            <w:gridSpan w:val="2"/>
            <w:tcBorders>
              <w:top w:val="single" w:sz="4" w:space="0" w:color="auto"/>
              <w:bottom w:val="single" w:sz="4" w:space="0" w:color="auto"/>
            </w:tcBorders>
            <w:tcMar>
              <w:left w:w="0" w:type="dxa"/>
            </w:tcMar>
          </w:tcPr>
          <w:p w14:paraId="4C3D541B" w14:textId="1024FD2F" w:rsidR="00AD3606" w:rsidRPr="00CB679E" w:rsidRDefault="00F16BAB" w:rsidP="00F16BAB">
            <w:pPr>
              <w:spacing w:before="160"/>
              <w:rPr>
                <w:rFonts w:asciiTheme="minorHAnsi" w:hAnsiTheme="minorHAnsi" w:cstheme="minorHAnsi"/>
                <w:b/>
                <w:bCs/>
                <w:sz w:val="26"/>
                <w:szCs w:val="26"/>
              </w:rPr>
            </w:pPr>
            <w:r w:rsidRPr="00CB679E">
              <w:rPr>
                <w:rFonts w:asciiTheme="minorHAnsi" w:hAnsiTheme="minorHAnsi" w:cstheme="minorHAnsi"/>
                <w:b/>
                <w:bCs/>
                <w:sz w:val="26"/>
                <w:szCs w:val="26"/>
              </w:rPr>
              <w:t>Purpose</w:t>
            </w:r>
          </w:p>
          <w:p w14:paraId="4E7D0194" w14:textId="77777777" w:rsidR="00E065DF" w:rsidRPr="00CB679E" w:rsidRDefault="00E065DF" w:rsidP="00E065DF">
            <w:pPr>
              <w:rPr>
                <w:rFonts w:asciiTheme="minorHAnsi" w:hAnsiTheme="minorHAnsi" w:cstheme="minorHAnsi"/>
              </w:rPr>
            </w:pPr>
            <w:r w:rsidRPr="00CB679E">
              <w:rPr>
                <w:rFonts w:asciiTheme="minorHAnsi" w:hAnsiTheme="minorHAnsi" w:cstheme="minorHAnsi"/>
                <w:szCs w:val="24"/>
              </w:rPr>
              <w:t xml:space="preserve">The objective of this document is to provide </w:t>
            </w:r>
            <w:r w:rsidRPr="00CB679E">
              <w:rPr>
                <w:rFonts w:asciiTheme="minorHAnsi" w:hAnsiTheme="minorHAnsi" w:cstheme="minorHAnsi"/>
                <w:szCs w:val="24"/>
                <w:lang w:eastAsia="ko-KR"/>
              </w:rPr>
              <w:t xml:space="preserve">updates </w:t>
            </w:r>
            <w:r w:rsidRPr="00CB679E">
              <w:rPr>
                <w:rFonts w:asciiTheme="minorHAnsi" w:hAnsiTheme="minorHAnsi" w:cstheme="minorHAnsi"/>
                <w:szCs w:val="24"/>
              </w:rPr>
              <w:t>on the ITU’s action plan, outlining its ongoing activities that support the implementation of the Global Digital Compact.</w:t>
            </w:r>
          </w:p>
          <w:p w14:paraId="4288AA6F" w14:textId="77777777" w:rsidR="00AD3606" w:rsidRPr="00CB679E" w:rsidRDefault="00AD3606" w:rsidP="00F16BAB">
            <w:pPr>
              <w:spacing w:before="160"/>
              <w:rPr>
                <w:rFonts w:asciiTheme="minorHAnsi" w:hAnsiTheme="minorHAnsi" w:cstheme="minorHAnsi"/>
                <w:b/>
                <w:bCs/>
                <w:sz w:val="26"/>
                <w:szCs w:val="26"/>
              </w:rPr>
            </w:pPr>
            <w:r w:rsidRPr="00CB679E">
              <w:rPr>
                <w:rFonts w:asciiTheme="minorHAnsi" w:hAnsiTheme="minorHAnsi" w:cstheme="minorHAnsi"/>
                <w:b/>
                <w:bCs/>
                <w:sz w:val="26"/>
                <w:szCs w:val="26"/>
              </w:rPr>
              <w:t>Action required</w:t>
            </w:r>
            <w:r w:rsidR="00F16BAB" w:rsidRPr="00CB679E">
              <w:rPr>
                <w:rFonts w:asciiTheme="minorHAnsi" w:hAnsiTheme="minorHAnsi" w:cstheme="minorHAnsi"/>
                <w:b/>
                <w:bCs/>
                <w:sz w:val="26"/>
                <w:szCs w:val="26"/>
              </w:rPr>
              <w:t xml:space="preserve"> by the Council</w:t>
            </w:r>
          </w:p>
          <w:p w14:paraId="430CE710" w14:textId="77777777" w:rsidR="00E065DF" w:rsidRPr="00CB679E" w:rsidRDefault="00E065DF" w:rsidP="00E065DF">
            <w:pPr>
              <w:spacing w:before="160"/>
              <w:rPr>
                <w:rFonts w:asciiTheme="minorHAnsi" w:hAnsiTheme="minorHAnsi" w:cstheme="minorHAnsi"/>
                <w:b/>
                <w:bCs/>
                <w:szCs w:val="24"/>
              </w:rPr>
            </w:pPr>
            <w:r w:rsidRPr="00CB679E">
              <w:rPr>
                <w:rFonts w:asciiTheme="minorHAnsi" w:hAnsiTheme="minorHAnsi" w:cstheme="minorHAnsi"/>
                <w:szCs w:val="24"/>
                <w:lang w:eastAsia="ko-KR"/>
              </w:rPr>
              <w:t>Council</w:t>
            </w:r>
            <w:r w:rsidRPr="00CB679E">
              <w:rPr>
                <w:rFonts w:asciiTheme="minorHAnsi" w:hAnsiTheme="minorHAnsi" w:cstheme="minorHAnsi"/>
                <w:szCs w:val="24"/>
              </w:rPr>
              <w:t xml:space="preserve"> is invited to</w:t>
            </w:r>
            <w:r w:rsidRPr="00CB679E">
              <w:rPr>
                <w:rFonts w:asciiTheme="minorHAnsi" w:hAnsiTheme="minorHAnsi" w:cstheme="minorHAnsi"/>
                <w:b/>
                <w:bCs/>
                <w:szCs w:val="24"/>
              </w:rPr>
              <w:t xml:space="preserve"> note</w:t>
            </w:r>
            <w:r w:rsidRPr="00CB679E">
              <w:rPr>
                <w:rFonts w:asciiTheme="minorHAnsi" w:hAnsiTheme="minorHAnsi" w:cstheme="minorHAnsi"/>
                <w:szCs w:val="24"/>
              </w:rPr>
              <w:t xml:space="preserve"> this document.</w:t>
            </w:r>
          </w:p>
          <w:p w14:paraId="4B855F83" w14:textId="7E0F2BB7" w:rsidR="00722551" w:rsidRPr="00D974F0" w:rsidRDefault="00722551" w:rsidP="00722551">
            <w:pPr>
              <w:spacing w:before="160"/>
              <w:rPr>
                <w:rFonts w:asciiTheme="minorHAnsi" w:hAnsiTheme="minorHAnsi" w:cstheme="minorHAnsi"/>
                <w:b/>
                <w:bCs/>
                <w:sz w:val="26"/>
                <w:szCs w:val="26"/>
              </w:rPr>
            </w:pPr>
            <w:r w:rsidRPr="00D974F0">
              <w:rPr>
                <w:rFonts w:asciiTheme="minorHAnsi" w:hAnsiTheme="minorHAnsi" w:cstheme="minorHAnsi"/>
                <w:b/>
                <w:bCs/>
                <w:sz w:val="26"/>
                <w:szCs w:val="26"/>
              </w:rPr>
              <w:t>Relevant link</w:t>
            </w:r>
            <w:r w:rsidR="004B25A1" w:rsidRPr="00D974F0">
              <w:rPr>
                <w:rFonts w:asciiTheme="minorHAnsi" w:hAnsiTheme="minorHAnsi" w:cstheme="minorHAnsi"/>
                <w:b/>
                <w:bCs/>
                <w:sz w:val="26"/>
                <w:szCs w:val="26"/>
              </w:rPr>
              <w:t>(s)</w:t>
            </w:r>
            <w:r w:rsidRPr="00D974F0">
              <w:rPr>
                <w:rFonts w:asciiTheme="minorHAnsi" w:hAnsiTheme="minorHAnsi" w:cstheme="minorHAnsi"/>
                <w:b/>
                <w:bCs/>
                <w:sz w:val="26"/>
                <w:szCs w:val="26"/>
              </w:rPr>
              <w:t xml:space="preserve"> with the Strategic Plan</w:t>
            </w:r>
          </w:p>
          <w:p w14:paraId="56ADF403" w14:textId="176BC9DC" w:rsidR="00722551" w:rsidRPr="00D974F0" w:rsidRDefault="00FF7A26" w:rsidP="23DED9D3">
            <w:pPr>
              <w:rPr>
                <w:rFonts w:asciiTheme="minorHAnsi" w:hAnsiTheme="minorHAnsi" w:cstheme="minorBidi"/>
              </w:rPr>
            </w:pPr>
            <w:r w:rsidRPr="00D974F0">
              <w:rPr>
                <w:rFonts w:asciiTheme="minorHAnsi" w:hAnsiTheme="minorHAnsi" w:cstheme="minorBidi"/>
              </w:rPr>
              <w:t>Partnerships and international cooperation</w:t>
            </w:r>
            <w:r w:rsidR="00D974F0">
              <w:rPr>
                <w:rFonts w:asciiTheme="minorHAnsi" w:hAnsiTheme="minorHAnsi" w:cstheme="minorBidi"/>
              </w:rPr>
              <w:t>.</w:t>
            </w:r>
          </w:p>
          <w:p w14:paraId="6A77059B" w14:textId="270D1307" w:rsidR="00722551" w:rsidRPr="00D974F0" w:rsidRDefault="00722551" w:rsidP="00722551">
            <w:pPr>
              <w:spacing w:before="160"/>
              <w:rPr>
                <w:rFonts w:asciiTheme="minorHAnsi" w:hAnsiTheme="minorHAnsi" w:cstheme="minorHAnsi"/>
                <w:b/>
                <w:bCs/>
                <w:sz w:val="26"/>
                <w:szCs w:val="26"/>
              </w:rPr>
            </w:pPr>
            <w:r w:rsidRPr="00D974F0">
              <w:rPr>
                <w:rFonts w:asciiTheme="minorHAnsi" w:hAnsiTheme="minorHAnsi" w:cstheme="minorHAnsi"/>
                <w:b/>
                <w:bCs/>
                <w:sz w:val="26"/>
                <w:szCs w:val="26"/>
              </w:rPr>
              <w:t>Financial implications</w:t>
            </w:r>
          </w:p>
          <w:p w14:paraId="731F0870" w14:textId="1D2BCA7A" w:rsidR="00453079" w:rsidRPr="00CB679E" w:rsidRDefault="00FF7A26" w:rsidP="23DED9D3">
            <w:pPr>
              <w:spacing w:before="160"/>
              <w:rPr>
                <w:rFonts w:asciiTheme="minorHAnsi" w:hAnsiTheme="minorHAnsi" w:cstheme="minorBidi"/>
              </w:rPr>
            </w:pPr>
            <w:r w:rsidRPr="00D974F0">
              <w:rPr>
                <w:rFonts w:asciiTheme="minorHAnsi" w:hAnsiTheme="minorHAnsi" w:cstheme="minorBidi"/>
              </w:rPr>
              <w:t>Within the allocated budget 202</w:t>
            </w:r>
            <w:r w:rsidR="00576F03" w:rsidRPr="00D974F0">
              <w:rPr>
                <w:rFonts w:asciiTheme="minorHAnsi" w:hAnsiTheme="minorHAnsi" w:cstheme="minorBidi"/>
              </w:rPr>
              <w:t>4</w:t>
            </w:r>
            <w:r w:rsidRPr="00D974F0">
              <w:rPr>
                <w:rFonts w:asciiTheme="minorHAnsi" w:hAnsiTheme="minorHAnsi" w:cstheme="minorBidi"/>
              </w:rPr>
              <w:t>-202</w:t>
            </w:r>
            <w:r w:rsidR="00576F03" w:rsidRPr="00D974F0">
              <w:rPr>
                <w:rFonts w:asciiTheme="minorHAnsi" w:hAnsiTheme="minorHAnsi" w:cstheme="minorBidi"/>
              </w:rPr>
              <w:t>5</w:t>
            </w:r>
            <w:r w:rsidR="00D974F0">
              <w:rPr>
                <w:rFonts w:asciiTheme="minorHAnsi" w:hAnsiTheme="minorHAnsi" w:cstheme="minorBidi"/>
              </w:rPr>
              <w:t>.</w:t>
            </w:r>
          </w:p>
          <w:p w14:paraId="08939791" w14:textId="77777777" w:rsidR="00C0458D" w:rsidRPr="00CB679E" w:rsidRDefault="00C0458D">
            <w:pPr>
              <w:rPr>
                <w:rFonts w:asciiTheme="minorHAnsi" w:hAnsiTheme="minorHAnsi" w:cstheme="minorHAnsi"/>
              </w:rPr>
            </w:pPr>
            <w:r w:rsidRPr="00CB679E">
              <w:rPr>
                <w:rFonts w:asciiTheme="minorHAnsi" w:hAnsiTheme="minorHAnsi" w:cstheme="minorHAnsi"/>
              </w:rPr>
              <w:t>_______________</w:t>
            </w:r>
          </w:p>
          <w:p w14:paraId="212A584A" w14:textId="77777777" w:rsidR="00AD3606" w:rsidRPr="00CB679E" w:rsidRDefault="00AD3606" w:rsidP="00F16BAB">
            <w:pPr>
              <w:spacing w:before="160"/>
              <w:rPr>
                <w:rFonts w:asciiTheme="minorHAnsi" w:hAnsiTheme="minorHAnsi" w:cstheme="minorHAnsi"/>
                <w:b/>
                <w:bCs/>
                <w:sz w:val="26"/>
                <w:szCs w:val="26"/>
              </w:rPr>
            </w:pPr>
            <w:r w:rsidRPr="00CB679E">
              <w:rPr>
                <w:rFonts w:asciiTheme="minorHAnsi" w:hAnsiTheme="minorHAnsi" w:cstheme="minorHAnsi"/>
                <w:b/>
                <w:bCs/>
                <w:sz w:val="26"/>
                <w:szCs w:val="26"/>
              </w:rPr>
              <w:t>References</w:t>
            </w:r>
          </w:p>
          <w:p w14:paraId="7089D4B7" w14:textId="3D317111" w:rsidR="00AD3606" w:rsidRPr="00C068B8" w:rsidRDefault="00E065DF" w:rsidP="00F16BAB">
            <w:pPr>
              <w:spacing w:after="160"/>
              <w:rPr>
                <w:rFonts w:asciiTheme="minorHAnsi" w:hAnsiTheme="minorHAnsi" w:cstheme="minorHAnsi"/>
                <w:i/>
                <w:iCs/>
                <w:sz w:val="22"/>
                <w:szCs w:val="22"/>
              </w:rPr>
            </w:pPr>
            <w:r w:rsidRPr="00C068B8">
              <w:rPr>
                <w:rFonts w:asciiTheme="minorHAnsi" w:hAnsiTheme="minorHAnsi" w:cstheme="minorHAnsi"/>
                <w:i/>
                <w:iCs/>
                <w:sz w:val="22"/>
                <w:szCs w:val="22"/>
              </w:rPr>
              <w:t xml:space="preserve">UNGA Resolutions </w:t>
            </w:r>
            <w:hyperlink r:id="rId11" w:history="1">
              <w:r w:rsidRPr="00C068B8">
                <w:rPr>
                  <w:rStyle w:val="Hyperlink"/>
                  <w:rFonts w:asciiTheme="minorHAnsi" w:hAnsiTheme="minorHAnsi" w:cstheme="minorHAnsi"/>
                  <w:i/>
                  <w:iCs/>
                  <w:sz w:val="22"/>
                  <w:szCs w:val="22"/>
                </w:rPr>
                <w:t>A/RES/76/307</w:t>
              </w:r>
            </w:hyperlink>
            <w:r w:rsidRPr="00C068B8">
              <w:rPr>
                <w:rFonts w:asciiTheme="minorHAnsi" w:hAnsiTheme="minorHAnsi" w:cstheme="minorHAnsi"/>
                <w:i/>
                <w:iCs/>
                <w:sz w:val="22"/>
                <w:szCs w:val="22"/>
              </w:rPr>
              <w:t xml:space="preserve">, </w:t>
            </w:r>
            <w:hyperlink r:id="rId12" w:history="1">
              <w:r w:rsidRPr="00C068B8">
                <w:rPr>
                  <w:rStyle w:val="Hyperlink"/>
                  <w:rFonts w:asciiTheme="minorHAnsi" w:hAnsiTheme="minorHAnsi" w:cstheme="minorHAnsi"/>
                  <w:i/>
                  <w:iCs/>
                  <w:sz w:val="22"/>
                  <w:szCs w:val="22"/>
                </w:rPr>
                <w:t>A/77/L.109</w:t>
              </w:r>
            </w:hyperlink>
            <w:r w:rsidRPr="00C068B8">
              <w:rPr>
                <w:rFonts w:asciiTheme="minorHAnsi" w:hAnsiTheme="minorHAnsi" w:cstheme="minorHAnsi"/>
                <w:i/>
                <w:iCs/>
                <w:sz w:val="22"/>
                <w:szCs w:val="22"/>
              </w:rPr>
              <w:t xml:space="preserve"> (Decision 77/568), </w:t>
            </w:r>
            <w:hyperlink r:id="rId13" w:history="1">
              <w:r w:rsidRPr="00C068B8">
                <w:rPr>
                  <w:rStyle w:val="Hyperlink"/>
                  <w:rFonts w:asciiTheme="minorHAnsi" w:hAnsiTheme="minorHAnsi" w:cstheme="minorHAnsi"/>
                  <w:i/>
                  <w:iCs/>
                  <w:sz w:val="22"/>
                  <w:szCs w:val="22"/>
                </w:rPr>
                <w:t>A/77/L.63</w:t>
              </w:r>
            </w:hyperlink>
            <w:r w:rsidRPr="00C068B8">
              <w:rPr>
                <w:rFonts w:asciiTheme="minorHAnsi" w:hAnsiTheme="minorHAnsi" w:cstheme="minorHAnsi"/>
                <w:i/>
                <w:iCs/>
                <w:sz w:val="22"/>
                <w:szCs w:val="22"/>
              </w:rPr>
              <w:t xml:space="preserve">, </w:t>
            </w:r>
            <w:hyperlink r:id="rId14" w:history="1">
              <w:r w:rsidRPr="00C068B8">
                <w:rPr>
                  <w:rStyle w:val="Hyperlink"/>
                  <w:rFonts w:asciiTheme="minorHAnsi" w:hAnsiTheme="minorHAnsi" w:cstheme="minorHAnsi"/>
                  <w:i/>
                  <w:iCs/>
                  <w:sz w:val="22"/>
                  <w:szCs w:val="22"/>
                </w:rPr>
                <w:t>A/78/L.77</w:t>
              </w:r>
              <w:r w:rsidRPr="00C068B8">
                <w:rPr>
                  <w:rStyle w:val="Hyperlink"/>
                  <w:rFonts w:asciiTheme="minorHAnsi" w:hAnsiTheme="minorHAnsi" w:cstheme="minorHAnsi"/>
                  <w:i/>
                  <w:iCs/>
                  <w:sz w:val="22"/>
                  <w:szCs w:val="22"/>
                  <w:u w:val="none"/>
                </w:rPr>
                <w:t xml:space="preserve"> </w:t>
              </w:r>
            </w:hyperlink>
            <w:r w:rsidRPr="00C068B8">
              <w:rPr>
                <w:rFonts w:asciiTheme="minorHAnsi" w:hAnsiTheme="minorHAnsi" w:cstheme="minorHAnsi"/>
                <w:i/>
                <w:iCs/>
                <w:sz w:val="22"/>
                <w:szCs w:val="22"/>
              </w:rPr>
              <w:t>(Decision 78/555),</w:t>
            </w:r>
            <w:r w:rsidRPr="00C068B8">
              <w:rPr>
                <w:rFonts w:asciiTheme="minorHAnsi" w:hAnsiTheme="minorHAnsi" w:cstheme="minorHAnsi"/>
                <w:i/>
                <w:iCs/>
                <w:sz w:val="22"/>
                <w:szCs w:val="22"/>
                <w:lang w:eastAsia="ko-KR"/>
              </w:rPr>
              <w:t xml:space="preserve"> </w:t>
            </w:r>
            <w:hyperlink r:id="rId15" w:history="1">
              <w:r w:rsidRPr="00C068B8">
                <w:rPr>
                  <w:rStyle w:val="Hyperlink"/>
                  <w:rFonts w:asciiTheme="minorHAnsi" w:hAnsiTheme="minorHAnsi" w:cstheme="minorHAnsi"/>
                  <w:i/>
                  <w:iCs/>
                  <w:sz w:val="22"/>
                  <w:szCs w:val="22"/>
                  <w:lang w:eastAsia="ko-KR"/>
                </w:rPr>
                <w:t>A/79/L.2</w:t>
              </w:r>
            </w:hyperlink>
            <w:r w:rsidRPr="00C068B8">
              <w:rPr>
                <w:rFonts w:asciiTheme="minorHAnsi" w:hAnsiTheme="minorHAnsi" w:cstheme="minorHAnsi"/>
                <w:i/>
                <w:iCs/>
                <w:sz w:val="22"/>
                <w:szCs w:val="22"/>
                <w:lang w:eastAsia="ko-KR"/>
              </w:rPr>
              <w:t xml:space="preserve"> and </w:t>
            </w:r>
            <w:hyperlink r:id="rId16" w:history="1">
              <w:r w:rsidRPr="00C068B8">
                <w:rPr>
                  <w:rStyle w:val="Hyperlink"/>
                  <w:rFonts w:asciiTheme="minorHAnsi" w:hAnsiTheme="minorHAnsi" w:cstheme="minorHAnsi"/>
                  <w:i/>
                  <w:iCs/>
                  <w:sz w:val="22"/>
                  <w:szCs w:val="22"/>
                  <w:lang w:eastAsia="ko-KR"/>
                </w:rPr>
                <w:t>A/79/L.3</w:t>
              </w:r>
            </w:hyperlink>
            <w:r w:rsidRPr="00C068B8">
              <w:rPr>
                <w:rFonts w:asciiTheme="minorHAnsi" w:hAnsiTheme="minorHAnsi" w:cstheme="minorHAnsi"/>
                <w:i/>
                <w:iCs/>
                <w:sz w:val="22"/>
                <w:szCs w:val="22"/>
                <w:lang w:eastAsia="ko-KR"/>
              </w:rPr>
              <w:t>,</w:t>
            </w:r>
            <w:r w:rsidRPr="00C068B8">
              <w:rPr>
                <w:rFonts w:asciiTheme="minorHAnsi" w:hAnsiTheme="minorHAnsi" w:cstheme="minorHAnsi"/>
                <w:i/>
                <w:iCs/>
                <w:sz w:val="22"/>
                <w:szCs w:val="22"/>
              </w:rPr>
              <w:t xml:space="preserve"> </w:t>
            </w:r>
            <w:r w:rsidRPr="00C068B8">
              <w:rPr>
                <w:rFonts w:asciiTheme="minorHAnsi" w:eastAsia="SimSun" w:hAnsiTheme="minorHAnsi" w:cstheme="minorHAnsi"/>
                <w:i/>
                <w:iCs/>
                <w:sz w:val="22"/>
                <w:szCs w:val="22"/>
              </w:rPr>
              <w:t xml:space="preserve">Documents </w:t>
            </w:r>
            <w:hyperlink r:id="rId17" w:history="1">
              <w:r w:rsidRPr="00C068B8">
                <w:rPr>
                  <w:rStyle w:val="Hyperlink"/>
                  <w:rFonts w:asciiTheme="minorHAnsi" w:eastAsia="SimSun" w:hAnsiTheme="minorHAnsi" w:cstheme="minorHAnsi"/>
                  <w:i/>
                  <w:iCs/>
                  <w:sz w:val="22"/>
                  <w:szCs w:val="22"/>
                </w:rPr>
                <w:t>C19/INF/8</w:t>
              </w:r>
            </w:hyperlink>
            <w:r w:rsidRPr="00C068B8">
              <w:rPr>
                <w:rFonts w:asciiTheme="minorHAnsi" w:eastAsia="SimSun" w:hAnsiTheme="minorHAnsi" w:cstheme="minorHAnsi"/>
                <w:i/>
                <w:iCs/>
                <w:sz w:val="22"/>
                <w:szCs w:val="22"/>
              </w:rPr>
              <w:t xml:space="preserve">, </w:t>
            </w:r>
            <w:hyperlink r:id="rId18" w:history="1">
              <w:r w:rsidRPr="00C068B8">
                <w:rPr>
                  <w:rStyle w:val="Hyperlink"/>
                  <w:rFonts w:asciiTheme="minorHAnsi" w:eastAsia="SimSun" w:hAnsiTheme="minorHAnsi" w:cstheme="minorHAnsi"/>
                  <w:i/>
                  <w:iCs/>
                  <w:sz w:val="22"/>
                  <w:szCs w:val="22"/>
                </w:rPr>
                <w:t>C20/INF/3</w:t>
              </w:r>
            </w:hyperlink>
            <w:r w:rsidRPr="00C068B8">
              <w:rPr>
                <w:rFonts w:asciiTheme="minorHAnsi" w:eastAsia="SimSun" w:hAnsiTheme="minorHAnsi" w:cstheme="minorHAnsi"/>
                <w:i/>
                <w:iCs/>
                <w:sz w:val="22"/>
                <w:szCs w:val="22"/>
              </w:rPr>
              <w:t xml:space="preserve">; </w:t>
            </w:r>
            <w:hyperlink r:id="rId19" w:history="1">
              <w:r w:rsidRPr="00C068B8">
                <w:rPr>
                  <w:rStyle w:val="Hyperlink"/>
                  <w:rFonts w:asciiTheme="minorHAnsi" w:eastAsia="SimSun" w:hAnsiTheme="minorHAnsi" w:cstheme="minorHAnsi"/>
                  <w:i/>
                  <w:iCs/>
                  <w:sz w:val="22"/>
                  <w:szCs w:val="22"/>
                </w:rPr>
                <w:t>C21/INF/2</w:t>
              </w:r>
            </w:hyperlink>
            <w:r w:rsidRPr="00C068B8">
              <w:rPr>
                <w:rFonts w:asciiTheme="minorHAnsi" w:eastAsia="SimSun" w:hAnsiTheme="minorHAnsi" w:cstheme="minorHAnsi"/>
                <w:i/>
                <w:iCs/>
                <w:sz w:val="22"/>
                <w:szCs w:val="22"/>
              </w:rPr>
              <w:t xml:space="preserve">; </w:t>
            </w:r>
            <w:hyperlink r:id="rId20" w:history="1">
              <w:r w:rsidRPr="00C068B8">
                <w:rPr>
                  <w:rStyle w:val="Hyperlink"/>
                  <w:rFonts w:asciiTheme="minorHAnsi" w:eastAsia="SimSun" w:hAnsiTheme="minorHAnsi" w:cstheme="minorHAnsi"/>
                  <w:i/>
                  <w:iCs/>
                  <w:sz w:val="22"/>
                  <w:szCs w:val="22"/>
                </w:rPr>
                <w:t>C22/INF/2</w:t>
              </w:r>
            </w:hyperlink>
            <w:r w:rsidRPr="00C068B8">
              <w:rPr>
                <w:rFonts w:asciiTheme="minorHAnsi" w:eastAsia="SimSun" w:hAnsiTheme="minorHAnsi" w:cstheme="minorHAnsi"/>
                <w:i/>
                <w:iCs/>
                <w:sz w:val="22"/>
                <w:szCs w:val="22"/>
              </w:rPr>
              <w:t>;</w:t>
            </w:r>
            <w:r w:rsidRPr="00C068B8">
              <w:rPr>
                <w:rStyle w:val="Hyperlink"/>
                <w:rFonts w:asciiTheme="minorHAnsi" w:eastAsia="SimSun" w:hAnsiTheme="minorHAnsi" w:cstheme="minorHAnsi"/>
                <w:i/>
                <w:iCs/>
                <w:sz w:val="22"/>
                <w:szCs w:val="22"/>
                <w:u w:val="none"/>
              </w:rPr>
              <w:t xml:space="preserve"> </w:t>
            </w:r>
            <w:hyperlink r:id="rId21" w:history="1">
              <w:r w:rsidRPr="00C068B8">
                <w:rPr>
                  <w:rStyle w:val="Hyperlink"/>
                  <w:rFonts w:asciiTheme="minorHAnsi" w:eastAsia="SimSun" w:hAnsiTheme="minorHAnsi" w:cstheme="minorHAnsi"/>
                  <w:i/>
                  <w:iCs/>
                  <w:sz w:val="22"/>
                  <w:szCs w:val="22"/>
                </w:rPr>
                <w:t>C23/INF/8</w:t>
              </w:r>
            </w:hyperlink>
            <w:r w:rsidRPr="00C068B8">
              <w:rPr>
                <w:rFonts w:asciiTheme="minorHAnsi" w:eastAsia="SimSun" w:hAnsiTheme="minorHAnsi" w:cstheme="minorHAnsi"/>
                <w:i/>
                <w:iCs/>
                <w:sz w:val="22"/>
                <w:szCs w:val="22"/>
              </w:rPr>
              <w:t>,</w:t>
            </w:r>
            <w:r w:rsidRPr="00C068B8">
              <w:rPr>
                <w:rFonts w:asciiTheme="minorHAnsi" w:hAnsiTheme="minorHAnsi" w:cstheme="minorHAnsi"/>
                <w:i/>
                <w:iCs/>
                <w:sz w:val="22"/>
                <w:szCs w:val="22"/>
              </w:rPr>
              <w:t xml:space="preserve"> </w:t>
            </w:r>
            <w:hyperlink r:id="rId22" w:history="1">
              <w:r w:rsidRPr="00C068B8">
                <w:rPr>
                  <w:rStyle w:val="Hyperlink"/>
                  <w:rFonts w:asciiTheme="minorHAnsi" w:eastAsia="SimSun" w:hAnsiTheme="minorHAnsi" w:cstheme="minorHAnsi"/>
                  <w:i/>
                  <w:iCs/>
                  <w:sz w:val="22"/>
                  <w:szCs w:val="22"/>
                </w:rPr>
                <w:t>C23/INF/9</w:t>
              </w:r>
            </w:hyperlink>
            <w:r w:rsidRPr="00C068B8">
              <w:rPr>
                <w:rFonts w:asciiTheme="minorHAnsi" w:eastAsia="SimSun" w:hAnsiTheme="minorHAnsi" w:cstheme="minorHAnsi"/>
                <w:i/>
                <w:iCs/>
                <w:sz w:val="22"/>
                <w:szCs w:val="22"/>
              </w:rPr>
              <w:t xml:space="preserve">; </w:t>
            </w:r>
            <w:hyperlink r:id="rId23" w:history="1">
              <w:r w:rsidRPr="00C068B8">
                <w:rPr>
                  <w:rStyle w:val="Hyperlink"/>
                  <w:rFonts w:asciiTheme="minorHAnsi" w:eastAsia="SimSun" w:hAnsiTheme="minorHAnsi" w:cstheme="minorHAnsi"/>
                  <w:i/>
                  <w:iCs/>
                  <w:sz w:val="22"/>
                  <w:szCs w:val="22"/>
                </w:rPr>
                <w:t>C24/55</w:t>
              </w:r>
            </w:hyperlink>
            <w:r w:rsidR="00251F4D" w:rsidRPr="00C068B8">
              <w:rPr>
                <w:rFonts w:asciiTheme="minorHAnsi" w:eastAsia="SimSun" w:hAnsiTheme="minorHAnsi" w:cstheme="minorHAnsi"/>
                <w:i/>
                <w:iCs/>
                <w:sz w:val="22"/>
                <w:szCs w:val="22"/>
              </w:rPr>
              <w:t>,</w:t>
            </w:r>
            <w:r w:rsidRPr="00C068B8">
              <w:rPr>
                <w:rFonts w:asciiTheme="minorHAnsi" w:eastAsia="SimSun" w:hAnsiTheme="minorHAnsi" w:cstheme="minorHAnsi"/>
                <w:i/>
                <w:iCs/>
                <w:sz w:val="22"/>
                <w:szCs w:val="22"/>
              </w:rPr>
              <w:t xml:space="preserve"> </w:t>
            </w:r>
            <w:hyperlink r:id="rId24" w:history="1">
              <w:r w:rsidRPr="00C068B8">
                <w:rPr>
                  <w:rStyle w:val="Hyperlink"/>
                  <w:rFonts w:asciiTheme="minorHAnsi" w:eastAsia="SimSun" w:hAnsiTheme="minorHAnsi" w:cstheme="minorHAnsi"/>
                  <w:i/>
                  <w:iCs/>
                  <w:sz w:val="22"/>
                  <w:szCs w:val="22"/>
                </w:rPr>
                <w:t>C24/INF/9</w:t>
              </w:r>
            </w:hyperlink>
            <w:r w:rsidR="00251F4D" w:rsidRPr="00C068B8">
              <w:rPr>
                <w:rFonts w:asciiTheme="minorHAnsi" w:hAnsiTheme="minorHAnsi" w:cstheme="minorHAnsi"/>
                <w:sz w:val="22"/>
                <w:szCs w:val="22"/>
              </w:rPr>
              <w:t xml:space="preserve">; </w:t>
            </w:r>
            <w:r w:rsidR="00251F4D" w:rsidRPr="00C068B8">
              <w:rPr>
                <w:rFonts w:asciiTheme="minorHAnsi" w:hAnsiTheme="minorHAnsi" w:cstheme="minorHAnsi"/>
                <w:i/>
                <w:iCs/>
                <w:sz w:val="22"/>
                <w:szCs w:val="22"/>
              </w:rPr>
              <w:t xml:space="preserve">and </w:t>
            </w:r>
            <w:hyperlink r:id="rId25" w:history="1">
              <w:r w:rsidR="00251F4D" w:rsidRPr="00C068B8">
                <w:rPr>
                  <w:rStyle w:val="Hyperlink"/>
                  <w:rFonts w:asciiTheme="minorHAnsi" w:hAnsiTheme="minorHAnsi" w:cstheme="minorHAnsi"/>
                  <w:i/>
                  <w:iCs/>
                  <w:sz w:val="22"/>
                  <w:szCs w:val="22"/>
                </w:rPr>
                <w:t>CWG-WSIS&amp;SDG-42/10</w:t>
              </w:r>
            </w:hyperlink>
          </w:p>
        </w:tc>
      </w:tr>
    </w:tbl>
    <w:p w14:paraId="3E836A65" w14:textId="77777777" w:rsidR="00E227F3" w:rsidRPr="00CB679E" w:rsidRDefault="00E227F3">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rPr>
      </w:pPr>
      <w:bookmarkStart w:id="11" w:name="_Hlk133421428"/>
      <w:bookmarkEnd w:id="2"/>
      <w:bookmarkEnd w:id="10"/>
    </w:p>
    <w:bookmarkEnd w:id="3"/>
    <w:bookmarkEnd w:id="4"/>
    <w:p w14:paraId="52958905" w14:textId="77777777" w:rsidR="0090147A" w:rsidRPr="00CB679E" w:rsidRDefault="0090147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rPr>
      </w:pPr>
      <w:r w:rsidRPr="00CB679E">
        <w:rPr>
          <w:rFonts w:asciiTheme="minorHAnsi" w:hAnsiTheme="minorHAnsi" w:cstheme="minorHAnsi"/>
        </w:rPr>
        <w:br w:type="page"/>
      </w:r>
    </w:p>
    <w:bookmarkEnd w:id="5"/>
    <w:bookmarkEnd w:id="11"/>
    <w:p w14:paraId="3F4276D4" w14:textId="6D53068A" w:rsidR="00E065DF" w:rsidRPr="00CB679E" w:rsidRDefault="00E065DF" w:rsidP="00E065DF">
      <w:pPr>
        <w:jc w:val="both"/>
        <w:rPr>
          <w:rFonts w:asciiTheme="minorHAnsi" w:hAnsiTheme="minorHAnsi" w:cstheme="minorHAnsi"/>
        </w:rPr>
      </w:pPr>
      <w:r w:rsidRPr="00CB679E">
        <w:rPr>
          <w:rFonts w:asciiTheme="minorHAnsi" w:hAnsiTheme="minorHAnsi" w:cstheme="minorHAnsi"/>
        </w:rPr>
        <w:lastRenderedPageBreak/>
        <w:t xml:space="preserve">The ITU is committed to </w:t>
      </w:r>
      <w:r w:rsidR="00CB679E">
        <w:rPr>
          <w:rFonts w:asciiTheme="minorHAnsi" w:hAnsiTheme="minorHAnsi" w:cstheme="minorHAnsi"/>
        </w:rPr>
        <w:t>leading t</w:t>
      </w:r>
      <w:r w:rsidRPr="00CB679E">
        <w:rPr>
          <w:rFonts w:asciiTheme="minorHAnsi" w:hAnsiTheme="minorHAnsi" w:cstheme="minorHAnsi"/>
        </w:rPr>
        <w:t xml:space="preserve">he global digital transformation, </w:t>
      </w:r>
      <w:r w:rsidR="00CB679E">
        <w:rPr>
          <w:rFonts w:asciiTheme="minorHAnsi" w:hAnsiTheme="minorHAnsi" w:cstheme="minorHAnsi"/>
        </w:rPr>
        <w:t xml:space="preserve">aligned with </w:t>
      </w:r>
      <w:r w:rsidRPr="00CB679E">
        <w:rPr>
          <w:rFonts w:asciiTheme="minorHAnsi" w:hAnsiTheme="minorHAnsi" w:cstheme="minorHAnsi"/>
        </w:rPr>
        <w:t>the objectives</w:t>
      </w:r>
      <w:r w:rsidR="00CB679E">
        <w:rPr>
          <w:rFonts w:asciiTheme="minorHAnsi" w:hAnsiTheme="minorHAnsi" w:cstheme="minorHAnsi"/>
        </w:rPr>
        <w:t xml:space="preserve"> of </w:t>
      </w:r>
      <w:r w:rsidRPr="00CB679E">
        <w:rPr>
          <w:rFonts w:asciiTheme="minorHAnsi" w:hAnsiTheme="minorHAnsi" w:cstheme="minorHAnsi"/>
        </w:rPr>
        <w:t>the Global Digital Compact (GDC), adopted by Member States at the Summit of the Future in September 2024, as an Annex to the Pact for the Future.</w:t>
      </w:r>
      <w:r w:rsidR="00CB679E">
        <w:rPr>
          <w:rFonts w:asciiTheme="minorHAnsi" w:hAnsiTheme="minorHAnsi" w:cstheme="minorHAnsi"/>
        </w:rPr>
        <w:t xml:space="preserve"> </w:t>
      </w:r>
      <w:r w:rsidRPr="00CB679E">
        <w:rPr>
          <w:rFonts w:asciiTheme="minorHAnsi" w:hAnsiTheme="minorHAnsi" w:cstheme="minorHAnsi"/>
        </w:rPr>
        <w:t xml:space="preserve">As the UN’s specialized agency for </w:t>
      </w:r>
      <w:r w:rsidRPr="00CB679E">
        <w:rPr>
          <w:rFonts w:asciiTheme="minorHAnsi" w:hAnsiTheme="minorHAnsi" w:cstheme="minorHAnsi"/>
          <w:lang w:eastAsia="ko-KR"/>
        </w:rPr>
        <w:t>telecommunication/ICTs</w:t>
      </w:r>
      <w:r w:rsidRPr="00CB679E">
        <w:rPr>
          <w:rFonts w:asciiTheme="minorHAnsi" w:hAnsiTheme="minorHAnsi" w:cstheme="minorHAnsi"/>
        </w:rPr>
        <w:t>, ITU plays a pivotal role in fostering international collaboration, driving innovation, and ensuring that digital technologies contribute to achieving the Sustainable Development Goals (SDGs).</w:t>
      </w:r>
    </w:p>
    <w:p w14:paraId="6A3D2F1A" w14:textId="40D61580" w:rsidR="00E065DF" w:rsidRPr="00CB679E" w:rsidRDefault="00E065DF" w:rsidP="6CE9D56E">
      <w:pPr>
        <w:jc w:val="both"/>
        <w:rPr>
          <w:rFonts w:asciiTheme="minorHAnsi" w:hAnsiTheme="minorHAnsi" w:cstheme="minorBidi"/>
        </w:rPr>
      </w:pPr>
      <w:r w:rsidRPr="6CE9D56E">
        <w:rPr>
          <w:rFonts w:asciiTheme="minorHAnsi" w:hAnsiTheme="minorHAnsi" w:cstheme="minorBidi"/>
        </w:rPr>
        <w:t xml:space="preserve">This document aims to provide updates on </w:t>
      </w:r>
      <w:hyperlink r:id="rId26">
        <w:r w:rsidRPr="6CE9D56E">
          <w:rPr>
            <w:rStyle w:val="Hyperlink"/>
            <w:rFonts w:asciiTheme="minorHAnsi" w:hAnsiTheme="minorHAnsi" w:cstheme="minorBidi"/>
          </w:rPr>
          <w:t>the ITU Action Plan</w:t>
        </w:r>
      </w:hyperlink>
      <w:r w:rsidRPr="6CE9D56E">
        <w:rPr>
          <w:rFonts w:asciiTheme="minorHAnsi" w:hAnsiTheme="minorHAnsi" w:cstheme="minorBidi"/>
        </w:rPr>
        <w:t xml:space="preserve"> since the last Council Working Group on WSIS&amp;SDGs, held in early February this year, outlining ITU’s strategic actions in support of the GDC, including efforts to enhance universal connectivity, advance responsible AI standards, and promote digital inclusion.</w:t>
      </w:r>
    </w:p>
    <w:p w14:paraId="10ADFDD7" w14:textId="252EC0C3" w:rsidR="00E065DF" w:rsidRPr="00CB679E" w:rsidRDefault="00E065DF" w:rsidP="00E065DF">
      <w:pPr>
        <w:pStyle w:val="Heading1"/>
        <w:rPr>
          <w:rFonts w:asciiTheme="minorHAnsi" w:hAnsiTheme="minorHAnsi" w:cstheme="minorHAnsi"/>
        </w:rPr>
      </w:pPr>
      <w:r w:rsidRPr="00CB679E">
        <w:rPr>
          <w:rFonts w:asciiTheme="minorHAnsi" w:eastAsiaTheme="minorEastAsia" w:hAnsiTheme="minorHAnsi" w:cstheme="minorHAnsi"/>
          <w:kern w:val="2"/>
          <w:lang w:eastAsia="ko-KR"/>
          <w14:ligatures w14:val="standardContextual"/>
        </w:rPr>
        <w:t>1</w:t>
      </w:r>
      <w:r w:rsidRPr="00CB679E">
        <w:rPr>
          <w:rFonts w:asciiTheme="minorHAnsi" w:eastAsiaTheme="minorEastAsia" w:hAnsiTheme="minorHAnsi" w:cstheme="minorHAnsi"/>
          <w:kern w:val="2"/>
          <w:lang w:eastAsia="ko-KR"/>
          <w14:ligatures w14:val="standardContextual"/>
        </w:rPr>
        <w:tab/>
      </w:r>
      <w:r w:rsidR="00615EE9" w:rsidRPr="00CB679E">
        <w:rPr>
          <w:rFonts w:asciiTheme="minorHAnsi" w:eastAsiaTheme="minorEastAsia" w:hAnsiTheme="minorHAnsi" w:cstheme="minorHAnsi"/>
          <w:kern w:val="2"/>
          <w:lang w:eastAsia="ko-KR"/>
          <w14:ligatures w14:val="standardContextual"/>
        </w:rPr>
        <w:t xml:space="preserve">Updates on the </w:t>
      </w:r>
      <w:r w:rsidRPr="00CB679E">
        <w:rPr>
          <w:rFonts w:asciiTheme="minorHAnsi" w:hAnsiTheme="minorHAnsi" w:cstheme="minorHAnsi"/>
        </w:rPr>
        <w:t>Integration of GDC Objectives into ITU mandates</w:t>
      </w:r>
    </w:p>
    <w:p w14:paraId="45600BB5" w14:textId="694B7B7E" w:rsidR="00E065DF" w:rsidRPr="00CB679E" w:rsidRDefault="00E065DF" w:rsidP="00E065DF">
      <w:pPr>
        <w:jc w:val="both"/>
        <w:rPr>
          <w:rFonts w:asciiTheme="minorHAnsi" w:hAnsiTheme="minorHAnsi" w:cstheme="minorHAnsi"/>
        </w:rPr>
      </w:pPr>
      <w:r w:rsidRPr="00CB679E">
        <w:rPr>
          <w:rFonts w:asciiTheme="minorHAnsi" w:hAnsiTheme="minorHAnsi" w:cstheme="minorHAnsi"/>
        </w:rPr>
        <w:t>The objectives, principles, and commitments of the GDC are directly aligned with ITU’s existing mandates. ITU is actively supporting Member States in implementing the GDC through its governing body meetings and initiatives, focusing on universal connectivity, responsible AI standards, digital inclusion, and tailored support to help countries align national strategies with global digital goals and achieve sustainable digital transformation.</w:t>
      </w:r>
    </w:p>
    <w:p w14:paraId="4650E45B" w14:textId="77777777" w:rsidR="00E065DF" w:rsidRPr="00CB679E" w:rsidRDefault="00E065DF" w:rsidP="00E065DF">
      <w:pPr>
        <w:jc w:val="both"/>
        <w:rPr>
          <w:rFonts w:asciiTheme="minorHAnsi" w:hAnsiTheme="minorHAnsi" w:cstheme="minorHAnsi"/>
        </w:rPr>
      </w:pPr>
    </w:p>
    <w:tbl>
      <w:tblPr>
        <w:tblStyle w:val="TableGrid"/>
        <w:tblW w:w="0" w:type="auto"/>
        <w:tblLook w:val="04A0" w:firstRow="1" w:lastRow="0" w:firstColumn="1" w:lastColumn="0" w:noHBand="0" w:noVBand="1"/>
      </w:tblPr>
      <w:tblGrid>
        <w:gridCol w:w="9061"/>
      </w:tblGrid>
      <w:tr w:rsidR="00E065DF" w:rsidRPr="00CB679E" w14:paraId="4B14D9FB" w14:textId="77777777" w:rsidTr="543508F6">
        <w:tc>
          <w:tcPr>
            <w:tcW w:w="9061" w:type="dxa"/>
          </w:tcPr>
          <w:p w14:paraId="00885532" w14:textId="3F5D43F4" w:rsidR="00E065DF" w:rsidRPr="00CB679E" w:rsidRDefault="3BC90709" w:rsidP="00C068B8">
            <w:pPr>
              <w:spacing w:before="60" w:after="60"/>
              <w:jc w:val="both"/>
              <w:rPr>
                <w:rFonts w:asciiTheme="minorHAnsi" w:hAnsiTheme="minorHAnsi"/>
              </w:rPr>
            </w:pPr>
            <w:r w:rsidRPr="543508F6">
              <w:rPr>
                <w:rFonts w:asciiTheme="minorHAnsi" w:hAnsiTheme="minorHAnsi"/>
              </w:rPr>
              <w:t xml:space="preserve">The section below </w:t>
            </w:r>
            <w:r w:rsidRPr="543508F6">
              <w:rPr>
                <w:rFonts w:asciiTheme="minorHAnsi" w:hAnsiTheme="minorHAnsi"/>
                <w:spacing w:val="-2"/>
              </w:rPr>
              <w:t>provides an update on ITU actions related to Objective 1 and Objective</w:t>
            </w:r>
            <w:r w:rsidR="0F3AAF8B" w:rsidRPr="543508F6">
              <w:rPr>
                <w:rFonts w:asciiTheme="minorHAnsi" w:hAnsiTheme="minorHAnsi"/>
              </w:rPr>
              <w:t> </w:t>
            </w:r>
            <w:r w:rsidRPr="543508F6">
              <w:rPr>
                <w:rFonts w:asciiTheme="minorHAnsi" w:hAnsiTheme="minorHAnsi"/>
              </w:rPr>
              <w:t>3, among other objectives of the GDC</w:t>
            </w:r>
            <w:r w:rsidR="00E065DF" w:rsidRPr="543508F6">
              <w:rPr>
                <w:rStyle w:val="FootnoteReference"/>
                <w:rFonts w:asciiTheme="minorHAnsi" w:hAnsiTheme="minorHAnsi"/>
                <w:sz w:val="20"/>
                <w:szCs w:val="20"/>
              </w:rPr>
              <w:footnoteReference w:id="2"/>
            </w:r>
            <w:r w:rsidR="1FDB2CB9" w:rsidRPr="543508F6">
              <w:rPr>
                <w:rFonts w:asciiTheme="minorHAnsi" w:hAnsiTheme="minorHAnsi"/>
              </w:rPr>
              <w:t>:</w:t>
            </w:r>
          </w:p>
          <w:p w14:paraId="093917BD" w14:textId="141B80AC" w:rsidR="00E065DF" w:rsidRPr="00CB679E" w:rsidRDefault="1FDB2CB9" w:rsidP="00C068B8">
            <w:pPr>
              <w:spacing w:before="60" w:after="60"/>
              <w:jc w:val="both"/>
              <w:rPr>
                <w:rFonts w:asciiTheme="minorHAnsi" w:hAnsiTheme="minorHAnsi"/>
                <w:b/>
                <w:bCs/>
              </w:rPr>
            </w:pPr>
            <w:r w:rsidRPr="543508F6">
              <w:rPr>
                <w:rFonts w:asciiTheme="minorHAnsi" w:hAnsiTheme="minorHAnsi"/>
                <w:b/>
                <w:bCs/>
              </w:rPr>
              <w:t>GDC Objective 1: Closing all digital divides accelerating progress across the SDGs</w:t>
            </w:r>
          </w:p>
          <w:p w14:paraId="6E506674" w14:textId="77777777" w:rsidR="00E065DF" w:rsidRPr="00CB679E" w:rsidRDefault="00E065DF" w:rsidP="00C068B8">
            <w:pPr>
              <w:pStyle w:val="ListParagraph"/>
              <w:numPr>
                <w:ilvl w:val="0"/>
                <w:numId w:val="2"/>
              </w:numPr>
              <w:spacing w:before="60" w:after="60"/>
              <w:ind w:left="605" w:hanging="605"/>
              <w:jc w:val="both"/>
              <w:rPr>
                <w:rFonts w:cstheme="minorHAnsi"/>
                <w:sz w:val="24"/>
                <w:szCs w:val="24"/>
              </w:rPr>
            </w:pPr>
            <w:r w:rsidRPr="00CB679E">
              <w:rPr>
                <w:rFonts w:eastAsiaTheme="minorHAnsi" w:cstheme="minorHAnsi"/>
                <w:sz w:val="24"/>
                <w:szCs w:val="24"/>
              </w:rPr>
              <w:t>ITU is working with various stakeholders to close the digital divides and accelerate progress towards the SDGs. This includes developing key metrics, collaborating with the World Telecommunication/ ICT Indicators Symposium (WTIS) and UNESCO, enhancing resilience through standards and policies, connecting schools via the Giga initiative with UNICEF, promoting sustainability through Green Digital Action, bridging the gender digital divide through the EQUALS Global Partnership, addressing the skills gap through ITU Academy and ILO partnerships, and advancing Digital Public Infrastructure and Investment Initiatives.</w:t>
            </w:r>
          </w:p>
          <w:p w14:paraId="2D3FB281" w14:textId="77777777" w:rsidR="00C068B8" w:rsidRDefault="00E065DF" w:rsidP="00C068B8">
            <w:pPr>
              <w:spacing w:before="60" w:after="60"/>
              <w:jc w:val="both"/>
              <w:rPr>
                <w:szCs w:val="24"/>
              </w:rPr>
            </w:pPr>
            <w:r w:rsidRPr="23E83608">
              <w:rPr>
                <w:szCs w:val="24"/>
              </w:rPr>
              <w:t>In the area of satellite-based connectivity, ITU plays a pivotal role by overseeing the allocation of radio frequencies, managing satellite frequency registration, and ensuring the necessary regulatory conditions to meet the growing demand for satellite services, especially in remote areas. This includes enabling advanced applications like telemedicine and education.</w:t>
            </w:r>
          </w:p>
          <w:p w14:paraId="6F9BB13B" w14:textId="0DA5D096" w:rsidR="064365C5" w:rsidRDefault="064365C5" w:rsidP="00C068B8">
            <w:pPr>
              <w:spacing w:before="60" w:after="60"/>
              <w:jc w:val="both"/>
              <w:rPr>
                <w:rFonts w:eastAsia="Calibri" w:cs="Calibri"/>
                <w:b/>
                <w:bCs/>
                <w:szCs w:val="24"/>
                <w:lang w:val="en-US"/>
              </w:rPr>
            </w:pPr>
            <w:r w:rsidRPr="23E83608">
              <w:rPr>
                <w:rFonts w:eastAsia="Calibri" w:cs="Calibri"/>
                <w:b/>
                <w:bCs/>
                <w:szCs w:val="24"/>
                <w:lang w:val="en-US"/>
              </w:rPr>
              <w:t>GDC Objective 2: Expanding inclusion in and benefits from the digital economy for all</w:t>
            </w:r>
          </w:p>
          <w:p w14:paraId="395702AB" w14:textId="7509279F" w:rsidR="064365C5" w:rsidRDefault="064365C5" w:rsidP="00C068B8">
            <w:pPr>
              <w:spacing w:before="60" w:after="60"/>
              <w:ind w:left="567" w:hanging="567"/>
              <w:jc w:val="both"/>
              <w:rPr>
                <w:rFonts w:eastAsia="Calibri" w:cs="Calibri"/>
                <w:szCs w:val="24"/>
                <w:lang w:val="en-US"/>
              </w:rPr>
            </w:pPr>
            <w:r w:rsidRPr="23E83608">
              <w:rPr>
                <w:rFonts w:ascii="Aptos" w:eastAsia="Aptos" w:hAnsi="Aptos" w:cs="Aptos"/>
                <w:sz w:val="22"/>
                <w:lang w:val="en-US"/>
              </w:rPr>
              <w:t>–</w:t>
            </w:r>
            <w:r>
              <w:tab/>
            </w:r>
            <w:r w:rsidRPr="23E83608">
              <w:rPr>
                <w:rFonts w:eastAsia="Calibri" w:cs="Calibri"/>
                <w:szCs w:val="24"/>
                <w:lang w:val="en-US"/>
              </w:rPr>
              <w:t>ITU’s country ICT regulatory reviews and guidelines foster global digital economy access, while the Global Symposium for Regulators (GSR) facilitates exchanges among regulators. The ITU Academy and digital skills training enhance knowledge sharing and capacity building for digital transformation, and various initiatives drive innovation, especially among marginalized populations.</w:t>
            </w:r>
          </w:p>
          <w:p w14:paraId="3B30226F" w14:textId="2C066240" w:rsidR="00E065DF" w:rsidRPr="00CB679E" w:rsidRDefault="00E065DF" w:rsidP="00C068B8">
            <w:pPr>
              <w:keepNext/>
              <w:keepLines/>
              <w:spacing w:before="60" w:after="60"/>
              <w:jc w:val="both"/>
              <w:rPr>
                <w:rFonts w:asciiTheme="minorHAnsi" w:hAnsiTheme="minorHAnsi" w:cstheme="minorHAnsi"/>
                <w:b/>
                <w:bCs/>
                <w:szCs w:val="24"/>
              </w:rPr>
            </w:pPr>
            <w:r w:rsidRPr="00CB679E">
              <w:rPr>
                <w:rFonts w:asciiTheme="minorHAnsi" w:hAnsiTheme="minorHAnsi" w:cstheme="minorHAnsi"/>
                <w:b/>
                <w:bCs/>
                <w:szCs w:val="24"/>
              </w:rPr>
              <w:lastRenderedPageBreak/>
              <w:t>GDC Objective 3: Fostering an inclusive, open, safe and secure digital space that respects, protects and promotes human rights</w:t>
            </w:r>
          </w:p>
          <w:p w14:paraId="40A5C036" w14:textId="77777777" w:rsidR="00E065DF" w:rsidRPr="00CB679E" w:rsidRDefault="00E065DF" w:rsidP="00C068B8">
            <w:pPr>
              <w:pStyle w:val="enumlev1"/>
              <w:keepNext/>
              <w:keepLines/>
              <w:spacing w:before="60" w:after="60"/>
              <w:jc w:val="both"/>
              <w:rPr>
                <w:rFonts w:asciiTheme="minorHAnsi" w:hAnsiTheme="minorHAnsi" w:cstheme="minorHAnsi"/>
                <w:szCs w:val="24"/>
              </w:rPr>
            </w:pPr>
            <w:r w:rsidRPr="00CB679E">
              <w:rPr>
                <w:rFonts w:asciiTheme="minorHAnsi" w:eastAsiaTheme="minorEastAsia" w:hAnsiTheme="minorHAnsi" w:cstheme="minorHAnsi"/>
                <w:kern w:val="2"/>
                <w:szCs w:val="24"/>
                <w:lang w:eastAsia="ko-KR"/>
                <w14:ligatures w14:val="standardContextual"/>
              </w:rPr>
              <w:t>–</w:t>
            </w:r>
            <w:r w:rsidRPr="00CB679E">
              <w:rPr>
                <w:rFonts w:asciiTheme="minorHAnsi" w:eastAsiaTheme="minorEastAsia" w:hAnsiTheme="minorHAnsi" w:cstheme="minorHAnsi"/>
                <w:kern w:val="2"/>
                <w:szCs w:val="24"/>
                <w:lang w:eastAsia="ko-KR"/>
                <w14:ligatures w14:val="standardContextual"/>
              </w:rPr>
              <w:tab/>
            </w:r>
            <w:r w:rsidRPr="00CB679E">
              <w:rPr>
                <w:rFonts w:asciiTheme="minorHAnsi" w:hAnsiTheme="minorHAnsi" w:cstheme="minorHAnsi"/>
                <w:szCs w:val="24"/>
              </w:rPr>
              <w:t xml:space="preserve">ITU and the Office of the High Commissioner for Human Rights (OHCHR) strengthen collaboration to advance a rights-based digital future. Building on growing momentum—including the AI for Good platform and the World Standards Cooperation (WSC)—ITU is embedding human rights principles into technical standards development, particularly in emerging areas such as AI watermarking, multimedia authenticity, and deepfake detection. </w:t>
            </w:r>
          </w:p>
          <w:p w14:paraId="31CBA0D3" w14:textId="77777777" w:rsidR="00E065DF" w:rsidRPr="00CB679E" w:rsidRDefault="00E065DF" w:rsidP="00C068B8">
            <w:pPr>
              <w:pStyle w:val="enumlev1"/>
              <w:numPr>
                <w:ilvl w:val="0"/>
                <w:numId w:val="3"/>
              </w:numPr>
              <w:spacing w:before="60" w:after="60"/>
              <w:ind w:left="512" w:hanging="540"/>
              <w:jc w:val="both"/>
              <w:rPr>
                <w:rFonts w:asciiTheme="minorHAnsi" w:hAnsiTheme="minorHAnsi"/>
              </w:rPr>
            </w:pPr>
            <w:r w:rsidRPr="23E83608">
              <w:rPr>
                <w:rFonts w:asciiTheme="minorHAnsi" w:hAnsiTheme="minorHAnsi"/>
              </w:rPr>
              <w:t>The WSIS Forum continues to serve as a key multistakeholder platform for promoting digital inclusion, safety, and accountability. Member States will also be actively engaged through dedicated mechanisms such as the Council Working Groups on Child Online Protection and on the Internet. Complementary efforts will include the development of rights-based guidelines, training materials, online safety tools, and research outputs—particularly to promote safe and empowering online environments for children and other vulnerable groups. These initiatives align with the Global Digital Compact’s vision of a digital space that is open, inclusive, secure, and grounded in international human rights standards.</w:t>
            </w:r>
          </w:p>
          <w:p w14:paraId="66642FD8" w14:textId="3B565329" w:rsidR="30930DFF" w:rsidRDefault="30930DFF" w:rsidP="00C068B8">
            <w:pPr>
              <w:spacing w:before="60" w:after="60"/>
              <w:jc w:val="both"/>
              <w:rPr>
                <w:rFonts w:eastAsia="Calibri" w:cs="Calibri"/>
                <w:b/>
                <w:bCs/>
                <w:szCs w:val="24"/>
              </w:rPr>
            </w:pPr>
            <w:r w:rsidRPr="23E83608">
              <w:rPr>
                <w:rFonts w:eastAsia="Calibri" w:cs="Calibri"/>
                <w:b/>
                <w:bCs/>
                <w:szCs w:val="24"/>
              </w:rPr>
              <w:t>GDC Objective 4: Advancing responsible, equitable and interoperable data governance approaches</w:t>
            </w:r>
          </w:p>
          <w:p w14:paraId="5A49176C" w14:textId="58F4E7AA" w:rsidR="30930DFF" w:rsidRDefault="30930DFF" w:rsidP="00C068B8">
            <w:pPr>
              <w:spacing w:before="60" w:after="60"/>
              <w:ind w:left="567" w:hanging="567"/>
              <w:jc w:val="both"/>
              <w:rPr>
                <w:rFonts w:eastAsia="Calibri" w:cs="Calibri"/>
                <w:szCs w:val="24"/>
              </w:rPr>
            </w:pPr>
            <w:r w:rsidRPr="23E83608">
              <w:rPr>
                <w:rFonts w:ascii="Aptos" w:eastAsia="Aptos" w:hAnsi="Aptos" w:cs="Aptos"/>
                <w:sz w:val="22"/>
              </w:rPr>
              <w:t>–</w:t>
            </w:r>
            <w:r>
              <w:tab/>
            </w:r>
            <w:r w:rsidRPr="23E83608">
              <w:rPr>
                <w:rFonts w:eastAsia="Calibri" w:cs="Calibri"/>
                <w:szCs w:val="24"/>
              </w:rPr>
              <w:t>ITU's work on ICT Development Index (IDI) indicators, Global Cybersecurity Index (GCI), and other statistics, along with the UN Broadband Commission's collaboration with UNESCO—particularly its Working Group on Data Governance -and TSB's data interoperability efforts all contribute to this objective.</w:t>
            </w:r>
          </w:p>
          <w:p w14:paraId="46659977" w14:textId="25F822A8" w:rsidR="6E63001B" w:rsidRDefault="6E63001B" w:rsidP="00C068B8">
            <w:pPr>
              <w:spacing w:before="60" w:after="60"/>
              <w:jc w:val="both"/>
              <w:rPr>
                <w:rFonts w:eastAsia="Calibri" w:cs="Calibri"/>
                <w:b/>
                <w:bCs/>
                <w:szCs w:val="24"/>
              </w:rPr>
            </w:pPr>
            <w:r w:rsidRPr="23E83608">
              <w:rPr>
                <w:rFonts w:eastAsia="Calibri" w:cs="Calibri"/>
                <w:b/>
                <w:bCs/>
                <w:szCs w:val="24"/>
              </w:rPr>
              <w:t>GDC Objective 5: Enhance international governance of artificial intelligence for the benefits of humanity</w:t>
            </w:r>
          </w:p>
          <w:p w14:paraId="5E9C7070" w14:textId="1EEB8899" w:rsidR="6E63001B" w:rsidRDefault="6E63001B" w:rsidP="00C068B8">
            <w:pPr>
              <w:spacing w:before="60" w:after="60"/>
              <w:ind w:left="567" w:hanging="567"/>
              <w:jc w:val="both"/>
              <w:rPr>
                <w:rFonts w:eastAsia="Calibri" w:cs="Calibri"/>
                <w:szCs w:val="24"/>
              </w:rPr>
            </w:pPr>
            <w:r w:rsidRPr="23E83608">
              <w:rPr>
                <w:rFonts w:ascii="Aptos" w:eastAsia="Aptos" w:hAnsi="Aptos" w:cs="Aptos"/>
                <w:sz w:val="22"/>
              </w:rPr>
              <w:t>–</w:t>
            </w:r>
            <w:r>
              <w:tab/>
            </w:r>
            <w:r w:rsidRPr="23E83608">
              <w:rPr>
                <w:rFonts w:eastAsia="Calibri" w:cs="Calibri"/>
                <w:szCs w:val="24"/>
              </w:rPr>
              <w:t>ITU’s GSR and the UN Inter-agency working group on AI (IAWG-AI), led by ITU along with UNESCO, build upon their critical work, while the World Standards Cooperation (WSC)—a collaboration between ITU, ISO, and IEC—enhance standards exchange; TSB currently has over 1</w:t>
            </w:r>
            <w:r w:rsidR="36EA1487" w:rsidRPr="23E83608">
              <w:rPr>
                <w:rFonts w:eastAsia="Calibri" w:cs="Calibri"/>
                <w:szCs w:val="24"/>
              </w:rPr>
              <w:t>65</w:t>
            </w:r>
            <w:r w:rsidRPr="23E83608">
              <w:rPr>
                <w:rFonts w:eastAsia="Calibri" w:cs="Calibri"/>
                <w:szCs w:val="24"/>
              </w:rPr>
              <w:t xml:space="preserve"> AI standards and 150 more in development, leveraging its unique membership composition to engage with key technical business and community members and strengthen collaboration with UN sister agencies, including WGO, FAO, WMO, IAEA, UNEP, and others.</w:t>
            </w:r>
          </w:p>
          <w:p w14:paraId="75B8BC18" w14:textId="7ED8AB2F" w:rsidR="00E065DF" w:rsidRPr="00CB679E" w:rsidRDefault="00251F4D" w:rsidP="00C068B8">
            <w:pPr>
              <w:spacing w:before="60" w:after="60"/>
              <w:jc w:val="both"/>
              <w:rPr>
                <w:rFonts w:asciiTheme="minorHAnsi" w:hAnsiTheme="minorHAnsi"/>
              </w:rPr>
            </w:pPr>
            <w:r w:rsidRPr="14DE9E3A">
              <w:rPr>
                <w:rFonts w:asciiTheme="minorHAnsi" w:hAnsiTheme="minorHAnsi"/>
              </w:rPr>
              <w:t xml:space="preserve">A detailed mapping of the GDC implementation through the WSIS process and ITU activities is provided in the </w:t>
            </w:r>
            <w:hyperlink r:id="rId27">
              <w:r w:rsidRPr="14DE9E3A">
                <w:rPr>
                  <w:rStyle w:val="Hyperlink"/>
                  <w:rFonts w:asciiTheme="minorHAnsi" w:hAnsiTheme="minorHAnsi"/>
                </w:rPr>
                <w:t>Annex</w:t>
              </w:r>
            </w:hyperlink>
            <w:r w:rsidR="186E9764" w:rsidRPr="14DE9E3A">
              <w:rPr>
                <w:rFonts w:asciiTheme="minorHAnsi" w:hAnsiTheme="minorHAnsi"/>
              </w:rPr>
              <w:t xml:space="preserve"> in the Action Plan</w:t>
            </w:r>
            <w:r w:rsidRPr="14DE9E3A">
              <w:rPr>
                <w:rFonts w:asciiTheme="minorHAnsi" w:hAnsiTheme="minorHAnsi"/>
              </w:rPr>
              <w:t xml:space="preserve">, along with a comparison chart titled </w:t>
            </w:r>
            <w:r w:rsidR="00FF7A26" w:rsidRPr="14DE9E3A">
              <w:rPr>
                <w:rFonts w:asciiTheme="minorHAnsi" w:hAnsiTheme="minorHAnsi"/>
              </w:rPr>
              <w:t>“</w:t>
            </w:r>
            <w:r w:rsidRPr="14DE9E3A">
              <w:rPr>
                <w:rFonts w:asciiTheme="minorHAnsi" w:hAnsiTheme="minorHAnsi"/>
              </w:rPr>
              <w:t>ITU and WSIS activities delivering the Global Digital Compact (GDC) Objectives</w:t>
            </w:r>
            <w:r w:rsidR="00FF7A26" w:rsidRPr="14DE9E3A">
              <w:rPr>
                <w:rFonts w:asciiTheme="minorHAnsi" w:hAnsiTheme="minorHAnsi"/>
              </w:rPr>
              <w:t>”</w:t>
            </w:r>
            <w:r w:rsidRPr="14DE9E3A">
              <w:rPr>
                <w:rFonts w:asciiTheme="minorHAnsi" w:hAnsiTheme="minorHAnsi"/>
              </w:rPr>
              <w:t xml:space="preserve"> available </w:t>
            </w:r>
            <w:hyperlink r:id="rId28">
              <w:r w:rsidRPr="14DE9E3A">
                <w:rPr>
                  <w:rStyle w:val="Hyperlink"/>
                  <w:rFonts w:asciiTheme="minorHAnsi" w:hAnsiTheme="minorHAnsi"/>
                </w:rPr>
                <w:t>here</w:t>
              </w:r>
            </w:hyperlink>
            <w:r w:rsidRPr="14DE9E3A">
              <w:rPr>
                <w:rFonts w:asciiTheme="minorHAnsi" w:hAnsiTheme="minorHAnsi"/>
              </w:rPr>
              <w:t>.</w:t>
            </w:r>
          </w:p>
        </w:tc>
      </w:tr>
    </w:tbl>
    <w:p w14:paraId="23572304" w14:textId="19D5EEBD" w:rsidR="00615EE9" w:rsidRPr="00CB679E" w:rsidRDefault="00615EE9" w:rsidP="00C00297">
      <w:pPr>
        <w:pStyle w:val="Heading1"/>
        <w:spacing w:before="480"/>
        <w:rPr>
          <w:rFonts w:asciiTheme="minorHAnsi" w:hAnsiTheme="minorHAnsi" w:cstheme="minorHAnsi"/>
        </w:rPr>
      </w:pPr>
      <w:r w:rsidRPr="00CB679E">
        <w:rPr>
          <w:rFonts w:asciiTheme="minorHAnsi" w:eastAsiaTheme="minorEastAsia" w:hAnsiTheme="minorHAnsi" w:cstheme="minorHAnsi"/>
          <w:kern w:val="2"/>
          <w:lang w:eastAsia="ko-KR"/>
          <w14:ligatures w14:val="standardContextual"/>
        </w:rPr>
        <w:lastRenderedPageBreak/>
        <w:t>2</w:t>
      </w:r>
      <w:r w:rsidRPr="00CB679E">
        <w:rPr>
          <w:rFonts w:asciiTheme="minorHAnsi" w:eastAsiaTheme="minorEastAsia" w:hAnsiTheme="minorHAnsi" w:cstheme="minorHAnsi"/>
          <w:kern w:val="2"/>
          <w:lang w:eastAsia="ko-KR"/>
          <w14:ligatures w14:val="standardContextual"/>
        </w:rPr>
        <w:tab/>
        <w:t xml:space="preserve">Updates on </w:t>
      </w:r>
      <w:r w:rsidRPr="00CB679E">
        <w:rPr>
          <w:rFonts w:asciiTheme="minorHAnsi" w:hAnsiTheme="minorHAnsi" w:cstheme="minorHAnsi"/>
        </w:rPr>
        <w:t>Strengthening UN-wide digital cooperation</w:t>
      </w:r>
    </w:p>
    <w:p w14:paraId="38C6774A" w14:textId="5EC9D703" w:rsidR="00251F4D" w:rsidRPr="00CB679E" w:rsidRDefault="00615EE9" w:rsidP="00251F4D">
      <w:pPr>
        <w:jc w:val="both"/>
        <w:rPr>
          <w:rFonts w:asciiTheme="minorHAnsi" w:hAnsiTheme="minorHAnsi" w:cstheme="minorHAnsi"/>
        </w:rPr>
      </w:pPr>
      <w:r w:rsidRPr="00CB679E">
        <w:rPr>
          <w:rFonts w:asciiTheme="minorHAnsi" w:hAnsiTheme="minorHAnsi" w:cstheme="minorHAnsi"/>
        </w:rPr>
        <w:t xml:space="preserve">ITU plays an active role in strengthening coordination within the UN system to foster cross-sector digital cooperation, including participation in the UN Steering Committee for Pact Implementation, chaired by the UN Secretary-General, co-chairing the Working Group on </w:t>
      </w:r>
      <w:r w:rsidRPr="00CB679E">
        <w:rPr>
          <w:rFonts w:asciiTheme="minorHAnsi" w:hAnsiTheme="minorHAnsi" w:cstheme="minorHAnsi"/>
        </w:rPr>
        <w:lastRenderedPageBreak/>
        <w:t>Digital Technologies with the Office for Digital and Emerging Technology (ODET), and attending other related Working Groups. Through these efforts, ITU aims to ensure digital issues are addressed cohesively within the UN system, fostering collective ownership of the GDC and supporting Pact implementation.</w:t>
      </w:r>
    </w:p>
    <w:p w14:paraId="30DB2F2B" w14:textId="29BB5723" w:rsidR="00251F4D" w:rsidRPr="00CB679E" w:rsidRDefault="00615EE9" w:rsidP="00D974F0">
      <w:pPr>
        <w:pStyle w:val="Heading2"/>
        <w:rPr>
          <w:lang w:eastAsia="ko-KR"/>
        </w:rPr>
      </w:pPr>
      <w:r w:rsidRPr="00CB679E">
        <w:rPr>
          <w:lang w:eastAsia="ko-KR"/>
        </w:rPr>
        <w:t>2</w:t>
      </w:r>
      <w:r w:rsidR="00251F4D" w:rsidRPr="00CB679E">
        <w:rPr>
          <w:lang w:eastAsia="ko-KR"/>
        </w:rPr>
        <w:t>.1</w:t>
      </w:r>
      <w:r w:rsidR="00251F4D" w:rsidRPr="00CB679E">
        <w:rPr>
          <w:lang w:eastAsia="ko-KR"/>
        </w:rPr>
        <w:tab/>
        <w:t>Working Group on Digital Technologies</w:t>
      </w:r>
    </w:p>
    <w:p w14:paraId="63AD63EE" w14:textId="004A65C3" w:rsidR="00251F4D" w:rsidRPr="00CB679E" w:rsidRDefault="00251F4D" w:rsidP="00251F4D">
      <w:pPr>
        <w:jc w:val="both"/>
        <w:rPr>
          <w:rFonts w:asciiTheme="minorHAnsi" w:hAnsiTheme="minorHAnsi" w:cstheme="minorHAnsi"/>
          <w:lang w:eastAsia="ko-KR"/>
        </w:rPr>
      </w:pPr>
      <w:r w:rsidRPr="00CB679E">
        <w:rPr>
          <w:rFonts w:asciiTheme="minorHAnsi" w:hAnsiTheme="minorHAnsi" w:cstheme="minorHAnsi"/>
          <w:lang w:eastAsia="ko-KR"/>
        </w:rPr>
        <w:t xml:space="preserve">Established in October 2024, the Working Group on Digital Technologies (WGDT) has developed its Terms of Reference (TORs) and Work Plan to define the structure of the group, which is chaired by ITU and ODET, and the scope of its work to follow up on Chapter 3 of the Pact for the Future </w:t>
      </w:r>
      <w:r w:rsidR="00615EE9" w:rsidRPr="00CB679E">
        <w:rPr>
          <w:rFonts w:asciiTheme="minorHAnsi" w:hAnsiTheme="minorHAnsi" w:cstheme="minorHAnsi"/>
          <w:lang w:eastAsia="ko-KR"/>
        </w:rPr>
        <w:t xml:space="preserve">- </w:t>
      </w:r>
      <w:r w:rsidRPr="00CB679E">
        <w:rPr>
          <w:rFonts w:asciiTheme="minorHAnsi" w:hAnsiTheme="minorHAnsi" w:cstheme="minorHAnsi"/>
          <w:lang w:eastAsia="ko-KR"/>
        </w:rPr>
        <w:t xml:space="preserve">Science, Technology and Innovation </w:t>
      </w:r>
      <w:r w:rsidR="00615EE9" w:rsidRPr="00CB679E">
        <w:rPr>
          <w:rFonts w:asciiTheme="minorHAnsi" w:hAnsiTheme="minorHAnsi" w:cstheme="minorHAnsi"/>
          <w:lang w:eastAsia="ko-KR"/>
        </w:rPr>
        <w:t xml:space="preserve">(STI) </w:t>
      </w:r>
      <w:r w:rsidRPr="00CB679E">
        <w:rPr>
          <w:rFonts w:asciiTheme="minorHAnsi" w:hAnsiTheme="minorHAnsi" w:cstheme="minorHAnsi"/>
          <w:lang w:eastAsia="ko-KR"/>
        </w:rPr>
        <w:t>and Digital Cooperation</w:t>
      </w:r>
      <w:r w:rsidR="00615EE9" w:rsidRPr="00CB679E">
        <w:rPr>
          <w:rFonts w:asciiTheme="minorHAnsi" w:hAnsiTheme="minorHAnsi" w:cstheme="minorHAnsi"/>
          <w:lang w:eastAsia="ko-KR"/>
        </w:rPr>
        <w:t>,</w:t>
      </w:r>
      <w:r w:rsidRPr="00CB679E">
        <w:rPr>
          <w:rFonts w:asciiTheme="minorHAnsi" w:hAnsiTheme="minorHAnsi" w:cstheme="minorHAnsi"/>
          <w:lang w:eastAsia="ko-KR"/>
        </w:rPr>
        <w:t xml:space="preserve"> and the Global Digital Compact (GDC).</w:t>
      </w:r>
    </w:p>
    <w:p w14:paraId="0DDF7D1A" w14:textId="0B982CC1" w:rsidR="00251F4D" w:rsidRPr="00CB679E" w:rsidRDefault="00251F4D" w:rsidP="00251F4D">
      <w:pPr>
        <w:jc w:val="both"/>
        <w:rPr>
          <w:rFonts w:asciiTheme="minorHAnsi" w:hAnsiTheme="minorHAnsi" w:cstheme="minorHAnsi"/>
          <w:lang w:eastAsia="ko-KR"/>
        </w:rPr>
      </w:pPr>
      <w:r w:rsidRPr="00CB679E">
        <w:rPr>
          <w:rFonts w:asciiTheme="minorHAnsi" w:hAnsiTheme="minorHAnsi" w:cstheme="minorHAnsi"/>
          <w:lang w:eastAsia="ko-KR"/>
        </w:rPr>
        <w:t>Under the umbrella of the UN Secretary General’s Steering Committee, the WGDT is responsible for coordinating and overseeing the implementation of actions assigned to the UN system, including those assigned to the UN Secretary-General, while monitoring, tracking, and supporting actions for Member States</w:t>
      </w:r>
      <w:r w:rsidR="00615EE9" w:rsidRPr="00CB679E">
        <w:rPr>
          <w:rFonts w:asciiTheme="minorHAnsi" w:hAnsiTheme="minorHAnsi" w:cstheme="minorHAnsi"/>
          <w:lang w:eastAsia="ko-KR"/>
        </w:rPr>
        <w:t xml:space="preserve"> </w:t>
      </w:r>
      <w:r w:rsidRPr="00CB679E">
        <w:rPr>
          <w:rFonts w:asciiTheme="minorHAnsi" w:hAnsiTheme="minorHAnsi" w:cstheme="minorHAnsi"/>
          <w:lang w:eastAsia="ko-KR"/>
        </w:rPr>
        <w:t>and relevant stakeholders within its purview. Additionally, it will undertake analysis and advocacy for the implementation of action points within its purview and provide support to RCs and UNCTs for effective GDC implementation through existing structures.</w:t>
      </w:r>
    </w:p>
    <w:p w14:paraId="51CF078A" w14:textId="412E8AE2" w:rsidR="00251F4D" w:rsidRPr="00CB679E" w:rsidRDefault="00251F4D" w:rsidP="00251F4D">
      <w:pPr>
        <w:jc w:val="both"/>
        <w:rPr>
          <w:rFonts w:asciiTheme="minorHAnsi" w:hAnsiTheme="minorHAnsi" w:cstheme="minorHAnsi"/>
        </w:rPr>
      </w:pPr>
      <w:r w:rsidRPr="00CB679E">
        <w:rPr>
          <w:rFonts w:asciiTheme="minorHAnsi" w:hAnsiTheme="minorHAnsi" w:cstheme="minorHAnsi"/>
          <w:lang w:eastAsia="ko-KR"/>
        </w:rPr>
        <w:t>T</w:t>
      </w:r>
      <w:r w:rsidRPr="00CB679E">
        <w:rPr>
          <w:rFonts w:asciiTheme="minorHAnsi" w:hAnsiTheme="minorHAnsi" w:cstheme="minorHAnsi"/>
        </w:rPr>
        <w:t xml:space="preserve">he Working Group </w:t>
      </w:r>
      <w:r w:rsidRPr="00CB679E">
        <w:rPr>
          <w:rFonts w:asciiTheme="minorHAnsi" w:hAnsiTheme="minorHAnsi" w:cstheme="minorHAnsi"/>
          <w:lang w:eastAsia="ko-KR"/>
        </w:rPr>
        <w:t>has set up six s</w:t>
      </w:r>
      <w:r w:rsidRPr="00CB679E">
        <w:rPr>
          <w:rFonts w:asciiTheme="minorHAnsi" w:hAnsiTheme="minorHAnsi" w:cstheme="minorHAnsi"/>
        </w:rPr>
        <w:t>ub-</w:t>
      </w:r>
      <w:r w:rsidRPr="00CB679E">
        <w:rPr>
          <w:rFonts w:asciiTheme="minorHAnsi" w:hAnsiTheme="minorHAnsi" w:cstheme="minorHAnsi"/>
          <w:lang w:eastAsia="ko-KR"/>
        </w:rPr>
        <w:t>g</w:t>
      </w:r>
      <w:r w:rsidRPr="00CB679E">
        <w:rPr>
          <w:rFonts w:asciiTheme="minorHAnsi" w:hAnsiTheme="minorHAnsi" w:cstheme="minorHAnsi"/>
        </w:rPr>
        <w:t xml:space="preserve">roups, </w:t>
      </w:r>
      <w:r w:rsidRPr="00CB679E">
        <w:rPr>
          <w:rFonts w:asciiTheme="minorHAnsi" w:hAnsiTheme="minorHAnsi" w:cstheme="minorHAnsi"/>
          <w:lang w:eastAsia="ko-KR"/>
        </w:rPr>
        <w:t>covering Chapter 3 on S</w:t>
      </w:r>
      <w:r w:rsidR="00615EE9" w:rsidRPr="00CB679E">
        <w:rPr>
          <w:rFonts w:asciiTheme="minorHAnsi" w:hAnsiTheme="minorHAnsi" w:cstheme="minorHAnsi"/>
          <w:lang w:eastAsia="ko-KR"/>
        </w:rPr>
        <w:t xml:space="preserve">TI </w:t>
      </w:r>
      <w:r w:rsidRPr="00CB679E">
        <w:rPr>
          <w:rFonts w:asciiTheme="minorHAnsi" w:hAnsiTheme="minorHAnsi" w:cstheme="minorHAnsi"/>
          <w:lang w:eastAsia="ko-KR"/>
        </w:rPr>
        <w:t xml:space="preserve">and digital cooperation of the Pact for the Future, as well as </w:t>
      </w:r>
      <w:r w:rsidRPr="00CB679E">
        <w:rPr>
          <w:rFonts w:asciiTheme="minorHAnsi" w:hAnsiTheme="minorHAnsi" w:cstheme="minorHAnsi"/>
        </w:rPr>
        <w:t xml:space="preserve">one for each of the objectives in the GDC. </w:t>
      </w:r>
      <w:r w:rsidRPr="00CB679E">
        <w:rPr>
          <w:rFonts w:asciiTheme="minorHAnsi" w:hAnsiTheme="minorHAnsi" w:cstheme="minorHAnsi"/>
          <w:lang w:eastAsia="ko-KR"/>
        </w:rPr>
        <w:t xml:space="preserve">In addition to co-chairing the Working Group itself, </w:t>
      </w:r>
      <w:r w:rsidRPr="00CB679E">
        <w:rPr>
          <w:rFonts w:asciiTheme="minorHAnsi" w:hAnsiTheme="minorHAnsi" w:cstheme="minorHAnsi"/>
        </w:rPr>
        <w:t xml:space="preserve">ITU </w:t>
      </w:r>
      <w:r w:rsidRPr="00CB679E">
        <w:rPr>
          <w:rFonts w:asciiTheme="minorHAnsi" w:hAnsiTheme="minorHAnsi" w:cstheme="minorHAnsi"/>
          <w:lang w:eastAsia="ko-KR"/>
        </w:rPr>
        <w:t>is</w:t>
      </w:r>
      <w:r w:rsidRPr="00CB679E">
        <w:rPr>
          <w:rFonts w:asciiTheme="minorHAnsi" w:hAnsiTheme="minorHAnsi" w:cstheme="minorHAnsi"/>
        </w:rPr>
        <w:t xml:space="preserve"> </w:t>
      </w:r>
      <w:r w:rsidRPr="00CB679E">
        <w:rPr>
          <w:rFonts w:asciiTheme="minorHAnsi" w:hAnsiTheme="minorHAnsi" w:cstheme="minorHAnsi"/>
          <w:lang w:eastAsia="ko-KR"/>
        </w:rPr>
        <w:t xml:space="preserve">also </w:t>
      </w:r>
      <w:r w:rsidRPr="00CB679E">
        <w:rPr>
          <w:rFonts w:asciiTheme="minorHAnsi" w:hAnsiTheme="minorHAnsi" w:cstheme="minorHAnsi"/>
        </w:rPr>
        <w:t>co-lead</w:t>
      </w:r>
      <w:r w:rsidRPr="00CB679E">
        <w:rPr>
          <w:rFonts w:asciiTheme="minorHAnsi" w:hAnsiTheme="minorHAnsi" w:cstheme="minorHAnsi"/>
          <w:lang w:eastAsia="ko-KR"/>
        </w:rPr>
        <w:t>ing</w:t>
      </w:r>
      <w:r w:rsidRPr="00CB679E">
        <w:rPr>
          <w:rFonts w:asciiTheme="minorHAnsi" w:hAnsiTheme="minorHAnsi" w:cstheme="minorHAnsi"/>
        </w:rPr>
        <w:t xml:space="preserve"> the sub-groups on GDC Objective 1 on digital divides and Objective 5 on A</w:t>
      </w:r>
      <w:r w:rsidRPr="00CB679E">
        <w:rPr>
          <w:rFonts w:asciiTheme="minorHAnsi" w:hAnsiTheme="minorHAnsi" w:cstheme="minorHAnsi"/>
          <w:lang w:eastAsia="ko-KR"/>
        </w:rPr>
        <w:t>rtificial Intelligence</w:t>
      </w:r>
      <w:r w:rsidRPr="00CB679E">
        <w:rPr>
          <w:rFonts w:asciiTheme="minorHAnsi" w:hAnsiTheme="minorHAnsi" w:cstheme="minorHAnsi"/>
        </w:rPr>
        <w:t>. A key priority for the Working Group overall will be to develop the GDC Implementation Map referred to in paragraph 71 of the GDC. More guidance from Member States on what form they would like the Implementation Map to take would be welcome.</w:t>
      </w:r>
    </w:p>
    <w:p w14:paraId="0E6122B6" w14:textId="4338AA41" w:rsidR="00251F4D" w:rsidRPr="00CB679E" w:rsidRDefault="00CB679E" w:rsidP="00251F4D">
      <w:pPr>
        <w:jc w:val="both"/>
        <w:rPr>
          <w:rFonts w:asciiTheme="minorHAnsi" w:hAnsiTheme="minorHAnsi" w:cstheme="minorHAnsi"/>
          <w:color w:val="000000"/>
          <w:shd w:val="clear" w:color="auto" w:fill="FFFFFF"/>
        </w:rPr>
      </w:pPr>
      <w:r w:rsidRPr="00CB679E">
        <w:rPr>
          <w:rFonts w:asciiTheme="minorHAnsi" w:hAnsiTheme="minorHAnsi" w:cstheme="minorHAnsi"/>
        </w:rPr>
        <w:t xml:space="preserve">The inaugural meeting of the Working Group on Digital Technologies on 21 October </w:t>
      </w:r>
      <w:r w:rsidR="00C00297">
        <w:rPr>
          <w:rFonts w:asciiTheme="minorHAnsi" w:hAnsiTheme="minorHAnsi" w:cstheme="minorHAnsi"/>
        </w:rPr>
        <w:t xml:space="preserve">2024 </w:t>
      </w:r>
      <w:r w:rsidRPr="00CB679E">
        <w:rPr>
          <w:rFonts w:asciiTheme="minorHAnsi" w:hAnsiTheme="minorHAnsi" w:cstheme="minorHAnsi"/>
        </w:rPr>
        <w:t>focused on defining its scope, with plans to finalize strategies and action points. Since then, the group has met multiple times at the working level to share information on GDC implementation, develop its Terms of Reference, and advance its Workplan. Co-Chair representatives briefed various parties on progress regarding GDC implementation plans, including Member States in New York through the Group of Friends of Digital Technologies, companies during an event hosted by USCIB and ICC BASIS, civil society at the 2024 IGF in Riyadh, the Freedom Online Coalition in Geneva, and UN agencies in the UN Inter-Agency Task Team on Science, Technology and Innovation. A Principal-level meeting on 27 February</w:t>
      </w:r>
      <w:r w:rsidR="00C00297">
        <w:rPr>
          <w:rFonts w:asciiTheme="minorHAnsi" w:hAnsiTheme="minorHAnsi" w:cstheme="minorHAnsi"/>
        </w:rPr>
        <w:t xml:space="preserve"> 2025</w:t>
      </w:r>
      <w:r w:rsidRPr="00CB679E">
        <w:rPr>
          <w:rFonts w:asciiTheme="minorHAnsi" w:hAnsiTheme="minorHAnsi" w:cstheme="minorHAnsi"/>
        </w:rPr>
        <w:t xml:space="preserve"> finalized the </w:t>
      </w:r>
      <w:proofErr w:type="spellStart"/>
      <w:r w:rsidRPr="00CB679E">
        <w:rPr>
          <w:rFonts w:asciiTheme="minorHAnsi" w:hAnsiTheme="minorHAnsi" w:cstheme="minorHAnsi"/>
        </w:rPr>
        <w:t>T</w:t>
      </w:r>
      <w:r w:rsidR="00C00297">
        <w:rPr>
          <w:rFonts w:asciiTheme="minorHAnsi" w:hAnsiTheme="minorHAnsi" w:cstheme="minorHAnsi"/>
        </w:rPr>
        <w:t>o</w:t>
      </w:r>
      <w:r w:rsidRPr="00CB679E">
        <w:rPr>
          <w:rFonts w:asciiTheme="minorHAnsi" w:hAnsiTheme="minorHAnsi" w:cstheme="minorHAnsi"/>
        </w:rPr>
        <w:t>R</w:t>
      </w:r>
      <w:proofErr w:type="spellEnd"/>
      <w:r w:rsidRPr="00CB679E">
        <w:rPr>
          <w:rFonts w:asciiTheme="minorHAnsi" w:hAnsiTheme="minorHAnsi" w:cstheme="minorHAnsi"/>
        </w:rPr>
        <w:t xml:space="preserve"> and Workplan and sought guidance for next steps.</w:t>
      </w:r>
    </w:p>
    <w:p w14:paraId="3F7D50F9" w14:textId="7187A881" w:rsidR="00251F4D" w:rsidRPr="00CB679E" w:rsidRDefault="00251F4D" w:rsidP="00251F4D">
      <w:pPr>
        <w:jc w:val="both"/>
        <w:rPr>
          <w:rFonts w:asciiTheme="minorHAnsi" w:hAnsiTheme="minorHAnsi" w:cstheme="minorHAnsi"/>
        </w:rPr>
      </w:pPr>
      <w:r w:rsidRPr="00CB679E">
        <w:rPr>
          <w:rFonts w:asciiTheme="minorHAnsi" w:hAnsiTheme="minorHAnsi" w:cstheme="minorHAnsi"/>
        </w:rPr>
        <w:t>ITU’s initiatives have been incorporated into the Working Group’s Work Plan, addressing key areas such as the digital divide, digital economy, digital literacy, inclusivity, online safety and security, data, and A</w:t>
      </w:r>
      <w:r w:rsidR="00CB679E" w:rsidRPr="00CB679E">
        <w:rPr>
          <w:rFonts w:asciiTheme="minorHAnsi" w:hAnsiTheme="minorHAnsi" w:cstheme="minorHAnsi"/>
        </w:rPr>
        <w:t>I</w:t>
      </w:r>
      <w:r w:rsidRPr="00CB679E">
        <w:rPr>
          <w:rFonts w:asciiTheme="minorHAnsi" w:hAnsiTheme="minorHAnsi" w:cstheme="minorHAnsi"/>
        </w:rPr>
        <w:t xml:space="preserve">, along with initiatives from other UN entities and bodies. ITU supports the Working Group in advancing GDC implementation by leveraging existing mechanisms, including but not limited to Giga, Girls in ICTs, EQUALS, Green Digital Action, the ITU Academy and Digital Skills, Measuring ICT, the SDG Digital Initiative, the Digital Regulation Platform, the ITU Broadband Commission, AI Standards Exchanges, and the AI Skills Coalition. It also acknowledges ITU’s major conferences and events, such as the Global Symposium for Regulators (GSR), the AI for Good Global Summit, the WSIS Forum, the International AI Standards Summit, the World Radiocommunication Conference (WRC), the World </w:t>
      </w:r>
      <w:r w:rsidRPr="00CB679E">
        <w:rPr>
          <w:rFonts w:asciiTheme="minorHAnsi" w:hAnsiTheme="minorHAnsi" w:cstheme="minorHAnsi"/>
        </w:rPr>
        <w:lastRenderedPageBreak/>
        <w:t xml:space="preserve">Telecommunication Standards Assembly (WTSA), and the World Telecommunication Development Conference (WTDC) as existing mechanisms and/or milestones for 2025 and beyond. </w:t>
      </w:r>
    </w:p>
    <w:p w14:paraId="4598246B" w14:textId="130AA492" w:rsidR="00251F4D" w:rsidRPr="00CB679E" w:rsidRDefault="00615EE9" w:rsidP="00D974F0">
      <w:pPr>
        <w:pStyle w:val="Heading2"/>
        <w:rPr>
          <w:lang w:eastAsia="ko-KR"/>
        </w:rPr>
      </w:pPr>
      <w:r w:rsidRPr="00CB679E">
        <w:rPr>
          <w:lang w:eastAsia="ko-KR"/>
        </w:rPr>
        <w:t>2</w:t>
      </w:r>
      <w:r w:rsidR="00251F4D" w:rsidRPr="00CB679E">
        <w:rPr>
          <w:lang w:eastAsia="ko-KR"/>
        </w:rPr>
        <w:t>.2</w:t>
      </w:r>
      <w:r w:rsidR="00251F4D" w:rsidRPr="00CB679E">
        <w:rPr>
          <w:lang w:eastAsia="ko-KR"/>
        </w:rPr>
        <w:tab/>
        <w:t xml:space="preserve">Other Working Groups on Pact Implementation </w:t>
      </w:r>
    </w:p>
    <w:p w14:paraId="78B9ED0B" w14:textId="77777777" w:rsidR="00251F4D" w:rsidRPr="00CB679E" w:rsidRDefault="00251F4D" w:rsidP="00251F4D">
      <w:pPr>
        <w:jc w:val="both"/>
        <w:rPr>
          <w:rFonts w:asciiTheme="minorHAnsi" w:hAnsiTheme="minorHAnsi" w:cstheme="minorHAnsi"/>
          <w:lang w:eastAsia="ko-KR"/>
        </w:rPr>
      </w:pPr>
      <w:r w:rsidRPr="00CB679E">
        <w:rPr>
          <w:rFonts w:asciiTheme="minorHAnsi" w:hAnsiTheme="minorHAnsi" w:cstheme="minorHAnsi"/>
          <w:lang w:eastAsia="ko-KR"/>
        </w:rPr>
        <w:t xml:space="preserve">ITU is actively involved in other Working Groups that have been established under the Steering Committee on Pact implementation, including those focused on the Pact’s contribution to SDGs, Peace and Security, IFA Reform, UN Governance Reform, and Youth. </w:t>
      </w:r>
    </w:p>
    <w:p w14:paraId="0FC7A67A" w14:textId="49DE8133" w:rsidR="00251F4D" w:rsidRPr="00CB679E" w:rsidRDefault="3BC90709" w:rsidP="543508F6">
      <w:pPr>
        <w:jc w:val="both"/>
        <w:rPr>
          <w:rFonts w:asciiTheme="minorHAnsi" w:hAnsiTheme="minorHAnsi" w:cstheme="minorBidi"/>
          <w:lang w:eastAsia="ko-KR"/>
        </w:rPr>
      </w:pPr>
      <w:r w:rsidRPr="543508F6">
        <w:rPr>
          <w:rFonts w:asciiTheme="minorHAnsi" w:hAnsiTheme="minorHAnsi" w:cstheme="minorBidi"/>
          <w:lang w:eastAsia="ko-KR"/>
        </w:rPr>
        <w:t xml:space="preserve">Notably, together with UN ODA and ODET, ITU has been assigned as a co-Action Lead for Action 27 (c) of the Pact on bridging digital divides and enhancing international cooperation for the benefits of digital technologies in the Working Group on Peace and Security. ITU is also an action contributor, alongside </w:t>
      </w:r>
      <w:r w:rsidR="334F0DE9" w:rsidRPr="23E83608">
        <w:rPr>
          <w:rFonts w:asciiTheme="minorHAnsi" w:hAnsiTheme="minorHAnsi" w:cstheme="minorBidi"/>
          <w:lang w:eastAsia="ko-KR"/>
        </w:rPr>
        <w:t>other</w:t>
      </w:r>
      <w:r w:rsidR="183C7CA7" w:rsidRPr="23E83608">
        <w:rPr>
          <w:rFonts w:asciiTheme="minorHAnsi" w:hAnsiTheme="minorHAnsi" w:cstheme="minorBidi"/>
          <w:lang w:eastAsia="ko-KR"/>
        </w:rPr>
        <w:t xml:space="preserve"> </w:t>
      </w:r>
      <w:r w:rsidR="14447790" w:rsidRPr="23E83608">
        <w:rPr>
          <w:rFonts w:asciiTheme="minorHAnsi" w:hAnsiTheme="minorHAnsi" w:cstheme="minorBidi"/>
          <w:lang w:eastAsia="ko-KR"/>
        </w:rPr>
        <w:t>entities</w:t>
      </w:r>
      <w:r w:rsidRPr="543508F6">
        <w:rPr>
          <w:rFonts w:asciiTheme="minorHAnsi" w:hAnsiTheme="minorHAnsi" w:cstheme="minorBidi"/>
          <w:lang w:eastAsia="ko-KR"/>
        </w:rPr>
        <w:t>, for Action 24 (b) of the Pact</w:t>
      </w:r>
      <w:r w:rsidR="1B26724F" w:rsidRPr="23E83608">
        <w:rPr>
          <w:rFonts w:asciiTheme="minorHAnsi" w:hAnsiTheme="minorHAnsi" w:cstheme="minorBidi"/>
          <w:lang w:eastAsia="ko-KR"/>
        </w:rPr>
        <w:t>. While the provision is</w:t>
      </w:r>
      <w:r w:rsidRPr="543508F6">
        <w:rPr>
          <w:rFonts w:asciiTheme="minorHAnsi" w:hAnsiTheme="minorHAnsi" w:cstheme="minorBidi"/>
          <w:lang w:eastAsia="ko-KR"/>
        </w:rPr>
        <w:t xml:space="preserve"> aimed at strengthening </w:t>
      </w:r>
      <w:r w:rsidRPr="543508F6">
        <w:rPr>
          <w:rFonts w:asciiTheme="minorHAnsi" w:hAnsiTheme="minorHAnsi" w:cstheme="minorBidi"/>
          <w:spacing w:val="-2"/>
          <w:lang w:eastAsia="ko-KR"/>
        </w:rPr>
        <w:t>international cooperation to prevent and combat transnational organized crime in all its forms,</w:t>
      </w:r>
      <w:r w:rsidRPr="543508F6">
        <w:rPr>
          <w:rFonts w:asciiTheme="minorHAnsi" w:hAnsiTheme="minorHAnsi" w:cstheme="minorBidi"/>
          <w:lang w:eastAsia="ko-KR"/>
        </w:rPr>
        <w:t xml:space="preserve"> including crimes committed through information and communications technology systems</w:t>
      </w:r>
      <w:r w:rsidR="2F14E817" w:rsidRPr="23E83608">
        <w:rPr>
          <w:rFonts w:asciiTheme="minorHAnsi" w:hAnsiTheme="minorHAnsi" w:cstheme="minorBidi"/>
          <w:lang w:eastAsia="ko-KR"/>
        </w:rPr>
        <w:t>, ITU will contribute, as needed, on activities within its mandate with respect to building confidence and security in the use of ICTs</w:t>
      </w:r>
      <w:r w:rsidRPr="543508F6">
        <w:rPr>
          <w:rFonts w:asciiTheme="minorHAnsi" w:hAnsiTheme="minorHAnsi" w:cstheme="minorBidi"/>
          <w:lang w:eastAsia="ko-KR"/>
        </w:rPr>
        <w:t>.</w:t>
      </w:r>
    </w:p>
    <w:p w14:paraId="794A43F3" w14:textId="77777777" w:rsidR="00251F4D" w:rsidRPr="00CB679E" w:rsidRDefault="00251F4D" w:rsidP="00251F4D">
      <w:pPr>
        <w:jc w:val="both"/>
        <w:rPr>
          <w:rFonts w:asciiTheme="minorHAnsi" w:hAnsiTheme="minorHAnsi" w:cstheme="minorHAnsi"/>
          <w:b/>
          <w:bCs/>
          <w:lang w:eastAsia="ko-KR"/>
        </w:rPr>
      </w:pPr>
      <w:r w:rsidRPr="00CB679E">
        <w:rPr>
          <w:rFonts w:asciiTheme="minorHAnsi" w:hAnsiTheme="minorHAnsi" w:cstheme="minorHAnsi"/>
          <w:lang w:eastAsia="ko-KR"/>
        </w:rPr>
        <w:t xml:space="preserve">Additionally, ITU participates in the Working Group on UN Governance Reform, contributing to actions aimed at strengthening the UN system, enhancing international cooperation in outer space exploration, ensuring human rights, and addressing global challenges. ITU is identifying key initiatives, such as WSIS, P2C, and </w:t>
      </w:r>
      <w:r w:rsidRPr="00CB679E">
        <w:rPr>
          <w:rFonts w:asciiTheme="minorHAnsi" w:hAnsiTheme="minorHAnsi" w:cstheme="minorHAnsi"/>
        </w:rPr>
        <w:t>the Early Warnings for All (EW4A) initiative</w:t>
      </w:r>
      <w:r w:rsidRPr="00CB679E">
        <w:rPr>
          <w:rFonts w:asciiTheme="minorHAnsi" w:hAnsiTheme="minorHAnsi" w:cstheme="minorHAnsi"/>
          <w:lang w:eastAsia="ko-KR"/>
        </w:rPr>
        <w:t>, to support these efforts.</w:t>
      </w:r>
    </w:p>
    <w:p w14:paraId="427B39DA" w14:textId="6ACB02FF" w:rsidR="000C7D25" w:rsidRPr="00A80822" w:rsidRDefault="00615EE9" w:rsidP="00D974F0">
      <w:pPr>
        <w:pStyle w:val="Heading2"/>
        <w:rPr>
          <w:lang w:eastAsia="ko-KR"/>
        </w:rPr>
      </w:pPr>
      <w:r w:rsidRPr="00CB679E">
        <w:rPr>
          <w:rFonts w:asciiTheme="minorHAnsi" w:hAnsiTheme="minorHAnsi" w:cstheme="minorHAnsi"/>
          <w:lang w:eastAsia="ko-KR"/>
        </w:rPr>
        <w:t>2</w:t>
      </w:r>
      <w:r w:rsidR="00251F4D" w:rsidRPr="00CB679E">
        <w:rPr>
          <w:rFonts w:asciiTheme="minorHAnsi" w:hAnsiTheme="minorHAnsi" w:cstheme="minorHAnsi"/>
          <w:lang w:eastAsia="ko-KR"/>
        </w:rPr>
        <w:t>.</w:t>
      </w:r>
      <w:r w:rsidR="000C7D25">
        <w:rPr>
          <w:rFonts w:asciiTheme="minorHAnsi" w:hAnsiTheme="minorHAnsi" w:cstheme="minorHAnsi"/>
          <w:lang w:eastAsia="ko-KR"/>
        </w:rPr>
        <w:t>3</w:t>
      </w:r>
      <w:r w:rsidR="00251F4D" w:rsidRPr="00CB679E">
        <w:rPr>
          <w:rFonts w:asciiTheme="minorHAnsi" w:hAnsiTheme="minorHAnsi" w:cstheme="minorHAnsi"/>
          <w:lang w:eastAsia="ko-KR"/>
        </w:rPr>
        <w:tab/>
      </w:r>
      <w:r w:rsidR="000C7D25" w:rsidRPr="00A80822">
        <w:rPr>
          <w:lang w:eastAsia="ko-KR"/>
        </w:rPr>
        <w:t>Inter-Agency Working Group on Artificial Intelligence</w:t>
      </w:r>
    </w:p>
    <w:p w14:paraId="0C673970" w14:textId="77777777" w:rsidR="000C7D25" w:rsidRPr="009C34D1" w:rsidRDefault="000C7D25" w:rsidP="000C7D25">
      <w:pPr>
        <w:jc w:val="both"/>
        <w:rPr>
          <w:rFonts w:asciiTheme="minorHAnsi" w:eastAsiaTheme="minorEastAsia" w:hAnsiTheme="minorHAnsi" w:cstheme="minorHAnsi"/>
          <w:lang w:eastAsia="zh-CN"/>
        </w:rPr>
      </w:pPr>
      <w:r w:rsidRPr="00A80822">
        <w:t xml:space="preserve">Additionally, </w:t>
      </w:r>
      <w:hyperlink r:id="rId29" w:anchor=":~:text=HLCP%2C%20established%20on%2027%20October,facing%20the%20United%20Nations%20system." w:history="1">
        <w:r w:rsidRPr="00A80822">
          <w:rPr>
            <w:rStyle w:val="Hyperlink"/>
          </w:rPr>
          <w:t>the High-Level Committee on Programmes (HLCP)</w:t>
        </w:r>
      </w:hyperlink>
      <w:r w:rsidRPr="00A80822">
        <w:t xml:space="preserve">, under the umbrella of the UN Chief Executive Board (CEB), acknowledging the importance of </w:t>
      </w:r>
      <w:r w:rsidRPr="00A80822">
        <w:rPr>
          <w:rFonts w:eastAsiaTheme="minorEastAsia" w:hint="eastAsia"/>
          <w:lang w:eastAsia="zh-CN"/>
        </w:rPr>
        <w:t xml:space="preserve">the </w:t>
      </w:r>
      <w:hyperlink r:id="rId30" w:history="1">
        <w:r w:rsidRPr="00A80822">
          <w:rPr>
            <w:rStyle w:val="Hyperlink"/>
          </w:rPr>
          <w:t>Inter-Agency Working Group on AI (IAWG</w:t>
        </w:r>
        <w:r w:rsidRPr="00A80822">
          <w:rPr>
            <w:rStyle w:val="Hyperlink"/>
            <w:rFonts w:eastAsiaTheme="minorEastAsia" w:hint="eastAsia"/>
            <w:lang w:eastAsia="zh-CN"/>
          </w:rPr>
          <w:t>-AI</w:t>
        </w:r>
        <w:r w:rsidRPr="00A80822">
          <w:rPr>
            <w:rStyle w:val="Hyperlink"/>
          </w:rPr>
          <w:t>)</w:t>
        </w:r>
      </w:hyperlink>
      <w:r w:rsidRPr="005D3AFD">
        <w:t xml:space="preserve">, co-chaired by ITU and UNESCO, requested alignment of its work </w:t>
      </w:r>
      <w:r>
        <w:rPr>
          <w:rFonts w:eastAsiaTheme="minorEastAsia" w:hint="eastAsia"/>
          <w:lang w:eastAsia="zh-CN"/>
        </w:rPr>
        <w:t>and offering UN system</w:t>
      </w:r>
      <w:r w:rsidRPr="005D3AFD">
        <w:t xml:space="preserve"> support </w:t>
      </w:r>
      <w:r>
        <w:rPr>
          <w:rFonts w:eastAsiaTheme="minorEastAsia" w:hint="eastAsia"/>
          <w:lang w:eastAsia="zh-CN"/>
        </w:rPr>
        <w:t xml:space="preserve">to </w:t>
      </w:r>
      <w:r w:rsidRPr="005D3AFD">
        <w:t xml:space="preserve">GDC implementation. ITU and UNESCO are now working </w:t>
      </w:r>
      <w:r>
        <w:rPr>
          <w:rFonts w:eastAsiaTheme="minorEastAsia" w:hint="eastAsia"/>
          <w:lang w:eastAsia="zh-CN"/>
        </w:rPr>
        <w:t xml:space="preserve">together </w:t>
      </w:r>
      <w:r w:rsidRPr="005D3AFD">
        <w:t xml:space="preserve">with </w:t>
      </w:r>
      <w:r>
        <w:rPr>
          <w:rFonts w:eastAsiaTheme="minorEastAsia" w:hint="eastAsia"/>
          <w:lang w:eastAsia="zh-CN"/>
        </w:rPr>
        <w:t xml:space="preserve">other </w:t>
      </w:r>
      <w:r w:rsidRPr="005D3AFD">
        <w:t>IAWG</w:t>
      </w:r>
      <w:r>
        <w:rPr>
          <w:rFonts w:eastAsiaTheme="minorEastAsia" w:hint="eastAsia"/>
          <w:lang w:eastAsia="zh-CN"/>
        </w:rPr>
        <w:t>-</w:t>
      </w:r>
      <w:r w:rsidRPr="005D3AFD">
        <w:t>AI member agencies, providing inputs to the Working Group on Digital Technologies</w:t>
      </w:r>
      <w:r>
        <w:rPr>
          <w:rFonts w:eastAsiaTheme="minorEastAsia" w:hint="eastAsia"/>
          <w:lang w:eastAsia="zh-CN"/>
        </w:rPr>
        <w:t xml:space="preserve"> (WGDT)</w:t>
      </w:r>
      <w:r w:rsidRPr="005D3AFD">
        <w:t>, alongside an updated 12-month IAWG</w:t>
      </w:r>
      <w:r>
        <w:rPr>
          <w:rFonts w:eastAsiaTheme="minorEastAsia" w:hint="eastAsia"/>
          <w:lang w:eastAsia="zh-CN"/>
        </w:rPr>
        <w:t>-AI</w:t>
      </w:r>
      <w:r w:rsidRPr="005D3AFD">
        <w:t xml:space="preserve"> work plan.</w:t>
      </w:r>
      <w:r w:rsidRPr="0052569A">
        <w:rPr>
          <w:rFonts w:asciiTheme="minorHAnsi" w:hAnsiTheme="minorHAnsi" w:cstheme="minorHAnsi"/>
        </w:rPr>
        <w:t xml:space="preserve"> </w:t>
      </w:r>
      <w:r>
        <w:rPr>
          <w:rFonts w:asciiTheme="minorHAnsi" w:hAnsiTheme="minorHAnsi" w:cstheme="minorHAnsi"/>
        </w:rPr>
        <w:t xml:space="preserve">In addition, </w:t>
      </w:r>
      <w:r w:rsidRPr="003F37C3">
        <w:rPr>
          <w:rFonts w:asciiTheme="minorHAnsi" w:hAnsiTheme="minorHAnsi" w:cstheme="minorHAnsi"/>
        </w:rPr>
        <w:t>IAWG-AI convenes jointly with WGDT Sub-Group 5</w:t>
      </w:r>
      <w:r>
        <w:rPr>
          <w:rFonts w:asciiTheme="minorHAnsi" w:hAnsiTheme="minorHAnsi" w:cstheme="minorHAnsi"/>
        </w:rPr>
        <w:t xml:space="preserve">, </w:t>
      </w:r>
      <w:r w:rsidRPr="003F37C3">
        <w:rPr>
          <w:rFonts w:asciiTheme="minorHAnsi" w:hAnsiTheme="minorHAnsi" w:cstheme="minorHAnsi"/>
        </w:rPr>
        <w:t>co-led by ITU, ODET and UNESCO</w:t>
      </w:r>
      <w:r>
        <w:rPr>
          <w:rFonts w:asciiTheme="minorHAnsi" w:hAnsiTheme="minorHAnsi" w:cstheme="minorHAnsi"/>
        </w:rPr>
        <w:t>,</w:t>
      </w:r>
      <w:r w:rsidRPr="003F37C3">
        <w:rPr>
          <w:rFonts w:asciiTheme="minorHAnsi" w:hAnsiTheme="minorHAnsi" w:cstheme="minorHAnsi"/>
        </w:rPr>
        <w:t xml:space="preserve"> to channel UN system inputs to the relevant GDC-mandated processes.</w:t>
      </w:r>
    </w:p>
    <w:p w14:paraId="202B9CC5" w14:textId="09968A1A" w:rsidR="00251F4D" w:rsidRPr="00CB679E" w:rsidRDefault="000C7D25" w:rsidP="00D974F0">
      <w:pPr>
        <w:pStyle w:val="Heading2"/>
        <w:rPr>
          <w:lang w:eastAsia="ko-KR"/>
        </w:rPr>
      </w:pPr>
      <w:r>
        <w:rPr>
          <w:lang w:eastAsia="ko-KR"/>
        </w:rPr>
        <w:t>2.4</w:t>
      </w:r>
      <w:r>
        <w:rPr>
          <w:lang w:eastAsia="ko-KR"/>
        </w:rPr>
        <w:tab/>
      </w:r>
      <w:r w:rsidR="00251F4D" w:rsidRPr="00CB679E">
        <w:rPr>
          <w:lang w:eastAsia="ko-KR"/>
        </w:rPr>
        <w:t xml:space="preserve">Let’s Talk Digital on the Global Digital Compact </w:t>
      </w:r>
    </w:p>
    <w:p w14:paraId="442A0377" w14:textId="77777777" w:rsidR="00251F4D" w:rsidRPr="00CB679E" w:rsidRDefault="00251F4D" w:rsidP="00251F4D">
      <w:pPr>
        <w:jc w:val="both"/>
        <w:rPr>
          <w:rFonts w:asciiTheme="minorHAnsi" w:hAnsiTheme="minorHAnsi" w:cstheme="minorHAnsi"/>
        </w:rPr>
      </w:pPr>
      <w:r w:rsidRPr="00CB679E">
        <w:rPr>
          <w:rFonts w:asciiTheme="minorHAnsi" w:hAnsiTheme="minorHAnsi" w:cstheme="minorHAnsi"/>
        </w:rPr>
        <w:t>ITU also regularly hosts “Let’s Talk Digital” gatherings with Geneva-based UN and international agencies – our “Geneva Digital Kitchen” network - to discuss emerging digital trends, share initiatives, and strengthen collaboration. Its recent meetings have focused on how these collaborations can create valuable synergies to address the diverse needs of Member States and stakeholders, especially in following up on the GDC. The group has developed a 'Geneva Contribution Plan' to support the GDC and foster this collaborative spirit.</w:t>
      </w:r>
    </w:p>
    <w:p w14:paraId="1AD3B42A" w14:textId="77777777" w:rsidR="00251F4D" w:rsidRPr="00CB679E" w:rsidRDefault="00251F4D" w:rsidP="00251F4D">
      <w:pPr>
        <w:jc w:val="both"/>
        <w:rPr>
          <w:rFonts w:asciiTheme="minorHAnsi" w:hAnsiTheme="minorHAnsi" w:cstheme="minorHAnsi"/>
        </w:rPr>
      </w:pPr>
      <w:r w:rsidRPr="00CB679E">
        <w:rPr>
          <w:rFonts w:asciiTheme="minorHAnsi" w:hAnsiTheme="minorHAnsi" w:cstheme="minorHAnsi"/>
        </w:rPr>
        <w:t>Beginning in January 2025, the Geneva Digital Kitchen launched a series of in-depth thematic discussions on the GDC, starting with a session led by OHCHR on human rights. This was followed by a second discussion in March, organized in collaboration with the ILO, focusing on digital technologies and the future of work. During its March gathering, the group also explored the development of a</w:t>
      </w:r>
      <w:r w:rsidRPr="00CB679E">
        <w:rPr>
          <w:rFonts w:asciiTheme="minorHAnsi" w:hAnsiTheme="minorHAnsi" w:cstheme="minorHAnsi"/>
          <w:i/>
          <w:iCs/>
        </w:rPr>
        <w:t xml:space="preserve"> Measuring ICT Data Hub</w:t>
      </w:r>
      <w:r w:rsidRPr="00CB679E">
        <w:rPr>
          <w:rFonts w:asciiTheme="minorHAnsi" w:hAnsiTheme="minorHAnsi" w:cstheme="minorHAnsi"/>
        </w:rPr>
        <w:t xml:space="preserve">, built on the ITU Data Hub, as a key </w:t>
      </w:r>
      <w:r w:rsidRPr="00CB679E">
        <w:rPr>
          <w:rFonts w:asciiTheme="minorHAnsi" w:hAnsiTheme="minorHAnsi" w:cstheme="minorHAnsi"/>
        </w:rPr>
        <w:lastRenderedPageBreak/>
        <w:t>component of the Geneva Contribution Plan, which will play an important role in supporting GDC implementation and contributing to GDC assessment efforts.</w:t>
      </w:r>
    </w:p>
    <w:p w14:paraId="35C6D0A5" w14:textId="77777777" w:rsidR="007A3FCD" w:rsidRPr="00CB679E" w:rsidRDefault="007A3FCD" w:rsidP="00C00297">
      <w:pPr>
        <w:spacing w:before="720"/>
        <w:jc w:val="center"/>
        <w:rPr>
          <w:rFonts w:asciiTheme="minorHAnsi" w:hAnsiTheme="minorHAnsi" w:cstheme="minorHAnsi"/>
        </w:rPr>
      </w:pPr>
      <w:r w:rsidRPr="00CB679E">
        <w:rPr>
          <w:rFonts w:asciiTheme="minorHAnsi" w:hAnsiTheme="minorHAnsi" w:cstheme="minorHAnsi"/>
        </w:rPr>
        <w:t>______________</w:t>
      </w:r>
    </w:p>
    <w:sectPr w:rsidR="007A3FCD" w:rsidRPr="00CB679E" w:rsidSect="00AD3606">
      <w:footerReference w:type="default" r:id="rId31"/>
      <w:headerReference w:type="first" r:id="rId32"/>
      <w:footerReference w:type="first" r:id="rId3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39518" w14:textId="77777777" w:rsidR="002B311A" w:rsidRDefault="002B311A">
      <w:r>
        <w:separator/>
      </w:r>
    </w:p>
  </w:endnote>
  <w:endnote w:type="continuationSeparator" w:id="0">
    <w:p w14:paraId="592A8795" w14:textId="77777777" w:rsidR="002B311A" w:rsidRDefault="002B311A">
      <w:r>
        <w:continuationSeparator/>
      </w:r>
    </w:p>
  </w:endnote>
  <w:endnote w:type="continuationNotice" w:id="1">
    <w:p w14:paraId="51E7060E" w14:textId="77777777" w:rsidR="002B311A" w:rsidRDefault="002B311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rsidTr="00E93FC8">
      <w:trPr>
        <w:jc w:val="center"/>
      </w:trPr>
      <w:tc>
        <w:tcPr>
          <w:tcW w:w="1803" w:type="dxa"/>
          <w:vAlign w:val="center"/>
        </w:tcPr>
        <w:p w14:paraId="5B3DDD9A" w14:textId="77777777" w:rsidR="00EE49E8" w:rsidRDefault="00C6520B" w:rsidP="00EE49E8">
          <w:pPr>
            <w:pStyle w:val="Header"/>
            <w:jc w:val="left"/>
            <w:rPr>
              <w:noProof/>
            </w:rPr>
          </w:pPr>
          <w:r>
            <w:rPr>
              <w:noProof/>
            </w:rPr>
            <w:t>gDoc #</w:t>
          </w:r>
        </w:p>
      </w:tc>
      <w:tc>
        <w:tcPr>
          <w:tcW w:w="8261" w:type="dxa"/>
        </w:tcPr>
        <w:p w14:paraId="6F6B3A01" w14:textId="76E8F595" w:rsidR="00EE49E8" w:rsidRPr="00E06FD5" w:rsidRDefault="00EE49E8" w:rsidP="000745AB">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CB679E">
            <w:rPr>
              <w:bCs/>
            </w:rPr>
            <w:t>52</w:t>
          </w:r>
          <w:r w:rsidRPr="00623AE3">
            <w:rPr>
              <w:bCs/>
            </w:rPr>
            <w:t>-E</w:t>
          </w:r>
          <w:r>
            <w:rPr>
              <w:bCs/>
            </w:rPr>
            <w:tab/>
          </w:r>
          <w:r>
            <w:fldChar w:fldCharType="begin"/>
          </w:r>
          <w:r>
            <w:instrText>PAGE</w:instrText>
          </w:r>
          <w:r>
            <w:fldChar w:fldCharType="separate"/>
          </w:r>
          <w:r>
            <w:t>1</w:t>
          </w:r>
          <w:r>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68F817AE" w14:textId="4B68B0ED" w:rsidR="00EE49E8" w:rsidRPr="00E06FD5" w:rsidRDefault="00EE49E8" w:rsidP="000745AB">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CB679E">
            <w:rPr>
              <w:bCs/>
            </w:rPr>
            <w:t>52</w:t>
          </w:r>
          <w:r w:rsidRPr="00623AE3">
            <w:rPr>
              <w:bCs/>
            </w:rPr>
            <w:t>-E</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BB2F8" w14:textId="77777777" w:rsidR="002B311A" w:rsidRDefault="002B311A">
      <w:r>
        <w:t>____________________</w:t>
      </w:r>
    </w:p>
  </w:footnote>
  <w:footnote w:type="continuationSeparator" w:id="0">
    <w:p w14:paraId="2AF8AF3A" w14:textId="77777777" w:rsidR="002B311A" w:rsidRDefault="002B311A">
      <w:r>
        <w:continuationSeparator/>
      </w:r>
    </w:p>
  </w:footnote>
  <w:footnote w:type="continuationNotice" w:id="1">
    <w:p w14:paraId="0BB9C7E8" w14:textId="77777777" w:rsidR="002B311A" w:rsidRDefault="002B311A">
      <w:pPr>
        <w:spacing w:before="0"/>
      </w:pPr>
    </w:p>
  </w:footnote>
  <w:footnote w:id="2">
    <w:p w14:paraId="3DFD1A96" w14:textId="77777777" w:rsidR="00E065DF" w:rsidRPr="00DB0383" w:rsidRDefault="00E065DF" w:rsidP="00C068B8">
      <w:pPr>
        <w:pStyle w:val="FootnoteText"/>
        <w:tabs>
          <w:tab w:val="clear" w:pos="284"/>
        </w:tabs>
        <w:spacing w:before="40"/>
      </w:pPr>
      <w:r>
        <w:rPr>
          <w:rStyle w:val="FootnoteReference"/>
        </w:rPr>
        <w:footnoteRef/>
      </w:r>
      <w:r>
        <w:tab/>
      </w:r>
      <w:r w:rsidRPr="00C068B8">
        <w:rPr>
          <w:rFonts w:cs="Calibri"/>
          <w:sz w:val="20"/>
        </w:rPr>
        <w:t>“</w:t>
      </w:r>
      <w:r w:rsidRPr="00C068B8">
        <w:rPr>
          <w:sz w:val="20"/>
        </w:rPr>
        <w:t>An overview of the Global Digital Compact</w:t>
      </w:r>
      <w:r w:rsidRPr="00C068B8">
        <w:rPr>
          <w:rFonts w:hint="eastAsia"/>
          <w:sz w:val="20"/>
        </w:rPr>
        <w:t xml:space="preserve"> –</w:t>
      </w:r>
      <w:r w:rsidRPr="00C068B8">
        <w:rPr>
          <w:sz w:val="20"/>
        </w:rPr>
        <w:t xml:space="preserve"> including ITU’s </w:t>
      </w:r>
      <w:r w:rsidRPr="00C068B8">
        <w:rPr>
          <w:rFonts w:hint="eastAsia"/>
          <w:sz w:val="20"/>
        </w:rPr>
        <w:t xml:space="preserve">related </w:t>
      </w:r>
      <w:r w:rsidRPr="00C068B8">
        <w:rPr>
          <w:sz w:val="20"/>
        </w:rPr>
        <w:t>actions</w:t>
      </w:r>
      <w:r w:rsidRPr="00C068B8">
        <w:rPr>
          <w:rFonts w:cs="Calibri"/>
          <w:sz w:val="20"/>
        </w:rPr>
        <w:t>”</w:t>
      </w:r>
      <w:r w:rsidRPr="00C068B8">
        <w:rPr>
          <w:rFonts w:hint="eastAsia"/>
          <w:sz w:val="20"/>
        </w:rPr>
        <w:t>,</w:t>
      </w:r>
      <w:r w:rsidRPr="00C068B8">
        <w:rPr>
          <w:sz w:val="20"/>
        </w:rPr>
        <w:t xml:space="preserve"> presented to the CWGs 2024, is available </w:t>
      </w:r>
      <w:hyperlink r:id="rId1" w:history="1">
        <w:r w:rsidRPr="00C068B8">
          <w:rPr>
            <w:rStyle w:val="Hyperlink"/>
            <w:sz w:val="20"/>
          </w:rPr>
          <w:t>here</w:t>
        </w:r>
      </w:hyperlink>
      <w:r w:rsidRPr="00C068B8">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4A86D35" w14:textId="77777777" w:rsidTr="00E93FC8">
      <w:trPr>
        <w:trHeight w:val="1104"/>
        <w:jc w:val="center"/>
      </w:trPr>
      <w:tc>
        <w:tcPr>
          <w:tcW w:w="4390" w:type="dxa"/>
          <w:vAlign w:val="center"/>
        </w:tcPr>
        <w:p w14:paraId="5AD45E6C" w14:textId="77777777" w:rsidR="00AD3606" w:rsidRPr="009621F8" w:rsidRDefault="003936D3" w:rsidP="00CF4A2B">
          <w:pPr>
            <w:pStyle w:val="Header"/>
            <w:jc w:val="left"/>
            <w:rPr>
              <w:rFonts w:ascii="Arial" w:hAnsi="Arial" w:cs="Arial"/>
              <w:b/>
              <w:bCs/>
              <w:color w:val="009CD6"/>
              <w:sz w:val="36"/>
              <w:szCs w:val="36"/>
            </w:rPr>
          </w:pPr>
          <w:bookmarkStart w:id="12" w:name="_Hlk133422111"/>
          <w:r>
            <w:rPr>
              <w:rFonts w:ascii="Arial" w:hAnsi="Arial" w:cs="Arial"/>
              <w:b/>
              <w:bCs/>
              <w:noProof/>
              <w:color w:val="009CD6"/>
              <w:sz w:val="36"/>
              <w:szCs w:val="36"/>
            </w:rPr>
            <w:drawing>
              <wp:inline distT="0" distB="0" distL="0" distR="0" wp14:anchorId="313B81B2" wp14:editId="52EB5A23">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374029" w14:textId="77777777" w:rsidR="00AD3606" w:rsidRDefault="00AD3606" w:rsidP="00AD3606">
          <w:pPr>
            <w:pStyle w:val="Header"/>
            <w:jc w:val="right"/>
            <w:rPr>
              <w:rFonts w:ascii="Arial" w:hAnsi="Arial" w:cs="Arial"/>
              <w:b/>
              <w:bCs/>
              <w:color w:val="009CD6"/>
              <w:szCs w:val="18"/>
            </w:rPr>
          </w:pPr>
        </w:p>
        <w:p w14:paraId="02A52018" w14:textId="77777777" w:rsidR="00AD3606" w:rsidRDefault="00AD3606" w:rsidP="00AD3606">
          <w:pPr>
            <w:pStyle w:val="Header"/>
            <w:jc w:val="right"/>
            <w:rPr>
              <w:rFonts w:ascii="Arial" w:hAnsi="Arial" w:cs="Arial"/>
              <w:b/>
              <w:bCs/>
              <w:color w:val="009CD6"/>
              <w:szCs w:val="18"/>
            </w:rPr>
          </w:pPr>
        </w:p>
        <w:p w14:paraId="13CCD8D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3C724958"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9EDCDB4" wp14:editId="1542E4D0">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4D3C7" id="Rectangle 5" o:spid="_x0000_s1026" style="position:absolute;margin-left:.3pt;margin-top:47.35pt;width:8.5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5575CAF"/>
    <w:multiLevelType w:val="hybridMultilevel"/>
    <w:tmpl w:val="C0CE4914"/>
    <w:lvl w:ilvl="0" w:tplc="57F2779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F262DB"/>
    <w:multiLevelType w:val="hybridMultilevel"/>
    <w:tmpl w:val="4AD077A8"/>
    <w:lvl w:ilvl="0" w:tplc="51FCACB4">
      <w:numFmt w:val="bullet"/>
      <w:lvlText w:val="–"/>
      <w:lvlJc w:val="left"/>
      <w:pPr>
        <w:ind w:left="720" w:hanging="360"/>
      </w:pPr>
      <w:rPr>
        <w:rFonts w:ascii="Aptos" w:eastAsiaTheme="minorEastAsia" w:hAnsi="Aptos"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209951880">
    <w:abstractNumId w:val="1"/>
  </w:num>
  <w:num w:numId="3" w16cid:durableId="63534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210D4"/>
    <w:rsid w:val="00025060"/>
    <w:rsid w:val="0006007D"/>
    <w:rsid w:val="00063016"/>
    <w:rsid w:val="00066795"/>
    <w:rsid w:val="000745AB"/>
    <w:rsid w:val="00076AF6"/>
    <w:rsid w:val="00083954"/>
    <w:rsid w:val="00085CF2"/>
    <w:rsid w:val="000B1705"/>
    <w:rsid w:val="000C23DF"/>
    <w:rsid w:val="000C7D25"/>
    <w:rsid w:val="000D75B2"/>
    <w:rsid w:val="000F5DDB"/>
    <w:rsid w:val="000F7289"/>
    <w:rsid w:val="001121F5"/>
    <w:rsid w:val="00132BA4"/>
    <w:rsid w:val="001400DC"/>
    <w:rsid w:val="00140CE1"/>
    <w:rsid w:val="0017539C"/>
    <w:rsid w:val="00175AC2"/>
    <w:rsid w:val="0017609F"/>
    <w:rsid w:val="00196ABB"/>
    <w:rsid w:val="001A3154"/>
    <w:rsid w:val="001A7D1D"/>
    <w:rsid w:val="001B51DD"/>
    <w:rsid w:val="001C628E"/>
    <w:rsid w:val="001D2F7C"/>
    <w:rsid w:val="001D4397"/>
    <w:rsid w:val="001E0F7B"/>
    <w:rsid w:val="001F5569"/>
    <w:rsid w:val="00204738"/>
    <w:rsid w:val="002119FD"/>
    <w:rsid w:val="002130E0"/>
    <w:rsid w:val="00221F46"/>
    <w:rsid w:val="00251F4D"/>
    <w:rsid w:val="00264425"/>
    <w:rsid w:val="00265875"/>
    <w:rsid w:val="0027303B"/>
    <w:rsid w:val="00273F4A"/>
    <w:rsid w:val="0028109B"/>
    <w:rsid w:val="002A2188"/>
    <w:rsid w:val="002B1F58"/>
    <w:rsid w:val="002B2D12"/>
    <w:rsid w:val="002B311A"/>
    <w:rsid w:val="002C1C7A"/>
    <w:rsid w:val="002C54E2"/>
    <w:rsid w:val="0030160F"/>
    <w:rsid w:val="0030288F"/>
    <w:rsid w:val="0031064D"/>
    <w:rsid w:val="00320223"/>
    <w:rsid w:val="00322D0D"/>
    <w:rsid w:val="00361465"/>
    <w:rsid w:val="003877F5"/>
    <w:rsid w:val="00387EFC"/>
    <w:rsid w:val="003936D3"/>
    <w:rsid w:val="003942D4"/>
    <w:rsid w:val="003958A8"/>
    <w:rsid w:val="003B29C2"/>
    <w:rsid w:val="003C2533"/>
    <w:rsid w:val="003D5A7F"/>
    <w:rsid w:val="0040435A"/>
    <w:rsid w:val="00416A24"/>
    <w:rsid w:val="00427BFF"/>
    <w:rsid w:val="00431D9E"/>
    <w:rsid w:val="00433CE8"/>
    <w:rsid w:val="00434A5C"/>
    <w:rsid w:val="00453079"/>
    <w:rsid w:val="004544D9"/>
    <w:rsid w:val="00472BAD"/>
    <w:rsid w:val="004811F8"/>
    <w:rsid w:val="00484009"/>
    <w:rsid w:val="00490E72"/>
    <w:rsid w:val="00491157"/>
    <w:rsid w:val="00491BA9"/>
    <w:rsid w:val="004921C8"/>
    <w:rsid w:val="00495B0B"/>
    <w:rsid w:val="004A1B8B"/>
    <w:rsid w:val="004B25A1"/>
    <w:rsid w:val="004D1851"/>
    <w:rsid w:val="004D599D"/>
    <w:rsid w:val="004E2EA5"/>
    <w:rsid w:val="004E3AEB"/>
    <w:rsid w:val="0050223C"/>
    <w:rsid w:val="005243FF"/>
    <w:rsid w:val="005419D5"/>
    <w:rsid w:val="00564FBC"/>
    <w:rsid w:val="00570FCA"/>
    <w:rsid w:val="00576F03"/>
    <w:rsid w:val="005800BC"/>
    <w:rsid w:val="00582442"/>
    <w:rsid w:val="005F3269"/>
    <w:rsid w:val="00615EE9"/>
    <w:rsid w:val="00623AE3"/>
    <w:rsid w:val="00630C4D"/>
    <w:rsid w:val="00644EC6"/>
    <w:rsid w:val="0064737F"/>
    <w:rsid w:val="006535F1"/>
    <w:rsid w:val="0065557D"/>
    <w:rsid w:val="00660D50"/>
    <w:rsid w:val="00662984"/>
    <w:rsid w:val="006716BB"/>
    <w:rsid w:val="00674263"/>
    <w:rsid w:val="00682F7B"/>
    <w:rsid w:val="006B1859"/>
    <w:rsid w:val="006B6680"/>
    <w:rsid w:val="006B6DCC"/>
    <w:rsid w:val="006B77F1"/>
    <w:rsid w:val="006C5ECF"/>
    <w:rsid w:val="00702DEF"/>
    <w:rsid w:val="00706861"/>
    <w:rsid w:val="00722551"/>
    <w:rsid w:val="0073629D"/>
    <w:rsid w:val="0075051B"/>
    <w:rsid w:val="0077110E"/>
    <w:rsid w:val="00793188"/>
    <w:rsid w:val="00794D34"/>
    <w:rsid w:val="007A3FCD"/>
    <w:rsid w:val="007B19CF"/>
    <w:rsid w:val="007D01AF"/>
    <w:rsid w:val="00813E5E"/>
    <w:rsid w:val="0083581B"/>
    <w:rsid w:val="0086182A"/>
    <w:rsid w:val="00863874"/>
    <w:rsid w:val="00864AFF"/>
    <w:rsid w:val="00865925"/>
    <w:rsid w:val="008B4A6A"/>
    <w:rsid w:val="008C7E27"/>
    <w:rsid w:val="008F7448"/>
    <w:rsid w:val="0090147A"/>
    <w:rsid w:val="009173EF"/>
    <w:rsid w:val="00932906"/>
    <w:rsid w:val="00961B0B"/>
    <w:rsid w:val="00962D33"/>
    <w:rsid w:val="009B38C3"/>
    <w:rsid w:val="009D3D71"/>
    <w:rsid w:val="009E17BD"/>
    <w:rsid w:val="009E485A"/>
    <w:rsid w:val="00A04CEC"/>
    <w:rsid w:val="00A23C23"/>
    <w:rsid w:val="00A27F92"/>
    <w:rsid w:val="00A32257"/>
    <w:rsid w:val="00A33051"/>
    <w:rsid w:val="00A36D20"/>
    <w:rsid w:val="00A43FF5"/>
    <w:rsid w:val="00A514A4"/>
    <w:rsid w:val="00A55622"/>
    <w:rsid w:val="00A73932"/>
    <w:rsid w:val="00A83502"/>
    <w:rsid w:val="00A94BAB"/>
    <w:rsid w:val="00AD15B3"/>
    <w:rsid w:val="00AD3606"/>
    <w:rsid w:val="00AD4A3D"/>
    <w:rsid w:val="00AD677D"/>
    <w:rsid w:val="00AF6E3E"/>
    <w:rsid w:val="00AF6E49"/>
    <w:rsid w:val="00B03A58"/>
    <w:rsid w:val="00B04A67"/>
    <w:rsid w:val="00B0583C"/>
    <w:rsid w:val="00B27C7A"/>
    <w:rsid w:val="00B40A81"/>
    <w:rsid w:val="00B44910"/>
    <w:rsid w:val="00B72267"/>
    <w:rsid w:val="00B76EB6"/>
    <w:rsid w:val="00B7737B"/>
    <w:rsid w:val="00B824C8"/>
    <w:rsid w:val="00B82DA7"/>
    <w:rsid w:val="00B84B9D"/>
    <w:rsid w:val="00B9131F"/>
    <w:rsid w:val="00BA38CD"/>
    <w:rsid w:val="00BB0646"/>
    <w:rsid w:val="00BC251A"/>
    <w:rsid w:val="00BD032B"/>
    <w:rsid w:val="00BE01C6"/>
    <w:rsid w:val="00BE2640"/>
    <w:rsid w:val="00BF1FDE"/>
    <w:rsid w:val="00BFE3BB"/>
    <w:rsid w:val="00C00297"/>
    <w:rsid w:val="00C01189"/>
    <w:rsid w:val="00C0458D"/>
    <w:rsid w:val="00C068B8"/>
    <w:rsid w:val="00C06ECF"/>
    <w:rsid w:val="00C15F2D"/>
    <w:rsid w:val="00C27B7F"/>
    <w:rsid w:val="00C374DE"/>
    <w:rsid w:val="00C474DA"/>
    <w:rsid w:val="00C47AD4"/>
    <w:rsid w:val="00C52D81"/>
    <w:rsid w:val="00C55198"/>
    <w:rsid w:val="00C60A2A"/>
    <w:rsid w:val="00C6421A"/>
    <w:rsid w:val="00C6520B"/>
    <w:rsid w:val="00CA6393"/>
    <w:rsid w:val="00CA7995"/>
    <w:rsid w:val="00CB18FF"/>
    <w:rsid w:val="00CB679E"/>
    <w:rsid w:val="00CD07BF"/>
    <w:rsid w:val="00CD0C08"/>
    <w:rsid w:val="00CE03FB"/>
    <w:rsid w:val="00CE433C"/>
    <w:rsid w:val="00CF0161"/>
    <w:rsid w:val="00CF33F3"/>
    <w:rsid w:val="00CF4A2B"/>
    <w:rsid w:val="00D024CA"/>
    <w:rsid w:val="00D06183"/>
    <w:rsid w:val="00D22C42"/>
    <w:rsid w:val="00D65041"/>
    <w:rsid w:val="00D974F0"/>
    <w:rsid w:val="00DB1936"/>
    <w:rsid w:val="00DB384B"/>
    <w:rsid w:val="00DD11ED"/>
    <w:rsid w:val="00DF0189"/>
    <w:rsid w:val="00DF0C34"/>
    <w:rsid w:val="00DF26C9"/>
    <w:rsid w:val="00E065DF"/>
    <w:rsid w:val="00E06FD5"/>
    <w:rsid w:val="00E078EE"/>
    <w:rsid w:val="00E10E80"/>
    <w:rsid w:val="00E124F0"/>
    <w:rsid w:val="00E227F3"/>
    <w:rsid w:val="00E545C6"/>
    <w:rsid w:val="00E60F04"/>
    <w:rsid w:val="00E65B24"/>
    <w:rsid w:val="00E854E4"/>
    <w:rsid w:val="00E86DBF"/>
    <w:rsid w:val="00E93FC8"/>
    <w:rsid w:val="00E969AF"/>
    <w:rsid w:val="00EB0D6F"/>
    <w:rsid w:val="00EB2232"/>
    <w:rsid w:val="00EB2B35"/>
    <w:rsid w:val="00EB7EFE"/>
    <w:rsid w:val="00EC5337"/>
    <w:rsid w:val="00ED6330"/>
    <w:rsid w:val="00EE49E8"/>
    <w:rsid w:val="00F16BAB"/>
    <w:rsid w:val="00F2150A"/>
    <w:rsid w:val="00F231D8"/>
    <w:rsid w:val="00F378DB"/>
    <w:rsid w:val="00F41209"/>
    <w:rsid w:val="00F44C00"/>
    <w:rsid w:val="00F45D2C"/>
    <w:rsid w:val="00F46C5F"/>
    <w:rsid w:val="00F632C0"/>
    <w:rsid w:val="00F641E1"/>
    <w:rsid w:val="00F94A63"/>
    <w:rsid w:val="00FA1C28"/>
    <w:rsid w:val="00FB1279"/>
    <w:rsid w:val="00FB6B76"/>
    <w:rsid w:val="00FB7596"/>
    <w:rsid w:val="00FE4077"/>
    <w:rsid w:val="00FE500D"/>
    <w:rsid w:val="00FE77D2"/>
    <w:rsid w:val="00FF39B1"/>
    <w:rsid w:val="00FF7A26"/>
    <w:rsid w:val="03B9831B"/>
    <w:rsid w:val="064365C5"/>
    <w:rsid w:val="07EA42D3"/>
    <w:rsid w:val="0F3AAF8B"/>
    <w:rsid w:val="14447790"/>
    <w:rsid w:val="14DE9E3A"/>
    <w:rsid w:val="183C7CA7"/>
    <w:rsid w:val="186E9764"/>
    <w:rsid w:val="1A47DC8A"/>
    <w:rsid w:val="1B26724F"/>
    <w:rsid w:val="1F1B2E3B"/>
    <w:rsid w:val="1F75A5B9"/>
    <w:rsid w:val="1FDB2CB9"/>
    <w:rsid w:val="23DED9D3"/>
    <w:rsid w:val="23E83608"/>
    <w:rsid w:val="2688F8A5"/>
    <w:rsid w:val="2F14E817"/>
    <w:rsid w:val="30930DFF"/>
    <w:rsid w:val="3146925F"/>
    <w:rsid w:val="3154AE85"/>
    <w:rsid w:val="320D6291"/>
    <w:rsid w:val="334F0DE9"/>
    <w:rsid w:val="36EA1487"/>
    <w:rsid w:val="3BC90709"/>
    <w:rsid w:val="3C8BE2A7"/>
    <w:rsid w:val="439F3AAE"/>
    <w:rsid w:val="4F4C445B"/>
    <w:rsid w:val="543508F6"/>
    <w:rsid w:val="565A611F"/>
    <w:rsid w:val="56B1E05F"/>
    <w:rsid w:val="5865DC2C"/>
    <w:rsid w:val="5B047287"/>
    <w:rsid w:val="671660F2"/>
    <w:rsid w:val="6870223A"/>
    <w:rsid w:val="6995401E"/>
    <w:rsid w:val="6CE9D56E"/>
    <w:rsid w:val="6E63001B"/>
    <w:rsid w:val="6EBACB40"/>
    <w:rsid w:val="79B83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154D9F51-030D-4659-AB0B-CA352A15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aliases w:val="Listenabsatz Standard"/>
    <w:basedOn w:val="Normal"/>
    <w:link w:val="ListParagraphChar"/>
    <w:uiPriority w:val="34"/>
    <w:qFormat/>
    <w:rsid w:val="00E065DF"/>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EastAsia" w:hAnsiTheme="minorHAnsi" w:cstheme="minorBidi"/>
      <w:kern w:val="2"/>
      <w:sz w:val="22"/>
      <w:szCs w:val="22"/>
      <w:lang w:val="en-US" w:eastAsia="ko-KR"/>
      <w14:ligatures w14:val="standardContextual"/>
    </w:rPr>
  </w:style>
  <w:style w:type="character" w:customStyle="1" w:styleId="ListParagraphChar">
    <w:name w:val="List Paragraph Char"/>
    <w:aliases w:val="Listenabsatz Standard Char"/>
    <w:basedOn w:val="DefaultParagraphFont"/>
    <w:link w:val="ListParagraph"/>
    <w:uiPriority w:val="34"/>
    <w:locked/>
    <w:rsid w:val="00E065DF"/>
    <w:rPr>
      <w:rFonts w:asciiTheme="minorHAnsi" w:eastAsiaTheme="minorEastAsia" w:hAnsiTheme="minorHAnsi" w:cstheme="minorBidi"/>
      <w:kern w:val="2"/>
      <w:sz w:val="22"/>
      <w:szCs w:val="22"/>
      <w:lang w:eastAsia="ko-KR"/>
      <w14:ligatures w14:val="standardContextual"/>
    </w:rPr>
  </w:style>
  <w:style w:type="character" w:customStyle="1" w:styleId="FootnoteTextChar">
    <w:name w:val="Footnote Text Char"/>
    <w:basedOn w:val="DefaultParagraphFont"/>
    <w:link w:val="FootnoteText"/>
    <w:uiPriority w:val="99"/>
    <w:rsid w:val="00E065DF"/>
    <w:rPr>
      <w:rFonts w:ascii="Calibri" w:hAnsi="Calibri"/>
      <w:sz w:val="22"/>
      <w:lang w:val="en-GB" w:eastAsia="en-US"/>
    </w:rPr>
  </w:style>
  <w:style w:type="paragraph" w:styleId="Revision">
    <w:name w:val="Revision"/>
    <w:hidden/>
    <w:uiPriority w:val="99"/>
    <w:semiHidden/>
    <w:rsid w:val="00615EE9"/>
    <w:rPr>
      <w:rFonts w:ascii="Calibri" w:hAnsi="Calibri"/>
      <w:sz w:val="24"/>
      <w:lang w:val="en-GB" w:eastAsia="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AF6E3E"/>
    <w:rPr>
      <w:b/>
      <w:bCs/>
    </w:rPr>
  </w:style>
  <w:style w:type="character" w:customStyle="1" w:styleId="CommentSubjectChar">
    <w:name w:val="Comment Subject Char"/>
    <w:basedOn w:val="CommentTextChar"/>
    <w:link w:val="CommentSubject"/>
    <w:semiHidden/>
    <w:rsid w:val="00AF6E3E"/>
    <w:rPr>
      <w:rFonts w:ascii="Calibri" w:hAnsi="Calibri"/>
      <w:b/>
      <w:bCs/>
      <w:lang w:val="en-GB" w:eastAsia="en-US"/>
    </w:rPr>
  </w:style>
  <w:style w:type="character" w:styleId="Mention">
    <w:name w:val="Mention"/>
    <w:basedOn w:val="DefaultParagraphFont"/>
    <w:uiPriority w:val="99"/>
    <w:unhideWhenUsed/>
    <w:rsid w:val="00AF6E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79717">
      <w:bodyDiv w:val="1"/>
      <w:marLeft w:val="0"/>
      <w:marRight w:val="0"/>
      <w:marTop w:val="0"/>
      <w:marBottom w:val="0"/>
      <w:divBdr>
        <w:top w:val="none" w:sz="0" w:space="0" w:color="auto"/>
        <w:left w:val="none" w:sz="0" w:space="0" w:color="auto"/>
        <w:bottom w:val="none" w:sz="0" w:space="0" w:color="auto"/>
        <w:right w:val="none" w:sz="0" w:space="0" w:color="auto"/>
      </w:divBdr>
      <w:divsChild>
        <w:div w:id="58523936">
          <w:marLeft w:val="0"/>
          <w:marRight w:val="0"/>
          <w:marTop w:val="0"/>
          <w:marBottom w:val="0"/>
          <w:divBdr>
            <w:top w:val="single" w:sz="2" w:space="0" w:color="auto"/>
            <w:left w:val="single" w:sz="2" w:space="0" w:color="auto"/>
            <w:bottom w:val="single" w:sz="2" w:space="0" w:color="auto"/>
            <w:right w:val="single" w:sz="2" w:space="0" w:color="auto"/>
          </w:divBdr>
          <w:divsChild>
            <w:div w:id="642277369">
              <w:marLeft w:val="0"/>
              <w:marRight w:val="0"/>
              <w:marTop w:val="0"/>
              <w:marBottom w:val="0"/>
              <w:divBdr>
                <w:top w:val="single" w:sz="2" w:space="0" w:color="auto"/>
                <w:left w:val="single" w:sz="2" w:space="0" w:color="auto"/>
                <w:bottom w:val="single" w:sz="2" w:space="0" w:color="auto"/>
                <w:right w:val="single" w:sz="2" w:space="0" w:color="auto"/>
              </w:divBdr>
              <w:divsChild>
                <w:div w:id="697701919">
                  <w:marLeft w:val="0"/>
                  <w:marRight w:val="0"/>
                  <w:marTop w:val="0"/>
                  <w:marBottom w:val="0"/>
                  <w:divBdr>
                    <w:top w:val="single" w:sz="2" w:space="0" w:color="auto"/>
                    <w:left w:val="single" w:sz="2" w:space="0" w:color="auto"/>
                    <w:bottom w:val="single" w:sz="2" w:space="0" w:color="auto"/>
                    <w:right w:val="single" w:sz="2" w:space="0" w:color="auto"/>
                  </w:divBdr>
                  <w:divsChild>
                    <w:div w:id="165445005">
                      <w:marLeft w:val="0"/>
                      <w:marRight w:val="0"/>
                      <w:marTop w:val="0"/>
                      <w:marBottom w:val="0"/>
                      <w:divBdr>
                        <w:top w:val="single" w:sz="2" w:space="0" w:color="auto"/>
                        <w:left w:val="single" w:sz="2" w:space="0" w:color="auto"/>
                        <w:bottom w:val="single" w:sz="2" w:space="31" w:color="auto"/>
                        <w:right w:val="single" w:sz="2" w:space="0" w:color="auto"/>
                      </w:divBdr>
                      <w:divsChild>
                        <w:div w:id="451020697">
                          <w:marLeft w:val="0"/>
                          <w:marRight w:val="0"/>
                          <w:marTop w:val="0"/>
                          <w:marBottom w:val="0"/>
                          <w:divBdr>
                            <w:top w:val="single" w:sz="2" w:space="0" w:color="auto"/>
                            <w:left w:val="single" w:sz="2" w:space="0" w:color="auto"/>
                            <w:bottom w:val="single" w:sz="2" w:space="0" w:color="auto"/>
                            <w:right w:val="single" w:sz="2" w:space="0" w:color="auto"/>
                          </w:divBdr>
                          <w:divsChild>
                            <w:div w:id="1654793239">
                              <w:marLeft w:val="0"/>
                              <w:marRight w:val="0"/>
                              <w:marTop w:val="0"/>
                              <w:marBottom w:val="0"/>
                              <w:divBdr>
                                <w:top w:val="single" w:sz="2" w:space="0" w:color="auto"/>
                                <w:left w:val="single" w:sz="2" w:space="0" w:color="auto"/>
                                <w:bottom w:val="single" w:sz="2" w:space="0" w:color="auto"/>
                                <w:right w:val="single" w:sz="2" w:space="0" w:color="auto"/>
                              </w:divBdr>
                              <w:divsChild>
                                <w:div w:id="730737239">
                                  <w:marLeft w:val="0"/>
                                  <w:marRight w:val="0"/>
                                  <w:marTop w:val="0"/>
                                  <w:marBottom w:val="0"/>
                                  <w:divBdr>
                                    <w:top w:val="single" w:sz="2" w:space="0" w:color="auto"/>
                                    <w:left w:val="single" w:sz="2" w:space="0" w:color="auto"/>
                                    <w:bottom w:val="single" w:sz="2" w:space="0" w:color="auto"/>
                                    <w:right w:val="single" w:sz="2" w:space="0" w:color="auto"/>
                                  </w:divBdr>
                                  <w:divsChild>
                                    <w:div w:id="1845124547">
                                      <w:marLeft w:val="0"/>
                                      <w:marRight w:val="0"/>
                                      <w:marTop w:val="0"/>
                                      <w:marBottom w:val="0"/>
                                      <w:divBdr>
                                        <w:top w:val="single" w:sz="2" w:space="0" w:color="auto"/>
                                        <w:left w:val="single" w:sz="2" w:space="0" w:color="auto"/>
                                        <w:bottom w:val="single" w:sz="2" w:space="0" w:color="auto"/>
                                        <w:right w:val="single" w:sz="2" w:space="0" w:color="auto"/>
                                      </w:divBdr>
                                      <w:divsChild>
                                        <w:div w:id="987319084">
                                          <w:marLeft w:val="0"/>
                                          <w:marRight w:val="0"/>
                                          <w:marTop w:val="0"/>
                                          <w:marBottom w:val="0"/>
                                          <w:divBdr>
                                            <w:top w:val="single" w:sz="2" w:space="0" w:color="auto"/>
                                            <w:left w:val="single" w:sz="2" w:space="0" w:color="auto"/>
                                            <w:bottom w:val="single" w:sz="2" w:space="0" w:color="auto"/>
                                            <w:right w:val="single" w:sz="2" w:space="0" w:color="auto"/>
                                          </w:divBdr>
                                          <w:divsChild>
                                            <w:div w:id="1850481524">
                                              <w:marLeft w:val="0"/>
                                              <w:marRight w:val="0"/>
                                              <w:marTop w:val="0"/>
                                              <w:marBottom w:val="0"/>
                                              <w:divBdr>
                                                <w:top w:val="single" w:sz="2" w:space="0" w:color="auto"/>
                                                <w:left w:val="single" w:sz="2" w:space="0" w:color="auto"/>
                                                <w:bottom w:val="single" w:sz="2" w:space="0" w:color="auto"/>
                                                <w:right w:val="single" w:sz="2" w:space="0" w:color="auto"/>
                                              </w:divBdr>
                                              <w:divsChild>
                                                <w:div w:id="1816800055">
                                                  <w:marLeft w:val="0"/>
                                                  <w:marRight w:val="0"/>
                                                  <w:marTop w:val="0"/>
                                                  <w:marBottom w:val="0"/>
                                                  <w:divBdr>
                                                    <w:top w:val="single" w:sz="2" w:space="0" w:color="auto"/>
                                                    <w:left w:val="single" w:sz="2" w:space="0" w:color="auto"/>
                                                    <w:bottom w:val="single" w:sz="2" w:space="0" w:color="auto"/>
                                                    <w:right w:val="single" w:sz="2" w:space="0" w:color="auto"/>
                                                  </w:divBdr>
                                                  <w:divsChild>
                                                    <w:div w:id="1131897382">
                                                      <w:marLeft w:val="0"/>
                                                      <w:marRight w:val="0"/>
                                                      <w:marTop w:val="0"/>
                                                      <w:marBottom w:val="0"/>
                                                      <w:divBdr>
                                                        <w:top w:val="single" w:sz="2" w:space="0" w:color="auto"/>
                                                        <w:left w:val="single" w:sz="2" w:space="0" w:color="auto"/>
                                                        <w:bottom w:val="single" w:sz="2" w:space="0" w:color="auto"/>
                                                        <w:right w:val="single" w:sz="2" w:space="0" w:color="auto"/>
                                                      </w:divBdr>
                                                      <w:divsChild>
                                                        <w:div w:id="2045904484">
                                                          <w:marLeft w:val="0"/>
                                                          <w:marRight w:val="0"/>
                                                          <w:marTop w:val="0"/>
                                                          <w:marBottom w:val="0"/>
                                                          <w:divBdr>
                                                            <w:top w:val="none" w:sz="0" w:space="0" w:color="ECECEC"/>
                                                            <w:left w:val="none" w:sz="0" w:space="0" w:color="ECECEC"/>
                                                            <w:bottom w:val="none" w:sz="0" w:space="0" w:color="ECECEC"/>
                                                            <w:right w:val="none" w:sz="0" w:space="0" w:color="ECECEC"/>
                                                          </w:divBdr>
                                                          <w:divsChild>
                                                            <w:div w:id="12232517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7753331">
                                          <w:marLeft w:val="0"/>
                                          <w:marRight w:val="0"/>
                                          <w:marTop w:val="0"/>
                                          <w:marBottom w:val="0"/>
                                          <w:divBdr>
                                            <w:top w:val="single" w:sz="2" w:space="0" w:color="auto"/>
                                            <w:left w:val="single" w:sz="2" w:space="0" w:color="auto"/>
                                            <w:bottom w:val="single" w:sz="2" w:space="0" w:color="auto"/>
                                            <w:right w:val="single" w:sz="2" w:space="0" w:color="auto"/>
                                          </w:divBdr>
                                          <w:divsChild>
                                            <w:div w:id="1309895340">
                                              <w:marLeft w:val="0"/>
                                              <w:marRight w:val="0"/>
                                              <w:marTop w:val="0"/>
                                              <w:marBottom w:val="0"/>
                                              <w:divBdr>
                                                <w:top w:val="single" w:sz="2" w:space="0" w:color="auto"/>
                                                <w:left w:val="single" w:sz="2" w:space="0" w:color="auto"/>
                                                <w:bottom w:val="single" w:sz="2" w:space="0" w:color="auto"/>
                                                <w:right w:val="single" w:sz="2" w:space="0" w:color="auto"/>
                                              </w:divBdr>
                                              <w:divsChild>
                                                <w:div w:id="1968119185">
                                                  <w:marLeft w:val="0"/>
                                                  <w:marRight w:val="0"/>
                                                  <w:marTop w:val="0"/>
                                                  <w:marBottom w:val="0"/>
                                                  <w:divBdr>
                                                    <w:top w:val="single" w:sz="2" w:space="2" w:color="auto"/>
                                                    <w:left w:val="single" w:sz="2" w:space="0" w:color="auto"/>
                                                    <w:bottom w:val="single" w:sz="2" w:space="0" w:color="auto"/>
                                                    <w:right w:val="single" w:sz="2" w:space="0" w:color="auto"/>
                                                  </w:divBdr>
                                                  <w:divsChild>
                                                    <w:div w:id="1694948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87583185">
          <w:marLeft w:val="0"/>
          <w:marRight w:val="0"/>
          <w:marTop w:val="0"/>
          <w:marBottom w:val="0"/>
          <w:divBdr>
            <w:top w:val="none" w:sz="0" w:space="0" w:color="auto"/>
            <w:left w:val="none" w:sz="0" w:space="0" w:color="auto"/>
            <w:bottom w:val="none" w:sz="0" w:space="0" w:color="auto"/>
            <w:right w:val="none" w:sz="0" w:space="0" w:color="auto"/>
          </w:divBdr>
          <w:divsChild>
            <w:div w:id="318117112">
              <w:marLeft w:val="0"/>
              <w:marRight w:val="0"/>
              <w:marTop w:val="0"/>
              <w:marBottom w:val="0"/>
              <w:divBdr>
                <w:top w:val="single" w:sz="2" w:space="0" w:color="auto"/>
                <w:left w:val="single" w:sz="2" w:space="0" w:color="auto"/>
                <w:bottom w:val="single" w:sz="2" w:space="0" w:color="auto"/>
                <w:right w:val="single" w:sz="2" w:space="0" w:color="auto"/>
              </w:divBdr>
              <w:divsChild>
                <w:div w:id="500387953">
                  <w:marLeft w:val="0"/>
                  <w:marRight w:val="0"/>
                  <w:marTop w:val="0"/>
                  <w:marBottom w:val="0"/>
                  <w:divBdr>
                    <w:top w:val="single" w:sz="2" w:space="0" w:color="auto"/>
                    <w:left w:val="single" w:sz="2" w:space="0" w:color="auto"/>
                    <w:bottom w:val="single" w:sz="2" w:space="0" w:color="auto"/>
                    <w:right w:val="single" w:sz="2" w:space="0" w:color="auto"/>
                  </w:divBdr>
                  <w:divsChild>
                    <w:div w:id="1250966880">
                      <w:marLeft w:val="0"/>
                      <w:marRight w:val="0"/>
                      <w:marTop w:val="0"/>
                      <w:marBottom w:val="0"/>
                      <w:divBdr>
                        <w:top w:val="single" w:sz="2" w:space="0" w:color="auto"/>
                        <w:left w:val="single" w:sz="2" w:space="0" w:color="auto"/>
                        <w:bottom w:val="single" w:sz="2" w:space="0" w:color="auto"/>
                        <w:right w:val="single" w:sz="2" w:space="0" w:color="auto"/>
                      </w:divBdr>
                      <w:divsChild>
                        <w:div w:id="714282815">
                          <w:marLeft w:val="0"/>
                          <w:marRight w:val="0"/>
                          <w:marTop w:val="0"/>
                          <w:marBottom w:val="0"/>
                          <w:divBdr>
                            <w:top w:val="single" w:sz="2" w:space="0" w:color="auto"/>
                            <w:left w:val="single" w:sz="2" w:space="0" w:color="auto"/>
                            <w:bottom w:val="single" w:sz="2" w:space="0" w:color="auto"/>
                            <w:right w:val="single" w:sz="2" w:space="0" w:color="auto"/>
                          </w:divBdr>
                          <w:divsChild>
                            <w:div w:id="1983923807">
                              <w:marLeft w:val="0"/>
                              <w:marRight w:val="0"/>
                              <w:marTop w:val="0"/>
                              <w:marBottom w:val="0"/>
                              <w:divBdr>
                                <w:top w:val="single" w:sz="2" w:space="0" w:color="auto"/>
                                <w:left w:val="single" w:sz="2" w:space="0" w:color="auto"/>
                                <w:bottom w:val="single" w:sz="2" w:space="0" w:color="auto"/>
                                <w:right w:val="single" w:sz="2" w:space="0" w:color="auto"/>
                              </w:divBdr>
                              <w:divsChild>
                                <w:div w:id="1575552761">
                                  <w:marLeft w:val="0"/>
                                  <w:marRight w:val="0"/>
                                  <w:marTop w:val="0"/>
                                  <w:marBottom w:val="0"/>
                                  <w:divBdr>
                                    <w:top w:val="single" w:sz="2" w:space="0" w:color="auto"/>
                                    <w:left w:val="single" w:sz="2" w:space="0" w:color="auto"/>
                                    <w:bottom w:val="single" w:sz="2" w:space="0" w:color="auto"/>
                                    <w:right w:val="single" w:sz="2" w:space="0" w:color="auto"/>
                                  </w:divBdr>
                                  <w:divsChild>
                                    <w:div w:id="1175850881">
                                      <w:marLeft w:val="0"/>
                                      <w:marRight w:val="0"/>
                                      <w:marTop w:val="0"/>
                                      <w:marBottom w:val="0"/>
                                      <w:divBdr>
                                        <w:top w:val="single" w:sz="2" w:space="0" w:color="auto"/>
                                        <w:left w:val="single" w:sz="2" w:space="0" w:color="auto"/>
                                        <w:bottom w:val="single" w:sz="2" w:space="0" w:color="auto"/>
                                        <w:right w:val="single" w:sz="2" w:space="0" w:color="auto"/>
                                      </w:divBdr>
                                      <w:divsChild>
                                        <w:div w:id="468865932">
                                          <w:marLeft w:val="0"/>
                                          <w:marRight w:val="0"/>
                                          <w:marTop w:val="0"/>
                                          <w:marBottom w:val="0"/>
                                          <w:divBdr>
                                            <w:top w:val="single" w:sz="2" w:space="0" w:color="auto"/>
                                            <w:left w:val="single" w:sz="2" w:space="0" w:color="auto"/>
                                            <w:bottom w:val="single" w:sz="2" w:space="0" w:color="auto"/>
                                            <w:right w:val="single" w:sz="2" w:space="0" w:color="auto"/>
                                          </w:divBdr>
                                          <w:divsChild>
                                            <w:div w:id="1914775912">
                                              <w:marLeft w:val="0"/>
                                              <w:marRight w:val="0"/>
                                              <w:marTop w:val="0"/>
                                              <w:marBottom w:val="0"/>
                                              <w:divBdr>
                                                <w:top w:val="none" w:sz="0" w:space="0" w:color="auto"/>
                                                <w:left w:val="none" w:sz="0" w:space="0" w:color="auto"/>
                                                <w:bottom w:val="none" w:sz="0" w:space="0" w:color="auto"/>
                                                <w:right w:val="none" w:sz="0" w:space="0" w:color="auto"/>
                                              </w:divBdr>
                                              <w:divsChild>
                                                <w:div w:id="395978280">
                                                  <w:marLeft w:val="0"/>
                                                  <w:marRight w:val="0"/>
                                                  <w:marTop w:val="0"/>
                                                  <w:marBottom w:val="0"/>
                                                  <w:divBdr>
                                                    <w:top w:val="single" w:sz="2" w:space="0" w:color="auto"/>
                                                    <w:left w:val="single" w:sz="2" w:space="0" w:color="auto"/>
                                                    <w:bottom w:val="single" w:sz="2" w:space="0" w:color="auto"/>
                                                    <w:right w:val="single" w:sz="2" w:space="0" w:color="auto"/>
                                                  </w:divBdr>
                                                  <w:divsChild>
                                                    <w:div w:id="651103463">
                                                      <w:marLeft w:val="0"/>
                                                      <w:marRight w:val="0"/>
                                                      <w:marTop w:val="0"/>
                                                      <w:marBottom w:val="0"/>
                                                      <w:divBdr>
                                                        <w:top w:val="single" w:sz="2" w:space="0" w:color="auto"/>
                                                        <w:left w:val="single" w:sz="2" w:space="0" w:color="auto"/>
                                                        <w:bottom w:val="single" w:sz="2" w:space="0" w:color="auto"/>
                                                        <w:right w:val="single" w:sz="2" w:space="0" w:color="auto"/>
                                                      </w:divBdr>
                                                      <w:divsChild>
                                                        <w:div w:id="669602549">
                                                          <w:marLeft w:val="0"/>
                                                          <w:marRight w:val="0"/>
                                                          <w:marTop w:val="0"/>
                                                          <w:marBottom w:val="0"/>
                                                          <w:divBdr>
                                                            <w:top w:val="single" w:sz="2" w:space="0" w:color="auto"/>
                                                            <w:left w:val="single" w:sz="2" w:space="0" w:color="auto"/>
                                                            <w:bottom w:val="single" w:sz="2" w:space="0" w:color="auto"/>
                                                            <w:right w:val="single" w:sz="2" w:space="0" w:color="auto"/>
                                                          </w:divBdr>
                                                          <w:divsChild>
                                                            <w:div w:id="473644244">
                                                              <w:marLeft w:val="0"/>
                                                              <w:marRight w:val="0"/>
                                                              <w:marTop w:val="0"/>
                                                              <w:marBottom w:val="0"/>
                                                              <w:divBdr>
                                                                <w:top w:val="single" w:sz="2" w:space="0" w:color="auto"/>
                                                                <w:left w:val="single" w:sz="2" w:space="0" w:color="auto"/>
                                                                <w:bottom w:val="single" w:sz="2" w:space="0" w:color="auto"/>
                                                                <w:right w:val="single" w:sz="2" w:space="0" w:color="auto"/>
                                                              </w:divBdr>
                                                            </w:div>
                                                          </w:divsChild>
                                                        </w:div>
                                                        <w:div w:id="1785541626">
                                                          <w:marLeft w:val="0"/>
                                                          <w:marRight w:val="0"/>
                                                          <w:marTop w:val="0"/>
                                                          <w:marBottom w:val="0"/>
                                                          <w:divBdr>
                                                            <w:top w:val="single" w:sz="2" w:space="0" w:color="auto"/>
                                                            <w:left w:val="single" w:sz="2" w:space="0" w:color="auto"/>
                                                            <w:bottom w:val="single" w:sz="2" w:space="0" w:color="auto"/>
                                                            <w:right w:val="single" w:sz="2" w:space="0" w:color="auto"/>
                                                          </w:divBdr>
                                                          <w:divsChild>
                                                            <w:div w:id="995301881">
                                                              <w:marLeft w:val="0"/>
                                                              <w:marRight w:val="0"/>
                                                              <w:marTop w:val="0"/>
                                                              <w:marBottom w:val="0"/>
                                                              <w:divBdr>
                                                                <w:top w:val="single" w:sz="2" w:space="0" w:color="auto"/>
                                                                <w:left w:val="single" w:sz="2" w:space="0" w:color="auto"/>
                                                                <w:bottom w:val="single" w:sz="2" w:space="0" w:color="auto"/>
                                                                <w:right w:val="single" w:sz="2" w:space="0" w:color="auto"/>
                                                              </w:divBdr>
                                                            </w:div>
                                                            <w:div w:id="1622417723">
                                                              <w:marLeft w:val="0"/>
                                                              <w:marRight w:val="0"/>
                                                              <w:marTop w:val="0"/>
                                                              <w:marBottom w:val="0"/>
                                                              <w:divBdr>
                                                                <w:top w:val="single" w:sz="2" w:space="0" w:color="auto"/>
                                                                <w:left w:val="single" w:sz="2" w:space="0" w:color="auto"/>
                                                                <w:bottom w:val="single" w:sz="2" w:space="0" w:color="auto"/>
                                                                <w:right w:val="single" w:sz="2" w:space="0" w:color="auto"/>
                                                              </w:divBdr>
                                                              <w:divsChild>
                                                                <w:div w:id="182550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docs.org/en/A/77/L.63" TargetMode="External"/><Relationship Id="rId18" Type="http://schemas.openxmlformats.org/officeDocument/2006/relationships/hyperlink" Target="https://www.itu.int/md/S20-CL-INF-0003/en" TargetMode="External"/><Relationship Id="rId26" Type="http://schemas.openxmlformats.org/officeDocument/2006/relationships/hyperlink" Target="https://www.itu.int/md/S25-CWGWSIS42-C-0010/en" TargetMode="External"/><Relationship Id="rId3" Type="http://schemas.openxmlformats.org/officeDocument/2006/relationships/customXml" Target="../customXml/item3.xml"/><Relationship Id="rId21" Type="http://schemas.openxmlformats.org/officeDocument/2006/relationships/hyperlink" Target="https://www.itu.int/md/S23-CL-INF-0008/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ndocs.org/en/A/77/L.109" TargetMode="External"/><Relationship Id="rId17" Type="http://schemas.openxmlformats.org/officeDocument/2006/relationships/hyperlink" Target="https://www.itu.int/md/S19-CL-INF-0008/en" TargetMode="External"/><Relationship Id="rId25" Type="http://schemas.openxmlformats.org/officeDocument/2006/relationships/hyperlink" Target="https://www.itu.int/md/S25-CWGWSIS42-C-0010/en"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undocs.org/Home/Mobile?FinalSymbol=A%2F79%2FL.3&amp;Language=E&amp;DeviceType=Desktop&amp;LangRequested=False" TargetMode="External"/><Relationship Id="rId20" Type="http://schemas.openxmlformats.org/officeDocument/2006/relationships/hyperlink" Target="https://www.itu.int/md/S22-CL-INF-0002/en" TargetMode="External"/><Relationship Id="rId29" Type="http://schemas.openxmlformats.org/officeDocument/2006/relationships/hyperlink" Target="https://unsceb.org/high-level-committee-programmes-hlc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docs.org/en/A/RES/76/307" TargetMode="External"/><Relationship Id="rId24" Type="http://schemas.openxmlformats.org/officeDocument/2006/relationships/hyperlink" Target="https://www.itu.int/md/S24-CL-INF-0009/en"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undocs.org/Home/Mobile?FinalSymbol=A%2F79%2FL.2&amp;Language=E&amp;DeviceType=Desktop&amp;LangRequested=False" TargetMode="External"/><Relationship Id="rId23" Type="http://schemas.openxmlformats.org/officeDocument/2006/relationships/hyperlink" Target="https://www.itu.int/md/S24-CL-C-0055/en" TargetMode="External"/><Relationship Id="rId28" Type="http://schemas.openxmlformats.org/officeDocument/2006/relationships/hyperlink" Target="https://www.itu.int/en/Documents/ITU-WSIS-global-digital-compact-objectives.pdf" TargetMode="External"/><Relationship Id="rId10" Type="http://schemas.openxmlformats.org/officeDocument/2006/relationships/endnotes" Target="endnotes.xml"/><Relationship Id="rId19" Type="http://schemas.openxmlformats.org/officeDocument/2006/relationships/hyperlink" Target="https://www.itu.int/md/S21-CL-INF-0002/e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en/A/78/L.77" TargetMode="External"/><Relationship Id="rId22" Type="http://schemas.openxmlformats.org/officeDocument/2006/relationships/hyperlink" Target="https://www.itu.int/md/S23-CL-INF-0009/en" TargetMode="External"/><Relationship Id="rId27" Type="http://schemas.openxmlformats.org/officeDocument/2006/relationships/hyperlink" Target="https://www.itu.int/md/S25-CWGWSIS42-C-0010/en" TargetMode="External"/><Relationship Id="rId30" Type="http://schemas.openxmlformats.org/officeDocument/2006/relationships/hyperlink" Target="https://unsceb.org/inter-agency-working-group-artificial-intelligence"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en/council/cwg-wsis/Documents/2024/InfoSession%20on%20GDC_2Oct2024V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8" ma:contentTypeDescription="Create a new document." ma:contentTypeScope="" ma:versionID="df57621dcd9cb730b7324d398b3ce10c">
  <xsd:schema xmlns:xsd="http://www.w3.org/2001/XMLSchema" xmlns:xs="http://www.w3.org/2001/XMLSchema" xmlns:p="http://schemas.microsoft.com/office/2006/metadata/properties" xmlns:ns2="a1cf676c-2816-4389-ad5d-0f2e7c7e67c4" targetNamespace="http://schemas.microsoft.com/office/2006/metadata/properties" ma:root="true" ma:fieldsID="21bebef123d8a211588512afbbbc1c26"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D0647-2A70-4E26-BB18-A5BE27DDB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2F2AC-2255-4DBF-9278-6619577B4509}">
  <ds:schemaRefs>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a1cf676c-2816-4389-ad5d-0f2e7c7e67c4"/>
    <ds:schemaRef ds:uri="http://www.w3.org/XML/1998/namespace"/>
  </ds:schemaRefs>
</ds:datastoreItem>
</file>

<file path=customXml/itemProps3.xml><?xml version="1.0" encoding="utf-8"?>
<ds:datastoreItem xmlns:ds="http://schemas.openxmlformats.org/officeDocument/2006/customXml" ds:itemID="{EBCB52BA-7AEF-42D4-AF59-959012BFA94A}">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2026</Words>
  <Characters>13322</Characters>
  <Application>Microsoft Office Word</Application>
  <DocSecurity>0</DocSecurity>
  <Lines>111</Lines>
  <Paragraphs>30</Paragraphs>
  <ScaleCrop>false</ScaleCrop>
  <Manager>General Secretariat</Manager>
  <Company>International Telecommunication Union (ITU)</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Updates on the ITU action plan for implementing the Global Digital Compact</dc:title>
  <dc:subject>Council 2025</dc:subject>
  <dc:creator>LRT</dc:creator>
  <cp:keywords>C25; C2025; Council 2025; ITU160</cp:keywords>
  <dc:description/>
  <cp:lastModifiedBy>GBS</cp:lastModifiedBy>
  <cp:revision>3</cp:revision>
  <cp:lastPrinted>2000-07-18T04:30:00Z</cp:lastPrinted>
  <dcterms:created xsi:type="dcterms:W3CDTF">2025-05-16T17:18:00Z</dcterms:created>
  <dcterms:modified xsi:type="dcterms:W3CDTF">2025-05-16T17:24:00Z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