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47AF9C0E" w14:textId="77777777" w:rsidTr="00E31DCE">
        <w:trPr>
          <w:cantSplit/>
          <w:trHeight w:val="23"/>
        </w:trPr>
        <w:tc>
          <w:tcPr>
            <w:tcW w:w="3969" w:type="dxa"/>
            <w:vMerge w:val="restart"/>
            <w:tcMar>
              <w:left w:w="0" w:type="dxa"/>
            </w:tcMar>
          </w:tcPr>
          <w:p w14:paraId="3CC1B8DC" w14:textId="7D91A3AE"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96402D">
              <w:rPr>
                <w:b/>
                <w:bCs/>
                <w:color w:val="000000"/>
                <w:lang w:val="zh-CN"/>
              </w:rPr>
              <w:t>PL 2</w:t>
            </w:r>
          </w:p>
        </w:tc>
        <w:tc>
          <w:tcPr>
            <w:tcW w:w="5245" w:type="dxa"/>
          </w:tcPr>
          <w:p w14:paraId="6EDDA27E" w14:textId="71A304A9"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72138B">
              <w:rPr>
                <w:b/>
                <w:lang w:val="fr-CH"/>
              </w:rPr>
              <w:t>5</w:t>
            </w:r>
            <w:proofErr w:type="spellEnd"/>
            <w:r w:rsidRPr="00E24D59">
              <w:rPr>
                <w:b/>
                <w:lang w:val="fr-CH"/>
              </w:rPr>
              <w:t>/</w:t>
            </w:r>
            <w:r w:rsidR="0096402D">
              <w:rPr>
                <w:rFonts w:hint="eastAsia"/>
                <w:b/>
                <w:lang w:val="fr-CH" w:eastAsia="zh-CN"/>
              </w:rPr>
              <w:t>52</w:t>
            </w:r>
            <w:r w:rsidRPr="00E24D59">
              <w:rPr>
                <w:b/>
                <w:lang w:val="fr-CH"/>
              </w:rPr>
              <w:t>-C</w:t>
            </w:r>
          </w:p>
        </w:tc>
      </w:tr>
      <w:tr w:rsidR="00E24D59" w:rsidRPr="00813E5E" w14:paraId="1FCE2AFF" w14:textId="77777777" w:rsidTr="00E31DCE">
        <w:trPr>
          <w:cantSplit/>
        </w:trPr>
        <w:tc>
          <w:tcPr>
            <w:tcW w:w="3969" w:type="dxa"/>
            <w:vMerge/>
          </w:tcPr>
          <w:p w14:paraId="3702AEA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7CF3609C" w14:textId="22FAD8F7" w:rsidR="00E24D59" w:rsidRPr="00E85629" w:rsidRDefault="0096402D" w:rsidP="00E31DCE">
            <w:pPr>
              <w:tabs>
                <w:tab w:val="left" w:pos="851"/>
              </w:tabs>
              <w:spacing w:before="0"/>
              <w:jc w:val="right"/>
              <w:rPr>
                <w:b/>
              </w:rPr>
            </w:pPr>
            <w:r>
              <w:rPr>
                <w:rFonts w:hint="eastAsia"/>
                <w:b/>
                <w:lang w:eastAsia="zh-CN"/>
              </w:rPr>
              <w:t>2025</w:t>
            </w:r>
            <w:r>
              <w:rPr>
                <w:rFonts w:hint="eastAsia"/>
                <w:b/>
                <w:lang w:eastAsia="zh-CN"/>
              </w:rPr>
              <w:t>年</w:t>
            </w:r>
            <w:r>
              <w:rPr>
                <w:rFonts w:hint="eastAsia"/>
                <w:b/>
                <w:lang w:eastAsia="zh-CN"/>
              </w:rPr>
              <w:t>5</w:t>
            </w:r>
            <w:r>
              <w:rPr>
                <w:rFonts w:hint="eastAsia"/>
                <w:b/>
                <w:lang w:eastAsia="zh-CN"/>
              </w:rPr>
              <w:t>月</w:t>
            </w:r>
            <w:r>
              <w:rPr>
                <w:rFonts w:hint="eastAsia"/>
                <w:b/>
                <w:lang w:eastAsia="zh-CN"/>
              </w:rPr>
              <w:t>16</w:t>
            </w:r>
            <w:r>
              <w:rPr>
                <w:rFonts w:hint="eastAsia"/>
                <w:b/>
                <w:lang w:eastAsia="zh-CN"/>
              </w:rPr>
              <w:t>日</w:t>
            </w:r>
          </w:p>
        </w:tc>
      </w:tr>
      <w:tr w:rsidR="00E24D59" w:rsidRPr="00813E5E" w14:paraId="3BBE6EA9" w14:textId="77777777" w:rsidTr="00E31DCE">
        <w:trPr>
          <w:cantSplit/>
          <w:trHeight w:val="23"/>
        </w:trPr>
        <w:tc>
          <w:tcPr>
            <w:tcW w:w="3969" w:type="dxa"/>
            <w:vMerge/>
          </w:tcPr>
          <w:p w14:paraId="435448E3"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37CF48D" w14:textId="0B4F6D5D"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r w:rsidR="0096402D">
              <w:rPr>
                <w:b/>
                <w:bCs/>
                <w:color w:val="000000"/>
                <w:lang w:val="zh-CN"/>
              </w:rPr>
              <w:t>英文</w:t>
            </w:r>
            <w:proofErr w:type="spellEnd"/>
          </w:p>
        </w:tc>
      </w:tr>
      <w:tr w:rsidR="00E24D59" w:rsidRPr="00813E5E" w14:paraId="74C873EC" w14:textId="77777777" w:rsidTr="00E31DCE">
        <w:trPr>
          <w:cantSplit/>
          <w:trHeight w:val="23"/>
        </w:trPr>
        <w:tc>
          <w:tcPr>
            <w:tcW w:w="3969" w:type="dxa"/>
          </w:tcPr>
          <w:p w14:paraId="13A80E08" w14:textId="77777777" w:rsidR="00E24D59" w:rsidRPr="00813E5E" w:rsidRDefault="00E24D59" w:rsidP="00E31DCE">
            <w:pPr>
              <w:tabs>
                <w:tab w:val="left" w:pos="851"/>
              </w:tabs>
              <w:spacing w:line="240" w:lineRule="atLeast"/>
              <w:rPr>
                <w:b/>
              </w:rPr>
            </w:pPr>
          </w:p>
        </w:tc>
        <w:tc>
          <w:tcPr>
            <w:tcW w:w="5245" w:type="dxa"/>
          </w:tcPr>
          <w:p w14:paraId="312F0B12" w14:textId="77777777" w:rsidR="00E24D59" w:rsidRDefault="00E24D59" w:rsidP="00E31DCE">
            <w:pPr>
              <w:tabs>
                <w:tab w:val="left" w:pos="851"/>
              </w:tabs>
              <w:spacing w:before="0" w:line="240" w:lineRule="atLeast"/>
              <w:jc w:val="right"/>
              <w:rPr>
                <w:b/>
              </w:rPr>
            </w:pPr>
          </w:p>
        </w:tc>
      </w:tr>
      <w:tr w:rsidR="00E24D59" w:rsidRPr="00813E5E" w14:paraId="24782155" w14:textId="77777777" w:rsidTr="00E31DCE">
        <w:trPr>
          <w:cantSplit/>
        </w:trPr>
        <w:tc>
          <w:tcPr>
            <w:tcW w:w="9214" w:type="dxa"/>
            <w:gridSpan w:val="2"/>
            <w:tcMar>
              <w:left w:w="0" w:type="dxa"/>
            </w:tcMar>
          </w:tcPr>
          <w:p w14:paraId="49142264" w14:textId="77777777" w:rsidR="00E24D59" w:rsidRPr="00E24D59" w:rsidRDefault="003F086E" w:rsidP="00DA0E66">
            <w:pPr>
              <w:pStyle w:val="Source"/>
              <w:spacing w:before="840"/>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tr w:rsidR="00E24D59" w:rsidRPr="00813E5E" w14:paraId="30613749" w14:textId="77777777" w:rsidTr="00E31DCE">
        <w:trPr>
          <w:cantSplit/>
        </w:trPr>
        <w:tc>
          <w:tcPr>
            <w:tcW w:w="9214" w:type="dxa"/>
            <w:gridSpan w:val="2"/>
            <w:tcMar>
              <w:left w:w="0" w:type="dxa"/>
            </w:tcMar>
          </w:tcPr>
          <w:p w14:paraId="2FA38CE7" w14:textId="5378BCD2" w:rsidR="00E24D59" w:rsidRPr="00477D57" w:rsidRDefault="0096402D" w:rsidP="00E31DCE">
            <w:pPr>
              <w:pStyle w:val="Subtitle"/>
              <w:framePr w:hSpace="0" w:wrap="auto" w:hAnchor="text" w:xAlign="left" w:yAlign="inline"/>
              <w:rPr>
                <w:rFonts w:eastAsia="SimSun"/>
                <w:lang w:eastAsia="zh-CN"/>
              </w:rPr>
            </w:pPr>
            <w:bookmarkStart w:id="6" w:name="_Hlk194995037"/>
            <w:bookmarkStart w:id="7" w:name="dtitle1" w:colFirst="0" w:colLast="0"/>
            <w:bookmarkEnd w:id="5"/>
            <w:r w:rsidRPr="0096402D">
              <w:rPr>
                <w:rFonts w:eastAsia="SimSun"/>
                <w:lang w:eastAsia="zh-CN"/>
              </w:rPr>
              <w:t>关于实施全球数字契约的国际电</w:t>
            </w:r>
            <w:proofErr w:type="gramStart"/>
            <w:r w:rsidRPr="0096402D">
              <w:rPr>
                <w:rFonts w:eastAsia="SimSun"/>
                <w:lang w:eastAsia="zh-CN"/>
              </w:rPr>
              <w:t>联行动</w:t>
            </w:r>
            <w:proofErr w:type="gramEnd"/>
            <w:r w:rsidRPr="0096402D">
              <w:rPr>
                <w:rFonts w:eastAsia="SimSun"/>
                <w:lang w:eastAsia="zh-CN"/>
              </w:rPr>
              <w:t>计划的最新情况</w:t>
            </w:r>
            <w:bookmarkEnd w:id="6"/>
          </w:p>
        </w:tc>
      </w:tr>
      <w:tr w:rsidR="00E24D59" w:rsidRPr="00813E5E" w14:paraId="4C694A08" w14:textId="77777777" w:rsidTr="00E31DCE">
        <w:trPr>
          <w:cantSplit/>
        </w:trPr>
        <w:tc>
          <w:tcPr>
            <w:tcW w:w="9214" w:type="dxa"/>
            <w:gridSpan w:val="2"/>
            <w:tcBorders>
              <w:top w:val="single" w:sz="4" w:space="0" w:color="auto"/>
              <w:bottom w:val="single" w:sz="4" w:space="0" w:color="auto"/>
            </w:tcBorders>
            <w:tcMar>
              <w:left w:w="0" w:type="dxa"/>
            </w:tcMar>
          </w:tcPr>
          <w:p w14:paraId="1C92BC4B" w14:textId="59F0B8F3" w:rsidR="003F086E" w:rsidRPr="00477D57" w:rsidRDefault="003F086E" w:rsidP="00477D57">
            <w:pPr>
              <w:rPr>
                <w:b/>
                <w:bCs/>
                <w:lang w:eastAsia="zh-CN"/>
              </w:rPr>
            </w:pPr>
            <w:r w:rsidRPr="00477D57">
              <w:rPr>
                <w:b/>
                <w:bCs/>
                <w:lang w:eastAsia="zh-CN"/>
              </w:rPr>
              <w:t>目的</w:t>
            </w:r>
          </w:p>
          <w:p w14:paraId="444E5BBE" w14:textId="115542D7" w:rsidR="003F086E" w:rsidRPr="00477D57" w:rsidRDefault="0096402D" w:rsidP="00B93DD1">
            <w:pPr>
              <w:ind w:firstLineChars="200" w:firstLine="480"/>
              <w:rPr>
                <w:rFonts w:asciiTheme="majorEastAsia" w:eastAsiaTheme="majorEastAsia" w:hAnsiTheme="majorEastAsia"/>
                <w:lang w:eastAsia="zh-CN"/>
              </w:rPr>
            </w:pPr>
            <w:r>
              <w:rPr>
                <w:color w:val="000000"/>
                <w:lang w:val="zh-CN" w:eastAsia="zh-CN"/>
              </w:rPr>
              <w:t>本文件旨在提供有关国际电</w:t>
            </w:r>
            <w:proofErr w:type="gramStart"/>
            <w:r>
              <w:rPr>
                <w:color w:val="000000"/>
                <w:lang w:val="zh-CN" w:eastAsia="zh-CN"/>
              </w:rPr>
              <w:t>联行动</w:t>
            </w:r>
            <w:proofErr w:type="gramEnd"/>
            <w:r>
              <w:rPr>
                <w:color w:val="000000"/>
                <w:lang w:val="zh-CN" w:eastAsia="zh-CN"/>
              </w:rPr>
              <w:t>计划的最新信息，概述国际电联为支持落实全球数字契约而正在开展的活动。</w:t>
            </w:r>
          </w:p>
          <w:p w14:paraId="0D226157" w14:textId="77777777" w:rsidR="003F086E" w:rsidRPr="00477D57" w:rsidRDefault="003F086E" w:rsidP="00477D57">
            <w:pPr>
              <w:rPr>
                <w:b/>
                <w:bCs/>
                <w:lang w:eastAsia="zh-CN"/>
              </w:rPr>
            </w:pPr>
            <w:r w:rsidRPr="00477D57">
              <w:rPr>
                <w:b/>
                <w:bCs/>
                <w:lang w:eastAsia="zh-CN"/>
              </w:rPr>
              <w:t>理事会需采取的行动</w:t>
            </w:r>
          </w:p>
          <w:p w14:paraId="7AFD0DDC" w14:textId="37B2DA74" w:rsidR="003F086E" w:rsidRPr="00477D57" w:rsidRDefault="0096402D" w:rsidP="00B93DD1">
            <w:pPr>
              <w:ind w:firstLineChars="200" w:firstLine="480"/>
              <w:rPr>
                <w:rFonts w:asciiTheme="majorEastAsia" w:eastAsiaTheme="majorEastAsia" w:hAnsiTheme="majorEastAsia"/>
                <w:lang w:eastAsia="zh-CN"/>
              </w:rPr>
            </w:pPr>
            <w:r>
              <w:rPr>
                <w:color w:val="000000"/>
                <w:lang w:val="zh-CN" w:eastAsia="zh-CN"/>
              </w:rPr>
              <w:t>请理事会</w:t>
            </w:r>
            <w:r>
              <w:rPr>
                <w:rFonts w:hint="eastAsia"/>
                <w:color w:val="000000"/>
                <w:lang w:val="zh-CN" w:eastAsia="zh-CN"/>
              </w:rPr>
              <w:t>将本文件</w:t>
            </w:r>
            <w:r w:rsidRPr="00264CA0">
              <w:rPr>
                <w:rFonts w:hint="eastAsia"/>
                <w:b/>
                <w:bCs/>
                <w:color w:val="000000"/>
                <w:lang w:val="zh-CN" w:eastAsia="zh-CN"/>
              </w:rPr>
              <w:t>记录在案</w:t>
            </w:r>
            <w:r>
              <w:rPr>
                <w:color w:val="000000"/>
                <w:lang w:val="zh-CN" w:eastAsia="zh-CN"/>
              </w:rPr>
              <w:t>。</w:t>
            </w:r>
          </w:p>
          <w:p w14:paraId="5909A728" w14:textId="77777777" w:rsidR="003F086E" w:rsidRPr="00477D57" w:rsidRDefault="003F086E" w:rsidP="00477D57">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625E9BA5" w14:textId="24FBCD91" w:rsidR="003F086E" w:rsidRPr="00477D57" w:rsidRDefault="0096402D" w:rsidP="00B93DD1">
            <w:pPr>
              <w:ind w:firstLineChars="200" w:firstLine="480"/>
              <w:rPr>
                <w:rFonts w:asciiTheme="majorEastAsia" w:eastAsiaTheme="majorEastAsia" w:hAnsiTheme="majorEastAsia"/>
                <w:lang w:eastAsia="zh-CN"/>
              </w:rPr>
            </w:pPr>
            <w:r w:rsidRPr="00B73A8F">
              <w:rPr>
                <w:color w:val="000000"/>
                <w:lang w:val="zh-CN" w:eastAsia="zh-CN"/>
              </w:rPr>
              <w:t>伙伴关系和国际合作</w:t>
            </w:r>
            <w:r w:rsidR="00B73A8F">
              <w:rPr>
                <w:color w:val="000000"/>
                <w:lang w:val="zh-CN" w:eastAsia="zh-CN"/>
              </w:rPr>
              <w:t>。</w:t>
            </w:r>
          </w:p>
          <w:p w14:paraId="6285FB48" w14:textId="77777777" w:rsidR="003F086E" w:rsidRPr="00477D57" w:rsidRDefault="003F086E" w:rsidP="00477D57">
            <w:pPr>
              <w:rPr>
                <w:b/>
                <w:bCs/>
                <w:lang w:eastAsia="zh-CN"/>
              </w:rPr>
            </w:pPr>
            <w:r w:rsidRPr="00477D57">
              <w:rPr>
                <w:b/>
                <w:bCs/>
                <w:lang w:eastAsia="zh-CN"/>
              </w:rPr>
              <w:t>财务影响</w:t>
            </w:r>
          </w:p>
          <w:p w14:paraId="4905DA0A" w14:textId="1E4749D5" w:rsidR="008F64AD" w:rsidRPr="00477D57" w:rsidRDefault="0096402D" w:rsidP="00B93DD1">
            <w:pPr>
              <w:ind w:firstLineChars="200" w:firstLine="480"/>
              <w:rPr>
                <w:rFonts w:asciiTheme="majorEastAsia" w:eastAsiaTheme="majorEastAsia" w:hAnsiTheme="majorEastAsia"/>
                <w:lang w:eastAsia="zh-CN"/>
              </w:rPr>
            </w:pPr>
            <w:r w:rsidRPr="00B73A8F">
              <w:rPr>
                <w:color w:val="000000"/>
                <w:lang w:val="zh-CN" w:eastAsia="zh-CN"/>
              </w:rPr>
              <w:t>在已划拨的</w:t>
            </w:r>
            <w:r w:rsidRPr="00B73A8F">
              <w:rPr>
                <w:color w:val="000000"/>
                <w:lang w:val="zh-CN" w:eastAsia="zh-CN"/>
              </w:rPr>
              <w:t>2024-2025</w:t>
            </w:r>
            <w:r w:rsidRPr="00B73A8F">
              <w:rPr>
                <w:color w:val="000000"/>
                <w:lang w:val="zh-CN" w:eastAsia="zh-CN"/>
              </w:rPr>
              <w:t>年预算范围内</w:t>
            </w:r>
            <w:r w:rsidR="00B73A8F">
              <w:rPr>
                <w:color w:val="000000"/>
                <w:lang w:val="zh-CN" w:eastAsia="zh-CN"/>
              </w:rPr>
              <w:t>。</w:t>
            </w:r>
          </w:p>
          <w:p w14:paraId="008A8628"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5D495BCF" w14:textId="77777777" w:rsidR="00E24D59" w:rsidRPr="00477D57" w:rsidRDefault="00E24D59" w:rsidP="00477D57">
            <w:pPr>
              <w:rPr>
                <w:b/>
                <w:bCs/>
                <w:lang w:eastAsia="zh-CN"/>
              </w:rPr>
            </w:pPr>
            <w:r w:rsidRPr="00477D57">
              <w:rPr>
                <w:rFonts w:hint="eastAsia"/>
                <w:b/>
                <w:bCs/>
                <w:lang w:eastAsia="zh-CN"/>
              </w:rPr>
              <w:t>参考文件</w:t>
            </w:r>
          </w:p>
          <w:p w14:paraId="625405A4" w14:textId="09827CED" w:rsidR="00E24D59" w:rsidRPr="009F372D" w:rsidRDefault="0096402D" w:rsidP="00477D57">
            <w:pPr>
              <w:spacing w:after="120"/>
              <w:rPr>
                <w:rFonts w:asciiTheme="minorHAnsi" w:eastAsiaTheme="majorEastAsia" w:hAnsiTheme="minorHAnsi" w:cstheme="minorHAnsi"/>
                <w:i/>
                <w:iCs/>
                <w:sz w:val="22"/>
                <w:szCs w:val="22"/>
              </w:rPr>
            </w:pPr>
            <w:proofErr w:type="spellStart"/>
            <w:r w:rsidRPr="009F372D">
              <w:rPr>
                <w:rFonts w:asciiTheme="minorHAnsi" w:eastAsia="STKaiti" w:hAnsiTheme="minorHAnsi" w:cstheme="minorHAnsi"/>
                <w:color w:val="000000"/>
                <w:lang w:val="zh-CN"/>
              </w:rPr>
              <w:t>联大第</w:t>
            </w:r>
            <w:proofErr w:type="spellEnd"/>
            <w:r>
              <w:fldChar w:fldCharType="begin"/>
            </w:r>
            <w:r>
              <w:instrText>HYPERLINK "https://undocs.org/zh/A/RES/76/307"</w:instrText>
            </w:r>
            <w:r>
              <w:fldChar w:fldCharType="separate"/>
            </w:r>
            <w:r w:rsidRPr="00747CE1">
              <w:rPr>
                <w:rStyle w:val="StyleHyperlinkLatinBodyCalibriAsianSTKaitiComple"/>
              </w:rPr>
              <w:t>A/RES/76/307</w:t>
            </w:r>
            <w:r>
              <w:fldChar w:fldCharType="end"/>
            </w:r>
            <w:r w:rsidRPr="009F372D">
              <w:rPr>
                <w:rFonts w:asciiTheme="minorHAnsi" w:eastAsia="STKaiti" w:hAnsiTheme="minorHAnsi" w:cstheme="minorHAnsi"/>
                <w:color w:val="000000"/>
                <w:lang w:val="zh-CN"/>
              </w:rPr>
              <w:t>、</w:t>
            </w:r>
            <w:hyperlink r:id="rId8" w:history="1">
              <w:r w:rsidRPr="00747CE1">
                <w:rPr>
                  <w:rStyle w:val="StyleHyperlinkLatinBodyCalibriAsianSTKaitiComple"/>
                </w:rPr>
                <w:t>A/77/L.109</w:t>
              </w:r>
            </w:hyperlink>
            <w:r w:rsidRPr="009F372D">
              <w:rPr>
                <w:rFonts w:asciiTheme="minorHAnsi" w:eastAsia="STKaiti" w:hAnsiTheme="minorHAnsi" w:cstheme="minorHAnsi"/>
                <w:color w:val="000000"/>
              </w:rPr>
              <w:t>（</w:t>
            </w:r>
            <w:r w:rsidRPr="009F372D">
              <w:rPr>
                <w:rFonts w:asciiTheme="minorHAnsi" w:eastAsia="STKaiti" w:hAnsiTheme="minorHAnsi" w:cstheme="minorHAnsi"/>
                <w:color w:val="000000"/>
                <w:lang w:val="zh-CN"/>
              </w:rPr>
              <w:t>第</w:t>
            </w:r>
            <w:r w:rsidRPr="009F372D">
              <w:rPr>
                <w:rFonts w:asciiTheme="minorHAnsi" w:eastAsia="STKaiti" w:hAnsiTheme="minorHAnsi" w:cstheme="minorHAnsi"/>
                <w:color w:val="000000"/>
              </w:rPr>
              <w:t>77/568</w:t>
            </w:r>
            <w:proofErr w:type="spellStart"/>
            <w:r w:rsidRPr="009F372D">
              <w:rPr>
                <w:rFonts w:asciiTheme="minorHAnsi" w:eastAsia="STKaiti" w:hAnsiTheme="minorHAnsi" w:cstheme="minorHAnsi"/>
                <w:color w:val="000000"/>
                <w:lang w:val="zh-CN"/>
              </w:rPr>
              <w:t>号决定</w:t>
            </w:r>
            <w:proofErr w:type="spellEnd"/>
            <w:r w:rsidRPr="009F372D">
              <w:rPr>
                <w:rFonts w:asciiTheme="minorHAnsi" w:eastAsia="STKaiti" w:hAnsiTheme="minorHAnsi" w:cstheme="minorHAnsi"/>
                <w:color w:val="000000"/>
              </w:rPr>
              <w:t>）</w:t>
            </w:r>
            <w:r w:rsidRPr="009F372D">
              <w:rPr>
                <w:rFonts w:asciiTheme="minorHAnsi" w:eastAsia="STKaiti" w:hAnsiTheme="minorHAnsi" w:cstheme="minorHAnsi"/>
                <w:color w:val="000000"/>
                <w:lang w:val="zh-CN"/>
              </w:rPr>
              <w:t>、</w:t>
            </w:r>
            <w:hyperlink r:id="rId9" w:history="1">
              <w:r w:rsidRPr="00747CE1">
                <w:rPr>
                  <w:rStyle w:val="StyleHyperlinkLatinBodyCalibriAsianSTKaitiComple"/>
                </w:rPr>
                <w:t>A/77/L.63</w:t>
              </w:r>
            </w:hyperlink>
            <w:r w:rsidRPr="009F372D">
              <w:rPr>
                <w:rFonts w:asciiTheme="minorHAnsi" w:eastAsia="STKaiti" w:hAnsiTheme="minorHAnsi" w:cstheme="minorHAnsi"/>
                <w:color w:val="000000"/>
                <w:lang w:val="zh-CN"/>
              </w:rPr>
              <w:t>、</w:t>
            </w:r>
            <w:hyperlink r:id="rId10" w:history="1">
              <w:r w:rsidRPr="00747CE1">
                <w:rPr>
                  <w:rStyle w:val="StyleHyperlinkLatinBodyCalibriAsianSTKaitiComple1"/>
                </w:rPr>
                <w:t>A/78/L.77</w:t>
              </w:r>
            </w:hyperlink>
            <w:r w:rsidR="0011340B">
              <w:rPr>
                <w:rFonts w:asciiTheme="minorHAnsi" w:hAnsiTheme="minorHAnsi" w:cstheme="minorHAnsi"/>
              </w:rPr>
              <w:br/>
            </w:r>
            <w:r w:rsidRPr="009F372D">
              <w:rPr>
                <w:rFonts w:asciiTheme="minorHAnsi" w:eastAsia="STKaiti" w:hAnsiTheme="minorHAnsi" w:cstheme="minorHAnsi"/>
                <w:color w:val="000000"/>
              </w:rPr>
              <w:t>（</w:t>
            </w:r>
            <w:r w:rsidRPr="009F372D">
              <w:rPr>
                <w:rFonts w:asciiTheme="minorHAnsi" w:eastAsia="STKaiti" w:hAnsiTheme="minorHAnsi" w:cstheme="minorHAnsi"/>
                <w:color w:val="000000"/>
                <w:lang w:val="zh-CN"/>
              </w:rPr>
              <w:t>第</w:t>
            </w:r>
            <w:r w:rsidRPr="009F372D">
              <w:rPr>
                <w:rFonts w:asciiTheme="minorHAnsi" w:eastAsia="STKaiti" w:hAnsiTheme="minorHAnsi" w:cstheme="minorHAnsi"/>
                <w:color w:val="000000"/>
              </w:rPr>
              <w:t>78/555</w:t>
            </w:r>
            <w:proofErr w:type="spellStart"/>
            <w:r w:rsidRPr="009F372D">
              <w:rPr>
                <w:rFonts w:asciiTheme="minorHAnsi" w:eastAsia="STKaiti" w:hAnsiTheme="minorHAnsi" w:cstheme="minorHAnsi"/>
                <w:color w:val="000000"/>
                <w:lang w:val="zh-CN"/>
              </w:rPr>
              <w:t>号决定</w:t>
            </w:r>
            <w:proofErr w:type="spellEnd"/>
            <w:r w:rsidRPr="009F372D">
              <w:rPr>
                <w:rFonts w:asciiTheme="minorHAnsi" w:eastAsia="STKaiti" w:hAnsiTheme="minorHAnsi" w:cstheme="minorHAnsi"/>
                <w:color w:val="000000"/>
              </w:rPr>
              <w:t>）</w:t>
            </w:r>
            <w:r w:rsidRPr="009F372D">
              <w:rPr>
                <w:rFonts w:asciiTheme="minorHAnsi" w:eastAsia="STKaiti" w:hAnsiTheme="minorHAnsi" w:cstheme="minorHAnsi"/>
                <w:color w:val="000000"/>
                <w:lang w:val="zh-CN"/>
              </w:rPr>
              <w:t>、</w:t>
            </w:r>
            <w:hyperlink r:id="rId11" w:history="1">
              <w:r w:rsidRPr="00747CE1">
                <w:rPr>
                  <w:rStyle w:val="StyleHyperlinkLatinBodyCalibriAsianSTKaitiComple"/>
                </w:rPr>
                <w:t>A/79/L.2</w:t>
              </w:r>
            </w:hyperlink>
            <w:r w:rsidRPr="009F372D">
              <w:rPr>
                <w:rFonts w:asciiTheme="minorHAnsi" w:eastAsia="STKaiti" w:hAnsiTheme="minorHAnsi" w:cstheme="minorHAnsi"/>
                <w:color w:val="000000"/>
                <w:lang w:val="zh-CN"/>
              </w:rPr>
              <w:t>和</w:t>
            </w:r>
            <w:hyperlink r:id="rId12" w:history="1">
              <w:r w:rsidRPr="00747CE1">
                <w:rPr>
                  <w:rStyle w:val="StyleHyperlinkLatinBodyCalibriAsianSTKaitiComple"/>
                </w:rPr>
                <w:t>A/79/L.3</w:t>
              </w:r>
            </w:hyperlink>
            <w:proofErr w:type="spellStart"/>
            <w:r w:rsidRPr="009F372D">
              <w:rPr>
                <w:rFonts w:asciiTheme="minorHAnsi" w:eastAsia="STKaiti" w:hAnsiTheme="minorHAnsi" w:cstheme="minorHAnsi"/>
                <w:color w:val="000000"/>
                <w:lang w:val="zh-CN"/>
              </w:rPr>
              <w:t>号决议</w:t>
            </w:r>
            <w:proofErr w:type="spellEnd"/>
            <w:r w:rsidRPr="009F372D">
              <w:rPr>
                <w:rFonts w:asciiTheme="minorHAnsi" w:eastAsia="STKaiti" w:hAnsiTheme="minorHAnsi" w:cstheme="minorHAnsi"/>
                <w:color w:val="000000"/>
                <w:lang w:val="zh-CN"/>
              </w:rPr>
              <w:t>、</w:t>
            </w:r>
            <w:hyperlink r:id="rId13" w:history="1">
              <w:r w:rsidRPr="00747CE1">
                <w:rPr>
                  <w:rStyle w:val="StyleHyperlinkLatinBodyCalibriAsianSTKaitiComple"/>
                </w:rPr>
                <w:t>C19/INF/8</w:t>
              </w:r>
            </w:hyperlink>
            <w:r w:rsidRPr="009F372D">
              <w:rPr>
                <w:rFonts w:asciiTheme="minorHAnsi" w:eastAsia="STKaiti" w:hAnsiTheme="minorHAnsi" w:cstheme="minorHAnsi"/>
                <w:sz w:val="22"/>
                <w:szCs w:val="22"/>
              </w:rPr>
              <w:t>、</w:t>
            </w:r>
            <w:hyperlink r:id="rId14" w:history="1">
              <w:r w:rsidRPr="00747CE1">
                <w:rPr>
                  <w:rStyle w:val="StyleHyperlinkLatinBodyCalibriAsianSTKaitiComple"/>
                </w:rPr>
                <w:t>C20/INF/3</w:t>
              </w:r>
            </w:hyperlink>
            <w:r w:rsidRPr="009F372D">
              <w:rPr>
                <w:rFonts w:asciiTheme="minorHAnsi" w:eastAsia="STKaiti" w:hAnsiTheme="minorHAnsi" w:cstheme="minorHAnsi"/>
                <w:sz w:val="22"/>
                <w:szCs w:val="22"/>
              </w:rPr>
              <w:t>、</w:t>
            </w:r>
            <w:hyperlink r:id="rId15" w:history="1">
              <w:r w:rsidRPr="00747CE1">
                <w:rPr>
                  <w:rStyle w:val="StyleHyperlinkLatinBodyCalibriAsianSTKaitiComple"/>
                </w:rPr>
                <w:t>C21/INF/2</w:t>
              </w:r>
            </w:hyperlink>
            <w:r w:rsidRPr="009F372D">
              <w:rPr>
                <w:rFonts w:asciiTheme="minorHAnsi" w:eastAsia="STKaiti" w:hAnsiTheme="minorHAnsi" w:cstheme="minorHAnsi"/>
                <w:sz w:val="22"/>
                <w:szCs w:val="22"/>
              </w:rPr>
              <w:t>、</w:t>
            </w:r>
            <w:hyperlink r:id="rId16" w:history="1">
              <w:r w:rsidRPr="00747CE1">
                <w:rPr>
                  <w:rStyle w:val="StyleHyperlinkLatinBodyCalibriAsianSTKaitiComple"/>
                </w:rPr>
                <w:t>C22/INF/2</w:t>
              </w:r>
            </w:hyperlink>
            <w:r w:rsidRPr="009F372D">
              <w:rPr>
                <w:rFonts w:asciiTheme="minorHAnsi" w:eastAsia="STKaiti" w:hAnsiTheme="minorHAnsi" w:cstheme="minorHAnsi"/>
                <w:sz w:val="22"/>
                <w:szCs w:val="22"/>
              </w:rPr>
              <w:t>、</w:t>
            </w:r>
            <w:hyperlink r:id="rId17" w:history="1">
              <w:r w:rsidRPr="00747CE1">
                <w:rPr>
                  <w:rStyle w:val="StyleHyperlinkLatinBodyCalibriAsianSTKaitiComple"/>
                </w:rPr>
                <w:t>C23/INF/8</w:t>
              </w:r>
            </w:hyperlink>
            <w:r w:rsidRPr="009F372D">
              <w:rPr>
                <w:rFonts w:asciiTheme="minorHAnsi" w:eastAsia="STKaiti" w:hAnsiTheme="minorHAnsi" w:cstheme="minorHAnsi"/>
                <w:sz w:val="22"/>
                <w:szCs w:val="22"/>
              </w:rPr>
              <w:t>、</w:t>
            </w:r>
            <w:hyperlink r:id="rId18" w:history="1">
              <w:r w:rsidRPr="00747CE1">
                <w:rPr>
                  <w:rStyle w:val="StyleHyperlinkLatinBodyCalibriAsianSTKaitiComple"/>
                </w:rPr>
                <w:t>C23/INF/9</w:t>
              </w:r>
            </w:hyperlink>
            <w:r w:rsidRPr="009F372D">
              <w:rPr>
                <w:rFonts w:asciiTheme="minorHAnsi" w:eastAsia="STKaiti" w:hAnsiTheme="minorHAnsi" w:cstheme="minorHAnsi"/>
                <w:sz w:val="22"/>
                <w:szCs w:val="22"/>
              </w:rPr>
              <w:t>、</w:t>
            </w:r>
            <w:hyperlink r:id="rId19" w:history="1">
              <w:r w:rsidRPr="00747CE1">
                <w:rPr>
                  <w:rStyle w:val="StyleHyperlinkLatinBodyCalibriAsianSTKaitiComple"/>
                </w:rPr>
                <w:t>C24/55</w:t>
              </w:r>
            </w:hyperlink>
            <w:r w:rsidRPr="009F372D">
              <w:rPr>
                <w:rFonts w:asciiTheme="minorHAnsi" w:eastAsia="STKaiti" w:hAnsiTheme="minorHAnsi" w:cstheme="minorHAnsi"/>
                <w:sz w:val="22"/>
                <w:szCs w:val="22"/>
              </w:rPr>
              <w:t>、</w:t>
            </w:r>
            <w:hyperlink r:id="rId20" w:history="1">
              <w:r w:rsidRPr="00747CE1">
                <w:rPr>
                  <w:rStyle w:val="StyleHyperlinkLatinBodyCalibriAsianSTKaitiComple"/>
                </w:rPr>
                <w:t>C24/INF/9</w:t>
              </w:r>
            </w:hyperlink>
            <w:r w:rsidRPr="009F372D">
              <w:rPr>
                <w:rFonts w:asciiTheme="minorHAnsi" w:eastAsia="STKaiti" w:hAnsiTheme="minorHAnsi" w:cstheme="minorHAnsi"/>
                <w:color w:val="000000"/>
                <w:lang w:val="zh-CN"/>
              </w:rPr>
              <w:t>及</w:t>
            </w:r>
            <w:hyperlink r:id="rId21" w:history="1">
              <w:r w:rsidRPr="00747CE1">
                <w:rPr>
                  <w:rStyle w:val="StyleHyperlinkLatinBodyCalibriAsianSTKaitiComple"/>
                </w:rPr>
                <w:t>CWG-WSIS&amp;SDG-42/10</w:t>
              </w:r>
            </w:hyperlink>
            <w:proofErr w:type="spellStart"/>
            <w:r w:rsidRPr="009F372D">
              <w:rPr>
                <w:rFonts w:asciiTheme="minorHAnsi" w:eastAsia="STKaiti" w:hAnsiTheme="minorHAnsi" w:cstheme="minorHAnsi"/>
                <w:color w:val="000000"/>
                <w:lang w:val="zh-CN"/>
              </w:rPr>
              <w:t>号文件</w:t>
            </w:r>
            <w:proofErr w:type="spellEnd"/>
          </w:p>
        </w:tc>
      </w:tr>
      <w:bookmarkEnd w:id="2"/>
      <w:bookmarkEnd w:id="7"/>
    </w:tbl>
    <w:p w14:paraId="7E49EC7E" w14:textId="77777777" w:rsidR="00E24D59" w:rsidRDefault="00E24D59">
      <w:pPr>
        <w:tabs>
          <w:tab w:val="clear" w:pos="794"/>
          <w:tab w:val="clear" w:pos="1191"/>
          <w:tab w:val="clear" w:pos="1588"/>
          <w:tab w:val="clear" w:pos="1985"/>
        </w:tabs>
        <w:overflowPunct/>
        <w:autoSpaceDE/>
        <w:autoSpaceDN/>
        <w:adjustRightInd/>
        <w:spacing w:before="0"/>
        <w:textAlignment w:val="auto"/>
      </w:pPr>
    </w:p>
    <w:p w14:paraId="7502AAEF"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4550CCBD" w14:textId="77777777" w:rsidR="0096402D" w:rsidRPr="00CB679E" w:rsidRDefault="0096402D" w:rsidP="00857ED3">
      <w:pPr>
        <w:ind w:firstLineChars="200" w:firstLine="480"/>
        <w:rPr>
          <w:rFonts w:asciiTheme="minorHAnsi" w:hAnsiTheme="minorHAnsi" w:cstheme="minorHAnsi"/>
          <w:lang w:eastAsia="zh-CN"/>
        </w:rPr>
      </w:pPr>
      <w:r>
        <w:rPr>
          <w:lang w:val="zh-CN" w:eastAsia="zh-CN"/>
        </w:rPr>
        <w:lastRenderedPageBreak/>
        <w:t>国际电联致力于引领全球数字化转型，</w:t>
      </w:r>
      <w:r w:rsidRPr="00CE08FA">
        <w:rPr>
          <w:rFonts w:hint="eastAsia"/>
          <w:lang w:val="zh-CN" w:eastAsia="zh-CN"/>
        </w:rPr>
        <w:t>确保与</w:t>
      </w:r>
      <w:r w:rsidRPr="00CE08FA">
        <w:rPr>
          <w:rFonts w:hint="eastAsia"/>
          <w:lang w:val="zh-CN" w:eastAsia="zh-CN"/>
        </w:rPr>
        <w:t>2024</w:t>
      </w:r>
      <w:r w:rsidRPr="00CE08FA">
        <w:rPr>
          <w:rFonts w:hint="eastAsia"/>
          <w:lang w:val="zh-CN" w:eastAsia="zh-CN"/>
        </w:rPr>
        <w:t>年</w:t>
      </w:r>
      <w:r w:rsidRPr="00CE08FA">
        <w:rPr>
          <w:rFonts w:hint="eastAsia"/>
          <w:lang w:val="zh-CN" w:eastAsia="zh-CN"/>
        </w:rPr>
        <w:t>9</w:t>
      </w:r>
      <w:r w:rsidRPr="00CE08FA">
        <w:rPr>
          <w:rFonts w:hint="eastAsia"/>
          <w:lang w:val="zh-CN" w:eastAsia="zh-CN"/>
        </w:rPr>
        <w:t>月未来峰会期间</w:t>
      </w:r>
      <w:r>
        <w:rPr>
          <w:rFonts w:hint="eastAsia"/>
          <w:lang w:val="zh-CN" w:eastAsia="zh-CN"/>
        </w:rPr>
        <w:t>成</w:t>
      </w:r>
      <w:r w:rsidRPr="00CE08FA">
        <w:rPr>
          <w:rFonts w:hint="eastAsia"/>
          <w:lang w:val="zh-CN" w:eastAsia="zh-CN"/>
        </w:rPr>
        <w:t>员国通过并作为《未来契约》附件的《全球数字契约》（</w:t>
      </w:r>
      <w:r w:rsidRPr="00CE08FA">
        <w:rPr>
          <w:rFonts w:hint="eastAsia"/>
          <w:lang w:val="zh-CN" w:eastAsia="zh-CN"/>
        </w:rPr>
        <w:t>GDC</w:t>
      </w:r>
      <w:r w:rsidRPr="00CE08FA">
        <w:rPr>
          <w:rFonts w:hint="eastAsia"/>
          <w:lang w:val="zh-CN" w:eastAsia="zh-CN"/>
        </w:rPr>
        <w:t>）目标保持一致。</w:t>
      </w:r>
      <w:r>
        <w:rPr>
          <w:lang w:val="zh-CN" w:eastAsia="zh-CN"/>
        </w:rPr>
        <w:t>作为联合国负责电信</w:t>
      </w:r>
      <w:r>
        <w:rPr>
          <w:lang w:val="zh-CN" w:eastAsia="zh-CN"/>
        </w:rPr>
        <w:t>/ICT</w:t>
      </w:r>
      <w:r>
        <w:rPr>
          <w:lang w:val="zh-CN" w:eastAsia="zh-CN"/>
        </w:rPr>
        <w:t>事务的专门机构，国际电联在促进国际合作、推动创新和确保数字技术有助于实现可持续发展目标</w:t>
      </w:r>
      <w:r>
        <w:rPr>
          <w:rFonts w:hint="eastAsia"/>
          <w:lang w:val="zh-CN" w:eastAsia="zh-CN"/>
        </w:rPr>
        <w:t>（</w:t>
      </w:r>
      <w:r>
        <w:rPr>
          <w:rFonts w:hint="eastAsia"/>
          <w:lang w:val="zh-CN" w:eastAsia="zh-CN"/>
        </w:rPr>
        <w:t>SDG</w:t>
      </w:r>
      <w:r>
        <w:rPr>
          <w:rFonts w:hint="eastAsia"/>
          <w:lang w:val="zh-CN" w:eastAsia="zh-CN"/>
        </w:rPr>
        <w:t>）</w:t>
      </w:r>
      <w:r>
        <w:rPr>
          <w:lang w:val="zh-CN" w:eastAsia="zh-CN"/>
        </w:rPr>
        <w:t>方面发挥着关键作用。</w:t>
      </w:r>
    </w:p>
    <w:p w14:paraId="47CB3DDC" w14:textId="77777777" w:rsidR="0096402D" w:rsidRPr="00CB679E" w:rsidRDefault="0096402D" w:rsidP="00857ED3">
      <w:pPr>
        <w:ind w:firstLineChars="200" w:firstLine="480"/>
        <w:rPr>
          <w:rFonts w:asciiTheme="minorHAnsi" w:hAnsiTheme="minorHAnsi" w:cstheme="minorBidi"/>
          <w:lang w:eastAsia="zh-CN"/>
        </w:rPr>
      </w:pPr>
      <w:r>
        <w:rPr>
          <w:lang w:val="zh-CN" w:eastAsia="zh-CN"/>
        </w:rPr>
        <w:t>本文件旨在提供自今年</w:t>
      </w:r>
      <w:r>
        <w:rPr>
          <w:lang w:val="zh-CN" w:eastAsia="zh-CN"/>
        </w:rPr>
        <w:t>2</w:t>
      </w:r>
      <w:r>
        <w:rPr>
          <w:lang w:val="zh-CN" w:eastAsia="zh-CN"/>
        </w:rPr>
        <w:t>月初召开上届理事会</w:t>
      </w:r>
      <w:r>
        <w:rPr>
          <w:lang w:val="zh-CN" w:eastAsia="zh-CN"/>
        </w:rPr>
        <w:t>WSIS&amp;SDG</w:t>
      </w:r>
      <w:r>
        <w:rPr>
          <w:lang w:val="zh-CN" w:eastAsia="zh-CN"/>
        </w:rPr>
        <w:t>工作组会议以来</w:t>
      </w:r>
      <w:hyperlink r:id="rId22" w:history="1">
        <w:r w:rsidRPr="00747CE1">
          <w:rPr>
            <w:rStyle w:val="StyleHyperlinkAsianSimSunBlueUnderline"/>
          </w:rPr>
          <w:t>国际电联行动计划</w:t>
        </w:r>
      </w:hyperlink>
      <w:r>
        <w:rPr>
          <w:lang w:val="zh-CN" w:eastAsia="zh-CN"/>
        </w:rPr>
        <w:t>的最新情况，概述国际电联支持</w:t>
      </w:r>
      <w:r>
        <w:rPr>
          <w:lang w:val="zh-CN" w:eastAsia="zh-CN"/>
        </w:rPr>
        <w:t>GDC</w:t>
      </w:r>
      <w:r>
        <w:rPr>
          <w:lang w:val="zh-CN" w:eastAsia="zh-CN"/>
        </w:rPr>
        <w:t>的战略行动，包括努力加强普遍连接、推进负责任的人工智能标准和促进数字包容性。</w:t>
      </w:r>
    </w:p>
    <w:p w14:paraId="5B10FA89" w14:textId="77777777" w:rsidR="0096402D" w:rsidRPr="00CB679E" w:rsidRDefault="0096402D" w:rsidP="0096402D">
      <w:pPr>
        <w:pStyle w:val="Heading1"/>
        <w:rPr>
          <w:rFonts w:asciiTheme="minorHAnsi" w:hAnsiTheme="minorHAnsi" w:cstheme="minorHAnsi"/>
          <w:lang w:eastAsia="zh-CN"/>
        </w:rPr>
      </w:pPr>
      <w:r>
        <w:rPr>
          <w:bCs/>
          <w:lang w:val="zh-CN" w:eastAsia="zh-CN"/>
        </w:rPr>
        <w:t>1</w:t>
      </w:r>
      <w:r>
        <w:rPr>
          <w:bCs/>
          <w:lang w:val="zh-CN" w:eastAsia="zh-CN"/>
        </w:rPr>
        <w:tab/>
      </w:r>
      <w:r>
        <w:rPr>
          <w:bCs/>
          <w:lang w:val="zh-CN" w:eastAsia="zh-CN"/>
        </w:rPr>
        <w:t>将</w:t>
      </w:r>
      <w:r>
        <w:rPr>
          <w:bCs/>
          <w:lang w:val="zh-CN" w:eastAsia="zh-CN"/>
        </w:rPr>
        <w:t>GDC</w:t>
      </w:r>
      <w:r>
        <w:rPr>
          <w:bCs/>
          <w:lang w:val="zh-CN" w:eastAsia="zh-CN"/>
        </w:rPr>
        <w:t>目标纳入国际电联职责的最新情况</w:t>
      </w:r>
    </w:p>
    <w:p w14:paraId="7AF5294E" w14:textId="1C30D75B" w:rsidR="0096402D" w:rsidRPr="00CB679E" w:rsidRDefault="0096402D" w:rsidP="00376111">
      <w:pPr>
        <w:spacing w:after="120"/>
        <w:ind w:firstLineChars="200" w:firstLine="480"/>
        <w:rPr>
          <w:rFonts w:asciiTheme="minorHAnsi" w:hAnsiTheme="minorHAnsi" w:cstheme="minorHAnsi"/>
          <w:lang w:eastAsia="zh-CN"/>
        </w:rPr>
      </w:pPr>
      <w:r>
        <w:rPr>
          <w:lang w:val="zh-CN" w:eastAsia="zh-CN"/>
        </w:rPr>
        <w:t>GDC</w:t>
      </w:r>
      <w:r>
        <w:rPr>
          <w:lang w:val="zh-CN" w:eastAsia="zh-CN"/>
        </w:rPr>
        <w:t>的目标、原则和承诺与国际电联的现有职责直接</w:t>
      </w:r>
      <w:r>
        <w:rPr>
          <w:rFonts w:hint="eastAsia"/>
          <w:lang w:val="zh-CN" w:eastAsia="zh-CN"/>
        </w:rPr>
        <w:t>吻合</w:t>
      </w:r>
      <w:r>
        <w:rPr>
          <w:lang w:val="zh-CN" w:eastAsia="zh-CN"/>
        </w:rPr>
        <w:t>。国际电联通过其管理机构会议和举措积极支持成员国实施</w:t>
      </w:r>
      <w:r>
        <w:rPr>
          <w:lang w:val="zh-CN" w:eastAsia="zh-CN"/>
        </w:rPr>
        <w:t>GDC</w:t>
      </w:r>
      <w:r>
        <w:rPr>
          <w:lang w:val="zh-CN" w:eastAsia="zh-CN"/>
        </w:rPr>
        <w:t>，重点关注普遍连接、负责任的人工智能标准、数字包容性以及量身定制的支持，以帮助各国将国家战略与全球数字目标保持一致，实现可持续的数字化转型。</w:t>
      </w:r>
    </w:p>
    <w:tbl>
      <w:tblPr>
        <w:tblStyle w:val="TableGrid"/>
        <w:tblW w:w="0" w:type="auto"/>
        <w:tblLayout w:type="fixed"/>
        <w:tblLook w:val="04A0" w:firstRow="1" w:lastRow="0" w:firstColumn="1" w:lastColumn="0" w:noHBand="0" w:noVBand="1"/>
      </w:tblPr>
      <w:tblGrid>
        <w:gridCol w:w="9061"/>
      </w:tblGrid>
      <w:tr w:rsidR="0096402D" w:rsidRPr="00CB679E" w14:paraId="44647640" w14:textId="77777777" w:rsidTr="004F4B01">
        <w:tc>
          <w:tcPr>
            <w:tcW w:w="9061" w:type="dxa"/>
          </w:tcPr>
          <w:p w14:paraId="2A3E88CD" w14:textId="77777777" w:rsidR="0096402D" w:rsidRPr="004322C7" w:rsidRDefault="0096402D" w:rsidP="004322C7">
            <w:pPr>
              <w:ind w:firstLineChars="200" w:firstLine="480"/>
              <w:rPr>
                <w:rFonts w:asciiTheme="minorHAnsi" w:hAnsiTheme="minorHAnsi" w:cstheme="minorHAnsi"/>
                <w:szCs w:val="24"/>
                <w:lang w:eastAsia="zh-CN"/>
              </w:rPr>
            </w:pPr>
            <w:r w:rsidRPr="004322C7">
              <w:rPr>
                <w:rFonts w:asciiTheme="minorHAnsi" w:eastAsiaTheme="minorEastAsia" w:hAnsiTheme="minorHAnsi" w:cstheme="minorHAnsi"/>
                <w:color w:val="000000"/>
                <w:lang w:val="zh-CN" w:eastAsia="zh-CN"/>
              </w:rPr>
              <w:t>下文介绍了国际电联在</w:t>
            </w:r>
            <w:r w:rsidRPr="004322C7">
              <w:rPr>
                <w:rFonts w:asciiTheme="minorHAnsi" w:eastAsiaTheme="minorEastAsia" w:hAnsiTheme="minorHAnsi" w:cstheme="minorHAnsi"/>
                <w:color w:val="000000"/>
                <w:lang w:val="zh-CN" w:eastAsia="zh-CN"/>
              </w:rPr>
              <w:t>GDC</w:t>
            </w:r>
            <w:r w:rsidRPr="004322C7">
              <w:rPr>
                <w:rFonts w:asciiTheme="minorHAnsi" w:eastAsiaTheme="minorEastAsia" w:hAnsiTheme="minorHAnsi" w:cstheme="minorHAnsi"/>
                <w:color w:val="000000"/>
                <w:lang w:val="zh-CN" w:eastAsia="zh-CN"/>
              </w:rPr>
              <w:t>部门目标中与部门目标</w:t>
            </w:r>
            <w:r w:rsidRPr="004322C7">
              <w:rPr>
                <w:rFonts w:asciiTheme="minorHAnsi" w:eastAsiaTheme="minorEastAsia" w:hAnsiTheme="minorHAnsi" w:cstheme="minorHAnsi"/>
                <w:color w:val="000000"/>
                <w:lang w:val="zh-CN" w:eastAsia="zh-CN"/>
              </w:rPr>
              <w:t>1</w:t>
            </w:r>
            <w:r w:rsidRPr="004322C7">
              <w:rPr>
                <w:rFonts w:asciiTheme="minorHAnsi" w:eastAsiaTheme="minorEastAsia" w:hAnsiTheme="minorHAnsi" w:cstheme="minorHAnsi"/>
                <w:color w:val="000000"/>
                <w:lang w:val="zh-CN" w:eastAsia="zh-CN"/>
              </w:rPr>
              <w:t>和</w:t>
            </w:r>
            <w:r w:rsidRPr="004322C7">
              <w:rPr>
                <w:rFonts w:asciiTheme="minorHAnsi" w:eastAsiaTheme="minorEastAsia" w:hAnsiTheme="minorHAnsi" w:cstheme="minorHAnsi"/>
                <w:color w:val="000000"/>
                <w:lang w:val="zh-CN" w:eastAsia="zh-CN"/>
              </w:rPr>
              <w:t>3</w:t>
            </w:r>
            <w:r w:rsidRPr="004322C7">
              <w:rPr>
                <w:rFonts w:asciiTheme="minorHAnsi" w:eastAsiaTheme="minorEastAsia" w:hAnsiTheme="minorHAnsi" w:cstheme="minorHAnsi"/>
                <w:color w:val="000000"/>
                <w:lang w:val="zh-CN" w:eastAsia="zh-CN"/>
              </w:rPr>
              <w:t>相关的最新行动情况</w:t>
            </w:r>
            <w:r w:rsidRPr="004322C7">
              <w:rPr>
                <w:rStyle w:val="FootnoteReference"/>
                <w:rFonts w:asciiTheme="minorHAnsi" w:hAnsiTheme="minorHAnsi" w:cstheme="minorHAnsi"/>
                <w:sz w:val="20"/>
                <w:lang w:val="zh-CN"/>
              </w:rPr>
              <w:footnoteReference w:id="1"/>
            </w:r>
            <w:r w:rsidRPr="004322C7">
              <w:rPr>
                <w:rFonts w:asciiTheme="minorHAnsi" w:hAnsiTheme="minorHAnsi" w:cstheme="minorHAnsi"/>
                <w:color w:val="000000"/>
                <w:lang w:val="zh-CN" w:eastAsia="zh-CN"/>
              </w:rPr>
              <w:t>：</w:t>
            </w:r>
          </w:p>
          <w:p w14:paraId="3C12F6DE" w14:textId="77777777" w:rsidR="0096402D" w:rsidRPr="004322C7" w:rsidRDefault="0096402D" w:rsidP="00E81B8C">
            <w:pPr>
              <w:spacing w:after="120"/>
              <w:rPr>
                <w:rFonts w:asciiTheme="minorHAnsi" w:eastAsiaTheme="minorEastAsia" w:hAnsiTheme="minorHAnsi" w:cstheme="minorHAnsi"/>
                <w:b/>
                <w:bCs/>
                <w:szCs w:val="24"/>
                <w:lang w:eastAsia="zh-CN"/>
              </w:rPr>
            </w:pPr>
            <w:r w:rsidRPr="004322C7">
              <w:rPr>
                <w:rFonts w:asciiTheme="minorHAnsi" w:eastAsiaTheme="minorEastAsia" w:hAnsiTheme="minorHAnsi" w:cstheme="minorHAnsi"/>
                <w:b/>
                <w:bCs/>
                <w:color w:val="000000"/>
                <w:lang w:val="zh-CN" w:eastAsia="zh-CN"/>
              </w:rPr>
              <w:t>GDC</w:t>
            </w:r>
            <w:r w:rsidRPr="004322C7">
              <w:rPr>
                <w:rFonts w:asciiTheme="minorHAnsi" w:eastAsiaTheme="minorEastAsia" w:hAnsiTheme="minorHAnsi" w:cstheme="minorHAnsi"/>
                <w:b/>
                <w:bCs/>
                <w:color w:val="000000"/>
                <w:lang w:val="zh-CN" w:eastAsia="zh-CN"/>
              </w:rPr>
              <w:t>部门目标</w:t>
            </w:r>
            <w:r w:rsidRPr="004322C7">
              <w:rPr>
                <w:rFonts w:asciiTheme="minorHAnsi" w:eastAsiaTheme="minorEastAsia" w:hAnsiTheme="minorHAnsi" w:cstheme="minorHAnsi"/>
                <w:b/>
                <w:bCs/>
                <w:color w:val="000000"/>
                <w:lang w:val="zh-CN" w:eastAsia="zh-CN"/>
              </w:rPr>
              <w:t>1</w:t>
            </w:r>
            <w:r w:rsidRPr="004322C7">
              <w:rPr>
                <w:rFonts w:asciiTheme="minorHAnsi" w:eastAsiaTheme="minorEastAsia" w:hAnsiTheme="minorHAnsi" w:cstheme="minorHAnsi"/>
                <w:b/>
                <w:bCs/>
                <w:color w:val="000000"/>
                <w:lang w:val="zh-CN" w:eastAsia="zh-CN"/>
              </w:rPr>
              <w:t>：弥合所有数字鸿沟，加快实现可持续发展目标</w:t>
            </w:r>
          </w:p>
          <w:p w14:paraId="3E9566AF" w14:textId="77777777" w:rsidR="0096402D" w:rsidRPr="004322C7" w:rsidRDefault="0096402D" w:rsidP="00362A8F">
            <w:pPr>
              <w:pStyle w:val="ListParagraph"/>
              <w:numPr>
                <w:ilvl w:val="0"/>
                <w:numId w:val="8"/>
              </w:numPr>
              <w:tabs>
                <w:tab w:val="clear" w:pos="567"/>
                <w:tab w:val="clear" w:pos="1134"/>
                <w:tab w:val="clear" w:pos="1701"/>
                <w:tab w:val="clear" w:pos="2268"/>
                <w:tab w:val="clear" w:pos="2835"/>
              </w:tabs>
              <w:overflowPunct/>
              <w:autoSpaceDE/>
              <w:autoSpaceDN/>
              <w:adjustRightInd/>
              <w:spacing w:before="0" w:after="120" w:line="259" w:lineRule="auto"/>
              <w:ind w:left="605" w:hanging="605"/>
              <w:textAlignment w:val="auto"/>
              <w:rPr>
                <w:rFonts w:asciiTheme="minorHAnsi" w:eastAsiaTheme="minorEastAsia" w:hAnsiTheme="minorHAnsi" w:cstheme="minorHAnsi"/>
                <w:szCs w:val="24"/>
                <w:lang w:eastAsia="zh-CN"/>
              </w:rPr>
            </w:pPr>
            <w:r w:rsidRPr="004322C7">
              <w:rPr>
                <w:rFonts w:asciiTheme="minorHAnsi" w:eastAsiaTheme="minorEastAsia" w:hAnsiTheme="minorHAnsi" w:cstheme="minorHAnsi"/>
                <w:color w:val="000000"/>
                <w:lang w:val="zh-CN" w:eastAsia="zh-CN"/>
              </w:rPr>
              <w:t>国际电</w:t>
            </w:r>
            <w:proofErr w:type="gramStart"/>
            <w:r w:rsidRPr="004322C7">
              <w:rPr>
                <w:rFonts w:asciiTheme="minorHAnsi" w:eastAsiaTheme="minorEastAsia" w:hAnsiTheme="minorHAnsi" w:cstheme="minorHAnsi"/>
                <w:color w:val="000000"/>
                <w:lang w:val="zh-CN" w:eastAsia="zh-CN"/>
              </w:rPr>
              <w:t>联正在</w:t>
            </w:r>
            <w:proofErr w:type="gramEnd"/>
            <w:r w:rsidRPr="004322C7">
              <w:rPr>
                <w:rFonts w:asciiTheme="minorHAnsi" w:eastAsiaTheme="minorEastAsia" w:hAnsiTheme="minorHAnsi" w:cstheme="minorHAnsi"/>
                <w:color w:val="000000"/>
                <w:lang w:val="zh-CN" w:eastAsia="zh-CN"/>
              </w:rPr>
              <w:t>与各利益攸关方合作，以缩小数字鸿沟并加快实现可持续发展目标。这包括制定关键指标，与世界电信</w:t>
            </w:r>
            <w:r w:rsidRPr="004322C7">
              <w:rPr>
                <w:rFonts w:asciiTheme="minorHAnsi" w:eastAsiaTheme="minorEastAsia" w:hAnsiTheme="minorHAnsi" w:cstheme="minorHAnsi"/>
                <w:color w:val="000000"/>
                <w:lang w:val="zh-CN" w:eastAsia="zh-CN"/>
              </w:rPr>
              <w:t>/ICT</w:t>
            </w:r>
            <w:r w:rsidRPr="004322C7">
              <w:rPr>
                <w:rFonts w:asciiTheme="minorHAnsi" w:eastAsiaTheme="minorEastAsia" w:hAnsiTheme="minorHAnsi" w:cstheme="minorHAnsi"/>
                <w:color w:val="000000"/>
                <w:lang w:val="zh-CN" w:eastAsia="zh-CN"/>
              </w:rPr>
              <w:t>指标专题研讨会（</w:t>
            </w:r>
            <w:r w:rsidRPr="004322C7">
              <w:rPr>
                <w:rFonts w:asciiTheme="minorHAnsi" w:eastAsiaTheme="minorEastAsia" w:hAnsiTheme="minorHAnsi" w:cstheme="minorHAnsi"/>
                <w:color w:val="000000"/>
                <w:lang w:val="zh-CN" w:eastAsia="zh-CN"/>
              </w:rPr>
              <w:t>WTIS</w:t>
            </w:r>
            <w:r w:rsidRPr="004322C7">
              <w:rPr>
                <w:rFonts w:asciiTheme="minorHAnsi" w:eastAsiaTheme="minorEastAsia" w:hAnsiTheme="minorHAnsi" w:cstheme="minorHAnsi"/>
                <w:color w:val="000000"/>
                <w:lang w:val="zh-CN" w:eastAsia="zh-CN"/>
              </w:rPr>
              <w:t>）和教科文组织合作，通过标准和政策增强复原力，通过与联合国儿童基金会的</w:t>
            </w:r>
            <w:r w:rsidRPr="004322C7">
              <w:rPr>
                <w:rFonts w:asciiTheme="minorHAnsi" w:eastAsiaTheme="minorEastAsia" w:hAnsiTheme="minorHAnsi" w:cstheme="minorHAnsi"/>
                <w:color w:val="000000"/>
                <w:lang w:val="zh-CN" w:eastAsia="zh-CN"/>
              </w:rPr>
              <w:t>Giga</w:t>
            </w:r>
            <w:r w:rsidRPr="004322C7">
              <w:rPr>
                <w:rFonts w:asciiTheme="minorHAnsi" w:eastAsiaTheme="minorEastAsia" w:hAnsiTheme="minorHAnsi" w:cstheme="minorHAnsi"/>
                <w:color w:val="000000"/>
                <w:lang w:val="zh-CN" w:eastAsia="zh-CN"/>
              </w:rPr>
              <w:t>举措连接学校，通过绿色数字行动促进可持续性，通过</w:t>
            </w:r>
            <w:r w:rsidRPr="004322C7">
              <w:rPr>
                <w:rFonts w:asciiTheme="minorHAnsi" w:eastAsiaTheme="minorEastAsia" w:hAnsiTheme="minorHAnsi" w:cstheme="minorHAnsi"/>
                <w:color w:val="000000"/>
                <w:lang w:val="zh-CN" w:eastAsia="zh-CN"/>
              </w:rPr>
              <w:t>EQUALS</w:t>
            </w:r>
            <w:r w:rsidRPr="004322C7">
              <w:rPr>
                <w:rFonts w:asciiTheme="minorHAnsi" w:eastAsiaTheme="minorEastAsia" w:hAnsiTheme="minorHAnsi" w:cstheme="minorHAnsi"/>
                <w:color w:val="000000"/>
                <w:lang w:val="zh-CN" w:eastAsia="zh-CN"/>
              </w:rPr>
              <w:t>全球伙伴关系弥合性别数字鸿沟，通过国际电联学院和国际劳工组织伙伴关系解决技能差距，并推进数字公共基础设施和投资举措。</w:t>
            </w:r>
          </w:p>
          <w:p w14:paraId="04911EB8" w14:textId="77777777" w:rsidR="0096402D" w:rsidRPr="00362A8F" w:rsidRDefault="0096402D" w:rsidP="00362A8F">
            <w:pPr>
              <w:overflowPunct/>
              <w:autoSpaceDE/>
              <w:autoSpaceDN/>
              <w:adjustRightInd/>
              <w:spacing w:before="0" w:after="160" w:line="259" w:lineRule="auto"/>
              <w:ind w:firstLineChars="200" w:firstLine="480"/>
              <w:textAlignment w:val="auto"/>
              <w:rPr>
                <w:rFonts w:asciiTheme="minorHAnsi" w:eastAsiaTheme="minorEastAsia" w:hAnsiTheme="minorHAnsi" w:cstheme="minorHAnsi"/>
                <w:b/>
                <w:bCs/>
                <w:szCs w:val="24"/>
                <w:lang w:eastAsia="zh-CN"/>
              </w:rPr>
            </w:pPr>
            <w:r w:rsidRPr="00362A8F">
              <w:rPr>
                <w:rFonts w:asciiTheme="minorHAnsi" w:eastAsiaTheme="minorEastAsia" w:hAnsiTheme="minorHAnsi" w:cstheme="minorHAnsi"/>
                <w:color w:val="000000"/>
                <w:lang w:val="zh-CN" w:eastAsia="zh-CN"/>
              </w:rPr>
              <w:t>在基于卫星的连接领域，国际电</w:t>
            </w:r>
            <w:proofErr w:type="gramStart"/>
            <w:r w:rsidRPr="00362A8F">
              <w:rPr>
                <w:rFonts w:asciiTheme="minorHAnsi" w:eastAsiaTheme="minorEastAsia" w:hAnsiTheme="minorHAnsi" w:cstheme="minorHAnsi"/>
                <w:color w:val="000000"/>
                <w:lang w:val="zh-CN" w:eastAsia="zh-CN"/>
              </w:rPr>
              <w:t>联发挥</w:t>
            </w:r>
            <w:proofErr w:type="gramEnd"/>
            <w:r w:rsidRPr="00362A8F">
              <w:rPr>
                <w:rFonts w:asciiTheme="minorHAnsi" w:eastAsiaTheme="minorEastAsia" w:hAnsiTheme="minorHAnsi" w:cstheme="minorHAnsi"/>
                <w:color w:val="000000"/>
                <w:lang w:val="zh-CN" w:eastAsia="zh-CN"/>
              </w:rPr>
              <w:t>着关键作用：监督无线电频率的划分、管理卫星频率登记和确保必要的</w:t>
            </w:r>
            <w:proofErr w:type="gramStart"/>
            <w:r w:rsidRPr="00362A8F">
              <w:rPr>
                <w:rFonts w:asciiTheme="minorHAnsi" w:eastAsiaTheme="minorEastAsia" w:hAnsiTheme="minorHAnsi" w:cstheme="minorHAnsi"/>
                <w:color w:val="000000"/>
                <w:lang w:val="zh-CN" w:eastAsia="zh-CN"/>
              </w:rPr>
              <w:t>规则条件</w:t>
            </w:r>
            <w:proofErr w:type="gramEnd"/>
            <w:r w:rsidRPr="00362A8F">
              <w:rPr>
                <w:rFonts w:asciiTheme="minorHAnsi" w:eastAsiaTheme="minorEastAsia" w:hAnsiTheme="minorHAnsi" w:cstheme="minorHAnsi"/>
                <w:color w:val="000000"/>
                <w:lang w:val="zh-CN" w:eastAsia="zh-CN"/>
              </w:rPr>
              <w:t>来满足对卫星业务日益增长的需求，特别是在偏远地区。这包括实现远程医疗和教育等高级应用。</w:t>
            </w:r>
          </w:p>
          <w:p w14:paraId="4E5435D6" w14:textId="77777777" w:rsidR="0096402D" w:rsidRPr="004322C7" w:rsidRDefault="0096402D" w:rsidP="00220FBA">
            <w:pPr>
              <w:keepNext/>
              <w:keepLines/>
              <w:spacing w:after="120"/>
              <w:rPr>
                <w:rFonts w:asciiTheme="minorHAnsi" w:eastAsiaTheme="minorEastAsia" w:hAnsiTheme="minorHAnsi" w:cstheme="minorHAnsi"/>
                <w:b/>
                <w:bCs/>
                <w:color w:val="000000"/>
                <w:lang w:val="zh-CN" w:eastAsia="zh-CN"/>
              </w:rPr>
            </w:pPr>
            <w:r w:rsidRPr="004322C7">
              <w:rPr>
                <w:rFonts w:asciiTheme="minorHAnsi" w:eastAsiaTheme="minorEastAsia" w:hAnsiTheme="minorHAnsi" w:cstheme="minorHAnsi"/>
                <w:b/>
                <w:bCs/>
                <w:color w:val="000000"/>
                <w:lang w:val="zh-CN" w:eastAsia="zh-CN"/>
              </w:rPr>
              <w:t>GDC</w:t>
            </w:r>
            <w:r w:rsidRPr="004322C7">
              <w:rPr>
                <w:rFonts w:asciiTheme="minorHAnsi" w:eastAsiaTheme="minorEastAsia" w:hAnsiTheme="minorHAnsi" w:cstheme="minorHAnsi"/>
                <w:b/>
                <w:bCs/>
                <w:color w:val="000000"/>
                <w:lang w:val="zh-CN" w:eastAsia="zh-CN"/>
              </w:rPr>
              <w:t>部门目标</w:t>
            </w:r>
            <w:r w:rsidRPr="004322C7">
              <w:rPr>
                <w:rFonts w:asciiTheme="minorHAnsi" w:eastAsiaTheme="minorEastAsia" w:hAnsiTheme="minorHAnsi" w:cstheme="minorHAnsi"/>
                <w:b/>
                <w:bCs/>
                <w:color w:val="000000"/>
                <w:lang w:val="zh-CN" w:eastAsia="zh-CN"/>
              </w:rPr>
              <w:t>2</w:t>
            </w:r>
            <w:r w:rsidRPr="004322C7">
              <w:rPr>
                <w:rFonts w:asciiTheme="minorHAnsi" w:eastAsiaTheme="minorEastAsia" w:hAnsiTheme="minorHAnsi" w:cstheme="minorHAnsi"/>
                <w:b/>
                <w:bCs/>
                <w:color w:val="000000"/>
                <w:lang w:val="zh-CN" w:eastAsia="zh-CN"/>
              </w:rPr>
              <w:t>：扩大数字经济的包容性并惠及人人</w:t>
            </w:r>
          </w:p>
          <w:p w14:paraId="0FA2270A" w14:textId="77777777" w:rsidR="0096402D" w:rsidRPr="004322C7" w:rsidRDefault="0096402D" w:rsidP="0096402D">
            <w:pPr>
              <w:pStyle w:val="ListParagraph"/>
              <w:numPr>
                <w:ilvl w:val="0"/>
                <w:numId w:val="8"/>
              </w:numPr>
              <w:tabs>
                <w:tab w:val="clear" w:pos="567"/>
                <w:tab w:val="clear" w:pos="1134"/>
                <w:tab w:val="clear" w:pos="1701"/>
                <w:tab w:val="clear" w:pos="2268"/>
                <w:tab w:val="clear" w:pos="2835"/>
              </w:tabs>
              <w:overflowPunct/>
              <w:autoSpaceDE/>
              <w:autoSpaceDN/>
              <w:adjustRightInd/>
              <w:spacing w:before="0" w:after="160" w:line="259" w:lineRule="auto"/>
              <w:ind w:left="605" w:hanging="605"/>
              <w:textAlignment w:val="auto"/>
              <w:rPr>
                <w:rFonts w:asciiTheme="minorHAnsi" w:eastAsiaTheme="minorEastAsia" w:hAnsiTheme="minorHAnsi" w:cstheme="minorHAnsi"/>
                <w:b/>
                <w:bCs/>
                <w:color w:val="000000"/>
                <w:lang w:val="zh-CN" w:eastAsia="zh-CN"/>
              </w:rPr>
            </w:pPr>
            <w:r w:rsidRPr="004322C7">
              <w:rPr>
                <w:rFonts w:asciiTheme="minorHAnsi" w:eastAsiaTheme="minorEastAsia" w:hAnsiTheme="minorHAnsi" w:cstheme="minorHAnsi"/>
                <w:color w:val="000000"/>
                <w:lang w:val="zh-CN" w:eastAsia="zh-CN"/>
              </w:rPr>
              <w:t>国际电联的国家</w:t>
            </w:r>
            <w:r w:rsidRPr="004322C7">
              <w:rPr>
                <w:rFonts w:asciiTheme="minorHAnsi" w:eastAsiaTheme="minorEastAsia" w:hAnsiTheme="minorHAnsi" w:cstheme="minorHAnsi"/>
                <w:color w:val="000000"/>
                <w:lang w:val="zh-CN" w:eastAsia="zh-CN"/>
              </w:rPr>
              <w:t>ICT</w:t>
            </w:r>
            <w:r w:rsidRPr="004322C7">
              <w:rPr>
                <w:rFonts w:asciiTheme="minorHAnsi" w:eastAsiaTheme="minorEastAsia" w:hAnsiTheme="minorHAnsi" w:cstheme="minorHAnsi"/>
                <w:color w:val="000000"/>
                <w:lang w:val="zh-CN" w:eastAsia="zh-CN"/>
              </w:rPr>
              <w:t>监管审查和</w:t>
            </w:r>
            <w:proofErr w:type="gramStart"/>
            <w:r w:rsidRPr="004322C7">
              <w:rPr>
                <w:rFonts w:asciiTheme="minorHAnsi" w:eastAsiaTheme="minorEastAsia" w:hAnsiTheme="minorHAnsi" w:cstheme="minorHAnsi"/>
                <w:color w:val="000000"/>
                <w:lang w:val="zh-CN" w:eastAsia="zh-CN"/>
              </w:rPr>
              <w:t>导则</w:t>
            </w:r>
            <w:proofErr w:type="gramEnd"/>
            <w:r w:rsidRPr="004322C7">
              <w:rPr>
                <w:rFonts w:asciiTheme="minorHAnsi" w:eastAsiaTheme="minorEastAsia" w:hAnsiTheme="minorHAnsi" w:cstheme="minorHAnsi"/>
                <w:color w:val="000000"/>
                <w:lang w:val="zh-CN" w:eastAsia="zh-CN"/>
              </w:rPr>
              <w:t>促进了全球数字经济的接入，而全球监管机构专题研讨会（</w:t>
            </w:r>
            <w:r w:rsidRPr="004322C7">
              <w:rPr>
                <w:rFonts w:asciiTheme="minorHAnsi" w:eastAsiaTheme="minorEastAsia" w:hAnsiTheme="minorHAnsi" w:cstheme="minorHAnsi"/>
                <w:color w:val="000000"/>
                <w:lang w:val="zh-CN" w:eastAsia="zh-CN"/>
              </w:rPr>
              <w:t>GSR</w:t>
            </w:r>
            <w:r w:rsidRPr="004322C7">
              <w:rPr>
                <w:rFonts w:asciiTheme="minorHAnsi" w:eastAsiaTheme="minorEastAsia" w:hAnsiTheme="minorHAnsi" w:cstheme="minorHAnsi"/>
                <w:color w:val="000000"/>
                <w:lang w:val="zh-CN" w:eastAsia="zh-CN"/>
              </w:rPr>
              <w:t>）则为监管机构之间的交流提供了便利。国际电联学院和数字技能培训加强了数字化转型的知识共享和能力建设，各种举措推动了创新，特别是边缘化人群的创新。</w:t>
            </w:r>
          </w:p>
          <w:p w14:paraId="5AC06B5F" w14:textId="77777777" w:rsidR="0096402D" w:rsidRPr="004322C7" w:rsidRDefault="0096402D" w:rsidP="004F4B01">
            <w:pPr>
              <w:keepNext/>
              <w:keepLines/>
              <w:rPr>
                <w:rFonts w:asciiTheme="minorHAnsi" w:eastAsiaTheme="minorEastAsia" w:hAnsiTheme="minorHAnsi" w:cstheme="minorHAnsi"/>
                <w:b/>
                <w:bCs/>
                <w:szCs w:val="24"/>
                <w:lang w:eastAsia="zh-CN"/>
              </w:rPr>
            </w:pPr>
            <w:r w:rsidRPr="004322C7">
              <w:rPr>
                <w:rFonts w:asciiTheme="minorHAnsi" w:eastAsiaTheme="minorEastAsia" w:hAnsiTheme="minorHAnsi" w:cstheme="minorHAnsi"/>
                <w:b/>
                <w:bCs/>
                <w:color w:val="000000"/>
                <w:lang w:val="zh-CN" w:eastAsia="zh-CN"/>
              </w:rPr>
              <w:lastRenderedPageBreak/>
              <w:t>GDC</w:t>
            </w:r>
            <w:r w:rsidRPr="004322C7">
              <w:rPr>
                <w:rFonts w:asciiTheme="minorHAnsi" w:eastAsiaTheme="minorEastAsia" w:hAnsiTheme="minorHAnsi" w:cstheme="minorHAnsi"/>
                <w:b/>
                <w:bCs/>
                <w:color w:val="000000"/>
                <w:lang w:val="zh-CN" w:eastAsia="zh-CN"/>
              </w:rPr>
              <w:t>部门目标</w:t>
            </w:r>
            <w:r w:rsidRPr="004322C7">
              <w:rPr>
                <w:rFonts w:asciiTheme="minorHAnsi" w:eastAsiaTheme="minorEastAsia" w:hAnsiTheme="minorHAnsi" w:cstheme="minorHAnsi"/>
                <w:b/>
                <w:bCs/>
                <w:color w:val="000000"/>
                <w:lang w:val="zh-CN" w:eastAsia="zh-CN"/>
              </w:rPr>
              <w:t>3</w:t>
            </w:r>
            <w:r w:rsidRPr="004322C7">
              <w:rPr>
                <w:rFonts w:asciiTheme="minorHAnsi" w:eastAsiaTheme="minorEastAsia" w:hAnsiTheme="minorHAnsi" w:cstheme="minorHAnsi"/>
                <w:b/>
                <w:bCs/>
                <w:color w:val="000000"/>
                <w:lang w:val="zh-CN" w:eastAsia="zh-CN"/>
              </w:rPr>
              <w:t>：营造尊重、保护和促进人权的包容、开放、安全和可靠的数字空间</w:t>
            </w:r>
          </w:p>
          <w:p w14:paraId="22E3F2F5" w14:textId="07CDB9E5" w:rsidR="0096402D" w:rsidRPr="00497214" w:rsidRDefault="0096402D" w:rsidP="00497214">
            <w:pPr>
              <w:pStyle w:val="enumlev1"/>
              <w:keepNext/>
              <w:keepLines/>
              <w:numPr>
                <w:ilvl w:val="0"/>
                <w:numId w:val="9"/>
              </w:numPr>
              <w:tabs>
                <w:tab w:val="clear" w:pos="794"/>
              </w:tabs>
              <w:ind w:left="452" w:hanging="425"/>
              <w:rPr>
                <w:rFonts w:asciiTheme="minorHAnsi" w:eastAsiaTheme="minorEastAsia" w:hAnsiTheme="minorHAnsi" w:cstheme="minorHAnsi"/>
                <w:color w:val="000000"/>
                <w:lang w:val="zh-CN" w:eastAsia="zh-CN"/>
              </w:rPr>
            </w:pPr>
            <w:r w:rsidRPr="004322C7">
              <w:rPr>
                <w:rFonts w:asciiTheme="minorHAnsi" w:eastAsiaTheme="minorEastAsia" w:hAnsiTheme="minorHAnsi" w:cstheme="minorHAnsi"/>
                <w:color w:val="000000"/>
                <w:lang w:val="zh-CN" w:eastAsia="zh-CN"/>
              </w:rPr>
              <w:t>国际电联与人权事务高级专员办事处（</w:t>
            </w:r>
            <w:r w:rsidRPr="004322C7">
              <w:rPr>
                <w:rFonts w:asciiTheme="minorHAnsi" w:eastAsiaTheme="minorEastAsia" w:hAnsiTheme="minorHAnsi" w:cstheme="minorHAnsi"/>
                <w:color w:val="000000"/>
                <w:lang w:val="zh-CN" w:eastAsia="zh-CN"/>
              </w:rPr>
              <w:t>OHCHR</w:t>
            </w:r>
            <w:r w:rsidRPr="004322C7">
              <w:rPr>
                <w:rFonts w:asciiTheme="minorHAnsi" w:eastAsiaTheme="minorEastAsia" w:hAnsiTheme="minorHAnsi" w:cstheme="minorHAnsi"/>
                <w:color w:val="000000"/>
                <w:lang w:val="zh-CN" w:eastAsia="zh-CN"/>
              </w:rPr>
              <w:t>）加强合作，推进基于权利的数字未来。借助包括人工智能向善平台和世界标准合作组织（</w:t>
            </w:r>
            <w:r w:rsidRPr="004322C7">
              <w:rPr>
                <w:rFonts w:asciiTheme="minorHAnsi" w:eastAsiaTheme="minorEastAsia" w:hAnsiTheme="minorHAnsi" w:cstheme="minorHAnsi"/>
                <w:color w:val="000000"/>
                <w:lang w:val="zh-CN" w:eastAsia="zh-CN"/>
              </w:rPr>
              <w:t>WSC</w:t>
            </w:r>
            <w:r w:rsidRPr="004322C7">
              <w:rPr>
                <w:rFonts w:asciiTheme="minorHAnsi" w:eastAsiaTheme="minorEastAsia" w:hAnsiTheme="minorHAnsi" w:cstheme="minorHAnsi"/>
                <w:color w:val="000000"/>
                <w:lang w:val="zh-CN" w:eastAsia="zh-CN"/>
              </w:rPr>
              <w:t>）在内的发展势头，国际电</w:t>
            </w:r>
            <w:proofErr w:type="gramStart"/>
            <w:r w:rsidRPr="004322C7">
              <w:rPr>
                <w:rFonts w:asciiTheme="minorHAnsi" w:eastAsiaTheme="minorEastAsia" w:hAnsiTheme="minorHAnsi" w:cstheme="minorHAnsi"/>
                <w:color w:val="000000"/>
                <w:lang w:val="zh-CN" w:eastAsia="zh-CN"/>
              </w:rPr>
              <w:t>联正在</w:t>
            </w:r>
            <w:proofErr w:type="gramEnd"/>
            <w:r w:rsidRPr="004322C7">
              <w:rPr>
                <w:rFonts w:asciiTheme="minorHAnsi" w:eastAsiaTheme="minorEastAsia" w:hAnsiTheme="minorHAnsi" w:cstheme="minorHAnsi"/>
                <w:color w:val="000000"/>
                <w:lang w:val="zh-CN" w:eastAsia="zh-CN"/>
              </w:rPr>
              <w:t>将人权原则纳入技术标准制定，特别是在人工智能水印、多媒体真实性和深度伪造检测等新兴领域。</w:t>
            </w:r>
          </w:p>
          <w:p w14:paraId="1DEC5382" w14:textId="77777777" w:rsidR="0096402D" w:rsidRPr="004322C7" w:rsidRDefault="0096402D" w:rsidP="0096402D">
            <w:pPr>
              <w:pStyle w:val="enumlev1"/>
              <w:numPr>
                <w:ilvl w:val="0"/>
                <w:numId w:val="9"/>
              </w:numPr>
              <w:tabs>
                <w:tab w:val="clear" w:pos="794"/>
                <w:tab w:val="clear" w:pos="1191"/>
                <w:tab w:val="clear" w:pos="1588"/>
                <w:tab w:val="clear" w:pos="1985"/>
                <w:tab w:val="clear" w:pos="2608"/>
                <w:tab w:val="clear" w:pos="3345"/>
                <w:tab w:val="left" w:pos="567"/>
                <w:tab w:val="left" w:pos="1701"/>
                <w:tab w:val="left" w:pos="2268"/>
                <w:tab w:val="left" w:pos="2835"/>
              </w:tabs>
              <w:spacing w:before="86" w:after="120" w:line="280" w:lineRule="exact"/>
              <w:ind w:left="512" w:hanging="540"/>
              <w:jc w:val="both"/>
              <w:rPr>
                <w:rFonts w:asciiTheme="minorHAnsi" w:eastAsiaTheme="minorEastAsia" w:hAnsiTheme="minorHAnsi" w:cstheme="minorHAnsi"/>
                <w:szCs w:val="24"/>
                <w:lang w:eastAsia="zh-CN"/>
              </w:rPr>
            </w:pPr>
            <w:r w:rsidRPr="004322C7">
              <w:rPr>
                <w:rFonts w:asciiTheme="minorHAnsi" w:eastAsiaTheme="minorEastAsia" w:hAnsiTheme="minorHAnsi" w:cstheme="minorHAnsi"/>
                <w:color w:val="000000"/>
                <w:lang w:val="zh-CN" w:eastAsia="zh-CN"/>
              </w:rPr>
              <w:t>WSIS</w:t>
            </w:r>
            <w:r w:rsidRPr="004322C7">
              <w:rPr>
                <w:rFonts w:asciiTheme="minorHAnsi" w:eastAsiaTheme="minorEastAsia" w:hAnsiTheme="minorHAnsi" w:cstheme="minorHAnsi"/>
                <w:color w:val="000000"/>
                <w:lang w:val="zh-CN" w:eastAsia="zh-CN"/>
              </w:rPr>
              <w:t>论坛将继续作为促进数字包容性、安全和问责制的重要利益攸关多方平台发挥作用。成员国还将通过理事会保护上网儿童工作组和互联网工作组等专门机制积极参与。补充性工作将包括制定基于权利的准则、培训材料、在线安全工具和研究成果，特别是促进为儿童和其他弱势群体创造安全的在线环境并增强其能力。这些举措符合全球数字契约的愿景，即建设一个开放、包容、安全并基于国际人权标准的数字空间。</w:t>
            </w:r>
          </w:p>
          <w:p w14:paraId="0E4C660A" w14:textId="77777777" w:rsidR="0096402D" w:rsidRPr="004322C7" w:rsidRDefault="0096402D" w:rsidP="004F4B01">
            <w:pPr>
              <w:rPr>
                <w:rFonts w:asciiTheme="minorHAnsi" w:eastAsiaTheme="minorEastAsia" w:hAnsiTheme="minorHAnsi" w:cstheme="minorHAnsi"/>
                <w:color w:val="000000"/>
                <w:lang w:val="zh-CN" w:eastAsia="zh-CN"/>
              </w:rPr>
            </w:pPr>
            <w:r w:rsidRPr="004322C7">
              <w:rPr>
                <w:rFonts w:asciiTheme="minorHAnsi" w:eastAsiaTheme="minorEastAsia" w:hAnsiTheme="minorHAnsi" w:cstheme="minorHAnsi"/>
                <w:b/>
                <w:bCs/>
                <w:color w:val="000000"/>
                <w:lang w:val="zh-CN" w:eastAsia="zh-CN"/>
              </w:rPr>
              <w:t>GDC</w:t>
            </w:r>
            <w:r w:rsidRPr="004322C7">
              <w:rPr>
                <w:rFonts w:asciiTheme="minorHAnsi" w:eastAsiaTheme="minorEastAsia" w:hAnsiTheme="minorHAnsi" w:cstheme="minorHAnsi"/>
                <w:b/>
                <w:bCs/>
                <w:color w:val="000000"/>
                <w:lang w:val="zh-CN" w:eastAsia="zh-CN"/>
              </w:rPr>
              <w:t>部门目标</w:t>
            </w:r>
            <w:r w:rsidRPr="004322C7">
              <w:rPr>
                <w:rFonts w:asciiTheme="minorHAnsi" w:eastAsiaTheme="minorEastAsia" w:hAnsiTheme="minorHAnsi" w:cstheme="minorHAnsi"/>
                <w:b/>
                <w:bCs/>
                <w:color w:val="000000"/>
                <w:lang w:val="zh-CN" w:eastAsia="zh-CN"/>
              </w:rPr>
              <w:t>4</w:t>
            </w:r>
            <w:r w:rsidRPr="004322C7">
              <w:rPr>
                <w:rFonts w:asciiTheme="minorHAnsi" w:eastAsiaTheme="minorEastAsia" w:hAnsiTheme="minorHAnsi" w:cstheme="minorHAnsi"/>
                <w:b/>
                <w:bCs/>
                <w:color w:val="000000"/>
                <w:lang w:val="zh-CN" w:eastAsia="zh-CN"/>
              </w:rPr>
              <w:t>：推进负责任、公平和</w:t>
            </w:r>
            <w:proofErr w:type="gramStart"/>
            <w:r w:rsidRPr="004322C7">
              <w:rPr>
                <w:rFonts w:asciiTheme="minorHAnsi" w:eastAsiaTheme="minorEastAsia" w:hAnsiTheme="minorHAnsi" w:cstheme="minorHAnsi"/>
                <w:b/>
                <w:bCs/>
                <w:color w:val="000000"/>
                <w:lang w:val="zh-CN" w:eastAsia="zh-CN"/>
              </w:rPr>
              <w:t>可</w:t>
            </w:r>
            <w:proofErr w:type="gramEnd"/>
            <w:r w:rsidRPr="004322C7">
              <w:rPr>
                <w:rFonts w:asciiTheme="minorHAnsi" w:eastAsiaTheme="minorEastAsia" w:hAnsiTheme="minorHAnsi" w:cstheme="minorHAnsi"/>
                <w:b/>
                <w:bCs/>
                <w:color w:val="000000"/>
                <w:lang w:val="zh-CN" w:eastAsia="zh-CN"/>
              </w:rPr>
              <w:t>互操作的数据管理方法</w:t>
            </w:r>
          </w:p>
          <w:p w14:paraId="23F34FDF" w14:textId="77777777" w:rsidR="0096402D" w:rsidRPr="004322C7" w:rsidRDefault="0096402D" w:rsidP="0096402D">
            <w:pPr>
              <w:pStyle w:val="enumlev1"/>
              <w:numPr>
                <w:ilvl w:val="0"/>
                <w:numId w:val="9"/>
              </w:numPr>
              <w:tabs>
                <w:tab w:val="clear" w:pos="794"/>
                <w:tab w:val="clear" w:pos="1191"/>
                <w:tab w:val="clear" w:pos="1588"/>
                <w:tab w:val="clear" w:pos="1985"/>
                <w:tab w:val="clear" w:pos="2608"/>
                <w:tab w:val="clear" w:pos="3345"/>
                <w:tab w:val="left" w:pos="567"/>
                <w:tab w:val="left" w:pos="1701"/>
                <w:tab w:val="left" w:pos="2268"/>
                <w:tab w:val="left" w:pos="2835"/>
              </w:tabs>
              <w:spacing w:before="86" w:after="120" w:line="280" w:lineRule="exact"/>
              <w:ind w:left="512" w:hanging="540"/>
              <w:jc w:val="both"/>
              <w:rPr>
                <w:rFonts w:asciiTheme="minorHAnsi" w:eastAsiaTheme="minorEastAsia" w:hAnsiTheme="minorHAnsi" w:cstheme="minorHAnsi"/>
                <w:color w:val="000000"/>
                <w:lang w:val="zh-CN" w:eastAsia="zh-CN"/>
              </w:rPr>
            </w:pPr>
            <w:r w:rsidRPr="004322C7">
              <w:rPr>
                <w:rFonts w:asciiTheme="minorHAnsi" w:eastAsiaTheme="minorEastAsia" w:hAnsiTheme="minorHAnsi" w:cstheme="minorHAnsi"/>
                <w:color w:val="000000"/>
                <w:lang w:val="zh-CN" w:eastAsia="zh-CN"/>
              </w:rPr>
              <w:t>国际电联在</w:t>
            </w:r>
            <w:r w:rsidRPr="004322C7">
              <w:rPr>
                <w:rFonts w:asciiTheme="minorHAnsi" w:eastAsiaTheme="minorEastAsia" w:hAnsiTheme="minorHAnsi" w:cstheme="minorHAnsi"/>
                <w:color w:val="000000"/>
                <w:lang w:val="zh-CN" w:eastAsia="zh-CN"/>
              </w:rPr>
              <w:t>ICT</w:t>
            </w:r>
            <w:r w:rsidRPr="004322C7">
              <w:rPr>
                <w:rFonts w:asciiTheme="minorHAnsi" w:eastAsiaTheme="minorEastAsia" w:hAnsiTheme="minorHAnsi" w:cstheme="minorHAnsi"/>
                <w:color w:val="000000"/>
                <w:lang w:val="zh-CN" w:eastAsia="zh-CN"/>
              </w:rPr>
              <w:t>发展指数（</w:t>
            </w:r>
            <w:r w:rsidRPr="004322C7">
              <w:rPr>
                <w:rFonts w:asciiTheme="minorHAnsi" w:eastAsiaTheme="minorEastAsia" w:hAnsiTheme="minorHAnsi" w:cstheme="minorHAnsi"/>
                <w:color w:val="000000"/>
                <w:lang w:val="zh-CN" w:eastAsia="zh-CN"/>
              </w:rPr>
              <w:t>IDI</w:t>
            </w:r>
            <w:r w:rsidRPr="004322C7">
              <w:rPr>
                <w:rFonts w:asciiTheme="minorHAnsi" w:eastAsiaTheme="minorEastAsia" w:hAnsiTheme="minorHAnsi" w:cstheme="minorHAnsi"/>
                <w:color w:val="000000"/>
                <w:lang w:val="zh-CN" w:eastAsia="zh-CN"/>
              </w:rPr>
              <w:t>）指标、全球网络安全指数（</w:t>
            </w:r>
            <w:r w:rsidRPr="004322C7">
              <w:rPr>
                <w:rFonts w:asciiTheme="minorHAnsi" w:eastAsiaTheme="minorEastAsia" w:hAnsiTheme="minorHAnsi" w:cstheme="minorHAnsi"/>
                <w:color w:val="000000"/>
                <w:lang w:val="zh-CN" w:eastAsia="zh-CN"/>
              </w:rPr>
              <w:t>GCI</w:t>
            </w:r>
            <w:r w:rsidRPr="004322C7">
              <w:rPr>
                <w:rFonts w:asciiTheme="minorHAnsi" w:eastAsiaTheme="minorEastAsia" w:hAnsiTheme="minorHAnsi" w:cstheme="minorHAnsi"/>
                <w:color w:val="000000"/>
                <w:lang w:val="zh-CN" w:eastAsia="zh-CN"/>
              </w:rPr>
              <w:t>）和其他统计数据方面的工作，以及联合国宽带委员会与联合国教科文组织（</w:t>
            </w:r>
            <w:r w:rsidRPr="004322C7">
              <w:rPr>
                <w:rFonts w:asciiTheme="minorHAnsi" w:eastAsiaTheme="minorEastAsia" w:hAnsiTheme="minorHAnsi" w:cstheme="minorHAnsi"/>
                <w:color w:val="000000"/>
                <w:lang w:val="zh-CN" w:eastAsia="zh-CN"/>
              </w:rPr>
              <w:t>UNESCO</w:t>
            </w:r>
            <w:r w:rsidRPr="004322C7">
              <w:rPr>
                <w:rFonts w:asciiTheme="minorHAnsi" w:eastAsiaTheme="minorEastAsia" w:hAnsiTheme="minorHAnsi" w:cstheme="minorHAnsi"/>
                <w:color w:val="000000"/>
                <w:lang w:val="zh-CN" w:eastAsia="zh-CN"/>
              </w:rPr>
              <w:t>）的协作（特别是其数据治理工作组）以及电信标准化局在数据互操作性方面的努力均有助于实现这一目标。</w:t>
            </w:r>
          </w:p>
          <w:p w14:paraId="484BE75E" w14:textId="77777777" w:rsidR="0096402D" w:rsidRPr="004322C7" w:rsidRDefault="0096402D" w:rsidP="004F4B01">
            <w:pPr>
              <w:rPr>
                <w:rFonts w:asciiTheme="minorHAnsi" w:eastAsiaTheme="minorEastAsia" w:hAnsiTheme="minorHAnsi" w:cstheme="minorHAnsi"/>
                <w:color w:val="000000"/>
                <w:lang w:val="zh-CN" w:eastAsia="zh-CN"/>
              </w:rPr>
            </w:pPr>
            <w:r w:rsidRPr="004322C7">
              <w:rPr>
                <w:rFonts w:asciiTheme="minorHAnsi" w:eastAsiaTheme="minorEastAsia" w:hAnsiTheme="minorHAnsi" w:cstheme="minorHAnsi"/>
                <w:b/>
                <w:bCs/>
                <w:color w:val="000000"/>
                <w:lang w:val="zh-CN" w:eastAsia="zh-CN"/>
              </w:rPr>
              <w:t>GDC</w:t>
            </w:r>
            <w:r w:rsidRPr="004322C7">
              <w:rPr>
                <w:rFonts w:asciiTheme="minorHAnsi" w:eastAsiaTheme="minorEastAsia" w:hAnsiTheme="minorHAnsi" w:cstheme="minorHAnsi"/>
                <w:b/>
                <w:bCs/>
                <w:color w:val="000000"/>
                <w:lang w:val="zh-CN" w:eastAsia="zh-CN"/>
              </w:rPr>
              <w:t>部门目标</w:t>
            </w:r>
            <w:r w:rsidRPr="004322C7">
              <w:rPr>
                <w:rFonts w:asciiTheme="minorHAnsi" w:eastAsiaTheme="minorEastAsia" w:hAnsiTheme="minorHAnsi" w:cstheme="minorHAnsi"/>
                <w:b/>
                <w:bCs/>
                <w:color w:val="000000"/>
                <w:lang w:val="zh-CN" w:eastAsia="zh-CN"/>
              </w:rPr>
              <w:t>5</w:t>
            </w:r>
            <w:r w:rsidRPr="004322C7">
              <w:rPr>
                <w:rFonts w:asciiTheme="minorHAnsi" w:eastAsiaTheme="minorEastAsia" w:hAnsiTheme="minorHAnsi" w:cstheme="minorHAnsi"/>
                <w:b/>
                <w:bCs/>
                <w:color w:val="000000"/>
                <w:lang w:val="zh-CN" w:eastAsia="zh-CN"/>
              </w:rPr>
              <w:t>：加强人工智能的国际治理，造福人类</w:t>
            </w:r>
          </w:p>
          <w:p w14:paraId="22F7D452" w14:textId="0795BD55" w:rsidR="0096402D" w:rsidRPr="004322C7" w:rsidRDefault="0096402D" w:rsidP="0096402D">
            <w:pPr>
              <w:pStyle w:val="enumlev1"/>
              <w:numPr>
                <w:ilvl w:val="0"/>
                <w:numId w:val="9"/>
              </w:numPr>
              <w:tabs>
                <w:tab w:val="clear" w:pos="794"/>
                <w:tab w:val="clear" w:pos="1191"/>
                <w:tab w:val="clear" w:pos="1588"/>
                <w:tab w:val="clear" w:pos="1985"/>
                <w:tab w:val="clear" w:pos="2608"/>
                <w:tab w:val="clear" w:pos="3345"/>
                <w:tab w:val="left" w:pos="567"/>
                <w:tab w:val="left" w:pos="1701"/>
                <w:tab w:val="left" w:pos="2268"/>
                <w:tab w:val="left" w:pos="2835"/>
              </w:tabs>
              <w:spacing w:before="86" w:after="120" w:line="280" w:lineRule="exact"/>
              <w:ind w:left="512" w:hanging="540"/>
              <w:jc w:val="both"/>
              <w:rPr>
                <w:rFonts w:asciiTheme="minorHAnsi" w:eastAsiaTheme="minorEastAsia" w:hAnsiTheme="minorHAnsi" w:cstheme="minorHAnsi"/>
                <w:color w:val="000000"/>
                <w:lang w:val="zh-CN" w:eastAsia="zh-CN"/>
              </w:rPr>
            </w:pPr>
            <w:r w:rsidRPr="004322C7">
              <w:rPr>
                <w:rFonts w:asciiTheme="minorHAnsi" w:eastAsiaTheme="minorEastAsia" w:hAnsiTheme="minorHAnsi" w:cstheme="minorHAnsi"/>
                <w:color w:val="000000"/>
                <w:lang w:val="zh-CN" w:eastAsia="zh-CN"/>
              </w:rPr>
              <w:t>国际电联</w:t>
            </w:r>
            <w:r w:rsidRPr="004322C7">
              <w:rPr>
                <w:rFonts w:asciiTheme="minorHAnsi" w:eastAsiaTheme="minorEastAsia" w:hAnsiTheme="minorHAnsi" w:cstheme="minorHAnsi"/>
                <w:color w:val="000000"/>
                <w:lang w:val="zh-CN" w:eastAsia="zh-CN"/>
              </w:rPr>
              <w:t>GSR</w:t>
            </w:r>
            <w:r w:rsidRPr="004322C7">
              <w:rPr>
                <w:rFonts w:asciiTheme="minorHAnsi" w:eastAsiaTheme="minorEastAsia" w:hAnsiTheme="minorHAnsi" w:cstheme="minorHAnsi"/>
                <w:color w:val="000000"/>
                <w:lang w:val="zh-CN" w:eastAsia="zh-CN"/>
              </w:rPr>
              <w:t>和由国际电联与联合国教科文组织共同领导的联合国人工智能机构间工作组（</w:t>
            </w:r>
            <w:r w:rsidRPr="004322C7">
              <w:rPr>
                <w:rFonts w:asciiTheme="minorHAnsi" w:eastAsiaTheme="minorEastAsia" w:hAnsiTheme="minorHAnsi" w:cstheme="minorHAnsi"/>
                <w:color w:val="000000"/>
                <w:lang w:val="zh-CN" w:eastAsia="zh-CN"/>
              </w:rPr>
              <w:t>IAWG-AI</w:t>
            </w:r>
            <w:r w:rsidRPr="004322C7">
              <w:rPr>
                <w:rFonts w:asciiTheme="minorHAnsi" w:eastAsiaTheme="minorEastAsia" w:hAnsiTheme="minorHAnsi" w:cstheme="minorHAnsi"/>
                <w:color w:val="000000"/>
                <w:lang w:val="zh-CN" w:eastAsia="zh-CN"/>
              </w:rPr>
              <w:t>）在其关键工作的基础上再接再厉，而世界标准合作组织（</w:t>
            </w:r>
            <w:r w:rsidRPr="004322C7">
              <w:rPr>
                <w:rFonts w:asciiTheme="minorHAnsi" w:eastAsiaTheme="minorEastAsia" w:hAnsiTheme="minorHAnsi" w:cstheme="minorHAnsi"/>
                <w:color w:val="000000"/>
                <w:lang w:val="zh-CN" w:eastAsia="zh-CN"/>
              </w:rPr>
              <w:t>WSC</w:t>
            </w:r>
            <w:r w:rsidRPr="004322C7">
              <w:rPr>
                <w:rFonts w:asciiTheme="minorHAnsi" w:eastAsiaTheme="minorEastAsia" w:hAnsiTheme="minorHAnsi" w:cstheme="minorHAnsi"/>
                <w:color w:val="000000"/>
                <w:lang w:val="zh-CN" w:eastAsia="zh-CN"/>
              </w:rPr>
              <w:t>）</w:t>
            </w:r>
            <w:r w:rsidR="00E54268" w:rsidRPr="00E54268">
              <w:rPr>
                <w:rFonts w:asciiTheme="minorHAnsi" w:eastAsiaTheme="minorEastAsia" w:hAnsiTheme="minorHAnsi" w:cstheme="minorHAnsi"/>
                <w:color w:val="000000"/>
                <w:lang w:val="zh-CN" w:eastAsia="zh-CN"/>
              </w:rPr>
              <w:t>–</w:t>
            </w:r>
            <w:r w:rsidR="00E54268">
              <w:rPr>
                <w:rFonts w:asciiTheme="minorHAnsi" w:eastAsiaTheme="minorEastAsia" w:hAnsiTheme="minorHAnsi" w:cstheme="minorHAnsi" w:hint="eastAsia"/>
                <w:color w:val="000000"/>
                <w:lang w:val="zh-CN" w:eastAsia="zh-CN"/>
              </w:rPr>
              <w:t xml:space="preserve"> </w:t>
            </w:r>
            <w:r w:rsidRPr="004322C7">
              <w:rPr>
                <w:rFonts w:asciiTheme="minorHAnsi" w:eastAsiaTheme="minorEastAsia" w:hAnsiTheme="minorHAnsi" w:cstheme="minorHAnsi"/>
                <w:color w:val="000000"/>
                <w:lang w:val="zh-CN" w:eastAsia="zh-CN"/>
              </w:rPr>
              <w:t>国际电联、国际标准化组织和国际电工委员会之间的合作</w:t>
            </w:r>
            <w:r w:rsidR="00E54268">
              <w:rPr>
                <w:rFonts w:asciiTheme="minorHAnsi" w:eastAsiaTheme="minorEastAsia" w:hAnsiTheme="minorHAnsi" w:cstheme="minorHAnsi" w:hint="eastAsia"/>
                <w:color w:val="000000"/>
                <w:lang w:val="zh-CN" w:eastAsia="zh-CN"/>
              </w:rPr>
              <w:t xml:space="preserve"> </w:t>
            </w:r>
            <w:r w:rsidR="00E54268" w:rsidRPr="00E54268">
              <w:rPr>
                <w:rFonts w:asciiTheme="minorHAnsi" w:eastAsiaTheme="minorEastAsia" w:hAnsiTheme="minorHAnsi" w:cstheme="minorHAnsi"/>
                <w:color w:val="000000"/>
                <w:lang w:val="zh-CN" w:eastAsia="zh-CN"/>
              </w:rPr>
              <w:t>–</w:t>
            </w:r>
            <w:r w:rsidR="00E54268">
              <w:rPr>
                <w:rFonts w:asciiTheme="minorHAnsi" w:eastAsiaTheme="minorEastAsia" w:hAnsiTheme="minorHAnsi" w:cstheme="minorHAnsi" w:hint="eastAsia"/>
                <w:color w:val="000000"/>
                <w:lang w:val="zh-CN" w:eastAsia="zh-CN"/>
              </w:rPr>
              <w:t xml:space="preserve"> </w:t>
            </w:r>
            <w:r w:rsidRPr="004322C7">
              <w:rPr>
                <w:rFonts w:asciiTheme="minorHAnsi" w:eastAsiaTheme="minorEastAsia" w:hAnsiTheme="minorHAnsi" w:cstheme="minorHAnsi"/>
                <w:color w:val="000000"/>
                <w:lang w:val="zh-CN" w:eastAsia="zh-CN"/>
              </w:rPr>
              <w:t>则</w:t>
            </w:r>
            <w:r w:rsidR="004127AE">
              <w:rPr>
                <w:rFonts w:asciiTheme="minorHAnsi" w:eastAsiaTheme="minorEastAsia" w:hAnsiTheme="minorHAnsi" w:cstheme="minorHAnsi"/>
                <w:color w:val="000000"/>
                <w:lang w:val="zh-CN" w:eastAsia="zh-CN"/>
              </w:rPr>
              <w:br/>
            </w:r>
            <w:r w:rsidRPr="004322C7">
              <w:rPr>
                <w:rFonts w:asciiTheme="minorHAnsi" w:eastAsiaTheme="minorEastAsia" w:hAnsiTheme="minorHAnsi" w:cstheme="minorHAnsi"/>
                <w:color w:val="000000"/>
                <w:lang w:val="zh-CN" w:eastAsia="zh-CN"/>
              </w:rPr>
              <w:t>加强了标准交流；电信标准化局目前有超过</w:t>
            </w:r>
            <w:r w:rsidRPr="004322C7">
              <w:rPr>
                <w:rFonts w:asciiTheme="minorHAnsi" w:eastAsiaTheme="minorEastAsia" w:hAnsiTheme="minorHAnsi" w:cstheme="minorHAnsi"/>
                <w:color w:val="000000"/>
                <w:lang w:val="zh-CN" w:eastAsia="zh-CN"/>
              </w:rPr>
              <w:t>165</w:t>
            </w:r>
            <w:r w:rsidRPr="004322C7">
              <w:rPr>
                <w:rFonts w:asciiTheme="minorHAnsi" w:eastAsiaTheme="minorEastAsia" w:hAnsiTheme="minorHAnsi" w:cstheme="minorHAnsi"/>
                <w:color w:val="000000"/>
                <w:lang w:val="zh-CN" w:eastAsia="zh-CN"/>
              </w:rPr>
              <w:t>项人工智能标准，另有</w:t>
            </w:r>
            <w:r w:rsidRPr="004322C7">
              <w:rPr>
                <w:rFonts w:asciiTheme="minorHAnsi" w:eastAsiaTheme="minorEastAsia" w:hAnsiTheme="minorHAnsi" w:cstheme="minorHAnsi"/>
                <w:color w:val="000000"/>
                <w:lang w:val="zh-CN" w:eastAsia="zh-CN"/>
              </w:rPr>
              <w:t>150</w:t>
            </w:r>
            <w:r w:rsidRPr="004322C7">
              <w:rPr>
                <w:rFonts w:asciiTheme="minorHAnsi" w:eastAsiaTheme="minorEastAsia" w:hAnsiTheme="minorHAnsi" w:cstheme="minorHAnsi"/>
                <w:color w:val="000000"/>
                <w:lang w:val="zh-CN" w:eastAsia="zh-CN"/>
              </w:rPr>
              <w:t>项正在制定中，利用其独特的成员组成，与关键技术企业和社区成员接触，并加强与联合国姊妹机构的合作，包括世界非政府组织运动（</w:t>
            </w:r>
            <w:r w:rsidRPr="004322C7">
              <w:rPr>
                <w:rFonts w:asciiTheme="minorHAnsi" w:eastAsiaTheme="minorEastAsia" w:hAnsiTheme="minorHAnsi" w:cstheme="minorHAnsi"/>
                <w:color w:val="000000"/>
                <w:lang w:val="zh-CN" w:eastAsia="zh-CN"/>
              </w:rPr>
              <w:t>WGO</w:t>
            </w:r>
            <w:r w:rsidRPr="004322C7">
              <w:rPr>
                <w:rFonts w:asciiTheme="minorHAnsi" w:eastAsiaTheme="minorEastAsia" w:hAnsiTheme="minorHAnsi" w:cstheme="minorHAnsi"/>
                <w:color w:val="000000"/>
                <w:lang w:val="zh-CN" w:eastAsia="zh-CN"/>
              </w:rPr>
              <w:t>）、粮农组织（</w:t>
            </w:r>
            <w:r w:rsidRPr="004322C7">
              <w:rPr>
                <w:rFonts w:asciiTheme="minorHAnsi" w:eastAsiaTheme="minorEastAsia" w:hAnsiTheme="minorHAnsi" w:cstheme="minorHAnsi"/>
                <w:color w:val="000000"/>
                <w:lang w:val="zh-CN" w:eastAsia="zh-CN"/>
              </w:rPr>
              <w:t>FAO</w:t>
            </w:r>
            <w:r w:rsidRPr="004322C7">
              <w:rPr>
                <w:rFonts w:asciiTheme="minorHAnsi" w:eastAsiaTheme="minorEastAsia" w:hAnsiTheme="minorHAnsi" w:cstheme="minorHAnsi"/>
                <w:color w:val="000000"/>
                <w:lang w:val="zh-CN" w:eastAsia="zh-CN"/>
              </w:rPr>
              <w:t>）、世界气象组织（</w:t>
            </w:r>
            <w:r w:rsidRPr="004322C7">
              <w:rPr>
                <w:rFonts w:asciiTheme="minorHAnsi" w:eastAsiaTheme="minorEastAsia" w:hAnsiTheme="minorHAnsi" w:cstheme="minorHAnsi"/>
                <w:color w:val="000000"/>
                <w:lang w:val="zh-CN" w:eastAsia="zh-CN"/>
              </w:rPr>
              <w:t>WMO</w:t>
            </w:r>
            <w:r w:rsidRPr="004322C7">
              <w:rPr>
                <w:rFonts w:asciiTheme="minorHAnsi" w:eastAsiaTheme="minorEastAsia" w:hAnsiTheme="minorHAnsi" w:cstheme="minorHAnsi"/>
                <w:color w:val="000000"/>
                <w:lang w:val="zh-CN" w:eastAsia="zh-CN"/>
              </w:rPr>
              <w:t>）、国际原子能机构（</w:t>
            </w:r>
            <w:r w:rsidRPr="004322C7">
              <w:rPr>
                <w:rFonts w:asciiTheme="minorHAnsi" w:eastAsiaTheme="minorEastAsia" w:hAnsiTheme="minorHAnsi" w:cstheme="minorHAnsi"/>
                <w:color w:val="000000"/>
                <w:lang w:val="zh-CN" w:eastAsia="zh-CN"/>
              </w:rPr>
              <w:t>IAEA</w:t>
            </w:r>
            <w:r w:rsidRPr="004322C7">
              <w:rPr>
                <w:rFonts w:asciiTheme="minorHAnsi" w:eastAsiaTheme="minorEastAsia" w:hAnsiTheme="minorHAnsi" w:cstheme="minorHAnsi"/>
                <w:color w:val="000000"/>
                <w:lang w:val="zh-CN" w:eastAsia="zh-CN"/>
              </w:rPr>
              <w:t>）、联合国环境规划署（</w:t>
            </w:r>
            <w:r w:rsidRPr="004322C7">
              <w:rPr>
                <w:rFonts w:asciiTheme="minorHAnsi" w:eastAsiaTheme="minorEastAsia" w:hAnsiTheme="minorHAnsi" w:cstheme="minorHAnsi"/>
                <w:color w:val="000000"/>
                <w:lang w:val="zh-CN" w:eastAsia="zh-CN"/>
              </w:rPr>
              <w:t>UNEP</w:t>
            </w:r>
            <w:r w:rsidRPr="004322C7">
              <w:rPr>
                <w:rFonts w:asciiTheme="minorHAnsi" w:eastAsiaTheme="minorEastAsia" w:hAnsiTheme="minorHAnsi" w:cstheme="minorHAnsi"/>
                <w:color w:val="000000"/>
                <w:lang w:val="zh-CN" w:eastAsia="zh-CN"/>
              </w:rPr>
              <w:t>）等。</w:t>
            </w:r>
          </w:p>
          <w:p w14:paraId="18991918" w14:textId="677920BE" w:rsidR="0096402D" w:rsidRPr="00032B52" w:rsidRDefault="0096402D" w:rsidP="004322C7">
            <w:pPr>
              <w:ind w:firstLineChars="200" w:firstLine="480"/>
              <w:rPr>
                <w:rFonts w:asciiTheme="minorHAnsi" w:eastAsiaTheme="minorEastAsia" w:hAnsiTheme="minorHAnsi"/>
                <w:lang w:eastAsia="zh-CN"/>
              </w:rPr>
            </w:pPr>
            <w:r w:rsidRPr="004322C7">
              <w:rPr>
                <w:rFonts w:asciiTheme="minorHAnsi" w:eastAsiaTheme="minorEastAsia" w:hAnsiTheme="minorHAnsi" w:cstheme="minorHAnsi"/>
                <w:color w:val="000000"/>
                <w:lang w:val="zh-CN" w:eastAsia="zh-CN"/>
              </w:rPr>
              <w:t>行动计划</w:t>
            </w:r>
            <w:hyperlink r:id="rId23" w:history="1">
              <w:r w:rsidRPr="00747CE1">
                <w:rPr>
                  <w:rStyle w:val="Style"/>
                </w:rPr>
                <w:t>附件</w:t>
              </w:r>
            </w:hyperlink>
            <w:r w:rsidRPr="004322C7">
              <w:rPr>
                <w:rFonts w:asciiTheme="minorHAnsi" w:eastAsiaTheme="minorEastAsia" w:hAnsiTheme="minorHAnsi" w:cstheme="minorHAnsi"/>
                <w:color w:val="000000"/>
                <w:lang w:val="zh-CN" w:eastAsia="zh-CN"/>
              </w:rPr>
              <w:t>中提供了通过</w:t>
            </w:r>
            <w:r w:rsidRPr="004322C7">
              <w:rPr>
                <w:rFonts w:asciiTheme="minorHAnsi" w:eastAsiaTheme="minorEastAsia" w:hAnsiTheme="minorHAnsi" w:cstheme="minorHAnsi"/>
                <w:color w:val="000000"/>
                <w:lang w:val="zh-CN" w:eastAsia="zh-CN"/>
              </w:rPr>
              <w:t>WSIS</w:t>
            </w:r>
            <w:r w:rsidRPr="004322C7">
              <w:rPr>
                <w:rFonts w:asciiTheme="minorHAnsi" w:eastAsiaTheme="minorEastAsia" w:hAnsiTheme="minorHAnsi" w:cstheme="minorHAnsi"/>
                <w:color w:val="000000"/>
                <w:lang w:val="zh-CN" w:eastAsia="zh-CN"/>
              </w:rPr>
              <w:t>进程实施</w:t>
            </w:r>
            <w:r w:rsidRPr="004322C7">
              <w:rPr>
                <w:rFonts w:asciiTheme="minorHAnsi" w:eastAsiaTheme="minorEastAsia" w:hAnsiTheme="minorHAnsi" w:cstheme="minorHAnsi"/>
                <w:color w:val="000000"/>
                <w:lang w:val="zh-CN" w:eastAsia="zh-CN"/>
              </w:rPr>
              <w:t>GDC</w:t>
            </w:r>
            <w:r w:rsidRPr="004322C7">
              <w:rPr>
                <w:rFonts w:asciiTheme="minorHAnsi" w:eastAsiaTheme="minorEastAsia" w:hAnsiTheme="minorHAnsi" w:cstheme="minorHAnsi"/>
                <w:color w:val="000000"/>
                <w:lang w:val="zh-CN" w:eastAsia="zh-CN"/>
              </w:rPr>
              <w:t>和国际电联活动的详细对照，以及可在</w:t>
            </w:r>
            <w:hyperlink r:id="rId24" w:history="1">
              <w:r w:rsidRPr="00747CE1">
                <w:rPr>
                  <w:rStyle w:val="Style"/>
                </w:rPr>
                <w:t>此处</w:t>
              </w:r>
            </w:hyperlink>
            <w:r w:rsidRPr="004322C7">
              <w:rPr>
                <w:rFonts w:asciiTheme="minorHAnsi" w:eastAsiaTheme="minorEastAsia" w:hAnsiTheme="minorHAnsi" w:cstheme="minorHAnsi"/>
                <w:color w:val="000000"/>
                <w:lang w:val="zh-CN" w:eastAsia="zh-CN"/>
              </w:rPr>
              <w:t>查阅的、题为</w:t>
            </w:r>
            <w:r w:rsidR="00473549" w:rsidRPr="00473549">
              <w:rPr>
                <w:rFonts w:ascii="SimSun" w:eastAsia="SimSun" w:hAnsi="SimSun" w:cstheme="minorHAnsi"/>
                <w:color w:val="000000"/>
                <w:lang w:val="zh-CN" w:eastAsia="zh-CN"/>
              </w:rPr>
              <w:t>“</w:t>
            </w:r>
            <w:r w:rsidRPr="004322C7">
              <w:rPr>
                <w:rFonts w:asciiTheme="minorHAnsi" w:eastAsiaTheme="minorEastAsia" w:hAnsiTheme="minorHAnsi" w:cstheme="minorHAnsi"/>
                <w:color w:val="000000"/>
                <w:lang w:val="zh-CN" w:eastAsia="zh-CN"/>
              </w:rPr>
              <w:t>国际电联和</w:t>
            </w:r>
            <w:r w:rsidRPr="004322C7">
              <w:rPr>
                <w:rFonts w:asciiTheme="minorHAnsi" w:eastAsiaTheme="minorEastAsia" w:hAnsiTheme="minorHAnsi" w:cstheme="minorHAnsi"/>
                <w:color w:val="000000"/>
                <w:lang w:val="zh-CN" w:eastAsia="zh-CN"/>
              </w:rPr>
              <w:t>WSIS</w:t>
            </w:r>
            <w:r w:rsidRPr="004322C7">
              <w:rPr>
                <w:rFonts w:asciiTheme="minorHAnsi" w:eastAsiaTheme="minorEastAsia" w:hAnsiTheme="minorHAnsi" w:cstheme="minorHAnsi"/>
                <w:color w:val="000000"/>
                <w:lang w:val="zh-CN" w:eastAsia="zh-CN"/>
              </w:rPr>
              <w:t>为实现全球数字契约（</w:t>
            </w:r>
            <w:r w:rsidRPr="004322C7">
              <w:rPr>
                <w:rFonts w:asciiTheme="minorHAnsi" w:eastAsiaTheme="minorEastAsia" w:hAnsiTheme="minorHAnsi" w:cstheme="minorHAnsi"/>
                <w:color w:val="000000"/>
                <w:lang w:val="zh-CN" w:eastAsia="zh-CN"/>
              </w:rPr>
              <w:t>GDC</w:t>
            </w:r>
            <w:r w:rsidRPr="004322C7">
              <w:rPr>
                <w:rFonts w:asciiTheme="minorHAnsi" w:eastAsiaTheme="minorEastAsia" w:hAnsiTheme="minorHAnsi" w:cstheme="minorHAnsi"/>
                <w:color w:val="000000"/>
                <w:lang w:val="zh-CN" w:eastAsia="zh-CN"/>
              </w:rPr>
              <w:t>）目标而开展的活动</w:t>
            </w:r>
            <w:r w:rsidR="00473549" w:rsidRPr="00473549">
              <w:rPr>
                <w:rFonts w:ascii="SimSun" w:eastAsia="SimSun" w:hAnsi="SimSun" w:cstheme="minorHAnsi"/>
                <w:color w:val="000000"/>
                <w:lang w:val="zh-CN" w:eastAsia="zh-CN"/>
              </w:rPr>
              <w:t>”</w:t>
            </w:r>
            <w:r w:rsidRPr="004322C7">
              <w:rPr>
                <w:rFonts w:asciiTheme="minorHAnsi" w:eastAsiaTheme="minorEastAsia" w:hAnsiTheme="minorHAnsi" w:cstheme="minorHAnsi"/>
                <w:color w:val="000000"/>
                <w:lang w:val="zh-CN" w:eastAsia="zh-CN"/>
              </w:rPr>
              <w:t>的对比图。</w:t>
            </w:r>
          </w:p>
        </w:tc>
      </w:tr>
    </w:tbl>
    <w:p w14:paraId="2B0C3A8E" w14:textId="77777777" w:rsidR="0096402D" w:rsidRPr="00CB679E" w:rsidRDefault="0096402D" w:rsidP="0096402D">
      <w:pPr>
        <w:pStyle w:val="Heading1"/>
        <w:rPr>
          <w:rFonts w:asciiTheme="minorHAnsi" w:hAnsiTheme="minorHAnsi" w:cstheme="minorHAnsi"/>
          <w:lang w:eastAsia="zh-CN"/>
        </w:rPr>
      </w:pPr>
      <w:r>
        <w:rPr>
          <w:bCs/>
          <w:lang w:val="zh-CN" w:eastAsia="zh-CN"/>
        </w:rPr>
        <w:lastRenderedPageBreak/>
        <w:t>2</w:t>
      </w:r>
      <w:r>
        <w:rPr>
          <w:bCs/>
          <w:lang w:val="zh-CN" w:eastAsia="zh-CN"/>
        </w:rPr>
        <w:tab/>
      </w:r>
      <w:r>
        <w:rPr>
          <w:bCs/>
          <w:lang w:val="zh-CN" w:eastAsia="zh-CN"/>
        </w:rPr>
        <w:t>有关加强联合国范围内数字合作的最新情况</w:t>
      </w:r>
    </w:p>
    <w:p w14:paraId="0F2F2D36" w14:textId="77777777" w:rsidR="0096402D" w:rsidRDefault="0096402D" w:rsidP="004322C7">
      <w:pPr>
        <w:ind w:firstLineChars="200" w:firstLine="480"/>
        <w:rPr>
          <w:lang w:val="zh-CN" w:eastAsia="zh-CN"/>
        </w:rPr>
      </w:pPr>
      <w:r>
        <w:rPr>
          <w:lang w:val="zh-CN" w:eastAsia="zh-CN"/>
        </w:rPr>
        <w:t>国际电联在加强联合国系统内的协调以促进跨部门数字合作方面发挥着积极作用，包括参与由联合国秘书长主持的联合国</w:t>
      </w:r>
      <w:r w:rsidRPr="00A01D4C">
        <w:rPr>
          <w:rFonts w:hint="eastAsia"/>
          <w:lang w:val="zh-CN" w:eastAsia="zh-CN"/>
        </w:rPr>
        <w:t>契</w:t>
      </w:r>
      <w:r>
        <w:rPr>
          <w:lang w:val="zh-CN" w:eastAsia="zh-CN"/>
        </w:rPr>
        <w:t>约</w:t>
      </w:r>
      <w:r>
        <w:rPr>
          <w:rFonts w:hint="eastAsia"/>
          <w:lang w:val="zh-CN" w:eastAsia="zh-CN"/>
        </w:rPr>
        <w:t>落实</w:t>
      </w:r>
      <w:r>
        <w:rPr>
          <w:lang w:val="zh-CN" w:eastAsia="zh-CN"/>
        </w:rPr>
        <w:t>指导委员会，与数字和新兴技术</w:t>
      </w:r>
      <w:r w:rsidRPr="00A01D4C">
        <w:rPr>
          <w:rFonts w:hint="eastAsia"/>
          <w:lang w:val="zh-CN" w:eastAsia="zh-CN"/>
        </w:rPr>
        <w:t>办公室</w:t>
      </w:r>
      <w:r>
        <w:rPr>
          <w:lang w:val="zh-CN" w:eastAsia="zh-CN"/>
        </w:rPr>
        <w:t>（</w:t>
      </w:r>
      <w:r>
        <w:rPr>
          <w:lang w:val="zh-CN" w:eastAsia="zh-CN"/>
        </w:rPr>
        <w:t>ODET</w:t>
      </w:r>
      <w:r>
        <w:rPr>
          <w:lang w:val="zh-CN" w:eastAsia="zh-CN"/>
        </w:rPr>
        <w:t>）共同</w:t>
      </w:r>
      <w:r w:rsidRPr="00A01D4C">
        <w:rPr>
          <w:rFonts w:hint="eastAsia"/>
          <w:lang w:val="zh-CN" w:eastAsia="zh-CN"/>
        </w:rPr>
        <w:t>担任</w:t>
      </w:r>
      <w:r>
        <w:rPr>
          <w:lang w:val="zh-CN" w:eastAsia="zh-CN"/>
        </w:rPr>
        <w:t>数字技术工作组</w:t>
      </w:r>
      <w:r>
        <w:rPr>
          <w:rFonts w:hint="eastAsia"/>
          <w:lang w:val="zh-CN" w:eastAsia="zh-CN"/>
        </w:rPr>
        <w:t>的</w:t>
      </w:r>
      <w:r w:rsidRPr="00A01D4C">
        <w:rPr>
          <w:rFonts w:hint="eastAsia"/>
          <w:lang w:val="zh-CN" w:eastAsia="zh-CN"/>
        </w:rPr>
        <w:t>主席</w:t>
      </w:r>
      <w:r>
        <w:rPr>
          <w:lang w:val="zh-CN" w:eastAsia="zh-CN"/>
        </w:rPr>
        <w:t>，并</w:t>
      </w:r>
      <w:r w:rsidRPr="00A01D4C">
        <w:rPr>
          <w:rFonts w:hint="eastAsia"/>
          <w:lang w:val="zh-CN" w:eastAsia="zh-CN"/>
        </w:rPr>
        <w:t>参加</w:t>
      </w:r>
      <w:r>
        <w:rPr>
          <w:lang w:val="zh-CN" w:eastAsia="zh-CN"/>
        </w:rPr>
        <w:t>其他相关工作组</w:t>
      </w:r>
      <w:r>
        <w:rPr>
          <w:rFonts w:hint="eastAsia"/>
          <w:lang w:val="zh-CN" w:eastAsia="zh-CN"/>
        </w:rPr>
        <w:t>的活动</w:t>
      </w:r>
      <w:r>
        <w:rPr>
          <w:lang w:val="zh-CN" w:eastAsia="zh-CN"/>
        </w:rPr>
        <w:t>。通过这些努力，国际电联旨在确保联合国系统</w:t>
      </w:r>
      <w:proofErr w:type="gramStart"/>
      <w:r>
        <w:rPr>
          <w:lang w:val="zh-CN" w:eastAsia="zh-CN"/>
        </w:rPr>
        <w:t>内一致</w:t>
      </w:r>
      <w:proofErr w:type="gramEnd"/>
      <w:r>
        <w:rPr>
          <w:lang w:val="zh-CN" w:eastAsia="zh-CN"/>
        </w:rPr>
        <w:t>解决数字问题，促进</w:t>
      </w:r>
      <w:r>
        <w:rPr>
          <w:rFonts w:hint="eastAsia"/>
          <w:lang w:val="zh-CN" w:eastAsia="zh-CN"/>
        </w:rPr>
        <w:t>对</w:t>
      </w:r>
      <w:r>
        <w:rPr>
          <w:lang w:val="zh-CN" w:eastAsia="zh-CN"/>
        </w:rPr>
        <w:t>GDC</w:t>
      </w:r>
      <w:r>
        <w:rPr>
          <w:lang w:val="zh-CN" w:eastAsia="zh-CN"/>
        </w:rPr>
        <w:t>的</w:t>
      </w:r>
      <w:r>
        <w:rPr>
          <w:rFonts w:hint="eastAsia"/>
          <w:lang w:val="zh-CN" w:eastAsia="zh-CN"/>
        </w:rPr>
        <w:t>集体主人翁意识</w:t>
      </w:r>
      <w:r>
        <w:rPr>
          <w:lang w:val="zh-CN" w:eastAsia="zh-CN"/>
        </w:rPr>
        <w:t>并支持</w:t>
      </w:r>
      <w:r w:rsidRPr="00A01D4C">
        <w:rPr>
          <w:rFonts w:hint="eastAsia"/>
          <w:lang w:val="zh-CN" w:eastAsia="zh-CN"/>
        </w:rPr>
        <w:t>契</w:t>
      </w:r>
      <w:r>
        <w:rPr>
          <w:lang w:val="zh-CN" w:eastAsia="zh-CN"/>
        </w:rPr>
        <w:t>约的实施。</w:t>
      </w:r>
    </w:p>
    <w:p w14:paraId="1FE61901" w14:textId="77777777" w:rsidR="0096402D" w:rsidRPr="00CB679E" w:rsidRDefault="0096402D" w:rsidP="0096402D">
      <w:pPr>
        <w:spacing w:before="240"/>
        <w:rPr>
          <w:rFonts w:asciiTheme="minorHAnsi" w:hAnsiTheme="minorHAnsi" w:cstheme="minorHAnsi"/>
          <w:lang w:eastAsia="zh-CN"/>
        </w:rPr>
      </w:pPr>
      <w:r>
        <w:rPr>
          <w:b/>
          <w:bCs/>
          <w:lang w:val="zh-CN" w:eastAsia="zh-CN"/>
        </w:rPr>
        <w:t>2.1</w:t>
      </w:r>
      <w:r>
        <w:rPr>
          <w:lang w:val="zh-CN" w:eastAsia="zh-CN"/>
        </w:rPr>
        <w:tab/>
      </w:r>
      <w:r>
        <w:rPr>
          <w:b/>
          <w:bCs/>
          <w:lang w:val="zh-CN" w:eastAsia="zh-CN"/>
        </w:rPr>
        <w:t>数字技术工作组</w:t>
      </w:r>
    </w:p>
    <w:p w14:paraId="595A1188" w14:textId="1465C235" w:rsidR="0096402D" w:rsidRPr="00CB679E" w:rsidRDefault="0096402D" w:rsidP="004322C7">
      <w:pPr>
        <w:ind w:firstLineChars="200" w:firstLine="480"/>
        <w:rPr>
          <w:rFonts w:asciiTheme="minorHAnsi" w:hAnsiTheme="minorHAnsi" w:cstheme="minorHAnsi"/>
          <w:lang w:eastAsia="zh-CN"/>
        </w:rPr>
      </w:pPr>
      <w:r w:rsidRPr="00241D4D">
        <w:rPr>
          <w:rFonts w:hint="eastAsia"/>
          <w:lang w:val="zh-CN" w:eastAsia="zh-CN"/>
        </w:rPr>
        <w:t>数字技术工作组（</w:t>
      </w:r>
      <w:r w:rsidRPr="00241D4D">
        <w:rPr>
          <w:rFonts w:hint="eastAsia"/>
          <w:lang w:val="zh-CN" w:eastAsia="zh-CN"/>
        </w:rPr>
        <w:t>WGDT</w:t>
      </w:r>
      <w:r w:rsidRPr="00241D4D">
        <w:rPr>
          <w:rFonts w:hint="eastAsia"/>
          <w:lang w:val="zh-CN" w:eastAsia="zh-CN"/>
        </w:rPr>
        <w:t>）成立于</w:t>
      </w:r>
      <w:r w:rsidRPr="00241D4D">
        <w:rPr>
          <w:rFonts w:hint="eastAsia"/>
          <w:lang w:val="zh-CN" w:eastAsia="zh-CN"/>
        </w:rPr>
        <w:t>2024</w:t>
      </w:r>
      <w:r w:rsidRPr="00241D4D">
        <w:rPr>
          <w:rFonts w:hint="eastAsia"/>
          <w:lang w:val="zh-CN" w:eastAsia="zh-CN"/>
        </w:rPr>
        <w:t>年</w:t>
      </w:r>
      <w:r w:rsidRPr="00241D4D">
        <w:rPr>
          <w:rFonts w:hint="eastAsia"/>
          <w:lang w:val="zh-CN" w:eastAsia="zh-CN"/>
        </w:rPr>
        <w:t>10</w:t>
      </w:r>
      <w:r w:rsidRPr="00241D4D">
        <w:rPr>
          <w:rFonts w:hint="eastAsia"/>
          <w:lang w:val="zh-CN" w:eastAsia="zh-CN"/>
        </w:rPr>
        <w:t>月，制定了职</w:t>
      </w:r>
      <w:r>
        <w:rPr>
          <w:lang w:val="zh-CN" w:eastAsia="zh-CN"/>
        </w:rPr>
        <w:t>责</w:t>
      </w:r>
      <w:r w:rsidRPr="00241D4D">
        <w:rPr>
          <w:rFonts w:hint="eastAsia"/>
          <w:lang w:val="zh-CN" w:eastAsia="zh-CN"/>
        </w:rPr>
        <w:t>范围（</w:t>
      </w:r>
      <w:r w:rsidRPr="00241D4D">
        <w:rPr>
          <w:rFonts w:hint="eastAsia"/>
          <w:lang w:val="zh-CN" w:eastAsia="zh-CN"/>
        </w:rPr>
        <w:t>TOR</w:t>
      </w:r>
      <w:r w:rsidRPr="00241D4D">
        <w:rPr>
          <w:rFonts w:hint="eastAsia"/>
          <w:lang w:val="zh-CN" w:eastAsia="zh-CN"/>
        </w:rPr>
        <w:t>）和工作计划，以确定工作组的结构（由国际电联和</w:t>
      </w:r>
      <w:r w:rsidRPr="00241D4D">
        <w:rPr>
          <w:rFonts w:hint="eastAsia"/>
          <w:lang w:val="zh-CN" w:eastAsia="zh-CN"/>
        </w:rPr>
        <w:t>ODET</w:t>
      </w:r>
      <w:r w:rsidRPr="00241D4D">
        <w:rPr>
          <w:rFonts w:hint="eastAsia"/>
          <w:lang w:val="zh-CN" w:eastAsia="zh-CN"/>
        </w:rPr>
        <w:t>担任主席）及其工作范围，以跟进《未来契约》第</w:t>
      </w:r>
      <w:r w:rsidRPr="00241D4D">
        <w:rPr>
          <w:rFonts w:hint="eastAsia"/>
          <w:lang w:val="zh-CN" w:eastAsia="zh-CN"/>
        </w:rPr>
        <w:t>3</w:t>
      </w:r>
      <w:r w:rsidRPr="00241D4D">
        <w:rPr>
          <w:rFonts w:hint="eastAsia"/>
          <w:lang w:val="zh-CN" w:eastAsia="zh-CN"/>
        </w:rPr>
        <w:t>章</w:t>
      </w:r>
      <w:r w:rsidR="00A7047F">
        <w:rPr>
          <w:rFonts w:hint="eastAsia"/>
          <w:lang w:val="zh-CN" w:eastAsia="zh-CN"/>
        </w:rPr>
        <w:t xml:space="preserve"> </w:t>
      </w:r>
      <w:r w:rsidR="00A7047F" w:rsidRPr="00A7047F">
        <w:rPr>
          <w:lang w:val="zh-CN" w:eastAsia="zh-CN"/>
        </w:rPr>
        <w:t>–</w:t>
      </w:r>
      <w:r w:rsidR="00A7047F">
        <w:rPr>
          <w:rFonts w:hint="eastAsia"/>
          <w:lang w:val="zh-CN" w:eastAsia="zh-CN"/>
        </w:rPr>
        <w:t xml:space="preserve"> </w:t>
      </w:r>
      <w:r w:rsidRPr="00241D4D">
        <w:rPr>
          <w:rFonts w:hint="eastAsia"/>
          <w:lang w:val="zh-CN" w:eastAsia="zh-CN"/>
        </w:rPr>
        <w:t>科学、技术和创新（</w:t>
      </w:r>
      <w:r w:rsidRPr="00241D4D">
        <w:rPr>
          <w:rFonts w:hint="eastAsia"/>
          <w:lang w:val="zh-CN" w:eastAsia="zh-CN"/>
        </w:rPr>
        <w:t>STI</w:t>
      </w:r>
      <w:r w:rsidRPr="00241D4D">
        <w:rPr>
          <w:rFonts w:hint="eastAsia"/>
          <w:lang w:val="zh-CN" w:eastAsia="zh-CN"/>
        </w:rPr>
        <w:t>）与数字合作以及《全球数字契约》（</w:t>
      </w:r>
      <w:r w:rsidRPr="00241D4D">
        <w:rPr>
          <w:rFonts w:hint="eastAsia"/>
          <w:lang w:val="zh-CN" w:eastAsia="zh-CN"/>
        </w:rPr>
        <w:t>GDC</w:t>
      </w:r>
      <w:r w:rsidRPr="00241D4D">
        <w:rPr>
          <w:rFonts w:hint="eastAsia"/>
          <w:lang w:val="zh-CN" w:eastAsia="zh-CN"/>
        </w:rPr>
        <w:t>）。</w:t>
      </w:r>
    </w:p>
    <w:p w14:paraId="6F5F63E6" w14:textId="77777777" w:rsidR="0096402D" w:rsidRPr="00CB679E" w:rsidRDefault="0096402D" w:rsidP="004322C7">
      <w:pPr>
        <w:ind w:firstLineChars="200" w:firstLine="480"/>
        <w:rPr>
          <w:rFonts w:asciiTheme="minorHAnsi" w:hAnsiTheme="minorHAnsi" w:cstheme="minorHAnsi"/>
          <w:lang w:eastAsia="zh-CN"/>
        </w:rPr>
      </w:pPr>
      <w:r>
        <w:rPr>
          <w:lang w:val="zh-CN" w:eastAsia="zh-CN"/>
        </w:rPr>
        <w:lastRenderedPageBreak/>
        <w:t>在联合国秘书长指导委员会的框架下，</w:t>
      </w:r>
      <w:r>
        <w:rPr>
          <w:lang w:val="zh-CN" w:eastAsia="zh-CN"/>
        </w:rPr>
        <w:t>WGDT</w:t>
      </w:r>
      <w:r>
        <w:rPr>
          <w:lang w:val="zh-CN" w:eastAsia="zh-CN"/>
        </w:rPr>
        <w:t>负责协调和</w:t>
      </w:r>
      <w:proofErr w:type="gramStart"/>
      <w:r>
        <w:rPr>
          <w:lang w:val="zh-CN" w:eastAsia="zh-CN"/>
        </w:rPr>
        <w:t>监督分</w:t>
      </w:r>
      <w:proofErr w:type="gramEnd"/>
      <w:r>
        <w:rPr>
          <w:lang w:val="zh-CN" w:eastAsia="zh-CN"/>
        </w:rPr>
        <w:t>配给联合国系统的行动的执行情况，包括分配给联合国秘书长的行动，同时监督、跟踪和支持其职权范围内的成员国和相关利益攸关方的行动。此外，它将分析和宣传其职权范围内的行动要点的实施，并通过现有结构向驻地协调员和联合国国家工作队提供支持，以便有效实施</w:t>
      </w:r>
      <w:r>
        <w:rPr>
          <w:lang w:val="zh-CN" w:eastAsia="zh-CN"/>
        </w:rPr>
        <w:t>GDC</w:t>
      </w:r>
      <w:r>
        <w:rPr>
          <w:lang w:val="zh-CN" w:eastAsia="zh-CN"/>
        </w:rPr>
        <w:t>。</w:t>
      </w:r>
    </w:p>
    <w:p w14:paraId="3988520F" w14:textId="77777777" w:rsidR="0096402D" w:rsidRPr="00CB679E" w:rsidRDefault="0096402D" w:rsidP="004322C7">
      <w:pPr>
        <w:ind w:firstLineChars="200" w:firstLine="480"/>
        <w:rPr>
          <w:rFonts w:asciiTheme="minorHAnsi" w:hAnsiTheme="minorHAnsi" w:cstheme="minorHAnsi"/>
          <w:lang w:eastAsia="zh-CN"/>
        </w:rPr>
      </w:pPr>
      <w:r>
        <w:rPr>
          <w:lang w:val="zh-CN" w:eastAsia="zh-CN"/>
        </w:rPr>
        <w:t>工作组</w:t>
      </w:r>
      <w:r>
        <w:rPr>
          <w:rFonts w:hint="eastAsia"/>
          <w:lang w:val="zh-CN" w:eastAsia="zh-CN"/>
        </w:rPr>
        <w:t>下设</w:t>
      </w:r>
      <w:r>
        <w:rPr>
          <w:lang w:val="zh-CN" w:eastAsia="zh-CN"/>
        </w:rPr>
        <w:t>六个</w:t>
      </w:r>
      <w:r>
        <w:rPr>
          <w:rFonts w:hint="eastAsia"/>
          <w:lang w:val="zh-CN" w:eastAsia="zh-CN"/>
        </w:rPr>
        <w:t>小</w:t>
      </w:r>
      <w:r>
        <w:rPr>
          <w:lang w:val="zh-CN" w:eastAsia="zh-CN"/>
        </w:rPr>
        <w:t>组，涵盖</w:t>
      </w:r>
      <w:r w:rsidRPr="00241D4D">
        <w:rPr>
          <w:rFonts w:hint="eastAsia"/>
          <w:lang w:val="zh-CN" w:eastAsia="zh-CN"/>
        </w:rPr>
        <w:t>《未来契约》</w:t>
      </w:r>
      <w:r>
        <w:rPr>
          <w:lang w:val="zh-CN" w:eastAsia="zh-CN"/>
        </w:rPr>
        <w:t>关于</w:t>
      </w:r>
      <w:r>
        <w:rPr>
          <w:lang w:val="zh-CN" w:eastAsia="zh-CN"/>
        </w:rPr>
        <w:t>STI</w:t>
      </w:r>
      <w:r>
        <w:rPr>
          <w:lang w:val="zh-CN" w:eastAsia="zh-CN"/>
        </w:rPr>
        <w:t>和数字合作的第</w:t>
      </w:r>
      <w:r>
        <w:rPr>
          <w:lang w:val="zh-CN" w:eastAsia="zh-CN"/>
        </w:rPr>
        <w:t>3</w:t>
      </w:r>
      <w:r>
        <w:rPr>
          <w:lang w:val="zh-CN" w:eastAsia="zh-CN"/>
        </w:rPr>
        <w:t>章，并针对</w:t>
      </w:r>
      <w:r>
        <w:rPr>
          <w:lang w:val="zh-CN" w:eastAsia="zh-CN"/>
        </w:rPr>
        <w:t>GDC</w:t>
      </w:r>
      <w:r>
        <w:rPr>
          <w:lang w:val="zh-CN" w:eastAsia="zh-CN"/>
        </w:rPr>
        <w:t>中的每个</w:t>
      </w:r>
      <w:r>
        <w:rPr>
          <w:rFonts w:hint="eastAsia"/>
          <w:lang w:val="zh-CN" w:eastAsia="zh-CN"/>
        </w:rPr>
        <w:t>部门</w:t>
      </w:r>
      <w:r>
        <w:rPr>
          <w:lang w:val="zh-CN" w:eastAsia="zh-CN"/>
        </w:rPr>
        <w:t>目标设立了一个</w:t>
      </w:r>
      <w:r>
        <w:rPr>
          <w:rFonts w:hint="eastAsia"/>
          <w:lang w:val="zh-CN" w:eastAsia="zh-CN"/>
        </w:rPr>
        <w:t>小</w:t>
      </w:r>
      <w:r>
        <w:rPr>
          <w:lang w:val="zh-CN" w:eastAsia="zh-CN"/>
        </w:rPr>
        <w:t>组。</w:t>
      </w:r>
      <w:proofErr w:type="gramStart"/>
      <w:r>
        <w:rPr>
          <w:lang w:val="zh-CN" w:eastAsia="zh-CN"/>
        </w:rPr>
        <w:t>除共同</w:t>
      </w:r>
      <w:proofErr w:type="gramEnd"/>
      <w:r>
        <w:rPr>
          <w:lang w:val="zh-CN" w:eastAsia="zh-CN"/>
        </w:rPr>
        <w:t>主持工作组外，国际电联</w:t>
      </w:r>
      <w:r>
        <w:rPr>
          <w:rFonts w:hint="eastAsia"/>
          <w:lang w:val="zh-CN" w:eastAsia="zh-CN"/>
        </w:rPr>
        <w:t>还共同领导</w:t>
      </w:r>
      <w:r>
        <w:rPr>
          <w:lang w:val="zh-CN" w:eastAsia="zh-CN"/>
        </w:rPr>
        <w:t>关于数字鸿沟的</w:t>
      </w:r>
      <w:r>
        <w:rPr>
          <w:lang w:val="zh-CN" w:eastAsia="zh-CN"/>
        </w:rPr>
        <w:t>GDC</w:t>
      </w:r>
      <w:r>
        <w:rPr>
          <w:lang w:val="zh-CN" w:eastAsia="zh-CN"/>
        </w:rPr>
        <w:t>部门目标</w:t>
      </w:r>
      <w:r>
        <w:rPr>
          <w:lang w:val="zh-CN" w:eastAsia="zh-CN"/>
        </w:rPr>
        <w:t>1</w:t>
      </w:r>
      <w:r>
        <w:rPr>
          <w:lang w:val="zh-CN" w:eastAsia="zh-CN"/>
        </w:rPr>
        <w:t>和关于人工智能的部门目标</w:t>
      </w:r>
      <w:r>
        <w:rPr>
          <w:lang w:val="zh-CN" w:eastAsia="zh-CN"/>
        </w:rPr>
        <w:t>5</w:t>
      </w:r>
      <w:r>
        <w:rPr>
          <w:rFonts w:hint="eastAsia"/>
          <w:lang w:val="zh-CN" w:eastAsia="zh-CN"/>
        </w:rPr>
        <w:t>的下设小组</w:t>
      </w:r>
      <w:r>
        <w:rPr>
          <w:lang w:val="zh-CN" w:eastAsia="zh-CN"/>
        </w:rPr>
        <w:t>。整个工作组的一个关键优先事项将是制定</w:t>
      </w:r>
      <w:r>
        <w:rPr>
          <w:lang w:val="zh-CN" w:eastAsia="zh-CN"/>
        </w:rPr>
        <w:t>GDC</w:t>
      </w:r>
      <w:r>
        <w:rPr>
          <w:lang w:val="zh-CN" w:eastAsia="zh-CN"/>
        </w:rPr>
        <w:t>第</w:t>
      </w:r>
      <w:r>
        <w:rPr>
          <w:lang w:val="zh-CN" w:eastAsia="zh-CN"/>
        </w:rPr>
        <w:t>71</w:t>
      </w:r>
      <w:r>
        <w:rPr>
          <w:lang w:val="zh-CN" w:eastAsia="zh-CN"/>
        </w:rPr>
        <w:t>段中提到的</w:t>
      </w:r>
      <w:r>
        <w:rPr>
          <w:lang w:val="zh-CN" w:eastAsia="zh-CN"/>
        </w:rPr>
        <w:t>GDC</w:t>
      </w:r>
      <w:r>
        <w:rPr>
          <w:lang w:val="zh-CN" w:eastAsia="zh-CN"/>
        </w:rPr>
        <w:t>实施图。欢迎成员国就他们希望实施</w:t>
      </w:r>
      <w:proofErr w:type="gramStart"/>
      <w:r>
        <w:rPr>
          <w:lang w:val="zh-CN" w:eastAsia="zh-CN"/>
        </w:rPr>
        <w:t>图采取</w:t>
      </w:r>
      <w:proofErr w:type="gramEnd"/>
      <w:r>
        <w:rPr>
          <w:lang w:val="zh-CN" w:eastAsia="zh-CN"/>
        </w:rPr>
        <w:t>的形式提供更多指导。</w:t>
      </w:r>
    </w:p>
    <w:p w14:paraId="3DC0EBAE" w14:textId="77777777" w:rsidR="0096402D" w:rsidRPr="00CB679E" w:rsidRDefault="0096402D" w:rsidP="004322C7">
      <w:pPr>
        <w:ind w:firstLineChars="200" w:firstLine="480"/>
        <w:rPr>
          <w:rFonts w:asciiTheme="minorHAnsi" w:hAnsiTheme="minorHAnsi" w:cstheme="minorHAnsi"/>
          <w:color w:val="000000"/>
          <w:shd w:val="clear" w:color="auto" w:fill="FFFFFF"/>
          <w:lang w:eastAsia="zh-CN"/>
        </w:rPr>
      </w:pPr>
      <w:r>
        <w:rPr>
          <w:lang w:val="zh-CN" w:eastAsia="zh-CN"/>
        </w:rPr>
        <w:t>数字技术工作组于</w:t>
      </w:r>
      <w:r>
        <w:rPr>
          <w:lang w:val="zh-CN" w:eastAsia="zh-CN"/>
        </w:rPr>
        <w:t>2024</w:t>
      </w:r>
      <w:r>
        <w:rPr>
          <w:lang w:val="zh-CN" w:eastAsia="zh-CN"/>
        </w:rPr>
        <w:t>年</w:t>
      </w:r>
      <w:r>
        <w:rPr>
          <w:lang w:val="zh-CN" w:eastAsia="zh-CN"/>
        </w:rPr>
        <w:t>10</w:t>
      </w:r>
      <w:r>
        <w:rPr>
          <w:lang w:val="zh-CN" w:eastAsia="zh-CN"/>
        </w:rPr>
        <w:t>月</w:t>
      </w:r>
      <w:r>
        <w:rPr>
          <w:lang w:val="zh-CN" w:eastAsia="zh-CN"/>
        </w:rPr>
        <w:t>21</w:t>
      </w:r>
      <w:r>
        <w:rPr>
          <w:lang w:val="zh-CN" w:eastAsia="zh-CN"/>
        </w:rPr>
        <w:t>日举行的首次会议侧重于确定其范围，并计划最终确定战略和行动要点。此后，该组召开了多次工作会议，分享有关</w:t>
      </w:r>
      <w:r>
        <w:rPr>
          <w:lang w:val="zh-CN" w:eastAsia="zh-CN"/>
        </w:rPr>
        <w:t>GDC</w:t>
      </w:r>
      <w:r>
        <w:rPr>
          <w:lang w:val="zh-CN" w:eastAsia="zh-CN"/>
        </w:rPr>
        <w:t>实施的信息</w:t>
      </w:r>
      <w:r>
        <w:rPr>
          <w:rFonts w:hint="eastAsia"/>
          <w:lang w:val="zh-CN" w:eastAsia="zh-CN"/>
        </w:rPr>
        <w:t>、</w:t>
      </w:r>
      <w:r>
        <w:rPr>
          <w:lang w:val="zh-CN" w:eastAsia="zh-CN"/>
        </w:rPr>
        <w:t>确定其职责范围并推进其工作计划。共同主席代表向各方简要介绍了</w:t>
      </w:r>
      <w:r>
        <w:rPr>
          <w:lang w:val="zh-CN" w:eastAsia="zh-CN"/>
        </w:rPr>
        <w:t>GDC</w:t>
      </w:r>
      <w:r>
        <w:rPr>
          <w:lang w:val="zh-CN" w:eastAsia="zh-CN"/>
        </w:rPr>
        <w:t>实施计划的进展情况，</w:t>
      </w:r>
      <w:r>
        <w:rPr>
          <w:rFonts w:hint="eastAsia"/>
          <w:lang w:val="zh-CN" w:eastAsia="zh-CN"/>
        </w:rPr>
        <w:t>简介的对象</w:t>
      </w:r>
      <w:r>
        <w:rPr>
          <w:lang w:val="zh-CN" w:eastAsia="zh-CN"/>
        </w:rPr>
        <w:t>包括通过数字技术之</w:t>
      </w:r>
      <w:proofErr w:type="gramStart"/>
      <w:r>
        <w:rPr>
          <w:lang w:val="zh-CN" w:eastAsia="zh-CN"/>
        </w:rPr>
        <w:t>友小组</w:t>
      </w:r>
      <w:proofErr w:type="gramEnd"/>
      <w:r>
        <w:rPr>
          <w:lang w:val="zh-CN" w:eastAsia="zh-CN"/>
        </w:rPr>
        <w:t>在纽约的成员国、在</w:t>
      </w:r>
      <w:r>
        <w:rPr>
          <w:lang w:val="zh-CN" w:eastAsia="zh-CN"/>
        </w:rPr>
        <w:t>USCIB</w:t>
      </w:r>
      <w:r>
        <w:rPr>
          <w:lang w:val="zh-CN" w:eastAsia="zh-CN"/>
        </w:rPr>
        <w:t>和</w:t>
      </w:r>
      <w:r>
        <w:rPr>
          <w:lang w:val="zh-CN" w:eastAsia="zh-CN"/>
        </w:rPr>
        <w:t>ICC BASIS</w:t>
      </w:r>
      <w:r>
        <w:rPr>
          <w:lang w:val="zh-CN" w:eastAsia="zh-CN"/>
        </w:rPr>
        <w:t>主办的活动中的公司、在利雅得举行的</w:t>
      </w:r>
      <w:r>
        <w:rPr>
          <w:lang w:val="zh-CN" w:eastAsia="zh-CN"/>
        </w:rPr>
        <w:t>2024</w:t>
      </w:r>
      <w:r>
        <w:rPr>
          <w:lang w:val="zh-CN" w:eastAsia="zh-CN"/>
        </w:rPr>
        <w:t>年</w:t>
      </w:r>
      <w:r>
        <w:rPr>
          <w:lang w:val="zh-CN" w:eastAsia="zh-CN"/>
        </w:rPr>
        <w:t>IGF</w:t>
      </w:r>
      <w:r>
        <w:rPr>
          <w:lang w:val="zh-CN" w:eastAsia="zh-CN"/>
        </w:rPr>
        <w:t>上的民间</w:t>
      </w:r>
      <w:r>
        <w:rPr>
          <w:rFonts w:hint="eastAsia"/>
          <w:lang w:val="zh-CN" w:eastAsia="zh-CN"/>
        </w:rPr>
        <w:t>团体</w:t>
      </w:r>
      <w:r>
        <w:rPr>
          <w:lang w:val="zh-CN" w:eastAsia="zh-CN"/>
        </w:rPr>
        <w:t>、在日内瓦的自由在线联盟以及联合国机构间科学</w:t>
      </w:r>
      <w:r>
        <w:rPr>
          <w:rFonts w:hint="eastAsia"/>
          <w:lang w:val="zh-CN" w:eastAsia="zh-CN"/>
        </w:rPr>
        <w:t>、</w:t>
      </w:r>
      <w:r>
        <w:rPr>
          <w:lang w:val="zh-CN" w:eastAsia="zh-CN"/>
        </w:rPr>
        <w:t>技术和创新任务组</w:t>
      </w:r>
      <w:r>
        <w:rPr>
          <w:rFonts w:hint="eastAsia"/>
          <w:lang w:val="zh-CN" w:eastAsia="zh-CN"/>
        </w:rPr>
        <w:t>中</w:t>
      </w:r>
      <w:r>
        <w:rPr>
          <w:lang w:val="zh-CN" w:eastAsia="zh-CN"/>
        </w:rPr>
        <w:t>的联合国机构。</w:t>
      </w:r>
      <w:r>
        <w:rPr>
          <w:lang w:val="zh-CN" w:eastAsia="zh-CN"/>
        </w:rPr>
        <w:t>2025</w:t>
      </w:r>
      <w:r>
        <w:rPr>
          <w:lang w:val="zh-CN" w:eastAsia="zh-CN"/>
        </w:rPr>
        <w:t>年</w:t>
      </w:r>
      <w:r>
        <w:rPr>
          <w:lang w:val="zh-CN" w:eastAsia="zh-CN"/>
        </w:rPr>
        <w:t>2</w:t>
      </w:r>
      <w:r>
        <w:rPr>
          <w:lang w:val="zh-CN" w:eastAsia="zh-CN"/>
        </w:rPr>
        <w:t>月</w:t>
      </w:r>
      <w:r>
        <w:rPr>
          <w:lang w:val="zh-CN" w:eastAsia="zh-CN"/>
        </w:rPr>
        <w:t>27</w:t>
      </w:r>
      <w:r>
        <w:rPr>
          <w:lang w:val="zh-CN" w:eastAsia="zh-CN"/>
        </w:rPr>
        <w:t>日的</w:t>
      </w:r>
      <w:r>
        <w:rPr>
          <w:rFonts w:hint="eastAsia"/>
          <w:lang w:val="zh-CN" w:eastAsia="zh-CN"/>
        </w:rPr>
        <w:t>高级别</w:t>
      </w:r>
      <w:r>
        <w:rPr>
          <w:lang w:val="zh-CN" w:eastAsia="zh-CN"/>
        </w:rPr>
        <w:t>会议最终确定了职责范围和工作计划，并就下一步工作寻求指导。</w:t>
      </w:r>
    </w:p>
    <w:p w14:paraId="2D1E5112" w14:textId="77777777" w:rsidR="0096402D" w:rsidRPr="00CB679E" w:rsidRDefault="0096402D" w:rsidP="004322C7">
      <w:pPr>
        <w:ind w:firstLineChars="200" w:firstLine="480"/>
        <w:rPr>
          <w:rFonts w:asciiTheme="minorHAnsi" w:hAnsiTheme="minorHAnsi" w:cstheme="minorHAnsi"/>
          <w:lang w:eastAsia="zh-CN"/>
        </w:rPr>
      </w:pPr>
      <w:r>
        <w:rPr>
          <w:lang w:val="zh-CN" w:eastAsia="zh-CN"/>
        </w:rPr>
        <w:t>国际电联的举措</w:t>
      </w:r>
      <w:r>
        <w:rPr>
          <w:rFonts w:hint="eastAsia"/>
          <w:lang w:val="zh-CN" w:eastAsia="zh-CN"/>
        </w:rPr>
        <w:t>与</w:t>
      </w:r>
      <w:r>
        <w:rPr>
          <w:lang w:val="zh-CN" w:eastAsia="zh-CN"/>
        </w:rPr>
        <w:t>来自其他联合国实体和机构的举措</w:t>
      </w:r>
      <w:r>
        <w:rPr>
          <w:rFonts w:hint="eastAsia"/>
          <w:lang w:val="zh-CN" w:eastAsia="zh-CN"/>
        </w:rPr>
        <w:t>一道，</w:t>
      </w:r>
      <w:r>
        <w:rPr>
          <w:lang w:val="zh-CN" w:eastAsia="zh-CN"/>
        </w:rPr>
        <w:t>已被纳入工作组的工作计划，涉及数字鸿沟、数字经济、数字素养、包容性、在线安全和</w:t>
      </w:r>
      <w:r>
        <w:rPr>
          <w:rFonts w:hint="eastAsia"/>
          <w:lang w:val="zh-CN" w:eastAsia="zh-CN"/>
        </w:rPr>
        <w:t>保障</w:t>
      </w:r>
      <w:r>
        <w:rPr>
          <w:lang w:val="zh-CN" w:eastAsia="zh-CN"/>
        </w:rPr>
        <w:t>、数据和人工智能等关键领域。国际电联支持工作组利用现有机制推进</w:t>
      </w:r>
      <w:r>
        <w:rPr>
          <w:lang w:val="zh-CN" w:eastAsia="zh-CN"/>
        </w:rPr>
        <w:t>GDC</w:t>
      </w:r>
      <w:r>
        <w:rPr>
          <w:lang w:val="zh-CN" w:eastAsia="zh-CN"/>
        </w:rPr>
        <w:t>的实施，这些机制包括但不限于</w:t>
      </w:r>
      <w:r>
        <w:rPr>
          <w:lang w:val="zh-CN" w:eastAsia="zh-CN"/>
        </w:rPr>
        <w:t>Giga</w:t>
      </w:r>
      <w:r>
        <w:rPr>
          <w:lang w:val="zh-CN" w:eastAsia="zh-CN"/>
        </w:rPr>
        <w:t>、</w:t>
      </w:r>
      <w:r w:rsidRPr="00E85404">
        <w:rPr>
          <w:rFonts w:hint="eastAsia"/>
          <w:lang w:val="zh-CN" w:eastAsia="zh-CN"/>
        </w:rPr>
        <w:t>信息通信年轻女性</w:t>
      </w:r>
      <w:proofErr w:type="gramStart"/>
      <w:r w:rsidRPr="00E85404">
        <w:rPr>
          <w:rFonts w:hint="eastAsia"/>
          <w:lang w:val="zh-CN" w:eastAsia="zh-CN"/>
        </w:rPr>
        <w:t>日相关</w:t>
      </w:r>
      <w:proofErr w:type="gramEnd"/>
      <w:r w:rsidRPr="00E85404">
        <w:rPr>
          <w:rFonts w:hint="eastAsia"/>
          <w:lang w:val="zh-CN" w:eastAsia="zh-CN"/>
        </w:rPr>
        <w:t>活动</w:t>
      </w:r>
      <w:r>
        <w:rPr>
          <w:lang w:val="zh-CN" w:eastAsia="zh-CN"/>
        </w:rPr>
        <w:t>、</w:t>
      </w:r>
      <w:r>
        <w:rPr>
          <w:lang w:val="zh-CN" w:eastAsia="zh-CN"/>
        </w:rPr>
        <w:t>EQUALS</w:t>
      </w:r>
      <w:r>
        <w:rPr>
          <w:lang w:val="zh-CN" w:eastAsia="zh-CN"/>
        </w:rPr>
        <w:t>、绿色数字行动、国际电联学院和数字技能、衡量</w:t>
      </w:r>
      <w:r>
        <w:rPr>
          <w:lang w:val="zh-CN" w:eastAsia="zh-CN"/>
        </w:rPr>
        <w:t>ICT</w:t>
      </w:r>
      <w:r>
        <w:rPr>
          <w:lang w:val="zh-CN" w:eastAsia="zh-CN"/>
        </w:rPr>
        <w:t>、可持续发展目标数字举措、数字监管平台、国际电联宽带委员会、人工智能标准交流和人工智能技能联盟。</w:t>
      </w:r>
      <w:r>
        <w:rPr>
          <w:rFonts w:hint="eastAsia"/>
          <w:lang w:val="zh-CN" w:eastAsia="zh-CN"/>
        </w:rPr>
        <w:t>对于</w:t>
      </w:r>
      <w:r>
        <w:rPr>
          <w:lang w:val="zh-CN" w:eastAsia="zh-CN"/>
        </w:rPr>
        <w:t>国际电联的主要大会和活动，例如全球监管机构专题研讨会（</w:t>
      </w:r>
      <w:r>
        <w:rPr>
          <w:lang w:val="zh-CN" w:eastAsia="zh-CN"/>
        </w:rPr>
        <w:t>GSR</w:t>
      </w:r>
      <w:r>
        <w:rPr>
          <w:lang w:val="zh-CN" w:eastAsia="zh-CN"/>
        </w:rPr>
        <w:t>）、人工智能</w:t>
      </w:r>
      <w:r>
        <w:rPr>
          <w:rFonts w:hint="eastAsia"/>
          <w:lang w:val="zh-CN" w:eastAsia="zh-CN"/>
        </w:rPr>
        <w:t>向善</w:t>
      </w:r>
      <w:r>
        <w:rPr>
          <w:lang w:val="zh-CN" w:eastAsia="zh-CN"/>
        </w:rPr>
        <w:t>全球峰会、</w:t>
      </w:r>
      <w:r>
        <w:rPr>
          <w:lang w:val="zh-CN" w:eastAsia="zh-CN"/>
        </w:rPr>
        <w:t>WSIS</w:t>
      </w:r>
      <w:r>
        <w:rPr>
          <w:lang w:val="zh-CN" w:eastAsia="zh-CN"/>
        </w:rPr>
        <w:t>论坛、国际人工智能标准峰会、世界无线电通信大会（</w:t>
      </w:r>
      <w:r>
        <w:rPr>
          <w:lang w:val="zh-CN" w:eastAsia="zh-CN"/>
        </w:rPr>
        <w:t>WRC</w:t>
      </w:r>
      <w:r>
        <w:rPr>
          <w:lang w:val="zh-CN" w:eastAsia="zh-CN"/>
        </w:rPr>
        <w:t>）、世界电信标准化</w:t>
      </w:r>
      <w:r>
        <w:rPr>
          <w:rFonts w:hint="eastAsia"/>
          <w:lang w:val="zh-CN" w:eastAsia="zh-CN"/>
        </w:rPr>
        <w:t>全</w:t>
      </w:r>
      <w:r>
        <w:rPr>
          <w:lang w:val="zh-CN" w:eastAsia="zh-CN"/>
        </w:rPr>
        <w:t>会（</w:t>
      </w:r>
      <w:r>
        <w:rPr>
          <w:lang w:val="zh-CN" w:eastAsia="zh-CN"/>
        </w:rPr>
        <w:t>WTSA</w:t>
      </w:r>
      <w:r>
        <w:rPr>
          <w:lang w:val="zh-CN" w:eastAsia="zh-CN"/>
        </w:rPr>
        <w:t>）和世界电信发展大会（</w:t>
      </w:r>
      <w:r>
        <w:rPr>
          <w:lang w:val="zh-CN" w:eastAsia="zh-CN"/>
        </w:rPr>
        <w:t>WTDC</w:t>
      </w:r>
      <w:r>
        <w:rPr>
          <w:lang w:val="zh-CN" w:eastAsia="zh-CN"/>
        </w:rPr>
        <w:t>）</w:t>
      </w:r>
      <w:r>
        <w:rPr>
          <w:rFonts w:hint="eastAsia"/>
          <w:lang w:val="zh-CN" w:eastAsia="zh-CN"/>
        </w:rPr>
        <w:t>，工作组亦表示认可，将其作为</w:t>
      </w:r>
      <w:r>
        <w:rPr>
          <w:lang w:val="zh-CN" w:eastAsia="zh-CN"/>
        </w:rPr>
        <w:t>2025</w:t>
      </w:r>
      <w:r>
        <w:rPr>
          <w:lang w:val="zh-CN" w:eastAsia="zh-CN"/>
        </w:rPr>
        <w:t>年及</w:t>
      </w:r>
      <w:r>
        <w:rPr>
          <w:rFonts w:hint="eastAsia"/>
          <w:lang w:val="zh-CN" w:eastAsia="zh-CN"/>
        </w:rPr>
        <w:t>以后</w:t>
      </w:r>
      <w:r>
        <w:rPr>
          <w:lang w:val="zh-CN" w:eastAsia="zh-CN"/>
        </w:rPr>
        <w:t>的现有机制和</w:t>
      </w:r>
      <w:r>
        <w:rPr>
          <w:lang w:val="zh-CN" w:eastAsia="zh-CN"/>
        </w:rPr>
        <w:t>/</w:t>
      </w:r>
      <w:r>
        <w:rPr>
          <w:lang w:val="zh-CN" w:eastAsia="zh-CN"/>
        </w:rPr>
        <w:t>或</w:t>
      </w:r>
      <w:r>
        <w:rPr>
          <w:rFonts w:hint="eastAsia"/>
          <w:lang w:val="zh-CN" w:eastAsia="zh-CN"/>
        </w:rPr>
        <w:t>里程碑</w:t>
      </w:r>
      <w:r>
        <w:rPr>
          <w:lang w:val="zh-CN" w:eastAsia="zh-CN"/>
        </w:rPr>
        <w:t>。</w:t>
      </w:r>
    </w:p>
    <w:p w14:paraId="7F18F7BA" w14:textId="77777777" w:rsidR="0096402D" w:rsidRPr="00CB679E" w:rsidRDefault="0096402D" w:rsidP="0096402D">
      <w:pPr>
        <w:spacing w:before="240"/>
        <w:rPr>
          <w:rFonts w:asciiTheme="minorHAnsi" w:hAnsiTheme="minorHAnsi" w:cstheme="minorHAnsi"/>
          <w:b/>
          <w:bCs/>
          <w:lang w:eastAsia="zh-CN"/>
        </w:rPr>
      </w:pPr>
      <w:r>
        <w:rPr>
          <w:b/>
          <w:bCs/>
          <w:lang w:val="zh-CN" w:eastAsia="zh-CN"/>
        </w:rPr>
        <w:t>2.2</w:t>
      </w:r>
      <w:r>
        <w:rPr>
          <w:lang w:val="zh-CN" w:eastAsia="zh-CN"/>
        </w:rPr>
        <w:tab/>
      </w:r>
      <w:r>
        <w:rPr>
          <w:b/>
          <w:bCs/>
          <w:lang w:val="zh-CN" w:eastAsia="zh-CN"/>
        </w:rPr>
        <w:t>负责</w:t>
      </w:r>
      <w:r>
        <w:rPr>
          <w:rFonts w:hint="eastAsia"/>
          <w:b/>
          <w:bCs/>
          <w:lang w:val="zh-CN" w:eastAsia="zh-CN"/>
        </w:rPr>
        <w:t>契约实施</w:t>
      </w:r>
      <w:r>
        <w:rPr>
          <w:b/>
          <w:bCs/>
          <w:lang w:val="zh-CN" w:eastAsia="zh-CN"/>
        </w:rPr>
        <w:t>的其它工作组</w:t>
      </w:r>
    </w:p>
    <w:p w14:paraId="7BE492C1" w14:textId="77777777" w:rsidR="0096402D" w:rsidRPr="00CB679E" w:rsidRDefault="0096402D" w:rsidP="004322C7">
      <w:pPr>
        <w:ind w:firstLineChars="200" w:firstLine="480"/>
        <w:rPr>
          <w:rFonts w:asciiTheme="minorHAnsi" w:hAnsiTheme="minorHAnsi" w:cstheme="minorHAnsi"/>
          <w:lang w:eastAsia="zh-CN"/>
        </w:rPr>
      </w:pPr>
      <w:r>
        <w:rPr>
          <w:lang w:val="zh-CN" w:eastAsia="zh-CN"/>
        </w:rPr>
        <w:t>国际电联积极参与在</w:t>
      </w:r>
      <w:r>
        <w:rPr>
          <w:rFonts w:hint="eastAsia"/>
          <w:lang w:val="zh-CN" w:eastAsia="zh-CN"/>
        </w:rPr>
        <w:t>契约落实</w:t>
      </w:r>
      <w:r>
        <w:rPr>
          <w:lang w:val="zh-CN" w:eastAsia="zh-CN"/>
        </w:rPr>
        <w:t>指导委员会下设立的其他工作组，包括重点关注</w:t>
      </w:r>
      <w:r>
        <w:rPr>
          <w:rFonts w:hint="eastAsia"/>
          <w:lang w:val="zh-CN" w:eastAsia="zh-CN"/>
        </w:rPr>
        <w:t>契约</w:t>
      </w:r>
      <w:r>
        <w:rPr>
          <w:lang w:val="zh-CN" w:eastAsia="zh-CN"/>
        </w:rPr>
        <w:t>对可持续发展目标、和平与安全、</w:t>
      </w:r>
      <w:r>
        <w:rPr>
          <w:lang w:val="zh-CN" w:eastAsia="zh-CN"/>
        </w:rPr>
        <w:t>IFA</w:t>
      </w:r>
      <w:r>
        <w:rPr>
          <w:lang w:val="zh-CN" w:eastAsia="zh-CN"/>
        </w:rPr>
        <w:t>改革、联合国治理改革和青年</w:t>
      </w:r>
      <w:r>
        <w:rPr>
          <w:rFonts w:hint="eastAsia"/>
          <w:lang w:val="zh-CN" w:eastAsia="zh-CN"/>
        </w:rPr>
        <w:t>有所贡献</w:t>
      </w:r>
      <w:r>
        <w:rPr>
          <w:lang w:val="zh-CN" w:eastAsia="zh-CN"/>
        </w:rPr>
        <w:t>的工作组。</w:t>
      </w:r>
    </w:p>
    <w:p w14:paraId="0ADEDD71" w14:textId="196BE65A" w:rsidR="0096402D" w:rsidRPr="00CB679E" w:rsidRDefault="0096402D" w:rsidP="004322C7">
      <w:pPr>
        <w:ind w:firstLineChars="200" w:firstLine="480"/>
        <w:rPr>
          <w:rFonts w:asciiTheme="minorHAnsi" w:hAnsiTheme="minorHAnsi" w:cstheme="minorHAnsi"/>
          <w:lang w:eastAsia="zh-CN"/>
        </w:rPr>
      </w:pPr>
      <w:r>
        <w:rPr>
          <w:lang w:val="zh-CN" w:eastAsia="zh-CN"/>
        </w:rPr>
        <w:t>值得一提的是，国际电联与联合国</w:t>
      </w:r>
      <w:r w:rsidRPr="00CB679E">
        <w:rPr>
          <w:rFonts w:asciiTheme="minorHAnsi" w:hAnsiTheme="minorHAnsi" w:cstheme="minorHAnsi"/>
          <w:lang w:eastAsia="ko-KR"/>
        </w:rPr>
        <w:t>ODA</w:t>
      </w:r>
      <w:r>
        <w:rPr>
          <w:lang w:val="zh-CN" w:eastAsia="zh-CN"/>
        </w:rPr>
        <w:t>和</w:t>
      </w:r>
      <w:r>
        <w:rPr>
          <w:lang w:val="zh-CN" w:eastAsia="zh-CN"/>
        </w:rPr>
        <w:t>ODET</w:t>
      </w:r>
      <w:r w:rsidRPr="00272699">
        <w:rPr>
          <w:rFonts w:hint="eastAsia"/>
          <w:lang w:val="zh-CN" w:eastAsia="zh-CN"/>
        </w:rPr>
        <w:t>一道</w:t>
      </w:r>
      <w:r>
        <w:rPr>
          <w:lang w:val="zh-CN" w:eastAsia="zh-CN"/>
        </w:rPr>
        <w:t>，在和平与安全工作组内被指定为</w:t>
      </w:r>
      <w:r>
        <w:rPr>
          <w:rFonts w:hint="eastAsia"/>
          <w:lang w:val="zh-CN" w:eastAsia="zh-CN"/>
        </w:rPr>
        <w:t>契约</w:t>
      </w:r>
      <w:r>
        <w:rPr>
          <w:lang w:val="zh-CN" w:eastAsia="zh-CN"/>
        </w:rPr>
        <w:t>行动</w:t>
      </w:r>
      <w:r>
        <w:rPr>
          <w:lang w:val="zh-CN" w:eastAsia="zh-CN"/>
        </w:rPr>
        <w:t>27</w:t>
      </w:r>
      <w:r w:rsidR="004127AE">
        <w:rPr>
          <w:rFonts w:hint="eastAsia"/>
          <w:lang w:val="zh-CN" w:eastAsia="zh-CN"/>
        </w:rPr>
        <w:t xml:space="preserve"> (</w:t>
      </w:r>
      <w:r>
        <w:rPr>
          <w:lang w:val="zh-CN" w:eastAsia="zh-CN"/>
        </w:rPr>
        <w:t>c</w:t>
      </w:r>
      <w:r w:rsidR="004127AE">
        <w:rPr>
          <w:rFonts w:hint="eastAsia"/>
          <w:lang w:val="zh-CN" w:eastAsia="zh-CN"/>
        </w:rPr>
        <w:t>)</w:t>
      </w:r>
      <w:r>
        <w:rPr>
          <w:lang w:val="zh-CN" w:eastAsia="zh-CN"/>
        </w:rPr>
        <w:t>的</w:t>
      </w:r>
      <w:r>
        <w:rPr>
          <w:rFonts w:hint="eastAsia"/>
          <w:lang w:val="zh-CN" w:eastAsia="zh-CN"/>
        </w:rPr>
        <w:t>共同牵头方，</w:t>
      </w:r>
      <w:r w:rsidRPr="00272699">
        <w:rPr>
          <w:rFonts w:hint="eastAsia"/>
          <w:lang w:val="zh-CN" w:eastAsia="zh-CN"/>
        </w:rPr>
        <w:t>该行动涉及</w:t>
      </w:r>
      <w:r>
        <w:rPr>
          <w:lang w:val="zh-CN" w:eastAsia="zh-CN"/>
        </w:rPr>
        <w:t>弥合数字鸿沟和加强国际合作以实现数字技术惠益。国际电联还与其他</w:t>
      </w:r>
      <w:r>
        <w:rPr>
          <w:rFonts w:hint="eastAsia"/>
          <w:lang w:val="zh-CN" w:eastAsia="zh-CN"/>
        </w:rPr>
        <w:t>实体一起，</w:t>
      </w:r>
      <w:r>
        <w:rPr>
          <w:lang w:val="zh-CN" w:eastAsia="zh-CN"/>
        </w:rPr>
        <w:t>成为</w:t>
      </w:r>
      <w:r>
        <w:rPr>
          <w:rFonts w:hint="eastAsia"/>
          <w:lang w:val="zh-CN" w:eastAsia="zh-CN"/>
        </w:rPr>
        <w:t>契约</w:t>
      </w:r>
      <w:r>
        <w:rPr>
          <w:lang w:val="zh-CN" w:eastAsia="zh-CN"/>
        </w:rPr>
        <w:t>行动</w:t>
      </w:r>
      <w:r>
        <w:rPr>
          <w:lang w:val="zh-CN" w:eastAsia="zh-CN"/>
        </w:rPr>
        <w:t>24</w:t>
      </w:r>
      <w:r w:rsidR="004127AE">
        <w:rPr>
          <w:rFonts w:hint="eastAsia"/>
          <w:lang w:val="zh-CN" w:eastAsia="zh-CN"/>
        </w:rPr>
        <w:t xml:space="preserve"> (</w:t>
      </w:r>
      <w:r>
        <w:rPr>
          <w:lang w:val="zh-CN" w:eastAsia="zh-CN"/>
        </w:rPr>
        <w:t>b</w:t>
      </w:r>
      <w:r w:rsidR="004127AE">
        <w:rPr>
          <w:rFonts w:hint="eastAsia"/>
          <w:lang w:val="zh-CN" w:eastAsia="zh-CN"/>
        </w:rPr>
        <w:t>)</w:t>
      </w:r>
      <w:r>
        <w:rPr>
          <w:lang w:val="zh-CN" w:eastAsia="zh-CN"/>
        </w:rPr>
        <w:t>的行动贡献者，</w:t>
      </w:r>
      <w:r>
        <w:rPr>
          <w:rFonts w:hint="eastAsia"/>
          <w:lang w:val="zh-CN" w:eastAsia="zh-CN"/>
        </w:rPr>
        <w:t>虽然该条款</w:t>
      </w:r>
      <w:r>
        <w:rPr>
          <w:lang w:val="zh-CN" w:eastAsia="zh-CN"/>
        </w:rPr>
        <w:t>旨在加强国际合作，</w:t>
      </w:r>
      <w:r w:rsidRPr="00272699">
        <w:rPr>
          <w:rFonts w:hint="eastAsia"/>
          <w:lang w:val="zh-CN" w:eastAsia="zh-CN"/>
        </w:rPr>
        <w:t>预防</w:t>
      </w:r>
      <w:r>
        <w:rPr>
          <w:lang w:val="zh-CN" w:eastAsia="zh-CN"/>
        </w:rPr>
        <w:t>和打击一切形式的跨国有组织犯罪，包括通过信息通信技术系统实施的犯罪</w:t>
      </w:r>
      <w:r w:rsidRPr="00E26CC9">
        <w:rPr>
          <w:rFonts w:hint="eastAsia"/>
          <w:lang w:val="zh-CN" w:eastAsia="zh-CN"/>
        </w:rPr>
        <w:t>，但国际电联将根据需要，在其</w:t>
      </w:r>
      <w:r>
        <w:rPr>
          <w:rFonts w:hint="eastAsia"/>
          <w:lang w:val="zh-CN" w:eastAsia="zh-CN"/>
        </w:rPr>
        <w:t>职权</w:t>
      </w:r>
      <w:r w:rsidRPr="00E26CC9">
        <w:rPr>
          <w:rFonts w:hint="eastAsia"/>
          <w:lang w:val="zh-CN" w:eastAsia="zh-CN"/>
        </w:rPr>
        <w:t>规定范围内，</w:t>
      </w:r>
      <w:r>
        <w:rPr>
          <w:rFonts w:hint="eastAsia"/>
          <w:lang w:val="zh-CN" w:eastAsia="zh-CN"/>
        </w:rPr>
        <w:t>为</w:t>
      </w:r>
      <w:r w:rsidRPr="00E26CC9">
        <w:rPr>
          <w:rFonts w:hint="eastAsia"/>
          <w:lang w:val="zh-CN" w:eastAsia="zh-CN"/>
        </w:rPr>
        <w:t>在使用</w:t>
      </w:r>
      <w:r>
        <w:rPr>
          <w:rFonts w:hint="eastAsia"/>
          <w:lang w:val="zh-CN" w:eastAsia="zh-CN"/>
        </w:rPr>
        <w:t>ICT</w:t>
      </w:r>
      <w:r w:rsidRPr="00E26CC9">
        <w:rPr>
          <w:rFonts w:hint="eastAsia"/>
          <w:lang w:val="zh-CN" w:eastAsia="zh-CN"/>
        </w:rPr>
        <w:t>方面建立信任和安全的活动</w:t>
      </w:r>
      <w:r>
        <w:rPr>
          <w:rFonts w:hint="eastAsia"/>
          <w:lang w:val="zh-CN" w:eastAsia="zh-CN"/>
        </w:rPr>
        <w:t>做出</w:t>
      </w:r>
      <w:r w:rsidRPr="00E26CC9">
        <w:rPr>
          <w:rFonts w:hint="eastAsia"/>
          <w:lang w:val="zh-CN" w:eastAsia="zh-CN"/>
        </w:rPr>
        <w:t>贡献。</w:t>
      </w:r>
    </w:p>
    <w:p w14:paraId="22E1FE1C" w14:textId="77777777" w:rsidR="0096402D" w:rsidRPr="00CB679E" w:rsidRDefault="0096402D" w:rsidP="004322C7">
      <w:pPr>
        <w:ind w:firstLineChars="200" w:firstLine="480"/>
        <w:rPr>
          <w:rFonts w:asciiTheme="minorHAnsi" w:hAnsiTheme="minorHAnsi" w:cstheme="minorHAnsi"/>
          <w:b/>
          <w:bCs/>
          <w:lang w:eastAsia="zh-CN"/>
        </w:rPr>
      </w:pPr>
      <w:r>
        <w:rPr>
          <w:lang w:val="zh-CN" w:eastAsia="zh-CN"/>
        </w:rPr>
        <w:t>此外，国际电</w:t>
      </w:r>
      <w:proofErr w:type="gramStart"/>
      <w:r>
        <w:rPr>
          <w:lang w:val="zh-CN" w:eastAsia="zh-CN"/>
        </w:rPr>
        <w:t>联参加</w:t>
      </w:r>
      <w:proofErr w:type="gramEnd"/>
      <w:r>
        <w:rPr>
          <w:lang w:val="zh-CN" w:eastAsia="zh-CN"/>
        </w:rPr>
        <w:t>了联合国治理改革工作组，为旨在加强联合国系统、加强外层空间探测方面的国际合作、确保人权和应对全球挑战的行动做出贡献。国际电</w:t>
      </w:r>
      <w:proofErr w:type="gramStart"/>
      <w:r>
        <w:rPr>
          <w:lang w:val="zh-CN" w:eastAsia="zh-CN"/>
        </w:rPr>
        <w:t>联正在</w:t>
      </w:r>
      <w:proofErr w:type="gramEnd"/>
      <w:r>
        <w:rPr>
          <w:lang w:val="zh-CN" w:eastAsia="zh-CN"/>
        </w:rPr>
        <w:t>确定</w:t>
      </w:r>
      <w:r>
        <w:rPr>
          <w:lang w:val="zh-CN" w:eastAsia="zh-CN"/>
        </w:rPr>
        <w:t>WSIS</w:t>
      </w:r>
      <w:r>
        <w:rPr>
          <w:lang w:val="zh-CN" w:eastAsia="zh-CN"/>
        </w:rPr>
        <w:t>、</w:t>
      </w:r>
      <w:r>
        <w:rPr>
          <w:lang w:val="zh-CN" w:eastAsia="zh-CN"/>
        </w:rPr>
        <w:t>P2C</w:t>
      </w:r>
      <w:r>
        <w:rPr>
          <w:lang w:val="zh-CN" w:eastAsia="zh-CN"/>
        </w:rPr>
        <w:t>和全民预警（</w:t>
      </w:r>
      <w:r>
        <w:rPr>
          <w:lang w:val="zh-CN" w:eastAsia="zh-CN"/>
        </w:rPr>
        <w:t>EW4A</w:t>
      </w:r>
      <w:r>
        <w:rPr>
          <w:lang w:val="zh-CN" w:eastAsia="zh-CN"/>
        </w:rPr>
        <w:t>）等关键</w:t>
      </w:r>
      <w:r>
        <w:rPr>
          <w:rFonts w:hint="eastAsia"/>
          <w:lang w:val="zh-CN" w:eastAsia="zh-CN"/>
        </w:rPr>
        <w:t>性</w:t>
      </w:r>
      <w:r>
        <w:rPr>
          <w:lang w:val="zh-CN" w:eastAsia="zh-CN"/>
        </w:rPr>
        <w:t>举措来支持这些工作。</w:t>
      </w:r>
    </w:p>
    <w:p w14:paraId="68E6BA64" w14:textId="77777777" w:rsidR="00DB2F56" w:rsidRDefault="00DB2F56">
      <w:pPr>
        <w:tabs>
          <w:tab w:val="clear" w:pos="794"/>
          <w:tab w:val="clear" w:pos="1191"/>
          <w:tab w:val="clear" w:pos="1588"/>
          <w:tab w:val="clear" w:pos="1985"/>
        </w:tabs>
        <w:overflowPunct/>
        <w:autoSpaceDE/>
        <w:autoSpaceDN/>
        <w:adjustRightInd/>
        <w:spacing w:before="0"/>
        <w:textAlignment w:val="auto"/>
        <w:rPr>
          <w:b/>
          <w:bCs/>
          <w:lang w:val="zh-CN" w:eastAsia="zh-CN"/>
        </w:rPr>
      </w:pPr>
      <w:r>
        <w:rPr>
          <w:b/>
          <w:bCs/>
          <w:lang w:val="zh-CN" w:eastAsia="zh-CN"/>
        </w:rPr>
        <w:br w:type="page"/>
      </w:r>
    </w:p>
    <w:p w14:paraId="52DE4BA4" w14:textId="4597BAD1" w:rsidR="0096402D" w:rsidRPr="00A80822" w:rsidRDefault="0096402D" w:rsidP="0096402D">
      <w:pPr>
        <w:spacing w:before="240"/>
        <w:rPr>
          <w:lang w:eastAsia="zh-CN"/>
        </w:rPr>
      </w:pPr>
      <w:r>
        <w:rPr>
          <w:b/>
          <w:bCs/>
          <w:lang w:val="zh-CN" w:eastAsia="zh-CN"/>
        </w:rPr>
        <w:lastRenderedPageBreak/>
        <w:t>2.3</w:t>
      </w:r>
      <w:r>
        <w:rPr>
          <w:lang w:val="zh-CN" w:eastAsia="zh-CN"/>
        </w:rPr>
        <w:tab/>
      </w:r>
      <w:r w:rsidRPr="007A7ABB">
        <w:rPr>
          <w:b/>
          <w:bCs/>
          <w:lang w:val="zh-CN" w:eastAsia="zh-CN"/>
        </w:rPr>
        <w:t>人工智能机构间工作组</w:t>
      </w:r>
    </w:p>
    <w:p w14:paraId="3508B9C1" w14:textId="77777777" w:rsidR="0096402D" w:rsidRPr="009C34D1" w:rsidRDefault="0096402D" w:rsidP="004322C7">
      <w:pPr>
        <w:ind w:firstLineChars="200" w:firstLine="480"/>
        <w:rPr>
          <w:rFonts w:asciiTheme="minorHAnsi" w:eastAsiaTheme="minorEastAsia" w:hAnsiTheme="minorHAnsi" w:cstheme="minorHAnsi"/>
          <w:lang w:eastAsia="zh-CN"/>
        </w:rPr>
      </w:pPr>
      <w:r>
        <w:rPr>
          <w:lang w:val="zh-CN" w:eastAsia="zh-CN"/>
        </w:rPr>
        <w:t>此外，联合国行政首长协调委员会（</w:t>
      </w:r>
      <w:r>
        <w:rPr>
          <w:lang w:val="zh-CN" w:eastAsia="zh-CN"/>
        </w:rPr>
        <w:t>CEB</w:t>
      </w:r>
      <w:r>
        <w:rPr>
          <w:lang w:val="zh-CN" w:eastAsia="zh-CN"/>
        </w:rPr>
        <w:t>）框架下的</w:t>
      </w:r>
      <w:hyperlink r:id="rId25" w:anchor=":~:text=HLCP%2C%20established%20on%2027%20October,facing%20the%20United%20Nations%20system." w:history="1">
        <w:r w:rsidRPr="00747CE1">
          <w:rPr>
            <w:rStyle w:val="StyleHyperlinkAsianSimSunBlueUnderline"/>
          </w:rPr>
          <w:t>方案问题高级别委员会（</w:t>
        </w:r>
        <w:r w:rsidRPr="00747CE1">
          <w:rPr>
            <w:rStyle w:val="StyleHyperlinkAsianSimSunBlueUnderline"/>
          </w:rPr>
          <w:t>HLCP</w:t>
        </w:r>
        <w:r w:rsidRPr="00747CE1">
          <w:rPr>
            <w:rStyle w:val="StyleHyperlinkAsianSimSunBlueUnderline"/>
          </w:rPr>
          <w:t>）</w:t>
        </w:r>
      </w:hyperlink>
      <w:r>
        <w:rPr>
          <w:lang w:val="zh-CN" w:eastAsia="zh-CN"/>
        </w:rPr>
        <w:t>认识到由国际电联和教科文组织共同主持的</w:t>
      </w:r>
      <w:hyperlink r:id="rId26" w:history="1">
        <w:r w:rsidRPr="00747CE1">
          <w:rPr>
            <w:rStyle w:val="StyleHyperlinkAsianSimSunBlueUnderline"/>
          </w:rPr>
          <w:t>人工智能机构间工作组（</w:t>
        </w:r>
        <w:r w:rsidRPr="00747CE1">
          <w:rPr>
            <w:rStyle w:val="StyleHyperlinkAsianSimSunBlueUnderline"/>
          </w:rPr>
          <w:t>IAWG-AI</w:t>
        </w:r>
        <w:r w:rsidRPr="00747CE1">
          <w:rPr>
            <w:rStyle w:val="StyleHyperlinkAsianSimSunBlueUnderline"/>
          </w:rPr>
          <w:t>）</w:t>
        </w:r>
      </w:hyperlink>
      <w:r>
        <w:rPr>
          <w:lang w:val="zh-CN" w:eastAsia="zh-CN"/>
        </w:rPr>
        <w:t>的重要性，要求协调其工作，并为</w:t>
      </w:r>
      <w:r>
        <w:rPr>
          <w:lang w:val="zh-CN" w:eastAsia="zh-CN"/>
        </w:rPr>
        <w:t>GDC</w:t>
      </w:r>
      <w:r>
        <w:rPr>
          <w:lang w:val="zh-CN" w:eastAsia="zh-CN"/>
        </w:rPr>
        <w:t>的实施提供联合国系统支持。国际电联和教科文组织目前正在与其他</w:t>
      </w:r>
      <w:r>
        <w:rPr>
          <w:lang w:val="zh-CN" w:eastAsia="zh-CN"/>
        </w:rPr>
        <w:t>IAWG-AI</w:t>
      </w:r>
      <w:r>
        <w:rPr>
          <w:lang w:val="zh-CN" w:eastAsia="zh-CN"/>
        </w:rPr>
        <w:t>成员机构合作，向数字技术工作组（</w:t>
      </w:r>
      <w:r>
        <w:rPr>
          <w:lang w:val="zh-CN" w:eastAsia="zh-CN"/>
        </w:rPr>
        <w:t>WGDT</w:t>
      </w:r>
      <w:r>
        <w:rPr>
          <w:lang w:val="zh-CN" w:eastAsia="zh-CN"/>
        </w:rPr>
        <w:t>）提供输入意见，以及</w:t>
      </w:r>
      <w:r>
        <w:rPr>
          <w:lang w:val="zh-CN" w:eastAsia="zh-CN"/>
        </w:rPr>
        <w:t>IAWG-AI</w:t>
      </w:r>
      <w:r>
        <w:rPr>
          <w:lang w:val="zh-CN" w:eastAsia="zh-CN"/>
        </w:rPr>
        <w:t>为期</w:t>
      </w:r>
      <w:r>
        <w:rPr>
          <w:lang w:val="zh-CN" w:eastAsia="zh-CN"/>
        </w:rPr>
        <w:t>12</w:t>
      </w:r>
      <w:r>
        <w:rPr>
          <w:lang w:val="zh-CN" w:eastAsia="zh-CN"/>
        </w:rPr>
        <w:t>个月的最新工作计划。此外，</w:t>
      </w:r>
      <w:r>
        <w:rPr>
          <w:lang w:val="zh-CN" w:eastAsia="zh-CN"/>
        </w:rPr>
        <w:t>IAWG-AI</w:t>
      </w:r>
      <w:r>
        <w:rPr>
          <w:lang w:val="zh-CN" w:eastAsia="zh-CN"/>
        </w:rPr>
        <w:t>与国际电联、</w:t>
      </w:r>
      <w:r>
        <w:rPr>
          <w:lang w:val="zh-CN" w:eastAsia="zh-CN"/>
        </w:rPr>
        <w:t>ODET</w:t>
      </w:r>
      <w:r>
        <w:rPr>
          <w:lang w:val="zh-CN" w:eastAsia="zh-CN"/>
        </w:rPr>
        <w:t>和</w:t>
      </w:r>
      <w:r>
        <w:rPr>
          <w:lang w:val="zh-CN" w:eastAsia="zh-CN"/>
        </w:rPr>
        <w:t>UNESCO</w:t>
      </w:r>
      <w:r>
        <w:rPr>
          <w:lang w:val="zh-CN" w:eastAsia="zh-CN"/>
        </w:rPr>
        <w:t>共同领导的</w:t>
      </w:r>
      <w:r>
        <w:rPr>
          <w:lang w:val="zh-CN" w:eastAsia="zh-CN"/>
        </w:rPr>
        <w:t>WGDT</w:t>
      </w:r>
      <w:r>
        <w:rPr>
          <w:lang w:val="zh-CN" w:eastAsia="zh-CN"/>
        </w:rPr>
        <w:t>第</w:t>
      </w:r>
      <w:r>
        <w:rPr>
          <w:lang w:val="zh-CN" w:eastAsia="zh-CN"/>
        </w:rPr>
        <w:t>5</w:t>
      </w:r>
      <w:r>
        <w:rPr>
          <w:lang w:val="zh-CN" w:eastAsia="zh-CN"/>
        </w:rPr>
        <w:t>分工作组联合召开会议，将联合国系统的输入意见</w:t>
      </w:r>
      <w:r>
        <w:rPr>
          <w:rFonts w:hint="eastAsia"/>
          <w:lang w:val="zh-CN" w:eastAsia="zh-CN"/>
        </w:rPr>
        <w:t>纳入</w:t>
      </w:r>
      <w:r>
        <w:rPr>
          <w:lang w:val="zh-CN" w:eastAsia="zh-CN"/>
        </w:rPr>
        <w:t>GDC</w:t>
      </w:r>
      <w:r>
        <w:rPr>
          <w:lang w:val="zh-CN" w:eastAsia="zh-CN"/>
        </w:rPr>
        <w:t>授权的相关进程。</w:t>
      </w:r>
    </w:p>
    <w:p w14:paraId="2ACAFF86" w14:textId="77777777" w:rsidR="0096402D" w:rsidRPr="00CB679E" w:rsidRDefault="0096402D" w:rsidP="0096402D">
      <w:pPr>
        <w:spacing w:before="240"/>
        <w:rPr>
          <w:rFonts w:asciiTheme="minorHAnsi" w:hAnsiTheme="minorHAnsi" w:cstheme="minorHAnsi"/>
          <w:lang w:eastAsia="zh-CN"/>
        </w:rPr>
      </w:pPr>
      <w:r>
        <w:rPr>
          <w:b/>
          <w:bCs/>
          <w:lang w:val="zh-CN" w:eastAsia="zh-CN"/>
        </w:rPr>
        <w:t>2.4</w:t>
      </w:r>
      <w:r>
        <w:rPr>
          <w:lang w:val="zh-CN" w:eastAsia="zh-CN"/>
        </w:rPr>
        <w:tab/>
      </w:r>
      <w:r w:rsidRPr="001F3299">
        <w:rPr>
          <w:rFonts w:hint="eastAsia"/>
          <w:b/>
          <w:bCs/>
          <w:lang w:val="zh-CN" w:eastAsia="zh-CN"/>
        </w:rPr>
        <w:t>关于</w:t>
      </w:r>
      <w:r>
        <w:rPr>
          <w:b/>
          <w:bCs/>
          <w:lang w:val="zh-CN" w:eastAsia="zh-CN"/>
        </w:rPr>
        <w:t>《全球数字契约》的</w:t>
      </w:r>
      <w:bookmarkStart w:id="8" w:name="_Hlk198285737"/>
      <w:r>
        <w:rPr>
          <w:b/>
          <w:bCs/>
          <w:lang w:val="zh-CN" w:eastAsia="zh-CN"/>
        </w:rPr>
        <w:t>数字</w:t>
      </w:r>
      <w:r>
        <w:rPr>
          <w:rFonts w:hint="eastAsia"/>
          <w:b/>
          <w:bCs/>
          <w:lang w:val="zh-CN" w:eastAsia="zh-CN"/>
        </w:rPr>
        <w:t>访谈活动</w:t>
      </w:r>
      <w:bookmarkEnd w:id="8"/>
      <w:r>
        <w:rPr>
          <w:rFonts w:hint="eastAsia"/>
          <w:b/>
          <w:bCs/>
          <w:lang w:val="zh-CN" w:eastAsia="zh-CN"/>
        </w:rPr>
        <w:t>（</w:t>
      </w:r>
      <w:r w:rsidRPr="00CB679E">
        <w:rPr>
          <w:rFonts w:asciiTheme="minorHAnsi" w:hAnsiTheme="minorHAnsi" w:cstheme="minorHAnsi"/>
          <w:b/>
          <w:bCs/>
          <w:lang w:eastAsia="ko-KR"/>
        </w:rPr>
        <w:t>Let</w:t>
      </w:r>
      <w:proofErr w:type="gramStart"/>
      <w:r w:rsidRPr="00CB679E">
        <w:rPr>
          <w:rFonts w:asciiTheme="minorHAnsi" w:hAnsiTheme="minorHAnsi" w:cstheme="minorHAnsi"/>
          <w:b/>
          <w:bCs/>
          <w:lang w:eastAsia="ko-KR"/>
        </w:rPr>
        <w:t>’</w:t>
      </w:r>
      <w:proofErr w:type="gramEnd"/>
      <w:r w:rsidRPr="00CB679E">
        <w:rPr>
          <w:rFonts w:asciiTheme="minorHAnsi" w:hAnsiTheme="minorHAnsi" w:cstheme="minorHAnsi"/>
          <w:b/>
          <w:bCs/>
          <w:lang w:eastAsia="ko-KR"/>
        </w:rPr>
        <w:t>s Talk Digital</w:t>
      </w:r>
      <w:r>
        <w:rPr>
          <w:rFonts w:asciiTheme="minorHAnsi" w:hAnsiTheme="minorHAnsi" w:cstheme="minorHAnsi" w:hint="eastAsia"/>
          <w:b/>
          <w:bCs/>
          <w:lang w:eastAsia="zh-CN"/>
        </w:rPr>
        <w:t>）</w:t>
      </w:r>
    </w:p>
    <w:p w14:paraId="48B98C6C" w14:textId="410C7E5A" w:rsidR="0096402D" w:rsidRPr="00CB679E" w:rsidRDefault="0096402D" w:rsidP="004322C7">
      <w:pPr>
        <w:ind w:firstLineChars="200" w:firstLine="480"/>
        <w:rPr>
          <w:rFonts w:asciiTheme="minorHAnsi" w:hAnsiTheme="minorHAnsi" w:cstheme="minorHAnsi"/>
          <w:lang w:eastAsia="zh-CN"/>
        </w:rPr>
      </w:pPr>
      <w:r>
        <w:rPr>
          <w:lang w:val="zh-CN" w:eastAsia="zh-CN"/>
        </w:rPr>
        <w:t>国际电联还定期与总部设在日内瓦的联合国和国际机构</w:t>
      </w:r>
      <w:r w:rsidRPr="001F3299">
        <w:rPr>
          <w:lang w:eastAsia="zh-CN"/>
        </w:rPr>
        <w:t>（</w:t>
      </w:r>
      <w:r w:rsidR="004322C7" w:rsidRPr="004322C7">
        <w:rPr>
          <w:rFonts w:ascii="SimSun" w:hAnsi="SimSun"/>
          <w:lang w:eastAsia="zh-CN"/>
        </w:rPr>
        <w:t>“</w:t>
      </w:r>
      <w:r>
        <w:rPr>
          <w:lang w:val="zh-CN" w:eastAsia="zh-CN"/>
        </w:rPr>
        <w:t>日内瓦数字厨房</w:t>
      </w:r>
      <w:r w:rsidR="004322C7" w:rsidRPr="004322C7">
        <w:rPr>
          <w:rFonts w:ascii="SimSun" w:hAnsi="SimSun"/>
          <w:lang w:eastAsia="zh-CN"/>
        </w:rPr>
        <w:t>”</w:t>
      </w:r>
      <w:r>
        <w:rPr>
          <w:lang w:val="zh-CN" w:eastAsia="zh-CN"/>
        </w:rPr>
        <w:t>网络</w:t>
      </w:r>
      <w:r w:rsidRPr="001F3299">
        <w:rPr>
          <w:rFonts w:hint="eastAsia"/>
          <w:lang w:eastAsia="zh-CN"/>
        </w:rPr>
        <w:t>（</w:t>
      </w:r>
      <w:r w:rsidRPr="00CB679E">
        <w:rPr>
          <w:rFonts w:asciiTheme="minorHAnsi" w:hAnsiTheme="minorHAnsi" w:cstheme="minorHAnsi"/>
          <w:lang w:eastAsia="zh-CN"/>
        </w:rPr>
        <w:t>“Geneva Digital Kitchen” network</w:t>
      </w:r>
      <w:r>
        <w:rPr>
          <w:rFonts w:asciiTheme="minorHAnsi" w:hAnsiTheme="minorHAnsi" w:cstheme="minorHAnsi" w:hint="eastAsia"/>
          <w:lang w:eastAsia="zh-CN"/>
        </w:rPr>
        <w:t>）</w:t>
      </w:r>
      <w:r w:rsidRPr="001F3299">
        <w:rPr>
          <w:lang w:eastAsia="zh-CN"/>
        </w:rPr>
        <w:t>）</w:t>
      </w:r>
      <w:r>
        <w:rPr>
          <w:rFonts w:hint="eastAsia"/>
          <w:lang w:val="zh-CN" w:eastAsia="zh-CN"/>
        </w:rPr>
        <w:t>一起</w:t>
      </w:r>
      <w:r>
        <w:rPr>
          <w:lang w:val="zh-CN" w:eastAsia="zh-CN"/>
        </w:rPr>
        <w:t>举办</w:t>
      </w:r>
      <w:r w:rsidRPr="001F3299">
        <w:rPr>
          <w:rFonts w:hint="eastAsia"/>
          <w:lang w:val="zh-CN" w:eastAsia="zh-CN"/>
        </w:rPr>
        <w:t>数字访谈活动</w:t>
      </w:r>
      <w:r w:rsidRPr="001F3299">
        <w:rPr>
          <w:rFonts w:hint="eastAsia"/>
          <w:lang w:eastAsia="zh-CN"/>
        </w:rPr>
        <w:t>（</w:t>
      </w:r>
      <w:r w:rsidRPr="00CB679E">
        <w:rPr>
          <w:rFonts w:asciiTheme="minorHAnsi" w:hAnsiTheme="minorHAnsi" w:cstheme="minorHAnsi"/>
          <w:lang w:eastAsia="zh-CN"/>
        </w:rPr>
        <w:t>Let</w:t>
      </w:r>
      <w:proofErr w:type="gramStart"/>
      <w:r w:rsidRPr="00CB679E">
        <w:rPr>
          <w:rFonts w:asciiTheme="minorHAnsi" w:hAnsiTheme="minorHAnsi" w:cstheme="minorHAnsi"/>
          <w:lang w:eastAsia="zh-CN"/>
        </w:rPr>
        <w:t>’</w:t>
      </w:r>
      <w:proofErr w:type="gramEnd"/>
      <w:r w:rsidRPr="00CB679E">
        <w:rPr>
          <w:rFonts w:asciiTheme="minorHAnsi" w:hAnsiTheme="minorHAnsi" w:cstheme="minorHAnsi"/>
          <w:lang w:eastAsia="zh-CN"/>
        </w:rPr>
        <w:t>s Talk Digital</w:t>
      </w:r>
      <w:r>
        <w:rPr>
          <w:rFonts w:asciiTheme="minorHAnsi" w:hAnsiTheme="minorHAnsi" w:cstheme="minorHAnsi" w:hint="eastAsia"/>
          <w:lang w:eastAsia="zh-CN"/>
        </w:rPr>
        <w:t>）</w:t>
      </w:r>
      <w:r w:rsidRPr="001F3299">
        <w:rPr>
          <w:lang w:eastAsia="zh-CN"/>
        </w:rPr>
        <w:t>，</w:t>
      </w:r>
      <w:r>
        <w:rPr>
          <w:lang w:val="zh-CN" w:eastAsia="zh-CN"/>
        </w:rPr>
        <w:t>讨论新兴数字趋势、分享</w:t>
      </w:r>
      <w:r w:rsidRPr="001F3299">
        <w:rPr>
          <w:rFonts w:hint="eastAsia"/>
          <w:lang w:val="zh-CN" w:eastAsia="zh-CN"/>
        </w:rPr>
        <w:t>各项</w:t>
      </w:r>
      <w:r>
        <w:rPr>
          <w:lang w:val="zh-CN" w:eastAsia="zh-CN"/>
        </w:rPr>
        <w:t>举措并加强</w:t>
      </w:r>
      <w:r>
        <w:rPr>
          <w:rFonts w:hint="eastAsia"/>
          <w:lang w:val="zh-CN" w:eastAsia="zh-CN"/>
        </w:rPr>
        <w:t>协作</w:t>
      </w:r>
      <w:r>
        <w:rPr>
          <w:lang w:val="zh-CN" w:eastAsia="zh-CN"/>
        </w:rPr>
        <w:t>。最近几次会议的重点是</w:t>
      </w:r>
      <w:r>
        <w:rPr>
          <w:rFonts w:hint="eastAsia"/>
          <w:lang w:val="zh-CN" w:eastAsia="zh-CN"/>
        </w:rPr>
        <w:t>此类</w:t>
      </w:r>
      <w:r>
        <w:rPr>
          <w:lang w:val="zh-CN" w:eastAsia="zh-CN"/>
        </w:rPr>
        <w:t>协作如何创造</w:t>
      </w:r>
      <w:r w:rsidRPr="001F3299">
        <w:rPr>
          <w:rFonts w:hint="eastAsia"/>
          <w:lang w:val="zh-CN" w:eastAsia="zh-CN"/>
        </w:rPr>
        <w:t>有价值</w:t>
      </w:r>
      <w:r>
        <w:rPr>
          <w:lang w:val="zh-CN" w:eastAsia="zh-CN"/>
        </w:rPr>
        <w:t>的协同</w:t>
      </w:r>
      <w:r w:rsidRPr="001F3299">
        <w:rPr>
          <w:rFonts w:hint="eastAsia"/>
          <w:lang w:val="zh-CN" w:eastAsia="zh-CN"/>
        </w:rPr>
        <w:t>效应</w:t>
      </w:r>
      <w:r>
        <w:rPr>
          <w:lang w:val="zh-CN" w:eastAsia="zh-CN"/>
        </w:rPr>
        <w:t>，以满足成员国和利益攸关方的</w:t>
      </w:r>
      <w:r w:rsidRPr="001F3299">
        <w:rPr>
          <w:rFonts w:hint="eastAsia"/>
          <w:lang w:val="zh-CN" w:eastAsia="zh-CN"/>
        </w:rPr>
        <w:t>多样化</w:t>
      </w:r>
      <w:r>
        <w:rPr>
          <w:lang w:val="zh-CN" w:eastAsia="zh-CN"/>
        </w:rPr>
        <w:t>需求，特别是在跟进</w:t>
      </w:r>
      <w:r>
        <w:rPr>
          <w:lang w:val="zh-CN" w:eastAsia="zh-CN"/>
        </w:rPr>
        <w:t>GDC</w:t>
      </w:r>
      <w:r>
        <w:rPr>
          <w:lang w:val="zh-CN" w:eastAsia="zh-CN"/>
        </w:rPr>
        <w:t>方面。该组制定了</w:t>
      </w:r>
      <w:r w:rsidR="00E54268" w:rsidRPr="00E54268">
        <w:rPr>
          <w:rFonts w:ascii="SimSun" w:hAnsi="SimSun"/>
          <w:lang w:val="zh-CN" w:eastAsia="zh-CN"/>
        </w:rPr>
        <w:t>“</w:t>
      </w:r>
      <w:r>
        <w:rPr>
          <w:lang w:val="zh-CN" w:eastAsia="zh-CN"/>
        </w:rPr>
        <w:t>日内瓦贡献计划</w:t>
      </w:r>
      <w:r w:rsidR="00E54268" w:rsidRPr="00E54268">
        <w:rPr>
          <w:rFonts w:ascii="SimSun" w:hAnsi="SimSun"/>
          <w:lang w:val="zh-CN" w:eastAsia="zh-CN"/>
        </w:rPr>
        <w:t>”</w:t>
      </w:r>
      <w:r>
        <w:rPr>
          <w:lang w:val="zh-CN" w:eastAsia="zh-CN"/>
        </w:rPr>
        <w:t>，以支持</w:t>
      </w:r>
      <w:r>
        <w:rPr>
          <w:lang w:val="zh-CN" w:eastAsia="zh-CN"/>
        </w:rPr>
        <w:t>GDC</w:t>
      </w:r>
      <w:r>
        <w:rPr>
          <w:lang w:val="zh-CN" w:eastAsia="zh-CN"/>
        </w:rPr>
        <w:t>并发扬</w:t>
      </w:r>
      <w:r>
        <w:rPr>
          <w:rFonts w:hint="eastAsia"/>
          <w:lang w:val="zh-CN" w:eastAsia="zh-CN"/>
        </w:rPr>
        <w:t>这种协作</w:t>
      </w:r>
      <w:r>
        <w:rPr>
          <w:lang w:val="zh-CN" w:eastAsia="zh-CN"/>
        </w:rPr>
        <w:t>精神。</w:t>
      </w:r>
    </w:p>
    <w:p w14:paraId="5248B46F" w14:textId="114CF5C9" w:rsidR="00E323D0" w:rsidRDefault="0096402D" w:rsidP="004322C7">
      <w:pPr>
        <w:pStyle w:val="Reasons"/>
        <w:ind w:firstLineChars="200" w:firstLine="480"/>
        <w:rPr>
          <w:lang w:val="zh-CN" w:eastAsia="zh-CN"/>
        </w:rPr>
      </w:pPr>
      <w:r>
        <w:rPr>
          <w:lang w:val="zh-CN" w:eastAsia="zh-CN"/>
        </w:rPr>
        <w:t>从</w:t>
      </w:r>
      <w:r>
        <w:rPr>
          <w:lang w:val="zh-CN" w:eastAsia="zh-CN"/>
        </w:rPr>
        <w:t>2025</w:t>
      </w:r>
      <w:r>
        <w:rPr>
          <w:lang w:val="zh-CN" w:eastAsia="zh-CN"/>
        </w:rPr>
        <w:t>年</w:t>
      </w:r>
      <w:r>
        <w:rPr>
          <w:lang w:val="zh-CN" w:eastAsia="zh-CN"/>
        </w:rPr>
        <w:t>1</w:t>
      </w:r>
      <w:r>
        <w:rPr>
          <w:lang w:val="zh-CN" w:eastAsia="zh-CN"/>
        </w:rPr>
        <w:t>月开始，</w:t>
      </w:r>
      <w:r>
        <w:rPr>
          <w:rFonts w:hint="eastAsia"/>
          <w:lang w:val="zh-CN" w:eastAsia="zh-CN"/>
        </w:rPr>
        <w:t>“</w:t>
      </w:r>
      <w:r>
        <w:rPr>
          <w:lang w:val="zh-CN" w:eastAsia="zh-CN"/>
        </w:rPr>
        <w:t>日内瓦数字厨房</w:t>
      </w:r>
      <w:r>
        <w:rPr>
          <w:rFonts w:hint="eastAsia"/>
          <w:lang w:val="zh-CN" w:eastAsia="zh-CN"/>
        </w:rPr>
        <w:t>”网络发起</w:t>
      </w:r>
      <w:r>
        <w:rPr>
          <w:lang w:val="zh-CN" w:eastAsia="zh-CN"/>
        </w:rPr>
        <w:t>了一系列</w:t>
      </w:r>
      <w:r w:rsidRPr="0010525D">
        <w:rPr>
          <w:rFonts w:hint="eastAsia"/>
          <w:lang w:val="zh-CN" w:eastAsia="zh-CN"/>
        </w:rPr>
        <w:t>围绕</w:t>
      </w:r>
      <w:r>
        <w:rPr>
          <w:lang w:val="zh-CN" w:eastAsia="zh-CN"/>
        </w:rPr>
        <w:t>GDC</w:t>
      </w:r>
      <w:r>
        <w:rPr>
          <w:lang w:val="zh-CN" w:eastAsia="zh-CN"/>
        </w:rPr>
        <w:t>的深入主题讨论，</w:t>
      </w:r>
      <w:r w:rsidRPr="0010525D">
        <w:rPr>
          <w:rFonts w:hint="eastAsia"/>
          <w:lang w:val="zh-CN" w:eastAsia="zh-CN"/>
        </w:rPr>
        <w:t>第一场讨论由</w:t>
      </w:r>
      <w:r>
        <w:rPr>
          <w:lang w:val="zh-CN" w:eastAsia="zh-CN"/>
        </w:rPr>
        <w:t>人权高专办牵头。随后在</w:t>
      </w:r>
      <w:r>
        <w:rPr>
          <w:lang w:val="zh-CN" w:eastAsia="zh-CN"/>
        </w:rPr>
        <w:t>3</w:t>
      </w:r>
      <w:r>
        <w:rPr>
          <w:lang w:val="zh-CN" w:eastAsia="zh-CN"/>
        </w:rPr>
        <w:t>月与国际劳工组织合作</w:t>
      </w:r>
      <w:r w:rsidRPr="0010525D">
        <w:rPr>
          <w:rFonts w:hint="eastAsia"/>
          <w:lang w:val="zh-CN" w:eastAsia="zh-CN"/>
        </w:rPr>
        <w:t>举办</w:t>
      </w:r>
      <w:r>
        <w:rPr>
          <w:lang w:val="zh-CN" w:eastAsia="zh-CN"/>
        </w:rPr>
        <w:t>了第二</w:t>
      </w:r>
      <w:r>
        <w:rPr>
          <w:rFonts w:hint="eastAsia"/>
          <w:lang w:val="zh-CN" w:eastAsia="zh-CN"/>
        </w:rPr>
        <w:t>场</w:t>
      </w:r>
      <w:r>
        <w:rPr>
          <w:lang w:val="zh-CN" w:eastAsia="zh-CN"/>
        </w:rPr>
        <w:t>讨论，重点</w:t>
      </w:r>
      <w:r w:rsidRPr="0010525D">
        <w:rPr>
          <w:rFonts w:hint="eastAsia"/>
          <w:lang w:val="zh-CN" w:eastAsia="zh-CN"/>
        </w:rPr>
        <w:t>探讨</w:t>
      </w:r>
      <w:r>
        <w:rPr>
          <w:lang w:val="zh-CN" w:eastAsia="zh-CN"/>
        </w:rPr>
        <w:t>数字技术和未来工作。在</w:t>
      </w:r>
      <w:r>
        <w:rPr>
          <w:lang w:val="zh-CN" w:eastAsia="zh-CN"/>
        </w:rPr>
        <w:t>3</w:t>
      </w:r>
      <w:r>
        <w:rPr>
          <w:lang w:val="zh-CN" w:eastAsia="zh-CN"/>
        </w:rPr>
        <w:t>月的会议期间，该组还探讨了在国际电</w:t>
      </w:r>
      <w:proofErr w:type="gramStart"/>
      <w:r>
        <w:rPr>
          <w:lang w:val="zh-CN" w:eastAsia="zh-CN"/>
        </w:rPr>
        <w:t>联数据</w:t>
      </w:r>
      <w:proofErr w:type="gramEnd"/>
      <w:r>
        <w:rPr>
          <w:lang w:val="zh-CN" w:eastAsia="zh-CN"/>
        </w:rPr>
        <w:t>中心的基础上开发</w:t>
      </w:r>
      <w:r w:rsidRPr="0010525D">
        <w:rPr>
          <w:rFonts w:ascii="STKaiti" w:eastAsia="STKaiti" w:hAnsi="STKaiti"/>
          <w:lang w:val="zh-CN" w:eastAsia="zh-CN"/>
        </w:rPr>
        <w:t>衡量ICT数据中心</w:t>
      </w:r>
      <w:r>
        <w:rPr>
          <w:lang w:val="zh-CN" w:eastAsia="zh-CN"/>
        </w:rPr>
        <w:t>的问题，</w:t>
      </w:r>
      <w:r w:rsidRPr="0010525D">
        <w:rPr>
          <w:rFonts w:hint="eastAsia"/>
          <w:lang w:val="zh-CN" w:eastAsia="zh-CN"/>
        </w:rPr>
        <w:t>将其</w:t>
      </w:r>
      <w:r>
        <w:rPr>
          <w:lang w:val="zh-CN" w:eastAsia="zh-CN"/>
        </w:rPr>
        <w:t>作为日内瓦</w:t>
      </w:r>
      <w:r>
        <w:rPr>
          <w:rFonts w:hint="eastAsia"/>
          <w:lang w:val="zh-CN" w:eastAsia="zh-CN"/>
        </w:rPr>
        <w:t>贡献</w:t>
      </w:r>
      <w:r>
        <w:rPr>
          <w:lang w:val="zh-CN" w:eastAsia="zh-CN"/>
        </w:rPr>
        <w:t>计划的关键组成部分，</w:t>
      </w:r>
      <w:r>
        <w:rPr>
          <w:rFonts w:hint="eastAsia"/>
          <w:lang w:val="zh-CN" w:eastAsia="zh-CN"/>
        </w:rPr>
        <w:t>为</w:t>
      </w:r>
      <w:r>
        <w:rPr>
          <w:lang w:val="zh-CN" w:eastAsia="zh-CN"/>
        </w:rPr>
        <w:t>支持</w:t>
      </w:r>
      <w:r>
        <w:rPr>
          <w:lang w:val="zh-CN" w:eastAsia="zh-CN"/>
        </w:rPr>
        <w:t>GDC</w:t>
      </w:r>
      <w:r>
        <w:rPr>
          <w:lang w:val="zh-CN" w:eastAsia="zh-CN"/>
        </w:rPr>
        <w:t>的实施和促进</w:t>
      </w:r>
      <w:r>
        <w:rPr>
          <w:lang w:val="zh-CN" w:eastAsia="zh-CN"/>
        </w:rPr>
        <w:t>GDC</w:t>
      </w:r>
      <w:r>
        <w:rPr>
          <w:lang w:val="zh-CN" w:eastAsia="zh-CN"/>
        </w:rPr>
        <w:t>评估工作发挥重要作用。</w:t>
      </w:r>
    </w:p>
    <w:p w14:paraId="7A91F071" w14:textId="77777777" w:rsidR="004322C7" w:rsidRDefault="004322C7" w:rsidP="004322C7">
      <w:pPr>
        <w:pStyle w:val="Reasons"/>
        <w:rPr>
          <w:lang w:eastAsia="zh-CN"/>
        </w:rPr>
      </w:pPr>
    </w:p>
    <w:p w14:paraId="4A3EE987" w14:textId="77777777" w:rsidR="00E323D0" w:rsidRPr="00E323D0" w:rsidRDefault="00E323D0" w:rsidP="00E323D0">
      <w:pPr>
        <w:jc w:val="center"/>
      </w:pPr>
      <w:r>
        <w:t>______________</w:t>
      </w:r>
    </w:p>
    <w:sectPr w:rsidR="00E323D0" w:rsidRPr="00E323D0" w:rsidSect="00E24D59">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498B" w14:textId="77777777" w:rsidR="0096402D" w:rsidRDefault="0096402D">
      <w:r>
        <w:separator/>
      </w:r>
    </w:p>
  </w:endnote>
  <w:endnote w:type="continuationSeparator" w:id="0">
    <w:p w14:paraId="1D503B17" w14:textId="77777777" w:rsidR="0096402D" w:rsidRDefault="0096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695F780" w14:textId="77777777" w:rsidTr="00E31DCE">
      <w:trPr>
        <w:jc w:val="center"/>
      </w:trPr>
      <w:tc>
        <w:tcPr>
          <w:tcW w:w="1803" w:type="dxa"/>
          <w:vAlign w:val="center"/>
        </w:tcPr>
        <w:p w14:paraId="19D923C5" w14:textId="6DB9A03D" w:rsidR="00E24D59" w:rsidRPr="0096402D" w:rsidRDefault="0096402D"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2501185</w:t>
          </w:r>
        </w:p>
      </w:tc>
      <w:tc>
        <w:tcPr>
          <w:tcW w:w="8261" w:type="dxa"/>
        </w:tcPr>
        <w:p w14:paraId="3A3DF969" w14:textId="1F112269"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96402D">
            <w:rPr>
              <w:rFonts w:eastAsiaTheme="minorEastAsia" w:hint="eastAsia"/>
              <w:bCs/>
              <w:color w:val="808080" w:themeColor="background1" w:themeShade="80"/>
              <w:lang w:eastAsia="zh-CN"/>
            </w:rPr>
            <w:t>52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244D8D7"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7F03C9F" w14:textId="77777777" w:rsidTr="00E31DCE">
      <w:trPr>
        <w:jc w:val="center"/>
      </w:trPr>
      <w:tc>
        <w:tcPr>
          <w:tcW w:w="1803" w:type="dxa"/>
          <w:vAlign w:val="center"/>
        </w:tcPr>
        <w:p w14:paraId="487EEA7D"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47F688F0" w14:textId="5AC16B4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96402D">
            <w:rPr>
              <w:rFonts w:eastAsiaTheme="minorEastAsia" w:hint="eastAsia"/>
              <w:bCs/>
              <w:color w:val="808080" w:themeColor="background1" w:themeShade="80"/>
              <w:lang w:eastAsia="zh-CN"/>
            </w:rPr>
            <w:t>52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6528D02"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442E" w14:textId="77777777" w:rsidR="0096402D" w:rsidRDefault="0096402D">
      <w:r>
        <w:t>____________________</w:t>
      </w:r>
    </w:p>
  </w:footnote>
  <w:footnote w:type="continuationSeparator" w:id="0">
    <w:p w14:paraId="50A36030" w14:textId="77777777" w:rsidR="0096402D" w:rsidRDefault="0096402D">
      <w:r>
        <w:continuationSeparator/>
      </w:r>
    </w:p>
  </w:footnote>
  <w:footnote w:id="1">
    <w:p w14:paraId="507DDEBC" w14:textId="389BBFF4" w:rsidR="0096402D" w:rsidRPr="00DB0383" w:rsidRDefault="0096402D" w:rsidP="0096402D">
      <w:pPr>
        <w:pStyle w:val="FootnoteText"/>
        <w:rPr>
          <w:lang w:eastAsia="zh-CN"/>
        </w:rPr>
      </w:pPr>
      <w:r>
        <w:rPr>
          <w:rStyle w:val="FootnoteReference"/>
          <w:lang w:val="zh-CN"/>
        </w:rPr>
        <w:footnoteRef/>
      </w:r>
      <w:r>
        <w:rPr>
          <w:lang w:val="zh-CN" w:eastAsia="zh-CN"/>
        </w:rPr>
        <w:tab/>
      </w:r>
      <w:hyperlink r:id="rId1" w:history="1">
        <w:r w:rsidRPr="00747CE1">
          <w:rPr>
            <w:rStyle w:val="Hyperlink"/>
            <w:rFonts w:eastAsia="SimSun"/>
            <w:sz w:val="20"/>
          </w:rPr>
          <w:t>此处</w:t>
        </w:r>
      </w:hyperlink>
      <w:r w:rsidRPr="001D5DC5">
        <w:rPr>
          <w:rFonts w:hint="eastAsia"/>
          <w:sz w:val="20"/>
          <w:lang w:val="zh-CN" w:eastAsia="zh-CN"/>
        </w:rPr>
        <w:t>可查阅</w:t>
      </w:r>
      <w:r w:rsidRPr="001D5DC5">
        <w:rPr>
          <w:sz w:val="20"/>
          <w:lang w:val="zh-CN" w:eastAsia="zh-CN"/>
        </w:rPr>
        <w:t>向</w:t>
      </w:r>
      <w:r w:rsidRPr="001D5DC5">
        <w:rPr>
          <w:sz w:val="20"/>
          <w:lang w:val="zh-CN" w:eastAsia="zh-CN"/>
        </w:rPr>
        <w:t>2024</w:t>
      </w:r>
      <w:r w:rsidRPr="001D5DC5">
        <w:rPr>
          <w:sz w:val="20"/>
          <w:lang w:val="zh-CN" w:eastAsia="zh-CN"/>
        </w:rPr>
        <w:t>年理事会工作组提交的</w:t>
      </w:r>
      <w:r w:rsidR="00647630" w:rsidRPr="001D5DC5">
        <w:rPr>
          <w:rFonts w:ascii="SimSun" w:hAnsi="SimSun"/>
          <w:sz w:val="20"/>
          <w:lang w:val="zh-CN" w:eastAsia="zh-CN"/>
        </w:rPr>
        <w:t>“</w:t>
      </w:r>
      <w:r w:rsidRPr="001D5DC5">
        <w:rPr>
          <w:sz w:val="20"/>
          <w:lang w:val="zh-CN" w:eastAsia="zh-CN"/>
        </w:rPr>
        <w:t>全球数字契约概况</w:t>
      </w:r>
      <w:r w:rsidRPr="001D5DC5">
        <w:rPr>
          <w:sz w:val="20"/>
          <w:lang w:val="zh-CN" w:eastAsia="zh-CN"/>
        </w:rPr>
        <w:t xml:space="preserve"> – </w:t>
      </w:r>
      <w:r w:rsidRPr="001D5DC5">
        <w:rPr>
          <w:sz w:val="20"/>
          <w:lang w:val="zh-CN" w:eastAsia="zh-CN"/>
        </w:rPr>
        <w:t>包括国际电联的相关行动</w:t>
      </w:r>
      <w:r w:rsidR="00647630" w:rsidRPr="001D5DC5">
        <w:rPr>
          <w:rFonts w:ascii="SimSun" w:hAnsi="SimSun"/>
          <w:sz w:val="20"/>
          <w:lang w:val="zh-CN" w:eastAsia="zh-CN"/>
        </w:rPr>
        <w:t>”</w:t>
      </w:r>
      <w:r w:rsidRPr="001D5DC5">
        <w:rPr>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17277520" w14:textId="77777777" w:rsidTr="00E31DCE">
      <w:trPr>
        <w:trHeight w:val="1104"/>
        <w:jc w:val="center"/>
      </w:trPr>
      <w:tc>
        <w:tcPr>
          <w:tcW w:w="4390" w:type="dxa"/>
          <w:vAlign w:val="center"/>
        </w:tcPr>
        <w:p w14:paraId="63E89D9E" w14:textId="77777777" w:rsidR="00E24D59" w:rsidRPr="009621F8" w:rsidRDefault="00A13406" w:rsidP="00E24D59">
          <w:pPr>
            <w:pStyle w:val="Header"/>
            <w:jc w:val="left"/>
            <w:rPr>
              <w:rFonts w:ascii="Arial" w:hAnsi="Arial" w:cs="Arial"/>
              <w:b/>
              <w:bCs/>
              <w:color w:val="009CD6"/>
              <w:sz w:val="36"/>
              <w:szCs w:val="36"/>
            </w:rPr>
          </w:pPr>
          <w:bookmarkStart w:id="9" w:name="_Hlk133422111"/>
          <w:r>
            <w:rPr>
              <w:rFonts w:ascii="Arial" w:hAnsi="Arial" w:cs="Arial"/>
              <w:b/>
              <w:bCs/>
              <w:noProof/>
              <w:color w:val="009CD6"/>
              <w:sz w:val="36"/>
              <w:szCs w:val="36"/>
            </w:rPr>
            <w:drawing>
              <wp:inline distT="0" distB="0" distL="0" distR="0" wp14:anchorId="1CED1020" wp14:editId="4D906FFE">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6DF3A225" w14:textId="77777777" w:rsidR="00E24D59" w:rsidRDefault="00E24D59" w:rsidP="00E24D59">
          <w:pPr>
            <w:pStyle w:val="Header"/>
            <w:jc w:val="right"/>
            <w:rPr>
              <w:rFonts w:ascii="Arial" w:hAnsi="Arial" w:cs="Arial"/>
              <w:b/>
              <w:bCs/>
              <w:color w:val="009CD6"/>
              <w:szCs w:val="18"/>
            </w:rPr>
          </w:pPr>
        </w:p>
        <w:p w14:paraId="36A046ED" w14:textId="77777777" w:rsidR="00E24D59" w:rsidRDefault="00E24D59" w:rsidP="00E24D59">
          <w:pPr>
            <w:pStyle w:val="Header"/>
            <w:jc w:val="right"/>
            <w:rPr>
              <w:rFonts w:ascii="Arial" w:hAnsi="Arial" w:cs="Arial"/>
              <w:b/>
              <w:bCs/>
              <w:color w:val="009CD6"/>
              <w:szCs w:val="18"/>
            </w:rPr>
          </w:pPr>
        </w:p>
        <w:p w14:paraId="3DCDB1B6"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5FC51694"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9255158" wp14:editId="67AE7049">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2D467"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575CAF"/>
    <w:multiLevelType w:val="hybridMultilevel"/>
    <w:tmpl w:val="C0CE4914"/>
    <w:lvl w:ilvl="0" w:tplc="57F277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262DB"/>
    <w:multiLevelType w:val="hybridMultilevel"/>
    <w:tmpl w:val="4AD077A8"/>
    <w:lvl w:ilvl="0" w:tplc="51FCACB4">
      <w:numFmt w:val="bullet"/>
      <w:lvlText w:val="–"/>
      <w:lvlJc w:val="left"/>
      <w:pPr>
        <w:ind w:left="720" w:hanging="360"/>
      </w:pPr>
      <w:rPr>
        <w:rFonts w:ascii="Aptos" w:eastAsiaTheme="minorEastAsia" w:hAnsi="Aptos"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5"/>
  </w:num>
  <w:num w:numId="5" w16cid:durableId="2033219779">
    <w:abstractNumId w:val="8"/>
  </w:num>
  <w:num w:numId="6" w16cid:durableId="349645790">
    <w:abstractNumId w:val="7"/>
  </w:num>
  <w:num w:numId="7" w16cid:durableId="1451586466">
    <w:abstractNumId w:val="1"/>
  </w:num>
  <w:num w:numId="8" w16cid:durableId="1209951880">
    <w:abstractNumId w:val="4"/>
    <w:lvlOverride w:ilvl="0">
      <w:lvl w:ilvl="0" w:tplc="57F27794">
        <w:start w:val="1"/>
        <w:numFmt w:val="bullet"/>
        <w:lvlText w:val="-"/>
        <w:lvlJc w:val="left"/>
        <w:pPr>
          <w:ind w:left="720" w:hanging="360"/>
        </w:pPr>
        <w:rPr>
          <w:rFonts w:ascii="Calibri" w:eastAsiaTheme="minorHAnsi" w:hAnsi="Calibri" w:cs="Calibri" w:hint="default"/>
        </w:rPr>
      </w:lvl>
    </w:lvlOverride>
  </w:num>
  <w:num w:numId="9" w16cid:durableId="63534800">
    <w:abstractNumId w:val="6"/>
    <w:lvlOverride w:ilvl="0">
      <w:lvl w:ilvl="0" w:tplc="51FCACB4">
        <w:numFmt w:val="bullet"/>
        <w:lvlText w:val="–"/>
        <w:lvlJc w:val="left"/>
        <w:pPr>
          <w:ind w:left="720" w:hanging="360"/>
        </w:pPr>
        <w:rPr>
          <w:rFonts w:ascii="Aptos" w:eastAsiaTheme="minorEastAsia" w:hAnsi="Aptos" w:cstheme="minorBidi" w:hint="default"/>
          <w:sz w:val="22"/>
        </w:rPr>
      </w:lvl>
    </w:lvlOverride>
    <w:lvlOverride w:ilvl="1">
      <w:lvl w:ilvl="1" w:tplc="08090003" w:tentative="1">
        <w:start w:val="1"/>
        <w:numFmt w:val="bullet"/>
        <w:lvlText w:val="o"/>
        <w:lvlJc w:val="left"/>
        <w:pPr>
          <w:ind w:left="1440" w:hanging="360"/>
        </w:pPr>
        <w:rPr>
          <w:rFonts w:ascii="Courier New" w:hAnsi="Courier New" w:cs="Courier New" w:hint="default"/>
        </w:rPr>
      </w:lvl>
    </w:lvlOverride>
    <w:lvlOverride w:ilvl="2">
      <w:lvl w:ilvl="2" w:tplc="08090005" w:tentative="1">
        <w:start w:val="1"/>
        <w:numFmt w:val="bullet"/>
        <w:lvlText w:val=""/>
        <w:lvlJc w:val="left"/>
        <w:pPr>
          <w:ind w:left="2160" w:hanging="360"/>
        </w:pPr>
        <w:rPr>
          <w:rFonts w:ascii="Wingdings" w:hAnsi="Wingdings" w:hint="default"/>
        </w:rPr>
      </w:lvl>
    </w:lvlOverride>
    <w:lvlOverride w:ilvl="3">
      <w:lvl w:ilvl="3" w:tplc="08090001" w:tentative="1">
        <w:start w:val="1"/>
        <w:numFmt w:val="bullet"/>
        <w:lvlText w:val=""/>
        <w:lvlJc w:val="left"/>
        <w:pPr>
          <w:ind w:left="2880" w:hanging="360"/>
        </w:pPr>
        <w:rPr>
          <w:rFonts w:ascii="Symbol" w:hAnsi="Symbol" w:hint="default"/>
        </w:rPr>
      </w:lvl>
    </w:lvlOverride>
    <w:lvlOverride w:ilvl="4">
      <w:lvl w:ilvl="4" w:tplc="08090003" w:tentative="1">
        <w:start w:val="1"/>
        <w:numFmt w:val="bullet"/>
        <w:lvlText w:val="o"/>
        <w:lvlJc w:val="left"/>
        <w:pPr>
          <w:ind w:left="3600" w:hanging="360"/>
        </w:pPr>
        <w:rPr>
          <w:rFonts w:ascii="Courier New" w:hAnsi="Courier New" w:cs="Courier New" w:hint="default"/>
        </w:rPr>
      </w:lvl>
    </w:lvlOverride>
    <w:lvlOverride w:ilvl="5">
      <w:lvl w:ilvl="5" w:tplc="08090005" w:tentative="1">
        <w:start w:val="1"/>
        <w:numFmt w:val="bullet"/>
        <w:lvlText w:val=""/>
        <w:lvlJc w:val="left"/>
        <w:pPr>
          <w:ind w:left="4320" w:hanging="360"/>
        </w:pPr>
        <w:rPr>
          <w:rFonts w:ascii="Wingdings" w:hAnsi="Wingdings" w:hint="default"/>
        </w:rPr>
      </w:lvl>
    </w:lvlOverride>
    <w:lvlOverride w:ilvl="6">
      <w:lvl w:ilvl="6" w:tplc="08090001" w:tentative="1">
        <w:start w:val="1"/>
        <w:numFmt w:val="bullet"/>
        <w:lvlText w:val=""/>
        <w:lvlJc w:val="left"/>
        <w:pPr>
          <w:ind w:left="5040" w:hanging="360"/>
        </w:pPr>
        <w:rPr>
          <w:rFonts w:ascii="Symbol" w:hAnsi="Symbol" w:hint="default"/>
        </w:rPr>
      </w:lvl>
    </w:lvlOverride>
    <w:lvlOverride w:ilvl="7">
      <w:lvl w:ilvl="7" w:tplc="08090003" w:tentative="1">
        <w:start w:val="1"/>
        <w:numFmt w:val="bullet"/>
        <w:lvlText w:val="o"/>
        <w:lvlJc w:val="left"/>
        <w:pPr>
          <w:ind w:left="5760" w:hanging="360"/>
        </w:pPr>
        <w:rPr>
          <w:rFonts w:ascii="Courier New" w:hAnsi="Courier New" w:cs="Courier New" w:hint="default"/>
        </w:rPr>
      </w:lvl>
    </w:lvlOverride>
    <w:lvlOverride w:ilvl="8">
      <w:lvl w:ilvl="8" w:tplc="08090005" w:tentative="1">
        <w:start w:val="1"/>
        <w:numFmt w:val="bullet"/>
        <w:lvlText w:val=""/>
        <w:lvlJc w:val="left"/>
        <w:pPr>
          <w:ind w:left="6480" w:hanging="360"/>
        </w:pPr>
        <w:rPr>
          <w:rFonts w:ascii="Wingdings" w:hAnsi="Wingdings" w:hint="default"/>
        </w:rPr>
      </w:lvl>
    </w:lvlOverride>
  </w:num>
  <w:num w:numId="10" w16cid:durableId="88892786">
    <w:abstractNumId w:val="4"/>
  </w:num>
  <w:num w:numId="11" w16cid:durableId="230965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2D"/>
    <w:rsid w:val="00001B77"/>
    <w:rsid w:val="0000517A"/>
    <w:rsid w:val="00031E72"/>
    <w:rsid w:val="000404D2"/>
    <w:rsid w:val="000646BD"/>
    <w:rsid w:val="000853C0"/>
    <w:rsid w:val="00093DD9"/>
    <w:rsid w:val="0009409E"/>
    <w:rsid w:val="000A1C21"/>
    <w:rsid w:val="000C0BC5"/>
    <w:rsid w:val="000D15EA"/>
    <w:rsid w:val="000D7012"/>
    <w:rsid w:val="00100D84"/>
    <w:rsid w:val="0010794F"/>
    <w:rsid w:val="0011340B"/>
    <w:rsid w:val="00124C9D"/>
    <w:rsid w:val="001305DE"/>
    <w:rsid w:val="0015333E"/>
    <w:rsid w:val="00157773"/>
    <w:rsid w:val="0018251A"/>
    <w:rsid w:val="00190272"/>
    <w:rsid w:val="00193244"/>
    <w:rsid w:val="00195C6C"/>
    <w:rsid w:val="00195FED"/>
    <w:rsid w:val="001A4BD6"/>
    <w:rsid w:val="001B6E2B"/>
    <w:rsid w:val="001D5A18"/>
    <w:rsid w:val="001D5DC5"/>
    <w:rsid w:val="00215132"/>
    <w:rsid w:val="00220FBA"/>
    <w:rsid w:val="00224449"/>
    <w:rsid w:val="00280EB8"/>
    <w:rsid w:val="002A6670"/>
    <w:rsid w:val="002C3F32"/>
    <w:rsid w:val="002E5F03"/>
    <w:rsid w:val="00303502"/>
    <w:rsid w:val="00325C25"/>
    <w:rsid w:val="00362A8F"/>
    <w:rsid w:val="00372C8F"/>
    <w:rsid w:val="00376111"/>
    <w:rsid w:val="00380ECE"/>
    <w:rsid w:val="00393DDF"/>
    <w:rsid w:val="00397F55"/>
    <w:rsid w:val="003B4454"/>
    <w:rsid w:val="003C2E37"/>
    <w:rsid w:val="003C3D5D"/>
    <w:rsid w:val="003F086E"/>
    <w:rsid w:val="003F1415"/>
    <w:rsid w:val="0040144C"/>
    <w:rsid w:val="00403EB7"/>
    <w:rsid w:val="004127AE"/>
    <w:rsid w:val="004178E6"/>
    <w:rsid w:val="00430BF0"/>
    <w:rsid w:val="004322C7"/>
    <w:rsid w:val="004672E6"/>
    <w:rsid w:val="00473549"/>
    <w:rsid w:val="00474ED1"/>
    <w:rsid w:val="00477D57"/>
    <w:rsid w:val="00491BA9"/>
    <w:rsid w:val="00493085"/>
    <w:rsid w:val="00497214"/>
    <w:rsid w:val="004A36EC"/>
    <w:rsid w:val="004D163F"/>
    <w:rsid w:val="004E4BFF"/>
    <w:rsid w:val="004F2598"/>
    <w:rsid w:val="005403F7"/>
    <w:rsid w:val="00540632"/>
    <w:rsid w:val="00541CF4"/>
    <w:rsid w:val="005451E8"/>
    <w:rsid w:val="005507F2"/>
    <w:rsid w:val="005759CC"/>
    <w:rsid w:val="005A72E1"/>
    <w:rsid w:val="005C3846"/>
    <w:rsid w:val="005C6632"/>
    <w:rsid w:val="005D1C9E"/>
    <w:rsid w:val="00630DD5"/>
    <w:rsid w:val="00637584"/>
    <w:rsid w:val="00647630"/>
    <w:rsid w:val="00654257"/>
    <w:rsid w:val="0065435A"/>
    <w:rsid w:val="00670D8A"/>
    <w:rsid w:val="006A2DD3"/>
    <w:rsid w:val="006A5113"/>
    <w:rsid w:val="006A5AF8"/>
    <w:rsid w:val="006C36CD"/>
    <w:rsid w:val="00700D1F"/>
    <w:rsid w:val="00714167"/>
    <w:rsid w:val="007205CB"/>
    <w:rsid w:val="0072138B"/>
    <w:rsid w:val="00726073"/>
    <w:rsid w:val="00734FE8"/>
    <w:rsid w:val="007360CE"/>
    <w:rsid w:val="00747CE1"/>
    <w:rsid w:val="0077110E"/>
    <w:rsid w:val="00772315"/>
    <w:rsid w:val="00775157"/>
    <w:rsid w:val="007813AE"/>
    <w:rsid w:val="007A37DB"/>
    <w:rsid w:val="007E189D"/>
    <w:rsid w:val="007F0210"/>
    <w:rsid w:val="00806E3F"/>
    <w:rsid w:val="00811259"/>
    <w:rsid w:val="00813AA2"/>
    <w:rsid w:val="008173A3"/>
    <w:rsid w:val="008418F5"/>
    <w:rsid w:val="00857ED3"/>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6402D"/>
    <w:rsid w:val="00983878"/>
    <w:rsid w:val="0098459B"/>
    <w:rsid w:val="00997185"/>
    <w:rsid w:val="009C2458"/>
    <w:rsid w:val="009C4A7B"/>
    <w:rsid w:val="009C6123"/>
    <w:rsid w:val="009F1E3E"/>
    <w:rsid w:val="009F372D"/>
    <w:rsid w:val="00A1213C"/>
    <w:rsid w:val="00A13406"/>
    <w:rsid w:val="00A272FF"/>
    <w:rsid w:val="00A5354B"/>
    <w:rsid w:val="00A7047F"/>
    <w:rsid w:val="00A71B57"/>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73A8F"/>
    <w:rsid w:val="00B81E75"/>
    <w:rsid w:val="00B93453"/>
    <w:rsid w:val="00B93DD1"/>
    <w:rsid w:val="00B9445B"/>
    <w:rsid w:val="00BD0954"/>
    <w:rsid w:val="00BD1A5A"/>
    <w:rsid w:val="00BD7A9B"/>
    <w:rsid w:val="00BD7BE1"/>
    <w:rsid w:val="00BF416B"/>
    <w:rsid w:val="00C06509"/>
    <w:rsid w:val="00C21EF6"/>
    <w:rsid w:val="00C243BC"/>
    <w:rsid w:val="00C45EB2"/>
    <w:rsid w:val="00C64E4E"/>
    <w:rsid w:val="00C66E64"/>
    <w:rsid w:val="00C761A0"/>
    <w:rsid w:val="00C85F7E"/>
    <w:rsid w:val="00C90D53"/>
    <w:rsid w:val="00CA0B2E"/>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0E66"/>
    <w:rsid w:val="00DA7006"/>
    <w:rsid w:val="00DB2F56"/>
    <w:rsid w:val="00DB3621"/>
    <w:rsid w:val="00DC6427"/>
    <w:rsid w:val="00DD62F5"/>
    <w:rsid w:val="00DD66A1"/>
    <w:rsid w:val="00DE196D"/>
    <w:rsid w:val="00DF6B49"/>
    <w:rsid w:val="00E067C5"/>
    <w:rsid w:val="00E24D59"/>
    <w:rsid w:val="00E265BF"/>
    <w:rsid w:val="00E323D0"/>
    <w:rsid w:val="00E34C96"/>
    <w:rsid w:val="00E378D8"/>
    <w:rsid w:val="00E43A12"/>
    <w:rsid w:val="00E54268"/>
    <w:rsid w:val="00E67C67"/>
    <w:rsid w:val="00E77476"/>
    <w:rsid w:val="00E81B8C"/>
    <w:rsid w:val="00E8228B"/>
    <w:rsid w:val="00ED38BD"/>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9ABEA"/>
  <w15:docId w15:val="{6E627818-BCCA-4CCA-91DD-B591096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747CE1"/>
    <w:rPr>
      <w:rFonts w:eastAsia="Times New Roman"/>
      <w:noProof/>
      <w:color w:val="0070C0"/>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ListParagraph">
    <w:name w:val="List Paragraph"/>
    <w:aliases w:val="Listenabsatz Standard"/>
    <w:basedOn w:val="Normal"/>
    <w:link w:val="ListParagraphChar"/>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ListParagraphChar">
    <w:name w:val="List Paragraph Char"/>
    <w:aliases w:val="Listenabsatz Standard Char"/>
    <w:basedOn w:val="DefaultParagraphFont"/>
    <w:link w:val="ListParagraph"/>
    <w:uiPriority w:val="34"/>
    <w:locked/>
    <w:rsid w:val="0096402D"/>
    <w:rPr>
      <w:rFonts w:ascii="Calibri" w:eastAsia="Times New Roman" w:hAnsi="Calibri"/>
      <w:sz w:val="24"/>
      <w:lang w:val="en-GB" w:eastAsia="en-US"/>
    </w:rPr>
  </w:style>
  <w:style w:type="character" w:customStyle="1" w:styleId="StyleHyperlinkLatinBodyCalibriAsianSTKaitiComple">
    <w:name w:val="Style Hyperlink + (Latin) +Body (Calibri) (Asian) STKaiti (Comple..."/>
    <w:basedOn w:val="Hyperlink"/>
    <w:rsid w:val="00747CE1"/>
    <w:rPr>
      <w:rFonts w:asciiTheme="minorHAnsi" w:eastAsia="STKaiti" w:hAnsiTheme="minorHAnsi" w:cstheme="minorHAnsi"/>
      <w:noProof/>
      <w:color w:val="0070C0"/>
      <w:sz w:val="22"/>
      <w:szCs w:val="22"/>
      <w:u w:val="single"/>
    </w:rPr>
  </w:style>
  <w:style w:type="character" w:customStyle="1" w:styleId="StyleHyperlinkLatinBodyCalibriAsianSTKaitiComple1">
    <w:name w:val="Style Hyperlink + (Latin) +Body (Calibri) (Asian) STKaiti (Comple...1"/>
    <w:basedOn w:val="Hyperlink"/>
    <w:rsid w:val="00747CE1"/>
    <w:rPr>
      <w:rFonts w:asciiTheme="minorHAnsi" w:eastAsia="STKaiti" w:hAnsiTheme="minorHAnsi" w:cstheme="minorHAnsi"/>
      <w:noProof/>
      <w:color w:val="0070C0"/>
      <w:u w:val="single"/>
    </w:rPr>
  </w:style>
  <w:style w:type="character" w:customStyle="1" w:styleId="StyleHyperlinkAsianSimSunBlueUnderline">
    <w:name w:val="Style Hyperlink + (Asian) SimSun Blue Underline"/>
    <w:basedOn w:val="Hyperlink"/>
    <w:rsid w:val="00747CE1"/>
    <w:rPr>
      <w:rFonts w:eastAsia="SimSun"/>
      <w:noProof/>
      <w:color w:val="0070C0"/>
      <w:u w:val="single"/>
    </w:rPr>
  </w:style>
  <w:style w:type="character" w:customStyle="1" w:styleId="Style">
    <w:name w:val="Style"/>
    <w:basedOn w:val="Hyperlink"/>
    <w:rsid w:val="00747CE1"/>
    <w:rPr>
      <w:rFonts w:asciiTheme="minorHAnsi" w:eastAsiaTheme="minorEastAsia" w:hAnsiTheme="minorHAnsi" w:cstheme="minorHAnsi"/>
      <w:noProof/>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docs.org/zh/A/77/L.109" TargetMode="External"/><Relationship Id="rId13" Type="http://schemas.openxmlformats.org/officeDocument/2006/relationships/hyperlink" Target="https://www.itu.int/md/S19-CL-INF-0008/en" TargetMode="External"/><Relationship Id="rId18" Type="http://schemas.openxmlformats.org/officeDocument/2006/relationships/hyperlink" Target="https://www.itu.int/md/S23-CL-INF-0009/en" TargetMode="External"/><Relationship Id="rId26" Type="http://schemas.openxmlformats.org/officeDocument/2006/relationships/hyperlink" Target="https://unsceb.org/inter-agency-working-group-artificial-intelligence" TargetMode="External"/><Relationship Id="rId3" Type="http://schemas.openxmlformats.org/officeDocument/2006/relationships/styles" Target="styles.xml"/><Relationship Id="rId21" Type="http://schemas.openxmlformats.org/officeDocument/2006/relationships/hyperlink" Target="https://www.itu.int/md/S25-CWGWSIS42-C-0010/en" TargetMode="External"/><Relationship Id="rId7" Type="http://schemas.openxmlformats.org/officeDocument/2006/relationships/endnotes" Target="endnotes.xml"/><Relationship Id="rId12" Type="http://schemas.openxmlformats.org/officeDocument/2006/relationships/hyperlink" Target="https://docs.un.org/zh/A/79/L.3" TargetMode="External"/><Relationship Id="rId17" Type="http://schemas.openxmlformats.org/officeDocument/2006/relationships/hyperlink" Target="https://www.itu.int/md/S23-CL-INF-0008/en" TargetMode="External"/><Relationship Id="rId25" Type="http://schemas.openxmlformats.org/officeDocument/2006/relationships/hyperlink" Target="https://unsceb.org/high-level-committee-programmes-hlcp" TargetMode="External"/><Relationship Id="rId2" Type="http://schemas.openxmlformats.org/officeDocument/2006/relationships/numbering" Target="numbering.xml"/><Relationship Id="rId16" Type="http://schemas.openxmlformats.org/officeDocument/2006/relationships/hyperlink" Target="https://www.itu.int/md/S22-CL-INF-0002/en" TargetMode="External"/><Relationship Id="rId20" Type="http://schemas.openxmlformats.org/officeDocument/2006/relationships/hyperlink" Target="https://www.itu.int/md/S24-CL-INF-0009/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n.org/zh/A/79/L.2" TargetMode="External"/><Relationship Id="rId24" Type="http://schemas.openxmlformats.org/officeDocument/2006/relationships/hyperlink" Target="https://www.itu.int/en/Documents/ITU-WSIS-global-digital-compact-objectives.pdf" TargetMode="External"/><Relationship Id="rId5" Type="http://schemas.openxmlformats.org/officeDocument/2006/relationships/webSettings" Target="webSettings.xml"/><Relationship Id="rId15" Type="http://schemas.openxmlformats.org/officeDocument/2006/relationships/hyperlink" Target="https://www.itu.int/md/S21-CL-INF-0002/en" TargetMode="External"/><Relationship Id="rId23" Type="http://schemas.openxmlformats.org/officeDocument/2006/relationships/hyperlink" Target="https://www.itu.int/md/S25-CWGWSIS42-C-0010/en" TargetMode="External"/><Relationship Id="rId28" Type="http://schemas.openxmlformats.org/officeDocument/2006/relationships/header" Target="header1.xml"/><Relationship Id="rId10" Type="http://schemas.openxmlformats.org/officeDocument/2006/relationships/hyperlink" Target="https://undocs.org/zh/A/78/L.77" TargetMode="External"/><Relationship Id="rId19" Type="http://schemas.openxmlformats.org/officeDocument/2006/relationships/hyperlink" Target="https://www.itu.int/md/S24-CL-C-0055/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docs.org/zh/A/77/L.63" TargetMode="External"/><Relationship Id="rId14" Type="http://schemas.openxmlformats.org/officeDocument/2006/relationships/hyperlink" Target="https://www.itu.int/md/S20-CL-INF-0003/en" TargetMode="External"/><Relationship Id="rId22" Type="http://schemas.openxmlformats.org/officeDocument/2006/relationships/hyperlink" Target="https://www.itu.int/md/S25-CWGWSIS42-C-0010/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cwg-wsis/Documents/2024/InfoSession%20on%20GDC_2Oct2024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PC_Council25.dotx</Template>
  <TotalTime>0</TotalTime>
  <Pages>5</Pages>
  <Words>3984</Words>
  <Characters>1909</Characters>
  <Application>Microsoft Office Word</Application>
  <DocSecurity>0</DocSecurity>
  <Lines>65</Lines>
  <Paragraphs>68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5825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the ITU action plan for implementing the Global Digital Compact</dc:title>
  <dc:subject>ITU Council 2025</dc:subject>
  <cp:keywords>C2024, C24 Council-24</cp:keywords>
  <dc:description/>
  <cp:lastPrinted>2015-02-24T13:23:00Z</cp:lastPrinted>
  <dcterms:created xsi:type="dcterms:W3CDTF">2025-06-03T12:46:00Z</dcterms:created>
  <dcterms:modified xsi:type="dcterms:W3CDTF">2025-06-03T12:46:00Z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