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73BC6" w14:paraId="3E1C2769" w14:textId="77777777" w:rsidTr="00FF1BD8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3B37FD0" w:rsidR="00AD3606" w:rsidRPr="00073BC6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073BC6">
              <w:rPr>
                <w:b/>
                <w:bCs/>
                <w:color w:val="000000"/>
                <w:lang w:val="es-ES"/>
              </w:rPr>
              <w:t xml:space="preserve">Punto del orden del día: </w:t>
            </w:r>
            <w:proofErr w:type="spellStart"/>
            <w:r w:rsidRPr="00073BC6">
              <w:rPr>
                <w:b/>
                <w:bCs/>
                <w:color w:val="000000"/>
                <w:lang w:val="es-ES"/>
              </w:rPr>
              <w:t>PL.2</w:t>
            </w:r>
            <w:proofErr w:type="spellEnd"/>
          </w:p>
        </w:tc>
        <w:tc>
          <w:tcPr>
            <w:tcW w:w="5245" w:type="dxa"/>
          </w:tcPr>
          <w:p w14:paraId="6779937E" w14:textId="17BE219A" w:rsidR="00AD3606" w:rsidRPr="00073BC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r w:rsidRPr="00073BC6">
              <w:rPr>
                <w:b/>
                <w:bCs/>
                <w:color w:val="000000"/>
                <w:lang w:val="es-ES"/>
              </w:rPr>
              <w:t xml:space="preserve">Documento </w:t>
            </w:r>
            <w:proofErr w:type="spellStart"/>
            <w:r w:rsidRPr="00073BC6">
              <w:rPr>
                <w:b/>
                <w:bCs/>
                <w:color w:val="000000"/>
                <w:lang w:val="es-ES"/>
              </w:rPr>
              <w:t>C25</w:t>
            </w:r>
            <w:proofErr w:type="spellEnd"/>
            <w:r w:rsidRPr="00073BC6">
              <w:rPr>
                <w:b/>
                <w:bCs/>
                <w:color w:val="000000"/>
                <w:lang w:val="es-ES"/>
              </w:rPr>
              <w:t>/51-S</w:t>
            </w:r>
          </w:p>
        </w:tc>
      </w:tr>
      <w:tr w:rsidR="00AD3606" w:rsidRPr="00073BC6" w14:paraId="3E3F9DA5" w14:textId="77777777" w:rsidTr="00FF1BD8">
        <w:trPr>
          <w:cantSplit/>
        </w:trPr>
        <w:tc>
          <w:tcPr>
            <w:tcW w:w="3969" w:type="dxa"/>
            <w:vMerge/>
          </w:tcPr>
          <w:p w14:paraId="5920AA6E" w14:textId="77777777" w:rsidR="00AD3606" w:rsidRPr="00073BC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449CED2D" w:rsidR="00AD3606" w:rsidRPr="00073BC6" w:rsidRDefault="00E62719" w:rsidP="00AD3606">
            <w:pPr>
              <w:tabs>
                <w:tab w:val="left" w:pos="851"/>
              </w:tabs>
              <w:spacing w:before="0"/>
              <w:jc w:val="right"/>
              <w:rPr>
                <w:b/>
                <w:lang w:val="es-ES"/>
              </w:rPr>
            </w:pPr>
            <w:r w:rsidRPr="00073BC6">
              <w:rPr>
                <w:b/>
                <w:bCs/>
                <w:color w:val="000000"/>
                <w:lang w:val="es-ES"/>
              </w:rPr>
              <w:t>17 de abril de 2025</w:t>
            </w:r>
          </w:p>
        </w:tc>
      </w:tr>
      <w:tr w:rsidR="00AD3606" w:rsidRPr="00073BC6" w14:paraId="75730376" w14:textId="77777777" w:rsidTr="00FF1BD8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073BC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073BC6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r w:rsidRPr="00073BC6">
              <w:rPr>
                <w:b/>
                <w:bCs/>
                <w:color w:val="000000"/>
                <w:lang w:val="es-ES"/>
              </w:rPr>
              <w:t>Original: inglés</w:t>
            </w:r>
          </w:p>
        </w:tc>
      </w:tr>
      <w:tr w:rsidR="00472BAD" w:rsidRPr="00073BC6" w14:paraId="14DA91C4" w14:textId="77777777" w:rsidTr="00FF1BD8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073BC6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</w:p>
        </w:tc>
        <w:tc>
          <w:tcPr>
            <w:tcW w:w="5245" w:type="dxa"/>
          </w:tcPr>
          <w:p w14:paraId="5DBF7439" w14:textId="77777777" w:rsidR="00472BAD" w:rsidRPr="00073BC6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</w:p>
        </w:tc>
      </w:tr>
      <w:tr w:rsidR="00AD3606" w:rsidRPr="00073BC6" w14:paraId="2481FF59" w14:textId="77777777" w:rsidTr="00FF1BD8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1AF77394" w:rsidR="00AD3606" w:rsidRPr="00073BC6" w:rsidRDefault="00E62719" w:rsidP="000F7289">
            <w:pPr>
              <w:pStyle w:val="Source"/>
              <w:framePr w:hSpace="0" w:wrap="auto" w:vAnchor="margin" w:hAnchor="text" w:xAlign="left" w:yAlign="inline"/>
              <w:rPr>
                <w:lang w:val="es-ES"/>
              </w:rPr>
            </w:pPr>
            <w:bookmarkStart w:id="8" w:name="dsource" w:colFirst="0" w:colLast="0"/>
            <w:bookmarkEnd w:id="7"/>
            <w:r w:rsidRPr="00073BC6">
              <w:rPr>
                <w:bCs/>
                <w:color w:val="000000"/>
                <w:lang w:val="es-ES"/>
              </w:rPr>
              <w:t xml:space="preserve">Presidente del </w:t>
            </w:r>
            <w:proofErr w:type="spellStart"/>
            <w:r w:rsidRPr="00073BC6">
              <w:rPr>
                <w:bCs/>
                <w:color w:val="000000"/>
                <w:lang w:val="es-ES"/>
              </w:rPr>
              <w:t>GTC</w:t>
            </w:r>
            <w:proofErr w:type="spellEnd"/>
            <w:r w:rsidRPr="00073BC6">
              <w:rPr>
                <w:bCs/>
                <w:color w:val="000000"/>
                <w:lang w:val="es-ES"/>
              </w:rPr>
              <w:t>-Internet</w:t>
            </w:r>
          </w:p>
        </w:tc>
      </w:tr>
      <w:tr w:rsidR="00AD3606" w:rsidRPr="00073BC6" w14:paraId="3A759762" w14:textId="77777777" w:rsidTr="00FF1BD8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076C92BC" w:rsidR="00AD3606" w:rsidRPr="00073BC6" w:rsidRDefault="002A18EC" w:rsidP="000F7289">
            <w:pPr>
              <w:pStyle w:val="Subtitle"/>
              <w:framePr w:hSpace="0" w:wrap="auto" w:xAlign="left" w:yAlign="inline"/>
              <w:rPr>
                <w:lang w:val="es-ES"/>
              </w:rPr>
            </w:pPr>
            <w:bookmarkStart w:id="9" w:name="_Hlk193968031"/>
            <w:bookmarkStart w:id="10" w:name="dtitle1" w:colFirst="0" w:colLast="0"/>
            <w:bookmarkEnd w:id="8"/>
            <w:r w:rsidRPr="00073BC6">
              <w:rPr>
                <w:color w:val="000000"/>
                <w:lang w:val="es-ES"/>
              </w:rPr>
              <w:t>INFORME DEL PRESIDENTE DEL GRUPO DE TRABAJO DEL CONSEJO SOBRE CUESTIONES DE POLÍTICA PÚBLICA INTERNACIONAL RELACIONADAS CON INTERNET (</w:t>
            </w:r>
            <w:proofErr w:type="spellStart"/>
            <w:r w:rsidRPr="00073BC6">
              <w:rPr>
                <w:color w:val="000000"/>
                <w:lang w:val="es-ES"/>
              </w:rPr>
              <w:t>GTC</w:t>
            </w:r>
            <w:proofErr w:type="spellEnd"/>
            <w:r w:rsidRPr="00073BC6">
              <w:rPr>
                <w:color w:val="000000"/>
                <w:lang w:val="es-ES"/>
              </w:rPr>
              <w:t>-INTERNET)</w:t>
            </w:r>
            <w:bookmarkEnd w:id="9"/>
          </w:p>
        </w:tc>
      </w:tr>
      <w:tr w:rsidR="00AD3606" w:rsidRPr="00073BC6" w14:paraId="72B25568" w14:textId="77777777" w:rsidTr="00FF1BD8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1024FD2F" w:rsidR="00AD3606" w:rsidRPr="00073BC6" w:rsidRDefault="00F16BAB" w:rsidP="00F16BAB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073BC6">
              <w:rPr>
                <w:b/>
                <w:bCs/>
                <w:color w:val="000000"/>
                <w:lang w:val="es-ES"/>
              </w:rPr>
              <w:t>Objetivo</w:t>
            </w:r>
          </w:p>
          <w:p w14:paraId="236BE7D8" w14:textId="726BC1A3" w:rsidR="00875874" w:rsidRPr="00073BC6" w:rsidRDefault="00875874" w:rsidP="00875874">
            <w:pPr>
              <w:rPr>
                <w:lang w:val="es-ES"/>
              </w:rPr>
            </w:pPr>
            <w:r w:rsidRPr="00073BC6">
              <w:rPr>
                <w:color w:val="000000"/>
                <w:lang w:val="es-ES"/>
              </w:rPr>
              <w:t>En el presente Informe se resumen los principales resultados de la vigésima y vigésima primera reunión del Grupo de Trabajo del Consejo sobre cuestiones de política pública internacional relacionadas con Internet (</w:t>
            </w:r>
            <w:proofErr w:type="spellStart"/>
            <w:r w:rsidRPr="00073BC6">
              <w:rPr>
                <w:color w:val="000000"/>
                <w:lang w:val="es-ES"/>
              </w:rPr>
              <w:t>GTC</w:t>
            </w:r>
            <w:proofErr w:type="spellEnd"/>
            <w:r w:rsidRPr="00073BC6">
              <w:rPr>
                <w:color w:val="000000"/>
                <w:lang w:val="es-ES"/>
              </w:rPr>
              <w:t>-Internet), celebradas los días 4 de octubre de 2024 y 19 y 20 de febrero de 2025, respectivamente, de conformidad con las Resoluciones</w:t>
            </w:r>
            <w:r w:rsidR="0071536D" w:rsidRPr="00073BC6">
              <w:rPr>
                <w:color w:val="000000"/>
                <w:lang w:val="es-ES"/>
              </w:rPr>
              <w:t> </w:t>
            </w:r>
            <w:r w:rsidRPr="00073BC6">
              <w:rPr>
                <w:color w:val="000000"/>
                <w:lang w:val="es-ES"/>
              </w:rPr>
              <w:t>102 (Rev. Bucarest, 2022) y 140 (Rev. Bucarest, 2022) de la PP y las Resoluciones</w:t>
            </w:r>
            <w:r w:rsidR="0071536D" w:rsidRPr="00073BC6">
              <w:rPr>
                <w:color w:val="000000"/>
                <w:lang w:val="es-ES"/>
              </w:rPr>
              <w:t> </w:t>
            </w:r>
            <w:r w:rsidRPr="00073BC6">
              <w:rPr>
                <w:color w:val="000000"/>
                <w:lang w:val="es-ES"/>
              </w:rPr>
              <w:t>1305 (Mod. 2019) y 1336 (Mod. 2019).</w:t>
            </w:r>
          </w:p>
          <w:p w14:paraId="4288AA6F" w14:textId="77777777" w:rsidR="00AD3606" w:rsidRPr="00073BC6" w:rsidRDefault="00AD3606" w:rsidP="00F16BAB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073BC6">
              <w:rPr>
                <w:b/>
                <w:bCs/>
                <w:color w:val="000000"/>
                <w:lang w:val="es-ES"/>
              </w:rPr>
              <w:t>Acción solicitada al Consejo</w:t>
            </w:r>
          </w:p>
          <w:p w14:paraId="23FF0ACC" w14:textId="0D2269A0" w:rsidR="00FF35A3" w:rsidRPr="00073BC6" w:rsidRDefault="00FF35A3" w:rsidP="00FF35A3">
            <w:pPr>
              <w:rPr>
                <w:lang w:val="es-ES"/>
              </w:rPr>
            </w:pPr>
            <w:r w:rsidRPr="00073BC6">
              <w:rPr>
                <w:color w:val="000000"/>
                <w:lang w:val="es-ES"/>
              </w:rPr>
              <w:t xml:space="preserve">Se invita al Consejo a </w:t>
            </w:r>
            <w:r w:rsidRPr="00073BC6">
              <w:rPr>
                <w:b/>
                <w:bCs/>
                <w:color w:val="000000"/>
                <w:lang w:val="es-ES"/>
              </w:rPr>
              <w:t>tomar nota</w:t>
            </w:r>
            <w:r w:rsidRPr="00073BC6">
              <w:rPr>
                <w:color w:val="000000"/>
                <w:lang w:val="es-ES"/>
              </w:rPr>
              <w:t xml:space="preserve"> del presente informe.</w:t>
            </w:r>
          </w:p>
          <w:p w14:paraId="4B855F83" w14:textId="7E0F2BB7" w:rsidR="00722551" w:rsidRPr="00073BC6" w:rsidRDefault="00722551" w:rsidP="00722551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073BC6">
              <w:rPr>
                <w:b/>
                <w:bCs/>
                <w:color w:val="000000"/>
                <w:lang w:val="es-ES"/>
              </w:rPr>
              <w:t>Vínculo(s) pertinente(s) con el Plan Estratégico</w:t>
            </w:r>
          </w:p>
          <w:p w14:paraId="239DA61E" w14:textId="77777777" w:rsidR="000E3980" w:rsidRPr="00073BC6" w:rsidRDefault="000E3980" w:rsidP="000E3980">
            <w:pPr>
              <w:rPr>
                <w:lang w:val="es-ES"/>
              </w:rPr>
            </w:pPr>
            <w:r w:rsidRPr="00073BC6">
              <w:rPr>
                <w:color w:val="000000"/>
                <w:lang w:val="es-ES"/>
              </w:rPr>
              <w:t>Impulsada por los miembros</w:t>
            </w:r>
          </w:p>
          <w:p w14:paraId="6A77059B" w14:textId="270D1307" w:rsidR="00722551" w:rsidRPr="00073BC6" w:rsidRDefault="00722551" w:rsidP="00722551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073BC6">
              <w:rPr>
                <w:b/>
                <w:bCs/>
                <w:color w:val="000000"/>
                <w:lang w:val="es-ES"/>
              </w:rPr>
              <w:t>Repercusiones financieras</w:t>
            </w:r>
          </w:p>
          <w:p w14:paraId="2EB31405" w14:textId="5B393B0F" w:rsidR="009230FE" w:rsidRPr="00073BC6" w:rsidRDefault="009230FE" w:rsidP="009230FE">
            <w:pPr>
              <w:spacing w:before="160"/>
              <w:rPr>
                <w:lang w:val="es-ES"/>
              </w:rPr>
            </w:pPr>
            <w:r w:rsidRPr="00073BC6">
              <w:rPr>
                <w:color w:val="000000"/>
                <w:lang w:val="es-ES"/>
              </w:rPr>
              <w:t>Dentro del presupuesto asignado para 2024-2025.</w:t>
            </w:r>
          </w:p>
          <w:p w14:paraId="08939791" w14:textId="77777777" w:rsidR="00C0458D" w:rsidRPr="00073BC6" w:rsidRDefault="00C0458D">
            <w:pPr>
              <w:rPr>
                <w:lang w:val="es-ES"/>
              </w:rPr>
            </w:pPr>
            <w:r w:rsidRPr="00073BC6">
              <w:rPr>
                <w:color w:val="000000"/>
                <w:lang w:val="es-ES"/>
              </w:rPr>
              <w:t>_______________</w:t>
            </w:r>
          </w:p>
          <w:p w14:paraId="212A584A" w14:textId="77777777" w:rsidR="00AD3606" w:rsidRPr="00073BC6" w:rsidRDefault="00AD3606" w:rsidP="00F16BAB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073BC6">
              <w:rPr>
                <w:b/>
                <w:bCs/>
                <w:color w:val="000000"/>
                <w:lang w:val="es-ES"/>
              </w:rPr>
              <w:t>Referencias</w:t>
            </w:r>
          </w:p>
          <w:p w14:paraId="7089D4B7" w14:textId="61311932" w:rsidR="00AD3606" w:rsidRPr="00073BC6" w:rsidRDefault="00123FA5" w:rsidP="00123FA5">
            <w:pPr>
              <w:rPr>
                <w:i/>
                <w:iCs/>
                <w:sz w:val="22"/>
                <w:szCs w:val="22"/>
                <w:lang w:val="es-ES"/>
              </w:rPr>
            </w:pPr>
            <w:r w:rsidRPr="00073BC6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Resoluciones </w:t>
            </w:r>
            <w:hyperlink r:id="rId11" w:history="1">
              <w:r w:rsidRPr="00073BC6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102 (Rev. Bucarest, 2022)</w:t>
              </w:r>
            </w:hyperlink>
            <w:r w:rsidRPr="00073BC6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 y </w:t>
            </w:r>
            <w:hyperlink r:id="rId12" w:history="1">
              <w:r w:rsidRPr="00073BC6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140 (Rev. Bucarest, 2022)</w:t>
              </w:r>
            </w:hyperlink>
            <w:r w:rsidRPr="00073BC6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 de la PP;</w:t>
            </w:r>
            <w:r w:rsidRPr="00073BC6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073BC6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Resoluciones </w:t>
            </w:r>
            <w:hyperlink r:id="rId13" w:history="1">
              <w:r w:rsidRPr="00073BC6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1305 del Consejo (Mod.</w:t>
              </w:r>
              <w:r w:rsidRPr="00073BC6">
                <w:rPr>
                  <w:rStyle w:val="Hyperlink"/>
                  <w:sz w:val="22"/>
                  <w:szCs w:val="22"/>
                  <w:lang w:val="es-ES"/>
                </w:rPr>
                <w:t xml:space="preserve"> </w:t>
              </w:r>
              <w:r w:rsidRPr="00073BC6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2019)</w:t>
              </w:r>
            </w:hyperlink>
            <w:r w:rsidRPr="00073BC6">
              <w:rPr>
                <w:i/>
                <w:iCs/>
                <w:color w:val="000000"/>
                <w:sz w:val="22"/>
                <w:szCs w:val="22"/>
                <w:lang w:val="es-ES"/>
              </w:rPr>
              <w:t xml:space="preserve"> y </w:t>
            </w:r>
            <w:hyperlink r:id="rId14" w:history="1">
              <w:r w:rsidRPr="00073BC6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1336 (Mod.</w:t>
              </w:r>
              <w:r w:rsidRPr="00073BC6">
                <w:rPr>
                  <w:rStyle w:val="Hyperlink"/>
                  <w:sz w:val="22"/>
                  <w:szCs w:val="22"/>
                  <w:lang w:val="es-ES"/>
                </w:rPr>
                <w:t xml:space="preserve"> </w:t>
              </w:r>
              <w:r w:rsidRPr="00073BC6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2019)</w:t>
              </w:r>
            </w:hyperlink>
          </w:p>
        </w:tc>
      </w:tr>
    </w:tbl>
    <w:p w14:paraId="3E836A65" w14:textId="77777777" w:rsidR="00E227F3" w:rsidRPr="00073BC6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1" w:name="_Hlk133421428"/>
      <w:bookmarkEnd w:id="2"/>
      <w:bookmarkEnd w:id="10"/>
    </w:p>
    <w:bookmarkEnd w:id="3"/>
    <w:bookmarkEnd w:id="4"/>
    <w:p w14:paraId="52958905" w14:textId="77777777" w:rsidR="0090147A" w:rsidRPr="00073BC6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 w:rsidRPr="00073BC6">
        <w:rPr>
          <w:lang w:val="es-ES"/>
        </w:rPr>
        <w:br w:type="page"/>
      </w:r>
    </w:p>
    <w:bookmarkEnd w:id="5"/>
    <w:bookmarkEnd w:id="11"/>
    <w:p w14:paraId="7D0E2899" w14:textId="777CFACC" w:rsidR="00A82BD8" w:rsidRPr="00073BC6" w:rsidRDefault="00A82BD8" w:rsidP="00073BC6">
      <w:pPr>
        <w:pStyle w:val="Heading1"/>
        <w:rPr>
          <w:lang w:val="es-ES"/>
        </w:rPr>
      </w:pPr>
      <w:r w:rsidRPr="00073BC6">
        <w:rPr>
          <w:lang w:val="es-ES"/>
        </w:rPr>
        <w:lastRenderedPageBreak/>
        <w:t>1</w:t>
      </w:r>
      <w:r w:rsidRPr="00073BC6">
        <w:rPr>
          <w:lang w:val="es-ES"/>
        </w:rPr>
        <w:tab/>
        <w:t>Introducción</w:t>
      </w:r>
    </w:p>
    <w:p w14:paraId="23386E4B" w14:textId="04A5C5BE" w:rsidR="00A82BD8" w:rsidRPr="00073BC6" w:rsidRDefault="00A82BD8" w:rsidP="00A82BD8">
      <w:pPr>
        <w:jc w:val="both"/>
        <w:rPr>
          <w:lang w:val="es-ES"/>
        </w:rPr>
      </w:pPr>
      <w:r w:rsidRPr="00073BC6">
        <w:rPr>
          <w:lang w:val="es-ES"/>
        </w:rPr>
        <w:t>1.1</w:t>
      </w:r>
      <w:r w:rsidRPr="00073BC6">
        <w:rPr>
          <w:lang w:val="es-ES"/>
        </w:rPr>
        <w:tab/>
        <w:t xml:space="preserve">El </w:t>
      </w:r>
      <w:hyperlink r:id="rId15" w:anchor="/es" w:history="1">
        <w:r w:rsidRPr="00073BC6">
          <w:rPr>
            <w:rStyle w:val="Hyperlink"/>
            <w:lang w:val="es-ES"/>
          </w:rPr>
          <w:t>Grupo de Trabajo del Consejo de la UIT sobre cuestiones de política pública internacional relacionadas con Internet (</w:t>
        </w:r>
        <w:proofErr w:type="spellStart"/>
        <w:r w:rsidRPr="00073BC6">
          <w:rPr>
            <w:rStyle w:val="Hyperlink"/>
            <w:lang w:val="es-ES"/>
          </w:rPr>
          <w:t>GTC</w:t>
        </w:r>
        <w:proofErr w:type="spellEnd"/>
        <w:r w:rsidRPr="00073BC6">
          <w:rPr>
            <w:rStyle w:val="Hyperlink"/>
            <w:lang w:val="es-ES"/>
          </w:rPr>
          <w:t>-Internet)</w:t>
        </w:r>
      </w:hyperlink>
      <w:r w:rsidRPr="00073BC6">
        <w:rPr>
          <w:lang w:val="es-ES"/>
        </w:rPr>
        <w:t xml:space="preserve"> fue creado como grupo independiente en virtud de la Resolución 1336 (Mod. 2019), de conformidad con las Resoluciones 102 y 140 de la Conferencia de Plenipotenciarios de la UIT (Rev. Bucarest, 2022). En el </w:t>
      </w:r>
      <w:proofErr w:type="spellStart"/>
      <w:r w:rsidRPr="00073BC6">
        <w:rPr>
          <w:lang w:val="es-ES"/>
        </w:rPr>
        <w:t>GTC</w:t>
      </w:r>
      <w:proofErr w:type="spellEnd"/>
      <w:r w:rsidRPr="00073BC6">
        <w:rPr>
          <w:lang w:val="es-ES"/>
        </w:rPr>
        <w:t>-Internet solo pueden participar los Estados Miembros, pero sus consultas abiertas se dirigen a todas las partes interesadas.</w:t>
      </w:r>
    </w:p>
    <w:p w14:paraId="46EBFEB3" w14:textId="2389B6E1" w:rsidR="00A82BD8" w:rsidRPr="00073BC6" w:rsidRDefault="00A82BD8" w:rsidP="00A82BD8">
      <w:pPr>
        <w:jc w:val="both"/>
        <w:rPr>
          <w:lang w:val="es-ES"/>
        </w:rPr>
      </w:pPr>
      <w:r w:rsidRPr="00073BC6">
        <w:rPr>
          <w:lang w:val="es-ES"/>
        </w:rPr>
        <w:t>1.2</w:t>
      </w:r>
      <w:r w:rsidRPr="00073BC6">
        <w:rPr>
          <w:lang w:val="es-ES"/>
        </w:rPr>
        <w:tab/>
        <w:t xml:space="preserve">El mandato del </w:t>
      </w:r>
      <w:proofErr w:type="spellStart"/>
      <w:r w:rsidRPr="00073BC6">
        <w:rPr>
          <w:lang w:val="es-ES"/>
        </w:rPr>
        <w:t>GTC</w:t>
      </w:r>
      <w:proofErr w:type="spellEnd"/>
      <w:r w:rsidRPr="00073BC6">
        <w:rPr>
          <w:lang w:val="es-ES"/>
        </w:rPr>
        <w:t>-Internet se especifica en la Resolución 1336 del Consejo (Mod.</w:t>
      </w:r>
      <w:r w:rsidR="00B034C2" w:rsidRPr="00073BC6">
        <w:rPr>
          <w:lang w:val="es-ES"/>
        </w:rPr>
        <w:t> </w:t>
      </w:r>
      <w:r w:rsidRPr="00073BC6">
        <w:rPr>
          <w:lang w:val="es-ES"/>
        </w:rPr>
        <w:t>2019).</w:t>
      </w:r>
    </w:p>
    <w:p w14:paraId="6696EF7E" w14:textId="55D1B2B4" w:rsidR="00A82BD8" w:rsidRPr="00073BC6" w:rsidRDefault="00A82BD8" w:rsidP="00A82BD8">
      <w:pPr>
        <w:jc w:val="both"/>
        <w:rPr>
          <w:lang w:val="es-ES"/>
        </w:rPr>
      </w:pPr>
      <w:r w:rsidRPr="00073BC6">
        <w:rPr>
          <w:lang w:val="es-ES"/>
        </w:rPr>
        <w:t>1.3</w:t>
      </w:r>
      <w:r w:rsidRPr="00073BC6">
        <w:rPr>
          <w:lang w:val="es-ES"/>
        </w:rPr>
        <w:tab/>
        <w:t>En la Resolución 102 (Rev. Bucarest, 2022) de la Conferencia de Plenipotenciarios se encarga al Consejo:</w:t>
      </w:r>
    </w:p>
    <w:p w14:paraId="476EA624" w14:textId="68C17BA7" w:rsidR="00A82BD8" w:rsidRPr="00073BC6" w:rsidRDefault="00A82BD8" w:rsidP="00257D84">
      <w:pPr>
        <w:pStyle w:val="enumlev1"/>
        <w:jc w:val="both"/>
        <w:rPr>
          <w:lang w:val="es-ES"/>
        </w:rPr>
      </w:pPr>
      <w:r w:rsidRPr="00073BC6">
        <w:rPr>
          <w:lang w:val="es-ES"/>
        </w:rPr>
        <w:t>–</w:t>
      </w:r>
      <w:r w:rsidRPr="00073BC6">
        <w:rPr>
          <w:lang w:val="es-ES"/>
        </w:rPr>
        <w:tab/>
        <w:t xml:space="preserve">dirigir el </w:t>
      </w:r>
      <w:proofErr w:type="spellStart"/>
      <w:r w:rsidRPr="00073BC6">
        <w:rPr>
          <w:lang w:val="es-ES"/>
        </w:rPr>
        <w:t>GTC</w:t>
      </w:r>
      <w:proofErr w:type="spellEnd"/>
      <w:r w:rsidRPr="00073BC6">
        <w:rPr>
          <w:lang w:val="es-ES"/>
        </w:rPr>
        <w:t>-Internet, en el que sólo pueden participar los Estados Miembros, y llevar a cabo consultas abiertas con todas las partes interesadas con arreglo a las directrices mencionadas en la Resolución;</w:t>
      </w:r>
    </w:p>
    <w:p w14:paraId="7AE88618" w14:textId="49F71EC3" w:rsidR="00A82BD8" w:rsidRPr="00073BC6" w:rsidRDefault="00A82BD8" w:rsidP="00257D84">
      <w:pPr>
        <w:pStyle w:val="enumlev1"/>
        <w:jc w:val="both"/>
        <w:rPr>
          <w:lang w:val="es-ES"/>
        </w:rPr>
      </w:pPr>
      <w:r w:rsidRPr="00073BC6">
        <w:rPr>
          <w:lang w:val="es-ES"/>
        </w:rPr>
        <w:t>–</w:t>
      </w:r>
      <w:r w:rsidRPr="00073BC6">
        <w:rPr>
          <w:lang w:val="es-ES"/>
        </w:rPr>
        <w:tab/>
        <w:t xml:space="preserve">teniendo en cuenta los informes anuales que presenten la Secretaria General y los Directores de las Oficinas, adoptar las medidas apropiadas para contribuir activamente a la aplicación de la Resolución y las iniciativas internacionales relacionadas con la misma que correspondan el mandato de la UIT; </w:t>
      </w:r>
    </w:p>
    <w:p w14:paraId="456D50D0" w14:textId="11E1D625" w:rsidR="00A82BD8" w:rsidRPr="00073BC6" w:rsidRDefault="00A82BD8" w:rsidP="00257D84">
      <w:pPr>
        <w:pStyle w:val="enumlev1"/>
        <w:jc w:val="both"/>
        <w:rPr>
          <w:lang w:val="es-ES"/>
        </w:rPr>
      </w:pPr>
      <w:r w:rsidRPr="00073BC6">
        <w:rPr>
          <w:lang w:val="es-ES"/>
        </w:rPr>
        <w:t>–</w:t>
      </w:r>
      <w:r w:rsidRPr="00073BC6">
        <w:rPr>
          <w:lang w:val="es-ES"/>
        </w:rPr>
        <w:tab/>
        <w:t xml:space="preserve">examinar los informes del </w:t>
      </w:r>
      <w:proofErr w:type="spellStart"/>
      <w:r w:rsidRPr="00073BC6">
        <w:rPr>
          <w:lang w:val="es-ES"/>
        </w:rPr>
        <w:t>GTC</w:t>
      </w:r>
      <w:proofErr w:type="spellEnd"/>
      <w:r w:rsidRPr="00073BC6">
        <w:rPr>
          <w:lang w:val="es-ES"/>
        </w:rPr>
        <w:t xml:space="preserve">-Internet y tomar las medidas necesarias; </w:t>
      </w:r>
    </w:p>
    <w:p w14:paraId="0DC20C6A" w14:textId="7B45F0A0" w:rsidR="00A82BD8" w:rsidRPr="00073BC6" w:rsidRDefault="00A82BD8" w:rsidP="00257D84">
      <w:pPr>
        <w:pStyle w:val="enumlev1"/>
        <w:jc w:val="both"/>
        <w:rPr>
          <w:lang w:val="es-ES"/>
        </w:rPr>
      </w:pPr>
      <w:r w:rsidRPr="00073BC6">
        <w:rPr>
          <w:lang w:val="es-ES"/>
        </w:rPr>
        <w:t>–</w:t>
      </w:r>
      <w:r w:rsidRPr="00073BC6">
        <w:rPr>
          <w:lang w:val="es-ES"/>
        </w:rPr>
        <w:tab/>
        <w:t>informar a la Conferencia de Plenipotenciarios de 2026 sobre las actividades realizadas y los logros obtenidos, con respecto a la aplicación de la Resolución, incluidas cualesquiera propuestas para que se estudien ulteriormente.</w:t>
      </w:r>
    </w:p>
    <w:p w14:paraId="6862F19B" w14:textId="77777777" w:rsidR="00A82BD8" w:rsidRPr="00073BC6" w:rsidRDefault="00A82BD8" w:rsidP="00073BC6">
      <w:pPr>
        <w:pStyle w:val="Heading1"/>
        <w:rPr>
          <w:lang w:val="es-ES"/>
        </w:rPr>
      </w:pPr>
      <w:r w:rsidRPr="00073BC6">
        <w:rPr>
          <w:lang w:val="es-ES"/>
        </w:rPr>
        <w:t>2</w:t>
      </w:r>
      <w:r w:rsidRPr="00073BC6">
        <w:rPr>
          <w:lang w:val="es-ES"/>
        </w:rPr>
        <w:tab/>
        <w:t xml:space="preserve">Actividades del </w:t>
      </w:r>
      <w:proofErr w:type="spellStart"/>
      <w:r w:rsidRPr="00073BC6">
        <w:rPr>
          <w:lang w:val="es-ES"/>
        </w:rPr>
        <w:t>GTC</w:t>
      </w:r>
      <w:proofErr w:type="spellEnd"/>
      <w:r w:rsidRPr="00073BC6">
        <w:rPr>
          <w:lang w:val="es-ES"/>
        </w:rPr>
        <w:t>-Internet</w:t>
      </w:r>
    </w:p>
    <w:p w14:paraId="36DBC2DE" w14:textId="481F3609" w:rsidR="00A82BD8" w:rsidRPr="00073BC6" w:rsidRDefault="00A82BD8" w:rsidP="00257D84">
      <w:pPr>
        <w:jc w:val="both"/>
        <w:rPr>
          <w:bCs/>
          <w:lang w:val="es-ES"/>
        </w:rPr>
      </w:pPr>
      <w:r w:rsidRPr="00073BC6">
        <w:rPr>
          <w:lang w:val="es-ES"/>
        </w:rPr>
        <w:t>2.1</w:t>
      </w:r>
      <w:r w:rsidRPr="00073BC6">
        <w:rPr>
          <w:lang w:val="es-ES"/>
        </w:rPr>
        <w:tab/>
        <w:t xml:space="preserve">El </w:t>
      </w:r>
      <w:proofErr w:type="spellStart"/>
      <w:r w:rsidRPr="00073BC6">
        <w:rPr>
          <w:lang w:val="es-ES"/>
        </w:rPr>
        <w:t>GTC</w:t>
      </w:r>
      <w:proofErr w:type="spellEnd"/>
      <w:r w:rsidRPr="00073BC6">
        <w:rPr>
          <w:lang w:val="es-ES"/>
        </w:rPr>
        <w:t xml:space="preserve">-Internet celebró su vigésima y vigésima primera reunión los días 4 de octubre de 2024 y 19 y 20 de febrero de 2025, respectivamente, en la Sede de la UIT en Ginebra (Suiza). </w:t>
      </w:r>
    </w:p>
    <w:p w14:paraId="27CF8648" w14:textId="4DB14187" w:rsidR="00A82BD8" w:rsidRPr="00073BC6" w:rsidRDefault="00A82BD8" w:rsidP="00257D84">
      <w:pPr>
        <w:jc w:val="both"/>
        <w:rPr>
          <w:lang w:val="es-ES"/>
        </w:rPr>
      </w:pPr>
      <w:r w:rsidRPr="00073BC6">
        <w:rPr>
          <w:lang w:val="es-ES"/>
        </w:rPr>
        <w:t>2.2</w:t>
      </w:r>
      <w:r w:rsidRPr="00073BC6">
        <w:rPr>
          <w:lang w:val="es-ES"/>
        </w:rPr>
        <w:tab/>
        <w:t xml:space="preserve">El Grupo aprobó los informes de las reuniones </w:t>
      </w:r>
      <w:hyperlink r:id="rId16" w:history="1">
        <w:r w:rsidRPr="00073BC6">
          <w:rPr>
            <w:rStyle w:val="Hyperlink"/>
            <w:lang w:val="es-ES"/>
          </w:rPr>
          <w:t>vigésima</w:t>
        </w:r>
      </w:hyperlink>
      <w:r w:rsidRPr="00073BC6">
        <w:rPr>
          <w:lang w:val="es-ES"/>
        </w:rPr>
        <w:t xml:space="preserve"> y </w:t>
      </w:r>
      <w:hyperlink r:id="rId17" w:history="1">
        <w:r w:rsidRPr="00073BC6">
          <w:rPr>
            <w:rStyle w:val="Hyperlink"/>
            <w:lang w:val="es-ES"/>
          </w:rPr>
          <w:t>vigésima primera</w:t>
        </w:r>
      </w:hyperlink>
      <w:r w:rsidRPr="00073BC6">
        <w:rPr>
          <w:lang w:val="es-ES"/>
        </w:rPr>
        <w:t>.</w:t>
      </w:r>
    </w:p>
    <w:p w14:paraId="5F5F4482" w14:textId="620D0CCC" w:rsidR="00A82BD8" w:rsidRPr="00073BC6" w:rsidRDefault="00A82BD8" w:rsidP="00257D84">
      <w:pPr>
        <w:jc w:val="both"/>
        <w:rPr>
          <w:lang w:val="es-ES"/>
        </w:rPr>
      </w:pPr>
      <w:r w:rsidRPr="00073BC6">
        <w:rPr>
          <w:lang w:val="es-ES"/>
        </w:rPr>
        <w:t>2.3</w:t>
      </w:r>
      <w:r w:rsidRPr="00073BC6">
        <w:rPr>
          <w:lang w:val="es-ES"/>
        </w:rPr>
        <w:tab/>
        <w:t xml:space="preserve">En la vigésima reunión, el Grupo examinó los resultados de la consulta abierta, así como las contribuciones recibidas de los miembros, y lanzó la siguiente consulta abierta sobre los siguientes temas y preguntas, según lo acordado por el Grupo en su </w:t>
      </w:r>
      <w:hyperlink r:id="rId18" w:history="1">
        <w:r w:rsidRPr="00073BC6">
          <w:rPr>
            <w:rStyle w:val="Hyperlink"/>
            <w:lang w:val="es-ES"/>
          </w:rPr>
          <w:t>decimonovena reunión</w:t>
        </w:r>
      </w:hyperlink>
      <w:r w:rsidRPr="00073BC6">
        <w:rPr>
          <w:lang w:val="es-ES"/>
        </w:rPr>
        <w:t>:</w:t>
      </w:r>
    </w:p>
    <w:p w14:paraId="64D40C96" w14:textId="101B5BC7" w:rsidR="00A82BD8" w:rsidRPr="00073BC6" w:rsidRDefault="00257D84" w:rsidP="00257D84">
      <w:pPr>
        <w:pStyle w:val="enumlev1"/>
        <w:rPr>
          <w:b/>
          <w:bCs/>
          <w:i/>
          <w:iCs/>
          <w:lang w:val="es-ES"/>
        </w:rPr>
      </w:pPr>
      <w:r w:rsidRPr="00073BC6">
        <w:rPr>
          <w:lang w:val="es-ES"/>
        </w:rPr>
        <w:tab/>
      </w:r>
      <w:r w:rsidRPr="00073BC6">
        <w:rPr>
          <w:b/>
          <w:bCs/>
          <w:i/>
          <w:iCs/>
          <w:lang w:val="es-ES"/>
        </w:rPr>
        <w:t>El papel de las políticas públicas en el fomento de la diversificación lingüística de Internet</w:t>
      </w:r>
      <w:r w:rsidRPr="00073BC6">
        <w:rPr>
          <w:lang w:val="es-ES"/>
        </w:rPr>
        <w:t xml:space="preserve"> </w:t>
      </w:r>
    </w:p>
    <w:p w14:paraId="35F3BCC5" w14:textId="34CE6774" w:rsidR="00A82BD8" w:rsidRPr="00073BC6" w:rsidRDefault="00A82BD8" w:rsidP="00257D84">
      <w:pPr>
        <w:pStyle w:val="enumlev2"/>
        <w:jc w:val="both"/>
        <w:rPr>
          <w:i/>
          <w:iCs/>
          <w:lang w:val="es-ES"/>
        </w:rPr>
      </w:pPr>
      <w:r w:rsidRPr="00073BC6">
        <w:rPr>
          <w:i/>
          <w:iCs/>
          <w:lang w:val="es-ES"/>
        </w:rPr>
        <w:t>1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¿Qué podría hacer la UIT, sus miembros y otras partes interesadas para garantizar que Internet sea más plurilingüe y, por lo tanto, accesible para una mayor parte de la población mundial?</w:t>
      </w:r>
    </w:p>
    <w:p w14:paraId="629DA915" w14:textId="1C66BEDC" w:rsidR="00A82BD8" w:rsidRPr="00073BC6" w:rsidRDefault="00A82BD8" w:rsidP="00257D84">
      <w:pPr>
        <w:pStyle w:val="enumlev2"/>
        <w:jc w:val="both"/>
        <w:rPr>
          <w:i/>
          <w:iCs/>
          <w:lang w:val="es-ES"/>
        </w:rPr>
      </w:pPr>
      <w:r w:rsidRPr="00073BC6">
        <w:rPr>
          <w:i/>
          <w:iCs/>
          <w:lang w:val="es-ES"/>
        </w:rPr>
        <w:t>2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¿Cuáles son los beneficios y los retos de la diversificación lingüística de Internet, incluida la aceptación universal de los nombres de dominio internacionalizados (</w:t>
      </w:r>
      <w:proofErr w:type="spellStart"/>
      <w:r w:rsidRPr="00073BC6">
        <w:rPr>
          <w:i/>
          <w:iCs/>
          <w:lang w:val="es-ES"/>
        </w:rPr>
        <w:t>IDN</w:t>
      </w:r>
      <w:proofErr w:type="spellEnd"/>
      <w:r w:rsidRPr="00073BC6">
        <w:rPr>
          <w:i/>
          <w:iCs/>
          <w:lang w:val="es-ES"/>
        </w:rPr>
        <w:t>), o la falta de ella, en términos técnicos, económicos, culturales, de seguridad y de creación de capacidades?</w:t>
      </w:r>
    </w:p>
    <w:p w14:paraId="556C6A76" w14:textId="77777777" w:rsidR="00A82BD8" w:rsidRPr="00073BC6" w:rsidRDefault="00A82BD8" w:rsidP="0063175F">
      <w:pPr>
        <w:keepNext/>
        <w:jc w:val="both"/>
        <w:rPr>
          <w:lang w:val="es-ES"/>
        </w:rPr>
      </w:pPr>
      <w:r w:rsidRPr="00073BC6">
        <w:rPr>
          <w:lang w:val="es-ES"/>
        </w:rPr>
        <w:lastRenderedPageBreak/>
        <w:t>2.4</w:t>
      </w:r>
      <w:r w:rsidRPr="00073BC6">
        <w:rPr>
          <w:lang w:val="es-ES"/>
        </w:rPr>
        <w:tab/>
        <w:t>En la vigésima primera reunión, el Grupo examinó los resultados de la consulta abierta, así como las contribuciones recibidas de los miembros, y aprobó las siguientes medidas:</w:t>
      </w:r>
    </w:p>
    <w:p w14:paraId="3B3D16EC" w14:textId="77777777" w:rsidR="00A82BD8" w:rsidRPr="00073BC6" w:rsidRDefault="00A82BD8" w:rsidP="00D456E6">
      <w:pPr>
        <w:keepNext/>
        <w:jc w:val="both"/>
        <w:rPr>
          <w:lang w:val="es-ES"/>
        </w:rPr>
      </w:pPr>
      <w:bookmarkStart w:id="12" w:name="dbreak3"/>
      <w:r w:rsidRPr="00073BC6">
        <w:rPr>
          <w:lang w:val="es-ES"/>
        </w:rPr>
        <w:t>La Secretaría de la UIT iniciará la próxima ronda de consultas abiertas (febrero-septiembre de 2025) sobre el tema:</w:t>
      </w:r>
    </w:p>
    <w:p w14:paraId="31A51E59" w14:textId="36648BC8" w:rsidR="00A82BD8" w:rsidRPr="00073BC6" w:rsidRDefault="00B01391" w:rsidP="00B01391">
      <w:pPr>
        <w:pStyle w:val="enumlev1"/>
        <w:rPr>
          <w:b/>
          <w:bCs/>
          <w:i/>
          <w:iCs/>
          <w:lang w:val="es-ES"/>
        </w:rPr>
      </w:pPr>
      <w:r w:rsidRPr="00073BC6">
        <w:rPr>
          <w:lang w:val="es-ES"/>
        </w:rPr>
        <w:tab/>
      </w:r>
      <w:r w:rsidR="00257D84" w:rsidRPr="00073BC6">
        <w:rPr>
          <w:b/>
          <w:bCs/>
          <w:i/>
          <w:iCs/>
          <w:lang w:val="es-ES"/>
        </w:rPr>
        <w:t>Garantizar una conectividad efectiva a Internet para los países en desarrollo sin litoral (</w:t>
      </w:r>
      <w:proofErr w:type="spellStart"/>
      <w:r w:rsidR="00257D84" w:rsidRPr="00073BC6">
        <w:rPr>
          <w:b/>
          <w:bCs/>
          <w:i/>
          <w:iCs/>
          <w:lang w:val="es-ES"/>
        </w:rPr>
        <w:t>PDSL</w:t>
      </w:r>
      <w:proofErr w:type="spellEnd"/>
      <w:r w:rsidR="00257D84" w:rsidRPr="00073BC6">
        <w:rPr>
          <w:b/>
          <w:bCs/>
          <w:i/>
          <w:iCs/>
          <w:lang w:val="es-ES"/>
        </w:rPr>
        <w:t>)</w:t>
      </w:r>
    </w:p>
    <w:p w14:paraId="268A022B" w14:textId="77B6A134" w:rsidR="00A82BD8" w:rsidRPr="00073BC6" w:rsidRDefault="00A82BD8" w:rsidP="00257D84">
      <w:pPr>
        <w:pStyle w:val="enumlev2"/>
        <w:jc w:val="both"/>
        <w:rPr>
          <w:i/>
          <w:iCs/>
          <w:lang w:val="es-ES"/>
        </w:rPr>
      </w:pP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1</w:t>
      </w:r>
      <w:r w:rsidR="00B01391" w:rsidRPr="00073BC6">
        <w:rPr>
          <w:i/>
          <w:iCs/>
          <w:lang w:val="es-ES"/>
        </w:rPr>
        <w:t>)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 xml:space="preserve">¿Qué estrategias pueden adoptarse para garantizar una conectividad significativa a Internet para los </w:t>
      </w:r>
      <w:proofErr w:type="spellStart"/>
      <w:r w:rsidRPr="00073BC6">
        <w:rPr>
          <w:i/>
          <w:iCs/>
          <w:lang w:val="es-ES"/>
        </w:rPr>
        <w:t>PDSL</w:t>
      </w:r>
      <w:proofErr w:type="spellEnd"/>
      <w:r w:rsidRPr="00073BC6">
        <w:rPr>
          <w:i/>
          <w:iCs/>
          <w:lang w:val="es-ES"/>
        </w:rPr>
        <w:t>?</w:t>
      </w:r>
    </w:p>
    <w:p w14:paraId="1781EA30" w14:textId="345334D6" w:rsidR="00A82BD8" w:rsidRPr="00073BC6" w:rsidRDefault="00A82BD8" w:rsidP="00257D84">
      <w:pPr>
        <w:pStyle w:val="enumlev2"/>
        <w:jc w:val="both"/>
        <w:rPr>
          <w:i/>
          <w:iCs/>
          <w:lang w:val="es-ES"/>
        </w:rPr>
      </w:pP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2</w:t>
      </w:r>
      <w:r w:rsidR="00B01391" w:rsidRPr="00073BC6">
        <w:rPr>
          <w:i/>
          <w:iCs/>
          <w:lang w:val="es-ES"/>
        </w:rPr>
        <w:t>)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 xml:space="preserve">¿A qué retos específicos se enfrentan los </w:t>
      </w:r>
      <w:proofErr w:type="spellStart"/>
      <w:r w:rsidRPr="00073BC6">
        <w:rPr>
          <w:i/>
          <w:iCs/>
          <w:lang w:val="es-ES"/>
        </w:rPr>
        <w:t>PDSL</w:t>
      </w:r>
      <w:proofErr w:type="spellEnd"/>
      <w:r w:rsidRPr="00073BC6">
        <w:rPr>
          <w:i/>
          <w:iCs/>
          <w:lang w:val="es-ES"/>
        </w:rPr>
        <w:t xml:space="preserve"> para lograr una conectividad efectiva a Internet, y qué políticas y medidas concretas pueden adoptarse, en particular, en relación con lo siguiente:</w:t>
      </w:r>
    </w:p>
    <w:p w14:paraId="6E02009C" w14:textId="77777777" w:rsidR="00A82BD8" w:rsidRPr="00073BC6" w:rsidRDefault="00A82BD8" w:rsidP="00257D84">
      <w:pPr>
        <w:pStyle w:val="enumlev3"/>
        <w:rPr>
          <w:i/>
          <w:iCs/>
          <w:lang w:val="es-ES"/>
        </w:rPr>
      </w:pPr>
      <w:r w:rsidRPr="00073BC6">
        <w:rPr>
          <w:i/>
          <w:iCs/>
          <w:lang w:val="es-ES"/>
        </w:rPr>
        <w:t>–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asequibilidad</w:t>
      </w:r>
    </w:p>
    <w:p w14:paraId="5DDE6452" w14:textId="77777777" w:rsidR="00A82BD8" w:rsidRPr="00073BC6" w:rsidRDefault="00A82BD8" w:rsidP="00257D84">
      <w:pPr>
        <w:pStyle w:val="enumlev3"/>
        <w:rPr>
          <w:i/>
          <w:iCs/>
          <w:lang w:val="es-ES"/>
        </w:rPr>
      </w:pPr>
      <w:r w:rsidRPr="00073BC6">
        <w:rPr>
          <w:i/>
          <w:iCs/>
          <w:lang w:val="es-ES"/>
        </w:rPr>
        <w:t>–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calidad de la anchura de banda o de las comunicaciones</w:t>
      </w:r>
    </w:p>
    <w:p w14:paraId="37BB7D2C" w14:textId="77777777" w:rsidR="00A82BD8" w:rsidRPr="00073BC6" w:rsidRDefault="00A82BD8" w:rsidP="00257D84">
      <w:pPr>
        <w:pStyle w:val="enumlev3"/>
        <w:rPr>
          <w:i/>
          <w:iCs/>
          <w:lang w:val="es-ES"/>
        </w:rPr>
      </w:pPr>
      <w:r w:rsidRPr="00073BC6">
        <w:rPr>
          <w:i/>
          <w:iCs/>
          <w:lang w:val="es-ES"/>
        </w:rPr>
        <w:t>–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inversión</w:t>
      </w:r>
      <w:r w:rsidRPr="00073BC6">
        <w:rPr>
          <w:lang w:val="es-ES"/>
        </w:rPr>
        <w:t xml:space="preserve"> </w:t>
      </w:r>
    </w:p>
    <w:p w14:paraId="2EBDE397" w14:textId="77777777" w:rsidR="00A82BD8" w:rsidRPr="00073BC6" w:rsidRDefault="00A82BD8" w:rsidP="00257D84">
      <w:pPr>
        <w:pStyle w:val="enumlev3"/>
        <w:rPr>
          <w:i/>
          <w:iCs/>
          <w:lang w:val="es-ES"/>
        </w:rPr>
      </w:pPr>
      <w:r w:rsidRPr="00073BC6">
        <w:rPr>
          <w:i/>
          <w:iCs/>
          <w:lang w:val="es-ES"/>
        </w:rPr>
        <w:t>–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infraestructura</w:t>
      </w:r>
    </w:p>
    <w:p w14:paraId="45D0F331" w14:textId="77777777" w:rsidR="00A82BD8" w:rsidRPr="00073BC6" w:rsidRDefault="00A82BD8" w:rsidP="00257D84">
      <w:pPr>
        <w:pStyle w:val="enumlev3"/>
        <w:rPr>
          <w:i/>
          <w:iCs/>
          <w:lang w:val="es-ES"/>
        </w:rPr>
      </w:pPr>
      <w:r w:rsidRPr="00073BC6">
        <w:rPr>
          <w:i/>
          <w:iCs/>
          <w:lang w:val="es-ES"/>
        </w:rPr>
        <w:t>–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entorno propicio</w:t>
      </w:r>
    </w:p>
    <w:p w14:paraId="7C0E88BF" w14:textId="6D63990A" w:rsidR="00A82BD8" w:rsidRPr="00073BC6" w:rsidRDefault="00A82BD8" w:rsidP="00257D84">
      <w:pPr>
        <w:pStyle w:val="enumlev3"/>
        <w:rPr>
          <w:i/>
          <w:iCs/>
          <w:lang w:val="es-ES"/>
        </w:rPr>
      </w:pPr>
      <w:r w:rsidRPr="00073BC6">
        <w:rPr>
          <w:i/>
          <w:iCs/>
          <w:lang w:val="es-ES"/>
        </w:rPr>
        <w:t>–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seguridad y resiliencia.</w:t>
      </w:r>
    </w:p>
    <w:p w14:paraId="54A10172" w14:textId="771ED3C6" w:rsidR="00A82BD8" w:rsidRPr="00073BC6" w:rsidRDefault="00A82BD8" w:rsidP="00257D84">
      <w:pPr>
        <w:pStyle w:val="enumlev2"/>
        <w:jc w:val="both"/>
        <w:rPr>
          <w:i/>
          <w:iCs/>
          <w:lang w:val="es-ES"/>
        </w:rPr>
      </w:pP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>3</w:t>
      </w:r>
      <w:r w:rsidR="00B01391" w:rsidRPr="00073BC6">
        <w:rPr>
          <w:i/>
          <w:iCs/>
          <w:lang w:val="es-ES"/>
        </w:rPr>
        <w:t>)</w:t>
      </w:r>
      <w:r w:rsidRPr="00073BC6">
        <w:rPr>
          <w:lang w:val="es-ES"/>
        </w:rPr>
        <w:tab/>
      </w:r>
      <w:r w:rsidRPr="00073BC6">
        <w:rPr>
          <w:i/>
          <w:iCs/>
          <w:lang w:val="es-ES"/>
        </w:rPr>
        <w:t xml:space="preserve">¿Qué pueden hacer los Miembros de la UIT, los gobiernos y otras partes interesadas, incluidos los de los países de tránsito, para garantizar una conectividad efectiva a Internet para los </w:t>
      </w:r>
      <w:proofErr w:type="spellStart"/>
      <w:r w:rsidRPr="00073BC6">
        <w:rPr>
          <w:i/>
          <w:iCs/>
          <w:lang w:val="es-ES"/>
        </w:rPr>
        <w:t>PDSL</w:t>
      </w:r>
      <w:proofErr w:type="spellEnd"/>
      <w:r w:rsidRPr="00073BC6">
        <w:rPr>
          <w:i/>
          <w:iCs/>
          <w:lang w:val="es-ES"/>
        </w:rPr>
        <w:t>?</w:t>
      </w:r>
    </w:p>
    <w:p w14:paraId="3FC14835" w14:textId="4C8BE7A7" w:rsidR="00A82BD8" w:rsidRPr="00073BC6" w:rsidRDefault="00A82BD8" w:rsidP="00073BC6">
      <w:pPr>
        <w:pStyle w:val="Heading1"/>
        <w:rPr>
          <w:lang w:val="es-ES"/>
        </w:rPr>
      </w:pPr>
      <w:r w:rsidRPr="00073BC6">
        <w:rPr>
          <w:lang w:val="es-ES"/>
        </w:rPr>
        <w:t>3</w:t>
      </w:r>
      <w:r w:rsidRPr="00073BC6">
        <w:rPr>
          <w:lang w:val="es-ES"/>
        </w:rPr>
        <w:tab/>
        <w:t>Conclusión</w:t>
      </w:r>
    </w:p>
    <w:p w14:paraId="74FBF244" w14:textId="77777777" w:rsidR="00A82BD8" w:rsidRPr="00073BC6" w:rsidRDefault="00A82BD8" w:rsidP="00257D84">
      <w:pPr>
        <w:jc w:val="both"/>
        <w:rPr>
          <w:lang w:val="es-ES"/>
        </w:rPr>
      </w:pPr>
      <w:r w:rsidRPr="00073BC6">
        <w:rPr>
          <w:lang w:val="es-ES"/>
        </w:rPr>
        <w:t>3.1</w:t>
      </w:r>
      <w:r w:rsidRPr="00073BC6">
        <w:rPr>
          <w:lang w:val="es-ES"/>
        </w:rPr>
        <w:tab/>
        <w:t>Se invita al Consejo a tomar nota del presente informe.</w:t>
      </w:r>
    </w:p>
    <w:p w14:paraId="008A12D1" w14:textId="37414F27" w:rsidR="00A82BD8" w:rsidRPr="00073BC6" w:rsidRDefault="00A82BD8" w:rsidP="00257D84">
      <w:pPr>
        <w:jc w:val="both"/>
        <w:rPr>
          <w:lang w:val="es-ES"/>
        </w:rPr>
      </w:pPr>
      <w:r w:rsidRPr="00073BC6">
        <w:rPr>
          <w:lang w:val="es-ES"/>
        </w:rPr>
        <w:t>3.2</w:t>
      </w:r>
      <w:r w:rsidRPr="00073BC6">
        <w:rPr>
          <w:lang w:val="es-ES"/>
        </w:rPr>
        <w:tab/>
        <w:t xml:space="preserve">En nombre del </w:t>
      </w:r>
      <w:proofErr w:type="spellStart"/>
      <w:r w:rsidRPr="00073BC6">
        <w:rPr>
          <w:lang w:val="es-ES"/>
        </w:rPr>
        <w:t>GTC</w:t>
      </w:r>
      <w:proofErr w:type="spellEnd"/>
      <w:r w:rsidRPr="00073BC6">
        <w:rPr>
          <w:lang w:val="es-ES"/>
        </w:rPr>
        <w:t xml:space="preserve">-Internet, el Presidente expresó su agradecimiento personal a todos los Estados Miembros de la UIT que habían aportado contribuciones y habían participado en los trabajos del Grupo, a los Vicepresidentes, a la Secretaria General, al Vicesecretario General, a los Directores de la TSB, la BR y la BDT, y a la Secretaría General por la eficaz asistencia prestada durante la vigésima y la vigésimo primera reuniones del </w:t>
      </w:r>
      <w:proofErr w:type="spellStart"/>
      <w:r w:rsidRPr="00073BC6">
        <w:rPr>
          <w:lang w:val="es-ES"/>
        </w:rPr>
        <w:t>GTC</w:t>
      </w:r>
      <w:proofErr w:type="spellEnd"/>
      <w:r w:rsidRPr="00073BC6">
        <w:rPr>
          <w:lang w:val="es-ES"/>
        </w:rPr>
        <w:t>-Internet.</w:t>
      </w:r>
    </w:p>
    <w:p w14:paraId="35C6D0A5" w14:textId="208E46D2" w:rsidR="007A3FCD" w:rsidRPr="00073BC6" w:rsidRDefault="00257D84" w:rsidP="00257D84">
      <w:pPr>
        <w:pStyle w:val="Signature"/>
        <w:rPr>
          <w:lang w:val="es-ES"/>
        </w:rPr>
      </w:pPr>
      <w:r w:rsidRPr="00073BC6">
        <w:rPr>
          <w:lang w:val="es-ES"/>
        </w:rPr>
        <w:tab/>
        <w:t>Wojciech Berezowski (Polonia)</w:t>
      </w:r>
      <w:r w:rsidR="00073BC6" w:rsidRPr="00073BC6">
        <w:rPr>
          <w:lang w:val="es-ES"/>
        </w:rPr>
        <w:br/>
      </w:r>
      <w:r w:rsidRPr="00073BC6">
        <w:rPr>
          <w:lang w:val="es-ES"/>
        </w:rPr>
        <w:tab/>
        <w:t xml:space="preserve">Presidente del </w:t>
      </w:r>
      <w:proofErr w:type="spellStart"/>
      <w:r w:rsidRPr="00073BC6">
        <w:rPr>
          <w:lang w:val="es-ES"/>
        </w:rPr>
        <w:t>GTC</w:t>
      </w:r>
      <w:proofErr w:type="spellEnd"/>
      <w:r w:rsidRPr="00073BC6">
        <w:rPr>
          <w:lang w:val="es-ES"/>
        </w:rPr>
        <w:t>-Internet</w:t>
      </w:r>
      <w:bookmarkEnd w:id="12"/>
    </w:p>
    <w:sectPr w:rsidR="007A3FCD" w:rsidRPr="00073BC6" w:rsidSect="00AD3606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D3D4" w14:textId="77777777" w:rsidR="00CC18C4" w:rsidRDefault="00CC18C4">
      <w:r>
        <w:separator/>
      </w:r>
    </w:p>
  </w:endnote>
  <w:endnote w:type="continuationSeparator" w:id="0">
    <w:p w14:paraId="78FB8B0D" w14:textId="77777777" w:rsidR="00CC18C4" w:rsidRDefault="00CC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lang w:val="es-ES"/>
            </w:rPr>
            <w:t>gDoc #</w:t>
          </w:r>
        </w:p>
      </w:tc>
      <w:tc>
        <w:tcPr>
          <w:tcW w:w="8261" w:type="dxa"/>
        </w:tcPr>
        <w:p w14:paraId="6F6B3A01" w14:textId="2807F09E" w:rsidR="00EE49E8" w:rsidRPr="00E06FD5" w:rsidRDefault="00EE49E8" w:rsidP="00123FA5">
          <w:pPr>
            <w:pStyle w:val="Header"/>
            <w:tabs>
              <w:tab w:val="left" w:pos="67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123FA5">
            <w:rPr>
              <w:bCs/>
            </w:rPr>
            <w:t>51</w:t>
          </w:r>
          <w:r w:rsidRPr="00623AE3">
            <w:rPr>
              <w:bCs/>
            </w:rPr>
            <w:t>-</w:t>
          </w:r>
          <w:r w:rsidR="007D0E47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2A18EC" w:rsidRDefault="00BF1FDE" w:rsidP="00EE49E8">
          <w:pPr>
            <w:pStyle w:val="Header"/>
            <w:jc w:val="left"/>
            <w:rPr>
              <w:rStyle w:val="Hyperlink"/>
              <w:u w:val="none"/>
            </w:rPr>
          </w:pPr>
          <w:hyperlink r:id="rId1" w:history="1">
            <w:proofErr w:type="spellStart"/>
            <w:r w:rsidRPr="002A18EC">
              <w:rPr>
                <w:rStyle w:val="Hyperlink"/>
                <w:u w:val="none"/>
              </w:rPr>
              <w:t>council.itu.int</w:t>
            </w:r>
            <w:proofErr w:type="spellEnd"/>
            <w:r w:rsidRPr="002A18EC">
              <w:rPr>
                <w:rStyle w:val="Hyperlink"/>
                <w:u w:val="none"/>
              </w:rPr>
              <w:t>/2025</w:t>
            </w:r>
          </w:hyperlink>
        </w:p>
      </w:tc>
      <w:tc>
        <w:tcPr>
          <w:tcW w:w="8261" w:type="dxa"/>
        </w:tcPr>
        <w:p w14:paraId="68F817AE" w14:textId="34899AD6" w:rsidR="00EE49E8" w:rsidRPr="00E06FD5" w:rsidRDefault="00EE49E8" w:rsidP="00123FA5">
          <w:pPr>
            <w:pStyle w:val="Header"/>
            <w:tabs>
              <w:tab w:val="left" w:pos="67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123FA5">
            <w:rPr>
              <w:bCs/>
            </w:rPr>
            <w:t>51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AAAE" w14:textId="77777777" w:rsidR="00CC18C4" w:rsidRDefault="00CC18C4">
      <w:r>
        <w:t>____________________</w:t>
      </w:r>
    </w:p>
  </w:footnote>
  <w:footnote w:type="continuationSeparator" w:id="0">
    <w:p w14:paraId="70F37FDB" w14:textId="77777777" w:rsidR="00CC18C4" w:rsidRDefault="00CC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2205BB0C" w:rsidR="00AD3606" w:rsidRPr="009621F8" w:rsidRDefault="0071536D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0E57175" wp14:editId="0D3E74E4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w14:anchorId="08A319BC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E3E83"/>
    <w:multiLevelType w:val="hybridMultilevel"/>
    <w:tmpl w:val="E10E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12A"/>
    <w:multiLevelType w:val="hybridMultilevel"/>
    <w:tmpl w:val="3012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5970"/>
    <w:multiLevelType w:val="hybridMultilevel"/>
    <w:tmpl w:val="8B50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2F1C"/>
    <w:multiLevelType w:val="hybridMultilevel"/>
    <w:tmpl w:val="0AACE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B666C"/>
    <w:multiLevelType w:val="hybridMultilevel"/>
    <w:tmpl w:val="20CA6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6128"/>
    <w:multiLevelType w:val="hybridMultilevel"/>
    <w:tmpl w:val="6784C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326857164">
    <w:abstractNumId w:val="3"/>
  </w:num>
  <w:num w:numId="3" w16cid:durableId="6955741">
    <w:abstractNumId w:val="4"/>
  </w:num>
  <w:num w:numId="4" w16cid:durableId="1553493115">
    <w:abstractNumId w:val="1"/>
  </w:num>
  <w:num w:numId="5" w16cid:durableId="1627395192">
    <w:abstractNumId w:val="5"/>
  </w:num>
  <w:num w:numId="6" w16cid:durableId="1667130025">
    <w:abstractNumId w:val="2"/>
  </w:num>
  <w:num w:numId="7" w16cid:durableId="205580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01AA9"/>
    <w:rsid w:val="000210D4"/>
    <w:rsid w:val="000516C9"/>
    <w:rsid w:val="0006007D"/>
    <w:rsid w:val="00063016"/>
    <w:rsid w:val="00066795"/>
    <w:rsid w:val="00073BC6"/>
    <w:rsid w:val="000745AB"/>
    <w:rsid w:val="00076AF6"/>
    <w:rsid w:val="00083727"/>
    <w:rsid w:val="00085CF2"/>
    <w:rsid w:val="000B1705"/>
    <w:rsid w:val="000D75B2"/>
    <w:rsid w:val="000E3980"/>
    <w:rsid w:val="000E6F99"/>
    <w:rsid w:val="000F5DDB"/>
    <w:rsid w:val="000F7289"/>
    <w:rsid w:val="001121F5"/>
    <w:rsid w:val="00123FA5"/>
    <w:rsid w:val="001400DC"/>
    <w:rsid w:val="00140CE1"/>
    <w:rsid w:val="0017539C"/>
    <w:rsid w:val="00175AC2"/>
    <w:rsid w:val="00175F75"/>
    <w:rsid w:val="0017609F"/>
    <w:rsid w:val="001A3154"/>
    <w:rsid w:val="001A7D1D"/>
    <w:rsid w:val="001B2238"/>
    <w:rsid w:val="001B51DD"/>
    <w:rsid w:val="001B6E2B"/>
    <w:rsid w:val="001C628E"/>
    <w:rsid w:val="001E0F7B"/>
    <w:rsid w:val="001F5569"/>
    <w:rsid w:val="002016FD"/>
    <w:rsid w:val="002119FD"/>
    <w:rsid w:val="002130E0"/>
    <w:rsid w:val="00221F46"/>
    <w:rsid w:val="00257D84"/>
    <w:rsid w:val="00264425"/>
    <w:rsid w:val="00265875"/>
    <w:rsid w:val="0027303B"/>
    <w:rsid w:val="00280689"/>
    <w:rsid w:val="0028109B"/>
    <w:rsid w:val="00281E91"/>
    <w:rsid w:val="002836EB"/>
    <w:rsid w:val="002A18EC"/>
    <w:rsid w:val="002A2188"/>
    <w:rsid w:val="002B1F58"/>
    <w:rsid w:val="002B699A"/>
    <w:rsid w:val="002C1C7A"/>
    <w:rsid w:val="002C3F32"/>
    <w:rsid w:val="002C54E2"/>
    <w:rsid w:val="0030160F"/>
    <w:rsid w:val="00320223"/>
    <w:rsid w:val="00322D0D"/>
    <w:rsid w:val="00332C06"/>
    <w:rsid w:val="00361465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4123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B28EE"/>
    <w:rsid w:val="004D1851"/>
    <w:rsid w:val="004D599D"/>
    <w:rsid w:val="004E2EA5"/>
    <w:rsid w:val="004E3AEB"/>
    <w:rsid w:val="0050223C"/>
    <w:rsid w:val="00512B9B"/>
    <w:rsid w:val="005243FF"/>
    <w:rsid w:val="005401F2"/>
    <w:rsid w:val="00564FBC"/>
    <w:rsid w:val="005800BC"/>
    <w:rsid w:val="00582442"/>
    <w:rsid w:val="005F3269"/>
    <w:rsid w:val="00623AE3"/>
    <w:rsid w:val="00630C4D"/>
    <w:rsid w:val="0063175F"/>
    <w:rsid w:val="00644EC6"/>
    <w:rsid w:val="0064737F"/>
    <w:rsid w:val="006510F9"/>
    <w:rsid w:val="006535F1"/>
    <w:rsid w:val="0065557D"/>
    <w:rsid w:val="00660D50"/>
    <w:rsid w:val="00662984"/>
    <w:rsid w:val="006716BB"/>
    <w:rsid w:val="006B1859"/>
    <w:rsid w:val="006B5D8E"/>
    <w:rsid w:val="006B6680"/>
    <w:rsid w:val="006B6DCC"/>
    <w:rsid w:val="006B77F1"/>
    <w:rsid w:val="006C5ECF"/>
    <w:rsid w:val="006D48BB"/>
    <w:rsid w:val="00702DEF"/>
    <w:rsid w:val="00706861"/>
    <w:rsid w:val="0071536D"/>
    <w:rsid w:val="00722551"/>
    <w:rsid w:val="0075051B"/>
    <w:rsid w:val="0075193D"/>
    <w:rsid w:val="0077110E"/>
    <w:rsid w:val="00793188"/>
    <w:rsid w:val="00794D34"/>
    <w:rsid w:val="007A3FCD"/>
    <w:rsid w:val="007B19CF"/>
    <w:rsid w:val="007D01AF"/>
    <w:rsid w:val="007D0E47"/>
    <w:rsid w:val="00813E5E"/>
    <w:rsid w:val="0083581B"/>
    <w:rsid w:val="00863874"/>
    <w:rsid w:val="00864AFF"/>
    <w:rsid w:val="00865925"/>
    <w:rsid w:val="00875874"/>
    <w:rsid w:val="008B4A6A"/>
    <w:rsid w:val="008C451C"/>
    <w:rsid w:val="008C7E27"/>
    <w:rsid w:val="008F55E6"/>
    <w:rsid w:val="008F7448"/>
    <w:rsid w:val="0090147A"/>
    <w:rsid w:val="009173EF"/>
    <w:rsid w:val="009230FE"/>
    <w:rsid w:val="00932906"/>
    <w:rsid w:val="009566A1"/>
    <w:rsid w:val="00961B0B"/>
    <w:rsid w:val="00962D33"/>
    <w:rsid w:val="009821F8"/>
    <w:rsid w:val="0098497E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2BD8"/>
    <w:rsid w:val="00A83502"/>
    <w:rsid w:val="00A94603"/>
    <w:rsid w:val="00A94BAB"/>
    <w:rsid w:val="00A968C2"/>
    <w:rsid w:val="00AD15B3"/>
    <w:rsid w:val="00AD3606"/>
    <w:rsid w:val="00AD4A3D"/>
    <w:rsid w:val="00AD677D"/>
    <w:rsid w:val="00AF6E49"/>
    <w:rsid w:val="00B01391"/>
    <w:rsid w:val="00B034C2"/>
    <w:rsid w:val="00B04A67"/>
    <w:rsid w:val="00B0583C"/>
    <w:rsid w:val="00B11808"/>
    <w:rsid w:val="00B21B07"/>
    <w:rsid w:val="00B40A81"/>
    <w:rsid w:val="00B44910"/>
    <w:rsid w:val="00B72267"/>
    <w:rsid w:val="00B76EB6"/>
    <w:rsid w:val="00B7737B"/>
    <w:rsid w:val="00B824C8"/>
    <w:rsid w:val="00B84B9D"/>
    <w:rsid w:val="00B9131F"/>
    <w:rsid w:val="00BB0646"/>
    <w:rsid w:val="00BB4DE4"/>
    <w:rsid w:val="00BC251A"/>
    <w:rsid w:val="00BD032B"/>
    <w:rsid w:val="00BE01C6"/>
    <w:rsid w:val="00BE2640"/>
    <w:rsid w:val="00BE289C"/>
    <w:rsid w:val="00BF1FDE"/>
    <w:rsid w:val="00C01189"/>
    <w:rsid w:val="00C0458D"/>
    <w:rsid w:val="00C374DE"/>
    <w:rsid w:val="00C47AD4"/>
    <w:rsid w:val="00C50D1F"/>
    <w:rsid w:val="00C52D81"/>
    <w:rsid w:val="00C55198"/>
    <w:rsid w:val="00C6520B"/>
    <w:rsid w:val="00C82F4A"/>
    <w:rsid w:val="00CA6393"/>
    <w:rsid w:val="00CA7995"/>
    <w:rsid w:val="00CB18FF"/>
    <w:rsid w:val="00CC18C4"/>
    <w:rsid w:val="00CC5C64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23154"/>
    <w:rsid w:val="00D456E6"/>
    <w:rsid w:val="00D63DD9"/>
    <w:rsid w:val="00D65041"/>
    <w:rsid w:val="00DA6056"/>
    <w:rsid w:val="00DA727F"/>
    <w:rsid w:val="00DB1936"/>
    <w:rsid w:val="00DB384B"/>
    <w:rsid w:val="00DD11ED"/>
    <w:rsid w:val="00DE7863"/>
    <w:rsid w:val="00DF0189"/>
    <w:rsid w:val="00DF26C9"/>
    <w:rsid w:val="00E06FD5"/>
    <w:rsid w:val="00E10E80"/>
    <w:rsid w:val="00E124F0"/>
    <w:rsid w:val="00E20DFF"/>
    <w:rsid w:val="00E227F3"/>
    <w:rsid w:val="00E24CFD"/>
    <w:rsid w:val="00E545C6"/>
    <w:rsid w:val="00E60F04"/>
    <w:rsid w:val="00E62719"/>
    <w:rsid w:val="00E65B24"/>
    <w:rsid w:val="00E854E4"/>
    <w:rsid w:val="00E86DBF"/>
    <w:rsid w:val="00E969AF"/>
    <w:rsid w:val="00EB0D6F"/>
    <w:rsid w:val="00EB2232"/>
    <w:rsid w:val="00EC5337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E4077"/>
    <w:rsid w:val="00FE500D"/>
    <w:rsid w:val="00FE77D2"/>
    <w:rsid w:val="00FF1BD8"/>
    <w:rsid w:val="00FF209B"/>
    <w:rsid w:val="00FF35A3"/>
    <w:rsid w:val="00FF39B1"/>
    <w:rsid w:val="5336D384"/>
    <w:rsid w:val="77E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Signature">
    <w:name w:val="Signature"/>
    <w:basedOn w:val="Normal"/>
    <w:link w:val="SignatureChar"/>
    <w:unhideWhenUsed/>
    <w:rsid w:val="00257D84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600"/>
    </w:pPr>
    <w:rPr>
      <w:rFonts w:eastAsia="Calibri"/>
    </w:rPr>
  </w:style>
  <w:style w:type="character" w:customStyle="1" w:styleId="SignatureChar">
    <w:name w:val="Signature Char"/>
    <w:basedOn w:val="DefaultParagraphFont"/>
    <w:link w:val="Signature"/>
    <w:rsid w:val="00257D84"/>
    <w:rPr>
      <w:rFonts w:ascii="Calibri" w:eastAsia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D48B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230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230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30FE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L-C-0136/es" TargetMode="External"/><Relationship Id="rId18" Type="http://schemas.openxmlformats.org/officeDocument/2006/relationships/hyperlink" Target="https://www.itu.int/md/S24-RCLINTPOL19-C-0007/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40-S.pdf" TargetMode="External"/><Relationship Id="rId17" Type="http://schemas.openxmlformats.org/officeDocument/2006/relationships/hyperlink" Target="https://www.itu.int/md/S25-RCLINTPOL21-C-0010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RCLINTPOL20-C-0006/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102-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cwg-internet/Pages/default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9-CL-C-0140/e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A66C95AE4CC46BDA81D3B6BCD94C7" ma:contentTypeVersion="0" ma:contentTypeDescription="Crée un document." ma:contentTypeScope="" ma:versionID="4b21760b078e5db12de724cfea9681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1e83d12cbdd0fcf0b62744a2ab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E2028-C8EE-4975-8FCE-81C0529DA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885C3-BC37-48A5-A49A-9EC109F5A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54EED-2D17-4702-9F41-84C22D442FEB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4581</Characters>
  <Application>Microsoft Office Word</Application>
  <DocSecurity>0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 of the Council Working Group on international Internet-related public policy issues (CWG-Internet)</vt:lpstr>
    </vt:vector>
  </TitlesOfParts>
  <Manager>General Secretariat</Manager>
  <Company>International Telecommunication Union (ITU)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presidente del Grupo de Trabajo del Consejo sobre cuestiones de política pública internacional relacionadas con Internet (GTC-Internet)</dc:title>
  <dc:subject>Consejo 2025 de la UIT</dc:subject>
  <cp:keywords>C25; C2025; Council 2025; ITU160</cp:keywords>
  <dc:description/>
  <cp:lastPrinted>2000-07-18T13:30:00Z</cp:lastPrinted>
  <dcterms:created xsi:type="dcterms:W3CDTF">2025-05-06T15:28:00Z</dcterms:created>
  <dcterms:modified xsi:type="dcterms:W3CDTF">2025-05-06T15:32:00Z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0x010100835A66C95AE4CC46BDA81D3B6BCD94C7</vt:lpwstr>
  </property>
  <property fmtid="{D5CDD505-2E9C-101B-9397-08002B2CF9AE}" pid="10" name="TranslatedWith">
    <vt:lpwstr>Mercury</vt:lpwstr>
  </property>
  <property fmtid="{D5CDD505-2E9C-101B-9397-08002B2CF9AE}" pid="11" name="GeneratedBy">
    <vt:lpwstr>miriam.munoz@itu.int</vt:lpwstr>
  </property>
  <property fmtid="{D5CDD505-2E9C-101B-9397-08002B2CF9AE}" pid="12" name="GeneratedDate">
    <vt:lpwstr>05/05/2025 14:44:22</vt:lpwstr>
  </property>
  <property fmtid="{D5CDD505-2E9C-101B-9397-08002B2CF9AE}" pid="13" name="OriginalDocID">
    <vt:lpwstr>70acd313-e255-4d93-a503-834837fe31be</vt:lpwstr>
  </property>
</Properties>
</file>