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4D335E57" w14:textId="77777777" w:rsidTr="004158C1">
        <w:trPr>
          <w:cantSplit/>
          <w:trHeight w:val="23"/>
        </w:trPr>
        <w:tc>
          <w:tcPr>
            <w:tcW w:w="3969" w:type="dxa"/>
            <w:vMerge w:val="restart"/>
            <w:tcMar>
              <w:left w:w="0" w:type="dxa"/>
            </w:tcMar>
          </w:tcPr>
          <w:p w14:paraId="3B1CEA32" w14:textId="77777777" w:rsidR="00E24D59" w:rsidRPr="00E24D59" w:rsidRDefault="00E24D59" w:rsidP="004158C1">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503EE8" w:rsidRPr="00503EE8">
              <w:rPr>
                <w:rFonts w:cstheme="minorHAnsi"/>
                <w:b/>
                <w:bCs/>
              </w:rPr>
              <w:t>PL 2</w:t>
            </w:r>
          </w:p>
        </w:tc>
        <w:tc>
          <w:tcPr>
            <w:tcW w:w="5245" w:type="dxa"/>
          </w:tcPr>
          <w:p w14:paraId="5F514E3D" w14:textId="77777777" w:rsidR="00E24D59" w:rsidRPr="00E24D59" w:rsidRDefault="00E24D59" w:rsidP="004158C1">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DC0042">
              <w:rPr>
                <w:b/>
                <w:lang w:val="fr-CH"/>
              </w:rPr>
              <w:t>51</w:t>
            </w:r>
            <w:r w:rsidRPr="00E24D59">
              <w:rPr>
                <w:b/>
                <w:lang w:val="fr-CH"/>
              </w:rPr>
              <w:t>-C</w:t>
            </w:r>
          </w:p>
        </w:tc>
      </w:tr>
      <w:tr w:rsidR="00E24D59" w:rsidRPr="00813E5E" w14:paraId="74F11B94" w14:textId="77777777" w:rsidTr="004158C1">
        <w:trPr>
          <w:cantSplit/>
        </w:trPr>
        <w:tc>
          <w:tcPr>
            <w:tcW w:w="3969" w:type="dxa"/>
            <w:vMerge/>
          </w:tcPr>
          <w:p w14:paraId="46B703D3" w14:textId="77777777" w:rsidR="00E24D59" w:rsidRPr="00E24D59" w:rsidRDefault="00E24D59" w:rsidP="004158C1">
            <w:pPr>
              <w:tabs>
                <w:tab w:val="left" w:pos="851"/>
              </w:tabs>
              <w:spacing w:line="240" w:lineRule="atLeast"/>
              <w:rPr>
                <w:b/>
                <w:lang w:val="fr-CH"/>
              </w:rPr>
            </w:pPr>
            <w:bookmarkStart w:id="3" w:name="ddate" w:colFirst="1" w:colLast="1"/>
            <w:bookmarkEnd w:id="0"/>
            <w:bookmarkEnd w:id="1"/>
          </w:p>
        </w:tc>
        <w:tc>
          <w:tcPr>
            <w:tcW w:w="5245" w:type="dxa"/>
          </w:tcPr>
          <w:p w14:paraId="761A95C8" w14:textId="77777777" w:rsidR="00E24D59" w:rsidRPr="00E85629" w:rsidRDefault="00DC0042" w:rsidP="004158C1">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4</w:t>
            </w:r>
            <w:r>
              <w:rPr>
                <w:rFonts w:hint="eastAsia"/>
                <w:b/>
                <w:lang w:eastAsia="zh-CN"/>
              </w:rPr>
              <w:t>月</w:t>
            </w:r>
            <w:r>
              <w:rPr>
                <w:rFonts w:hint="eastAsia"/>
                <w:b/>
                <w:lang w:eastAsia="zh-CN"/>
              </w:rPr>
              <w:t>17</w:t>
            </w:r>
            <w:r>
              <w:rPr>
                <w:rFonts w:hint="eastAsia"/>
                <w:b/>
                <w:lang w:eastAsia="zh-CN"/>
              </w:rPr>
              <w:t>日</w:t>
            </w:r>
          </w:p>
        </w:tc>
      </w:tr>
      <w:tr w:rsidR="00E24D59" w:rsidRPr="00813E5E" w14:paraId="43D58536" w14:textId="77777777" w:rsidTr="004158C1">
        <w:trPr>
          <w:cantSplit/>
          <w:trHeight w:val="23"/>
        </w:trPr>
        <w:tc>
          <w:tcPr>
            <w:tcW w:w="3969" w:type="dxa"/>
            <w:vMerge/>
          </w:tcPr>
          <w:p w14:paraId="60BBFBC4" w14:textId="77777777" w:rsidR="00E24D59" w:rsidRPr="00813E5E" w:rsidRDefault="00E24D59" w:rsidP="004158C1">
            <w:pPr>
              <w:tabs>
                <w:tab w:val="left" w:pos="851"/>
              </w:tabs>
              <w:spacing w:line="240" w:lineRule="atLeast"/>
              <w:rPr>
                <w:b/>
              </w:rPr>
            </w:pPr>
            <w:bookmarkStart w:id="4" w:name="dorlang" w:colFirst="1" w:colLast="1"/>
            <w:bookmarkEnd w:id="3"/>
          </w:p>
        </w:tc>
        <w:tc>
          <w:tcPr>
            <w:tcW w:w="5245" w:type="dxa"/>
          </w:tcPr>
          <w:p w14:paraId="26B689E9" w14:textId="77777777" w:rsidR="00E24D59" w:rsidRPr="00E85629" w:rsidRDefault="00E24D59" w:rsidP="004158C1">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DC0042">
              <w:rPr>
                <w:rFonts w:cstheme="minorHAnsi" w:hint="eastAsia"/>
                <w:b/>
                <w:bCs/>
                <w:lang w:val="ru-RU" w:eastAsia="zh-CN"/>
              </w:rPr>
              <w:t>英文</w:t>
            </w:r>
          </w:p>
        </w:tc>
      </w:tr>
      <w:tr w:rsidR="00E24D59" w:rsidRPr="00813E5E" w14:paraId="61F7EF76" w14:textId="77777777" w:rsidTr="004158C1">
        <w:trPr>
          <w:cantSplit/>
          <w:trHeight w:val="23"/>
        </w:trPr>
        <w:tc>
          <w:tcPr>
            <w:tcW w:w="3969" w:type="dxa"/>
          </w:tcPr>
          <w:p w14:paraId="71645316" w14:textId="77777777" w:rsidR="00E24D59" w:rsidRPr="00813E5E" w:rsidRDefault="00E24D59" w:rsidP="004158C1">
            <w:pPr>
              <w:tabs>
                <w:tab w:val="left" w:pos="851"/>
              </w:tabs>
              <w:spacing w:line="240" w:lineRule="atLeast"/>
              <w:rPr>
                <w:b/>
              </w:rPr>
            </w:pPr>
          </w:p>
        </w:tc>
        <w:tc>
          <w:tcPr>
            <w:tcW w:w="5245" w:type="dxa"/>
          </w:tcPr>
          <w:p w14:paraId="30D47777" w14:textId="77777777" w:rsidR="00E24D59" w:rsidRDefault="00E24D59" w:rsidP="004158C1">
            <w:pPr>
              <w:tabs>
                <w:tab w:val="left" w:pos="851"/>
              </w:tabs>
              <w:spacing w:before="0" w:line="240" w:lineRule="atLeast"/>
              <w:jc w:val="right"/>
              <w:rPr>
                <w:b/>
              </w:rPr>
            </w:pPr>
          </w:p>
        </w:tc>
      </w:tr>
      <w:tr w:rsidR="00E24D59" w:rsidRPr="00813E5E" w14:paraId="4A866722" w14:textId="77777777" w:rsidTr="004158C1">
        <w:trPr>
          <w:cantSplit/>
        </w:trPr>
        <w:tc>
          <w:tcPr>
            <w:tcW w:w="9214" w:type="dxa"/>
            <w:gridSpan w:val="2"/>
            <w:tcMar>
              <w:left w:w="0" w:type="dxa"/>
            </w:tcMar>
          </w:tcPr>
          <w:p w14:paraId="7FAA7CE5" w14:textId="77777777" w:rsidR="00E24D59" w:rsidRPr="00E24D59" w:rsidRDefault="006A2517" w:rsidP="004158C1">
            <w:pPr>
              <w:pStyle w:val="Source"/>
              <w:spacing w:before="840"/>
              <w:jc w:val="left"/>
              <w:rPr>
                <w:sz w:val="34"/>
                <w:szCs w:val="34"/>
                <w:lang w:eastAsia="zh-CN"/>
              </w:rPr>
            </w:pPr>
            <w:bookmarkStart w:id="5" w:name="dsource" w:colFirst="0" w:colLast="0"/>
            <w:bookmarkEnd w:id="4"/>
            <w:r w:rsidRPr="006A2517">
              <w:rPr>
                <w:rFonts w:cstheme="minorHAnsi"/>
                <w:sz w:val="34"/>
                <w:szCs w:val="34"/>
                <w:lang w:val="ru-RU" w:eastAsia="zh-CN"/>
              </w:rPr>
              <w:t>CWG-Internet</w:t>
            </w:r>
            <w:r>
              <w:rPr>
                <w:rFonts w:cstheme="minorHAnsi" w:hint="eastAsia"/>
                <w:sz w:val="34"/>
                <w:szCs w:val="34"/>
                <w:lang w:val="ru-RU" w:eastAsia="zh-CN"/>
              </w:rPr>
              <w:t>主席</w:t>
            </w:r>
          </w:p>
        </w:tc>
      </w:tr>
      <w:tr w:rsidR="00E24D59" w:rsidRPr="00813E5E" w14:paraId="336717D5" w14:textId="77777777" w:rsidTr="004158C1">
        <w:trPr>
          <w:cantSplit/>
        </w:trPr>
        <w:tc>
          <w:tcPr>
            <w:tcW w:w="9214" w:type="dxa"/>
            <w:gridSpan w:val="2"/>
            <w:tcMar>
              <w:left w:w="0" w:type="dxa"/>
            </w:tcMar>
          </w:tcPr>
          <w:p w14:paraId="212F6CA1" w14:textId="0A246179" w:rsidR="00E24D59" w:rsidRPr="00477D57" w:rsidRDefault="006A2517" w:rsidP="004158C1">
            <w:pPr>
              <w:pStyle w:val="Subtitle"/>
              <w:framePr w:hSpace="0" w:wrap="auto" w:hAnchor="text" w:xAlign="left" w:yAlign="inline"/>
              <w:rPr>
                <w:rFonts w:eastAsia="SimSun"/>
                <w:lang w:eastAsia="zh-CN"/>
              </w:rPr>
            </w:pPr>
            <w:bookmarkStart w:id="6" w:name="dtitle1" w:colFirst="0" w:colLast="0"/>
            <w:bookmarkEnd w:id="5"/>
            <w:r w:rsidRPr="004158C1">
              <w:rPr>
                <w:rFonts w:eastAsia="SimSun" w:hint="eastAsia"/>
                <w:spacing w:val="-6"/>
                <w:lang w:val="ru-RU" w:eastAsia="zh-CN"/>
              </w:rPr>
              <w:t>理事会国际互联网相关公共政策问题工作组（</w:t>
            </w:r>
            <w:r w:rsidR="00530156" w:rsidRPr="004158C1">
              <w:rPr>
                <w:spacing w:val="-6"/>
                <w:lang w:eastAsia="zh-CN"/>
              </w:rPr>
              <w:t>CWG-INTERNET</w:t>
            </w:r>
            <w:r w:rsidRPr="004158C1">
              <w:rPr>
                <w:rFonts w:eastAsia="SimSun" w:hint="eastAsia"/>
                <w:spacing w:val="-6"/>
                <w:lang w:val="ru-RU" w:eastAsia="zh-CN"/>
              </w:rPr>
              <w:t>）</w:t>
            </w:r>
            <w:r w:rsidRPr="006A2517">
              <w:rPr>
                <w:rFonts w:eastAsia="SimSun" w:hint="eastAsia"/>
                <w:lang w:val="ru-RU" w:eastAsia="zh-CN"/>
              </w:rPr>
              <w:t>主席的报告</w:t>
            </w:r>
          </w:p>
        </w:tc>
      </w:tr>
      <w:tr w:rsidR="00E24D59" w:rsidRPr="00813E5E" w14:paraId="40F1449A" w14:textId="77777777" w:rsidTr="004158C1">
        <w:trPr>
          <w:cantSplit/>
        </w:trPr>
        <w:tc>
          <w:tcPr>
            <w:tcW w:w="9214" w:type="dxa"/>
            <w:gridSpan w:val="2"/>
            <w:tcBorders>
              <w:top w:val="single" w:sz="4" w:space="0" w:color="auto"/>
              <w:bottom w:val="single" w:sz="4" w:space="0" w:color="auto"/>
            </w:tcBorders>
            <w:tcMar>
              <w:left w:w="0" w:type="dxa"/>
            </w:tcMar>
          </w:tcPr>
          <w:p w14:paraId="150A1AD3" w14:textId="77777777" w:rsidR="003F086E" w:rsidRPr="00477D57" w:rsidRDefault="003F086E" w:rsidP="004158C1">
            <w:pPr>
              <w:rPr>
                <w:b/>
                <w:bCs/>
                <w:lang w:eastAsia="zh-CN"/>
              </w:rPr>
            </w:pPr>
            <w:r w:rsidRPr="00477D57">
              <w:rPr>
                <w:b/>
                <w:bCs/>
                <w:lang w:eastAsia="zh-CN"/>
              </w:rPr>
              <w:t>目的</w:t>
            </w:r>
          </w:p>
          <w:p w14:paraId="3FB3DF54" w14:textId="2F7BC0CA" w:rsidR="0085685A" w:rsidRPr="00C055D8" w:rsidRDefault="00610944" w:rsidP="004158C1">
            <w:pPr>
              <w:ind w:firstLineChars="200" w:firstLine="480"/>
              <w:rPr>
                <w:lang w:val="zh-CN" w:eastAsia="zh-CN"/>
              </w:rPr>
            </w:pPr>
            <w:r w:rsidRPr="00610944">
              <w:rPr>
                <w:lang w:val="zh-CN" w:eastAsia="zh-CN"/>
              </w:rPr>
              <w:t>本报告总结了根据全权代表大会</w:t>
            </w:r>
            <w:r w:rsidR="0047039A" w:rsidRPr="00C055D8">
              <w:rPr>
                <w:rFonts w:hint="eastAsia"/>
                <w:lang w:val="zh-CN" w:eastAsia="zh-CN"/>
              </w:rPr>
              <w:t>（</w:t>
            </w:r>
            <w:r w:rsidR="0047039A" w:rsidRPr="00C055D8">
              <w:rPr>
                <w:rFonts w:hint="eastAsia"/>
                <w:lang w:val="zh-CN" w:eastAsia="zh-CN"/>
              </w:rPr>
              <w:t>PP</w:t>
            </w:r>
            <w:r w:rsidR="0047039A" w:rsidRPr="00C055D8">
              <w:rPr>
                <w:rFonts w:hint="eastAsia"/>
                <w:lang w:val="zh-CN" w:eastAsia="zh-CN"/>
              </w:rPr>
              <w:t>）</w:t>
            </w:r>
            <w:r w:rsidRPr="00610944">
              <w:rPr>
                <w:lang w:val="zh-CN" w:eastAsia="zh-CN"/>
              </w:rPr>
              <w:t>第</w:t>
            </w:r>
            <w:r w:rsidRPr="00C055D8">
              <w:rPr>
                <w:lang w:val="zh-CN" w:eastAsia="zh-CN"/>
              </w:rPr>
              <w:t>102</w:t>
            </w:r>
            <w:r w:rsidRPr="00610944">
              <w:rPr>
                <w:lang w:val="zh-CN" w:eastAsia="zh-CN"/>
              </w:rPr>
              <w:t>号决议</w:t>
            </w:r>
            <w:r w:rsidRPr="00C055D8">
              <w:rPr>
                <w:lang w:val="zh-CN" w:eastAsia="zh-CN"/>
              </w:rPr>
              <w:t>（</w:t>
            </w:r>
            <w:r w:rsidRPr="00C055D8">
              <w:rPr>
                <w:lang w:val="zh-CN" w:eastAsia="zh-CN"/>
              </w:rPr>
              <w:t>2022</w:t>
            </w:r>
            <w:r w:rsidRPr="00610944">
              <w:rPr>
                <w:lang w:val="zh-CN" w:eastAsia="zh-CN"/>
              </w:rPr>
              <w:t>年</w:t>
            </w:r>
            <w:r w:rsidRPr="00C055D8">
              <w:rPr>
                <w:lang w:val="zh-CN" w:eastAsia="zh-CN"/>
              </w:rPr>
              <w:t>，</w:t>
            </w:r>
            <w:r w:rsidRPr="00610944">
              <w:rPr>
                <w:lang w:val="zh-CN" w:eastAsia="zh-CN"/>
              </w:rPr>
              <w:t>布加勒斯特</w:t>
            </w:r>
            <w:r w:rsidRPr="00C055D8">
              <w:rPr>
                <w:lang w:val="zh-CN" w:eastAsia="zh-CN"/>
              </w:rPr>
              <w:t>，</w:t>
            </w:r>
            <w:r w:rsidR="004158C1">
              <w:rPr>
                <w:lang w:val="zh-CN" w:eastAsia="zh-CN"/>
              </w:rPr>
              <w:br/>
            </w:r>
            <w:r w:rsidRPr="00610944">
              <w:rPr>
                <w:lang w:val="zh-CN" w:eastAsia="zh-CN"/>
              </w:rPr>
              <w:t>修订版</w:t>
            </w:r>
            <w:r w:rsidRPr="00C055D8">
              <w:rPr>
                <w:lang w:val="zh-CN" w:eastAsia="zh-CN"/>
              </w:rPr>
              <w:t>）</w:t>
            </w:r>
            <w:r w:rsidRPr="00610944">
              <w:rPr>
                <w:lang w:val="zh-CN" w:eastAsia="zh-CN"/>
              </w:rPr>
              <w:t>和第</w:t>
            </w:r>
            <w:r w:rsidRPr="00C055D8">
              <w:rPr>
                <w:lang w:val="zh-CN" w:eastAsia="zh-CN"/>
              </w:rPr>
              <w:t>140</w:t>
            </w:r>
            <w:r w:rsidRPr="00610944">
              <w:rPr>
                <w:lang w:val="zh-CN" w:eastAsia="zh-CN"/>
              </w:rPr>
              <w:t>号决议</w:t>
            </w:r>
            <w:r w:rsidRPr="00C055D8">
              <w:rPr>
                <w:lang w:val="zh-CN" w:eastAsia="zh-CN"/>
              </w:rPr>
              <w:t>（</w:t>
            </w:r>
            <w:r w:rsidRPr="00C055D8">
              <w:rPr>
                <w:lang w:val="zh-CN" w:eastAsia="zh-CN"/>
              </w:rPr>
              <w:t>2022</w:t>
            </w:r>
            <w:r w:rsidRPr="00610944">
              <w:rPr>
                <w:lang w:val="zh-CN" w:eastAsia="zh-CN"/>
              </w:rPr>
              <w:t>年</w:t>
            </w:r>
            <w:r w:rsidRPr="00C055D8">
              <w:rPr>
                <w:lang w:val="zh-CN" w:eastAsia="zh-CN"/>
              </w:rPr>
              <w:t>，</w:t>
            </w:r>
            <w:r w:rsidRPr="00610944">
              <w:rPr>
                <w:lang w:val="zh-CN" w:eastAsia="zh-CN"/>
              </w:rPr>
              <w:t>布加勒斯特</w:t>
            </w:r>
            <w:r w:rsidRPr="00C055D8">
              <w:rPr>
                <w:lang w:val="zh-CN" w:eastAsia="zh-CN"/>
              </w:rPr>
              <w:t>，</w:t>
            </w:r>
            <w:r w:rsidRPr="00610944">
              <w:rPr>
                <w:lang w:val="zh-CN" w:eastAsia="zh-CN"/>
              </w:rPr>
              <w:t>修订版</w:t>
            </w:r>
            <w:r w:rsidRPr="00C055D8">
              <w:rPr>
                <w:lang w:val="zh-CN" w:eastAsia="zh-CN"/>
              </w:rPr>
              <w:t>）</w:t>
            </w:r>
            <w:r w:rsidRPr="00610944">
              <w:rPr>
                <w:lang w:val="zh-CN" w:eastAsia="zh-CN"/>
              </w:rPr>
              <w:t>以及理事会第</w:t>
            </w:r>
            <w:r w:rsidRPr="00C055D8">
              <w:rPr>
                <w:lang w:val="zh-CN" w:eastAsia="zh-CN"/>
              </w:rPr>
              <w:t>1305</w:t>
            </w:r>
            <w:r w:rsidRPr="00610944">
              <w:rPr>
                <w:lang w:val="zh-CN" w:eastAsia="zh-CN"/>
              </w:rPr>
              <w:t>号决议</w:t>
            </w:r>
            <w:r w:rsidRPr="00C055D8">
              <w:rPr>
                <w:lang w:val="zh-CN" w:eastAsia="zh-CN"/>
              </w:rPr>
              <w:t>（</w:t>
            </w:r>
            <w:r w:rsidR="003D7776" w:rsidRPr="00C055D8">
              <w:rPr>
                <w:lang w:val="zh-CN" w:eastAsia="zh-CN"/>
              </w:rPr>
              <w:t>201</w:t>
            </w:r>
            <w:r w:rsidRPr="00C055D8">
              <w:rPr>
                <w:lang w:val="zh-CN" w:eastAsia="zh-CN"/>
              </w:rPr>
              <w:t>9</w:t>
            </w:r>
            <w:r w:rsidR="003D7776" w:rsidRPr="00C055D8">
              <w:rPr>
                <w:rFonts w:hint="eastAsia"/>
                <w:lang w:val="zh-CN" w:eastAsia="zh-CN"/>
              </w:rPr>
              <w:t>年</w:t>
            </w:r>
            <w:r w:rsidRPr="00C055D8">
              <w:rPr>
                <w:lang w:val="zh-CN" w:eastAsia="zh-CN"/>
              </w:rPr>
              <w:t>，</w:t>
            </w:r>
            <w:r w:rsidR="003D7776" w:rsidRPr="00C055D8">
              <w:rPr>
                <w:rFonts w:hint="eastAsia"/>
                <w:lang w:val="zh-CN" w:eastAsia="zh-CN"/>
              </w:rPr>
              <w:t>修订版</w:t>
            </w:r>
            <w:r w:rsidRPr="00C055D8">
              <w:rPr>
                <w:lang w:val="zh-CN" w:eastAsia="zh-CN"/>
              </w:rPr>
              <w:t>）</w:t>
            </w:r>
            <w:r w:rsidRPr="00610944">
              <w:rPr>
                <w:lang w:val="zh-CN" w:eastAsia="zh-CN"/>
              </w:rPr>
              <w:t>和第</w:t>
            </w:r>
            <w:r w:rsidRPr="00C055D8">
              <w:rPr>
                <w:lang w:val="zh-CN" w:eastAsia="zh-CN"/>
              </w:rPr>
              <w:t>1336</w:t>
            </w:r>
            <w:r w:rsidRPr="00610944">
              <w:rPr>
                <w:lang w:val="zh-CN" w:eastAsia="zh-CN"/>
              </w:rPr>
              <w:t>号决议</w:t>
            </w:r>
            <w:r w:rsidRPr="00C055D8">
              <w:rPr>
                <w:lang w:val="zh-CN" w:eastAsia="zh-CN"/>
              </w:rPr>
              <w:t>（</w:t>
            </w:r>
            <w:r w:rsidR="00BA337F" w:rsidRPr="00C055D8">
              <w:rPr>
                <w:lang w:val="zh-CN" w:eastAsia="zh-CN"/>
              </w:rPr>
              <w:t>2019</w:t>
            </w:r>
            <w:r w:rsidR="00BA337F" w:rsidRPr="00C055D8">
              <w:rPr>
                <w:rFonts w:hint="eastAsia"/>
                <w:lang w:val="zh-CN" w:eastAsia="zh-CN"/>
              </w:rPr>
              <w:t>年，</w:t>
            </w:r>
            <w:r w:rsidRPr="00610944">
              <w:rPr>
                <w:lang w:val="zh-CN" w:eastAsia="zh-CN"/>
              </w:rPr>
              <w:t>修订</w:t>
            </w:r>
            <w:r w:rsidR="00BA337F">
              <w:rPr>
                <w:rFonts w:hint="eastAsia"/>
                <w:lang w:val="zh-CN" w:eastAsia="zh-CN"/>
              </w:rPr>
              <w:t>版</w:t>
            </w:r>
            <w:r w:rsidRPr="00C055D8">
              <w:rPr>
                <w:lang w:val="zh-CN" w:eastAsia="zh-CN"/>
              </w:rPr>
              <w:t>）</w:t>
            </w:r>
            <w:r w:rsidRPr="00610944">
              <w:rPr>
                <w:lang w:val="zh-CN" w:eastAsia="zh-CN"/>
              </w:rPr>
              <w:t>分别于</w:t>
            </w:r>
            <w:r w:rsidRPr="00C055D8">
              <w:rPr>
                <w:lang w:val="zh-CN" w:eastAsia="zh-CN"/>
              </w:rPr>
              <w:t>202</w:t>
            </w:r>
            <w:r w:rsidR="002A4668" w:rsidRPr="00C055D8">
              <w:rPr>
                <w:lang w:val="zh-CN" w:eastAsia="zh-CN"/>
              </w:rPr>
              <w:t>4</w:t>
            </w:r>
            <w:r w:rsidRPr="00610944">
              <w:rPr>
                <w:lang w:val="zh-CN" w:eastAsia="zh-CN"/>
              </w:rPr>
              <w:t>年</w:t>
            </w:r>
            <w:r w:rsidRPr="00C055D8">
              <w:rPr>
                <w:lang w:val="zh-CN" w:eastAsia="zh-CN"/>
              </w:rPr>
              <w:t>10</w:t>
            </w:r>
            <w:r w:rsidRPr="00610944">
              <w:rPr>
                <w:lang w:val="zh-CN" w:eastAsia="zh-CN"/>
              </w:rPr>
              <w:t>月</w:t>
            </w:r>
            <w:r w:rsidR="002A4668" w:rsidRPr="00C055D8">
              <w:rPr>
                <w:lang w:val="zh-CN" w:eastAsia="zh-CN"/>
              </w:rPr>
              <w:t>4</w:t>
            </w:r>
            <w:r w:rsidRPr="00610944">
              <w:rPr>
                <w:lang w:val="zh-CN" w:eastAsia="zh-CN"/>
              </w:rPr>
              <w:t>日和</w:t>
            </w:r>
            <w:r w:rsidR="004158C1">
              <w:rPr>
                <w:lang w:val="zh-CN" w:eastAsia="zh-CN"/>
              </w:rPr>
              <w:br/>
            </w:r>
            <w:r w:rsidRPr="00C055D8">
              <w:rPr>
                <w:lang w:val="zh-CN" w:eastAsia="zh-CN"/>
              </w:rPr>
              <w:t>202</w:t>
            </w:r>
            <w:r w:rsidR="002A4668" w:rsidRPr="00C055D8">
              <w:rPr>
                <w:lang w:val="zh-CN" w:eastAsia="zh-CN"/>
              </w:rPr>
              <w:t>5</w:t>
            </w:r>
            <w:r w:rsidRPr="00610944">
              <w:rPr>
                <w:lang w:val="zh-CN" w:eastAsia="zh-CN"/>
              </w:rPr>
              <w:t>年</w:t>
            </w:r>
            <w:r w:rsidR="002A4668" w:rsidRPr="00C055D8">
              <w:rPr>
                <w:lang w:val="zh-CN" w:eastAsia="zh-CN"/>
              </w:rPr>
              <w:t>2</w:t>
            </w:r>
            <w:r w:rsidRPr="00610944">
              <w:rPr>
                <w:lang w:val="zh-CN" w:eastAsia="zh-CN"/>
              </w:rPr>
              <w:t>月</w:t>
            </w:r>
            <w:r w:rsidR="002A4668" w:rsidRPr="00C055D8">
              <w:rPr>
                <w:lang w:val="zh-CN" w:eastAsia="zh-CN"/>
              </w:rPr>
              <w:t>19-20</w:t>
            </w:r>
            <w:r w:rsidRPr="00610944">
              <w:rPr>
                <w:lang w:val="zh-CN" w:eastAsia="zh-CN"/>
              </w:rPr>
              <w:t>日召开的</w:t>
            </w:r>
            <w:r w:rsidR="00B02C42" w:rsidRPr="00B02C42">
              <w:rPr>
                <w:rFonts w:hint="eastAsia"/>
                <w:lang w:val="zh-CN" w:eastAsia="zh-CN"/>
              </w:rPr>
              <w:t>理事会国际互联网相关公共政策问题工作组</w:t>
            </w:r>
            <w:r w:rsidR="00B02C42" w:rsidRPr="00C055D8">
              <w:rPr>
                <w:rFonts w:hint="eastAsia"/>
                <w:lang w:val="zh-CN" w:eastAsia="zh-CN"/>
              </w:rPr>
              <w:t>（</w:t>
            </w:r>
            <w:r w:rsidR="00B02C42" w:rsidRPr="00C055D8">
              <w:rPr>
                <w:rFonts w:hint="eastAsia"/>
                <w:lang w:val="zh-CN" w:eastAsia="zh-CN"/>
              </w:rPr>
              <w:t>CWG-Internet</w:t>
            </w:r>
            <w:r w:rsidR="00B02C42" w:rsidRPr="00C055D8">
              <w:rPr>
                <w:rFonts w:hint="eastAsia"/>
                <w:lang w:val="zh-CN" w:eastAsia="zh-CN"/>
              </w:rPr>
              <w:t>）</w:t>
            </w:r>
            <w:r w:rsidRPr="00610944">
              <w:rPr>
                <w:lang w:val="zh-CN" w:eastAsia="zh-CN"/>
              </w:rPr>
              <w:t>第</w:t>
            </w:r>
            <w:r w:rsidR="006A68B4">
              <w:rPr>
                <w:rFonts w:hint="eastAsia"/>
                <w:lang w:val="zh-CN" w:eastAsia="zh-CN"/>
              </w:rPr>
              <w:t>二十</w:t>
            </w:r>
            <w:r w:rsidRPr="00610944">
              <w:rPr>
                <w:lang w:val="zh-CN" w:eastAsia="zh-CN"/>
              </w:rPr>
              <w:t>次和第</w:t>
            </w:r>
            <w:r w:rsidR="006A68B4">
              <w:rPr>
                <w:rFonts w:hint="eastAsia"/>
                <w:lang w:val="zh-CN" w:eastAsia="zh-CN"/>
              </w:rPr>
              <w:t>二十一</w:t>
            </w:r>
            <w:r w:rsidRPr="00610944">
              <w:rPr>
                <w:lang w:val="zh-CN" w:eastAsia="zh-CN"/>
              </w:rPr>
              <w:t>次会议的主要</w:t>
            </w:r>
            <w:r>
              <w:rPr>
                <w:rFonts w:hint="eastAsia"/>
                <w:lang w:val="zh-CN" w:eastAsia="zh-CN"/>
              </w:rPr>
              <w:t>成</w:t>
            </w:r>
            <w:r w:rsidRPr="00610944">
              <w:rPr>
                <w:lang w:val="zh-CN" w:eastAsia="zh-CN"/>
              </w:rPr>
              <w:t>果</w:t>
            </w:r>
            <w:r>
              <w:rPr>
                <w:rFonts w:hint="eastAsia"/>
                <w:lang w:val="zh-CN" w:eastAsia="zh-CN"/>
              </w:rPr>
              <w:t>。</w:t>
            </w:r>
          </w:p>
          <w:p w14:paraId="728B68B6" w14:textId="77777777" w:rsidR="003F086E" w:rsidRPr="00477D57" w:rsidRDefault="003F086E" w:rsidP="004158C1">
            <w:pPr>
              <w:rPr>
                <w:b/>
                <w:bCs/>
                <w:lang w:eastAsia="zh-CN"/>
              </w:rPr>
            </w:pPr>
            <w:r w:rsidRPr="00477D57">
              <w:rPr>
                <w:b/>
                <w:bCs/>
                <w:lang w:eastAsia="zh-CN"/>
              </w:rPr>
              <w:t>理事会需采取的行动</w:t>
            </w:r>
          </w:p>
          <w:p w14:paraId="693D0E18" w14:textId="77777777" w:rsidR="0085685A" w:rsidRPr="00484009" w:rsidRDefault="004B3CFB" w:rsidP="004158C1">
            <w:pPr>
              <w:ind w:firstLineChars="200" w:firstLine="480"/>
              <w:rPr>
                <w:lang w:eastAsia="zh-CN"/>
              </w:rPr>
            </w:pPr>
            <w:r w:rsidRPr="00C055D8">
              <w:rPr>
                <w:lang w:val="zh-CN" w:eastAsia="zh-CN"/>
              </w:rPr>
              <w:t>请理事会将本报告</w:t>
            </w:r>
            <w:r w:rsidRPr="00C055D8">
              <w:rPr>
                <w:b/>
                <w:bCs/>
                <w:lang w:val="zh-CN" w:eastAsia="zh-CN"/>
              </w:rPr>
              <w:t>记录在案</w:t>
            </w:r>
            <w:r w:rsidRPr="004B3CFB">
              <w:rPr>
                <w:lang w:eastAsia="zh-CN"/>
              </w:rPr>
              <w:t>。</w:t>
            </w:r>
          </w:p>
          <w:p w14:paraId="665291D9" w14:textId="77777777" w:rsidR="003F086E" w:rsidRPr="00477D57" w:rsidRDefault="003F086E" w:rsidP="004158C1">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08B21797" w14:textId="77777777" w:rsidR="0085685A" w:rsidRPr="00F16BAB" w:rsidRDefault="00666DB1" w:rsidP="004158C1">
            <w:pPr>
              <w:ind w:firstLineChars="200" w:firstLine="480"/>
              <w:rPr>
                <w:lang w:eastAsia="zh-CN"/>
              </w:rPr>
            </w:pPr>
            <w:r w:rsidRPr="00C055D8">
              <w:rPr>
                <w:rFonts w:hint="eastAsia"/>
                <w:lang w:val="zh-CN" w:eastAsia="zh-CN"/>
              </w:rPr>
              <w:t>成员驱动</w:t>
            </w:r>
            <w:r>
              <w:rPr>
                <w:rFonts w:hint="eastAsia"/>
                <w:lang w:eastAsia="zh-CN"/>
              </w:rPr>
              <w:t>。</w:t>
            </w:r>
          </w:p>
          <w:p w14:paraId="333FA298" w14:textId="77777777" w:rsidR="003F086E" w:rsidRPr="00477D57" w:rsidRDefault="003F086E" w:rsidP="004158C1">
            <w:pPr>
              <w:rPr>
                <w:b/>
                <w:bCs/>
                <w:lang w:eastAsia="zh-CN"/>
              </w:rPr>
            </w:pPr>
            <w:r w:rsidRPr="00477D57">
              <w:rPr>
                <w:b/>
                <w:bCs/>
                <w:lang w:eastAsia="zh-CN"/>
              </w:rPr>
              <w:t>财务影响</w:t>
            </w:r>
          </w:p>
          <w:p w14:paraId="2B4D778A" w14:textId="34440FCE" w:rsidR="0085685A" w:rsidRPr="003173E0" w:rsidRDefault="000F4C35" w:rsidP="00213785">
            <w:pPr>
              <w:tabs>
                <w:tab w:val="center" w:pos="4793"/>
              </w:tabs>
              <w:ind w:firstLineChars="200" w:firstLine="480"/>
              <w:rPr>
                <w:lang w:eastAsia="zh-CN"/>
              </w:rPr>
            </w:pPr>
            <w:r w:rsidRPr="000F4C35">
              <w:rPr>
                <w:rFonts w:hint="eastAsia"/>
                <w:lang w:val="zh-CN" w:eastAsia="zh-CN"/>
              </w:rPr>
              <w:t>在</w:t>
            </w:r>
            <w:r w:rsidRPr="000F4C35">
              <w:rPr>
                <w:rFonts w:hint="eastAsia"/>
                <w:lang w:eastAsia="zh-CN"/>
              </w:rPr>
              <w:t>2024-2025</w:t>
            </w:r>
            <w:r w:rsidRPr="000F4C35">
              <w:rPr>
                <w:rFonts w:hint="eastAsia"/>
                <w:lang w:val="zh-CN" w:eastAsia="zh-CN"/>
              </w:rPr>
              <w:t>年划拨预算范围内</w:t>
            </w:r>
            <w:r>
              <w:rPr>
                <w:rFonts w:hint="eastAsia"/>
                <w:lang w:val="zh-CN" w:eastAsia="zh-CN"/>
              </w:rPr>
              <w:t>。</w:t>
            </w:r>
          </w:p>
          <w:p w14:paraId="55EFA633" w14:textId="77777777" w:rsidR="00E24D59" w:rsidRPr="00E24D59" w:rsidRDefault="00E24D59" w:rsidP="004158C1">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65C7CDCA" w14:textId="77777777" w:rsidR="00E24D59" w:rsidRPr="00477D57" w:rsidRDefault="00E24D59" w:rsidP="004158C1">
            <w:pPr>
              <w:rPr>
                <w:b/>
                <w:bCs/>
                <w:lang w:eastAsia="zh-CN"/>
              </w:rPr>
            </w:pPr>
            <w:r w:rsidRPr="00477D57">
              <w:rPr>
                <w:rFonts w:hint="eastAsia"/>
                <w:b/>
                <w:bCs/>
                <w:lang w:eastAsia="zh-CN"/>
              </w:rPr>
              <w:t>参考文件</w:t>
            </w:r>
          </w:p>
          <w:p w14:paraId="3D2EA15D" w14:textId="77777777" w:rsidR="00E24D59" w:rsidRPr="00BD4F02" w:rsidRDefault="00BD4F02" w:rsidP="004158C1">
            <w:pPr>
              <w:spacing w:after="160"/>
              <w:ind w:firstLineChars="200" w:firstLine="480"/>
              <w:rPr>
                <w:rFonts w:eastAsia="STKaiti" w:cs="Calibri"/>
                <w:szCs w:val="24"/>
                <w:lang w:eastAsia="zh-CN"/>
              </w:rPr>
            </w:pPr>
            <w:r w:rsidRPr="00C055D8">
              <w:rPr>
                <w:rFonts w:eastAsia="STKaiti" w:cs="Calibri"/>
                <w:lang w:eastAsia="zh-CN"/>
              </w:rPr>
              <w:t>全权代表大会</w:t>
            </w:r>
            <w:r w:rsidRPr="001A10E2">
              <w:rPr>
                <w:rStyle w:val="Hyperlink"/>
              </w:rPr>
              <w:fldChar w:fldCharType="begin"/>
            </w:r>
            <w:r w:rsidRPr="001A10E2">
              <w:rPr>
                <w:rStyle w:val="Hyperlink"/>
              </w:rPr>
              <w:instrText>HYPERLINK "https://www.itu.int/en/council/Documents/basic-texts-2023/RES-102-C.pdf"</w:instrText>
            </w:r>
            <w:r w:rsidRPr="001A10E2">
              <w:rPr>
                <w:rStyle w:val="Hyperlink"/>
              </w:rPr>
            </w:r>
            <w:r w:rsidRPr="001A10E2">
              <w:rPr>
                <w:rStyle w:val="Hyperlink"/>
              </w:rPr>
              <w:fldChar w:fldCharType="separate"/>
            </w:r>
            <w:r w:rsidRPr="001A10E2">
              <w:rPr>
                <w:rStyle w:val="Hyperlink"/>
              </w:rPr>
              <w:t>第</w:t>
            </w:r>
            <w:r w:rsidRPr="001A10E2">
              <w:rPr>
                <w:rStyle w:val="Hyperlink"/>
              </w:rPr>
              <w:t>102</w:t>
            </w:r>
            <w:r w:rsidRPr="001A10E2">
              <w:rPr>
                <w:rStyle w:val="Hyperlink"/>
              </w:rPr>
              <w:t>号决议（</w:t>
            </w:r>
            <w:r w:rsidRPr="001A10E2">
              <w:rPr>
                <w:rStyle w:val="Hyperlink"/>
              </w:rPr>
              <w:t>2022</w:t>
            </w:r>
            <w:r w:rsidRPr="001A10E2">
              <w:rPr>
                <w:rStyle w:val="Hyperlink"/>
              </w:rPr>
              <w:t>年，布加勒斯特，修订版）</w:t>
            </w:r>
            <w:r w:rsidRPr="001A10E2">
              <w:rPr>
                <w:rStyle w:val="Hyperlink"/>
              </w:rPr>
              <w:fldChar w:fldCharType="end"/>
            </w:r>
            <w:r w:rsidRPr="00BD4F02">
              <w:rPr>
                <w:rFonts w:eastAsia="STKaiti" w:cs="Calibri"/>
                <w:szCs w:val="24"/>
                <w:lang w:val="zh-CN" w:eastAsia="zh-CN"/>
              </w:rPr>
              <w:t>和</w:t>
            </w:r>
            <w:r w:rsidRPr="001A10E2">
              <w:rPr>
                <w:rStyle w:val="Hyperlink"/>
              </w:rPr>
              <w:fldChar w:fldCharType="begin"/>
            </w:r>
            <w:r w:rsidRPr="001A10E2">
              <w:rPr>
                <w:rStyle w:val="Hyperlink"/>
              </w:rPr>
              <w:instrText>HYPERLINK "https://www.itu.int/en/council/Documents/basic-texts-2023/RES-140-C.pdf"</w:instrText>
            </w:r>
            <w:r w:rsidRPr="001A10E2">
              <w:rPr>
                <w:rStyle w:val="Hyperlink"/>
              </w:rPr>
            </w:r>
            <w:r w:rsidRPr="001A10E2">
              <w:rPr>
                <w:rStyle w:val="Hyperlink"/>
              </w:rPr>
              <w:fldChar w:fldCharType="separate"/>
            </w:r>
            <w:r w:rsidRPr="001A10E2">
              <w:rPr>
                <w:rStyle w:val="Hyperlink"/>
              </w:rPr>
              <w:t>第</w:t>
            </w:r>
            <w:r w:rsidRPr="001A10E2">
              <w:rPr>
                <w:rStyle w:val="Hyperlink"/>
              </w:rPr>
              <w:t>140</w:t>
            </w:r>
            <w:r w:rsidRPr="001A10E2">
              <w:rPr>
                <w:rStyle w:val="Hyperlink"/>
              </w:rPr>
              <w:t>号决议（</w:t>
            </w:r>
            <w:r w:rsidRPr="001A10E2">
              <w:rPr>
                <w:rStyle w:val="Hyperlink"/>
              </w:rPr>
              <w:t>2022</w:t>
            </w:r>
            <w:r w:rsidRPr="001A10E2">
              <w:rPr>
                <w:rStyle w:val="Hyperlink"/>
              </w:rPr>
              <w:t>年，布加勒斯特，修订版）</w:t>
            </w:r>
            <w:r w:rsidRPr="001A10E2">
              <w:rPr>
                <w:rStyle w:val="Hyperlink"/>
              </w:rPr>
              <w:fldChar w:fldCharType="end"/>
            </w:r>
            <w:r w:rsidRPr="00BD4F02">
              <w:rPr>
                <w:rFonts w:eastAsia="STKaiti" w:cs="Calibri"/>
                <w:szCs w:val="24"/>
                <w:lang w:eastAsia="zh-CN"/>
              </w:rPr>
              <w:t>；</w:t>
            </w:r>
            <w:r w:rsidRPr="00BD4F02">
              <w:rPr>
                <w:rFonts w:eastAsia="STKaiti" w:cs="Calibri"/>
                <w:szCs w:val="24"/>
                <w:lang w:val="zh-CN" w:eastAsia="zh-CN"/>
              </w:rPr>
              <w:t>理事会</w:t>
            </w:r>
            <w:hyperlink r:id="rId8" w:history="1">
              <w:r w:rsidRPr="001A10E2">
                <w:rPr>
                  <w:rStyle w:val="Hyperlink"/>
                </w:rPr>
                <w:t>第</w:t>
              </w:r>
              <w:r w:rsidRPr="001A10E2">
                <w:rPr>
                  <w:rStyle w:val="Hyperlink"/>
                </w:rPr>
                <w:t>1305</w:t>
              </w:r>
              <w:r w:rsidRPr="001A10E2">
                <w:rPr>
                  <w:rStyle w:val="Hyperlink"/>
                </w:rPr>
                <w:t>号决议（</w:t>
              </w:r>
              <w:r w:rsidRPr="001A10E2">
                <w:rPr>
                  <w:rStyle w:val="Hyperlink"/>
                </w:rPr>
                <w:t>2019</w:t>
              </w:r>
              <w:r w:rsidRPr="001A10E2">
                <w:rPr>
                  <w:rStyle w:val="Hyperlink"/>
                </w:rPr>
                <w:t>年，修订版）</w:t>
              </w:r>
            </w:hyperlink>
            <w:r w:rsidRPr="00BD4F02">
              <w:rPr>
                <w:rFonts w:eastAsia="STKaiti" w:cs="Calibri"/>
                <w:szCs w:val="24"/>
                <w:lang w:val="zh-CN" w:eastAsia="zh-CN"/>
              </w:rPr>
              <w:t>和</w:t>
            </w:r>
            <w:hyperlink r:id="rId9" w:history="1">
              <w:r w:rsidRPr="001A10E2">
                <w:rPr>
                  <w:rStyle w:val="Hyperlink"/>
                </w:rPr>
                <w:t>第</w:t>
              </w:r>
              <w:r w:rsidRPr="001A10E2">
                <w:rPr>
                  <w:rStyle w:val="Hyperlink"/>
                </w:rPr>
                <w:t>1336</w:t>
              </w:r>
              <w:r w:rsidRPr="001A10E2">
                <w:rPr>
                  <w:rStyle w:val="Hyperlink"/>
                </w:rPr>
                <w:t>号决议（</w:t>
              </w:r>
              <w:r w:rsidRPr="001A10E2">
                <w:rPr>
                  <w:rStyle w:val="Hyperlink"/>
                </w:rPr>
                <w:t>2019</w:t>
              </w:r>
              <w:r w:rsidRPr="001A10E2">
                <w:rPr>
                  <w:rStyle w:val="Hyperlink"/>
                </w:rPr>
                <w:t>年，修订版）</w:t>
              </w:r>
            </w:hyperlink>
            <w:r w:rsidR="00C055D8">
              <w:rPr>
                <w:rFonts w:eastAsia="STKaiti" w:cs="Calibri" w:hint="eastAsia"/>
                <w:szCs w:val="24"/>
                <w:lang w:val="zh-CN" w:eastAsia="zh-CN"/>
              </w:rPr>
              <w:t>。</w:t>
            </w:r>
          </w:p>
        </w:tc>
      </w:tr>
      <w:bookmarkEnd w:id="2"/>
      <w:bookmarkEnd w:id="6"/>
    </w:tbl>
    <w:p w14:paraId="02E19D4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45BF574"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6E42740" w14:textId="77777777" w:rsidR="00150A41" w:rsidRPr="00BA707D" w:rsidRDefault="00150A41" w:rsidP="00150A41">
      <w:pPr>
        <w:pStyle w:val="Heading1"/>
        <w:rPr>
          <w:lang w:val="en-US" w:eastAsia="zh-CN"/>
        </w:rPr>
      </w:pPr>
      <w:r w:rsidRPr="00E71569">
        <w:rPr>
          <w:lang w:val="zh-CN" w:eastAsia="zh-CN"/>
        </w:rPr>
        <w:lastRenderedPageBreak/>
        <w:t>1</w:t>
      </w:r>
      <w:r w:rsidRPr="00E71569">
        <w:rPr>
          <w:lang w:val="zh-CN" w:eastAsia="zh-CN"/>
        </w:rPr>
        <w:tab/>
      </w:r>
      <w:r w:rsidR="00CA0E13" w:rsidRPr="00E71569">
        <w:rPr>
          <w:rFonts w:hint="eastAsia"/>
          <w:lang w:val="zh-CN" w:eastAsia="zh-CN"/>
        </w:rPr>
        <w:t>引言</w:t>
      </w:r>
    </w:p>
    <w:p w14:paraId="29C2B75D" w14:textId="6B3EC438" w:rsidR="00150A41" w:rsidRDefault="00150A41" w:rsidP="00A71CAB">
      <w:pPr>
        <w:rPr>
          <w:lang w:eastAsia="zh-CN"/>
        </w:rPr>
      </w:pPr>
      <w:r w:rsidRPr="00A37152">
        <w:rPr>
          <w:rFonts w:eastAsia="Calibri" w:cs="Calibri"/>
          <w:bCs/>
          <w:lang w:val="en-US" w:eastAsia="zh-CN"/>
        </w:rPr>
        <w:t>1.1</w:t>
      </w:r>
      <w:r w:rsidRPr="00A37152">
        <w:rPr>
          <w:lang w:eastAsia="zh-CN"/>
        </w:rPr>
        <w:tab/>
      </w:r>
      <w:hyperlink r:id="rId10" w:anchor="/zh" w:history="1">
        <w:r w:rsidR="00CB6325" w:rsidRPr="001A10E2">
          <w:rPr>
            <w:rStyle w:val="Hyperlink"/>
            <w:rFonts w:hint="eastAsia"/>
          </w:rPr>
          <w:t>国际电信联盟（</w:t>
        </w:r>
        <w:r w:rsidR="00EF63DD" w:rsidRPr="001A10E2">
          <w:rPr>
            <w:rStyle w:val="Hyperlink"/>
            <w:rFonts w:hint="eastAsia"/>
          </w:rPr>
          <w:t>国际电联</w:t>
        </w:r>
        <w:r w:rsidR="00CB6325" w:rsidRPr="001A10E2">
          <w:rPr>
            <w:rStyle w:val="Hyperlink"/>
            <w:rFonts w:hint="eastAsia"/>
          </w:rPr>
          <w:t>）</w:t>
        </w:r>
        <w:r w:rsidR="00EF63DD" w:rsidRPr="001A10E2">
          <w:rPr>
            <w:rStyle w:val="Hyperlink"/>
            <w:rFonts w:hint="eastAsia"/>
          </w:rPr>
          <w:t>理事会国际互联网相关公共政策问题工作组（</w:t>
        </w:r>
        <w:r w:rsidR="00EF63DD" w:rsidRPr="001A10E2">
          <w:rPr>
            <w:rStyle w:val="Hyperlink"/>
            <w:rFonts w:hint="eastAsia"/>
          </w:rPr>
          <w:t>CWG-Internet</w:t>
        </w:r>
        <w:r w:rsidR="00EF63DD" w:rsidRPr="001A10E2">
          <w:rPr>
            <w:rStyle w:val="Hyperlink"/>
            <w:rFonts w:hint="eastAsia"/>
          </w:rPr>
          <w:t>）</w:t>
        </w:r>
      </w:hyperlink>
      <w:r w:rsidR="00EF63DD" w:rsidRPr="00EF63DD">
        <w:rPr>
          <w:rFonts w:hint="eastAsia"/>
          <w:lang w:val="en-US" w:eastAsia="zh-CN"/>
        </w:rPr>
        <w:t>是依据国际电联全权代表大会第</w:t>
      </w:r>
      <w:r w:rsidR="00EF63DD" w:rsidRPr="00EF63DD">
        <w:rPr>
          <w:rFonts w:hint="eastAsia"/>
          <w:lang w:val="en-US" w:eastAsia="zh-CN"/>
        </w:rPr>
        <w:t>102</w:t>
      </w:r>
      <w:r w:rsidR="00EF63DD" w:rsidRPr="00EF63DD">
        <w:rPr>
          <w:rFonts w:hint="eastAsia"/>
          <w:lang w:val="en-US" w:eastAsia="zh-CN"/>
        </w:rPr>
        <w:t>和</w:t>
      </w:r>
      <w:r w:rsidR="00EF63DD" w:rsidRPr="00EF63DD">
        <w:rPr>
          <w:rFonts w:hint="eastAsia"/>
          <w:lang w:val="en-US" w:eastAsia="zh-CN"/>
        </w:rPr>
        <w:t>140</w:t>
      </w:r>
      <w:r w:rsidR="00EF63DD" w:rsidRPr="00EF63DD">
        <w:rPr>
          <w:rFonts w:hint="eastAsia"/>
          <w:lang w:val="en-US" w:eastAsia="zh-CN"/>
        </w:rPr>
        <w:t>号决议（</w:t>
      </w:r>
      <w:r w:rsidR="00EF63DD" w:rsidRPr="00EF63DD">
        <w:rPr>
          <w:rFonts w:hint="eastAsia"/>
          <w:lang w:val="en-US" w:eastAsia="zh-CN"/>
        </w:rPr>
        <w:t>2022</w:t>
      </w:r>
      <w:r w:rsidR="00EF63DD" w:rsidRPr="00EF63DD">
        <w:rPr>
          <w:rFonts w:hint="eastAsia"/>
          <w:lang w:val="en-US" w:eastAsia="zh-CN"/>
        </w:rPr>
        <w:t>年，布加勒斯特，修订版），</w:t>
      </w:r>
      <w:r w:rsidR="009D569B">
        <w:rPr>
          <w:rFonts w:hint="eastAsia"/>
          <w:lang w:val="en-US" w:eastAsia="zh-CN"/>
        </w:rPr>
        <w:t>通过</w:t>
      </w:r>
      <w:r w:rsidR="00EF63DD" w:rsidRPr="00EF63DD">
        <w:rPr>
          <w:rFonts w:hint="eastAsia"/>
          <w:lang w:val="en-US" w:eastAsia="zh-CN"/>
        </w:rPr>
        <w:t>理事会第</w:t>
      </w:r>
      <w:r w:rsidR="00EF63DD" w:rsidRPr="00EF63DD">
        <w:rPr>
          <w:rFonts w:hint="eastAsia"/>
          <w:lang w:val="en-US" w:eastAsia="zh-CN"/>
        </w:rPr>
        <w:t>1336</w:t>
      </w:r>
      <w:r w:rsidR="00EF63DD" w:rsidRPr="00A71CAB">
        <w:rPr>
          <w:rFonts w:hint="eastAsia"/>
          <w:lang w:val="zh-CN" w:eastAsia="zh-CN"/>
        </w:rPr>
        <w:t>号决议</w:t>
      </w:r>
      <w:r w:rsidR="00EF63DD" w:rsidRPr="00EF63DD">
        <w:rPr>
          <w:rFonts w:hint="eastAsia"/>
          <w:lang w:val="en-US" w:eastAsia="zh-CN"/>
        </w:rPr>
        <w:t>（</w:t>
      </w:r>
      <w:r w:rsidR="00EF63DD" w:rsidRPr="00EF63DD">
        <w:rPr>
          <w:rFonts w:hint="eastAsia"/>
          <w:lang w:val="en-US" w:eastAsia="zh-CN"/>
        </w:rPr>
        <w:t>2019</w:t>
      </w:r>
      <w:r w:rsidR="00EF63DD" w:rsidRPr="00EF63DD">
        <w:rPr>
          <w:rFonts w:hint="eastAsia"/>
          <w:lang w:val="en-US" w:eastAsia="zh-CN"/>
        </w:rPr>
        <w:t>年</w:t>
      </w:r>
      <w:r w:rsidR="00BA707D">
        <w:rPr>
          <w:rFonts w:hint="eastAsia"/>
          <w:lang w:val="en-US" w:eastAsia="zh-CN"/>
        </w:rPr>
        <w:t>，</w:t>
      </w:r>
      <w:r w:rsidR="00EF63DD" w:rsidRPr="00EF63DD">
        <w:rPr>
          <w:rFonts w:hint="eastAsia"/>
          <w:lang w:val="en-US" w:eastAsia="zh-CN"/>
        </w:rPr>
        <w:t>修订版）作为一个独立工作组设立的。</w:t>
      </w:r>
      <w:r w:rsidR="00EF63DD" w:rsidRPr="00EF63DD">
        <w:rPr>
          <w:rFonts w:hint="eastAsia"/>
          <w:lang w:val="en-US" w:eastAsia="zh-CN"/>
        </w:rPr>
        <w:t>CWG-Internet</w:t>
      </w:r>
      <w:r w:rsidR="00EF63DD" w:rsidRPr="00EF63DD">
        <w:rPr>
          <w:rFonts w:hint="eastAsia"/>
          <w:lang w:val="en-US" w:eastAsia="zh-CN"/>
        </w:rPr>
        <w:t>工作组仅对成员国开放，与所有利益攸关方进行公开磋商。</w:t>
      </w:r>
    </w:p>
    <w:p w14:paraId="2E014107" w14:textId="77777777" w:rsidR="00150A41" w:rsidRDefault="00150A41" w:rsidP="00A71CAB">
      <w:pPr>
        <w:rPr>
          <w:lang w:eastAsia="zh-CN"/>
        </w:rPr>
      </w:pPr>
      <w:r w:rsidRPr="00A37152">
        <w:rPr>
          <w:rFonts w:eastAsia="Calibri" w:cs="Calibri"/>
          <w:bCs/>
          <w:lang w:val="en-US" w:eastAsia="zh-CN"/>
        </w:rPr>
        <w:t>1.2</w:t>
      </w:r>
      <w:r w:rsidRPr="00A37152">
        <w:rPr>
          <w:lang w:eastAsia="zh-CN"/>
        </w:rPr>
        <w:tab/>
      </w:r>
      <w:r w:rsidR="00EF63DD" w:rsidRPr="00EF63DD">
        <w:rPr>
          <w:rFonts w:hint="eastAsia"/>
          <w:lang w:eastAsia="zh-CN"/>
        </w:rPr>
        <w:t>CWG-Internet</w:t>
      </w:r>
      <w:r w:rsidR="00EF63DD" w:rsidRPr="00A71CAB">
        <w:rPr>
          <w:rFonts w:hint="eastAsia"/>
          <w:lang w:val="zh-CN" w:eastAsia="zh-CN"/>
        </w:rPr>
        <w:t>的职责范围见理事会第</w:t>
      </w:r>
      <w:r w:rsidR="00EF63DD" w:rsidRPr="00EF63DD">
        <w:rPr>
          <w:rFonts w:hint="eastAsia"/>
          <w:lang w:eastAsia="zh-CN"/>
        </w:rPr>
        <w:t>1336</w:t>
      </w:r>
      <w:r w:rsidR="00EF63DD" w:rsidRPr="00EF63DD">
        <w:rPr>
          <w:rFonts w:hint="eastAsia"/>
          <w:lang w:eastAsia="zh-CN"/>
        </w:rPr>
        <w:t>号决议（</w:t>
      </w:r>
      <w:r w:rsidR="00EF63DD" w:rsidRPr="00EF63DD">
        <w:rPr>
          <w:rFonts w:hint="eastAsia"/>
          <w:lang w:eastAsia="zh-CN"/>
        </w:rPr>
        <w:t>2019</w:t>
      </w:r>
      <w:r w:rsidR="00EF63DD" w:rsidRPr="00EF63DD">
        <w:rPr>
          <w:rFonts w:hint="eastAsia"/>
          <w:lang w:eastAsia="zh-CN"/>
        </w:rPr>
        <w:t>年</w:t>
      </w:r>
      <w:r w:rsidR="00BA707D">
        <w:rPr>
          <w:rFonts w:hint="eastAsia"/>
          <w:lang w:eastAsia="zh-CN"/>
        </w:rPr>
        <w:t>，</w:t>
      </w:r>
      <w:r w:rsidR="00EF63DD" w:rsidRPr="00EF63DD">
        <w:rPr>
          <w:rFonts w:hint="eastAsia"/>
          <w:lang w:eastAsia="zh-CN"/>
        </w:rPr>
        <w:t>修订版）。</w:t>
      </w:r>
    </w:p>
    <w:p w14:paraId="01288602" w14:textId="77777777" w:rsidR="00150A41" w:rsidRDefault="00150A41" w:rsidP="00A71CAB">
      <w:pPr>
        <w:rPr>
          <w:lang w:eastAsia="zh-CN"/>
        </w:rPr>
      </w:pPr>
      <w:r w:rsidRPr="00A37152">
        <w:rPr>
          <w:rFonts w:eastAsia="Calibri" w:cs="Calibri"/>
          <w:bCs/>
          <w:lang w:val="en-US" w:eastAsia="zh-CN"/>
        </w:rPr>
        <w:t>1.3</w:t>
      </w:r>
      <w:r w:rsidRPr="00A37152">
        <w:rPr>
          <w:lang w:eastAsia="zh-CN"/>
        </w:rPr>
        <w:tab/>
      </w:r>
      <w:r w:rsidR="00EF63DD" w:rsidRPr="00EF63DD">
        <w:rPr>
          <w:rFonts w:hint="eastAsia"/>
          <w:lang w:eastAsia="zh-CN"/>
        </w:rPr>
        <w:t>全权代表大会第</w:t>
      </w:r>
      <w:r w:rsidR="00EF63DD" w:rsidRPr="00A71CAB">
        <w:rPr>
          <w:rFonts w:hint="eastAsia"/>
          <w:lang w:val="zh-CN" w:eastAsia="zh-CN"/>
        </w:rPr>
        <w:t>102</w:t>
      </w:r>
      <w:r w:rsidR="00EF63DD" w:rsidRPr="00EF63DD">
        <w:rPr>
          <w:rFonts w:hint="eastAsia"/>
          <w:lang w:eastAsia="zh-CN"/>
        </w:rPr>
        <w:t>号决议（</w:t>
      </w:r>
      <w:r w:rsidR="00EF63DD" w:rsidRPr="00EF63DD">
        <w:rPr>
          <w:rFonts w:hint="eastAsia"/>
          <w:lang w:eastAsia="zh-CN"/>
        </w:rPr>
        <w:t>2022</w:t>
      </w:r>
      <w:r w:rsidR="00EF63DD" w:rsidRPr="00EF63DD">
        <w:rPr>
          <w:rFonts w:hint="eastAsia"/>
          <w:lang w:eastAsia="zh-CN"/>
        </w:rPr>
        <w:t>年，布加勒斯特，修订版）责成理事会</w:t>
      </w:r>
      <w:r w:rsidR="0058799B">
        <w:rPr>
          <w:rFonts w:hint="eastAsia"/>
          <w:lang w:eastAsia="zh-CN"/>
        </w:rPr>
        <w:t>：</w:t>
      </w:r>
    </w:p>
    <w:p w14:paraId="0AA9B3C0" w14:textId="77777777" w:rsidR="00150A41" w:rsidRDefault="00150A41" w:rsidP="00472DBB">
      <w:pPr>
        <w:pStyle w:val="enumlev1"/>
        <w:rPr>
          <w:lang w:eastAsia="zh-CN"/>
        </w:rPr>
      </w:pPr>
      <w:r>
        <w:rPr>
          <w:lang w:eastAsia="zh-CN"/>
        </w:rPr>
        <w:t>–</w:t>
      </w:r>
      <w:r>
        <w:rPr>
          <w:lang w:eastAsia="zh-CN"/>
        </w:rPr>
        <w:tab/>
      </w:r>
      <w:r w:rsidR="00C0218D" w:rsidRPr="00C0218D">
        <w:rPr>
          <w:rFonts w:hint="eastAsia"/>
          <w:lang w:eastAsia="zh-CN"/>
        </w:rPr>
        <w:t>指导仅限成员国参加的</w:t>
      </w:r>
      <w:r w:rsidR="00C0218D" w:rsidRPr="00C0218D">
        <w:rPr>
          <w:rFonts w:hint="eastAsia"/>
          <w:lang w:eastAsia="zh-CN"/>
        </w:rPr>
        <w:t>CWG-Internet</w:t>
      </w:r>
      <w:r w:rsidR="00C0218D" w:rsidRPr="00C0218D">
        <w:rPr>
          <w:rFonts w:hint="eastAsia"/>
          <w:lang w:eastAsia="zh-CN"/>
        </w:rPr>
        <w:t>的工作，与所有利益攸关方进行公开磋商，并按照决议所述导则开展这种公开磋商；</w:t>
      </w:r>
    </w:p>
    <w:p w14:paraId="2B6188FF" w14:textId="77777777" w:rsidR="00150A41" w:rsidRDefault="00150A41" w:rsidP="00472DBB">
      <w:pPr>
        <w:pStyle w:val="enumlev1"/>
        <w:rPr>
          <w:lang w:eastAsia="zh-CN"/>
        </w:rPr>
      </w:pPr>
      <w:r>
        <w:rPr>
          <w:lang w:eastAsia="zh-CN"/>
        </w:rPr>
        <w:t>–</w:t>
      </w:r>
      <w:r>
        <w:rPr>
          <w:lang w:eastAsia="zh-CN"/>
        </w:rPr>
        <w:tab/>
      </w:r>
      <w:r w:rsidR="00C0218D" w:rsidRPr="00C0218D">
        <w:rPr>
          <w:lang w:eastAsia="zh-CN"/>
        </w:rPr>
        <w:t>考虑到秘书长和各局主任提交的年度报告，采取适当措施，在国际电联职权范围内，为落实本决议和与本决议相关的国际举措做出积极贡献；</w:t>
      </w:r>
    </w:p>
    <w:p w14:paraId="57D15F1D" w14:textId="77777777" w:rsidR="00150A41" w:rsidRDefault="00150A41" w:rsidP="00472DBB">
      <w:pPr>
        <w:pStyle w:val="enumlev1"/>
        <w:rPr>
          <w:lang w:eastAsia="zh-CN"/>
        </w:rPr>
      </w:pPr>
      <w:r>
        <w:rPr>
          <w:lang w:eastAsia="zh-CN"/>
        </w:rPr>
        <w:t>–</w:t>
      </w:r>
      <w:r>
        <w:rPr>
          <w:lang w:eastAsia="zh-CN"/>
        </w:rPr>
        <w:tab/>
      </w:r>
      <w:r w:rsidR="00C0218D" w:rsidRPr="00C0218D">
        <w:rPr>
          <w:lang w:eastAsia="zh-CN"/>
        </w:rPr>
        <w:t>审议</w:t>
      </w:r>
      <w:r w:rsidR="00C0218D" w:rsidRPr="00C0218D">
        <w:rPr>
          <w:lang w:eastAsia="zh-CN"/>
        </w:rPr>
        <w:t>CWG-Internet</w:t>
      </w:r>
      <w:r w:rsidR="00C0218D" w:rsidRPr="00C0218D">
        <w:rPr>
          <w:lang w:eastAsia="zh-CN"/>
        </w:rPr>
        <w:t>的报告，并采取必要行动；</w:t>
      </w:r>
    </w:p>
    <w:p w14:paraId="163AADC6" w14:textId="77777777" w:rsidR="00150A41" w:rsidRPr="0028456C" w:rsidRDefault="00150A41" w:rsidP="00472DBB">
      <w:pPr>
        <w:pStyle w:val="enumlev1"/>
        <w:rPr>
          <w:lang w:eastAsia="zh-CN"/>
        </w:rPr>
      </w:pPr>
      <w:r>
        <w:rPr>
          <w:lang w:eastAsia="zh-CN"/>
        </w:rPr>
        <w:t>–</w:t>
      </w:r>
      <w:r>
        <w:rPr>
          <w:lang w:eastAsia="zh-CN"/>
        </w:rPr>
        <w:tab/>
      </w:r>
      <w:r w:rsidR="00C0218D" w:rsidRPr="00C0218D">
        <w:rPr>
          <w:lang w:eastAsia="zh-CN"/>
        </w:rPr>
        <w:t>向</w:t>
      </w:r>
      <w:r w:rsidR="00C0218D" w:rsidRPr="00C0218D">
        <w:rPr>
          <w:lang w:eastAsia="zh-CN"/>
        </w:rPr>
        <w:t>2026</w:t>
      </w:r>
      <w:r w:rsidR="00C0218D" w:rsidRPr="00C0218D">
        <w:rPr>
          <w:lang w:eastAsia="zh-CN"/>
        </w:rPr>
        <w:t>年全权代表大会报告为落实本决议所开展的活动和取得的成果，包括需酌情进一步审议的建议</w:t>
      </w:r>
      <w:r w:rsidR="00C0218D" w:rsidRPr="00C0218D">
        <w:rPr>
          <w:rFonts w:hint="eastAsia"/>
          <w:lang w:eastAsia="zh-CN"/>
        </w:rPr>
        <w:t>。</w:t>
      </w:r>
    </w:p>
    <w:p w14:paraId="642932A2" w14:textId="77777777" w:rsidR="00150A41" w:rsidRPr="00AC6B68" w:rsidRDefault="00150A41" w:rsidP="00150A41">
      <w:pPr>
        <w:pStyle w:val="Heading1"/>
        <w:rPr>
          <w:lang w:eastAsia="zh-CN"/>
        </w:rPr>
      </w:pPr>
      <w:r w:rsidRPr="00AC6B68">
        <w:rPr>
          <w:lang w:eastAsia="zh-CN"/>
        </w:rPr>
        <w:t>2</w:t>
      </w:r>
      <w:r w:rsidRPr="00AC6B68">
        <w:rPr>
          <w:lang w:eastAsia="zh-CN"/>
        </w:rPr>
        <w:tab/>
        <w:t>CWG-Internet</w:t>
      </w:r>
      <w:r w:rsidR="00AC4EFE" w:rsidRPr="00E71569">
        <w:rPr>
          <w:rFonts w:hint="eastAsia"/>
          <w:lang w:val="zh-CN" w:eastAsia="zh-CN"/>
        </w:rPr>
        <w:t>的活动</w:t>
      </w:r>
    </w:p>
    <w:p w14:paraId="1B88696A" w14:textId="77777777" w:rsidR="00150A41" w:rsidRPr="00902694" w:rsidRDefault="00150A41" w:rsidP="00A71CAB">
      <w:pPr>
        <w:rPr>
          <w:bCs/>
          <w:lang w:eastAsia="zh-CN"/>
        </w:rPr>
      </w:pPr>
      <w:r>
        <w:rPr>
          <w:bCs/>
          <w:lang w:eastAsia="zh-CN"/>
        </w:rPr>
        <w:t>2.1</w:t>
      </w:r>
      <w:r>
        <w:rPr>
          <w:bCs/>
          <w:lang w:eastAsia="zh-CN"/>
        </w:rPr>
        <w:tab/>
      </w:r>
      <w:r w:rsidRPr="00902694">
        <w:rPr>
          <w:bCs/>
          <w:lang w:eastAsia="zh-CN"/>
        </w:rPr>
        <w:t>CWG-Internet</w:t>
      </w:r>
      <w:r w:rsidR="00370C49" w:rsidRPr="00370C49">
        <w:rPr>
          <w:bCs/>
          <w:lang w:val="zh-CN" w:eastAsia="zh-CN"/>
        </w:rPr>
        <w:t>分别于</w:t>
      </w:r>
      <w:r w:rsidR="00370C49" w:rsidRPr="00370C49">
        <w:rPr>
          <w:bCs/>
          <w:lang w:val="en-US" w:eastAsia="zh-CN"/>
        </w:rPr>
        <w:t>202</w:t>
      </w:r>
      <w:r w:rsidR="00370C49">
        <w:rPr>
          <w:bCs/>
          <w:lang w:val="en-US" w:eastAsia="zh-CN"/>
        </w:rPr>
        <w:t>4</w:t>
      </w:r>
      <w:r w:rsidR="00370C49" w:rsidRPr="00370C49">
        <w:rPr>
          <w:bCs/>
          <w:lang w:val="zh-CN" w:eastAsia="zh-CN"/>
        </w:rPr>
        <w:t>年</w:t>
      </w:r>
      <w:r w:rsidR="00370C49" w:rsidRPr="00370C49">
        <w:rPr>
          <w:bCs/>
          <w:lang w:val="en-US" w:eastAsia="zh-CN"/>
        </w:rPr>
        <w:t>10</w:t>
      </w:r>
      <w:r w:rsidR="00370C49" w:rsidRPr="00370C49">
        <w:rPr>
          <w:bCs/>
          <w:lang w:val="zh-CN" w:eastAsia="zh-CN"/>
        </w:rPr>
        <w:t>月</w:t>
      </w:r>
      <w:r w:rsidR="00370C49">
        <w:rPr>
          <w:bCs/>
          <w:lang w:val="en-US" w:eastAsia="zh-CN"/>
        </w:rPr>
        <w:t>4</w:t>
      </w:r>
      <w:r w:rsidR="00370C49" w:rsidRPr="00370C49">
        <w:rPr>
          <w:bCs/>
          <w:lang w:val="zh-CN" w:eastAsia="zh-CN"/>
        </w:rPr>
        <w:t>日和</w:t>
      </w:r>
      <w:r w:rsidR="00370C49" w:rsidRPr="00370C49">
        <w:rPr>
          <w:bCs/>
          <w:lang w:val="en-US" w:eastAsia="zh-CN"/>
        </w:rPr>
        <w:t>202</w:t>
      </w:r>
      <w:r w:rsidR="00370C49">
        <w:rPr>
          <w:bCs/>
          <w:lang w:val="en-US" w:eastAsia="zh-CN"/>
        </w:rPr>
        <w:t>5</w:t>
      </w:r>
      <w:r w:rsidR="00370C49" w:rsidRPr="00370C49">
        <w:rPr>
          <w:bCs/>
          <w:lang w:val="zh-CN" w:eastAsia="zh-CN"/>
        </w:rPr>
        <w:t>年</w:t>
      </w:r>
      <w:r w:rsidR="00370C49">
        <w:rPr>
          <w:bCs/>
          <w:lang w:val="en-US" w:eastAsia="zh-CN"/>
        </w:rPr>
        <w:t>2</w:t>
      </w:r>
      <w:r w:rsidR="00370C49" w:rsidRPr="00370C49">
        <w:rPr>
          <w:bCs/>
          <w:lang w:val="zh-CN" w:eastAsia="zh-CN"/>
        </w:rPr>
        <w:t>月</w:t>
      </w:r>
      <w:r w:rsidR="00370C49" w:rsidRPr="00370C49">
        <w:rPr>
          <w:bCs/>
          <w:lang w:val="en-US" w:eastAsia="zh-CN"/>
        </w:rPr>
        <w:t>1</w:t>
      </w:r>
      <w:r w:rsidR="00370C49">
        <w:rPr>
          <w:bCs/>
          <w:lang w:val="en-US" w:eastAsia="zh-CN"/>
        </w:rPr>
        <w:t>9-20</w:t>
      </w:r>
      <w:r w:rsidR="00370C49" w:rsidRPr="00A71CAB">
        <w:rPr>
          <w:lang w:val="zh-CN" w:eastAsia="zh-CN"/>
        </w:rPr>
        <w:t>日在瑞士日内瓦国际电联总部举行了第</w:t>
      </w:r>
      <w:r w:rsidR="00756863" w:rsidRPr="00A71CAB">
        <w:rPr>
          <w:rFonts w:hint="eastAsia"/>
          <w:lang w:val="zh-CN" w:eastAsia="zh-CN"/>
        </w:rPr>
        <w:t>二十</w:t>
      </w:r>
      <w:r w:rsidR="00370C49" w:rsidRPr="00A71CAB">
        <w:rPr>
          <w:lang w:val="zh-CN" w:eastAsia="zh-CN"/>
        </w:rPr>
        <w:t>次和第</w:t>
      </w:r>
      <w:r w:rsidR="00DD520D" w:rsidRPr="00A71CAB">
        <w:rPr>
          <w:rFonts w:hint="eastAsia"/>
          <w:lang w:val="zh-CN" w:eastAsia="zh-CN"/>
        </w:rPr>
        <w:t>二十一</w:t>
      </w:r>
      <w:r w:rsidR="00370C49" w:rsidRPr="00A71CAB">
        <w:rPr>
          <w:lang w:val="zh-CN" w:eastAsia="zh-CN"/>
        </w:rPr>
        <w:t>次会议</w:t>
      </w:r>
      <w:r w:rsidR="00DD520D">
        <w:rPr>
          <w:rFonts w:hint="eastAsia"/>
          <w:lang w:eastAsia="zh-CN"/>
        </w:rPr>
        <w:t>。</w:t>
      </w:r>
    </w:p>
    <w:p w14:paraId="5B40C4F3" w14:textId="77777777" w:rsidR="00150A41" w:rsidRDefault="00150A41" w:rsidP="00A71CAB">
      <w:pPr>
        <w:rPr>
          <w:lang w:eastAsia="zh-CN"/>
        </w:rPr>
      </w:pPr>
      <w:r w:rsidRPr="00902694">
        <w:rPr>
          <w:bCs/>
          <w:lang w:eastAsia="zh-CN"/>
        </w:rPr>
        <w:t>2.2</w:t>
      </w:r>
      <w:r w:rsidRPr="00902694">
        <w:rPr>
          <w:bCs/>
          <w:lang w:eastAsia="zh-CN"/>
        </w:rPr>
        <w:tab/>
      </w:r>
      <w:r w:rsidR="00160EE8" w:rsidRPr="00A71CAB">
        <w:rPr>
          <w:rFonts w:hint="eastAsia"/>
          <w:lang w:val="zh-CN" w:eastAsia="zh-CN"/>
        </w:rPr>
        <w:t>工作组批准了</w:t>
      </w:r>
      <w:r w:rsidR="00160EE8" w:rsidRPr="001A10E2">
        <w:rPr>
          <w:rStyle w:val="Hyperlink"/>
          <w:rFonts w:asciiTheme="majorEastAsia" w:eastAsiaTheme="majorEastAsia" w:hAnsiTheme="majorEastAsia"/>
        </w:rPr>
        <w:fldChar w:fldCharType="begin"/>
      </w:r>
      <w:r w:rsidR="00160EE8" w:rsidRPr="001A10E2">
        <w:rPr>
          <w:rStyle w:val="Hyperlink"/>
          <w:rFonts w:asciiTheme="majorEastAsia" w:eastAsiaTheme="majorEastAsia" w:hAnsiTheme="majorEastAsia"/>
        </w:rPr>
        <w:instrText>HYPERLINK "https://www.itu.int/md/S24-RCLINTPOL20-C-0006/en"</w:instrText>
      </w:r>
      <w:r w:rsidR="00160EE8" w:rsidRPr="001A10E2">
        <w:rPr>
          <w:rStyle w:val="Hyperlink"/>
          <w:rFonts w:asciiTheme="majorEastAsia" w:eastAsiaTheme="majorEastAsia" w:hAnsiTheme="majorEastAsia"/>
        </w:rPr>
      </w:r>
      <w:r w:rsidR="00160EE8" w:rsidRPr="001A10E2">
        <w:rPr>
          <w:rStyle w:val="Hyperlink"/>
          <w:rFonts w:asciiTheme="majorEastAsia" w:eastAsiaTheme="majorEastAsia" w:hAnsiTheme="majorEastAsia"/>
        </w:rPr>
        <w:fldChar w:fldCharType="separate"/>
      </w:r>
      <w:r w:rsidR="00160EE8" w:rsidRPr="001A10E2">
        <w:rPr>
          <w:rStyle w:val="Hyperlink"/>
          <w:rFonts w:asciiTheme="majorEastAsia" w:eastAsiaTheme="majorEastAsia" w:hAnsiTheme="majorEastAsia" w:hint="eastAsia"/>
        </w:rPr>
        <w:t>第二十次</w:t>
      </w:r>
      <w:r w:rsidR="00160EE8" w:rsidRPr="001A10E2">
        <w:rPr>
          <w:rStyle w:val="Hyperlink"/>
          <w:rFonts w:asciiTheme="majorEastAsia" w:eastAsiaTheme="majorEastAsia" w:hAnsiTheme="majorEastAsia"/>
        </w:rPr>
        <w:fldChar w:fldCharType="end"/>
      </w:r>
      <w:r w:rsidR="00160EE8" w:rsidRPr="00A71CAB">
        <w:rPr>
          <w:rFonts w:hint="eastAsia"/>
          <w:lang w:val="zh-CN" w:eastAsia="zh-CN"/>
        </w:rPr>
        <w:t>和</w:t>
      </w:r>
      <w:hyperlink r:id="rId11" w:history="1">
        <w:r w:rsidR="00160EE8" w:rsidRPr="001A10E2">
          <w:rPr>
            <w:rStyle w:val="Hyperlink"/>
            <w:rFonts w:asciiTheme="majorEastAsia" w:eastAsiaTheme="majorEastAsia" w:hAnsiTheme="majorEastAsia" w:hint="eastAsia"/>
          </w:rPr>
          <w:t>第二十一次</w:t>
        </w:r>
      </w:hyperlink>
      <w:r w:rsidR="00160EE8" w:rsidRPr="00A71CAB">
        <w:rPr>
          <w:rFonts w:hint="eastAsia"/>
          <w:lang w:val="zh-CN" w:eastAsia="zh-CN"/>
        </w:rPr>
        <w:t>会议的报告</w:t>
      </w:r>
      <w:r w:rsidR="00160EE8" w:rsidRPr="00160EE8">
        <w:rPr>
          <w:rFonts w:hint="eastAsia"/>
          <w:bCs/>
          <w:lang w:eastAsia="zh-CN"/>
        </w:rPr>
        <w:t>。</w:t>
      </w:r>
    </w:p>
    <w:p w14:paraId="5ED07604" w14:textId="77777777" w:rsidR="00150A41" w:rsidRDefault="00150A41" w:rsidP="00A71CAB">
      <w:pPr>
        <w:rPr>
          <w:lang w:eastAsia="zh-CN"/>
        </w:rPr>
      </w:pPr>
      <w:r>
        <w:rPr>
          <w:lang w:eastAsia="zh-CN"/>
        </w:rPr>
        <w:t>2.3</w:t>
      </w:r>
      <w:r>
        <w:rPr>
          <w:lang w:eastAsia="zh-CN"/>
        </w:rPr>
        <w:tab/>
      </w:r>
      <w:r w:rsidR="00010859" w:rsidRPr="00010859">
        <w:rPr>
          <w:lang w:val="zh-CN" w:eastAsia="zh-CN"/>
        </w:rPr>
        <w:t>在第</w:t>
      </w:r>
      <w:r w:rsidR="00010859">
        <w:rPr>
          <w:rFonts w:hint="eastAsia"/>
          <w:lang w:val="zh-CN" w:eastAsia="zh-CN"/>
        </w:rPr>
        <w:t>二十</w:t>
      </w:r>
      <w:r w:rsidR="00010859" w:rsidRPr="00010859">
        <w:rPr>
          <w:lang w:val="zh-CN" w:eastAsia="zh-CN"/>
        </w:rPr>
        <w:t>次会议上</w:t>
      </w:r>
      <w:r w:rsidR="00010859" w:rsidRPr="00010859">
        <w:rPr>
          <w:lang w:eastAsia="zh-CN"/>
        </w:rPr>
        <w:t>，</w:t>
      </w:r>
      <w:r w:rsidR="00010859" w:rsidRPr="00010859">
        <w:rPr>
          <w:lang w:val="zh-CN" w:eastAsia="zh-CN"/>
        </w:rPr>
        <w:t>工作组讨论了</w:t>
      </w:r>
      <w:r w:rsidR="007C1099">
        <w:rPr>
          <w:rFonts w:hint="eastAsia"/>
          <w:lang w:val="zh-CN" w:eastAsia="zh-CN"/>
        </w:rPr>
        <w:t>公开磋商的结果以及成员</w:t>
      </w:r>
      <w:r w:rsidR="00A3058B">
        <w:rPr>
          <w:rFonts w:hint="eastAsia"/>
          <w:lang w:val="zh-CN" w:eastAsia="zh-CN"/>
        </w:rPr>
        <w:t>提交</w:t>
      </w:r>
      <w:r w:rsidR="00010859" w:rsidRPr="00010859">
        <w:rPr>
          <w:lang w:val="zh-CN" w:eastAsia="zh-CN"/>
        </w:rPr>
        <w:t>的文稿</w:t>
      </w:r>
      <w:r w:rsidR="00010859" w:rsidRPr="00010859">
        <w:rPr>
          <w:lang w:eastAsia="zh-CN"/>
        </w:rPr>
        <w:t>，</w:t>
      </w:r>
      <w:r w:rsidR="00F27837" w:rsidRPr="00A71CAB">
        <w:rPr>
          <w:rFonts w:hint="eastAsia"/>
          <w:lang w:val="zh-CN" w:eastAsia="zh-CN"/>
        </w:rPr>
        <w:t>并</w:t>
      </w:r>
      <w:r w:rsidR="00F27837" w:rsidRPr="00A71CAB">
        <w:rPr>
          <w:lang w:val="zh-CN" w:eastAsia="zh-CN"/>
        </w:rPr>
        <w:t>就工作组</w:t>
      </w:r>
      <w:r w:rsidR="0012086E" w:rsidRPr="00A71CAB">
        <w:rPr>
          <w:rFonts w:hint="eastAsia"/>
          <w:lang w:val="zh-CN" w:eastAsia="zh-CN"/>
        </w:rPr>
        <w:t>在</w:t>
      </w:r>
      <w:hyperlink r:id="rId12" w:history="1">
        <w:r w:rsidR="00F27837" w:rsidRPr="001A10E2">
          <w:rPr>
            <w:rStyle w:val="Hyperlink"/>
            <w:rFonts w:asciiTheme="majorEastAsia" w:eastAsiaTheme="majorEastAsia" w:hAnsiTheme="majorEastAsia"/>
          </w:rPr>
          <w:t>第十九次会议</w:t>
        </w:r>
      </w:hyperlink>
      <w:r w:rsidR="00F27837" w:rsidRPr="00A71CAB">
        <w:rPr>
          <w:lang w:val="zh-CN" w:eastAsia="zh-CN"/>
        </w:rPr>
        <w:t>通过的下列议题和问题</w:t>
      </w:r>
      <w:r w:rsidR="00425180" w:rsidRPr="00A71CAB">
        <w:rPr>
          <w:rFonts w:hint="eastAsia"/>
          <w:lang w:val="zh-CN" w:eastAsia="zh-CN"/>
        </w:rPr>
        <w:t>开展</w:t>
      </w:r>
      <w:r w:rsidR="00F27837" w:rsidRPr="00A71CAB">
        <w:rPr>
          <w:lang w:val="zh-CN" w:eastAsia="zh-CN"/>
        </w:rPr>
        <w:t>下一</w:t>
      </w:r>
      <w:r w:rsidR="00425180" w:rsidRPr="00A71CAB">
        <w:rPr>
          <w:rFonts w:hint="eastAsia"/>
          <w:lang w:val="zh-CN" w:eastAsia="zh-CN"/>
        </w:rPr>
        <w:t>轮</w:t>
      </w:r>
      <w:r w:rsidR="00F27837" w:rsidRPr="00A71CAB">
        <w:rPr>
          <w:lang w:val="zh-CN" w:eastAsia="zh-CN"/>
        </w:rPr>
        <w:t>公开磋商</w:t>
      </w:r>
      <w:r w:rsidR="00880F11" w:rsidRPr="00880F11">
        <w:rPr>
          <w:rFonts w:hint="eastAsia"/>
          <w:lang w:eastAsia="zh-CN"/>
        </w:rPr>
        <w:t>：</w:t>
      </w:r>
    </w:p>
    <w:p w14:paraId="7E4C6C30" w14:textId="77777777" w:rsidR="00150A41" w:rsidRPr="00F53252" w:rsidRDefault="00150A41" w:rsidP="00150A41">
      <w:pPr>
        <w:pStyle w:val="enumlev1"/>
        <w:rPr>
          <w:rFonts w:ascii="STKaiti" w:eastAsia="STKaiti" w:hAnsi="STKaiti"/>
          <w:b/>
          <w:bCs/>
          <w:lang w:eastAsia="zh-CN"/>
        </w:rPr>
      </w:pPr>
      <w:r>
        <w:rPr>
          <w:lang w:eastAsia="zh-CN"/>
        </w:rPr>
        <w:tab/>
      </w:r>
      <w:r w:rsidR="00F53252" w:rsidRPr="00F53252">
        <w:rPr>
          <w:rFonts w:ascii="STKaiti" w:eastAsia="STKaiti" w:hAnsi="STKaiti" w:hint="eastAsia"/>
          <w:b/>
          <w:bCs/>
          <w:lang w:eastAsia="zh-CN"/>
        </w:rPr>
        <w:t>公共政策在促进互联网多语文化方面的作用</w:t>
      </w:r>
    </w:p>
    <w:p w14:paraId="54DF6D7D" w14:textId="77777777" w:rsidR="00150A41" w:rsidRPr="00643D6C" w:rsidRDefault="00150A41" w:rsidP="00AC51F7">
      <w:pPr>
        <w:pStyle w:val="enumlev2"/>
        <w:rPr>
          <w:rFonts w:eastAsia="STKaiti" w:cs="Calibri"/>
          <w:lang w:eastAsia="zh-CN"/>
        </w:rPr>
      </w:pPr>
      <w:r w:rsidRPr="00643D6C">
        <w:rPr>
          <w:rFonts w:eastAsia="STKaiti" w:cs="Calibri"/>
          <w:lang w:eastAsia="zh-CN"/>
        </w:rPr>
        <w:t>1</w:t>
      </w:r>
      <w:r w:rsidR="00AB2714" w:rsidRPr="00F32623">
        <w:rPr>
          <w:rFonts w:asciiTheme="minorHAnsi" w:eastAsia="STKaiti" w:hAnsiTheme="minorHAnsi" w:cstheme="minorHAnsi"/>
          <w:lang w:val="zh-CN" w:eastAsia="zh-CN"/>
        </w:rPr>
        <w:t>)</w:t>
      </w:r>
      <w:r w:rsidRPr="00643D6C">
        <w:rPr>
          <w:rFonts w:eastAsia="STKaiti" w:cs="Calibri"/>
          <w:lang w:eastAsia="zh-CN"/>
        </w:rPr>
        <w:tab/>
      </w:r>
      <w:r w:rsidR="00D64E1F" w:rsidRPr="00643D6C">
        <w:rPr>
          <w:rFonts w:eastAsia="STKaiti" w:cs="Calibri"/>
          <w:lang w:eastAsia="zh-CN"/>
        </w:rPr>
        <w:t>国际电联及其成员以及其他利益攸关方可以采取哪些措施来确保互联网在本质上更具多语文性，从而让世界上更多的人接入互联网？</w:t>
      </w:r>
    </w:p>
    <w:p w14:paraId="1A783E96" w14:textId="77777777" w:rsidR="00150A41" w:rsidRPr="00643D6C" w:rsidRDefault="00150A41" w:rsidP="00AC51F7">
      <w:pPr>
        <w:pStyle w:val="enumlev2"/>
        <w:rPr>
          <w:rFonts w:eastAsia="STKaiti" w:cs="Calibri"/>
          <w:lang w:eastAsia="zh-CN"/>
        </w:rPr>
      </w:pPr>
      <w:r w:rsidRPr="00643D6C">
        <w:rPr>
          <w:rFonts w:eastAsia="STKaiti" w:cs="Calibri"/>
          <w:lang w:eastAsia="zh-CN"/>
        </w:rPr>
        <w:t>2</w:t>
      </w:r>
      <w:r w:rsidR="00AB2714" w:rsidRPr="00F32623">
        <w:rPr>
          <w:rFonts w:asciiTheme="minorHAnsi" w:eastAsia="STKaiti" w:hAnsiTheme="minorHAnsi" w:cstheme="minorHAnsi"/>
          <w:lang w:val="zh-CN" w:eastAsia="zh-CN"/>
        </w:rPr>
        <w:t>)</w:t>
      </w:r>
      <w:r w:rsidRPr="00643D6C">
        <w:rPr>
          <w:rFonts w:eastAsia="STKaiti" w:cs="Calibri"/>
          <w:lang w:eastAsia="zh-CN"/>
        </w:rPr>
        <w:tab/>
      </w:r>
      <w:r w:rsidR="008D4011" w:rsidRPr="008D4011">
        <w:rPr>
          <w:rFonts w:eastAsia="STKaiti" w:cs="Calibri"/>
          <w:lang w:eastAsia="zh-CN"/>
        </w:rPr>
        <w:t>互联网多语文化（包括通过普遍接受国际化域名（</w:t>
      </w:r>
      <w:proofErr w:type="spellStart"/>
      <w:r w:rsidR="008D4011" w:rsidRPr="008D4011">
        <w:rPr>
          <w:rFonts w:eastAsia="STKaiti" w:cs="Calibri"/>
          <w:lang w:eastAsia="zh-CN"/>
        </w:rPr>
        <w:t>IDN</w:t>
      </w:r>
      <w:proofErr w:type="spellEnd"/>
      <w:r w:rsidR="008D4011" w:rsidRPr="008D4011">
        <w:rPr>
          <w:rFonts w:eastAsia="STKaiti" w:cs="Calibri"/>
          <w:lang w:eastAsia="zh-CN"/>
        </w:rPr>
        <w:t>））会带来哪些好处和挑战？在技术、经济、安全、文化和能力建设方面缺乏国际化域名会带来哪些好处和挑战？</w:t>
      </w:r>
    </w:p>
    <w:p w14:paraId="1205C2BB" w14:textId="77777777" w:rsidR="00150A41" w:rsidRDefault="00150A41" w:rsidP="00A71CAB">
      <w:pPr>
        <w:rPr>
          <w:lang w:val="en-US" w:eastAsia="zh-CN"/>
        </w:rPr>
      </w:pPr>
      <w:r>
        <w:rPr>
          <w:lang w:val="en-US" w:eastAsia="zh-CN"/>
        </w:rPr>
        <w:t>2.4</w:t>
      </w:r>
      <w:r>
        <w:rPr>
          <w:lang w:val="en-US" w:eastAsia="zh-CN"/>
        </w:rPr>
        <w:tab/>
      </w:r>
      <w:r w:rsidR="00473267">
        <w:rPr>
          <w:rFonts w:hint="eastAsia"/>
          <w:lang w:val="en-US" w:eastAsia="zh-CN"/>
        </w:rPr>
        <w:t>在第二十一次会议上，工作组讨论了</w:t>
      </w:r>
      <w:r w:rsidR="00473267">
        <w:rPr>
          <w:rFonts w:hint="eastAsia"/>
          <w:lang w:val="zh-CN" w:eastAsia="zh-CN"/>
        </w:rPr>
        <w:t>公开磋商的结果以及成员提交</w:t>
      </w:r>
      <w:r w:rsidR="00473267" w:rsidRPr="00010859">
        <w:rPr>
          <w:lang w:val="zh-CN" w:eastAsia="zh-CN"/>
        </w:rPr>
        <w:t>的文稿</w:t>
      </w:r>
      <w:r w:rsidR="00473267">
        <w:rPr>
          <w:rFonts w:hint="eastAsia"/>
          <w:lang w:val="zh-CN" w:eastAsia="zh-CN"/>
        </w:rPr>
        <w:t>，并批准了下列行动：</w:t>
      </w:r>
    </w:p>
    <w:p w14:paraId="020C494B" w14:textId="77777777" w:rsidR="00150A41" w:rsidRPr="00085422" w:rsidRDefault="000B59D0" w:rsidP="00A71CAB">
      <w:pPr>
        <w:ind w:firstLineChars="200" w:firstLine="480"/>
        <w:rPr>
          <w:lang w:eastAsia="zh-CN"/>
        </w:rPr>
      </w:pPr>
      <w:r w:rsidRPr="00A71CAB">
        <w:rPr>
          <w:rFonts w:hint="eastAsia"/>
          <w:lang w:val="zh-CN" w:eastAsia="zh-CN"/>
        </w:rPr>
        <w:t>国际电联秘书处将就以下议题开展下一轮公开磋商</w:t>
      </w:r>
      <w:r w:rsidRPr="000B59D0">
        <w:rPr>
          <w:rFonts w:hint="eastAsia"/>
          <w:lang w:eastAsia="zh-CN"/>
        </w:rPr>
        <w:t>（</w:t>
      </w:r>
      <w:r w:rsidRPr="000B59D0">
        <w:rPr>
          <w:rFonts w:hint="eastAsia"/>
          <w:lang w:eastAsia="zh-CN"/>
        </w:rPr>
        <w:t>202</w:t>
      </w:r>
      <w:r>
        <w:rPr>
          <w:lang w:eastAsia="zh-CN"/>
        </w:rPr>
        <w:t>5</w:t>
      </w:r>
      <w:r w:rsidRPr="000B59D0">
        <w:rPr>
          <w:rFonts w:hint="eastAsia"/>
          <w:lang w:eastAsia="zh-CN"/>
        </w:rPr>
        <w:t>年</w:t>
      </w:r>
      <w:r w:rsidRPr="000B59D0">
        <w:rPr>
          <w:rFonts w:hint="eastAsia"/>
          <w:lang w:eastAsia="zh-CN"/>
        </w:rPr>
        <w:t>2</w:t>
      </w:r>
      <w:r w:rsidR="00FD40BE">
        <w:rPr>
          <w:rFonts w:hint="eastAsia"/>
          <w:lang w:eastAsia="zh-CN"/>
        </w:rPr>
        <w:t>-</w:t>
      </w:r>
      <w:r w:rsidRPr="000B59D0">
        <w:rPr>
          <w:rFonts w:hint="eastAsia"/>
          <w:lang w:eastAsia="zh-CN"/>
        </w:rPr>
        <w:t>9</w:t>
      </w:r>
      <w:r w:rsidRPr="000B59D0">
        <w:rPr>
          <w:rFonts w:hint="eastAsia"/>
          <w:lang w:eastAsia="zh-CN"/>
        </w:rPr>
        <w:t>月）：</w:t>
      </w:r>
    </w:p>
    <w:p w14:paraId="2C646F0E" w14:textId="77777777" w:rsidR="00150A41" w:rsidRPr="00B52AE0" w:rsidRDefault="00150A41" w:rsidP="00150A41">
      <w:pPr>
        <w:pStyle w:val="enumlev1"/>
        <w:jc w:val="both"/>
        <w:rPr>
          <w:rFonts w:eastAsia="STKaiti" w:cs="Calibri"/>
          <w:b/>
          <w:bCs/>
          <w:lang w:eastAsia="zh-CN"/>
        </w:rPr>
      </w:pPr>
      <w:r>
        <w:rPr>
          <w:b/>
          <w:bCs/>
          <w:i/>
          <w:iCs/>
          <w:lang w:eastAsia="zh-CN"/>
        </w:rPr>
        <w:tab/>
      </w:r>
      <w:r w:rsidR="00EE6153" w:rsidRPr="00B52AE0">
        <w:rPr>
          <w:rFonts w:eastAsia="STKaiti" w:cs="Calibri"/>
          <w:b/>
          <w:bCs/>
          <w:lang w:eastAsia="zh-CN"/>
        </w:rPr>
        <w:t>确保内陆发展中国家（</w:t>
      </w:r>
      <w:proofErr w:type="spellStart"/>
      <w:r w:rsidR="00EE6153" w:rsidRPr="00B52AE0">
        <w:rPr>
          <w:rFonts w:eastAsia="STKaiti" w:cs="Calibri"/>
          <w:b/>
          <w:bCs/>
          <w:lang w:eastAsia="zh-CN"/>
        </w:rPr>
        <w:t>LLDC</w:t>
      </w:r>
      <w:proofErr w:type="spellEnd"/>
      <w:r w:rsidR="00EE6153" w:rsidRPr="00B52AE0">
        <w:rPr>
          <w:rFonts w:eastAsia="STKaiti" w:cs="Calibri"/>
          <w:b/>
          <w:bCs/>
          <w:lang w:eastAsia="zh-CN"/>
        </w:rPr>
        <w:t>）</w:t>
      </w:r>
      <w:r w:rsidR="00A04D89">
        <w:rPr>
          <w:rFonts w:eastAsia="STKaiti" w:cs="Calibri" w:hint="eastAsia"/>
          <w:b/>
          <w:bCs/>
          <w:lang w:eastAsia="zh-CN"/>
        </w:rPr>
        <w:t>实现</w:t>
      </w:r>
      <w:r w:rsidR="001571DF" w:rsidRPr="00B52AE0">
        <w:rPr>
          <w:rFonts w:eastAsia="STKaiti" w:cs="Calibri"/>
          <w:b/>
          <w:bCs/>
          <w:lang w:eastAsia="zh-CN"/>
        </w:rPr>
        <w:t>有意义的互联网连接</w:t>
      </w:r>
    </w:p>
    <w:p w14:paraId="24053765" w14:textId="07EB2C7F" w:rsidR="00150A41" w:rsidRPr="005F6C83" w:rsidRDefault="00150A41" w:rsidP="00D34E50">
      <w:pPr>
        <w:pStyle w:val="enumlev2"/>
        <w:rPr>
          <w:rFonts w:asciiTheme="minorHAnsi" w:eastAsia="STKaiti" w:hAnsiTheme="minorHAnsi" w:cstheme="minorHAnsi"/>
          <w:lang w:eastAsia="zh-CN"/>
        </w:rPr>
      </w:pPr>
      <w:r w:rsidRPr="005F6C83">
        <w:rPr>
          <w:rFonts w:asciiTheme="minorHAnsi" w:eastAsia="STKaiti" w:hAnsiTheme="minorHAnsi" w:cstheme="minorHAnsi"/>
          <w:lang w:eastAsia="zh-CN"/>
        </w:rPr>
        <w:t>1</w:t>
      </w:r>
      <w:r w:rsidR="00AB2714" w:rsidRPr="005F6C83">
        <w:rPr>
          <w:rFonts w:asciiTheme="minorHAnsi" w:eastAsia="STKaiti" w:hAnsiTheme="minorHAnsi" w:cstheme="minorHAnsi"/>
          <w:lang w:eastAsia="zh-CN"/>
        </w:rPr>
        <w:t>)</w:t>
      </w:r>
      <w:r w:rsidRPr="005F6C83">
        <w:rPr>
          <w:rFonts w:asciiTheme="minorHAnsi" w:eastAsia="STKaiti" w:hAnsiTheme="minorHAnsi" w:cstheme="minorHAnsi"/>
          <w:lang w:eastAsia="zh-CN"/>
        </w:rPr>
        <w:tab/>
      </w:r>
      <w:r w:rsidR="002B4611" w:rsidRPr="005F6C83">
        <w:rPr>
          <w:rFonts w:asciiTheme="minorHAnsi" w:eastAsia="STKaiti" w:hAnsiTheme="minorHAnsi" w:cstheme="minorHAnsi"/>
          <w:lang w:eastAsia="zh-CN"/>
        </w:rPr>
        <w:t>可以采用哪些策略来确保</w:t>
      </w:r>
      <w:proofErr w:type="spellStart"/>
      <w:r w:rsidR="00CD5092" w:rsidRPr="005F6C83">
        <w:rPr>
          <w:rFonts w:asciiTheme="minorHAnsi" w:eastAsia="STKaiti" w:hAnsiTheme="minorHAnsi" w:cstheme="minorHAnsi"/>
          <w:lang w:eastAsia="zh-CN"/>
        </w:rPr>
        <w:t>LLDC</w:t>
      </w:r>
      <w:proofErr w:type="spellEnd"/>
      <w:r w:rsidR="00CD5092" w:rsidRPr="005F6C83">
        <w:rPr>
          <w:rFonts w:asciiTheme="minorHAnsi" w:eastAsia="STKaiti" w:hAnsiTheme="minorHAnsi" w:cstheme="minorHAnsi"/>
          <w:lang w:eastAsia="zh-CN"/>
        </w:rPr>
        <w:t>实现</w:t>
      </w:r>
      <w:r w:rsidR="002B4611" w:rsidRPr="005F6C83">
        <w:rPr>
          <w:rFonts w:asciiTheme="minorHAnsi" w:eastAsia="STKaiti" w:hAnsiTheme="minorHAnsi" w:cstheme="minorHAnsi"/>
          <w:lang w:eastAsia="zh-CN"/>
        </w:rPr>
        <w:t>有意义的互联网连接？</w:t>
      </w:r>
    </w:p>
    <w:p w14:paraId="772AD6DC" w14:textId="1B9B6CEC" w:rsidR="00150A41" w:rsidRPr="005F6C83" w:rsidRDefault="00150A41" w:rsidP="00D34E50">
      <w:pPr>
        <w:pStyle w:val="enumlev2"/>
        <w:rPr>
          <w:rFonts w:asciiTheme="minorHAnsi" w:eastAsia="STKaiti" w:hAnsiTheme="minorHAnsi" w:cstheme="minorHAnsi"/>
          <w:lang w:eastAsia="zh-CN"/>
        </w:rPr>
      </w:pPr>
      <w:r w:rsidRPr="005F6C83">
        <w:rPr>
          <w:rFonts w:asciiTheme="minorHAnsi" w:eastAsia="STKaiti" w:hAnsiTheme="minorHAnsi" w:cstheme="minorHAnsi"/>
          <w:lang w:eastAsia="zh-CN"/>
        </w:rPr>
        <w:t>2</w:t>
      </w:r>
      <w:r w:rsidR="00AB2714" w:rsidRPr="005F6C83">
        <w:rPr>
          <w:rFonts w:asciiTheme="minorHAnsi" w:eastAsia="STKaiti" w:hAnsiTheme="minorHAnsi" w:cstheme="minorHAnsi"/>
          <w:lang w:eastAsia="zh-CN"/>
        </w:rPr>
        <w:t>)</w:t>
      </w:r>
      <w:r w:rsidRPr="005F6C83">
        <w:rPr>
          <w:rFonts w:asciiTheme="minorHAnsi" w:eastAsia="STKaiti" w:hAnsiTheme="minorHAnsi" w:cstheme="minorHAnsi"/>
          <w:lang w:eastAsia="zh-CN"/>
        </w:rPr>
        <w:tab/>
      </w:r>
      <w:proofErr w:type="spellStart"/>
      <w:r w:rsidR="00643DE6" w:rsidRPr="005F6C83">
        <w:rPr>
          <w:rFonts w:asciiTheme="minorHAnsi" w:eastAsia="STKaiti" w:hAnsiTheme="minorHAnsi" w:cstheme="minorHAnsi"/>
          <w:lang w:eastAsia="zh-CN"/>
        </w:rPr>
        <w:t>LLDC</w:t>
      </w:r>
      <w:proofErr w:type="spellEnd"/>
      <w:r w:rsidR="002B4611" w:rsidRPr="005F6C83">
        <w:rPr>
          <w:rFonts w:asciiTheme="minorHAnsi" w:eastAsia="STKaiti" w:hAnsiTheme="minorHAnsi" w:cstheme="minorHAnsi"/>
          <w:lang w:eastAsia="zh-CN"/>
        </w:rPr>
        <w:t>在实现有意义的互联网连接方面面临哪些独特挑战</w:t>
      </w:r>
      <w:r w:rsidR="004E25B3" w:rsidRPr="005F6C83">
        <w:rPr>
          <w:rFonts w:asciiTheme="minorHAnsi" w:eastAsia="STKaiti" w:hAnsiTheme="minorHAnsi" w:cstheme="minorHAnsi"/>
          <w:lang w:eastAsia="zh-CN"/>
        </w:rPr>
        <w:t>，</w:t>
      </w:r>
      <w:r w:rsidR="002B4611" w:rsidRPr="005F6C83">
        <w:rPr>
          <w:rFonts w:asciiTheme="minorHAnsi" w:eastAsia="STKaiti" w:hAnsiTheme="minorHAnsi" w:cstheme="minorHAnsi"/>
          <w:lang w:eastAsia="zh-CN"/>
        </w:rPr>
        <w:t>可采取哪些具体政策和措施，</w:t>
      </w:r>
      <w:r w:rsidR="00D1271F" w:rsidRPr="005F6C83">
        <w:rPr>
          <w:rFonts w:asciiTheme="minorHAnsi" w:eastAsia="STKaiti" w:hAnsiTheme="minorHAnsi" w:cstheme="minorHAnsi"/>
          <w:lang w:eastAsia="zh-CN"/>
        </w:rPr>
        <w:t>特别</w:t>
      </w:r>
      <w:r w:rsidR="002B4611" w:rsidRPr="005F6C83">
        <w:rPr>
          <w:rFonts w:asciiTheme="minorHAnsi" w:eastAsia="STKaiti" w:hAnsiTheme="minorHAnsi" w:cstheme="minorHAnsi"/>
          <w:lang w:eastAsia="zh-CN"/>
        </w:rPr>
        <w:t>是在以下方面：</w:t>
      </w:r>
    </w:p>
    <w:p w14:paraId="4181A677" w14:textId="77777777" w:rsidR="00150A41" w:rsidRPr="00AC51F7" w:rsidRDefault="00150A41" w:rsidP="00150A41">
      <w:pPr>
        <w:pStyle w:val="enumlev3"/>
        <w:rPr>
          <w:rFonts w:asciiTheme="minorHAnsi" w:eastAsia="STKaiti" w:hAnsiTheme="minorHAnsi" w:cstheme="minorHAnsi"/>
          <w:lang w:eastAsia="zh-CN"/>
        </w:rPr>
      </w:pPr>
      <w:r w:rsidRPr="00AC51F7">
        <w:rPr>
          <w:rFonts w:asciiTheme="minorHAnsi" w:eastAsia="STKaiti" w:hAnsiTheme="minorHAnsi" w:cstheme="minorHAnsi"/>
          <w:lang w:eastAsia="zh-CN"/>
        </w:rPr>
        <w:t>–</w:t>
      </w:r>
      <w:r w:rsidRPr="00AC51F7">
        <w:rPr>
          <w:rFonts w:asciiTheme="minorHAnsi" w:eastAsia="STKaiti" w:hAnsiTheme="minorHAnsi" w:cstheme="minorHAnsi"/>
          <w:lang w:eastAsia="zh-CN"/>
        </w:rPr>
        <w:tab/>
      </w:r>
      <w:r w:rsidR="00457F38" w:rsidRPr="00AC51F7">
        <w:rPr>
          <w:rFonts w:asciiTheme="minorHAnsi" w:eastAsia="STKaiti" w:hAnsiTheme="minorHAnsi" w:cstheme="minorHAnsi"/>
          <w:lang w:eastAsia="zh-CN"/>
        </w:rPr>
        <w:t>可负担性</w:t>
      </w:r>
    </w:p>
    <w:p w14:paraId="25DBF67A" w14:textId="77777777" w:rsidR="00150A41" w:rsidRPr="00AC51F7" w:rsidRDefault="00150A41" w:rsidP="00150A41">
      <w:pPr>
        <w:pStyle w:val="enumlev3"/>
        <w:rPr>
          <w:rFonts w:asciiTheme="minorHAnsi" w:eastAsia="STKaiti" w:hAnsiTheme="minorHAnsi" w:cstheme="minorHAnsi"/>
          <w:lang w:eastAsia="zh-CN"/>
        </w:rPr>
      </w:pPr>
      <w:r w:rsidRPr="00AC51F7">
        <w:rPr>
          <w:rFonts w:asciiTheme="minorHAnsi" w:eastAsia="STKaiti" w:hAnsiTheme="minorHAnsi" w:cstheme="minorHAnsi"/>
          <w:lang w:eastAsia="zh-CN"/>
        </w:rPr>
        <w:t>–</w:t>
      </w:r>
      <w:r w:rsidRPr="00AC51F7">
        <w:rPr>
          <w:rFonts w:asciiTheme="minorHAnsi" w:eastAsia="STKaiti" w:hAnsiTheme="minorHAnsi" w:cstheme="minorHAnsi"/>
          <w:lang w:eastAsia="zh-CN"/>
        </w:rPr>
        <w:tab/>
      </w:r>
      <w:r w:rsidR="00C3775A" w:rsidRPr="00AC51F7">
        <w:rPr>
          <w:rFonts w:asciiTheme="minorHAnsi" w:eastAsia="STKaiti" w:hAnsiTheme="minorHAnsi" w:cstheme="minorHAnsi"/>
          <w:lang w:eastAsia="zh-CN"/>
        </w:rPr>
        <w:t>带宽或通信的质量</w:t>
      </w:r>
    </w:p>
    <w:p w14:paraId="028B7898" w14:textId="77777777" w:rsidR="00150A41" w:rsidRPr="00AC51F7" w:rsidRDefault="00150A41" w:rsidP="00150A41">
      <w:pPr>
        <w:pStyle w:val="enumlev3"/>
        <w:rPr>
          <w:rFonts w:asciiTheme="minorHAnsi" w:eastAsia="STKaiti" w:hAnsiTheme="minorHAnsi" w:cstheme="minorHAnsi"/>
          <w:lang w:eastAsia="zh-CN"/>
        </w:rPr>
      </w:pPr>
      <w:r w:rsidRPr="00AC51F7">
        <w:rPr>
          <w:rFonts w:asciiTheme="minorHAnsi" w:eastAsia="STKaiti" w:hAnsiTheme="minorHAnsi" w:cstheme="minorHAnsi"/>
          <w:lang w:eastAsia="zh-CN"/>
        </w:rPr>
        <w:lastRenderedPageBreak/>
        <w:t>–</w:t>
      </w:r>
      <w:r w:rsidRPr="00AC51F7">
        <w:rPr>
          <w:rFonts w:asciiTheme="minorHAnsi" w:eastAsia="STKaiti" w:hAnsiTheme="minorHAnsi" w:cstheme="minorHAnsi"/>
          <w:lang w:eastAsia="zh-CN"/>
        </w:rPr>
        <w:tab/>
      </w:r>
      <w:r w:rsidR="00457F38" w:rsidRPr="00AC51F7">
        <w:rPr>
          <w:rFonts w:asciiTheme="minorHAnsi" w:eastAsia="STKaiti" w:hAnsiTheme="minorHAnsi" w:cstheme="minorHAnsi"/>
          <w:lang w:eastAsia="zh-CN"/>
        </w:rPr>
        <w:t>投资</w:t>
      </w:r>
    </w:p>
    <w:p w14:paraId="3B9E23A1" w14:textId="77777777" w:rsidR="00150A41" w:rsidRPr="00AC51F7" w:rsidRDefault="00150A41" w:rsidP="00150A41">
      <w:pPr>
        <w:pStyle w:val="enumlev3"/>
        <w:rPr>
          <w:rFonts w:asciiTheme="minorHAnsi" w:eastAsia="STKaiti" w:hAnsiTheme="minorHAnsi" w:cstheme="minorHAnsi"/>
          <w:lang w:eastAsia="zh-CN"/>
        </w:rPr>
      </w:pPr>
      <w:r w:rsidRPr="00AC51F7">
        <w:rPr>
          <w:rFonts w:asciiTheme="minorHAnsi" w:eastAsia="STKaiti" w:hAnsiTheme="minorHAnsi" w:cstheme="minorHAnsi"/>
          <w:lang w:eastAsia="zh-CN"/>
        </w:rPr>
        <w:t>–</w:t>
      </w:r>
      <w:r w:rsidRPr="00AC51F7">
        <w:rPr>
          <w:rFonts w:asciiTheme="minorHAnsi" w:eastAsia="STKaiti" w:hAnsiTheme="minorHAnsi" w:cstheme="minorHAnsi"/>
          <w:lang w:eastAsia="zh-CN"/>
        </w:rPr>
        <w:tab/>
      </w:r>
      <w:r w:rsidR="00457F38" w:rsidRPr="00AC51F7">
        <w:rPr>
          <w:rFonts w:asciiTheme="minorHAnsi" w:eastAsia="STKaiti" w:hAnsiTheme="minorHAnsi" w:cstheme="minorHAnsi"/>
          <w:lang w:eastAsia="zh-CN"/>
        </w:rPr>
        <w:t>基础设施</w:t>
      </w:r>
    </w:p>
    <w:p w14:paraId="3CC9AB1C" w14:textId="77777777" w:rsidR="00150A41" w:rsidRPr="00AC51F7" w:rsidRDefault="00150A41" w:rsidP="00150A41">
      <w:pPr>
        <w:pStyle w:val="enumlev3"/>
        <w:rPr>
          <w:rFonts w:asciiTheme="minorHAnsi" w:eastAsia="STKaiti" w:hAnsiTheme="minorHAnsi" w:cstheme="minorHAnsi"/>
          <w:lang w:eastAsia="zh-CN"/>
        </w:rPr>
      </w:pPr>
      <w:r w:rsidRPr="00AC51F7">
        <w:rPr>
          <w:rFonts w:asciiTheme="minorHAnsi" w:eastAsia="STKaiti" w:hAnsiTheme="minorHAnsi" w:cstheme="minorHAnsi"/>
          <w:lang w:eastAsia="zh-CN"/>
        </w:rPr>
        <w:t>–</w:t>
      </w:r>
      <w:r w:rsidRPr="00AC51F7">
        <w:rPr>
          <w:rFonts w:asciiTheme="minorHAnsi" w:eastAsia="STKaiti" w:hAnsiTheme="minorHAnsi" w:cstheme="minorHAnsi"/>
          <w:lang w:eastAsia="zh-CN"/>
        </w:rPr>
        <w:tab/>
      </w:r>
      <w:r w:rsidR="00457F38" w:rsidRPr="00AC51F7">
        <w:rPr>
          <w:rFonts w:asciiTheme="minorHAnsi" w:eastAsia="STKaiti" w:hAnsiTheme="minorHAnsi" w:cstheme="minorHAnsi"/>
          <w:lang w:eastAsia="zh-CN"/>
        </w:rPr>
        <w:t>有利环境</w:t>
      </w:r>
    </w:p>
    <w:p w14:paraId="1FB636ED" w14:textId="77777777" w:rsidR="00150A41" w:rsidRPr="00AC51F7" w:rsidRDefault="00150A41" w:rsidP="00150A41">
      <w:pPr>
        <w:pStyle w:val="enumlev3"/>
        <w:rPr>
          <w:rFonts w:asciiTheme="minorHAnsi" w:eastAsia="STKaiti" w:hAnsiTheme="minorHAnsi" w:cstheme="minorHAnsi"/>
          <w:lang w:eastAsia="zh-CN"/>
        </w:rPr>
      </w:pPr>
      <w:r w:rsidRPr="00AC51F7">
        <w:rPr>
          <w:rFonts w:asciiTheme="minorHAnsi" w:eastAsia="STKaiti" w:hAnsiTheme="minorHAnsi" w:cstheme="minorHAnsi"/>
          <w:lang w:eastAsia="zh-CN"/>
        </w:rPr>
        <w:t>–</w:t>
      </w:r>
      <w:r w:rsidRPr="00AC51F7">
        <w:rPr>
          <w:rFonts w:asciiTheme="minorHAnsi" w:eastAsia="STKaiti" w:hAnsiTheme="minorHAnsi" w:cstheme="minorHAnsi"/>
          <w:lang w:eastAsia="zh-CN"/>
        </w:rPr>
        <w:tab/>
      </w:r>
      <w:r w:rsidR="00457F38" w:rsidRPr="00AC51F7">
        <w:rPr>
          <w:rFonts w:asciiTheme="minorHAnsi" w:eastAsia="STKaiti" w:hAnsiTheme="minorHAnsi" w:cstheme="minorHAnsi"/>
          <w:lang w:eastAsia="zh-CN"/>
        </w:rPr>
        <w:t>安全和复原力。</w:t>
      </w:r>
    </w:p>
    <w:p w14:paraId="2C65EF33" w14:textId="6811E8DB" w:rsidR="00150A41" w:rsidRPr="005F6C83" w:rsidRDefault="00150A41" w:rsidP="00D34E50">
      <w:pPr>
        <w:pStyle w:val="enumlev2"/>
        <w:rPr>
          <w:rFonts w:asciiTheme="minorHAnsi" w:eastAsia="STKaiti" w:hAnsiTheme="minorHAnsi" w:cstheme="minorHAnsi"/>
          <w:lang w:eastAsia="zh-CN"/>
        </w:rPr>
      </w:pPr>
      <w:r w:rsidRPr="005F6C83">
        <w:rPr>
          <w:rFonts w:asciiTheme="minorHAnsi" w:eastAsia="STKaiti" w:hAnsiTheme="minorHAnsi" w:cstheme="minorHAnsi"/>
          <w:lang w:eastAsia="zh-CN"/>
        </w:rPr>
        <w:t>3</w:t>
      </w:r>
      <w:r w:rsidR="00AB2714" w:rsidRPr="005F6C83">
        <w:rPr>
          <w:rFonts w:asciiTheme="minorHAnsi" w:eastAsia="STKaiti" w:hAnsiTheme="minorHAnsi" w:cstheme="minorHAnsi"/>
          <w:lang w:eastAsia="zh-CN"/>
        </w:rPr>
        <w:t>)</w:t>
      </w:r>
      <w:r w:rsidRPr="005F6C83">
        <w:rPr>
          <w:rFonts w:asciiTheme="minorHAnsi" w:eastAsia="STKaiti" w:hAnsiTheme="minorHAnsi" w:cstheme="minorHAnsi"/>
          <w:lang w:eastAsia="zh-CN"/>
        </w:rPr>
        <w:tab/>
      </w:r>
      <w:r w:rsidR="00D1271F" w:rsidRPr="005F6C83">
        <w:rPr>
          <w:rFonts w:asciiTheme="minorHAnsi" w:eastAsia="STKaiti" w:hAnsiTheme="minorHAnsi" w:cstheme="minorHAnsi"/>
          <w:lang w:eastAsia="zh-CN"/>
        </w:rPr>
        <w:t>国际电联成员、各国政府以及其他利益攸关方，包括</w:t>
      </w:r>
      <w:r w:rsidR="00566EB8" w:rsidRPr="005F6C83">
        <w:rPr>
          <w:rFonts w:asciiTheme="minorHAnsi" w:eastAsia="STKaiti" w:hAnsiTheme="minorHAnsi" w:cstheme="minorHAnsi"/>
          <w:lang w:eastAsia="zh-CN"/>
        </w:rPr>
        <w:t>来自</w:t>
      </w:r>
      <w:r w:rsidR="00CC2C70" w:rsidRPr="005F6C83">
        <w:rPr>
          <w:rFonts w:asciiTheme="minorHAnsi" w:eastAsia="STKaiti" w:hAnsiTheme="minorHAnsi" w:cstheme="minorHAnsi"/>
          <w:lang w:eastAsia="zh-CN"/>
        </w:rPr>
        <w:t>过境</w:t>
      </w:r>
      <w:r w:rsidR="00D1271F" w:rsidRPr="005F6C83">
        <w:rPr>
          <w:rFonts w:asciiTheme="minorHAnsi" w:eastAsia="STKaiti" w:hAnsiTheme="minorHAnsi" w:cstheme="minorHAnsi"/>
          <w:lang w:eastAsia="zh-CN"/>
        </w:rPr>
        <w:t>国的利益攸关方，可以采取哪些措施来确保</w:t>
      </w:r>
      <w:proofErr w:type="spellStart"/>
      <w:r w:rsidR="00D1271F" w:rsidRPr="005F6C83">
        <w:rPr>
          <w:rFonts w:asciiTheme="minorHAnsi" w:eastAsia="STKaiti" w:hAnsiTheme="minorHAnsi" w:cstheme="minorHAnsi"/>
          <w:lang w:eastAsia="zh-CN"/>
        </w:rPr>
        <w:t>LLDC</w:t>
      </w:r>
      <w:proofErr w:type="spellEnd"/>
      <w:r w:rsidR="00D1271F" w:rsidRPr="005F6C83">
        <w:rPr>
          <w:rFonts w:asciiTheme="minorHAnsi" w:eastAsia="STKaiti" w:hAnsiTheme="minorHAnsi" w:cstheme="minorHAnsi"/>
          <w:lang w:eastAsia="zh-CN"/>
        </w:rPr>
        <w:t>实现有意义的互联网连接？</w:t>
      </w:r>
    </w:p>
    <w:p w14:paraId="5D964DD8" w14:textId="77777777" w:rsidR="00150A41" w:rsidRPr="00E71569" w:rsidRDefault="00150A41" w:rsidP="00150A41">
      <w:pPr>
        <w:pStyle w:val="Heading1"/>
        <w:rPr>
          <w:lang w:val="zh-CN" w:eastAsia="zh-CN"/>
        </w:rPr>
      </w:pPr>
      <w:r w:rsidRPr="005F6C83">
        <w:rPr>
          <w:rFonts w:asciiTheme="minorHAnsi" w:eastAsia="STKaiti" w:hAnsiTheme="minorHAnsi" w:cstheme="minorHAnsi"/>
          <w:lang w:val="zh-CN" w:eastAsia="zh-CN"/>
        </w:rPr>
        <w:t>3</w:t>
      </w:r>
      <w:r w:rsidRPr="00E71569">
        <w:rPr>
          <w:lang w:val="zh-CN" w:eastAsia="zh-CN"/>
        </w:rPr>
        <w:tab/>
      </w:r>
      <w:r w:rsidR="00AC4EFE" w:rsidRPr="00E71569">
        <w:rPr>
          <w:rFonts w:hint="eastAsia"/>
          <w:lang w:val="zh-CN" w:eastAsia="zh-CN"/>
        </w:rPr>
        <w:t>结论</w:t>
      </w:r>
    </w:p>
    <w:p w14:paraId="6A353AE5" w14:textId="77777777" w:rsidR="00150A41" w:rsidRDefault="00150A41" w:rsidP="00A71CAB">
      <w:pPr>
        <w:rPr>
          <w:lang w:eastAsia="zh-CN"/>
        </w:rPr>
      </w:pPr>
      <w:r>
        <w:rPr>
          <w:lang w:eastAsia="zh-CN"/>
        </w:rPr>
        <w:t>3.1</w:t>
      </w:r>
      <w:r>
        <w:rPr>
          <w:lang w:eastAsia="zh-CN"/>
        </w:rPr>
        <w:tab/>
      </w:r>
      <w:r w:rsidR="007D77E2" w:rsidRPr="00A71CAB">
        <w:rPr>
          <w:rFonts w:hint="eastAsia"/>
          <w:lang w:val="en-US" w:eastAsia="zh-CN"/>
        </w:rPr>
        <w:t>请理事会将本报告记录在案</w:t>
      </w:r>
      <w:r w:rsidR="007D77E2" w:rsidRPr="007D77E2">
        <w:rPr>
          <w:rFonts w:hint="eastAsia"/>
          <w:lang w:eastAsia="zh-CN"/>
        </w:rPr>
        <w:t>。</w:t>
      </w:r>
    </w:p>
    <w:p w14:paraId="172164D2" w14:textId="77777777" w:rsidR="00150A41" w:rsidRDefault="00150A41" w:rsidP="00A71CAB">
      <w:pPr>
        <w:rPr>
          <w:lang w:val="zh-CN" w:eastAsia="zh-CN"/>
        </w:rPr>
      </w:pPr>
      <w:r>
        <w:rPr>
          <w:bCs/>
          <w:lang w:eastAsia="zh-CN"/>
        </w:rPr>
        <w:t>3.2</w:t>
      </w:r>
      <w:r>
        <w:rPr>
          <w:bCs/>
          <w:lang w:eastAsia="zh-CN"/>
        </w:rPr>
        <w:tab/>
      </w:r>
      <w:r w:rsidR="00625558" w:rsidRPr="00625558">
        <w:rPr>
          <w:lang w:val="zh-CN" w:eastAsia="zh-CN"/>
        </w:rPr>
        <w:t>主席代表</w:t>
      </w:r>
      <w:r w:rsidR="00625558" w:rsidRPr="00625558">
        <w:rPr>
          <w:lang w:eastAsia="zh-CN"/>
        </w:rPr>
        <w:t>CWG-Internet</w:t>
      </w:r>
      <w:r w:rsidR="00625558" w:rsidRPr="00625558">
        <w:rPr>
          <w:lang w:val="zh-CN" w:eastAsia="zh-CN"/>
        </w:rPr>
        <w:t>表达了其个人对提交文稿并参与</w:t>
      </w:r>
      <w:r w:rsidR="00625558">
        <w:rPr>
          <w:rFonts w:hint="eastAsia"/>
          <w:lang w:val="zh-CN" w:eastAsia="zh-CN"/>
        </w:rPr>
        <w:t>工作</w:t>
      </w:r>
      <w:r w:rsidR="00625558" w:rsidRPr="00625558">
        <w:rPr>
          <w:lang w:val="zh-CN" w:eastAsia="zh-CN"/>
        </w:rPr>
        <w:t>组工作的所有国际电联成员国的感谢</w:t>
      </w:r>
      <w:r w:rsidR="00625558" w:rsidRPr="00625558">
        <w:rPr>
          <w:lang w:eastAsia="zh-CN"/>
        </w:rPr>
        <w:t>，</w:t>
      </w:r>
      <w:r w:rsidR="00625558" w:rsidRPr="00625558">
        <w:rPr>
          <w:lang w:val="zh-CN" w:eastAsia="zh-CN"/>
        </w:rPr>
        <w:t>并对副主席、秘书长、副秘书长、电信标准化局</w:t>
      </w:r>
      <w:r w:rsidR="00625558" w:rsidRPr="00625558">
        <w:rPr>
          <w:lang w:eastAsia="zh-CN"/>
        </w:rPr>
        <w:t>（</w:t>
      </w:r>
      <w:r w:rsidR="00625558" w:rsidRPr="00625558">
        <w:rPr>
          <w:lang w:eastAsia="zh-CN"/>
        </w:rPr>
        <w:t>TSB</w:t>
      </w:r>
      <w:r w:rsidR="00625558" w:rsidRPr="00625558">
        <w:rPr>
          <w:lang w:eastAsia="zh-CN"/>
        </w:rPr>
        <w:t>）</w:t>
      </w:r>
      <w:r w:rsidR="00625558" w:rsidRPr="00625558">
        <w:rPr>
          <w:lang w:val="zh-CN" w:eastAsia="zh-CN"/>
        </w:rPr>
        <w:t>、无线电通信局</w:t>
      </w:r>
      <w:r w:rsidR="00625558" w:rsidRPr="00625558">
        <w:rPr>
          <w:lang w:eastAsia="zh-CN"/>
        </w:rPr>
        <w:t>（</w:t>
      </w:r>
      <w:r w:rsidR="00625558" w:rsidRPr="00625558">
        <w:rPr>
          <w:lang w:eastAsia="zh-CN"/>
        </w:rPr>
        <w:t>BR</w:t>
      </w:r>
      <w:r w:rsidR="00625558" w:rsidRPr="00625558">
        <w:rPr>
          <w:lang w:eastAsia="zh-CN"/>
        </w:rPr>
        <w:t>）</w:t>
      </w:r>
      <w:r w:rsidR="00625558" w:rsidRPr="00A71CAB">
        <w:rPr>
          <w:lang w:val="en-US" w:eastAsia="zh-CN"/>
        </w:rPr>
        <w:t>和电信发展局</w:t>
      </w:r>
      <w:r w:rsidR="00625558" w:rsidRPr="00625558">
        <w:rPr>
          <w:lang w:eastAsia="zh-CN"/>
        </w:rPr>
        <w:t>（</w:t>
      </w:r>
      <w:r w:rsidR="00625558" w:rsidRPr="00625558">
        <w:rPr>
          <w:lang w:eastAsia="zh-CN"/>
        </w:rPr>
        <w:t>BDT</w:t>
      </w:r>
      <w:r w:rsidR="00625558" w:rsidRPr="00625558">
        <w:rPr>
          <w:lang w:eastAsia="zh-CN"/>
        </w:rPr>
        <w:t>）</w:t>
      </w:r>
      <w:r w:rsidR="00625558" w:rsidRPr="00625558">
        <w:rPr>
          <w:lang w:val="zh-CN" w:eastAsia="zh-CN"/>
        </w:rPr>
        <w:t>主任以及总秘书处在</w:t>
      </w:r>
      <w:r w:rsidR="00625558" w:rsidRPr="00625558">
        <w:rPr>
          <w:lang w:eastAsia="zh-CN"/>
        </w:rPr>
        <w:t>CWG-Internet</w:t>
      </w:r>
      <w:r w:rsidR="00625558" w:rsidRPr="00625558">
        <w:rPr>
          <w:lang w:val="zh-CN" w:eastAsia="zh-CN"/>
        </w:rPr>
        <w:t>第</w:t>
      </w:r>
      <w:r w:rsidR="00625558">
        <w:rPr>
          <w:rFonts w:hint="eastAsia"/>
          <w:lang w:val="zh-CN" w:eastAsia="zh-CN"/>
        </w:rPr>
        <w:t>二十</w:t>
      </w:r>
      <w:r w:rsidR="00625558" w:rsidRPr="00625558">
        <w:rPr>
          <w:lang w:val="zh-CN" w:eastAsia="zh-CN"/>
        </w:rPr>
        <w:t>次和第</w:t>
      </w:r>
      <w:r w:rsidR="00625558">
        <w:rPr>
          <w:rFonts w:hint="eastAsia"/>
          <w:lang w:val="zh-CN" w:eastAsia="zh-CN"/>
        </w:rPr>
        <w:t>二十一</w:t>
      </w:r>
      <w:r w:rsidR="00625558" w:rsidRPr="00625558">
        <w:rPr>
          <w:lang w:val="zh-CN" w:eastAsia="zh-CN"/>
        </w:rPr>
        <w:t>次会议期间的高效协助表示感谢。</w:t>
      </w:r>
    </w:p>
    <w:p w14:paraId="419D76FD" w14:textId="30206581" w:rsidR="00A84BF0" w:rsidRPr="00257D84" w:rsidRDefault="00A84BF0" w:rsidP="00A84BF0">
      <w:pPr>
        <w:pStyle w:val="Signature"/>
      </w:pPr>
      <w:r>
        <w:rPr>
          <w:lang w:eastAsia="zh-CN"/>
        </w:rPr>
        <w:tab/>
      </w:r>
      <w:r w:rsidRPr="00BB5792">
        <w:rPr>
          <w:rFonts w:eastAsia="SimSun" w:cs="Calibri"/>
        </w:rPr>
        <w:t>CWG-Internet</w:t>
      </w:r>
      <w:r w:rsidRPr="00BB5792">
        <w:rPr>
          <w:rFonts w:eastAsia="SimSun" w:cs="Calibri"/>
          <w:lang w:eastAsia="zh-CN"/>
        </w:rPr>
        <w:t>主席</w:t>
      </w:r>
      <w:r>
        <w:br/>
      </w:r>
      <w:r>
        <w:tab/>
      </w:r>
      <w:r w:rsidRPr="00BB5792">
        <w:rPr>
          <w:rFonts w:eastAsia="SimSun" w:cs="Calibri"/>
        </w:rPr>
        <w:t>Wojciech Berezowski</w:t>
      </w:r>
      <w:r w:rsidRPr="00BB5792">
        <w:rPr>
          <w:rFonts w:eastAsia="SimSun" w:cs="Calibri"/>
          <w:lang w:eastAsia="zh-CN"/>
        </w:rPr>
        <w:t>（波兰）</w:t>
      </w:r>
    </w:p>
    <w:sectPr w:rsidR="00A84BF0" w:rsidRPr="00257D84" w:rsidSect="00E24D59">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A6479" w14:textId="77777777" w:rsidR="00F1256C" w:rsidRDefault="00F1256C">
      <w:r>
        <w:separator/>
      </w:r>
    </w:p>
  </w:endnote>
  <w:endnote w:type="continuationSeparator" w:id="0">
    <w:p w14:paraId="258A608A" w14:textId="77777777" w:rsidR="00F1256C" w:rsidRDefault="00F1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325705B7" w14:textId="77777777" w:rsidTr="00E31DCE">
      <w:trPr>
        <w:jc w:val="center"/>
      </w:trPr>
      <w:tc>
        <w:tcPr>
          <w:tcW w:w="1803" w:type="dxa"/>
          <w:vAlign w:val="center"/>
        </w:tcPr>
        <w:p w14:paraId="2F12B99E" w14:textId="13DEC542" w:rsidR="00E24D59" w:rsidRPr="00C92574" w:rsidRDefault="00C92574" w:rsidP="00E24D59">
          <w:pPr>
            <w:pStyle w:val="Header"/>
            <w:jc w:val="left"/>
            <w:rPr>
              <w:rFonts w:eastAsiaTheme="minorEastAsia"/>
              <w:noProof/>
              <w:color w:val="808080" w:themeColor="background1" w:themeShade="80"/>
              <w:lang w:eastAsia="zh-CN"/>
            </w:rPr>
          </w:pPr>
          <w:r>
            <w:rPr>
              <w:rFonts w:eastAsiaTheme="minorEastAsia" w:hint="eastAsia"/>
              <w:noProof/>
              <w:color w:val="808080" w:themeColor="background1" w:themeShade="80"/>
              <w:lang w:eastAsia="zh-CN"/>
            </w:rPr>
            <w:t>2500697</w:t>
          </w:r>
        </w:p>
      </w:tc>
      <w:tc>
        <w:tcPr>
          <w:tcW w:w="8261" w:type="dxa"/>
        </w:tcPr>
        <w:p w14:paraId="7C67B9FC" w14:textId="77777777"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r>
          <w:proofErr w:type="spellStart"/>
          <w:r w:rsidRPr="00A13406">
            <w:rPr>
              <w:bCs/>
              <w:color w:val="808080" w:themeColor="background1" w:themeShade="80"/>
            </w:rPr>
            <w:t>C2</w:t>
          </w:r>
          <w:r w:rsidR="0072138B" w:rsidRPr="00A13406">
            <w:rPr>
              <w:bCs/>
              <w:color w:val="808080" w:themeColor="background1" w:themeShade="80"/>
            </w:rPr>
            <w:t>5</w:t>
          </w:r>
          <w:proofErr w:type="spellEnd"/>
          <w:r w:rsidRPr="00A13406">
            <w:rPr>
              <w:bCs/>
              <w:color w:val="808080" w:themeColor="background1" w:themeShade="80"/>
            </w:rPr>
            <w:t>/</w:t>
          </w:r>
          <w:r w:rsidR="008277B9">
            <w:rPr>
              <w:bCs/>
              <w:color w:val="808080" w:themeColor="background1" w:themeShade="80"/>
            </w:rPr>
            <w:t>51</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4F82F90C"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746AB9F8" w14:textId="77777777" w:rsidTr="00E31DCE">
      <w:trPr>
        <w:jc w:val="center"/>
      </w:trPr>
      <w:tc>
        <w:tcPr>
          <w:tcW w:w="1803" w:type="dxa"/>
          <w:vAlign w:val="center"/>
        </w:tcPr>
        <w:p w14:paraId="7B3577CD"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4D41E7E9" w14:textId="77777777"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r>
          <w:proofErr w:type="spellStart"/>
          <w:r w:rsidRPr="003F086E">
            <w:rPr>
              <w:bCs/>
              <w:color w:val="808080" w:themeColor="background1" w:themeShade="80"/>
            </w:rPr>
            <w:t>C2</w:t>
          </w:r>
          <w:r w:rsidR="0072138B" w:rsidRPr="003F086E">
            <w:rPr>
              <w:bCs/>
              <w:color w:val="808080" w:themeColor="background1" w:themeShade="80"/>
            </w:rPr>
            <w:t>5</w:t>
          </w:r>
          <w:proofErr w:type="spellEnd"/>
          <w:r w:rsidRPr="003F086E">
            <w:rPr>
              <w:bCs/>
              <w:color w:val="808080" w:themeColor="background1" w:themeShade="80"/>
            </w:rPr>
            <w:t>/</w:t>
          </w:r>
          <w:r w:rsidR="008277B9">
            <w:rPr>
              <w:bCs/>
              <w:color w:val="808080" w:themeColor="background1" w:themeShade="80"/>
            </w:rPr>
            <w:t>51</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D6D679D"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4133F" w14:textId="77777777" w:rsidR="00F1256C" w:rsidRDefault="00F1256C">
      <w:r>
        <w:t>____________________</w:t>
      </w:r>
    </w:p>
  </w:footnote>
  <w:footnote w:type="continuationSeparator" w:id="0">
    <w:p w14:paraId="3F2179EF" w14:textId="77777777" w:rsidR="00F1256C" w:rsidRDefault="00F12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2EBA010F" w14:textId="77777777" w:rsidTr="00E31DCE">
      <w:trPr>
        <w:trHeight w:val="1104"/>
        <w:jc w:val="center"/>
      </w:trPr>
      <w:tc>
        <w:tcPr>
          <w:tcW w:w="4390" w:type="dxa"/>
          <w:vAlign w:val="center"/>
        </w:tcPr>
        <w:p w14:paraId="05084A6F"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620B125F" wp14:editId="5DCCB21B">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2A1C2E5C" w14:textId="77777777" w:rsidR="00E24D59" w:rsidRDefault="00E24D59" w:rsidP="00E24D59">
          <w:pPr>
            <w:pStyle w:val="Header"/>
            <w:jc w:val="right"/>
            <w:rPr>
              <w:rFonts w:ascii="Arial" w:hAnsi="Arial" w:cs="Arial"/>
              <w:b/>
              <w:bCs/>
              <w:color w:val="009CD6"/>
              <w:szCs w:val="18"/>
            </w:rPr>
          </w:pPr>
        </w:p>
        <w:p w14:paraId="162B5571" w14:textId="77777777" w:rsidR="00E24D59" w:rsidRDefault="00E24D59" w:rsidP="00E24D59">
          <w:pPr>
            <w:pStyle w:val="Header"/>
            <w:jc w:val="right"/>
            <w:rPr>
              <w:rFonts w:ascii="Arial" w:hAnsi="Arial" w:cs="Arial"/>
              <w:b/>
              <w:bCs/>
              <w:color w:val="009CD6"/>
              <w:szCs w:val="18"/>
            </w:rPr>
          </w:pPr>
        </w:p>
        <w:p w14:paraId="1779979C"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30C7579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0D9AFB8" wp14:editId="0A36EDA1">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A6D1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DE"/>
    <w:rsid w:val="00001B77"/>
    <w:rsid w:val="0000517A"/>
    <w:rsid w:val="00010859"/>
    <w:rsid w:val="00031E72"/>
    <w:rsid w:val="000404D2"/>
    <w:rsid w:val="000646BD"/>
    <w:rsid w:val="000853C0"/>
    <w:rsid w:val="00093DD9"/>
    <w:rsid w:val="0009409E"/>
    <w:rsid w:val="000A1C21"/>
    <w:rsid w:val="000B59D0"/>
    <w:rsid w:val="000C0BC5"/>
    <w:rsid w:val="000D15EA"/>
    <w:rsid w:val="000D7012"/>
    <w:rsid w:val="000F4C35"/>
    <w:rsid w:val="00100D84"/>
    <w:rsid w:val="0012086E"/>
    <w:rsid w:val="00124C9D"/>
    <w:rsid w:val="001305DE"/>
    <w:rsid w:val="00150A41"/>
    <w:rsid w:val="0015333E"/>
    <w:rsid w:val="001571DF"/>
    <w:rsid w:val="00157773"/>
    <w:rsid w:val="00160EE8"/>
    <w:rsid w:val="00170BE7"/>
    <w:rsid w:val="0018251A"/>
    <w:rsid w:val="00190272"/>
    <w:rsid w:val="00193244"/>
    <w:rsid w:val="00195C6C"/>
    <w:rsid w:val="00195FED"/>
    <w:rsid w:val="001A10E2"/>
    <w:rsid w:val="001A4BD6"/>
    <w:rsid w:val="001B6E2B"/>
    <w:rsid w:val="001D5A18"/>
    <w:rsid w:val="00210F2F"/>
    <w:rsid w:val="00213785"/>
    <w:rsid w:val="00215132"/>
    <w:rsid w:val="00224449"/>
    <w:rsid w:val="0023097C"/>
    <w:rsid w:val="0023349F"/>
    <w:rsid w:val="0026242C"/>
    <w:rsid w:val="00280EB8"/>
    <w:rsid w:val="002A23CC"/>
    <w:rsid w:val="002A4668"/>
    <w:rsid w:val="002A6670"/>
    <w:rsid w:val="002B4611"/>
    <w:rsid w:val="002B5DD9"/>
    <w:rsid w:val="002C3F32"/>
    <w:rsid w:val="00303502"/>
    <w:rsid w:val="00325C25"/>
    <w:rsid w:val="00366509"/>
    <w:rsid w:val="00370C49"/>
    <w:rsid w:val="00372C8F"/>
    <w:rsid w:val="00380ECE"/>
    <w:rsid w:val="00393DDF"/>
    <w:rsid w:val="00397F55"/>
    <w:rsid w:val="003B4454"/>
    <w:rsid w:val="003C2E37"/>
    <w:rsid w:val="003D7776"/>
    <w:rsid w:val="003F086E"/>
    <w:rsid w:val="003F1415"/>
    <w:rsid w:val="0040144C"/>
    <w:rsid w:val="00403EB7"/>
    <w:rsid w:val="004158C1"/>
    <w:rsid w:val="004178E6"/>
    <w:rsid w:val="00425180"/>
    <w:rsid w:val="004255CD"/>
    <w:rsid w:val="00430BF0"/>
    <w:rsid w:val="0045761E"/>
    <w:rsid w:val="00457F38"/>
    <w:rsid w:val="004672E6"/>
    <w:rsid w:val="0047039A"/>
    <w:rsid w:val="00472DBB"/>
    <w:rsid w:val="00473267"/>
    <w:rsid w:val="00474ED1"/>
    <w:rsid w:val="00477D57"/>
    <w:rsid w:val="00491BA9"/>
    <w:rsid w:val="00493085"/>
    <w:rsid w:val="004A36EC"/>
    <w:rsid w:val="004A5F2B"/>
    <w:rsid w:val="004B3CFB"/>
    <w:rsid w:val="004B70C8"/>
    <w:rsid w:val="004D163F"/>
    <w:rsid w:val="004D4B1F"/>
    <w:rsid w:val="004E25B3"/>
    <w:rsid w:val="004E4BFF"/>
    <w:rsid w:val="004F0DBE"/>
    <w:rsid w:val="004F2598"/>
    <w:rsid w:val="00503EE8"/>
    <w:rsid w:val="00505D7C"/>
    <w:rsid w:val="00530156"/>
    <w:rsid w:val="005403F7"/>
    <w:rsid w:val="00540632"/>
    <w:rsid w:val="00541CF4"/>
    <w:rsid w:val="005451E8"/>
    <w:rsid w:val="005507F2"/>
    <w:rsid w:val="00566EB8"/>
    <w:rsid w:val="005759CC"/>
    <w:rsid w:val="0058799B"/>
    <w:rsid w:val="005A72E1"/>
    <w:rsid w:val="005B65B9"/>
    <w:rsid w:val="005C6632"/>
    <w:rsid w:val="005D1C9E"/>
    <w:rsid w:val="005F6C83"/>
    <w:rsid w:val="00610944"/>
    <w:rsid w:val="00625558"/>
    <w:rsid w:val="00630DD5"/>
    <w:rsid w:val="00637584"/>
    <w:rsid w:val="00643D6C"/>
    <w:rsid w:val="00643DDD"/>
    <w:rsid w:val="00643DE6"/>
    <w:rsid w:val="00654257"/>
    <w:rsid w:val="0065435A"/>
    <w:rsid w:val="006555C3"/>
    <w:rsid w:val="00665DB0"/>
    <w:rsid w:val="00666744"/>
    <w:rsid w:val="00666DB1"/>
    <w:rsid w:val="00670D8A"/>
    <w:rsid w:val="006A2517"/>
    <w:rsid w:val="006A2DD3"/>
    <w:rsid w:val="006A5113"/>
    <w:rsid w:val="006A5AF8"/>
    <w:rsid w:val="006A68B4"/>
    <w:rsid w:val="006B2333"/>
    <w:rsid w:val="006C36CD"/>
    <w:rsid w:val="00700D1F"/>
    <w:rsid w:val="0071022E"/>
    <w:rsid w:val="007205CB"/>
    <w:rsid w:val="0072138B"/>
    <w:rsid w:val="00726073"/>
    <w:rsid w:val="00734FE8"/>
    <w:rsid w:val="007360CE"/>
    <w:rsid w:val="00756863"/>
    <w:rsid w:val="0077110E"/>
    <w:rsid w:val="00772315"/>
    <w:rsid w:val="00775157"/>
    <w:rsid w:val="007813AE"/>
    <w:rsid w:val="007A37DB"/>
    <w:rsid w:val="007C1099"/>
    <w:rsid w:val="007D77E2"/>
    <w:rsid w:val="007E189D"/>
    <w:rsid w:val="007F0210"/>
    <w:rsid w:val="00806E3F"/>
    <w:rsid w:val="00811259"/>
    <w:rsid w:val="00813AA2"/>
    <w:rsid w:val="008173A3"/>
    <w:rsid w:val="008177CA"/>
    <w:rsid w:val="008277B9"/>
    <w:rsid w:val="008418F5"/>
    <w:rsid w:val="0085685A"/>
    <w:rsid w:val="0086059C"/>
    <w:rsid w:val="00864589"/>
    <w:rsid w:val="00874C82"/>
    <w:rsid w:val="00880F11"/>
    <w:rsid w:val="008851B1"/>
    <w:rsid w:val="00890AFB"/>
    <w:rsid w:val="00890FC4"/>
    <w:rsid w:val="00895905"/>
    <w:rsid w:val="008B100B"/>
    <w:rsid w:val="008D4011"/>
    <w:rsid w:val="008F64AD"/>
    <w:rsid w:val="00904376"/>
    <w:rsid w:val="00911230"/>
    <w:rsid w:val="00911867"/>
    <w:rsid w:val="009164A9"/>
    <w:rsid w:val="009258CB"/>
    <w:rsid w:val="0093362E"/>
    <w:rsid w:val="00944563"/>
    <w:rsid w:val="00953160"/>
    <w:rsid w:val="009625D8"/>
    <w:rsid w:val="00983878"/>
    <w:rsid w:val="0098459B"/>
    <w:rsid w:val="00997185"/>
    <w:rsid w:val="009C2458"/>
    <w:rsid w:val="009C4A7B"/>
    <w:rsid w:val="009C6123"/>
    <w:rsid w:val="009D569B"/>
    <w:rsid w:val="009E3308"/>
    <w:rsid w:val="009F1E3E"/>
    <w:rsid w:val="00A04D89"/>
    <w:rsid w:val="00A1213C"/>
    <w:rsid w:val="00A13406"/>
    <w:rsid w:val="00A272FF"/>
    <w:rsid w:val="00A3058B"/>
    <w:rsid w:val="00A3212B"/>
    <w:rsid w:val="00A5354B"/>
    <w:rsid w:val="00A71B57"/>
    <w:rsid w:val="00A71CAB"/>
    <w:rsid w:val="00A84BF0"/>
    <w:rsid w:val="00AB2714"/>
    <w:rsid w:val="00AB42C1"/>
    <w:rsid w:val="00AC4EFE"/>
    <w:rsid w:val="00AC516F"/>
    <w:rsid w:val="00AC51F7"/>
    <w:rsid w:val="00AC6B68"/>
    <w:rsid w:val="00AE195F"/>
    <w:rsid w:val="00AE2926"/>
    <w:rsid w:val="00B0184B"/>
    <w:rsid w:val="00B02C42"/>
    <w:rsid w:val="00B035CD"/>
    <w:rsid w:val="00B0769D"/>
    <w:rsid w:val="00B217F8"/>
    <w:rsid w:val="00B332EA"/>
    <w:rsid w:val="00B40A53"/>
    <w:rsid w:val="00B41A84"/>
    <w:rsid w:val="00B45365"/>
    <w:rsid w:val="00B46A65"/>
    <w:rsid w:val="00B52AE0"/>
    <w:rsid w:val="00B60184"/>
    <w:rsid w:val="00B62D20"/>
    <w:rsid w:val="00B81E75"/>
    <w:rsid w:val="00B93453"/>
    <w:rsid w:val="00B9445B"/>
    <w:rsid w:val="00BA337F"/>
    <w:rsid w:val="00BA707D"/>
    <w:rsid w:val="00BB5792"/>
    <w:rsid w:val="00BD0954"/>
    <w:rsid w:val="00BD1A5A"/>
    <w:rsid w:val="00BD4F02"/>
    <w:rsid w:val="00BD7A9B"/>
    <w:rsid w:val="00BD7BE1"/>
    <w:rsid w:val="00BE02B0"/>
    <w:rsid w:val="00BF416B"/>
    <w:rsid w:val="00C0218D"/>
    <w:rsid w:val="00C051EF"/>
    <w:rsid w:val="00C055D8"/>
    <w:rsid w:val="00C1266F"/>
    <w:rsid w:val="00C3775A"/>
    <w:rsid w:val="00C45EB2"/>
    <w:rsid w:val="00C64E4E"/>
    <w:rsid w:val="00C66E64"/>
    <w:rsid w:val="00C7421C"/>
    <w:rsid w:val="00C761A0"/>
    <w:rsid w:val="00C85F7E"/>
    <w:rsid w:val="00C908E5"/>
    <w:rsid w:val="00C90D53"/>
    <w:rsid w:val="00C92574"/>
    <w:rsid w:val="00CA0B2E"/>
    <w:rsid w:val="00CA0E13"/>
    <w:rsid w:val="00CA6EF7"/>
    <w:rsid w:val="00CB1CE1"/>
    <w:rsid w:val="00CB6325"/>
    <w:rsid w:val="00CC2C70"/>
    <w:rsid w:val="00CD47F0"/>
    <w:rsid w:val="00CD5092"/>
    <w:rsid w:val="00CD5566"/>
    <w:rsid w:val="00CD64D7"/>
    <w:rsid w:val="00CE6F22"/>
    <w:rsid w:val="00CE7AF5"/>
    <w:rsid w:val="00CF41F6"/>
    <w:rsid w:val="00CF7D3E"/>
    <w:rsid w:val="00D02B4E"/>
    <w:rsid w:val="00D1271F"/>
    <w:rsid w:val="00D21F11"/>
    <w:rsid w:val="00D34E50"/>
    <w:rsid w:val="00D36817"/>
    <w:rsid w:val="00D453EE"/>
    <w:rsid w:val="00D5666C"/>
    <w:rsid w:val="00D64E1F"/>
    <w:rsid w:val="00D666BC"/>
    <w:rsid w:val="00D73955"/>
    <w:rsid w:val="00D760B9"/>
    <w:rsid w:val="00D83542"/>
    <w:rsid w:val="00D92F45"/>
    <w:rsid w:val="00D94637"/>
    <w:rsid w:val="00D9725C"/>
    <w:rsid w:val="00DA0E66"/>
    <w:rsid w:val="00DA7006"/>
    <w:rsid w:val="00DB3621"/>
    <w:rsid w:val="00DC0042"/>
    <w:rsid w:val="00DC6427"/>
    <w:rsid w:val="00DD520D"/>
    <w:rsid w:val="00DD62F5"/>
    <w:rsid w:val="00DD66A1"/>
    <w:rsid w:val="00DE196D"/>
    <w:rsid w:val="00DE7F60"/>
    <w:rsid w:val="00DF6B49"/>
    <w:rsid w:val="00E067C5"/>
    <w:rsid w:val="00E24D59"/>
    <w:rsid w:val="00E265BF"/>
    <w:rsid w:val="00E323D0"/>
    <w:rsid w:val="00E34C96"/>
    <w:rsid w:val="00E378D8"/>
    <w:rsid w:val="00E43A12"/>
    <w:rsid w:val="00E67364"/>
    <w:rsid w:val="00E67C67"/>
    <w:rsid w:val="00E71569"/>
    <w:rsid w:val="00E77476"/>
    <w:rsid w:val="00E8228B"/>
    <w:rsid w:val="00EC50DE"/>
    <w:rsid w:val="00EE5706"/>
    <w:rsid w:val="00EE6153"/>
    <w:rsid w:val="00EF373D"/>
    <w:rsid w:val="00EF63DD"/>
    <w:rsid w:val="00F11595"/>
    <w:rsid w:val="00F1256C"/>
    <w:rsid w:val="00F13BC9"/>
    <w:rsid w:val="00F15E93"/>
    <w:rsid w:val="00F27837"/>
    <w:rsid w:val="00F357B2"/>
    <w:rsid w:val="00F36556"/>
    <w:rsid w:val="00F53252"/>
    <w:rsid w:val="00F6736A"/>
    <w:rsid w:val="00F705DF"/>
    <w:rsid w:val="00F70622"/>
    <w:rsid w:val="00F85624"/>
    <w:rsid w:val="00F87C05"/>
    <w:rsid w:val="00F93191"/>
    <w:rsid w:val="00F93A17"/>
    <w:rsid w:val="00FA2AF6"/>
    <w:rsid w:val="00FB073D"/>
    <w:rsid w:val="00FB771F"/>
    <w:rsid w:val="00FC5386"/>
    <w:rsid w:val="00FD40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ED0A0"/>
  <w15:docId w15:val="{9546F42E-5F37-1B4C-A701-E5BCFEB9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1A10E2"/>
    <w:rPr>
      <w:rFonts w:eastAsia="STKaiti" w:cs="Calibri"/>
      <w:color w:val="0070C0"/>
      <w:szCs w:val="24"/>
      <w:u w:val="single"/>
      <w:lang w:eastAsia="zh-CN"/>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styleId="Signature">
    <w:name w:val="Signature"/>
    <w:basedOn w:val="Normal"/>
    <w:link w:val="SignatureChar"/>
    <w:unhideWhenUsed/>
    <w:rsid w:val="00150A41"/>
    <w:pPr>
      <w:tabs>
        <w:tab w:val="clear" w:pos="794"/>
        <w:tab w:val="clear" w:pos="1191"/>
        <w:tab w:val="clear" w:pos="1588"/>
        <w:tab w:val="clear" w:pos="1985"/>
        <w:tab w:val="center" w:pos="6804"/>
      </w:tabs>
      <w:spacing w:before="600"/>
    </w:pPr>
    <w:rPr>
      <w:rFonts w:eastAsia="Calibri"/>
    </w:rPr>
  </w:style>
  <w:style w:type="character" w:customStyle="1" w:styleId="SignatureChar">
    <w:name w:val="Signature Char"/>
    <w:basedOn w:val="DefaultParagraphFont"/>
    <w:link w:val="Signature"/>
    <w:rsid w:val="00150A41"/>
    <w:rPr>
      <w:rFonts w:ascii="Calibri" w:eastAsia="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36/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RCLINTPOL19-C-0007/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RCLINTPOL21-C-0010/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cwg-internet/Pages/default.aspx" TargetMode="External"/><Relationship Id="rId4" Type="http://schemas.openxmlformats.org/officeDocument/2006/relationships/settings" Target="settings.xml"/><Relationship Id="rId9" Type="http://schemas.openxmlformats.org/officeDocument/2006/relationships/hyperlink" Target="https://www.itu.int/md/S19-CL-C-0140/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1378</Words>
  <Characters>1725</Characters>
  <Application>Microsoft Office Word</Application>
  <DocSecurity>0</DocSecurity>
  <Lines>79</Lines>
  <Paragraphs>48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 of Council Working Group on international Internet-related public policy issues</dc:title>
  <dc:subject>ITU Council 2025</dc:subject>
  <cp:keywords>C2025, C25 Council-25</cp:keywords>
  <dc:description/>
  <cp:lastPrinted>2015-02-24T13:23:00Z</cp:lastPrinted>
  <dcterms:created xsi:type="dcterms:W3CDTF">2025-05-05T07:03:00Z</dcterms:created>
  <dcterms:modified xsi:type="dcterms:W3CDTF">2025-05-05T07:04:00Z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