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6973AD5" w14:textId="77777777" w:rsidTr="00F363FE">
        <w:tc>
          <w:tcPr>
            <w:tcW w:w="6512" w:type="dxa"/>
          </w:tcPr>
          <w:p w14:paraId="780CAC50" w14:textId="488846BA" w:rsidR="007B0AA0" w:rsidRPr="007B0AA0" w:rsidRDefault="001F4474" w:rsidP="001F4474">
            <w:pPr>
              <w:spacing w:before="60" w:after="60" w:line="260" w:lineRule="exact"/>
              <w:rPr>
                <w:b/>
                <w:bCs/>
                <w:rtl/>
                <w:lang w:bidi="ar-EG"/>
              </w:rPr>
            </w:pPr>
            <w:r w:rsidRPr="001F4474">
              <w:rPr>
                <w:b/>
                <w:bCs/>
                <w:rtl/>
              </w:rPr>
              <w:t>بند جدول الأعمال</w:t>
            </w:r>
            <w:r w:rsidRPr="001F4474">
              <w:rPr>
                <w:b/>
                <w:bCs/>
                <w:lang w:bidi="ar-EG"/>
              </w:rPr>
              <w:t>:</w:t>
            </w:r>
            <w:r w:rsidRPr="001F4474">
              <w:rPr>
                <w:b/>
                <w:bCs/>
                <w:rtl/>
              </w:rPr>
              <w:t xml:space="preserve"> PL 2</w:t>
            </w:r>
          </w:p>
        </w:tc>
        <w:tc>
          <w:tcPr>
            <w:tcW w:w="3117" w:type="dxa"/>
          </w:tcPr>
          <w:p w14:paraId="193B64D0" w14:textId="1964A23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1F4474">
              <w:rPr>
                <w:b/>
                <w:bCs/>
                <w:lang w:bidi="ar-EG"/>
              </w:rPr>
              <w:t>51</w:t>
            </w:r>
            <w:r w:rsidRPr="007B0AA0">
              <w:rPr>
                <w:b/>
                <w:bCs/>
                <w:lang w:bidi="ar-EG"/>
              </w:rPr>
              <w:t>-A</w:t>
            </w:r>
          </w:p>
        </w:tc>
      </w:tr>
      <w:tr w:rsidR="007B0AA0" w14:paraId="473F9FE2" w14:textId="77777777" w:rsidTr="00F363FE">
        <w:tc>
          <w:tcPr>
            <w:tcW w:w="6512" w:type="dxa"/>
          </w:tcPr>
          <w:p w14:paraId="42B8CADB" w14:textId="77777777" w:rsidR="007B0AA0" w:rsidRPr="007B0AA0" w:rsidRDefault="007B0AA0" w:rsidP="00F363FE">
            <w:pPr>
              <w:spacing w:before="60" w:after="60" w:line="260" w:lineRule="exact"/>
              <w:rPr>
                <w:b/>
                <w:bCs/>
                <w:rtl/>
                <w:lang w:bidi="ar-EG"/>
              </w:rPr>
            </w:pPr>
          </w:p>
        </w:tc>
        <w:tc>
          <w:tcPr>
            <w:tcW w:w="3117" w:type="dxa"/>
          </w:tcPr>
          <w:p w14:paraId="464B065B" w14:textId="073C0EC3" w:rsidR="007B0AA0" w:rsidRPr="007B0AA0" w:rsidRDefault="001F4474" w:rsidP="00F363FE">
            <w:pPr>
              <w:spacing w:before="60" w:after="60" w:line="260" w:lineRule="exact"/>
              <w:rPr>
                <w:b/>
                <w:bCs/>
                <w:rtl/>
                <w:lang w:bidi="ar-EG"/>
              </w:rPr>
            </w:pPr>
            <w:r w:rsidRPr="001F4474">
              <w:rPr>
                <w:b/>
                <w:bCs/>
                <w:rtl/>
                <w:lang w:bidi="ar-EG"/>
              </w:rPr>
              <w:t>17 أبريل 2025</w:t>
            </w:r>
          </w:p>
        </w:tc>
      </w:tr>
      <w:tr w:rsidR="007B0AA0" w14:paraId="36AF3470" w14:textId="77777777" w:rsidTr="00F363FE">
        <w:tc>
          <w:tcPr>
            <w:tcW w:w="6512" w:type="dxa"/>
          </w:tcPr>
          <w:p w14:paraId="6EE57E3C" w14:textId="77777777" w:rsidR="007B0AA0" w:rsidRPr="007B0AA0" w:rsidRDefault="007B0AA0" w:rsidP="00F363FE">
            <w:pPr>
              <w:spacing w:before="60" w:after="60" w:line="260" w:lineRule="exact"/>
              <w:rPr>
                <w:b/>
                <w:bCs/>
                <w:rtl/>
                <w:lang w:bidi="ar-EG"/>
              </w:rPr>
            </w:pPr>
          </w:p>
        </w:tc>
        <w:tc>
          <w:tcPr>
            <w:tcW w:w="3117" w:type="dxa"/>
          </w:tcPr>
          <w:p w14:paraId="7528BB88"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35584C73" w14:textId="77777777" w:rsidTr="00F363FE">
        <w:tc>
          <w:tcPr>
            <w:tcW w:w="6512" w:type="dxa"/>
          </w:tcPr>
          <w:p w14:paraId="7A7B730B" w14:textId="77777777" w:rsidR="007B0AA0" w:rsidRDefault="007B0AA0" w:rsidP="00F363FE">
            <w:pPr>
              <w:spacing w:before="60" w:after="60" w:line="260" w:lineRule="exact"/>
              <w:rPr>
                <w:lang w:bidi="ar-EG"/>
              </w:rPr>
            </w:pPr>
          </w:p>
        </w:tc>
        <w:tc>
          <w:tcPr>
            <w:tcW w:w="3117" w:type="dxa"/>
          </w:tcPr>
          <w:p w14:paraId="6CF95C56" w14:textId="77777777" w:rsidR="007B0AA0" w:rsidRDefault="007B0AA0" w:rsidP="00F363FE">
            <w:pPr>
              <w:spacing w:before="60" w:after="60" w:line="260" w:lineRule="exact"/>
              <w:rPr>
                <w:rtl/>
                <w:lang w:bidi="ar-EG"/>
              </w:rPr>
            </w:pPr>
          </w:p>
        </w:tc>
      </w:tr>
      <w:tr w:rsidR="007B0AA0" w14:paraId="2FE26BA1" w14:textId="77777777" w:rsidTr="00EE7446">
        <w:tc>
          <w:tcPr>
            <w:tcW w:w="9629" w:type="dxa"/>
            <w:gridSpan w:val="2"/>
          </w:tcPr>
          <w:p w14:paraId="17799F56" w14:textId="7A38A933" w:rsidR="007B0AA0" w:rsidRDefault="001F4474" w:rsidP="001F4474">
            <w:pPr>
              <w:pStyle w:val="Source"/>
              <w:jc w:val="left"/>
              <w:rPr>
                <w:lang w:bidi="ar-EG"/>
              </w:rPr>
            </w:pPr>
            <w:r w:rsidRPr="001F4474">
              <w:rPr>
                <w:rtl/>
              </w:rPr>
              <w:t xml:space="preserve">رئيس فريق العمل التابع للمجلس والمعني بقضايا السياسات العامة الدولية المتعلقة بالإنترنت </w:t>
            </w:r>
            <w:r w:rsidRPr="001F4474">
              <w:rPr>
                <w:lang w:bidi="ar-EG"/>
              </w:rPr>
              <w:t>(CWG-Internet</w:t>
            </w:r>
            <w:r w:rsidRPr="001F4474">
              <w:t>)</w:t>
            </w:r>
          </w:p>
        </w:tc>
      </w:tr>
      <w:tr w:rsidR="007B0AA0" w14:paraId="06CEB237" w14:textId="77777777" w:rsidTr="007B0AA0">
        <w:tc>
          <w:tcPr>
            <w:tcW w:w="9629" w:type="dxa"/>
            <w:gridSpan w:val="2"/>
            <w:tcBorders>
              <w:bottom w:val="single" w:sz="4" w:space="0" w:color="auto"/>
            </w:tcBorders>
          </w:tcPr>
          <w:p w14:paraId="1C47BA9C" w14:textId="6C534F7A" w:rsidR="007B0AA0" w:rsidRPr="005546CF" w:rsidRDefault="001F4474" w:rsidP="001F4474">
            <w:pPr>
              <w:pStyle w:val="Subtitle0"/>
              <w:rPr>
                <w:sz w:val="32"/>
                <w:szCs w:val="32"/>
              </w:rPr>
            </w:pPr>
            <w:bookmarkStart w:id="0" w:name="_Hlk193968031"/>
            <w:r w:rsidRPr="001F4474">
              <w:rPr>
                <w:sz w:val="32"/>
                <w:szCs w:val="32"/>
                <w:rtl/>
                <w:lang w:bidi="ar-SA"/>
              </w:rPr>
              <w:t xml:space="preserve">تقرير من رئيس فريق العمل التابع للمجلس والمعني بقضايا السياسات العامة الدولية المتعلقة بالإنترنت </w:t>
            </w:r>
            <w:r w:rsidRPr="001F4474">
              <w:rPr>
                <w:sz w:val="32"/>
                <w:szCs w:val="32"/>
              </w:rPr>
              <w:t>(CWG-INTERNET</w:t>
            </w:r>
            <w:r w:rsidRPr="001F4474">
              <w:rPr>
                <w:sz w:val="32"/>
                <w:szCs w:val="32"/>
                <w:lang w:bidi="ar-SA"/>
              </w:rPr>
              <w:t>)</w:t>
            </w:r>
            <w:bookmarkEnd w:id="0"/>
          </w:p>
        </w:tc>
      </w:tr>
      <w:tr w:rsidR="007B0AA0" w14:paraId="696F7F14" w14:textId="77777777" w:rsidTr="007B0AA0">
        <w:tc>
          <w:tcPr>
            <w:tcW w:w="9629" w:type="dxa"/>
            <w:gridSpan w:val="2"/>
            <w:tcBorders>
              <w:top w:val="single" w:sz="4" w:space="0" w:color="auto"/>
              <w:bottom w:val="single" w:sz="4" w:space="0" w:color="auto"/>
            </w:tcBorders>
          </w:tcPr>
          <w:p w14:paraId="42979CA8" w14:textId="599269CC" w:rsidR="007B0AA0" w:rsidRPr="007B0AA0" w:rsidRDefault="007B0AA0" w:rsidP="007B0AA0">
            <w:pPr>
              <w:rPr>
                <w:b/>
                <w:bCs/>
                <w:rtl/>
              </w:rPr>
            </w:pPr>
            <w:r w:rsidRPr="007B0AA0">
              <w:rPr>
                <w:rFonts w:hint="cs"/>
                <w:b/>
                <w:bCs/>
                <w:rtl/>
              </w:rPr>
              <w:t>الغرض</w:t>
            </w:r>
          </w:p>
          <w:p w14:paraId="4D61A71B" w14:textId="643620D0" w:rsidR="007B0AA0" w:rsidRDefault="001F4474" w:rsidP="001F4474">
            <w:pPr>
              <w:rPr>
                <w:rtl/>
              </w:rPr>
            </w:pPr>
            <w:r w:rsidRPr="001F4474">
              <w:rPr>
                <w:rtl/>
              </w:rPr>
              <w:t xml:space="preserve">يلخص هذا التقرير النتائج الرئيسية للاجتماعين العشرين والحادي والعشرين لفريق العمل التابع للمجلس والمعني بقضايا السياسات العامة الدولية المتعلقة بالإنترنت </w:t>
            </w:r>
            <w:r w:rsidRPr="001F4474">
              <w:t>(CWG-Internet)</w:t>
            </w:r>
            <w:r w:rsidRPr="001F4474">
              <w:rPr>
                <w:rtl/>
              </w:rPr>
              <w:t>، اللذين عقدا في 4 أكتوبر 2024 و</w:t>
            </w:r>
            <w:r w:rsidRPr="001F4474">
              <w:t>20-19</w:t>
            </w:r>
            <w:r w:rsidRPr="001F4474">
              <w:rPr>
                <w:rtl/>
              </w:rPr>
              <w:t xml:space="preserve"> فبراير 2025 على التوالي، وفقاً للقرارين 102</w:t>
            </w:r>
            <w:r w:rsidR="00317A96">
              <w:rPr>
                <w:rFonts w:hint="cs"/>
                <w:rtl/>
              </w:rPr>
              <w:t> </w:t>
            </w:r>
            <w:r w:rsidR="00317A96" w:rsidRPr="001F4474">
              <w:rPr>
                <w:rtl/>
              </w:rPr>
              <w:t xml:space="preserve">و140 </w:t>
            </w:r>
            <w:r w:rsidRPr="001F4474">
              <w:rPr>
                <w:rtl/>
              </w:rPr>
              <w:t>(المراج</w:t>
            </w:r>
            <w:r w:rsidR="002E702E">
              <w:rPr>
                <w:rFonts w:hint="cs"/>
                <w:rtl/>
              </w:rPr>
              <w:t>َ</w:t>
            </w:r>
            <w:r w:rsidRPr="001F4474">
              <w:rPr>
                <w:rtl/>
              </w:rPr>
              <w:t>ع</w:t>
            </w:r>
            <w:r w:rsidR="00317A96">
              <w:rPr>
                <w:rFonts w:hint="cs"/>
                <w:rtl/>
              </w:rPr>
              <w:t>ين</w:t>
            </w:r>
            <w:r w:rsidRPr="001F4474">
              <w:rPr>
                <w:rtl/>
              </w:rPr>
              <w:t xml:space="preserve"> في بوخارست، 2022</w:t>
            </w:r>
            <w:r w:rsidR="00317A96">
              <w:rPr>
                <w:rFonts w:hint="cs"/>
                <w:rtl/>
              </w:rPr>
              <w:t xml:space="preserve">) </w:t>
            </w:r>
            <w:r w:rsidRPr="001F4474">
              <w:rPr>
                <w:rtl/>
              </w:rPr>
              <w:t>لمؤتمر المندوبين المفوضين، وقراري المجلس 1305 (المعدَّل في 2019) و1336 (المعدَّل في 2019).</w:t>
            </w:r>
          </w:p>
          <w:p w14:paraId="36549AFD" w14:textId="77777777" w:rsidR="007B0AA0" w:rsidRPr="007B0AA0" w:rsidRDefault="007B0AA0" w:rsidP="007B0AA0">
            <w:pPr>
              <w:rPr>
                <w:b/>
                <w:bCs/>
                <w:rtl/>
              </w:rPr>
            </w:pPr>
            <w:r w:rsidRPr="007B0AA0">
              <w:rPr>
                <w:rFonts w:hint="cs"/>
                <w:b/>
                <w:bCs/>
                <w:rtl/>
              </w:rPr>
              <w:t>الإجراء المطلوب من المجلس</w:t>
            </w:r>
          </w:p>
          <w:p w14:paraId="66CAB021" w14:textId="72364D90" w:rsidR="007B0AA0" w:rsidRDefault="001F4474" w:rsidP="001F4474">
            <w:pPr>
              <w:rPr>
                <w:rtl/>
              </w:rPr>
            </w:pPr>
            <w:r w:rsidRPr="001F4474">
              <w:rPr>
                <w:rtl/>
              </w:rPr>
              <w:t xml:space="preserve">يُدعى المجلس إلى </w:t>
            </w:r>
            <w:r w:rsidRPr="001F4474">
              <w:rPr>
                <w:b/>
                <w:bCs/>
                <w:rtl/>
              </w:rPr>
              <w:t>الإحاطة علماً</w:t>
            </w:r>
            <w:r w:rsidRPr="001F4474">
              <w:rPr>
                <w:rtl/>
              </w:rPr>
              <w:t xml:space="preserve"> بالتقرير.</w:t>
            </w:r>
          </w:p>
          <w:p w14:paraId="08D3C220"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3ECAFAD3" w14:textId="626A58D4" w:rsidR="007B0AA0" w:rsidRDefault="001F4474" w:rsidP="001F4474">
            <w:pPr>
              <w:rPr>
                <w:rtl/>
              </w:rPr>
            </w:pPr>
            <w:r w:rsidRPr="001F4474">
              <w:rPr>
                <w:rtl/>
              </w:rPr>
              <w:t>منظمة يقودها الأعضاء</w:t>
            </w:r>
          </w:p>
          <w:p w14:paraId="0C054925" w14:textId="77777777" w:rsidR="007B0AA0" w:rsidRDefault="007B0AA0" w:rsidP="00B97F32">
            <w:pPr>
              <w:rPr>
                <w:b/>
                <w:bCs/>
              </w:rPr>
            </w:pPr>
            <w:r w:rsidRPr="007B0AA0">
              <w:rPr>
                <w:rFonts w:hint="cs"/>
                <w:b/>
                <w:bCs/>
                <w:rtl/>
              </w:rPr>
              <w:t>الآثار المالية</w:t>
            </w:r>
          </w:p>
          <w:p w14:paraId="41D3D7C6" w14:textId="429E7C53" w:rsidR="006F363C" w:rsidRPr="005546CF" w:rsidRDefault="001F4474" w:rsidP="001F4474">
            <w:pPr>
              <w:rPr>
                <w:rtl/>
              </w:rPr>
            </w:pPr>
            <w:r w:rsidRPr="001F4474">
              <w:rPr>
                <w:rtl/>
              </w:rPr>
              <w:t>ضمن الميزانية المخصصة لفترة السنتين 2024-2025.</w:t>
            </w:r>
          </w:p>
          <w:p w14:paraId="77099DC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6F67C69" w14:textId="77777777" w:rsidR="007B0AA0" w:rsidRPr="007B0AA0" w:rsidRDefault="007B0AA0" w:rsidP="007B0AA0">
            <w:pPr>
              <w:rPr>
                <w:b/>
                <w:bCs/>
                <w:rtl/>
              </w:rPr>
            </w:pPr>
            <w:r w:rsidRPr="007B0AA0">
              <w:rPr>
                <w:rFonts w:hint="cs"/>
                <w:b/>
                <w:bCs/>
                <w:rtl/>
              </w:rPr>
              <w:t>المراجع</w:t>
            </w:r>
          </w:p>
          <w:p w14:paraId="790FAD12" w14:textId="7405023F" w:rsidR="007B0AA0" w:rsidRPr="005546CF" w:rsidRDefault="001F4474" w:rsidP="00F33F3B">
            <w:pPr>
              <w:spacing w:after="120"/>
              <w:rPr>
                <w:i/>
                <w:iCs/>
                <w:rtl/>
              </w:rPr>
            </w:pPr>
            <w:r w:rsidRPr="001F4474">
              <w:rPr>
                <w:i/>
                <w:iCs/>
                <w:rtl/>
              </w:rPr>
              <w:t xml:space="preserve">القرار </w:t>
            </w:r>
            <w:hyperlink r:id="rId8" w:history="1">
              <w:r w:rsidRPr="00885F9B">
                <w:rPr>
                  <w:rStyle w:val="Hyperlink"/>
                  <w:rFonts w:ascii="Dubai" w:eastAsiaTheme="minorEastAsia" w:hAnsi="Dubai" w:cs="Dubai"/>
                  <w:i/>
                  <w:iCs/>
                  <w:noProof w:val="0"/>
                  <w:sz w:val="22"/>
                  <w:rtl/>
                  <w:lang w:val="en-US" w:eastAsia="zh-CN"/>
                </w:rPr>
                <w:t>102 (المراج</w:t>
              </w:r>
              <w:r w:rsidR="002E702E" w:rsidRPr="00885F9B">
                <w:rPr>
                  <w:rStyle w:val="Hyperlink"/>
                  <w:rFonts w:ascii="Dubai" w:eastAsiaTheme="minorEastAsia" w:hAnsi="Dubai" w:cs="Dubai" w:hint="cs"/>
                  <w:i/>
                  <w:iCs/>
                  <w:noProof w:val="0"/>
                  <w:sz w:val="22"/>
                  <w:rtl/>
                  <w:lang w:val="en-US" w:eastAsia="zh-CN"/>
                </w:rPr>
                <w:t>َ</w:t>
              </w:r>
              <w:r w:rsidRPr="00885F9B">
                <w:rPr>
                  <w:rStyle w:val="Hyperlink"/>
                  <w:rFonts w:ascii="Dubai" w:eastAsiaTheme="minorEastAsia" w:hAnsi="Dubai" w:cs="Dubai"/>
                  <w:i/>
                  <w:iCs/>
                  <w:noProof w:val="0"/>
                  <w:sz w:val="22"/>
                  <w:rtl/>
                  <w:lang w:val="en-US" w:eastAsia="zh-CN"/>
                </w:rPr>
                <w:t>ع في بوخارست، 2022)</w:t>
              </w:r>
            </w:hyperlink>
            <w:r w:rsidRPr="001F4474">
              <w:rPr>
                <w:i/>
                <w:iCs/>
                <w:rtl/>
              </w:rPr>
              <w:t xml:space="preserve"> والقرار </w:t>
            </w:r>
            <w:hyperlink r:id="rId9" w:history="1">
              <w:r w:rsidRPr="00885F9B">
                <w:rPr>
                  <w:rStyle w:val="Hyperlink"/>
                  <w:rFonts w:ascii="Dubai" w:eastAsiaTheme="minorEastAsia" w:hAnsi="Dubai" w:cs="Dubai"/>
                  <w:i/>
                  <w:iCs/>
                  <w:noProof w:val="0"/>
                  <w:sz w:val="22"/>
                  <w:rtl/>
                  <w:lang w:val="en-US" w:eastAsia="zh-CN"/>
                </w:rPr>
                <w:t>140 (المراج</w:t>
              </w:r>
              <w:r w:rsidR="002E702E" w:rsidRPr="00885F9B">
                <w:rPr>
                  <w:rStyle w:val="Hyperlink"/>
                  <w:rFonts w:ascii="Dubai" w:eastAsiaTheme="minorEastAsia" w:hAnsi="Dubai" w:cs="Dubai" w:hint="cs"/>
                  <w:i/>
                  <w:iCs/>
                  <w:noProof w:val="0"/>
                  <w:sz w:val="22"/>
                  <w:rtl/>
                  <w:lang w:val="en-US" w:eastAsia="zh-CN"/>
                </w:rPr>
                <w:t>َ</w:t>
              </w:r>
              <w:r w:rsidRPr="00885F9B">
                <w:rPr>
                  <w:rStyle w:val="Hyperlink"/>
                  <w:rFonts w:ascii="Dubai" w:eastAsiaTheme="minorEastAsia" w:hAnsi="Dubai" w:cs="Dubai"/>
                  <w:i/>
                  <w:iCs/>
                  <w:noProof w:val="0"/>
                  <w:sz w:val="22"/>
                  <w:rtl/>
                  <w:lang w:val="en-US" w:eastAsia="zh-CN"/>
                </w:rPr>
                <w:t>ع في بوخارست، 2022)</w:t>
              </w:r>
            </w:hyperlink>
            <w:r w:rsidRPr="001F4474">
              <w:rPr>
                <w:i/>
                <w:iCs/>
                <w:rtl/>
              </w:rPr>
              <w:t xml:space="preserve"> لمؤتمر المندوبين المفوضين؛ قرارا المجلس </w:t>
            </w:r>
            <w:hyperlink r:id="rId10" w:history="1">
              <w:r w:rsidRPr="00885F9B">
                <w:rPr>
                  <w:rStyle w:val="Hyperlink"/>
                  <w:rFonts w:ascii="Dubai" w:eastAsiaTheme="minorEastAsia" w:hAnsi="Dubai" w:cs="Dubai"/>
                  <w:i/>
                  <w:iCs/>
                  <w:noProof w:val="0"/>
                  <w:sz w:val="22"/>
                  <w:rtl/>
                  <w:lang w:val="en-US" w:eastAsia="zh-CN"/>
                </w:rPr>
                <w:t>1305 (المعدّل في 2019)</w:t>
              </w:r>
            </w:hyperlink>
            <w:r w:rsidRPr="001F4474">
              <w:rPr>
                <w:i/>
                <w:iCs/>
                <w:rtl/>
              </w:rPr>
              <w:t xml:space="preserve"> و</w:t>
            </w:r>
            <w:hyperlink r:id="rId11" w:history="1">
              <w:r w:rsidRPr="00885F9B">
                <w:rPr>
                  <w:rStyle w:val="Hyperlink"/>
                  <w:rFonts w:ascii="Dubai" w:eastAsiaTheme="minorEastAsia" w:hAnsi="Dubai" w:cs="Dubai"/>
                  <w:i/>
                  <w:iCs/>
                  <w:noProof w:val="0"/>
                  <w:sz w:val="22"/>
                  <w:rtl/>
                  <w:lang w:val="en-US" w:eastAsia="zh-CN"/>
                </w:rPr>
                <w:t>1336 (المعدَّل في 2019)</w:t>
              </w:r>
            </w:hyperlink>
          </w:p>
        </w:tc>
      </w:tr>
    </w:tbl>
    <w:p w14:paraId="24E06346" w14:textId="77777777" w:rsidR="00F50E3F" w:rsidRDefault="00F50E3F" w:rsidP="0043260A">
      <w:pPr>
        <w:rPr>
          <w:rtl/>
          <w:lang w:bidi="ar-EG"/>
        </w:rPr>
      </w:pPr>
      <w:r>
        <w:rPr>
          <w:rtl/>
          <w:lang w:bidi="ar-EG"/>
        </w:rPr>
        <w:br w:type="page"/>
      </w:r>
    </w:p>
    <w:p w14:paraId="1F1AFEED" w14:textId="77777777" w:rsidR="001F4474" w:rsidRPr="001F4474" w:rsidRDefault="001F4474" w:rsidP="00892BB5">
      <w:pPr>
        <w:pStyle w:val="Heading1"/>
        <w:rPr>
          <w:lang w:val="ar-SA" w:bidi="ar-EG"/>
        </w:rPr>
      </w:pPr>
      <w:r w:rsidRPr="001F4474">
        <w:rPr>
          <w:rtl/>
        </w:rPr>
        <w:lastRenderedPageBreak/>
        <w:t>1</w:t>
      </w:r>
      <w:r w:rsidRPr="001F4474">
        <w:rPr>
          <w:rtl/>
        </w:rPr>
        <w:tab/>
        <w:t>مقدمة</w:t>
      </w:r>
    </w:p>
    <w:p w14:paraId="69B29972" w14:textId="1E9AF688" w:rsidR="001F4474" w:rsidRPr="001F4474" w:rsidRDefault="001F4474" w:rsidP="001F4474">
      <w:pPr>
        <w:rPr>
          <w:lang w:val="ar-SA" w:bidi="ar-EG"/>
        </w:rPr>
      </w:pPr>
      <w:r w:rsidRPr="001F4474">
        <w:t>1</w:t>
      </w:r>
      <w:r w:rsidR="00862503">
        <w:t>.</w:t>
      </w:r>
      <w:r w:rsidRPr="001F4474">
        <w:t>1</w:t>
      </w:r>
      <w:r w:rsidRPr="001F4474">
        <w:rPr>
          <w:rtl/>
        </w:rPr>
        <w:tab/>
        <w:t xml:space="preserve">أُنشئ </w:t>
      </w:r>
      <w:hyperlink r:id="rId12" w:anchor="/ar" w:history="1">
        <w:r w:rsidRPr="001F4474">
          <w:rPr>
            <w:rStyle w:val="Hyperlink"/>
            <w:rFonts w:ascii="Dubai" w:eastAsiaTheme="minorEastAsia" w:hAnsi="Dubai" w:cs="Dubai"/>
            <w:noProof w:val="0"/>
            <w:sz w:val="22"/>
            <w:rtl/>
            <w:lang w:val="en-US" w:eastAsia="zh-CN"/>
          </w:rPr>
          <w:t>فريق العمل التابع لمجلس الاتحاد والمعني بقضايا السياسات العامة الدولية المتعلقة ‏بالإنترنت</w:t>
        </w:r>
        <w:r w:rsidR="002E702E" w:rsidRPr="00E127D6">
          <w:rPr>
            <w:rStyle w:val="Hyperlink"/>
            <w:rFonts w:ascii="Dubai" w:eastAsiaTheme="minorEastAsia" w:hAnsi="Dubai" w:cs="Dubai" w:hint="cs"/>
            <w:noProof w:val="0"/>
            <w:sz w:val="22"/>
            <w:rtl/>
            <w:lang w:val="en-US" w:eastAsia="zh-CN"/>
          </w:rPr>
          <w:t> </w:t>
        </w:r>
        <w:r w:rsidRPr="001F4474">
          <w:rPr>
            <w:rStyle w:val="Hyperlink"/>
            <w:rFonts w:ascii="Dubai" w:eastAsiaTheme="minorEastAsia" w:hAnsi="Dubai" w:cs="Dubai"/>
            <w:noProof w:val="0"/>
            <w:sz w:val="22"/>
            <w:rtl/>
            <w:lang w:val="en-US" w:eastAsia="zh-CN"/>
          </w:rPr>
          <w:t>‏‎(</w:t>
        </w:r>
        <w:proofErr w:type="spellStart"/>
        <w:r w:rsidRPr="001F4474">
          <w:rPr>
            <w:rStyle w:val="Hyperlink"/>
            <w:rFonts w:ascii="Dubai" w:eastAsiaTheme="minorEastAsia" w:hAnsi="Dubai" w:cs="Dubai"/>
            <w:noProof w:val="0"/>
            <w:sz w:val="22"/>
            <w:rtl/>
            <w:lang w:val="en-US" w:eastAsia="zh-CN"/>
          </w:rPr>
          <w:t>CWG</w:t>
        </w:r>
        <w:proofErr w:type="spellEnd"/>
        <w:r w:rsidRPr="001F4474">
          <w:rPr>
            <w:rStyle w:val="Hyperlink"/>
            <w:rFonts w:ascii="Dubai" w:eastAsiaTheme="minorEastAsia" w:hAnsi="Dubai" w:cs="Dubai"/>
            <w:noProof w:val="0"/>
            <w:sz w:val="22"/>
            <w:rtl/>
            <w:lang w:val="en-US" w:eastAsia="zh-CN"/>
          </w:rPr>
          <w:t xml:space="preserve"> </w:t>
        </w:r>
        <w:proofErr w:type="spellStart"/>
        <w:r w:rsidRPr="001F4474">
          <w:rPr>
            <w:rStyle w:val="Hyperlink"/>
            <w:rFonts w:ascii="Dubai" w:eastAsiaTheme="minorEastAsia" w:hAnsi="Dubai" w:cs="Dubai"/>
            <w:noProof w:val="0"/>
            <w:sz w:val="22"/>
            <w:rtl/>
            <w:lang w:val="en-US" w:eastAsia="zh-CN"/>
          </w:rPr>
          <w:t>Internet</w:t>
        </w:r>
        <w:proofErr w:type="spellEnd"/>
        <w:r w:rsidRPr="001F4474">
          <w:rPr>
            <w:rStyle w:val="Hyperlink"/>
            <w:rFonts w:ascii="Dubai" w:eastAsiaTheme="minorEastAsia" w:hAnsi="Dubai" w:cs="Dubai"/>
            <w:noProof w:val="0"/>
            <w:sz w:val="22"/>
            <w:rtl/>
            <w:lang w:val="en-US" w:eastAsia="zh-CN"/>
          </w:rPr>
          <w:t>)‎</w:t>
        </w:r>
      </w:hyperlink>
      <w:r w:rsidRPr="001F4474">
        <w:rPr>
          <w:u w:val="single"/>
          <w:rtl/>
        </w:rPr>
        <w:t>‏</w:t>
      </w:r>
      <w:r w:rsidRPr="001F4474">
        <w:rPr>
          <w:rtl/>
        </w:rPr>
        <w:t xml:space="preserve"> بموجب القرار ‏‎1336‎‏ (المعدَّل في ‏‎2019) للمجلس كفريق مستقل وفقاً للقرارين ‏‎102‎‏ و‎140‎‏ ‏‏(المراجَعين في بوخارست، 2022) لمؤتمر المندوبين المفوضين للاتحاد. ويقتصر الفريق على الدول الأعضاء مع إتاحة مشاورة ‏مفتوحة لجميع أصحاب المصلحة.‏</w:t>
      </w:r>
    </w:p>
    <w:p w14:paraId="03B591F8" w14:textId="22C49BC3" w:rsidR="001F4474" w:rsidRPr="001F4474" w:rsidRDefault="001F4474" w:rsidP="001F4474">
      <w:pPr>
        <w:rPr>
          <w:lang w:val="ar-SA" w:bidi="ar-EG"/>
        </w:rPr>
      </w:pPr>
      <w:r w:rsidRPr="001F4474">
        <w:t>2</w:t>
      </w:r>
      <w:r w:rsidR="00862503">
        <w:t>.</w:t>
      </w:r>
      <w:r w:rsidRPr="001F4474">
        <w:t>1</w:t>
      </w:r>
      <w:r w:rsidRPr="001F4474">
        <w:rPr>
          <w:rtl/>
        </w:rPr>
        <w:tab/>
        <w:t>تحدَد اختصاصات فريق العمل للمجلس والمعني بقضايا السياسات العامة الدولية المتعلقة بالإنترنت في القرار1336 (المعدَّل في 2019) الصادر عن المجلس.</w:t>
      </w:r>
    </w:p>
    <w:p w14:paraId="67AD8B9E" w14:textId="15E231C9" w:rsidR="001F4474" w:rsidRPr="001F4474" w:rsidRDefault="001F4474" w:rsidP="001F4474">
      <w:pPr>
        <w:rPr>
          <w:lang w:val="ar-SA" w:bidi="ar-EG"/>
        </w:rPr>
      </w:pPr>
      <w:r w:rsidRPr="001F4474">
        <w:t>3</w:t>
      </w:r>
      <w:r w:rsidR="00862503">
        <w:t>.</w:t>
      </w:r>
      <w:r w:rsidRPr="001F4474">
        <w:t>1</w:t>
      </w:r>
      <w:r w:rsidRPr="001F4474">
        <w:rPr>
          <w:rtl/>
        </w:rPr>
        <w:tab/>
        <w:t>كُلِّف المجلس بموجب القرار 102 (المراجَع في بوخارست، 2022) الصادر عن مؤتمر المندوبين المفوضين بما</w:t>
      </w:r>
      <w:r w:rsidR="00180807">
        <w:rPr>
          <w:rFonts w:hint="cs"/>
          <w:rtl/>
        </w:rPr>
        <w:t> </w:t>
      </w:r>
      <w:r w:rsidRPr="001F4474">
        <w:rPr>
          <w:rtl/>
        </w:rPr>
        <w:t>يلي:</w:t>
      </w:r>
    </w:p>
    <w:p w14:paraId="07D212E7" w14:textId="77777777" w:rsidR="001F4474" w:rsidRPr="001F4474" w:rsidRDefault="001F4474" w:rsidP="00892BB5">
      <w:pPr>
        <w:pStyle w:val="enumlev1"/>
        <w:rPr>
          <w:lang w:val="ar-SA" w:bidi="ar-EG"/>
        </w:rPr>
      </w:pPr>
      <w:r w:rsidRPr="001F4474">
        <w:rPr>
          <w:lang w:bidi="ar-EG"/>
        </w:rPr>
        <w:t>–</w:t>
      </w:r>
      <w:r w:rsidRPr="001F4474">
        <w:rPr>
          <w:rtl/>
        </w:rPr>
        <w:tab/>
        <w:t>أن يوجه فريق العمل التابع للمجلس والمعني بقضايا السياسات العامة الدولية المتعلقة بالإنترنت والمقصور ‏على الدول الأعضاء مع إتاحة المشاورة المفتوحة لجميع أصحاب المصلحة، وإجراء هذه المشاورات المفتوحة ‏وفقاً للمبادئ التوجيهية الواردة في القرار؛</w:t>
      </w:r>
    </w:p>
    <w:p w14:paraId="212BEDFA" w14:textId="55DA3204" w:rsidR="001F4474" w:rsidRPr="001F4474" w:rsidRDefault="001F4474" w:rsidP="00892BB5">
      <w:pPr>
        <w:pStyle w:val="enumlev1"/>
        <w:rPr>
          <w:lang w:val="ar-SA" w:bidi="ar-EG"/>
        </w:rPr>
      </w:pPr>
      <w:r w:rsidRPr="001F4474">
        <w:rPr>
          <w:lang w:bidi="ar-EG"/>
        </w:rPr>
        <w:t>–</w:t>
      </w:r>
      <w:r w:rsidRPr="001F4474">
        <w:rPr>
          <w:rtl/>
        </w:rPr>
        <w:tab/>
        <w:t>أن يأخذ في اعتباره التقارير السنوية التي تقدمها الأمينة العامة ومديرو المكاتب ويتخذ التدابير المناسبة لكي ي</w:t>
      </w:r>
      <w:r w:rsidR="00180807">
        <w:rPr>
          <w:rFonts w:hint="cs"/>
          <w:rtl/>
        </w:rPr>
        <w:t>ُ</w:t>
      </w:r>
      <w:r w:rsidRPr="001F4474">
        <w:rPr>
          <w:rtl/>
        </w:rPr>
        <w:t>سهم بشكل فعّال في تنفيذ هذا القرار والمبادرات الدولية المتعلقة بهذا القرار، ضمن ولاية الاتحاد؛</w:t>
      </w:r>
    </w:p>
    <w:p w14:paraId="2D55634B" w14:textId="2EBD9E7E" w:rsidR="001F4474" w:rsidRPr="001F4474" w:rsidRDefault="001F4474" w:rsidP="00892BB5">
      <w:pPr>
        <w:pStyle w:val="enumlev1"/>
        <w:rPr>
          <w:lang w:val="ar-SA" w:bidi="ar-EG"/>
        </w:rPr>
      </w:pPr>
      <w:r w:rsidRPr="001F4474">
        <w:rPr>
          <w:lang w:bidi="ar-EG"/>
        </w:rPr>
        <w:t>–</w:t>
      </w:r>
      <w:r w:rsidRPr="001F4474">
        <w:rPr>
          <w:rtl/>
        </w:rPr>
        <w:tab/>
        <w:t xml:space="preserve">أن ينظر في تقارير فريق العمل </w:t>
      </w:r>
      <w:r w:rsidRPr="001F4474">
        <w:rPr>
          <w:lang w:bidi="ar-EG"/>
        </w:rPr>
        <w:t>CWG-Internet</w:t>
      </w:r>
      <w:r w:rsidRPr="001F4474">
        <w:rPr>
          <w:rtl/>
        </w:rPr>
        <w:t xml:space="preserve"> وأن يتخذ الإجراءات اللازمة حسب الاقتضاء؛</w:t>
      </w:r>
    </w:p>
    <w:p w14:paraId="3FCEF50F" w14:textId="3B7615D9" w:rsidR="001F4474" w:rsidRPr="001F4474" w:rsidRDefault="001F4474" w:rsidP="00892BB5">
      <w:pPr>
        <w:pStyle w:val="enumlev1"/>
        <w:rPr>
          <w:lang w:val="ar-SA" w:bidi="ar-EG"/>
        </w:rPr>
      </w:pPr>
      <w:r w:rsidRPr="001F4474">
        <w:rPr>
          <w:lang w:bidi="ar-EG"/>
        </w:rPr>
        <w:t>–</w:t>
      </w:r>
      <w:r w:rsidRPr="001F4474">
        <w:rPr>
          <w:rtl/>
        </w:rPr>
        <w:tab/>
        <w:t>أن يقدم تقريراً إلى مؤتمر المندوبين المفوضين لعام ‏‎2026‎‏ عن الأنشطة المضطلَع بها والإنجازات المحققة ‏بشأن تنفيذ هذا القرار، بما في ذلك مقترحات للنظر فيها حسب الاقتضاء</w:t>
      </w:r>
      <w:r w:rsidR="00180807">
        <w:rPr>
          <w:rFonts w:hint="cs"/>
          <w:rtl/>
        </w:rPr>
        <w:t>.</w:t>
      </w:r>
    </w:p>
    <w:p w14:paraId="019C1EDD" w14:textId="77777777" w:rsidR="001F4474" w:rsidRPr="001F4474" w:rsidRDefault="001F4474" w:rsidP="00892BB5">
      <w:pPr>
        <w:pStyle w:val="Heading1"/>
        <w:rPr>
          <w:lang w:val="ar-SA" w:bidi="ar-EG"/>
        </w:rPr>
      </w:pPr>
      <w:r w:rsidRPr="001F4474">
        <w:rPr>
          <w:rtl/>
        </w:rPr>
        <w:t>2</w:t>
      </w:r>
      <w:r w:rsidRPr="001F4474">
        <w:rPr>
          <w:rtl/>
        </w:rPr>
        <w:tab/>
        <w:t xml:space="preserve">أنشطة فريق العمل التابع للمجلس والمعني بقضايا السياسات العامة الدولية المتعلقة بالإنترنت </w:t>
      </w:r>
      <w:r w:rsidRPr="001F4474">
        <w:rPr>
          <w:lang w:bidi="ar-EG"/>
        </w:rPr>
        <w:t>(CWG-Internet</w:t>
      </w:r>
      <w:r w:rsidRPr="001F4474">
        <w:t>)</w:t>
      </w:r>
    </w:p>
    <w:p w14:paraId="5D58B2AA" w14:textId="5CC7D5F1" w:rsidR="001F4474" w:rsidRPr="001F4474" w:rsidRDefault="001F4474" w:rsidP="001F4474">
      <w:pPr>
        <w:rPr>
          <w:bCs/>
          <w:lang w:val="ar-SA" w:bidi="ar-EG"/>
        </w:rPr>
      </w:pPr>
      <w:r w:rsidRPr="001F4474">
        <w:t>1</w:t>
      </w:r>
      <w:r w:rsidR="00862503">
        <w:t>.</w:t>
      </w:r>
      <w:r w:rsidRPr="001F4474">
        <w:t>2</w:t>
      </w:r>
      <w:r w:rsidRPr="001F4474">
        <w:rPr>
          <w:rtl/>
        </w:rPr>
        <w:tab/>
        <w:t>عقد فريق العمل اجتماعيه العشرين والحادي والعشرين في 4 أكتوبر 2024 وفي 19-20 فبراير 2025، على التوالي، في مقر الاتحاد في جنيف، سويسرا.</w:t>
      </w:r>
    </w:p>
    <w:p w14:paraId="2ECB0E4F" w14:textId="533E0986" w:rsidR="001F4474" w:rsidRPr="001F4474" w:rsidRDefault="001F4474" w:rsidP="001F4474">
      <w:pPr>
        <w:rPr>
          <w:lang w:val="ar-SA" w:bidi="ar-EG"/>
        </w:rPr>
      </w:pPr>
      <w:r w:rsidRPr="001F4474">
        <w:t>2</w:t>
      </w:r>
      <w:r w:rsidR="00862503">
        <w:t>.</w:t>
      </w:r>
      <w:r w:rsidRPr="001F4474">
        <w:t>2</w:t>
      </w:r>
      <w:r w:rsidRPr="001F4474">
        <w:rPr>
          <w:rtl/>
        </w:rPr>
        <w:tab/>
        <w:t xml:space="preserve">ووافق الفريق على تقريري </w:t>
      </w:r>
      <w:r w:rsidRPr="00180807">
        <w:rPr>
          <w:rtl/>
        </w:rPr>
        <w:t xml:space="preserve">الاجتماعين </w:t>
      </w:r>
      <w:hyperlink r:id="rId13" w:history="1">
        <w:r w:rsidRPr="00180807">
          <w:rPr>
            <w:rStyle w:val="Hyperlink"/>
            <w:rFonts w:ascii="Dubai" w:eastAsiaTheme="minorEastAsia" w:hAnsi="Dubai" w:cs="Dubai"/>
            <w:noProof w:val="0"/>
            <w:sz w:val="22"/>
            <w:rtl/>
            <w:lang w:val="en-US" w:eastAsia="zh-CN"/>
          </w:rPr>
          <w:t>العشرين</w:t>
        </w:r>
      </w:hyperlink>
      <w:r w:rsidRPr="001F4474">
        <w:rPr>
          <w:rtl/>
        </w:rPr>
        <w:t xml:space="preserve"> و</w:t>
      </w:r>
      <w:hyperlink r:id="rId14" w:history="1">
        <w:r w:rsidRPr="001F4474">
          <w:rPr>
            <w:rStyle w:val="Hyperlink"/>
            <w:rFonts w:ascii="Dubai" w:eastAsiaTheme="minorEastAsia" w:hAnsi="Dubai" w:cs="Dubai"/>
            <w:noProof w:val="0"/>
            <w:sz w:val="22"/>
            <w:rtl/>
            <w:lang w:val="en-US" w:eastAsia="zh-CN"/>
          </w:rPr>
          <w:t>الحادي والعشرين</w:t>
        </w:r>
      </w:hyperlink>
      <w:r w:rsidRPr="001F4474">
        <w:rPr>
          <w:rtl/>
        </w:rPr>
        <w:t>.</w:t>
      </w:r>
    </w:p>
    <w:p w14:paraId="3EF0B6E1" w14:textId="65A63328" w:rsidR="001F4474" w:rsidRPr="001F4474" w:rsidRDefault="001F4474" w:rsidP="001F4474">
      <w:pPr>
        <w:rPr>
          <w:spacing w:val="-4"/>
          <w:lang w:val="ar-SA" w:bidi="ar-EG"/>
        </w:rPr>
      </w:pPr>
      <w:r w:rsidRPr="001F4474">
        <w:t>3</w:t>
      </w:r>
      <w:r w:rsidR="00862503">
        <w:t>.</w:t>
      </w:r>
      <w:r w:rsidRPr="001F4474">
        <w:t>2</w:t>
      </w:r>
      <w:r w:rsidRPr="001F4474">
        <w:rPr>
          <w:rtl/>
        </w:rPr>
        <w:tab/>
        <w:t xml:space="preserve">وفي الاجتماع العشرين، ناقش الفريق نتائج المشاورة المفتوحة فضلاً عن المساهمات الواردة من الأعضاء، </w:t>
      </w:r>
      <w:r w:rsidRPr="001F4474">
        <w:rPr>
          <w:spacing w:val="-4"/>
          <w:rtl/>
        </w:rPr>
        <w:t xml:space="preserve">وأطلق المشاورة المفتوحة التالية بشأن الموضوع والأسئلة التالية على النحو الذي اتفق عليه الفريق في اجتماعه </w:t>
      </w:r>
      <w:hyperlink r:id="rId15" w:history="1">
        <w:r w:rsidRPr="001F4474">
          <w:rPr>
            <w:rStyle w:val="Hyperlink"/>
            <w:rFonts w:ascii="Dubai" w:eastAsiaTheme="minorEastAsia" w:hAnsi="Dubai" w:cs="Dubai"/>
            <w:noProof w:val="0"/>
            <w:spacing w:val="-4"/>
            <w:sz w:val="22"/>
            <w:rtl/>
            <w:lang w:val="en-US" w:eastAsia="zh-CN"/>
          </w:rPr>
          <w:t>التاسع عشر</w:t>
        </w:r>
      </w:hyperlink>
      <w:r w:rsidRPr="001F4474">
        <w:rPr>
          <w:spacing w:val="-4"/>
          <w:lang w:bidi="ar-EG"/>
        </w:rPr>
        <w:t>:</w:t>
      </w:r>
    </w:p>
    <w:p w14:paraId="33A4A8D6" w14:textId="2D1870F1" w:rsidR="001F4474" w:rsidRPr="00892BB5" w:rsidRDefault="001F4474" w:rsidP="00892BB5">
      <w:pPr>
        <w:pStyle w:val="Headingb0"/>
        <w:rPr>
          <w:lang w:val="ar-SA" w:bidi="ar-EG"/>
        </w:rPr>
      </w:pPr>
      <w:r w:rsidRPr="00892BB5">
        <w:rPr>
          <w:rtl/>
        </w:rPr>
        <w:t>دور السياسة العامة في تعزيز تعدد اللغات في شبكة الإنترنت</w:t>
      </w:r>
    </w:p>
    <w:p w14:paraId="4EEDDE14" w14:textId="77777777" w:rsidR="001F4474" w:rsidRPr="001F4474" w:rsidRDefault="001F4474" w:rsidP="001F4474">
      <w:pPr>
        <w:rPr>
          <w:i/>
          <w:iCs/>
          <w:lang w:val="ar-SA" w:bidi="ar-EG"/>
        </w:rPr>
      </w:pPr>
      <w:r w:rsidRPr="001F4474">
        <w:rPr>
          <w:i/>
          <w:iCs/>
        </w:rPr>
        <w:t>1</w:t>
      </w:r>
      <w:r w:rsidRPr="001F4474">
        <w:rPr>
          <w:rtl/>
        </w:rPr>
        <w:tab/>
      </w:r>
      <w:r w:rsidRPr="001F4474">
        <w:rPr>
          <w:i/>
          <w:iCs/>
          <w:rtl/>
        </w:rPr>
        <w:t>ما الذي يمكن أن يفعله الاتحاد وأعضاؤه وأصحاب المصلحة الآخرون لضمان أن تصبح الإنترنت متعددة اللغات بطبيعتها وبالتالي في متناول المزيد من سكان العالم؟</w:t>
      </w:r>
    </w:p>
    <w:p w14:paraId="166D71EC" w14:textId="77777777" w:rsidR="001F4474" w:rsidRPr="001F4474" w:rsidRDefault="001F4474" w:rsidP="001F4474">
      <w:pPr>
        <w:rPr>
          <w:i/>
          <w:iCs/>
          <w:lang w:val="ar-SA" w:bidi="ar-EG"/>
        </w:rPr>
      </w:pPr>
      <w:r w:rsidRPr="001F4474">
        <w:rPr>
          <w:i/>
          <w:iCs/>
        </w:rPr>
        <w:t>2</w:t>
      </w:r>
      <w:r w:rsidRPr="001F4474">
        <w:rPr>
          <w:rtl/>
        </w:rPr>
        <w:tab/>
      </w:r>
      <w:r w:rsidRPr="001F4474">
        <w:rPr>
          <w:i/>
          <w:iCs/>
          <w:rtl/>
        </w:rPr>
        <w:t xml:space="preserve">ما هي فوائد وتحديات تعدد اللغات في الإنترنت، بما في ذلك من خلال القبول أو عدم القبول </w:t>
      </w:r>
      <w:proofErr w:type="spellStart"/>
      <w:r w:rsidRPr="001F4474">
        <w:rPr>
          <w:i/>
          <w:iCs/>
          <w:rtl/>
        </w:rPr>
        <w:t>المدوَّل</w:t>
      </w:r>
      <w:proofErr w:type="spellEnd"/>
      <w:r w:rsidRPr="001F4474">
        <w:rPr>
          <w:i/>
          <w:iCs/>
          <w:rtl/>
        </w:rPr>
        <w:t xml:space="preserve"> ‏لأسماء الميادين الدولية </w:t>
      </w:r>
      <w:r w:rsidRPr="001F4474">
        <w:rPr>
          <w:i/>
          <w:iCs/>
          <w:lang w:bidi="ar-EG"/>
        </w:rPr>
        <w:t>(IDN</w:t>
      </w:r>
      <w:r w:rsidRPr="001F4474">
        <w:rPr>
          <w:i/>
          <w:iCs/>
        </w:rPr>
        <w:t>)</w:t>
      </w:r>
      <w:r w:rsidRPr="001F4474">
        <w:rPr>
          <w:i/>
          <w:iCs/>
          <w:rtl/>
        </w:rPr>
        <w:t>، من حيث الجوانب التقنية والاقتصادية والأمنية والثقافية وبناء ‏القدرات؟</w:t>
      </w:r>
    </w:p>
    <w:p w14:paraId="7FB8173D" w14:textId="4E5383BC" w:rsidR="001F4474" w:rsidRPr="001F4474" w:rsidRDefault="001F4474" w:rsidP="001F4474">
      <w:pPr>
        <w:rPr>
          <w:lang w:val="ar-SA" w:bidi="ar-EG"/>
        </w:rPr>
      </w:pPr>
      <w:r w:rsidRPr="001F4474">
        <w:t>4</w:t>
      </w:r>
      <w:r w:rsidR="00862503">
        <w:t>.</w:t>
      </w:r>
      <w:r w:rsidRPr="001F4474">
        <w:t>2</w:t>
      </w:r>
      <w:r w:rsidRPr="001F4474">
        <w:rPr>
          <w:rtl/>
        </w:rPr>
        <w:tab/>
        <w:t>في الاجتماع الحادي والعشرين، ناقش الفريق نتائج المشاورة المفتوحة فضلاً عن المساهمات الواردة من الأعضاء، ووافق على الإجراءات التالية:</w:t>
      </w:r>
    </w:p>
    <w:p w14:paraId="54607B51" w14:textId="77777777" w:rsidR="001F4474" w:rsidRPr="001F4474" w:rsidRDefault="001F4474" w:rsidP="001F4474">
      <w:pPr>
        <w:rPr>
          <w:lang w:val="ar-SA" w:bidi="ar-EG"/>
        </w:rPr>
      </w:pPr>
      <w:bookmarkStart w:id="1" w:name="dbreak3"/>
      <w:r w:rsidRPr="001F4474">
        <w:rPr>
          <w:rtl/>
        </w:rPr>
        <w:t>ستطلق أمانة الاتحاد الجولة المقبلة من المشاورات المفتوحة (فبراير - سبتمبر 2025) بشأن الموضوع:</w:t>
      </w:r>
    </w:p>
    <w:p w14:paraId="1467AB85" w14:textId="6CE9175E" w:rsidR="001F4474" w:rsidRPr="00892BB5" w:rsidRDefault="001F4474" w:rsidP="00892BB5">
      <w:pPr>
        <w:pStyle w:val="Headingb0"/>
        <w:rPr>
          <w:lang w:bidi="ar-EG"/>
        </w:rPr>
      </w:pPr>
      <w:r w:rsidRPr="00892BB5">
        <w:rPr>
          <w:rtl/>
        </w:rPr>
        <w:t xml:space="preserve">ضمان تحقيق توصيلية هادفة بالإنترنت للبلدان النامية الماحطة باليابسة </w:t>
      </w:r>
      <w:r w:rsidRPr="00892BB5">
        <w:rPr>
          <w:lang w:bidi="ar-EG"/>
        </w:rPr>
        <w:t>(LLDC</w:t>
      </w:r>
      <w:r w:rsidRPr="00892BB5">
        <w:t>)</w:t>
      </w:r>
    </w:p>
    <w:p w14:paraId="682BBFAB" w14:textId="783B8ECB" w:rsidR="001F4474" w:rsidRPr="00E656DA" w:rsidRDefault="001F4474" w:rsidP="00324DA1">
      <w:pPr>
        <w:rPr>
          <w:i/>
          <w:iCs/>
          <w:spacing w:val="-6"/>
          <w:lang w:val="ar-SA" w:bidi="ar-EG"/>
        </w:rPr>
      </w:pPr>
      <w:r w:rsidRPr="00810F16">
        <w:rPr>
          <w:i/>
          <w:iCs/>
        </w:rPr>
        <w:t>1</w:t>
      </w:r>
      <w:r w:rsidRPr="00810F16">
        <w:rPr>
          <w:i/>
          <w:iCs/>
          <w:rtl/>
        </w:rPr>
        <w:tab/>
      </w:r>
      <w:r w:rsidRPr="00E656DA">
        <w:rPr>
          <w:i/>
          <w:iCs/>
          <w:spacing w:val="-6"/>
          <w:rtl/>
        </w:rPr>
        <w:t>ما هي الاستراتيجيات التي يمكن اعتمادها لضمان تحقيق توصيلية هادفة بالإنترنت للبلدان النامية المحاطة باليابسة؟</w:t>
      </w:r>
    </w:p>
    <w:p w14:paraId="7164DF5B" w14:textId="1FE1E720" w:rsidR="001F4474" w:rsidRPr="00810F16" w:rsidRDefault="001F4474" w:rsidP="00324DA1">
      <w:pPr>
        <w:rPr>
          <w:i/>
          <w:iCs/>
          <w:lang w:val="ar-SA" w:bidi="ar-EG"/>
        </w:rPr>
      </w:pPr>
      <w:r w:rsidRPr="00810F16">
        <w:rPr>
          <w:i/>
          <w:iCs/>
        </w:rPr>
        <w:t>2</w:t>
      </w:r>
      <w:r w:rsidRPr="00810F16">
        <w:rPr>
          <w:i/>
          <w:iCs/>
          <w:rtl/>
        </w:rPr>
        <w:tab/>
        <w:t>ما هي التحديات الفريدة التي تواجهها البلدان النامية المحاطة باليابسة في تحقيق توصيلية هادفة بالإنترنت، وما هي السياسات والتدابير المحددة التي يمكن اتخاذها، ولا سيما فيما يتعلق بما يلي:</w:t>
      </w:r>
    </w:p>
    <w:p w14:paraId="45D996E7" w14:textId="7DB47366" w:rsidR="001F4474" w:rsidRPr="00810F16" w:rsidRDefault="00892BB5" w:rsidP="00324DA1">
      <w:pPr>
        <w:pStyle w:val="enumlev1"/>
        <w:rPr>
          <w:i/>
          <w:iCs/>
          <w:lang w:val="ar-SA" w:bidi="ar-EG"/>
        </w:rPr>
      </w:pPr>
      <w:r w:rsidRPr="00810F16">
        <w:rPr>
          <w:i/>
          <w:iCs/>
        </w:rPr>
        <w:t>–</w:t>
      </w:r>
      <w:r w:rsidR="001F4474" w:rsidRPr="00810F16">
        <w:rPr>
          <w:i/>
          <w:iCs/>
          <w:rtl/>
        </w:rPr>
        <w:tab/>
        <w:t>القدرة على تحمل التكاليف</w:t>
      </w:r>
    </w:p>
    <w:p w14:paraId="477EE4AC" w14:textId="77777777" w:rsidR="001F4474" w:rsidRPr="00810F16" w:rsidRDefault="001F4474" w:rsidP="00324DA1">
      <w:pPr>
        <w:pStyle w:val="enumlev1"/>
        <w:rPr>
          <w:i/>
          <w:iCs/>
          <w:lang w:val="ar-SA" w:bidi="ar-EG"/>
        </w:rPr>
      </w:pPr>
      <w:r w:rsidRPr="00810F16">
        <w:rPr>
          <w:i/>
          <w:iCs/>
          <w:lang w:bidi="ar-EG"/>
        </w:rPr>
        <w:t>–</w:t>
      </w:r>
      <w:r w:rsidRPr="00810F16">
        <w:rPr>
          <w:i/>
          <w:iCs/>
          <w:rtl/>
        </w:rPr>
        <w:tab/>
        <w:t>جودة عرض النطاق أو الاتصالات</w:t>
      </w:r>
    </w:p>
    <w:p w14:paraId="6A1782A2" w14:textId="03CFF3F0" w:rsidR="001F4474" w:rsidRPr="00810F16" w:rsidRDefault="001F4474" w:rsidP="00324DA1">
      <w:pPr>
        <w:pStyle w:val="enumlev1"/>
        <w:rPr>
          <w:i/>
          <w:iCs/>
          <w:lang w:val="ar-SA" w:bidi="ar-EG"/>
        </w:rPr>
      </w:pPr>
      <w:r w:rsidRPr="00810F16">
        <w:rPr>
          <w:i/>
          <w:iCs/>
          <w:lang w:bidi="ar-EG"/>
        </w:rPr>
        <w:lastRenderedPageBreak/>
        <w:t>–</w:t>
      </w:r>
      <w:r w:rsidRPr="00810F16">
        <w:rPr>
          <w:i/>
          <w:iCs/>
          <w:rtl/>
        </w:rPr>
        <w:tab/>
        <w:t>الاستثمار</w:t>
      </w:r>
    </w:p>
    <w:p w14:paraId="22FB6D20" w14:textId="77777777" w:rsidR="001F4474" w:rsidRPr="00810F16" w:rsidRDefault="001F4474" w:rsidP="00324DA1">
      <w:pPr>
        <w:pStyle w:val="enumlev1"/>
        <w:rPr>
          <w:i/>
          <w:iCs/>
          <w:lang w:val="ar-SA" w:bidi="ar-EG"/>
        </w:rPr>
      </w:pPr>
      <w:r w:rsidRPr="00810F16">
        <w:rPr>
          <w:i/>
          <w:iCs/>
          <w:lang w:bidi="ar-EG"/>
        </w:rPr>
        <w:t>–</w:t>
      </w:r>
      <w:r w:rsidRPr="00810F16">
        <w:rPr>
          <w:i/>
          <w:iCs/>
          <w:rtl/>
        </w:rPr>
        <w:tab/>
        <w:t>البنية التحتية</w:t>
      </w:r>
    </w:p>
    <w:p w14:paraId="22962A29" w14:textId="77777777" w:rsidR="001F4474" w:rsidRPr="00810F16" w:rsidRDefault="001F4474" w:rsidP="00324DA1">
      <w:pPr>
        <w:pStyle w:val="enumlev1"/>
        <w:rPr>
          <w:i/>
          <w:iCs/>
          <w:lang w:val="ar-SA" w:bidi="ar-EG"/>
        </w:rPr>
      </w:pPr>
      <w:r w:rsidRPr="00810F16">
        <w:rPr>
          <w:i/>
          <w:iCs/>
          <w:lang w:bidi="ar-EG"/>
        </w:rPr>
        <w:t>–</w:t>
      </w:r>
      <w:r w:rsidRPr="00810F16">
        <w:rPr>
          <w:i/>
          <w:iCs/>
          <w:rtl/>
        </w:rPr>
        <w:tab/>
        <w:t xml:space="preserve">بيئة </w:t>
      </w:r>
      <w:proofErr w:type="spellStart"/>
      <w:r w:rsidRPr="00810F16">
        <w:rPr>
          <w:i/>
          <w:iCs/>
          <w:rtl/>
        </w:rPr>
        <w:t>مؤاتية</w:t>
      </w:r>
      <w:proofErr w:type="spellEnd"/>
    </w:p>
    <w:p w14:paraId="75DC2FF2" w14:textId="77777777" w:rsidR="001F4474" w:rsidRPr="00810F16" w:rsidRDefault="001F4474" w:rsidP="00324DA1">
      <w:pPr>
        <w:pStyle w:val="enumlev1"/>
        <w:rPr>
          <w:i/>
          <w:iCs/>
          <w:lang w:val="ar-SA" w:bidi="ar-EG"/>
        </w:rPr>
      </w:pPr>
      <w:r w:rsidRPr="00810F16">
        <w:rPr>
          <w:i/>
          <w:iCs/>
          <w:lang w:bidi="ar-EG"/>
        </w:rPr>
        <w:t>–</w:t>
      </w:r>
      <w:r w:rsidRPr="00810F16">
        <w:rPr>
          <w:i/>
          <w:iCs/>
          <w:rtl/>
        </w:rPr>
        <w:tab/>
        <w:t>الأمن والصمود.</w:t>
      </w:r>
    </w:p>
    <w:p w14:paraId="1B285AF1" w14:textId="6013425C" w:rsidR="001F4474" w:rsidRPr="00810F16" w:rsidRDefault="001F4474" w:rsidP="00324DA1">
      <w:pPr>
        <w:rPr>
          <w:i/>
          <w:iCs/>
          <w:lang w:val="ar-SA" w:bidi="ar-EG"/>
        </w:rPr>
      </w:pPr>
      <w:r w:rsidRPr="00810F16">
        <w:rPr>
          <w:i/>
          <w:iCs/>
        </w:rPr>
        <w:t>3</w:t>
      </w:r>
      <w:r w:rsidRPr="00810F16">
        <w:rPr>
          <w:i/>
          <w:iCs/>
          <w:rtl/>
        </w:rPr>
        <w:tab/>
        <w:t>ما الذي يمكن أن يفعله أعضاء الاتحاد والحكومات وأصحاب المصلحة الآخرون، بمن فيهم من ينتمون إلى بلدان العبور، لضمان تحقيق توصيلية هادفة بالإنترنت للبلدان النامية المحاطة باليابسة؟</w:t>
      </w:r>
    </w:p>
    <w:p w14:paraId="7635851F" w14:textId="77777777" w:rsidR="001F4474" w:rsidRPr="001F4474" w:rsidRDefault="001F4474" w:rsidP="00892BB5">
      <w:pPr>
        <w:pStyle w:val="Heading1"/>
        <w:rPr>
          <w:lang w:val="ar-SA" w:bidi="ar-EG"/>
        </w:rPr>
      </w:pPr>
      <w:r w:rsidRPr="001F4474">
        <w:t>3</w:t>
      </w:r>
      <w:r w:rsidRPr="001F4474">
        <w:rPr>
          <w:rtl/>
        </w:rPr>
        <w:tab/>
        <w:t>خلاصة‎</w:t>
      </w:r>
    </w:p>
    <w:p w14:paraId="7E40F197" w14:textId="7317E58A" w:rsidR="001F4474" w:rsidRPr="001F4474" w:rsidRDefault="001F4474" w:rsidP="001F4474">
      <w:pPr>
        <w:rPr>
          <w:lang w:val="ar-SA" w:bidi="ar-EG"/>
        </w:rPr>
      </w:pPr>
      <w:r w:rsidRPr="001F4474">
        <w:t>1</w:t>
      </w:r>
      <w:r w:rsidR="00862503">
        <w:t>.</w:t>
      </w:r>
      <w:r w:rsidRPr="001F4474">
        <w:t>3</w:t>
      </w:r>
      <w:r w:rsidRPr="001F4474">
        <w:rPr>
          <w:rtl/>
        </w:rPr>
        <w:tab/>
        <w:t>يُدعى المجلس إلى الإحاطة علماً بالتقرير.</w:t>
      </w:r>
    </w:p>
    <w:p w14:paraId="1C812D76" w14:textId="537C324C" w:rsidR="001F4474" w:rsidRPr="001F4474" w:rsidRDefault="001F4474" w:rsidP="001F4474">
      <w:pPr>
        <w:rPr>
          <w:lang w:val="ar-SA" w:bidi="ar-EG"/>
        </w:rPr>
      </w:pPr>
      <w:r w:rsidRPr="001F4474">
        <w:t>2</w:t>
      </w:r>
      <w:r w:rsidR="00862503">
        <w:t>.</w:t>
      </w:r>
      <w:r w:rsidRPr="001F4474">
        <w:t>3</w:t>
      </w:r>
      <w:r w:rsidRPr="001F4474">
        <w:rPr>
          <w:rtl/>
        </w:rPr>
        <w:tab/>
        <w:t>يتوجه الرئيس، نيابةً عن فريق العمل التابع للمجلس والمعني بقضايا السياسات العامة الدولية المتعلقة بالإنترنت، بشكره الخاص إلى جميع الدول الأعضاء في الاتحاد التي قدمت مساهمات وشاركت في عمل الفريق، وإلى نواب الرئيس والأمينة العامة ونائب الأمينة العامة ومديري مكاتب تقييس الاتصالات والاتصالات الراديوية وتنمية الاتصالات، وإلى الأمانة العامة على ما قدّموه من مساعدة فعّالة خلال الاجتماعين العشرين والحادي والعشرين للفريق.</w:t>
      </w:r>
    </w:p>
    <w:p w14:paraId="3BB0333C" w14:textId="5764CDF4" w:rsidR="00F50E3F" w:rsidRDefault="001F4474" w:rsidP="00DC2F58">
      <w:pPr>
        <w:spacing w:before="600"/>
        <w:ind w:left="3969"/>
        <w:jc w:val="center"/>
        <w:rPr>
          <w:lang w:bidi="ar-EG"/>
        </w:rPr>
      </w:pPr>
      <w:r w:rsidRPr="001F4474">
        <w:rPr>
          <w:rtl/>
        </w:rPr>
        <w:t xml:space="preserve">السيد </w:t>
      </w:r>
      <w:proofErr w:type="spellStart"/>
      <w:r w:rsidRPr="001F4474">
        <w:rPr>
          <w:rtl/>
        </w:rPr>
        <w:t>فويسيش</w:t>
      </w:r>
      <w:proofErr w:type="spellEnd"/>
      <w:r w:rsidRPr="001F4474">
        <w:rPr>
          <w:rtl/>
        </w:rPr>
        <w:t xml:space="preserve"> </w:t>
      </w:r>
      <w:proofErr w:type="spellStart"/>
      <w:r w:rsidRPr="001F4474">
        <w:rPr>
          <w:rtl/>
        </w:rPr>
        <w:t>برزوفسكي</w:t>
      </w:r>
      <w:proofErr w:type="spellEnd"/>
      <w:r w:rsidRPr="001F4474">
        <w:rPr>
          <w:rtl/>
        </w:rPr>
        <w:t xml:space="preserve"> (بولندا)</w:t>
      </w:r>
      <w:r w:rsidR="00892BB5">
        <w:br/>
      </w:r>
      <w:r w:rsidRPr="001F4474">
        <w:rPr>
          <w:rtl/>
        </w:rPr>
        <w:t xml:space="preserve">رئيس فريق العمل التابع للمجلس والمعني بقضايا السياسات العامة الدولية المتعلقة بالإنترنت </w:t>
      </w:r>
      <w:r w:rsidRPr="001F4474">
        <w:rPr>
          <w:lang w:bidi="ar-EG"/>
        </w:rPr>
        <w:t>(CWG-Internet</w:t>
      </w:r>
      <w:r w:rsidRPr="001F4474">
        <w:t>)</w:t>
      </w:r>
      <w:bookmarkEnd w:id="1"/>
    </w:p>
    <w:sectPr w:rsidR="00F50E3F" w:rsidSect="006F363C">
      <w:footerReference w:type="default" r:id="rId16"/>
      <w:headerReference w:type="first" r:id="rId17"/>
      <w:footerReference w:type="first" r:id="rId18"/>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42EA" w14:textId="77777777" w:rsidR="009A18CA" w:rsidRDefault="009A18CA" w:rsidP="006C3242">
      <w:pPr>
        <w:spacing w:before="0" w:line="240" w:lineRule="auto"/>
      </w:pPr>
      <w:r>
        <w:separator/>
      </w:r>
    </w:p>
  </w:endnote>
  <w:endnote w:type="continuationSeparator" w:id="0">
    <w:p w14:paraId="01435D51" w14:textId="77777777" w:rsidR="009A18CA" w:rsidRDefault="009A18C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CA0F4CE" w14:textId="77777777" w:rsidTr="00A67F05">
      <w:trPr>
        <w:jc w:val="center"/>
      </w:trPr>
      <w:tc>
        <w:tcPr>
          <w:tcW w:w="868" w:type="pct"/>
          <w:vAlign w:val="center"/>
        </w:tcPr>
        <w:p w14:paraId="1E31C689" w14:textId="291578C5" w:rsidR="00F50E3F" w:rsidRPr="007B0AA0" w:rsidRDefault="00F50E3F"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p>
      </w:tc>
      <w:tc>
        <w:tcPr>
          <w:tcW w:w="3912" w:type="pct"/>
        </w:tcPr>
        <w:p w14:paraId="769A2D23" w14:textId="5835E0BF"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1F4474">
            <w:rPr>
              <w:rFonts w:ascii="Calibri" w:hAnsi="Calibri" w:cs="Arial"/>
              <w:bCs/>
              <w:color w:val="7F7F7F"/>
              <w:sz w:val="18"/>
            </w:rPr>
            <w:t>51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3C2A0D6"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5DC4C1E"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0494E298" w14:textId="77777777" w:rsidTr="00A67F05">
      <w:trPr>
        <w:jc w:val="center"/>
      </w:trPr>
      <w:tc>
        <w:tcPr>
          <w:tcW w:w="1013" w:type="pct"/>
          <w:vAlign w:val="center"/>
        </w:tcPr>
        <w:p w14:paraId="2DCBA664"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78BB0AD7" w14:textId="78C5771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1F4474">
            <w:rPr>
              <w:rFonts w:ascii="Calibri" w:hAnsi="Calibri" w:cs="Arial"/>
              <w:bCs/>
              <w:color w:val="7F7F7F"/>
              <w:sz w:val="18"/>
            </w:rPr>
            <w:t>51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A9BC301"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EC5A3E7"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818A" w14:textId="77777777" w:rsidR="009A18CA" w:rsidRDefault="009A18CA" w:rsidP="006C3242">
      <w:pPr>
        <w:spacing w:before="0" w:line="240" w:lineRule="auto"/>
      </w:pPr>
      <w:r>
        <w:separator/>
      </w:r>
    </w:p>
  </w:footnote>
  <w:footnote w:type="continuationSeparator" w:id="0">
    <w:p w14:paraId="2B1E466D" w14:textId="77777777" w:rsidR="009A18CA" w:rsidRDefault="009A18C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9FD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6DCC3E" wp14:editId="5F4119FF">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A0582"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F8F43AC" wp14:editId="1623F6E0">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2B"/>
    <w:rsid w:val="0006468A"/>
    <w:rsid w:val="00090574"/>
    <w:rsid w:val="00093669"/>
    <w:rsid w:val="000C1C0E"/>
    <w:rsid w:val="000C548A"/>
    <w:rsid w:val="00167116"/>
    <w:rsid w:val="00180807"/>
    <w:rsid w:val="00191059"/>
    <w:rsid w:val="001A1204"/>
    <w:rsid w:val="001B6E2B"/>
    <w:rsid w:val="001C0169"/>
    <w:rsid w:val="001C0C21"/>
    <w:rsid w:val="001D1D50"/>
    <w:rsid w:val="001D64C7"/>
    <w:rsid w:val="001D6745"/>
    <w:rsid w:val="001E446E"/>
    <w:rsid w:val="001F4474"/>
    <w:rsid w:val="002154EE"/>
    <w:rsid w:val="002276D2"/>
    <w:rsid w:val="0023283D"/>
    <w:rsid w:val="0024455A"/>
    <w:rsid w:val="00254393"/>
    <w:rsid w:val="0026373E"/>
    <w:rsid w:val="00271C43"/>
    <w:rsid w:val="00290728"/>
    <w:rsid w:val="002978F4"/>
    <w:rsid w:val="002B028D"/>
    <w:rsid w:val="002C3F32"/>
    <w:rsid w:val="002E6541"/>
    <w:rsid w:val="002E702E"/>
    <w:rsid w:val="00317A96"/>
    <w:rsid w:val="00324DA1"/>
    <w:rsid w:val="00334924"/>
    <w:rsid w:val="003409BC"/>
    <w:rsid w:val="003422A2"/>
    <w:rsid w:val="00357185"/>
    <w:rsid w:val="00383829"/>
    <w:rsid w:val="003F4B29"/>
    <w:rsid w:val="00420F8A"/>
    <w:rsid w:val="0042686F"/>
    <w:rsid w:val="004317D8"/>
    <w:rsid w:val="0043260A"/>
    <w:rsid w:val="00434183"/>
    <w:rsid w:val="00443869"/>
    <w:rsid w:val="00447F32"/>
    <w:rsid w:val="00491BA9"/>
    <w:rsid w:val="004A1E1A"/>
    <w:rsid w:val="004A4701"/>
    <w:rsid w:val="004B7334"/>
    <w:rsid w:val="004E11DC"/>
    <w:rsid w:val="005130DE"/>
    <w:rsid w:val="00513157"/>
    <w:rsid w:val="00525DDD"/>
    <w:rsid w:val="005409AC"/>
    <w:rsid w:val="005434E0"/>
    <w:rsid w:val="00544A8E"/>
    <w:rsid w:val="005546CF"/>
    <w:rsid w:val="0055516A"/>
    <w:rsid w:val="0058491B"/>
    <w:rsid w:val="00592EA5"/>
    <w:rsid w:val="005A3170"/>
    <w:rsid w:val="005D5A3B"/>
    <w:rsid w:val="00657AE1"/>
    <w:rsid w:val="00660DEA"/>
    <w:rsid w:val="00677396"/>
    <w:rsid w:val="0069200F"/>
    <w:rsid w:val="006A65CB"/>
    <w:rsid w:val="006B12E5"/>
    <w:rsid w:val="006C3242"/>
    <w:rsid w:val="006C7CC0"/>
    <w:rsid w:val="006F363C"/>
    <w:rsid w:val="006F63F7"/>
    <w:rsid w:val="007025C7"/>
    <w:rsid w:val="00706D7A"/>
    <w:rsid w:val="00722F0D"/>
    <w:rsid w:val="0074420E"/>
    <w:rsid w:val="007648A6"/>
    <w:rsid w:val="0077110E"/>
    <w:rsid w:val="00775F91"/>
    <w:rsid w:val="00783E26"/>
    <w:rsid w:val="007A6684"/>
    <w:rsid w:val="007B0AA0"/>
    <w:rsid w:val="007C2CA5"/>
    <w:rsid w:val="007C3BC7"/>
    <w:rsid w:val="007C3BCD"/>
    <w:rsid w:val="007C3C66"/>
    <w:rsid w:val="007D4ACF"/>
    <w:rsid w:val="007F0787"/>
    <w:rsid w:val="007F6390"/>
    <w:rsid w:val="00810B7B"/>
    <w:rsid w:val="00810F16"/>
    <w:rsid w:val="00815167"/>
    <w:rsid w:val="0082358A"/>
    <w:rsid w:val="008235CD"/>
    <w:rsid w:val="008247DE"/>
    <w:rsid w:val="008339C0"/>
    <w:rsid w:val="00840B10"/>
    <w:rsid w:val="00847FDE"/>
    <w:rsid w:val="008513CB"/>
    <w:rsid w:val="00862503"/>
    <w:rsid w:val="00874E9F"/>
    <w:rsid w:val="00885F9B"/>
    <w:rsid w:val="00892BB5"/>
    <w:rsid w:val="008A7F84"/>
    <w:rsid w:val="0091702E"/>
    <w:rsid w:val="00923B0C"/>
    <w:rsid w:val="00924F46"/>
    <w:rsid w:val="00935AAC"/>
    <w:rsid w:val="0094021C"/>
    <w:rsid w:val="00952F86"/>
    <w:rsid w:val="00982B28"/>
    <w:rsid w:val="009A18CA"/>
    <w:rsid w:val="009D313F"/>
    <w:rsid w:val="009D6679"/>
    <w:rsid w:val="00A47A5A"/>
    <w:rsid w:val="00A53D32"/>
    <w:rsid w:val="00A63AE6"/>
    <w:rsid w:val="00A6683B"/>
    <w:rsid w:val="00A67F05"/>
    <w:rsid w:val="00A97F94"/>
    <w:rsid w:val="00AA7EA2"/>
    <w:rsid w:val="00B03099"/>
    <w:rsid w:val="00B05BC8"/>
    <w:rsid w:val="00B30F5E"/>
    <w:rsid w:val="00B64B47"/>
    <w:rsid w:val="00B95654"/>
    <w:rsid w:val="00B97F32"/>
    <w:rsid w:val="00BA04B2"/>
    <w:rsid w:val="00C002DE"/>
    <w:rsid w:val="00C0602B"/>
    <w:rsid w:val="00C16941"/>
    <w:rsid w:val="00C224DA"/>
    <w:rsid w:val="00C53BF8"/>
    <w:rsid w:val="00C66157"/>
    <w:rsid w:val="00C674FE"/>
    <w:rsid w:val="00C67501"/>
    <w:rsid w:val="00C75633"/>
    <w:rsid w:val="00C9015E"/>
    <w:rsid w:val="00CE2EE1"/>
    <w:rsid w:val="00CE3349"/>
    <w:rsid w:val="00CE36E5"/>
    <w:rsid w:val="00CE4360"/>
    <w:rsid w:val="00CF27F5"/>
    <w:rsid w:val="00CF3FFD"/>
    <w:rsid w:val="00D10CCF"/>
    <w:rsid w:val="00D13941"/>
    <w:rsid w:val="00D23F5F"/>
    <w:rsid w:val="00D43F7D"/>
    <w:rsid w:val="00D63735"/>
    <w:rsid w:val="00D75E2B"/>
    <w:rsid w:val="00D77D0F"/>
    <w:rsid w:val="00DA1CF0"/>
    <w:rsid w:val="00DC1E02"/>
    <w:rsid w:val="00DC24B4"/>
    <w:rsid w:val="00DC2F58"/>
    <w:rsid w:val="00DC5FB0"/>
    <w:rsid w:val="00DF16DC"/>
    <w:rsid w:val="00E127D6"/>
    <w:rsid w:val="00E45211"/>
    <w:rsid w:val="00E473C5"/>
    <w:rsid w:val="00E61BE8"/>
    <w:rsid w:val="00E656DA"/>
    <w:rsid w:val="00E83FF1"/>
    <w:rsid w:val="00E92863"/>
    <w:rsid w:val="00E979B2"/>
    <w:rsid w:val="00EB796D"/>
    <w:rsid w:val="00EC1458"/>
    <w:rsid w:val="00F058DC"/>
    <w:rsid w:val="00F24FC4"/>
    <w:rsid w:val="00F2676C"/>
    <w:rsid w:val="00F33F3B"/>
    <w:rsid w:val="00F363FE"/>
    <w:rsid w:val="00F50E3F"/>
    <w:rsid w:val="00F84366"/>
    <w:rsid w:val="00F85089"/>
    <w:rsid w:val="00F92B1D"/>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088B2"/>
  <w15:chartTrackingRefBased/>
  <w15:docId w15:val="{30583FD2-49CE-47CA-A296-2C516476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317A96"/>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Headingb0">
    <w:name w:val="Heading b"/>
    <w:basedOn w:val="Normal"/>
    <w:qFormat/>
    <w:rsid w:val="00892BB5"/>
    <w:rPr>
      <w:b/>
      <w:bCs/>
      <w:i/>
      <w:iCs/>
    </w:rPr>
  </w:style>
  <w:style w:type="paragraph" w:customStyle="1" w:styleId="Headignb">
    <w:name w:val="Headign b"/>
    <w:basedOn w:val="enumlev1"/>
    <w:qFormat/>
    <w:rsid w:val="00892BB5"/>
    <w:rPr>
      <w:b/>
      <w:bCs/>
      <w:i/>
      <w:iCs/>
    </w:rPr>
  </w:style>
  <w:style w:type="character" w:styleId="FollowedHyperlink">
    <w:name w:val="FollowedHyperlink"/>
    <w:basedOn w:val="DefaultParagraphFont"/>
    <w:uiPriority w:val="99"/>
    <w:semiHidden/>
    <w:unhideWhenUsed/>
    <w:rsid w:val="00885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02-A.pdf" TargetMode="External"/><Relationship Id="rId13" Type="http://schemas.openxmlformats.org/officeDocument/2006/relationships/hyperlink" Target="https://www.itu.int/md/S24-RCLINTPOL20-C-0006/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cwg-internet/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40/en" TargetMode="External"/><Relationship Id="rId5" Type="http://schemas.openxmlformats.org/officeDocument/2006/relationships/webSettings" Target="webSettings.xml"/><Relationship Id="rId15" Type="http://schemas.openxmlformats.org/officeDocument/2006/relationships/hyperlink" Target="https://www.itu.int/md/S24-RCLINTPOL19-C-0007/en" TargetMode="External"/><Relationship Id="rId10" Type="http://schemas.openxmlformats.org/officeDocument/2006/relationships/hyperlink" Target="https://www.itu.int/md/S19-CL-C-013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40-A.pdf" TargetMode="External"/><Relationship Id="rId14" Type="http://schemas.openxmlformats.org/officeDocument/2006/relationships/hyperlink" Target="https://www.itu.int/md/S25-RCLINTPOL21-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07\2500697%5b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3</Pages>
  <Words>711</Words>
  <Characters>4098</Characters>
  <Application>Microsoft Office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Council Working Group on international Internet-related public policy issues</dc:title>
  <dc:subject>ITU Council 2025</dc:subject>
  <cp:keywords>C2025, C25, Council-25</cp:keywords>
  <dc:description/>
  <dcterms:created xsi:type="dcterms:W3CDTF">2025-05-21T13:39:00Z</dcterms:created>
  <dcterms:modified xsi:type="dcterms:W3CDTF">2025-05-21T13:40:00Z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