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13E5E" w14:paraId="40964D4A" w14:textId="77777777" w:rsidTr="00DA770A">
        <w:trPr>
          <w:cantSplit/>
          <w:trHeight w:val="23"/>
        </w:trPr>
        <w:tc>
          <w:tcPr>
            <w:tcW w:w="3969" w:type="dxa"/>
            <w:vMerge w:val="restart"/>
            <w:tcMar>
              <w:left w:w="0" w:type="dxa"/>
            </w:tcMar>
          </w:tcPr>
          <w:p w14:paraId="6CAC328C" w14:textId="524ECFEC" w:rsidR="00796BD3" w:rsidRPr="00E85629" w:rsidRDefault="0033025A" w:rsidP="00DA770A">
            <w:pPr>
              <w:tabs>
                <w:tab w:val="clear" w:pos="1588"/>
                <w:tab w:val="clear" w:pos="1985"/>
                <w:tab w:val="left" w:pos="851"/>
                <w:tab w:val="center" w:pos="1930"/>
              </w:tabs>
              <w:spacing w:before="0" w:line="240" w:lineRule="atLeast"/>
              <w:rPr>
                <w:b/>
              </w:rPr>
            </w:pPr>
            <w:bookmarkStart w:id="0" w:name="dmeeting" w:colFirst="0" w:colLast="0"/>
            <w:bookmarkStart w:id="1" w:name="dnum" w:colFirst="1" w:colLast="1"/>
            <w:bookmarkStart w:id="2" w:name="_Hlk133421839"/>
            <w:r w:rsidRPr="0033025A">
              <w:rPr>
                <w:b/>
              </w:rPr>
              <w:t>Пункт повестки дня:</w:t>
            </w:r>
            <w:r w:rsidR="0086677D">
              <w:rPr>
                <w:b/>
              </w:rPr>
              <w:t xml:space="preserve"> </w:t>
            </w:r>
            <w:r w:rsidR="0086677D" w:rsidRPr="0086677D">
              <w:rPr>
                <w:b/>
                <w:bCs/>
                <w:lang w:val="ru-RU"/>
              </w:rPr>
              <w:t>ADM 1</w:t>
            </w:r>
          </w:p>
        </w:tc>
        <w:tc>
          <w:tcPr>
            <w:tcW w:w="5245" w:type="dxa"/>
          </w:tcPr>
          <w:p w14:paraId="251C0FC9" w14:textId="1312EAEF" w:rsidR="00796BD3" w:rsidRPr="00E85629" w:rsidRDefault="0033025A" w:rsidP="00DA770A">
            <w:pPr>
              <w:tabs>
                <w:tab w:val="left" w:pos="851"/>
              </w:tabs>
              <w:spacing w:before="0" w:line="240" w:lineRule="atLeast"/>
              <w:jc w:val="right"/>
              <w:rPr>
                <w:b/>
              </w:rPr>
            </w:pPr>
            <w:r w:rsidRPr="0033025A">
              <w:rPr>
                <w:b/>
              </w:rPr>
              <w:t xml:space="preserve">Документ </w:t>
            </w:r>
            <w:r w:rsidR="00796BD3">
              <w:rPr>
                <w:b/>
              </w:rPr>
              <w:t>C2</w:t>
            </w:r>
            <w:r w:rsidR="00D631AA">
              <w:rPr>
                <w:b/>
              </w:rPr>
              <w:t>5</w:t>
            </w:r>
            <w:r w:rsidR="00796BD3">
              <w:rPr>
                <w:b/>
              </w:rPr>
              <w:t>/</w:t>
            </w:r>
            <w:r w:rsidR="0086677D" w:rsidRPr="0086677D">
              <w:rPr>
                <w:b/>
                <w:bCs/>
                <w:lang w:val="ru-RU"/>
              </w:rPr>
              <w:t>50-R</w:t>
            </w:r>
          </w:p>
        </w:tc>
      </w:tr>
      <w:tr w:rsidR="00796BD3" w:rsidRPr="00813E5E" w14:paraId="1215642C" w14:textId="77777777" w:rsidTr="00DA770A">
        <w:trPr>
          <w:cantSplit/>
        </w:trPr>
        <w:tc>
          <w:tcPr>
            <w:tcW w:w="3969" w:type="dxa"/>
            <w:vMerge/>
          </w:tcPr>
          <w:p w14:paraId="611FDD5B" w14:textId="77777777" w:rsidR="00796BD3" w:rsidRPr="00813E5E" w:rsidRDefault="00796BD3" w:rsidP="00DA770A">
            <w:pPr>
              <w:tabs>
                <w:tab w:val="left" w:pos="851"/>
              </w:tabs>
              <w:spacing w:line="240" w:lineRule="atLeast"/>
              <w:rPr>
                <w:b/>
              </w:rPr>
            </w:pPr>
            <w:bookmarkStart w:id="3" w:name="ddate" w:colFirst="1" w:colLast="1"/>
            <w:bookmarkEnd w:id="0"/>
            <w:bookmarkEnd w:id="1"/>
          </w:p>
        </w:tc>
        <w:tc>
          <w:tcPr>
            <w:tcW w:w="5245" w:type="dxa"/>
          </w:tcPr>
          <w:p w14:paraId="1E7BE538" w14:textId="6E647AA1" w:rsidR="00796BD3" w:rsidRPr="00E85629" w:rsidRDefault="0086677D" w:rsidP="00DA770A">
            <w:pPr>
              <w:tabs>
                <w:tab w:val="left" w:pos="851"/>
              </w:tabs>
              <w:spacing w:before="0"/>
              <w:jc w:val="right"/>
              <w:rPr>
                <w:b/>
              </w:rPr>
            </w:pPr>
            <w:r>
              <w:rPr>
                <w:b/>
                <w:lang w:val="ru-RU"/>
              </w:rPr>
              <w:t>8 мая 2025 г</w:t>
            </w:r>
            <w:r w:rsidR="00DE2DBD">
              <w:rPr>
                <w:b/>
                <w:lang w:val="ru-RU"/>
              </w:rPr>
              <w:t>ода</w:t>
            </w:r>
          </w:p>
        </w:tc>
      </w:tr>
      <w:tr w:rsidR="00796BD3" w:rsidRPr="00813E5E" w14:paraId="626011B6" w14:textId="77777777" w:rsidTr="00DA770A">
        <w:trPr>
          <w:cantSplit/>
          <w:trHeight w:val="23"/>
        </w:trPr>
        <w:tc>
          <w:tcPr>
            <w:tcW w:w="3969" w:type="dxa"/>
            <w:vMerge/>
          </w:tcPr>
          <w:p w14:paraId="59B0A2C1" w14:textId="77777777" w:rsidR="00796BD3" w:rsidRPr="00813E5E" w:rsidRDefault="00796BD3" w:rsidP="00DA770A">
            <w:pPr>
              <w:tabs>
                <w:tab w:val="left" w:pos="851"/>
              </w:tabs>
              <w:spacing w:line="240" w:lineRule="atLeast"/>
              <w:rPr>
                <w:b/>
              </w:rPr>
            </w:pPr>
            <w:bookmarkStart w:id="4" w:name="dorlang" w:colFirst="1" w:colLast="1"/>
            <w:bookmarkEnd w:id="3"/>
          </w:p>
        </w:tc>
        <w:tc>
          <w:tcPr>
            <w:tcW w:w="5245" w:type="dxa"/>
          </w:tcPr>
          <w:p w14:paraId="6860BDD9" w14:textId="77777777" w:rsidR="00796BD3" w:rsidRPr="00E85629" w:rsidRDefault="0033025A" w:rsidP="00DA770A">
            <w:pPr>
              <w:tabs>
                <w:tab w:val="left" w:pos="851"/>
              </w:tabs>
              <w:spacing w:before="0" w:line="240" w:lineRule="atLeast"/>
              <w:jc w:val="right"/>
              <w:rPr>
                <w:b/>
              </w:rPr>
            </w:pPr>
            <w:r w:rsidRPr="0033025A">
              <w:rPr>
                <w:b/>
              </w:rPr>
              <w:t>Оригинал: английский</w:t>
            </w:r>
          </w:p>
        </w:tc>
      </w:tr>
      <w:tr w:rsidR="00796BD3" w:rsidRPr="00813E5E" w14:paraId="64C1BD21" w14:textId="77777777" w:rsidTr="00DA770A">
        <w:trPr>
          <w:cantSplit/>
          <w:trHeight w:val="23"/>
        </w:trPr>
        <w:tc>
          <w:tcPr>
            <w:tcW w:w="3969" w:type="dxa"/>
          </w:tcPr>
          <w:p w14:paraId="1A9451D4" w14:textId="77777777" w:rsidR="00796BD3" w:rsidRPr="00813E5E" w:rsidRDefault="00796BD3" w:rsidP="00DA770A">
            <w:pPr>
              <w:tabs>
                <w:tab w:val="left" w:pos="851"/>
              </w:tabs>
              <w:spacing w:line="240" w:lineRule="atLeast"/>
              <w:rPr>
                <w:b/>
              </w:rPr>
            </w:pPr>
          </w:p>
        </w:tc>
        <w:tc>
          <w:tcPr>
            <w:tcW w:w="5245" w:type="dxa"/>
          </w:tcPr>
          <w:p w14:paraId="4713FC45" w14:textId="77777777" w:rsidR="00796BD3" w:rsidRDefault="00796BD3" w:rsidP="00DA770A">
            <w:pPr>
              <w:tabs>
                <w:tab w:val="left" w:pos="851"/>
              </w:tabs>
              <w:spacing w:before="0" w:line="240" w:lineRule="atLeast"/>
              <w:jc w:val="right"/>
              <w:rPr>
                <w:b/>
              </w:rPr>
            </w:pPr>
          </w:p>
        </w:tc>
      </w:tr>
      <w:tr w:rsidR="00796BD3" w:rsidRPr="001C2A1E" w14:paraId="3E5464B4" w14:textId="77777777" w:rsidTr="00DA770A">
        <w:trPr>
          <w:cantSplit/>
        </w:trPr>
        <w:tc>
          <w:tcPr>
            <w:tcW w:w="9214" w:type="dxa"/>
            <w:gridSpan w:val="2"/>
            <w:tcMar>
              <w:left w:w="0" w:type="dxa"/>
            </w:tcMar>
          </w:tcPr>
          <w:p w14:paraId="77818190" w14:textId="4E0166CC" w:rsidR="00796BD3" w:rsidRPr="0086677D" w:rsidRDefault="0086677D" w:rsidP="00DA770A">
            <w:pPr>
              <w:pStyle w:val="Source"/>
              <w:jc w:val="left"/>
              <w:rPr>
                <w:sz w:val="32"/>
                <w:szCs w:val="32"/>
                <w:lang w:val="ru-RU"/>
              </w:rPr>
            </w:pPr>
            <w:bookmarkStart w:id="5" w:name="dsource" w:colFirst="0" w:colLast="0"/>
            <w:bookmarkEnd w:id="4"/>
            <w:r w:rsidRPr="0086677D">
              <w:rPr>
                <w:rFonts w:cstheme="minorHAnsi"/>
                <w:bCs/>
                <w:sz w:val="32"/>
                <w:szCs w:val="32"/>
                <w:lang w:val="ru-RU"/>
              </w:rPr>
              <w:t xml:space="preserve">Отчет </w:t>
            </w:r>
            <w:r w:rsidR="0090397F">
              <w:rPr>
                <w:rFonts w:cstheme="minorHAnsi"/>
                <w:bCs/>
                <w:sz w:val="32"/>
                <w:szCs w:val="32"/>
                <w:lang w:val="ru-RU"/>
              </w:rPr>
              <w:t>П</w:t>
            </w:r>
            <w:r w:rsidRPr="0086677D">
              <w:rPr>
                <w:rFonts w:cstheme="minorHAnsi"/>
                <w:bCs/>
                <w:sz w:val="32"/>
                <w:szCs w:val="32"/>
                <w:lang w:val="ru-RU"/>
              </w:rPr>
              <w:t>редседателя Рабочей группы Совета по финансовым и</w:t>
            </w:r>
            <w:r w:rsidR="0074176F">
              <w:rPr>
                <w:rFonts w:cstheme="minorHAnsi"/>
                <w:bCs/>
                <w:sz w:val="32"/>
                <w:szCs w:val="32"/>
                <w:lang w:val="en-US"/>
              </w:rPr>
              <w:t> </w:t>
            </w:r>
            <w:r w:rsidRPr="0086677D">
              <w:rPr>
                <w:rFonts w:cstheme="minorHAnsi"/>
                <w:bCs/>
                <w:sz w:val="32"/>
                <w:szCs w:val="32"/>
                <w:lang w:val="ru-RU"/>
              </w:rPr>
              <w:t>людским ресурсам</w:t>
            </w:r>
          </w:p>
        </w:tc>
      </w:tr>
      <w:tr w:rsidR="0086677D" w:rsidRPr="001C2A1E" w14:paraId="3A636636" w14:textId="77777777" w:rsidTr="00DA770A">
        <w:trPr>
          <w:cantSplit/>
        </w:trPr>
        <w:tc>
          <w:tcPr>
            <w:tcW w:w="9214" w:type="dxa"/>
            <w:gridSpan w:val="2"/>
            <w:tcMar>
              <w:left w:w="0" w:type="dxa"/>
            </w:tcMar>
          </w:tcPr>
          <w:p w14:paraId="46A81CBD" w14:textId="7FF4CA58" w:rsidR="0086677D" w:rsidRPr="0086677D" w:rsidRDefault="00CF5E21" w:rsidP="0086677D">
            <w:pPr>
              <w:pStyle w:val="Subtitle"/>
              <w:framePr w:hSpace="0" w:wrap="auto" w:hAnchor="text" w:xAlign="left" w:yAlign="inline"/>
              <w:rPr>
                <w:sz w:val="32"/>
                <w:szCs w:val="32"/>
                <w:lang w:val="ru-RU"/>
              </w:rPr>
            </w:pPr>
            <w:bookmarkStart w:id="6" w:name="dtitle1" w:colFirst="0" w:colLast="0"/>
            <w:bookmarkEnd w:id="5"/>
            <w:r>
              <w:rPr>
                <w:color w:val="000000"/>
                <w:lang w:val="ru-RU"/>
              </w:rPr>
              <w:t>Отчет об итогах 19-го и 20-го собраний Рабочей группы Совета по финансовым и людским ресурсам</w:t>
            </w:r>
          </w:p>
        </w:tc>
      </w:tr>
      <w:tr w:rsidR="0086677D" w:rsidRPr="0086677D" w14:paraId="763A10B3" w14:textId="77777777" w:rsidTr="00DA770A">
        <w:trPr>
          <w:cantSplit/>
        </w:trPr>
        <w:tc>
          <w:tcPr>
            <w:tcW w:w="9214" w:type="dxa"/>
            <w:gridSpan w:val="2"/>
            <w:tcBorders>
              <w:top w:val="single" w:sz="4" w:space="0" w:color="auto"/>
              <w:bottom w:val="single" w:sz="4" w:space="0" w:color="auto"/>
            </w:tcBorders>
            <w:tcMar>
              <w:left w:w="0" w:type="dxa"/>
            </w:tcMar>
          </w:tcPr>
          <w:p w14:paraId="12550082" w14:textId="77777777" w:rsidR="0086677D" w:rsidRPr="0086677D" w:rsidRDefault="0086677D" w:rsidP="0086677D">
            <w:pPr>
              <w:spacing w:before="160"/>
              <w:rPr>
                <w:b/>
                <w:bCs/>
                <w:sz w:val="24"/>
                <w:szCs w:val="24"/>
                <w:lang w:val="ru-RU"/>
              </w:rPr>
            </w:pPr>
            <w:r w:rsidRPr="00D631AA">
              <w:rPr>
                <w:b/>
                <w:bCs/>
                <w:sz w:val="24"/>
                <w:szCs w:val="24"/>
                <w:lang w:val="ru-RU"/>
              </w:rPr>
              <w:t>Назначение</w:t>
            </w:r>
          </w:p>
          <w:p w14:paraId="0376CCB7" w14:textId="62C25C64" w:rsidR="0086677D" w:rsidRPr="0086677D" w:rsidRDefault="0086677D" w:rsidP="007337B0">
            <w:pPr>
              <w:jc w:val="both"/>
              <w:rPr>
                <w:lang w:val="ru-RU"/>
              </w:rPr>
            </w:pPr>
            <w:r w:rsidRPr="0086677D">
              <w:rPr>
                <w:lang w:val="ru-RU"/>
              </w:rPr>
              <w:t xml:space="preserve">В настоящем документе представлены рекомендации, сформулированные по результатам обсуждений в рамках собраний РГС-ФЛР, которые состоялись 7−9 октября 2024 года и 17−19 февраля 2025 года соответственно. Полные отчеты об этих собраниях представлены в документах </w:t>
            </w:r>
            <w:hyperlink r:id="rId8" w:history="1">
              <w:r w:rsidRPr="0086677D">
                <w:rPr>
                  <w:rStyle w:val="Hyperlink"/>
                </w:rPr>
                <w:t>CWG-FHR-19/15</w:t>
              </w:r>
            </w:hyperlink>
            <w:r w:rsidRPr="0086677D">
              <w:rPr>
                <w:lang w:val="ru-RU"/>
              </w:rPr>
              <w:t xml:space="preserve"> и </w:t>
            </w:r>
            <w:hyperlink r:id="rId9" w:history="1">
              <w:r w:rsidRPr="0086677D">
                <w:rPr>
                  <w:rStyle w:val="Hyperlink"/>
                </w:rPr>
                <w:t>CWG-FHR-20/32</w:t>
              </w:r>
            </w:hyperlink>
            <w:r w:rsidRPr="0086677D">
              <w:rPr>
                <w:lang w:val="ru-RU"/>
              </w:rPr>
              <w:t>.</w:t>
            </w:r>
          </w:p>
          <w:p w14:paraId="62013B5D" w14:textId="383C6838" w:rsidR="0086677D" w:rsidRPr="008677BA" w:rsidRDefault="0086677D" w:rsidP="007337B0">
            <w:pPr>
              <w:jc w:val="both"/>
              <w:rPr>
                <w:lang w:val="ru-RU"/>
              </w:rPr>
            </w:pPr>
            <w:r w:rsidRPr="0086677D">
              <w:rPr>
                <w:lang w:val="ru-RU"/>
              </w:rPr>
              <w:t>Для подробного ознакомления с различными мнениями, высказанными в ходе обсуждений, делегатам Совета следует обращаться к этим отчетам.</w:t>
            </w:r>
          </w:p>
          <w:p w14:paraId="644F4B34" w14:textId="77777777" w:rsidR="0086677D" w:rsidRPr="007337B0" w:rsidRDefault="0086677D" w:rsidP="0086677D">
            <w:pPr>
              <w:spacing w:before="160"/>
              <w:rPr>
                <w:b/>
                <w:bCs/>
                <w:sz w:val="24"/>
                <w:szCs w:val="24"/>
                <w:lang w:val="ru-RU"/>
              </w:rPr>
            </w:pPr>
            <w:r w:rsidRPr="00D631AA">
              <w:rPr>
                <w:b/>
                <w:bCs/>
                <w:sz w:val="24"/>
                <w:szCs w:val="24"/>
                <w:lang w:val="ru-RU"/>
              </w:rPr>
              <w:t>Необходимые действия Совета</w:t>
            </w:r>
          </w:p>
          <w:p w14:paraId="510503B9" w14:textId="3C7E1905" w:rsidR="0086677D" w:rsidRPr="005C2E6F" w:rsidRDefault="0086677D" w:rsidP="007337B0">
            <w:pPr>
              <w:jc w:val="both"/>
              <w:rPr>
                <w:lang w:val="ru-RU"/>
              </w:rPr>
            </w:pPr>
            <w:r w:rsidRPr="0086677D">
              <w:rPr>
                <w:lang w:val="ru-RU"/>
              </w:rPr>
              <w:t xml:space="preserve">Совету предлагается </w:t>
            </w:r>
            <w:r w:rsidRPr="0086677D">
              <w:rPr>
                <w:b/>
                <w:bCs/>
                <w:lang w:val="ru-RU"/>
              </w:rPr>
              <w:t>принять к сведению</w:t>
            </w:r>
            <w:r w:rsidRPr="0086677D">
              <w:rPr>
                <w:lang w:val="ru-RU"/>
              </w:rPr>
              <w:t xml:space="preserve"> результаты работы РГС-ФЛР, </w:t>
            </w:r>
            <w:r w:rsidRPr="0086677D">
              <w:rPr>
                <w:b/>
                <w:bCs/>
                <w:lang w:val="ru-RU"/>
              </w:rPr>
              <w:t xml:space="preserve">рассмотреть </w:t>
            </w:r>
            <w:r w:rsidRPr="0086677D">
              <w:rPr>
                <w:lang w:val="ru-RU"/>
              </w:rPr>
              <w:t>меры, определенные в этих отчетах, и</w:t>
            </w:r>
            <w:r w:rsidR="005C2E6F" w:rsidRPr="0086677D">
              <w:rPr>
                <w:lang w:val="ru-RU"/>
              </w:rPr>
              <w:t xml:space="preserve">, в зависимости от случая, </w:t>
            </w:r>
            <w:r w:rsidRPr="0086677D">
              <w:rPr>
                <w:lang w:val="ru-RU"/>
              </w:rPr>
              <w:t>высказать мнения</w:t>
            </w:r>
            <w:r w:rsidR="005C2E6F">
              <w:rPr>
                <w:lang w:val="ru-RU"/>
              </w:rPr>
              <w:t xml:space="preserve">, </w:t>
            </w:r>
            <w:r w:rsidRPr="0086677D">
              <w:rPr>
                <w:lang w:val="ru-RU"/>
              </w:rPr>
              <w:t xml:space="preserve">а также </w:t>
            </w:r>
            <w:r w:rsidRPr="0086677D">
              <w:rPr>
                <w:b/>
                <w:bCs/>
                <w:lang w:val="ru-RU"/>
              </w:rPr>
              <w:t>утвердить</w:t>
            </w:r>
            <w:r w:rsidRPr="0086677D">
              <w:rPr>
                <w:lang w:val="ru-RU"/>
              </w:rPr>
              <w:t xml:space="preserve"> </w:t>
            </w:r>
            <w:hyperlink w:anchor="Annex_A" w:history="1">
              <w:r w:rsidR="007337B0" w:rsidRPr="007337B0">
                <w:rPr>
                  <w:rStyle w:val="Hyperlink"/>
                </w:rPr>
                <w:t>Приложен</w:t>
              </w:r>
              <w:r w:rsidR="007337B0" w:rsidRPr="007337B0">
                <w:rPr>
                  <w:rStyle w:val="Hyperlink"/>
                </w:rPr>
                <w:t>и</w:t>
              </w:r>
              <w:r w:rsidR="007337B0" w:rsidRPr="007337B0">
                <w:rPr>
                  <w:rStyle w:val="Hyperlink"/>
                </w:rPr>
                <w:t>е A</w:t>
              </w:r>
            </w:hyperlink>
            <w:r w:rsidR="007337B0" w:rsidRPr="007337B0">
              <w:rPr>
                <w:lang w:val="ru-RU"/>
              </w:rPr>
              <w:t xml:space="preserve"> </w:t>
            </w:r>
            <w:r w:rsidRPr="0086677D">
              <w:rPr>
                <w:lang w:val="ru-RU"/>
              </w:rPr>
              <w:t xml:space="preserve">и </w:t>
            </w:r>
            <w:r w:rsidRPr="0086677D">
              <w:rPr>
                <w:b/>
                <w:bCs/>
                <w:lang w:val="ru-RU"/>
              </w:rPr>
              <w:t>одобрить</w:t>
            </w:r>
            <w:r w:rsidR="007337B0" w:rsidRPr="007337B0">
              <w:rPr>
                <w:b/>
                <w:bCs/>
                <w:lang w:val="ru-RU"/>
              </w:rPr>
              <w:t xml:space="preserve"> </w:t>
            </w:r>
            <w:hyperlink w:anchor="AnnexB" w:history="1">
              <w:r w:rsidR="007337B0" w:rsidRPr="007337B0">
                <w:rPr>
                  <w:rStyle w:val="Hyperlink"/>
                </w:rPr>
                <w:t>Прилож</w:t>
              </w:r>
              <w:r w:rsidR="007337B0" w:rsidRPr="007337B0">
                <w:rPr>
                  <w:rStyle w:val="Hyperlink"/>
                </w:rPr>
                <w:t>е</w:t>
              </w:r>
              <w:r w:rsidR="007337B0" w:rsidRPr="007337B0">
                <w:rPr>
                  <w:rStyle w:val="Hyperlink"/>
                </w:rPr>
                <w:t>ние В</w:t>
              </w:r>
            </w:hyperlink>
            <w:r w:rsidRPr="0086677D">
              <w:rPr>
                <w:lang w:val="ru-RU"/>
              </w:rPr>
              <w:t xml:space="preserve"> к настоящему документу.</w:t>
            </w:r>
          </w:p>
          <w:p w14:paraId="486CB762" w14:textId="77777777" w:rsidR="0086677D" w:rsidRPr="00D631AA" w:rsidRDefault="0086677D" w:rsidP="0086677D">
            <w:pPr>
              <w:spacing w:before="160"/>
              <w:rPr>
                <w:b/>
                <w:bCs/>
                <w:sz w:val="24"/>
                <w:szCs w:val="24"/>
                <w:lang w:val="ru-RU"/>
              </w:rPr>
            </w:pPr>
            <w:r w:rsidRPr="00D631AA">
              <w:rPr>
                <w:b/>
                <w:bCs/>
                <w:sz w:val="24"/>
                <w:szCs w:val="24"/>
                <w:lang w:val="ru-RU"/>
              </w:rPr>
              <w:t>Соответствующая увязка со Стратегическим планом</w:t>
            </w:r>
          </w:p>
          <w:p w14:paraId="0DC40904" w14:textId="3E0AF495" w:rsidR="0086677D" w:rsidRPr="008677BA" w:rsidRDefault="0086677D" w:rsidP="0086677D">
            <w:pPr>
              <w:rPr>
                <w:lang w:val="ru-RU"/>
              </w:rPr>
            </w:pPr>
            <w:r w:rsidRPr="0086677D">
              <w:rPr>
                <w:lang w:val="ru-RU"/>
              </w:rPr>
              <w:t>Платформы для созыва мероприятий; развитие людских ресурсов и организационные инновации.</w:t>
            </w:r>
          </w:p>
          <w:p w14:paraId="349A8CD6" w14:textId="77777777" w:rsidR="0086677D" w:rsidRPr="0086677D" w:rsidRDefault="0086677D" w:rsidP="0086677D">
            <w:pPr>
              <w:spacing w:before="160"/>
              <w:rPr>
                <w:b/>
                <w:bCs/>
                <w:sz w:val="24"/>
                <w:szCs w:val="24"/>
                <w:lang w:val="ru-RU"/>
              </w:rPr>
            </w:pPr>
            <w:r w:rsidRPr="00D631AA">
              <w:rPr>
                <w:b/>
                <w:bCs/>
                <w:sz w:val="24"/>
                <w:szCs w:val="24"/>
                <w:lang w:val="ru-RU"/>
              </w:rPr>
              <w:t>Финансовые последствия</w:t>
            </w:r>
          </w:p>
          <w:p w14:paraId="2819B1EE" w14:textId="376979D6" w:rsidR="0086677D" w:rsidRPr="008677BA" w:rsidRDefault="0086677D" w:rsidP="0086677D">
            <w:pPr>
              <w:spacing w:before="160"/>
              <w:rPr>
                <w:szCs w:val="22"/>
                <w:lang w:val="ru-RU"/>
              </w:rPr>
            </w:pPr>
            <w:r w:rsidRPr="0086677D">
              <w:rPr>
                <w:szCs w:val="22"/>
                <w:lang w:val="ru-RU"/>
              </w:rPr>
              <w:t>В рамках выделенного бюджета на 2024−2025 годы.</w:t>
            </w:r>
          </w:p>
          <w:p w14:paraId="7CCBB62C" w14:textId="77777777" w:rsidR="0086677D" w:rsidRPr="0086677D" w:rsidRDefault="0086677D" w:rsidP="0086677D">
            <w:pPr>
              <w:spacing w:before="160"/>
              <w:rPr>
                <w:caps/>
                <w:sz w:val="20"/>
                <w:szCs w:val="18"/>
                <w:lang w:val="ru-RU"/>
              </w:rPr>
            </w:pPr>
            <w:r w:rsidRPr="0086677D">
              <w:rPr>
                <w:sz w:val="20"/>
                <w:szCs w:val="18"/>
                <w:lang w:val="ru-RU"/>
              </w:rPr>
              <w:t>__________________</w:t>
            </w:r>
          </w:p>
          <w:p w14:paraId="2E18B776" w14:textId="77777777" w:rsidR="0086677D" w:rsidRPr="0086677D" w:rsidRDefault="0086677D" w:rsidP="0086677D">
            <w:pPr>
              <w:spacing w:before="160"/>
              <w:rPr>
                <w:b/>
                <w:bCs/>
                <w:sz w:val="26"/>
                <w:szCs w:val="26"/>
                <w:lang w:val="ru-RU"/>
              </w:rPr>
            </w:pPr>
            <w:r w:rsidRPr="0086677D">
              <w:rPr>
                <w:b/>
                <w:bCs/>
                <w:sz w:val="24"/>
                <w:szCs w:val="24"/>
                <w:lang w:val="ru-RU"/>
              </w:rPr>
              <w:t>Справочные материалы</w:t>
            </w:r>
          </w:p>
          <w:p w14:paraId="0542FEEA" w14:textId="3719BD45" w:rsidR="0086677D" w:rsidRPr="0086677D" w:rsidRDefault="0086677D" w:rsidP="0086677D">
            <w:pPr>
              <w:spacing w:after="160"/>
              <w:rPr>
                <w:i/>
                <w:iCs/>
                <w:lang w:val="ru-RU"/>
              </w:rPr>
            </w:pPr>
            <w:r w:rsidRPr="0086677D">
              <w:rPr>
                <w:i/>
                <w:iCs/>
                <w:lang w:val="ru-RU"/>
              </w:rPr>
              <w:t xml:space="preserve">Документ </w:t>
            </w:r>
            <w:hyperlink r:id="rId10" w:history="1">
              <w:r w:rsidRPr="005C2E6F">
                <w:rPr>
                  <w:rStyle w:val="Hyperlink"/>
                  <w:i/>
                  <w:iCs/>
                </w:rPr>
                <w:t>C24/50</w:t>
              </w:r>
            </w:hyperlink>
            <w:r w:rsidRPr="0086677D">
              <w:rPr>
                <w:i/>
                <w:iCs/>
                <w:lang w:val="ru-RU"/>
              </w:rPr>
              <w:t xml:space="preserve"> и </w:t>
            </w:r>
            <w:hyperlink r:id="rId11" w:history="1">
              <w:r w:rsidRPr="005C2E6F">
                <w:rPr>
                  <w:rStyle w:val="Hyperlink"/>
                  <w:i/>
                  <w:iCs/>
                </w:rPr>
                <w:t>Решение 563 (Изм</w:t>
              </w:r>
              <w:r w:rsidR="00DE2DBD">
                <w:rPr>
                  <w:rStyle w:val="Hyperlink"/>
                  <w:i/>
                  <w:iCs/>
                </w:rPr>
                <w:t>.</w:t>
              </w:r>
              <w:r w:rsidRPr="005C2E6F">
                <w:rPr>
                  <w:rStyle w:val="Hyperlink"/>
                  <w:i/>
                  <w:iCs/>
                </w:rPr>
                <w:t>, 2023 г.) Совета</w:t>
              </w:r>
            </w:hyperlink>
          </w:p>
        </w:tc>
      </w:tr>
      <w:bookmarkEnd w:id="2"/>
      <w:bookmarkEnd w:id="6"/>
    </w:tbl>
    <w:p w14:paraId="2C9F9DFC" w14:textId="77777777" w:rsidR="00796BD3" w:rsidRPr="005C2E6F" w:rsidRDefault="00796BD3" w:rsidP="00796BD3">
      <w:pPr>
        <w:rPr>
          <w:lang w:val="ru-RU"/>
        </w:rPr>
      </w:pPr>
    </w:p>
    <w:p w14:paraId="027CA93D" w14:textId="77777777" w:rsidR="00165D06" w:rsidRPr="0086677D" w:rsidRDefault="00165D06">
      <w:pPr>
        <w:tabs>
          <w:tab w:val="clear" w:pos="794"/>
          <w:tab w:val="clear" w:pos="1191"/>
          <w:tab w:val="clear" w:pos="1588"/>
          <w:tab w:val="clear" w:pos="1985"/>
        </w:tabs>
        <w:overflowPunct/>
        <w:autoSpaceDE/>
        <w:autoSpaceDN/>
        <w:adjustRightInd/>
        <w:spacing w:before="0"/>
        <w:textAlignment w:val="auto"/>
        <w:rPr>
          <w:lang w:val="ru-RU"/>
        </w:rPr>
      </w:pPr>
      <w:r w:rsidRPr="0086677D">
        <w:rPr>
          <w:lang w:val="ru-RU"/>
        </w:rPr>
        <w:br w:type="page"/>
      </w:r>
    </w:p>
    <w:p w14:paraId="13F4A75E" w14:textId="499BECD1" w:rsidR="0086677D" w:rsidRPr="0086677D" w:rsidRDefault="0086677D" w:rsidP="007337B0">
      <w:pPr>
        <w:jc w:val="both"/>
        <w:rPr>
          <w:color w:val="000000"/>
          <w:lang w:val="ru-RU"/>
        </w:rPr>
      </w:pPr>
      <w:r>
        <w:rPr>
          <w:lang w:val="ru-RU"/>
        </w:rPr>
        <w:lastRenderedPageBreak/>
        <w:t>Рабочую группу Совета по финансовым и людским ресурсам (РГС-ФЛР) возглавляет г</w:t>
      </w:r>
      <w:r w:rsidR="00A751D2">
        <w:rPr>
          <w:lang w:val="ru-RU"/>
        </w:rPr>
        <w:noBreakHyphen/>
      </w:r>
      <w:r>
        <w:rPr>
          <w:lang w:val="ru-RU"/>
        </w:rPr>
        <w:t xml:space="preserve">жа Вернита Д. Харрис (Соединенные Штаты Америки), которой оказывают содействие следующие шесть заместителей Председателя: </w:t>
      </w:r>
      <w:r w:rsidR="00DE2DBD" w:rsidRPr="00FB404F">
        <w:rPr>
          <w:lang w:val="ru-RU"/>
        </w:rPr>
        <w:t>АФР</w:t>
      </w:r>
      <w:r>
        <w:rPr>
          <w:lang w:val="ru-RU"/>
        </w:rPr>
        <w:t xml:space="preserve"> </w:t>
      </w:r>
      <w:r w:rsidR="00DE2DBD">
        <w:rPr>
          <w:lang w:val="ru-RU"/>
        </w:rPr>
        <w:t>−</w:t>
      </w:r>
      <w:r>
        <w:rPr>
          <w:lang w:val="ru-RU"/>
        </w:rPr>
        <w:t xml:space="preserve"> г-жа Сейнабу Сиссе</w:t>
      </w:r>
      <w:r w:rsidR="005C2E6F">
        <w:rPr>
          <w:lang w:val="ru-RU"/>
        </w:rPr>
        <w:t xml:space="preserve"> Сек</w:t>
      </w:r>
      <w:r>
        <w:rPr>
          <w:lang w:val="ru-RU"/>
        </w:rPr>
        <w:t xml:space="preserve"> (Сенегал), </w:t>
      </w:r>
      <w:r w:rsidR="00DE2DBD">
        <w:rPr>
          <w:lang w:val="ru-RU"/>
        </w:rPr>
        <w:t>АМР</w:t>
      </w:r>
      <w:r>
        <w:rPr>
          <w:lang w:val="ru-RU"/>
        </w:rPr>
        <w:t xml:space="preserve"> </w:t>
      </w:r>
      <w:r w:rsidR="00DE2DBD">
        <w:rPr>
          <w:lang w:val="ru-RU"/>
        </w:rPr>
        <w:t>−</w:t>
      </w:r>
      <w:r>
        <w:rPr>
          <w:lang w:val="ru-RU"/>
        </w:rPr>
        <w:t xml:space="preserve"> г-н Роналду Моура (Бразилия), </w:t>
      </w:r>
      <w:r w:rsidR="00DE2DBD">
        <w:rPr>
          <w:lang w:val="ru-RU"/>
        </w:rPr>
        <w:t>АРБ</w:t>
      </w:r>
      <w:r>
        <w:rPr>
          <w:lang w:val="ru-RU"/>
        </w:rPr>
        <w:t xml:space="preserve"> </w:t>
      </w:r>
      <w:r w:rsidR="00DE2DBD">
        <w:rPr>
          <w:lang w:val="ru-RU"/>
        </w:rPr>
        <w:t>−</w:t>
      </w:r>
      <w:r>
        <w:rPr>
          <w:lang w:val="ru-RU"/>
        </w:rPr>
        <w:t xml:space="preserve"> г-жа Ноха Гаафар (Египет), </w:t>
      </w:r>
      <w:r w:rsidR="00DE2DBD">
        <w:rPr>
          <w:lang w:val="ru-RU"/>
        </w:rPr>
        <w:t>АТР</w:t>
      </w:r>
      <w:r>
        <w:rPr>
          <w:lang w:val="ru-RU"/>
        </w:rPr>
        <w:t xml:space="preserve"> </w:t>
      </w:r>
      <w:r w:rsidR="00DE2DBD">
        <w:rPr>
          <w:lang w:val="ru-RU"/>
        </w:rPr>
        <w:t>−</w:t>
      </w:r>
      <w:r>
        <w:rPr>
          <w:lang w:val="ru-RU"/>
        </w:rPr>
        <w:t xml:space="preserve"> (делегат покинул свой пост, должность вакантна), СНГ </w:t>
      </w:r>
      <w:r w:rsidR="00DE2DBD">
        <w:rPr>
          <w:lang w:val="ru-RU"/>
        </w:rPr>
        <w:t>−</w:t>
      </w:r>
      <w:r>
        <w:rPr>
          <w:lang w:val="ru-RU"/>
        </w:rPr>
        <w:t xml:space="preserve"> г-н Эржан Мейрамов (Казахстан), </w:t>
      </w:r>
      <w:r w:rsidR="00DE2DBD">
        <w:rPr>
          <w:lang w:val="ru-RU"/>
        </w:rPr>
        <w:t>ЕВР</w:t>
      </w:r>
      <w:r>
        <w:rPr>
          <w:lang w:val="ru-RU"/>
        </w:rPr>
        <w:t xml:space="preserve"> </w:t>
      </w:r>
      <w:r w:rsidR="00DE2DBD">
        <w:rPr>
          <w:lang w:val="ru-RU"/>
        </w:rPr>
        <w:t>−</w:t>
      </w:r>
      <w:r>
        <w:rPr>
          <w:lang w:val="ru-RU"/>
        </w:rPr>
        <w:t xml:space="preserve"> г-н Сабольч Сентлелеки (Венгрия).</w:t>
      </w:r>
    </w:p>
    <w:p w14:paraId="2BC57BD2" w14:textId="0CEAD60C" w:rsidR="0086677D" w:rsidRPr="0086677D" w:rsidRDefault="0086677D" w:rsidP="007337B0">
      <w:pPr>
        <w:pStyle w:val="Heading1"/>
        <w:jc w:val="both"/>
        <w:rPr>
          <w:lang w:val="ru-RU"/>
        </w:rPr>
      </w:pPr>
      <w:r>
        <w:rPr>
          <w:bCs/>
          <w:lang w:val="ru-RU"/>
        </w:rPr>
        <w:t>1</w:t>
      </w:r>
      <w:r>
        <w:rPr>
          <w:lang w:val="ru-RU"/>
        </w:rPr>
        <w:tab/>
      </w:r>
      <w:r>
        <w:rPr>
          <w:bCs/>
          <w:lang w:val="ru-RU"/>
        </w:rPr>
        <w:t xml:space="preserve">Вклад Российской Федерации </w:t>
      </w:r>
      <w:r w:rsidR="00DE2DBD">
        <w:rPr>
          <w:bCs/>
          <w:lang w:val="ru-RU"/>
        </w:rPr>
        <w:t>−</w:t>
      </w:r>
      <w:r>
        <w:rPr>
          <w:bCs/>
          <w:lang w:val="ru-RU"/>
        </w:rPr>
        <w:t xml:space="preserve"> Замечания по проекту повестки дня собрания Рабочей группы Совета по финансовым и людским ресурсам</w:t>
      </w:r>
      <w:r w:rsidR="00DE2DBD">
        <w:rPr>
          <w:bCs/>
          <w:lang w:val="ru-RU"/>
        </w:rPr>
        <w:t>−</w:t>
      </w:r>
      <w:r>
        <w:rPr>
          <w:bCs/>
          <w:lang w:val="ru-RU"/>
        </w:rPr>
        <w:t xml:space="preserve"> </w:t>
      </w:r>
      <w:r w:rsidRPr="005C2E6F">
        <w:rPr>
          <w:bCs/>
          <w:lang w:val="ru-RU"/>
        </w:rPr>
        <w:t xml:space="preserve">Документ </w:t>
      </w:r>
      <w:hyperlink r:id="rId12" w:history="1">
        <w:r w:rsidRPr="005C2E6F">
          <w:rPr>
            <w:rStyle w:val="Hyperlink"/>
            <w:bCs/>
          </w:rPr>
          <w:t>CWG-FHR-20/21</w:t>
        </w:r>
      </w:hyperlink>
    </w:p>
    <w:p w14:paraId="522BE361" w14:textId="77777777" w:rsidR="0086677D" w:rsidRPr="0086677D" w:rsidRDefault="0086677D" w:rsidP="007337B0">
      <w:pPr>
        <w:jc w:val="both"/>
        <w:rPr>
          <w:lang w:val="ru-RU"/>
        </w:rPr>
      </w:pPr>
      <w:r w:rsidRPr="00236212">
        <w:rPr>
          <w:lang w:val="ru-RU"/>
        </w:rPr>
        <w:t>1.1</w:t>
      </w:r>
      <w:r>
        <w:rPr>
          <w:lang w:val="ru-RU"/>
        </w:rPr>
        <w:tab/>
        <w:t>Делегаты приняли к сведению вклад Российской Федерации.</w:t>
      </w:r>
    </w:p>
    <w:p w14:paraId="78BEF400" w14:textId="427A85A2" w:rsidR="0086677D" w:rsidRPr="0086677D" w:rsidRDefault="0086677D" w:rsidP="007337B0">
      <w:pPr>
        <w:pStyle w:val="Heading1"/>
        <w:jc w:val="both"/>
        <w:rPr>
          <w:b w:val="0"/>
          <w:lang w:val="ru-RU"/>
        </w:rPr>
      </w:pPr>
      <w:r>
        <w:rPr>
          <w:bCs/>
          <w:lang w:val="ru-RU"/>
        </w:rPr>
        <w:t>2</w:t>
      </w:r>
      <w:r>
        <w:rPr>
          <w:lang w:val="ru-RU"/>
        </w:rPr>
        <w:tab/>
      </w:r>
      <w:r>
        <w:rPr>
          <w:bCs/>
          <w:lang w:val="ru-RU"/>
        </w:rPr>
        <w:t xml:space="preserve">Укрепление регионального присутствия: Отчет онлайновой группы, работающей по переписке, для разработки круга ведения для МСЭ в целях проведения обзора регионального присутствия в соответствии с Резолюцией 25 </w:t>
      </w:r>
      <w:r w:rsidR="00DE2DBD">
        <w:rPr>
          <w:bCs/>
          <w:lang w:val="ru-RU"/>
        </w:rPr>
        <w:t>−</w:t>
      </w:r>
      <w:r>
        <w:rPr>
          <w:bCs/>
          <w:lang w:val="ru-RU"/>
        </w:rPr>
        <w:t xml:space="preserve"> Документы </w:t>
      </w:r>
      <w:hyperlink r:id="rId13" w:history="1">
        <w:r w:rsidRPr="005C2E6F">
          <w:rPr>
            <w:rStyle w:val="Hyperlink"/>
            <w:bCs/>
          </w:rPr>
          <w:t>CWG-FHR-20/2</w:t>
        </w:r>
      </w:hyperlink>
      <w:r>
        <w:rPr>
          <w:bCs/>
          <w:lang w:val="ru-RU"/>
        </w:rPr>
        <w:t xml:space="preserve"> и </w:t>
      </w:r>
      <w:hyperlink r:id="rId14" w:history="1">
        <w:r w:rsidRPr="005C2E6F">
          <w:rPr>
            <w:rStyle w:val="Hyperlink"/>
            <w:bCs/>
          </w:rPr>
          <w:t>CWG-FHR-20/DT/1</w:t>
        </w:r>
      </w:hyperlink>
    </w:p>
    <w:p w14:paraId="50A39631" w14:textId="77777777" w:rsidR="0086677D" w:rsidRPr="0086677D" w:rsidRDefault="0086677D" w:rsidP="007337B0">
      <w:pPr>
        <w:jc w:val="both"/>
        <w:rPr>
          <w:rFonts w:asciiTheme="minorHAnsi" w:hAnsiTheme="minorHAnsi" w:cstheme="minorHAnsi"/>
          <w:color w:val="000000"/>
          <w:szCs w:val="24"/>
          <w:lang w:val="ru-RU"/>
        </w:rPr>
      </w:pPr>
      <w:r w:rsidRPr="00236212">
        <w:rPr>
          <w:lang w:val="ru-RU"/>
        </w:rPr>
        <w:t>2.1</w:t>
      </w:r>
      <w:r>
        <w:rPr>
          <w:lang w:val="ru-RU"/>
        </w:rPr>
        <w:tab/>
        <w:t>РГС рассмотрела отчет, который был представлен онлайновой группой, работающей по переписке (ОГП). В нем содержался пересмотренный круг ведения. В ходе обсуждения несколько делегатов обратились за разъяснениями и представили комментарии по ключевым аспектам пересмотренного круга ведения, включая:</w:t>
      </w:r>
    </w:p>
    <w:p w14:paraId="2EC5A8BF" w14:textId="77777777" w:rsidR="0086677D" w:rsidRPr="0086677D" w:rsidRDefault="0086677D" w:rsidP="007337B0">
      <w:pPr>
        <w:pStyle w:val="enumlev1"/>
        <w:jc w:val="both"/>
        <w:rPr>
          <w:lang w:val="ru-RU"/>
        </w:rPr>
      </w:pPr>
      <w:r>
        <w:rPr>
          <w:lang w:val="ru-RU"/>
        </w:rPr>
        <w:t>–</w:t>
      </w:r>
      <w:r>
        <w:rPr>
          <w:lang w:val="ru-RU"/>
        </w:rPr>
        <w:tab/>
        <w:t>объем и содержание консультаций с заинтересованными сторонами;</w:t>
      </w:r>
    </w:p>
    <w:p w14:paraId="6FE78425" w14:textId="77777777" w:rsidR="0086677D" w:rsidRPr="0086677D" w:rsidRDefault="0086677D" w:rsidP="007337B0">
      <w:pPr>
        <w:pStyle w:val="enumlev1"/>
        <w:jc w:val="both"/>
        <w:rPr>
          <w:lang w:val="ru-RU"/>
        </w:rPr>
      </w:pPr>
      <w:r>
        <w:rPr>
          <w:lang w:val="ru-RU"/>
        </w:rPr>
        <w:t>–</w:t>
      </w:r>
      <w:r>
        <w:rPr>
          <w:lang w:val="ru-RU"/>
        </w:rPr>
        <w:tab/>
        <w:t>согласование ключевых показателей деятельности (KPI);</w:t>
      </w:r>
    </w:p>
    <w:p w14:paraId="1FC57AB3" w14:textId="77777777" w:rsidR="0086677D" w:rsidRPr="0086677D" w:rsidRDefault="0086677D" w:rsidP="007337B0">
      <w:pPr>
        <w:pStyle w:val="enumlev1"/>
        <w:jc w:val="both"/>
        <w:rPr>
          <w:lang w:val="ru-RU"/>
        </w:rPr>
      </w:pPr>
      <w:r>
        <w:rPr>
          <w:lang w:val="ru-RU"/>
        </w:rPr>
        <w:t>–</w:t>
      </w:r>
      <w:r>
        <w:rPr>
          <w:lang w:val="ru-RU"/>
        </w:rPr>
        <w:tab/>
        <w:t>процесс рассмотрения и оценки.</w:t>
      </w:r>
    </w:p>
    <w:p w14:paraId="7600F739" w14:textId="01CA8671" w:rsidR="0086677D" w:rsidRPr="0086677D" w:rsidRDefault="0086677D" w:rsidP="007337B0">
      <w:pPr>
        <w:jc w:val="both"/>
        <w:rPr>
          <w:rFonts w:asciiTheme="minorHAnsi" w:hAnsiTheme="minorHAnsi" w:cstheme="minorHAnsi"/>
          <w:color w:val="000000"/>
          <w:szCs w:val="24"/>
          <w:lang w:val="ru-RU"/>
        </w:rPr>
      </w:pPr>
      <w:r w:rsidRPr="00236212">
        <w:rPr>
          <w:lang w:val="ru-RU"/>
        </w:rPr>
        <w:t>2.2</w:t>
      </w:r>
      <w:r>
        <w:rPr>
          <w:lang w:val="ru-RU"/>
        </w:rPr>
        <w:tab/>
        <w:t xml:space="preserve">По итогам этих обсуждений было решено, что </w:t>
      </w:r>
      <w:r w:rsidR="0090397F">
        <w:rPr>
          <w:lang w:val="ru-RU"/>
        </w:rPr>
        <w:t>П</w:t>
      </w:r>
      <w:r>
        <w:rPr>
          <w:lang w:val="ru-RU"/>
        </w:rPr>
        <w:t xml:space="preserve">редседатель ОГП проведет </w:t>
      </w:r>
      <w:r w:rsidRPr="00FB404F">
        <w:rPr>
          <w:lang w:val="ru-RU"/>
        </w:rPr>
        <w:t>не</w:t>
      </w:r>
      <w:r w:rsidR="00CF6348" w:rsidRPr="00FB404F">
        <w:rPr>
          <w:lang w:val="ru-RU"/>
        </w:rPr>
        <w:t>официальные</w:t>
      </w:r>
      <w:r w:rsidR="00CF6348">
        <w:rPr>
          <w:lang w:val="ru-RU"/>
        </w:rPr>
        <w:t xml:space="preserve"> </w:t>
      </w:r>
      <w:r>
        <w:rPr>
          <w:lang w:val="ru-RU"/>
        </w:rPr>
        <w:t xml:space="preserve">консультации с членами группы, высказавшими свои замечания и соображения. Результаты этих консультаций </w:t>
      </w:r>
      <w:r w:rsidR="00093454">
        <w:rPr>
          <w:lang w:val="ru-RU"/>
        </w:rPr>
        <w:t>планировалось</w:t>
      </w:r>
      <w:r>
        <w:rPr>
          <w:lang w:val="ru-RU"/>
        </w:rPr>
        <w:t xml:space="preserve"> </w:t>
      </w:r>
      <w:r w:rsidR="00093454">
        <w:rPr>
          <w:lang w:val="ru-RU"/>
        </w:rPr>
        <w:t xml:space="preserve">затем </w:t>
      </w:r>
      <w:r>
        <w:rPr>
          <w:lang w:val="ru-RU"/>
        </w:rPr>
        <w:t>использова</w:t>
      </w:r>
      <w:r w:rsidR="00093454">
        <w:rPr>
          <w:lang w:val="ru-RU"/>
        </w:rPr>
        <w:t>ть</w:t>
      </w:r>
      <w:r>
        <w:rPr>
          <w:lang w:val="ru-RU"/>
        </w:rPr>
        <w:t xml:space="preserve"> при подготовке пересмотренного отчета для дальнейшего рассмотрения Рабочей группой Совета.</w:t>
      </w:r>
    </w:p>
    <w:p w14:paraId="1E192984" w14:textId="5E654025" w:rsidR="0086677D" w:rsidRPr="0086677D" w:rsidRDefault="0086677D" w:rsidP="007337B0">
      <w:pPr>
        <w:jc w:val="both"/>
        <w:rPr>
          <w:rFonts w:asciiTheme="minorHAnsi" w:hAnsiTheme="minorHAnsi" w:cstheme="minorHAnsi"/>
          <w:color w:val="000000"/>
          <w:szCs w:val="24"/>
          <w:lang w:val="ru-RU"/>
        </w:rPr>
      </w:pPr>
      <w:r>
        <w:rPr>
          <w:lang w:val="ru-RU"/>
        </w:rPr>
        <w:t>2.3</w:t>
      </w:r>
      <w:r>
        <w:rPr>
          <w:lang w:val="ru-RU"/>
        </w:rPr>
        <w:tab/>
        <w:t>После завершения неофициальных консультаций в круг ведения были внесены поправки. Пересмотренный документ был впоследствии представлен на рассмотрение Рабочей группе Совета. Пересмотренный круг ведения</w:t>
      </w:r>
      <w:r w:rsidR="00093454">
        <w:rPr>
          <w:lang w:val="ru-RU"/>
        </w:rPr>
        <w:t xml:space="preserve"> </w:t>
      </w:r>
      <w:r>
        <w:rPr>
          <w:lang w:val="ru-RU"/>
        </w:rPr>
        <w:t xml:space="preserve">был </w:t>
      </w:r>
      <w:r w:rsidR="00093454">
        <w:rPr>
          <w:lang w:val="ru-RU"/>
        </w:rPr>
        <w:t>принят</w:t>
      </w:r>
      <w:r>
        <w:rPr>
          <w:lang w:val="ru-RU"/>
        </w:rPr>
        <w:t xml:space="preserve"> </w:t>
      </w:r>
      <w:r w:rsidR="00093454">
        <w:rPr>
          <w:lang w:val="ru-RU"/>
        </w:rPr>
        <w:t xml:space="preserve">с незначительными типографскими правками </w:t>
      </w:r>
      <w:r>
        <w:rPr>
          <w:lang w:val="ru-RU"/>
        </w:rPr>
        <w:t xml:space="preserve">и приводится в </w:t>
      </w:r>
      <w:r w:rsidR="001C4BB8" w:rsidRPr="001C4BB8">
        <w:rPr>
          <w:color w:val="0000FF"/>
          <w:u w:val="single"/>
          <w:lang w:val="ru-RU"/>
        </w:rPr>
        <w:fldChar w:fldCharType="begin"/>
      </w:r>
      <w:r w:rsidR="001C4BB8" w:rsidRPr="001C4BB8">
        <w:rPr>
          <w:color w:val="0000FF"/>
          <w:u w:val="single"/>
          <w:lang w:val="ru-RU"/>
        </w:rPr>
        <w:instrText xml:space="preserve"> REF _Ref200055629 \h </w:instrText>
      </w:r>
      <w:r w:rsidR="00236212">
        <w:rPr>
          <w:color w:val="0000FF"/>
          <w:u w:val="single"/>
          <w:lang w:val="ru-RU"/>
        </w:rPr>
        <w:instrText xml:space="preserve"> \* MERGEFORMAT </w:instrText>
      </w:r>
      <w:r w:rsidR="001C4BB8" w:rsidRPr="001C4BB8">
        <w:rPr>
          <w:color w:val="0000FF"/>
          <w:u w:val="single"/>
          <w:lang w:val="ru-RU"/>
        </w:rPr>
      </w:r>
      <w:r w:rsidR="001C4BB8" w:rsidRPr="001C4BB8">
        <w:rPr>
          <w:color w:val="0000FF"/>
          <w:u w:val="single"/>
          <w:lang w:val="ru-RU"/>
        </w:rPr>
        <w:fldChar w:fldCharType="separate"/>
      </w:r>
      <w:r w:rsidR="001C4BB8" w:rsidRPr="001C4BB8">
        <w:rPr>
          <w:bCs/>
          <w:color w:val="0000FF"/>
          <w:u w:val="single"/>
          <w:lang w:val="ru-RU"/>
        </w:rPr>
        <w:t>Приложении A</w:t>
      </w:r>
      <w:r w:rsidR="001C4BB8" w:rsidRPr="001C4BB8">
        <w:rPr>
          <w:color w:val="0000FF"/>
          <w:u w:val="single"/>
          <w:lang w:val="ru-RU"/>
        </w:rPr>
        <w:fldChar w:fldCharType="end"/>
      </w:r>
      <w:r w:rsidR="001C4BB8">
        <w:rPr>
          <w:lang w:val="ru-RU"/>
        </w:rPr>
        <w:t xml:space="preserve"> </w:t>
      </w:r>
      <w:r>
        <w:rPr>
          <w:lang w:val="ru-RU"/>
        </w:rPr>
        <w:t>к настоящему документу.</w:t>
      </w:r>
    </w:p>
    <w:p w14:paraId="465A5E55" w14:textId="77777777" w:rsidR="0086677D" w:rsidRPr="0086677D" w:rsidRDefault="0086677D" w:rsidP="007337B0">
      <w:pPr>
        <w:jc w:val="both"/>
        <w:rPr>
          <w:rFonts w:asciiTheme="minorHAnsi" w:hAnsiTheme="minorHAnsi" w:cstheme="minorHAnsi"/>
          <w:color w:val="000000"/>
          <w:szCs w:val="24"/>
          <w:lang w:val="ru-RU"/>
        </w:rPr>
      </w:pPr>
      <w:r>
        <w:rPr>
          <w:lang w:val="ru-RU"/>
        </w:rPr>
        <w:t>2.4</w:t>
      </w:r>
      <w:r>
        <w:rPr>
          <w:lang w:val="ru-RU"/>
        </w:rPr>
        <w:tab/>
      </w:r>
      <w:r w:rsidRPr="00093454">
        <w:rPr>
          <w:b/>
          <w:bCs/>
          <w:i/>
          <w:iCs/>
          <w:lang w:val="ru-RU"/>
        </w:rPr>
        <w:t>Рекомендация</w:t>
      </w:r>
      <w:r>
        <w:rPr>
          <w:lang w:val="ru-RU"/>
        </w:rPr>
        <w:t>: Совету рекомендуется утвердить круг ведения, приведенный в Приложении А к настоящему документу.</w:t>
      </w:r>
    </w:p>
    <w:p w14:paraId="13E1B142" w14:textId="5465D787" w:rsidR="0086677D" w:rsidRPr="0086677D" w:rsidRDefault="0086677D" w:rsidP="007337B0">
      <w:pPr>
        <w:pStyle w:val="Heading1"/>
        <w:jc w:val="both"/>
        <w:rPr>
          <w:lang w:val="ru-RU"/>
        </w:rPr>
      </w:pPr>
      <w:bookmarkStart w:id="7" w:name="_Hlk191477813"/>
      <w:r>
        <w:rPr>
          <w:bCs/>
          <w:lang w:val="ru-RU"/>
        </w:rPr>
        <w:t>3</w:t>
      </w:r>
      <w:r>
        <w:rPr>
          <w:lang w:val="ru-RU"/>
        </w:rPr>
        <w:tab/>
      </w:r>
      <w:r>
        <w:rPr>
          <w:bCs/>
          <w:lang w:val="ru-RU"/>
        </w:rPr>
        <w:t xml:space="preserve">Методика представления оценок финансовых последствий предлагаемых решений и резолюций на конференциях и ассамблеях МСЭ </w:t>
      </w:r>
      <w:r w:rsidR="00DE2DBD">
        <w:rPr>
          <w:bCs/>
          <w:lang w:val="ru-RU"/>
        </w:rPr>
        <w:t>−</w:t>
      </w:r>
      <w:r w:rsidR="005C2E6F" w:rsidRPr="005C2E6F">
        <w:rPr>
          <w:bCs/>
          <w:lang w:val="ru-RU"/>
        </w:rPr>
        <w:t xml:space="preserve"> </w:t>
      </w:r>
      <w:r>
        <w:rPr>
          <w:bCs/>
          <w:lang w:val="ru-RU"/>
        </w:rPr>
        <w:t xml:space="preserve">Документ </w:t>
      </w:r>
      <w:hyperlink r:id="rId15" w:history="1">
        <w:r w:rsidRPr="005C2E6F">
          <w:rPr>
            <w:rStyle w:val="Hyperlink"/>
            <w:bCs/>
          </w:rPr>
          <w:t>CWG-FHR-20/4</w:t>
        </w:r>
      </w:hyperlink>
    </w:p>
    <w:p w14:paraId="5459E44D" w14:textId="77777777" w:rsidR="0086677D" w:rsidRPr="0086677D" w:rsidRDefault="0086677D" w:rsidP="007337B0">
      <w:pPr>
        <w:jc w:val="both"/>
        <w:rPr>
          <w:rFonts w:asciiTheme="minorHAnsi" w:hAnsiTheme="minorHAnsi" w:cstheme="minorHAnsi"/>
          <w:szCs w:val="24"/>
          <w:lang w:val="ru-RU"/>
        </w:rPr>
      </w:pPr>
      <w:r>
        <w:rPr>
          <w:lang w:val="ru-RU"/>
        </w:rPr>
        <w:t>3.1</w:t>
      </w:r>
      <w:r>
        <w:rPr>
          <w:lang w:val="ru-RU"/>
        </w:rPr>
        <w:tab/>
        <w:t>Секретариат представил Документ CWG-FHR-20/4.</w:t>
      </w:r>
    </w:p>
    <w:p w14:paraId="17984813" w14:textId="53B19DF8" w:rsidR="0086677D" w:rsidRPr="00A0572E" w:rsidRDefault="0086677D" w:rsidP="007337B0">
      <w:pPr>
        <w:jc w:val="both"/>
        <w:rPr>
          <w:rFonts w:asciiTheme="minorHAnsi" w:hAnsiTheme="minorHAnsi" w:cstheme="minorHAnsi"/>
          <w:szCs w:val="24"/>
          <w:lang w:val="ru-RU"/>
        </w:rPr>
      </w:pPr>
      <w:r>
        <w:rPr>
          <w:lang w:val="ru-RU"/>
        </w:rPr>
        <w:t>3.2</w:t>
      </w:r>
      <w:r>
        <w:rPr>
          <w:lang w:val="ru-RU"/>
        </w:rPr>
        <w:tab/>
        <w:t>После активного обсуждения данного вопроса Председатель принял</w:t>
      </w:r>
      <w:r w:rsidR="00A0572E">
        <w:rPr>
          <w:lang w:val="ru-RU"/>
        </w:rPr>
        <w:t>а</w:t>
      </w:r>
      <w:r>
        <w:rPr>
          <w:lang w:val="ru-RU"/>
        </w:rPr>
        <w:t xml:space="preserve"> решение создать неофициальную группу для поиска консенсуса по этой теме.</w:t>
      </w:r>
    </w:p>
    <w:p w14:paraId="4811BC2C" w14:textId="508E6188" w:rsidR="0086677D" w:rsidRPr="0086677D" w:rsidRDefault="0086677D" w:rsidP="007337B0">
      <w:pPr>
        <w:jc w:val="both"/>
        <w:rPr>
          <w:rFonts w:asciiTheme="minorHAnsi" w:hAnsiTheme="minorHAnsi" w:cstheme="minorHAnsi"/>
          <w:szCs w:val="24"/>
          <w:lang w:val="ru-RU"/>
        </w:rPr>
      </w:pPr>
      <w:r>
        <w:rPr>
          <w:lang w:val="ru-RU"/>
        </w:rPr>
        <w:t>3.3</w:t>
      </w:r>
      <w:r>
        <w:rPr>
          <w:lang w:val="ru-RU"/>
        </w:rPr>
        <w:tab/>
        <w:t xml:space="preserve">РГС-ФЛР предложила </w:t>
      </w:r>
      <w:r w:rsidR="0090397F">
        <w:rPr>
          <w:lang w:val="ru-RU"/>
        </w:rPr>
        <w:t>С</w:t>
      </w:r>
      <w:r>
        <w:rPr>
          <w:lang w:val="ru-RU"/>
        </w:rPr>
        <w:t xml:space="preserve">екретариату представить на 21-м </w:t>
      </w:r>
      <w:r w:rsidR="00DE2DBD">
        <w:rPr>
          <w:lang w:val="ru-RU"/>
        </w:rPr>
        <w:t>собрании</w:t>
      </w:r>
      <w:r>
        <w:rPr>
          <w:lang w:val="ru-RU"/>
        </w:rPr>
        <w:t xml:space="preserve"> РГС-ФЛР подход(ы) к оценке возможных финансовых последствий предложений </w:t>
      </w:r>
      <w:r w:rsidR="00A0572E">
        <w:rPr>
          <w:lang w:val="ru-RU"/>
        </w:rPr>
        <w:t>в преддверии</w:t>
      </w:r>
      <w:r>
        <w:rPr>
          <w:lang w:val="ru-RU"/>
        </w:rPr>
        <w:t xml:space="preserve"> конференций и ассамблей.</w:t>
      </w:r>
    </w:p>
    <w:p w14:paraId="6B6CB175" w14:textId="710404CD" w:rsidR="0086677D" w:rsidRPr="0086677D" w:rsidRDefault="0086677D" w:rsidP="007337B0">
      <w:pPr>
        <w:jc w:val="both"/>
        <w:rPr>
          <w:rFonts w:asciiTheme="minorHAnsi" w:hAnsiTheme="minorHAnsi" w:cstheme="minorHAnsi"/>
          <w:szCs w:val="24"/>
          <w:lang w:val="ru-RU"/>
        </w:rPr>
      </w:pPr>
      <w:r>
        <w:rPr>
          <w:lang w:val="ru-RU"/>
        </w:rPr>
        <w:lastRenderedPageBreak/>
        <w:t>3.4</w:t>
      </w:r>
      <w:r>
        <w:rPr>
          <w:lang w:val="ru-RU"/>
        </w:rPr>
        <w:tab/>
        <w:t xml:space="preserve">Государства-Члены, региональные организации электросвязи (РОЭ) и Члены Секторов </w:t>
      </w:r>
      <w:r w:rsidRPr="008657E0">
        <w:rPr>
          <w:lang w:val="ru-RU"/>
        </w:rPr>
        <w:t>могли бы</w:t>
      </w:r>
      <w:r>
        <w:rPr>
          <w:lang w:val="ru-RU"/>
        </w:rPr>
        <w:t xml:space="preserve"> по собственной инициативе обращаться к </w:t>
      </w:r>
      <w:r w:rsidR="0090397F">
        <w:rPr>
          <w:lang w:val="ru-RU"/>
        </w:rPr>
        <w:t>С</w:t>
      </w:r>
      <w:r>
        <w:rPr>
          <w:lang w:val="ru-RU"/>
        </w:rPr>
        <w:t xml:space="preserve">екретариату за поддержкой в получении информации о возможных финансовых последствиях своих предложений </w:t>
      </w:r>
      <w:r w:rsidR="00DE2DBD">
        <w:rPr>
          <w:lang w:val="ru-RU"/>
        </w:rPr>
        <w:t>−</w:t>
      </w:r>
      <w:r>
        <w:rPr>
          <w:lang w:val="ru-RU"/>
        </w:rPr>
        <w:t xml:space="preserve"> индивидуальных, совместных или общих </w:t>
      </w:r>
      <w:r w:rsidR="00DE2DBD">
        <w:rPr>
          <w:lang w:val="ru-RU"/>
        </w:rPr>
        <w:t>−</w:t>
      </w:r>
      <w:r>
        <w:rPr>
          <w:lang w:val="ru-RU"/>
        </w:rPr>
        <w:t xml:space="preserve"> до начала конференций и ассамблей, причем как можно </w:t>
      </w:r>
      <w:r w:rsidR="00A0572E">
        <w:rPr>
          <w:lang w:val="ru-RU"/>
        </w:rPr>
        <w:t>более заблаговременно</w:t>
      </w:r>
      <w:r>
        <w:rPr>
          <w:lang w:val="ru-RU"/>
        </w:rPr>
        <w:t>.</w:t>
      </w:r>
    </w:p>
    <w:p w14:paraId="43E0CEAA" w14:textId="30C0BB64" w:rsidR="0086677D" w:rsidRPr="0086677D" w:rsidRDefault="0086677D" w:rsidP="007337B0">
      <w:pPr>
        <w:jc w:val="both"/>
        <w:rPr>
          <w:rFonts w:asciiTheme="minorHAnsi" w:hAnsiTheme="minorHAnsi" w:cstheme="minorHAnsi"/>
          <w:szCs w:val="24"/>
          <w:lang w:val="ru-RU"/>
        </w:rPr>
      </w:pPr>
      <w:r>
        <w:rPr>
          <w:lang w:val="ru-RU"/>
        </w:rPr>
        <w:t>3.5</w:t>
      </w:r>
      <w:r>
        <w:rPr>
          <w:lang w:val="ru-RU"/>
        </w:rPr>
        <w:tab/>
        <w:t xml:space="preserve">Для поддержки обсуждения </w:t>
      </w:r>
      <w:r w:rsidR="0090397F">
        <w:rPr>
          <w:lang w:val="ru-RU"/>
        </w:rPr>
        <w:t>С</w:t>
      </w:r>
      <w:r>
        <w:rPr>
          <w:lang w:val="ru-RU"/>
        </w:rPr>
        <w:t>екретариату конференций и ассамблей предлагается на как можно более раннем этапе предоставлять прозрачную информацию о возможных финансовых последствиях представленных предложений.</w:t>
      </w:r>
    </w:p>
    <w:bookmarkEnd w:id="7"/>
    <w:p w14:paraId="22651EA9" w14:textId="2BAEBE8C" w:rsidR="0086677D" w:rsidRPr="0086677D" w:rsidRDefault="0086677D" w:rsidP="007337B0">
      <w:pPr>
        <w:pStyle w:val="Heading1"/>
        <w:jc w:val="both"/>
        <w:rPr>
          <w:lang w:val="ru-RU"/>
        </w:rPr>
      </w:pPr>
      <w:r>
        <w:rPr>
          <w:bCs/>
          <w:lang w:val="ru-RU"/>
        </w:rPr>
        <w:t>4</w:t>
      </w:r>
      <w:r>
        <w:rPr>
          <w:lang w:val="ru-RU"/>
        </w:rPr>
        <w:tab/>
      </w:r>
      <w:r>
        <w:rPr>
          <w:bCs/>
          <w:lang w:val="ru-RU"/>
        </w:rPr>
        <w:t>Поправки к Финансовому регламенту и Финансовым правилам (Статья</w:t>
      </w:r>
      <w:r w:rsidR="00236212">
        <w:rPr>
          <w:bCs/>
          <w:lang w:val="ru-RU"/>
        </w:rPr>
        <w:t> </w:t>
      </w:r>
      <w:r>
        <w:rPr>
          <w:bCs/>
          <w:lang w:val="ru-RU"/>
        </w:rPr>
        <w:t>19, пункт 4) (устное представление)</w:t>
      </w:r>
    </w:p>
    <w:p w14:paraId="1C55F723" w14:textId="77777777" w:rsidR="0086677D" w:rsidRPr="0086677D" w:rsidRDefault="0086677D" w:rsidP="007337B0">
      <w:pPr>
        <w:jc w:val="both"/>
        <w:rPr>
          <w:szCs w:val="24"/>
          <w:lang w:val="ru-RU"/>
        </w:rPr>
      </w:pPr>
      <w:r>
        <w:rPr>
          <w:lang w:val="ru-RU"/>
        </w:rPr>
        <w:t>4.1</w:t>
      </w:r>
      <w:r>
        <w:rPr>
          <w:lang w:val="ru-RU"/>
        </w:rPr>
        <w:tab/>
        <w:t>Секретариат представил предлагаемую поправку к статье 19.4.</w:t>
      </w:r>
    </w:p>
    <w:p w14:paraId="28F6C6F8" w14:textId="2BAF1BCC" w:rsidR="0086677D" w:rsidRPr="0086677D" w:rsidRDefault="0086677D" w:rsidP="007337B0">
      <w:pPr>
        <w:jc w:val="both"/>
        <w:rPr>
          <w:szCs w:val="24"/>
          <w:lang w:val="ru-RU"/>
        </w:rPr>
      </w:pPr>
      <w:r>
        <w:rPr>
          <w:lang w:val="ru-RU"/>
        </w:rPr>
        <w:t>4.2</w:t>
      </w:r>
      <w:r>
        <w:rPr>
          <w:lang w:val="ru-RU"/>
        </w:rPr>
        <w:tab/>
        <w:t xml:space="preserve">После ряда выступлений делегатов и внутренних консультаций с последними, а также с руководством </w:t>
      </w:r>
      <w:r w:rsidR="0090397F">
        <w:rPr>
          <w:lang w:val="ru-RU"/>
        </w:rPr>
        <w:t>С</w:t>
      </w:r>
      <w:r>
        <w:rPr>
          <w:lang w:val="ru-RU"/>
        </w:rPr>
        <w:t>екретариат предложил отозвать предлагаемую поправку к статье 19.4. Председатель РГС-ФЛР утвердил</w:t>
      </w:r>
      <w:r w:rsidR="00A0572E">
        <w:rPr>
          <w:lang w:val="ru-RU"/>
        </w:rPr>
        <w:t>а</w:t>
      </w:r>
      <w:r>
        <w:rPr>
          <w:lang w:val="ru-RU"/>
        </w:rPr>
        <w:t xml:space="preserve"> это предложение.</w:t>
      </w:r>
    </w:p>
    <w:p w14:paraId="1E3BD5FD" w14:textId="4155430E" w:rsidR="0086677D" w:rsidRPr="0086677D" w:rsidRDefault="0086677D" w:rsidP="007337B0">
      <w:pPr>
        <w:pStyle w:val="Heading1"/>
        <w:jc w:val="both"/>
        <w:rPr>
          <w:lang w:val="ru-RU"/>
        </w:rPr>
      </w:pPr>
      <w:r>
        <w:rPr>
          <w:bCs/>
          <w:lang w:val="ru-RU"/>
        </w:rPr>
        <w:t>5</w:t>
      </w:r>
      <w:r>
        <w:rPr>
          <w:lang w:val="ru-RU"/>
        </w:rPr>
        <w:tab/>
        <w:t xml:space="preserve">Укрепление системы управления рисками и внутреннего контроля </w:t>
      </w:r>
      <w:r w:rsidR="00DE2DBD">
        <w:rPr>
          <w:lang w:val="ru-RU"/>
        </w:rPr>
        <w:t>−</w:t>
      </w:r>
      <w:r>
        <w:rPr>
          <w:lang w:val="ru-RU"/>
        </w:rPr>
        <w:t xml:space="preserve"> </w:t>
      </w:r>
      <w:r w:rsidR="00CF6348">
        <w:rPr>
          <w:lang w:val="ru-RU"/>
        </w:rPr>
        <w:t xml:space="preserve">Документы </w:t>
      </w:r>
      <w:hyperlink r:id="rId16" w:history="1">
        <w:r w:rsidRPr="005C2E6F">
          <w:rPr>
            <w:rStyle w:val="Hyperlink"/>
          </w:rPr>
          <w:t>C24/49</w:t>
        </w:r>
      </w:hyperlink>
      <w:r>
        <w:rPr>
          <w:lang w:val="ru-RU"/>
        </w:rPr>
        <w:t xml:space="preserve"> и </w:t>
      </w:r>
      <w:hyperlink r:id="rId17" w:history="1">
        <w:r w:rsidRPr="005C2E6F">
          <w:rPr>
            <w:rStyle w:val="Hyperlink"/>
          </w:rPr>
          <w:t>CWG-FHR-19/DT/2</w:t>
        </w:r>
      </w:hyperlink>
    </w:p>
    <w:p w14:paraId="788CFFBB" w14:textId="09F1F8A0" w:rsidR="0086677D" w:rsidRPr="0086677D" w:rsidRDefault="0086677D" w:rsidP="007337B0">
      <w:pPr>
        <w:jc w:val="both"/>
        <w:rPr>
          <w:szCs w:val="24"/>
          <w:lang w:val="ru-RU"/>
        </w:rPr>
      </w:pPr>
      <w:r>
        <w:rPr>
          <w:lang w:val="ru-RU"/>
        </w:rPr>
        <w:t>5.1</w:t>
      </w:r>
      <w:r>
        <w:rPr>
          <w:lang w:val="ru-RU"/>
        </w:rPr>
        <w:tab/>
      </w:r>
      <w:r w:rsidR="00A0572E">
        <w:rPr>
          <w:lang w:val="ru-RU"/>
        </w:rPr>
        <w:t>Документ</w:t>
      </w:r>
      <w:r>
        <w:rPr>
          <w:lang w:val="ru-RU"/>
        </w:rPr>
        <w:t xml:space="preserve"> был представлен на сессии Совета в 2024 году</w:t>
      </w:r>
      <w:r w:rsidR="00A0572E">
        <w:rPr>
          <w:lang w:val="ru-RU"/>
        </w:rPr>
        <w:t>, по итогам которой</w:t>
      </w:r>
      <w:r>
        <w:rPr>
          <w:lang w:val="ru-RU"/>
        </w:rPr>
        <w:t xml:space="preserve"> Совет поручил РГС-ФЛР продолжить обсуждение </w:t>
      </w:r>
      <w:r w:rsidR="00A0572E">
        <w:rPr>
          <w:lang w:val="ru-RU"/>
        </w:rPr>
        <w:t>этих</w:t>
      </w:r>
      <w:r>
        <w:rPr>
          <w:lang w:val="ru-RU"/>
        </w:rPr>
        <w:t xml:space="preserve"> вопросов. В отчете представлена информация об обновлении Реестра корпоративных рисков</w:t>
      </w:r>
      <w:r w:rsidR="00A0572E">
        <w:rPr>
          <w:lang w:val="ru-RU"/>
        </w:rPr>
        <w:t>;</w:t>
      </w:r>
      <w:r>
        <w:rPr>
          <w:lang w:val="ru-RU"/>
        </w:rPr>
        <w:t xml:space="preserve"> при этом отмечается, что комплексное внедрение системы общеорганизационного управления рисками на текущем этапе остается </w:t>
      </w:r>
      <w:r w:rsidR="00A0572E">
        <w:rPr>
          <w:lang w:val="ru-RU"/>
        </w:rPr>
        <w:t>затруднительным</w:t>
      </w:r>
      <w:r>
        <w:rPr>
          <w:lang w:val="ru-RU"/>
        </w:rPr>
        <w:t xml:space="preserve"> из-за неоднородного формулирования целей в рамках МСЭ по причине действующего в </w:t>
      </w:r>
      <w:r w:rsidRPr="00FB404F">
        <w:rPr>
          <w:lang w:val="ru-RU"/>
        </w:rPr>
        <w:t>организации управления</w:t>
      </w:r>
      <w:r w:rsidR="00CF6348" w:rsidRPr="00FB404F">
        <w:rPr>
          <w:lang w:val="ru-RU"/>
        </w:rPr>
        <w:t>, ориентированного на</w:t>
      </w:r>
      <w:r w:rsidRPr="00FB404F">
        <w:rPr>
          <w:lang w:val="ru-RU"/>
        </w:rPr>
        <w:t xml:space="preserve"> результат</w:t>
      </w:r>
      <w:r w:rsidR="00CF6348" w:rsidRPr="00FB404F">
        <w:rPr>
          <w:lang w:val="ru-RU"/>
        </w:rPr>
        <w:t>ы</w:t>
      </w:r>
      <w:r w:rsidRPr="00FB404F">
        <w:rPr>
          <w:lang w:val="ru-RU"/>
        </w:rPr>
        <w:t>. Тем не</w:t>
      </w:r>
      <w:r>
        <w:rPr>
          <w:lang w:val="ru-RU"/>
        </w:rPr>
        <w:t xml:space="preserve"> менее, </w:t>
      </w:r>
      <w:r w:rsidR="00A0572E">
        <w:rPr>
          <w:lang w:val="ru-RU"/>
        </w:rPr>
        <w:t>проведенная работа позволила</w:t>
      </w:r>
      <w:r>
        <w:rPr>
          <w:lang w:val="ru-RU"/>
        </w:rPr>
        <w:t xml:space="preserve"> выявить значительные риски, которые представлены в виде сводной таблицы, приведенной в приложении к отчету. С момента проведения сессии Совета 2024 года МСЭ продолжа</w:t>
      </w:r>
      <w:r w:rsidR="00A0572E">
        <w:rPr>
          <w:lang w:val="ru-RU"/>
        </w:rPr>
        <w:t>ет</w:t>
      </w:r>
      <w:r>
        <w:rPr>
          <w:lang w:val="ru-RU"/>
        </w:rPr>
        <w:t xml:space="preserve"> </w:t>
      </w:r>
      <w:r w:rsidR="00A0572E">
        <w:rPr>
          <w:lang w:val="ru-RU"/>
        </w:rPr>
        <w:t>отслеживать</w:t>
      </w:r>
      <w:r>
        <w:rPr>
          <w:lang w:val="ru-RU"/>
        </w:rPr>
        <w:t xml:space="preserve"> эти риск</w:t>
      </w:r>
      <w:r w:rsidR="00A0572E">
        <w:rPr>
          <w:lang w:val="ru-RU"/>
        </w:rPr>
        <w:t>и</w:t>
      </w:r>
      <w:r>
        <w:rPr>
          <w:lang w:val="ru-RU"/>
        </w:rPr>
        <w:t xml:space="preserve">, с тем чтобы выявить существенные изменения во внутренней и внешней среде, способные повлиять на их первоначальную оценку. В отчете </w:t>
      </w:r>
      <w:r w:rsidR="00A0572E">
        <w:rPr>
          <w:lang w:val="ru-RU"/>
        </w:rPr>
        <w:t>рассматривается также</w:t>
      </w:r>
      <w:r>
        <w:rPr>
          <w:lang w:val="ru-RU"/>
        </w:rPr>
        <w:t xml:space="preserve"> план внутреннего контроля Группы по координации управления за 2024 год, основное внимание в котором уделено внедрению </w:t>
      </w:r>
      <w:r w:rsidR="00A0572E">
        <w:rPr>
          <w:lang w:val="ru-RU"/>
        </w:rPr>
        <w:t>еще не реализованных</w:t>
      </w:r>
      <w:r>
        <w:rPr>
          <w:lang w:val="ru-RU"/>
        </w:rPr>
        <w:t xml:space="preserve"> элементов модели и системы подотчетности МСЭ. В связи </w:t>
      </w:r>
      <w:r w:rsidR="00CF6348">
        <w:rPr>
          <w:lang w:val="ru-RU"/>
        </w:rPr>
        <w:t xml:space="preserve">с этим </w:t>
      </w:r>
      <w:r>
        <w:rPr>
          <w:lang w:val="ru-RU"/>
        </w:rPr>
        <w:t xml:space="preserve">в презентации отмечалось, что с момента проведения сессии Совета 2024 года Группа по управлению ИКТ провела свои первые </w:t>
      </w:r>
      <w:r w:rsidR="008657E0">
        <w:rPr>
          <w:lang w:val="ru-RU"/>
        </w:rPr>
        <w:t>заседания</w:t>
      </w:r>
      <w:r>
        <w:rPr>
          <w:lang w:val="ru-RU"/>
        </w:rPr>
        <w:t xml:space="preserve"> и начала систематические мероприятия по мониторингу контроля, уделяя особое внимание конкретным элементам </w:t>
      </w:r>
      <w:r w:rsidR="00A0572E">
        <w:rPr>
          <w:lang w:val="ru-RU"/>
        </w:rPr>
        <w:t xml:space="preserve">системы </w:t>
      </w:r>
      <w:r>
        <w:rPr>
          <w:lang w:val="ru-RU"/>
        </w:rPr>
        <w:t>контроля.</w:t>
      </w:r>
    </w:p>
    <w:p w14:paraId="543BAB4F" w14:textId="77777777" w:rsidR="0086677D" w:rsidRPr="0086677D" w:rsidRDefault="0086677D" w:rsidP="007337B0">
      <w:pPr>
        <w:pStyle w:val="Headingb"/>
        <w:jc w:val="both"/>
        <w:rPr>
          <w:lang w:val="ru-RU"/>
        </w:rPr>
      </w:pPr>
      <w:r>
        <w:rPr>
          <w:bCs/>
          <w:lang w:val="ru-RU"/>
        </w:rPr>
        <w:t>Резюме тем, рассмотренных во время сессии вопросов и ответов</w:t>
      </w:r>
    </w:p>
    <w:p w14:paraId="1027D1A4" w14:textId="77777777" w:rsidR="0086677D" w:rsidRPr="0086677D" w:rsidRDefault="0086677D" w:rsidP="007337B0">
      <w:pPr>
        <w:pStyle w:val="Headingi"/>
        <w:jc w:val="both"/>
        <w:rPr>
          <w:lang w:val="ru-RU"/>
        </w:rPr>
      </w:pPr>
      <w:r>
        <w:rPr>
          <w:iCs/>
          <w:lang w:val="ru-RU"/>
        </w:rPr>
        <w:t>Финансовые риски</w:t>
      </w:r>
    </w:p>
    <w:p w14:paraId="62A22F2F" w14:textId="2A2265C8" w:rsidR="0086677D" w:rsidRPr="0086677D" w:rsidRDefault="0086677D" w:rsidP="007337B0">
      <w:pPr>
        <w:jc w:val="both"/>
        <w:rPr>
          <w:spacing w:val="-2"/>
          <w:szCs w:val="24"/>
          <w:lang w:val="ru-RU"/>
        </w:rPr>
      </w:pPr>
      <w:r>
        <w:rPr>
          <w:lang w:val="ru-RU"/>
        </w:rPr>
        <w:t>5.2</w:t>
      </w:r>
      <w:r>
        <w:rPr>
          <w:lang w:val="ru-RU"/>
        </w:rPr>
        <w:tab/>
        <w:t>Одна делегация, которую поддержали другие делегации, задала вопрос о финансовых рисках, отметив, что на сессии Совета в июне 2024 года сообщалось, что работа по оценке этих рисков все еще продолжается. Один из делегатов просил представить в рамках текущей сессии РГС-ФЛР документ</w:t>
      </w:r>
      <w:r w:rsidR="00A0572E">
        <w:rPr>
          <w:lang w:val="ru-RU"/>
        </w:rPr>
        <w:t xml:space="preserve"> с перечислением</w:t>
      </w:r>
      <w:r>
        <w:rPr>
          <w:lang w:val="ru-RU"/>
        </w:rPr>
        <w:t xml:space="preserve"> этих рисков. Председатель впоследствии повторил</w:t>
      </w:r>
      <w:r w:rsidR="0090397F">
        <w:rPr>
          <w:lang w:val="ru-RU"/>
        </w:rPr>
        <w:t>а</w:t>
      </w:r>
      <w:r>
        <w:rPr>
          <w:lang w:val="ru-RU"/>
        </w:rPr>
        <w:t xml:space="preserve"> этот запрос, чтобы убедиться в том, что документ будет готов для обсуждения в среду, 9 октября 2024 года. Секретариат </w:t>
      </w:r>
      <w:r w:rsidR="00A0572E">
        <w:rPr>
          <w:lang w:val="ru-RU"/>
        </w:rPr>
        <w:t>упомянул</w:t>
      </w:r>
      <w:r>
        <w:rPr>
          <w:lang w:val="ru-RU"/>
        </w:rPr>
        <w:t xml:space="preserve">, что в результате взаимодействия с FRMD и другими подразделениями оценка </w:t>
      </w:r>
      <w:r w:rsidR="00A0572E">
        <w:rPr>
          <w:lang w:val="ru-RU"/>
        </w:rPr>
        <w:t xml:space="preserve">этих </w:t>
      </w:r>
      <w:r>
        <w:rPr>
          <w:lang w:val="ru-RU"/>
        </w:rPr>
        <w:t xml:space="preserve">рисков завершена и что </w:t>
      </w:r>
      <w:r w:rsidR="00A0572E">
        <w:rPr>
          <w:lang w:val="ru-RU"/>
        </w:rPr>
        <w:t xml:space="preserve">запрашиваемая </w:t>
      </w:r>
      <w:r>
        <w:rPr>
          <w:lang w:val="ru-RU"/>
        </w:rPr>
        <w:t>сводная таблица финансовых рисков с мерами по их снижению</w:t>
      </w:r>
      <w:r w:rsidR="00A0572E">
        <w:rPr>
          <w:lang w:val="ru-RU"/>
        </w:rPr>
        <w:t xml:space="preserve"> может быть подготовлена</w:t>
      </w:r>
      <w:r>
        <w:rPr>
          <w:lang w:val="ru-RU"/>
        </w:rPr>
        <w:t xml:space="preserve">. Среди значительных финансовых рисков особенно выделяется риск, связанный с поступлениями по принципу </w:t>
      </w:r>
      <w:r>
        <w:rPr>
          <w:lang w:val="ru-RU"/>
        </w:rPr>
        <w:lastRenderedPageBreak/>
        <w:t>возмещения затрат, которые существенно колебались в последние годы. Тем не менее, в запрошенном документе будут перечислены и другие, менее значительные финансовые риски.</w:t>
      </w:r>
    </w:p>
    <w:p w14:paraId="02F8F72B" w14:textId="5899C75D" w:rsidR="0086677D" w:rsidRPr="0086677D" w:rsidRDefault="0086677D" w:rsidP="0086677D">
      <w:pPr>
        <w:pStyle w:val="Headingi"/>
        <w:rPr>
          <w:lang w:val="ru-RU"/>
        </w:rPr>
      </w:pPr>
      <w:r>
        <w:rPr>
          <w:iCs/>
          <w:lang w:val="ru-RU"/>
        </w:rPr>
        <w:t>Степень серьезности рисков</w:t>
      </w:r>
    </w:p>
    <w:p w14:paraId="242EDEFA" w14:textId="7F20DE20" w:rsidR="0086677D" w:rsidRPr="0086677D" w:rsidRDefault="0086677D" w:rsidP="007337B0">
      <w:pPr>
        <w:jc w:val="both"/>
        <w:rPr>
          <w:i/>
          <w:iCs/>
          <w:spacing w:val="-2"/>
          <w:szCs w:val="24"/>
          <w:u w:val="single"/>
          <w:lang w:val="ru-RU"/>
        </w:rPr>
      </w:pPr>
      <w:r>
        <w:rPr>
          <w:lang w:val="ru-RU"/>
        </w:rPr>
        <w:t>5.3</w:t>
      </w:r>
      <w:r>
        <w:rPr>
          <w:lang w:val="ru-RU"/>
        </w:rPr>
        <w:tab/>
        <w:t xml:space="preserve">Несколько делегаций запросили информацию о классификации рисков по степени серьезности, при этом один из делегатов указал на серьезный риск, связанный с методами работы на крупных мероприятиях и затрагивающий как сотрудников, так и делегатов. Секретариат пояснил, что сводка рисков, прилагаемая к </w:t>
      </w:r>
      <w:r w:rsidR="0090397F">
        <w:rPr>
          <w:lang w:val="ru-RU"/>
        </w:rPr>
        <w:t>Д</w:t>
      </w:r>
      <w:r>
        <w:rPr>
          <w:lang w:val="ru-RU"/>
        </w:rPr>
        <w:t xml:space="preserve">окументу </w:t>
      </w:r>
      <w:hyperlink r:id="rId18" w:history="1">
        <w:r w:rsidRPr="005C2E6F">
          <w:rPr>
            <w:rStyle w:val="Hyperlink"/>
          </w:rPr>
          <w:t>C24/49</w:t>
        </w:r>
      </w:hyperlink>
      <w:r>
        <w:rPr>
          <w:lang w:val="ru-RU"/>
        </w:rPr>
        <w:t>, содержит только наиболее значимые риски, зафиксированные в Реестре рисков на момент подготовки документа, и что степень серьезности этих рисков была оценена совместно с ответственными за риск, каждый из которых обладает глубокими знаниями в своей области. Что касается методов работы на мероприятиях, благодаря недавнему внедрению облачного регистрационного модуля SAP, который помогает управлять доступом на мероприятия и системой документооборота, степень серьезности этого риска снизилась. Вероятность нарушения нормальной работы системы теперь значительно ниже, чем была ранее, когда использовались устаревшие компоненты, которые часто давали сбои и были более уязвимы к атакам.</w:t>
      </w:r>
    </w:p>
    <w:p w14:paraId="352CD2B2" w14:textId="77777777" w:rsidR="0086677D" w:rsidRPr="0086677D" w:rsidRDefault="0086677D" w:rsidP="007337B0">
      <w:pPr>
        <w:pStyle w:val="Headingi"/>
        <w:jc w:val="both"/>
        <w:rPr>
          <w:lang w:val="ru-RU"/>
        </w:rPr>
      </w:pPr>
      <w:r>
        <w:rPr>
          <w:iCs/>
          <w:lang w:val="ru-RU"/>
        </w:rPr>
        <w:t>Готовность к принятию рисков</w:t>
      </w:r>
    </w:p>
    <w:p w14:paraId="139BD826" w14:textId="69D0CE68" w:rsidR="0086677D" w:rsidRPr="0086677D" w:rsidRDefault="0086677D" w:rsidP="007337B0">
      <w:pPr>
        <w:jc w:val="both"/>
        <w:rPr>
          <w:szCs w:val="24"/>
          <w:lang w:val="ru-RU"/>
        </w:rPr>
      </w:pPr>
      <w:r>
        <w:rPr>
          <w:lang w:val="ru-RU"/>
        </w:rPr>
        <w:t>5.4</w:t>
      </w:r>
      <w:r>
        <w:rPr>
          <w:lang w:val="ru-RU"/>
        </w:rPr>
        <w:tab/>
        <w:t xml:space="preserve">Несколько делегаций задали вопрос о готовности МСЭ к принятию рисков. Секретариат пояснил, что заявление о готовности к принятию рисков включено в политику МСЭ в области управления рисками 2020 года. В Резолюции 217 (Бухарест, 2022 г.) МСЭ поручается обновить эту политику в области управления рисками, что также даст возможность пересмотреть заявление о готовности к принятию рисков, в частности, с тем чтобы выполнить рекомендацию IMAC о том, чтобы наша готовность к </w:t>
      </w:r>
      <w:r w:rsidR="00A0572E">
        <w:rPr>
          <w:lang w:val="ru-RU"/>
        </w:rPr>
        <w:t>принятию рисков</w:t>
      </w:r>
      <w:r>
        <w:rPr>
          <w:lang w:val="ru-RU"/>
        </w:rPr>
        <w:t xml:space="preserve"> соответствовала, </w:t>
      </w:r>
      <w:r w:rsidR="00DE2DBD">
        <w:rPr>
          <w:lang w:val="ru-RU"/>
        </w:rPr>
        <w:t>−</w:t>
      </w:r>
      <w:r>
        <w:rPr>
          <w:lang w:val="ru-RU"/>
        </w:rPr>
        <w:t xml:space="preserve"> т.</w:t>
      </w:r>
      <w:r w:rsidR="00236212">
        <w:rPr>
          <w:lang w:val="ru-RU"/>
        </w:rPr>
        <w:t> </w:t>
      </w:r>
      <w:r>
        <w:rPr>
          <w:lang w:val="ru-RU"/>
        </w:rPr>
        <w:t xml:space="preserve">е. не была бы чрезмерно низка в том, что касается инноваций, </w:t>
      </w:r>
      <w:r w:rsidR="00DE2DBD">
        <w:rPr>
          <w:lang w:val="ru-RU"/>
        </w:rPr>
        <w:t>−</w:t>
      </w:r>
      <w:r>
        <w:rPr>
          <w:lang w:val="ru-RU"/>
        </w:rPr>
        <w:t xml:space="preserve"> целям Проекта трансформации.</w:t>
      </w:r>
    </w:p>
    <w:p w14:paraId="5CBFE958" w14:textId="07C24F41" w:rsidR="0086677D" w:rsidRPr="0069718C" w:rsidRDefault="0086677D" w:rsidP="007337B0">
      <w:pPr>
        <w:pStyle w:val="Headingi"/>
        <w:jc w:val="both"/>
        <w:rPr>
          <w:lang w:val="ru-RU"/>
        </w:rPr>
      </w:pPr>
      <w:r w:rsidRPr="0069718C">
        <w:rPr>
          <w:iCs/>
          <w:lang w:val="ru-RU"/>
        </w:rPr>
        <w:t xml:space="preserve">Управление рисками и внутренний </w:t>
      </w:r>
      <w:r w:rsidR="00A0572E" w:rsidRPr="0069718C">
        <w:rPr>
          <w:iCs/>
          <w:lang w:val="ru-RU"/>
        </w:rPr>
        <w:t>надзор</w:t>
      </w:r>
    </w:p>
    <w:p w14:paraId="4967B002" w14:textId="08D4884A" w:rsidR="0086677D" w:rsidRPr="0086677D" w:rsidRDefault="0086677D" w:rsidP="007337B0">
      <w:pPr>
        <w:jc w:val="both"/>
        <w:rPr>
          <w:szCs w:val="24"/>
          <w:lang w:val="ru-RU"/>
        </w:rPr>
      </w:pPr>
      <w:r w:rsidRPr="0069718C">
        <w:rPr>
          <w:lang w:val="ru-RU"/>
        </w:rPr>
        <w:t>5.5</w:t>
      </w:r>
      <w:r w:rsidRPr="0069718C">
        <w:rPr>
          <w:lang w:val="ru-RU"/>
        </w:rPr>
        <w:tab/>
        <w:t xml:space="preserve">Один из делегатов сослался на состоявшееся в рамках сессии Совета 2024 года обсуждение о функции надзора и задал вопрос относительно ее связи с функцией управления рисками и внутренним контролем и соответствующими </w:t>
      </w:r>
      <w:r w:rsidR="0069718C" w:rsidRPr="0069718C">
        <w:rPr>
          <w:lang w:val="ru-RU"/>
        </w:rPr>
        <w:t>видами деятельности</w:t>
      </w:r>
      <w:r w:rsidRPr="0069718C">
        <w:rPr>
          <w:lang w:val="ru-RU"/>
        </w:rPr>
        <w:t>. Секретариат пояснил, что Политикой в области управления рисками 2020 года предполагается, что управление рисками и контролем в рамках МСЭ осуществляется в соответствии с моделью "трех линий". К первой линии относится оперативное руководство, то есть те, кто отвеча</w:t>
      </w:r>
      <w:r w:rsidR="00A0572E" w:rsidRPr="0069718C">
        <w:rPr>
          <w:lang w:val="ru-RU"/>
        </w:rPr>
        <w:t>ю</w:t>
      </w:r>
      <w:r w:rsidRPr="0069718C">
        <w:rPr>
          <w:lang w:val="ru-RU"/>
        </w:rPr>
        <w:t>т за риски и контроль в процессе ведения повседневной деятельности; вторая линия объединяет различные функциональные роли, такие как управление рисками, соблюдени</w:t>
      </w:r>
      <w:r w:rsidR="0069718C" w:rsidRPr="0069718C">
        <w:rPr>
          <w:lang w:val="ru-RU"/>
        </w:rPr>
        <w:t>е</w:t>
      </w:r>
      <w:r w:rsidRPr="0069718C">
        <w:rPr>
          <w:lang w:val="ru-RU"/>
        </w:rPr>
        <w:t xml:space="preserve"> эти</w:t>
      </w:r>
      <w:r w:rsidR="0069718C" w:rsidRPr="0069718C">
        <w:rPr>
          <w:lang w:val="ru-RU"/>
        </w:rPr>
        <w:t>ческих норм</w:t>
      </w:r>
      <w:r w:rsidRPr="0069718C">
        <w:rPr>
          <w:lang w:val="ru-RU"/>
        </w:rPr>
        <w:t xml:space="preserve"> и </w:t>
      </w:r>
      <w:r w:rsidR="0069718C" w:rsidRPr="0069718C">
        <w:rPr>
          <w:lang w:val="ru-RU"/>
        </w:rPr>
        <w:t xml:space="preserve">обеспечение </w:t>
      </w:r>
      <w:r w:rsidRPr="0069718C">
        <w:rPr>
          <w:lang w:val="ru-RU"/>
        </w:rPr>
        <w:t xml:space="preserve">физической и информационной безопасности, для оказания поддержки руководству первой линии в отношении их обязанностей по управлению рисками и контролю; функции третьей линии, </w:t>
      </w:r>
      <w:r w:rsidRPr="00FB404F">
        <w:rPr>
          <w:lang w:val="ru-RU"/>
        </w:rPr>
        <w:t xml:space="preserve">например </w:t>
      </w:r>
      <w:r w:rsidR="0069718C" w:rsidRPr="00FB404F">
        <w:rPr>
          <w:lang w:val="ru-RU"/>
        </w:rPr>
        <w:t>функции надзора</w:t>
      </w:r>
      <w:r w:rsidRPr="00FB404F">
        <w:rPr>
          <w:lang w:val="ru-RU"/>
        </w:rPr>
        <w:t>, предоставляют</w:t>
      </w:r>
      <w:r w:rsidRPr="0069718C">
        <w:rPr>
          <w:lang w:val="ru-RU"/>
        </w:rPr>
        <w:t xml:space="preserve"> независимые гарантии руководящим органам и высшему руководству в отношении надежности и достаточности системы внутреннего контроля, в том числе в отношении функционирования первой и второй линий.</w:t>
      </w:r>
    </w:p>
    <w:p w14:paraId="29D80ACE" w14:textId="77777777" w:rsidR="0086677D" w:rsidRPr="0086677D" w:rsidRDefault="0086677D" w:rsidP="007337B0">
      <w:pPr>
        <w:pStyle w:val="Headingi"/>
        <w:jc w:val="both"/>
        <w:rPr>
          <w:lang w:val="ru-RU"/>
        </w:rPr>
      </w:pPr>
      <w:r>
        <w:rPr>
          <w:iCs/>
          <w:lang w:val="ru-RU"/>
        </w:rPr>
        <w:t>Благополучие персонала</w:t>
      </w:r>
    </w:p>
    <w:p w14:paraId="60233EA6" w14:textId="2571AC92" w:rsidR="0086677D" w:rsidRPr="0086677D" w:rsidRDefault="0086677D" w:rsidP="007337B0">
      <w:pPr>
        <w:jc w:val="both"/>
        <w:rPr>
          <w:szCs w:val="24"/>
          <w:lang w:val="ru-RU"/>
        </w:rPr>
      </w:pPr>
      <w:r>
        <w:rPr>
          <w:lang w:val="ru-RU"/>
        </w:rPr>
        <w:t>5.6</w:t>
      </w:r>
      <w:r>
        <w:rPr>
          <w:lang w:val="ru-RU"/>
        </w:rPr>
        <w:tab/>
        <w:t xml:space="preserve">Один из делегатов задал вопрос о риске, связанном с благополучием персонала, а также о мерах, которые </w:t>
      </w:r>
      <w:r w:rsidR="0090397F">
        <w:rPr>
          <w:lang w:val="ru-RU"/>
        </w:rPr>
        <w:t>С</w:t>
      </w:r>
      <w:r>
        <w:rPr>
          <w:lang w:val="ru-RU"/>
        </w:rPr>
        <w:t xml:space="preserve">екретариат намерен принять для его снижения </w:t>
      </w:r>
      <w:r w:rsidR="00DE2DBD">
        <w:rPr>
          <w:lang w:val="ru-RU"/>
        </w:rPr>
        <w:t>−</w:t>
      </w:r>
      <w:r>
        <w:rPr>
          <w:lang w:val="ru-RU"/>
        </w:rPr>
        <w:t xml:space="preserve"> в соответствии с обсуждениями, состоявшимися в рамках сессии Совета 2024 года. Секретариат вновь выразил обеспокоенность в связи с этим риском и представил обновленную информацию о реализации этих мер, отметив, что их будет недостаточно, если </w:t>
      </w:r>
      <w:r w:rsidR="0069718C">
        <w:rPr>
          <w:lang w:val="ru-RU"/>
        </w:rPr>
        <w:t xml:space="preserve">они </w:t>
      </w:r>
      <w:r>
        <w:rPr>
          <w:lang w:val="ru-RU"/>
        </w:rPr>
        <w:t xml:space="preserve">не будут осуществляться на постоянной основе для устранения этого риска. </w:t>
      </w:r>
    </w:p>
    <w:p w14:paraId="432760E3" w14:textId="77777777" w:rsidR="0086677D" w:rsidRPr="0086677D" w:rsidRDefault="0086677D" w:rsidP="007337B0">
      <w:pPr>
        <w:pStyle w:val="Headingi"/>
        <w:jc w:val="both"/>
        <w:rPr>
          <w:lang w:val="ru-RU"/>
        </w:rPr>
      </w:pPr>
      <w:r>
        <w:rPr>
          <w:iCs/>
          <w:lang w:val="ru-RU"/>
        </w:rPr>
        <w:lastRenderedPageBreak/>
        <w:t>Риски, связанные с проектом строительства нового здания</w:t>
      </w:r>
    </w:p>
    <w:p w14:paraId="58BCC499" w14:textId="77777777" w:rsidR="0086677D" w:rsidRPr="0086677D" w:rsidRDefault="0086677D" w:rsidP="007337B0">
      <w:pPr>
        <w:jc w:val="both"/>
        <w:rPr>
          <w:szCs w:val="24"/>
          <w:lang w:val="ru-RU"/>
        </w:rPr>
      </w:pPr>
      <w:r>
        <w:rPr>
          <w:lang w:val="ru-RU"/>
        </w:rPr>
        <w:t>5.7</w:t>
      </w:r>
      <w:r>
        <w:rPr>
          <w:lang w:val="ru-RU"/>
        </w:rPr>
        <w:tab/>
        <w:t>Председатель затронула вопрос о рисках, связанных с проектом строительства, и напомнила делегатам, что этот вопрос относится к сфере компетенции Консультативной группы Государств-Членов.</w:t>
      </w:r>
    </w:p>
    <w:p w14:paraId="5CCEFD25" w14:textId="77CA40DA" w:rsidR="0086677D" w:rsidRPr="0086677D" w:rsidRDefault="0086677D" w:rsidP="007337B0">
      <w:pPr>
        <w:pStyle w:val="Headingb"/>
        <w:jc w:val="both"/>
        <w:rPr>
          <w:lang w:val="ru-RU"/>
        </w:rPr>
      </w:pPr>
      <w:r>
        <w:rPr>
          <w:bCs/>
          <w:lang w:val="ru-RU"/>
        </w:rPr>
        <w:t xml:space="preserve">Сводная таблица финансовых рисков (Документ </w:t>
      </w:r>
      <w:hyperlink r:id="rId19" w:history="1">
        <w:r w:rsidRPr="005C2E6F">
          <w:rPr>
            <w:rStyle w:val="Hyperlink"/>
          </w:rPr>
          <w:t>CWG-FHR-19/DT/2</w:t>
        </w:r>
      </w:hyperlink>
      <w:r>
        <w:rPr>
          <w:bCs/>
          <w:lang w:val="ru-RU"/>
        </w:rPr>
        <w:t>)</w:t>
      </w:r>
    </w:p>
    <w:p w14:paraId="0BD24CEF" w14:textId="03FF7E9E" w:rsidR="0086677D" w:rsidRPr="009A22A5" w:rsidRDefault="0086677D" w:rsidP="007337B0">
      <w:pPr>
        <w:jc w:val="both"/>
        <w:rPr>
          <w:szCs w:val="24"/>
          <w:lang w:val="ru-RU"/>
        </w:rPr>
      </w:pPr>
      <w:r>
        <w:rPr>
          <w:lang w:val="ru-RU"/>
        </w:rPr>
        <w:t>5.8</w:t>
      </w:r>
      <w:r>
        <w:rPr>
          <w:lang w:val="ru-RU"/>
        </w:rPr>
        <w:tab/>
        <w:t xml:space="preserve">В Документе CWG-FHR-19/DT/2 представлена сводная таблица основных финансовых рисков, обсуждение которых происходило совместно с ответственными по соответствующим рискам в рамках нашей работы по обновлению реестра корпоративных рисков. Перечисленные в таблице финансовые риски касались значительных колебаний доходов по линии возмещения затрат от года к году, финансовой стабильности и долгосрочных финансовых обязательств, а также финансовой отчетности в целом. Секретариат заявил, что эти риски также связаны с обсуждениями РГС-ФЛР, состоявшимися на </w:t>
      </w:r>
      <w:r w:rsidR="00A0572E">
        <w:rPr>
          <w:lang w:val="ru-RU"/>
        </w:rPr>
        <w:t xml:space="preserve">прошедшем накануне </w:t>
      </w:r>
      <w:r w:rsidR="00A0572E" w:rsidRPr="008657E0">
        <w:rPr>
          <w:lang w:val="ru-RU"/>
        </w:rPr>
        <w:t>заседании</w:t>
      </w:r>
      <w:r>
        <w:rPr>
          <w:lang w:val="ru-RU"/>
        </w:rPr>
        <w:t xml:space="preserve">, в том числе о финансовых последствиях предложений для конференции, возмещении затрат и членских взносах; а также с состоявшимся </w:t>
      </w:r>
      <w:r w:rsidR="0069718C">
        <w:rPr>
          <w:lang w:val="ru-RU"/>
        </w:rPr>
        <w:t xml:space="preserve">в первой половине дня </w:t>
      </w:r>
      <w:r>
        <w:rPr>
          <w:lang w:val="ru-RU"/>
        </w:rPr>
        <w:t>обсуждени</w:t>
      </w:r>
      <w:r w:rsidRPr="00FB404F">
        <w:rPr>
          <w:lang w:val="ru-RU"/>
        </w:rPr>
        <w:t xml:space="preserve">ем, которое </w:t>
      </w:r>
      <w:r w:rsidR="0069718C" w:rsidRPr="00FB404F">
        <w:rPr>
          <w:lang w:val="ru-RU"/>
        </w:rPr>
        <w:t>последовало за</w:t>
      </w:r>
      <w:r w:rsidR="0069718C">
        <w:rPr>
          <w:lang w:val="ru-RU"/>
        </w:rPr>
        <w:t xml:space="preserve"> </w:t>
      </w:r>
      <w:r>
        <w:rPr>
          <w:lang w:val="ru-RU"/>
        </w:rPr>
        <w:t>выступлением одного из делегатов на тему инвестиционной политики, поскольку оно касалось финансовой стабильности МСЭ.</w:t>
      </w:r>
    </w:p>
    <w:p w14:paraId="1DDE3429" w14:textId="77777777" w:rsidR="0086677D" w:rsidRPr="0086677D" w:rsidRDefault="0086677D" w:rsidP="007337B0">
      <w:pPr>
        <w:pStyle w:val="Headingb"/>
        <w:jc w:val="both"/>
        <w:rPr>
          <w:lang w:val="ru-RU"/>
        </w:rPr>
      </w:pPr>
      <w:r>
        <w:rPr>
          <w:bCs/>
          <w:lang w:val="ru-RU"/>
        </w:rPr>
        <w:t>Резюме тем, рассмотренных во время сессии вопросов и ответов</w:t>
      </w:r>
    </w:p>
    <w:p w14:paraId="7083B95F" w14:textId="7E3FA8FA" w:rsidR="0086677D" w:rsidRPr="0086677D" w:rsidRDefault="0086677D" w:rsidP="007337B0">
      <w:pPr>
        <w:jc w:val="both"/>
        <w:rPr>
          <w:szCs w:val="24"/>
          <w:lang w:val="ru-RU"/>
        </w:rPr>
      </w:pPr>
      <w:r>
        <w:rPr>
          <w:lang w:val="ru-RU"/>
        </w:rPr>
        <w:t>5.9</w:t>
      </w:r>
      <w:r>
        <w:rPr>
          <w:lang w:val="ru-RU"/>
        </w:rPr>
        <w:tab/>
        <w:t xml:space="preserve">Один из делегатов поблагодарил </w:t>
      </w:r>
      <w:r w:rsidR="0090397F">
        <w:rPr>
          <w:lang w:val="ru-RU"/>
        </w:rPr>
        <w:t>С</w:t>
      </w:r>
      <w:r>
        <w:rPr>
          <w:lang w:val="ru-RU"/>
        </w:rPr>
        <w:t xml:space="preserve">екретариат за подготовку в короткие сроки этого документа, содержащего в себе запрошенную информацию об оценке финансовых рисков. Делегат также выразил пожелание, чтобы Секретариат изучил в рамках своей непрерывной работы замечания Внешнего аудитора по рискам мошенничества, которые были включены в промежуточный отчет Внешнего аудитора, но которые, к сожалению, не были продублированы и конкретизированы в </w:t>
      </w:r>
      <w:r w:rsidR="009A22A5">
        <w:rPr>
          <w:lang w:val="ru-RU"/>
        </w:rPr>
        <w:t xml:space="preserve">его </w:t>
      </w:r>
      <w:r>
        <w:rPr>
          <w:lang w:val="ru-RU"/>
        </w:rPr>
        <w:t>последующем дополнительном отчете.</w:t>
      </w:r>
    </w:p>
    <w:p w14:paraId="086B5F5C" w14:textId="176F1837" w:rsidR="0086677D" w:rsidRPr="0086677D" w:rsidRDefault="0086677D" w:rsidP="007337B0">
      <w:pPr>
        <w:jc w:val="both"/>
        <w:rPr>
          <w:szCs w:val="24"/>
          <w:lang w:val="ru-RU"/>
        </w:rPr>
      </w:pPr>
      <w:r>
        <w:rPr>
          <w:lang w:val="ru-RU"/>
        </w:rPr>
        <w:t>5.10</w:t>
      </w:r>
      <w:r>
        <w:rPr>
          <w:lang w:val="ru-RU"/>
        </w:rPr>
        <w:tab/>
        <w:t xml:space="preserve">Секретариат сослался на отчет Внешнего аудитора, а также подчеркнул и дополнительно осветил меры по смягчению </w:t>
      </w:r>
      <w:r w:rsidR="009A22A5">
        <w:rPr>
          <w:lang w:val="ru-RU"/>
        </w:rPr>
        <w:t xml:space="preserve">финансовых рисков, </w:t>
      </w:r>
      <w:r>
        <w:rPr>
          <w:lang w:val="ru-RU"/>
        </w:rPr>
        <w:t xml:space="preserve">перечисленных в сводной таблице, в частности </w:t>
      </w:r>
      <w:r w:rsidR="008657E0">
        <w:rPr>
          <w:lang w:val="ru-RU"/>
        </w:rPr>
        <w:t xml:space="preserve">в связи с </w:t>
      </w:r>
      <w:r>
        <w:rPr>
          <w:lang w:val="ru-RU"/>
        </w:rPr>
        <w:t>инвестиционн</w:t>
      </w:r>
      <w:r w:rsidR="008657E0">
        <w:rPr>
          <w:lang w:val="ru-RU"/>
        </w:rPr>
        <w:t>ой</w:t>
      </w:r>
      <w:r>
        <w:rPr>
          <w:lang w:val="ru-RU"/>
        </w:rPr>
        <w:t xml:space="preserve"> политик</w:t>
      </w:r>
      <w:r w:rsidR="008657E0">
        <w:rPr>
          <w:lang w:val="ru-RU"/>
        </w:rPr>
        <w:t>ой</w:t>
      </w:r>
      <w:r>
        <w:rPr>
          <w:lang w:val="ru-RU"/>
        </w:rPr>
        <w:t xml:space="preserve"> и нов</w:t>
      </w:r>
      <w:r w:rsidR="009A22A5">
        <w:rPr>
          <w:lang w:val="ru-RU"/>
        </w:rPr>
        <w:t>ы</w:t>
      </w:r>
      <w:r w:rsidR="008657E0">
        <w:rPr>
          <w:lang w:val="ru-RU"/>
        </w:rPr>
        <w:t>м</w:t>
      </w:r>
      <w:r>
        <w:rPr>
          <w:lang w:val="ru-RU"/>
        </w:rPr>
        <w:t xml:space="preserve"> комитет</w:t>
      </w:r>
      <w:r w:rsidR="008657E0">
        <w:rPr>
          <w:lang w:val="ru-RU"/>
        </w:rPr>
        <w:t>ом</w:t>
      </w:r>
      <w:r>
        <w:rPr>
          <w:lang w:val="ru-RU"/>
        </w:rPr>
        <w:t xml:space="preserve"> по инвестициям, </w:t>
      </w:r>
      <w:r w:rsidR="008657E0">
        <w:rPr>
          <w:lang w:val="ru-RU"/>
        </w:rPr>
        <w:t>которые обеспечивают</w:t>
      </w:r>
      <w:r>
        <w:rPr>
          <w:lang w:val="ru-RU"/>
        </w:rPr>
        <w:t xml:space="preserve"> </w:t>
      </w:r>
      <w:r w:rsidR="008657E0">
        <w:rPr>
          <w:lang w:val="ru-RU"/>
        </w:rPr>
        <w:t xml:space="preserve">применение </w:t>
      </w:r>
      <w:r>
        <w:rPr>
          <w:lang w:val="ru-RU"/>
        </w:rPr>
        <w:t xml:space="preserve">неспекулятивного </w:t>
      </w:r>
      <w:r w:rsidR="0090397F">
        <w:rPr>
          <w:lang w:val="ru-RU"/>
        </w:rPr>
        <w:t>подхода к управлению средствами,</w:t>
      </w:r>
      <w:r>
        <w:rPr>
          <w:lang w:val="ru-RU"/>
        </w:rPr>
        <w:t xml:space="preserve"> ориентированного на минимизацию рисков; сбор заявленных взносов и управление задолженностью; а также возмещение затрат, особенно в связи с заявк</w:t>
      </w:r>
      <w:r w:rsidR="008F5DF5">
        <w:rPr>
          <w:lang w:val="ru-RU"/>
        </w:rPr>
        <w:t>ами</w:t>
      </w:r>
      <w:r>
        <w:rPr>
          <w:lang w:val="ru-RU"/>
        </w:rPr>
        <w:t xml:space="preserve"> на спутниковые сети и трудностями сбора предварительной информации. </w:t>
      </w:r>
    </w:p>
    <w:p w14:paraId="1A360AFD" w14:textId="17E4B5D5" w:rsidR="0086677D" w:rsidRPr="0086677D" w:rsidRDefault="0086677D" w:rsidP="007337B0">
      <w:pPr>
        <w:pStyle w:val="Heading1"/>
        <w:jc w:val="both"/>
        <w:rPr>
          <w:u w:val="single"/>
          <w:lang w:val="ru-RU"/>
        </w:rPr>
      </w:pPr>
      <w:r>
        <w:rPr>
          <w:bCs/>
          <w:lang w:val="ru-RU"/>
        </w:rPr>
        <w:t>6</w:t>
      </w:r>
      <w:r>
        <w:rPr>
          <w:lang w:val="ru-RU"/>
        </w:rPr>
        <w:tab/>
      </w:r>
      <w:r>
        <w:rPr>
          <w:bCs/>
          <w:lang w:val="ru-RU"/>
        </w:rPr>
        <w:t xml:space="preserve">Отчет работающей по переписке группы РГС-ФЛР по проекту руководящих </w:t>
      </w:r>
      <w:r w:rsidR="008657E0">
        <w:rPr>
          <w:bCs/>
          <w:lang w:val="ru-RU"/>
        </w:rPr>
        <w:t>принципов в отношении</w:t>
      </w:r>
      <w:r>
        <w:rPr>
          <w:bCs/>
          <w:lang w:val="ru-RU"/>
        </w:rPr>
        <w:t xml:space="preserve"> управлени</w:t>
      </w:r>
      <w:r w:rsidR="008657E0">
        <w:rPr>
          <w:bCs/>
          <w:lang w:val="ru-RU"/>
        </w:rPr>
        <w:t>я</w:t>
      </w:r>
      <w:r>
        <w:rPr>
          <w:bCs/>
          <w:lang w:val="ru-RU"/>
        </w:rPr>
        <w:t xml:space="preserve"> полностью виртуальными собраниями и очными собраниями с дистанционным участием в МСЭ</w:t>
      </w:r>
      <w:r w:rsidR="009A22A5">
        <w:rPr>
          <w:bCs/>
          <w:lang w:val="ru-RU"/>
        </w:rPr>
        <w:t> </w:t>
      </w:r>
      <w:r w:rsidR="00DE2DBD">
        <w:rPr>
          <w:bCs/>
          <w:lang w:val="ru-RU"/>
        </w:rPr>
        <w:t>−</w:t>
      </w:r>
      <w:r>
        <w:rPr>
          <w:bCs/>
          <w:lang w:val="ru-RU"/>
        </w:rPr>
        <w:t xml:space="preserve"> Документ </w:t>
      </w:r>
      <w:hyperlink r:id="rId20" w:history="1">
        <w:r w:rsidRPr="005C2E6F">
          <w:rPr>
            <w:rStyle w:val="Hyperlink"/>
            <w:bCs/>
          </w:rPr>
          <w:t>CWG-FHR-20/3(Rev.2)</w:t>
        </w:r>
      </w:hyperlink>
    </w:p>
    <w:p w14:paraId="26505917" w14:textId="032AEC05" w:rsidR="0086677D" w:rsidRPr="0086677D" w:rsidRDefault="0086677D" w:rsidP="007337B0">
      <w:pPr>
        <w:jc w:val="both"/>
        <w:rPr>
          <w:rFonts w:asciiTheme="minorHAnsi" w:eastAsia="SimSun" w:hAnsiTheme="minorHAnsi" w:cstheme="minorHAnsi"/>
          <w:color w:val="000000"/>
          <w:szCs w:val="24"/>
          <w:lang w:val="ru-RU"/>
        </w:rPr>
      </w:pPr>
      <w:r>
        <w:rPr>
          <w:lang w:val="ru-RU"/>
        </w:rPr>
        <w:t>6.1</w:t>
      </w:r>
      <w:r>
        <w:rPr>
          <w:lang w:val="ru-RU"/>
        </w:rPr>
        <w:tab/>
        <w:t xml:space="preserve">Документ был представлен Председателем </w:t>
      </w:r>
      <w:r w:rsidR="009A22A5">
        <w:rPr>
          <w:lang w:val="ru-RU"/>
        </w:rPr>
        <w:t>группы, работающей по переписке</w:t>
      </w:r>
      <w:r>
        <w:rPr>
          <w:lang w:val="ru-RU"/>
        </w:rPr>
        <w:t xml:space="preserve">, созданной на 19-м собрании РГС-ФЛР в октябре 2024 года для рассмотрения проекта руководящих </w:t>
      </w:r>
      <w:r w:rsidR="008657E0">
        <w:rPr>
          <w:lang w:val="ru-RU"/>
        </w:rPr>
        <w:t>принципов в отношении</w:t>
      </w:r>
      <w:r>
        <w:rPr>
          <w:lang w:val="ru-RU"/>
        </w:rPr>
        <w:t xml:space="preserve"> управлени</w:t>
      </w:r>
      <w:r w:rsidR="008657E0">
        <w:rPr>
          <w:lang w:val="ru-RU"/>
        </w:rPr>
        <w:t>я</w:t>
      </w:r>
      <w:r>
        <w:rPr>
          <w:lang w:val="ru-RU"/>
        </w:rPr>
        <w:t xml:space="preserve"> виртуальными собраниями и очными собраниями с дистанционным участием в соответствии с Приложением 1 к Резолюции </w:t>
      </w:r>
      <w:hyperlink r:id="rId21" w:history="1">
        <w:r w:rsidRPr="005C2E6F">
          <w:rPr>
            <w:rStyle w:val="Hyperlink"/>
          </w:rPr>
          <w:t>167 (Пересм. Бухарест, 2022 г.)</w:t>
        </w:r>
      </w:hyperlink>
      <w:r>
        <w:rPr>
          <w:lang w:val="ru-RU"/>
        </w:rPr>
        <w:t xml:space="preserve"> Полномочной конференции об укреплении и развитии потенциала МСЭ для проведения полностью виртуальных собраний и очных собраний с дистанционным участием и обеспечении электронных средств для продвижения работы Союза.</w:t>
      </w:r>
    </w:p>
    <w:p w14:paraId="73767E46" w14:textId="78AA340D" w:rsidR="0086677D" w:rsidRPr="0086677D" w:rsidRDefault="0086677D" w:rsidP="007337B0">
      <w:pPr>
        <w:jc w:val="both"/>
        <w:rPr>
          <w:rFonts w:asciiTheme="minorHAnsi" w:eastAsia="SimSun" w:hAnsiTheme="minorHAnsi" w:cstheme="minorHAnsi"/>
          <w:color w:val="000000"/>
          <w:szCs w:val="24"/>
          <w:lang w:val="ru-RU"/>
        </w:rPr>
      </w:pPr>
      <w:r>
        <w:rPr>
          <w:lang w:val="ru-RU"/>
        </w:rPr>
        <w:t>6.2</w:t>
      </w:r>
      <w:r>
        <w:rPr>
          <w:lang w:val="ru-RU"/>
        </w:rPr>
        <w:tab/>
        <w:t xml:space="preserve">Председатель представил обзор изменений к проекту документа, которые согласовала и предложила </w:t>
      </w:r>
      <w:r w:rsidR="009A22A5">
        <w:rPr>
          <w:lang w:val="ru-RU"/>
        </w:rPr>
        <w:t>группа, работающая по переписке</w:t>
      </w:r>
      <w:r>
        <w:rPr>
          <w:lang w:val="ru-RU"/>
        </w:rPr>
        <w:t xml:space="preserve">. Дополнительные изменения, предложенные Болгарией, были показаны в режиме отображения исправлений, поскольку они были </w:t>
      </w:r>
      <w:r>
        <w:rPr>
          <w:lang w:val="ru-RU"/>
        </w:rPr>
        <w:lastRenderedPageBreak/>
        <w:t xml:space="preserve">представлены после закрытия собраний </w:t>
      </w:r>
      <w:r w:rsidR="009A22A5">
        <w:rPr>
          <w:lang w:val="ru-RU"/>
        </w:rPr>
        <w:t>группы</w:t>
      </w:r>
      <w:r>
        <w:rPr>
          <w:lang w:val="ru-RU"/>
        </w:rPr>
        <w:t>, в которых Болгария не могла принять участия из-за технических трудностей с доступом к платформе для собраний.</w:t>
      </w:r>
    </w:p>
    <w:p w14:paraId="23D7491B" w14:textId="3D27DBB1" w:rsidR="0086677D" w:rsidRPr="00861D01" w:rsidRDefault="0086677D" w:rsidP="007337B0">
      <w:pPr>
        <w:jc w:val="both"/>
        <w:rPr>
          <w:rFonts w:asciiTheme="minorHAnsi" w:hAnsiTheme="minorHAnsi" w:cstheme="minorHAnsi"/>
          <w:szCs w:val="24"/>
          <w:lang w:val="ru-RU"/>
        </w:rPr>
      </w:pPr>
      <w:r>
        <w:rPr>
          <w:lang w:val="ru-RU"/>
        </w:rPr>
        <w:t>6.3</w:t>
      </w:r>
      <w:r>
        <w:rPr>
          <w:lang w:val="ru-RU"/>
        </w:rPr>
        <w:tab/>
        <w:t>Делегаты обсудили возможность внесения изменений в формулировку предложенной Болгарией поправки об обеспечении равного доступа к платформам собраний для всех участников. Один из делегатов предложил новую формулировку, включающую рекомендацию по возможности избегать проведения виртуальных собраний по пятницам.</w:t>
      </w:r>
    </w:p>
    <w:p w14:paraId="151C4616" w14:textId="3D23E39A" w:rsidR="0086677D" w:rsidRPr="00861D01" w:rsidRDefault="0086677D" w:rsidP="007337B0">
      <w:pPr>
        <w:jc w:val="both"/>
        <w:rPr>
          <w:rFonts w:asciiTheme="minorHAnsi" w:hAnsiTheme="minorHAnsi" w:cstheme="minorBidi"/>
          <w:lang w:val="ru-RU"/>
        </w:rPr>
      </w:pPr>
      <w:r>
        <w:rPr>
          <w:lang w:val="ru-RU"/>
        </w:rPr>
        <w:t>6.4</w:t>
      </w:r>
      <w:r>
        <w:rPr>
          <w:lang w:val="ru-RU"/>
        </w:rPr>
        <w:tab/>
        <w:t>Делегаты задали дополнительные вопросы: являются субтитры на дистанционных собраниях или очных собраниях с дистанционным участием обязательными или необязательными; считаются ли участники, подключающиеся дистанционно, активными участниками, если они не берут слов</w:t>
      </w:r>
      <w:r w:rsidR="008F5DF5">
        <w:rPr>
          <w:lang w:val="ru-RU"/>
        </w:rPr>
        <w:t>о</w:t>
      </w:r>
      <w:r>
        <w:rPr>
          <w:lang w:val="ru-RU"/>
        </w:rPr>
        <w:t xml:space="preserve">; в каком порядке председателю следует давать слово участникам, среди которых есть те, кто присутствует очно, и те, кто подключается дистанционно; и может ли Секретариат подготовить исследование существующих правил процедуры для участия в собраниях в соответствии с пунктом 4 раздела </w:t>
      </w:r>
      <w:r>
        <w:rPr>
          <w:i/>
          <w:iCs/>
          <w:lang w:val="ru-RU"/>
        </w:rPr>
        <w:t>решает</w:t>
      </w:r>
      <w:r>
        <w:rPr>
          <w:lang w:val="ru-RU"/>
        </w:rPr>
        <w:t xml:space="preserve"> Резолюции</w:t>
      </w:r>
      <w:r w:rsidR="00236212">
        <w:rPr>
          <w:lang w:val="ru-RU"/>
        </w:rPr>
        <w:t> </w:t>
      </w:r>
      <w:r>
        <w:rPr>
          <w:lang w:val="ru-RU"/>
        </w:rPr>
        <w:t>167.</w:t>
      </w:r>
    </w:p>
    <w:p w14:paraId="78B97316" w14:textId="105E79B4" w:rsidR="0086677D" w:rsidRPr="0086677D" w:rsidRDefault="0086677D" w:rsidP="007337B0">
      <w:pPr>
        <w:jc w:val="both"/>
        <w:rPr>
          <w:rFonts w:asciiTheme="minorHAnsi" w:hAnsiTheme="minorHAnsi" w:cstheme="minorBidi"/>
          <w:lang w:val="ru-RU"/>
        </w:rPr>
      </w:pPr>
      <w:r>
        <w:rPr>
          <w:lang w:val="ru-RU"/>
        </w:rPr>
        <w:t>6.5</w:t>
      </w:r>
      <w:r>
        <w:rPr>
          <w:lang w:val="ru-RU"/>
        </w:rPr>
        <w:tab/>
        <w:t xml:space="preserve">После дополнительных </w:t>
      </w:r>
      <w:r w:rsidRPr="00FB404F">
        <w:rPr>
          <w:lang w:val="ru-RU"/>
        </w:rPr>
        <w:t xml:space="preserve">обсуждений в </w:t>
      </w:r>
      <w:r w:rsidR="008F5DF5" w:rsidRPr="00FB404F">
        <w:rPr>
          <w:lang w:val="ru-RU"/>
        </w:rPr>
        <w:t>кулуарах</w:t>
      </w:r>
      <w:r>
        <w:rPr>
          <w:lang w:val="ru-RU"/>
        </w:rPr>
        <w:t xml:space="preserve"> и внесения в текст поправок об обеспечения равного доступа к платформам для собраний и отказа, когда это возможно, от проведения виртуальных собраний по пятницам РГС-ФЛР утвердила предложенные изменения. Было также решено, что эти руководящие </w:t>
      </w:r>
      <w:r w:rsidR="008657E0">
        <w:rPr>
          <w:lang w:val="ru-RU"/>
        </w:rPr>
        <w:t>принципы</w:t>
      </w:r>
      <w:r>
        <w:rPr>
          <w:lang w:val="ru-RU"/>
        </w:rPr>
        <w:t xml:space="preserve"> будут представлены в таком виде Совету для одобрения на его сессии в июне 2025 года.</w:t>
      </w:r>
    </w:p>
    <w:p w14:paraId="7D80FC90" w14:textId="4DD804F0" w:rsidR="0086677D" w:rsidRPr="0086677D" w:rsidRDefault="0086677D" w:rsidP="007337B0">
      <w:pPr>
        <w:jc w:val="both"/>
        <w:rPr>
          <w:rFonts w:asciiTheme="minorHAnsi" w:hAnsiTheme="minorHAnsi" w:cstheme="minorHAnsi"/>
          <w:color w:val="000000"/>
          <w:szCs w:val="24"/>
          <w:lang w:val="ru-RU"/>
        </w:rPr>
      </w:pPr>
      <w:r>
        <w:rPr>
          <w:lang w:val="ru-RU"/>
        </w:rPr>
        <w:t>6.6</w:t>
      </w:r>
      <w:r>
        <w:rPr>
          <w:lang w:val="ru-RU"/>
        </w:rPr>
        <w:tab/>
      </w:r>
      <w:r>
        <w:rPr>
          <w:b/>
          <w:bCs/>
          <w:i/>
          <w:iCs/>
          <w:lang w:val="ru-RU"/>
        </w:rPr>
        <w:t>Рекомендация</w:t>
      </w:r>
      <w:r>
        <w:rPr>
          <w:lang w:val="ru-RU"/>
        </w:rPr>
        <w:t xml:space="preserve">: Совету рекомендуется одобрить руководящие </w:t>
      </w:r>
      <w:r w:rsidR="008657E0">
        <w:rPr>
          <w:lang w:val="ru-RU"/>
        </w:rPr>
        <w:t>принципы</w:t>
      </w:r>
      <w:r>
        <w:rPr>
          <w:lang w:val="ru-RU"/>
        </w:rPr>
        <w:t xml:space="preserve">, </w:t>
      </w:r>
      <w:r w:rsidR="008657E0">
        <w:rPr>
          <w:lang w:val="ru-RU"/>
        </w:rPr>
        <w:t>содержащиеся</w:t>
      </w:r>
      <w:r>
        <w:rPr>
          <w:lang w:val="ru-RU"/>
        </w:rPr>
        <w:t xml:space="preserve"> </w:t>
      </w:r>
      <w:hyperlink w:anchor="AnnexB" w:history="1">
        <w:r w:rsidRPr="007337B0">
          <w:rPr>
            <w:rStyle w:val="Hyperlink"/>
          </w:rPr>
          <w:t>в</w:t>
        </w:r>
        <w:r w:rsidR="007337B0" w:rsidRPr="007337B0">
          <w:rPr>
            <w:rStyle w:val="Hyperlink"/>
          </w:rPr>
          <w:t xml:space="preserve"> </w:t>
        </w:r>
        <w:r w:rsidR="007337B0" w:rsidRPr="007337B0">
          <w:rPr>
            <w:rStyle w:val="Hyperlink"/>
          </w:rPr>
          <w:t>Приложении В</w:t>
        </w:r>
      </w:hyperlink>
      <w:r w:rsidRPr="001C4BB8">
        <w:rPr>
          <w:lang w:val="ru-RU"/>
        </w:rPr>
        <w:t xml:space="preserve"> к настоящему документу.</w:t>
      </w:r>
    </w:p>
    <w:p w14:paraId="58661DF7" w14:textId="40AB4A80" w:rsidR="0086677D" w:rsidRPr="0086677D" w:rsidRDefault="0086677D" w:rsidP="007337B0">
      <w:pPr>
        <w:pStyle w:val="Heading1"/>
        <w:jc w:val="both"/>
        <w:rPr>
          <w:lang w:val="ru-RU"/>
        </w:rPr>
      </w:pPr>
      <w:r>
        <w:rPr>
          <w:bCs/>
          <w:lang w:val="ru-RU"/>
        </w:rPr>
        <w:t>7</w:t>
      </w:r>
      <w:r>
        <w:rPr>
          <w:lang w:val="ru-RU"/>
        </w:rPr>
        <w:tab/>
      </w:r>
      <w:r>
        <w:rPr>
          <w:bCs/>
          <w:lang w:val="ru-RU"/>
        </w:rPr>
        <w:t xml:space="preserve">Ежегодные бюджетные последствия выполнения решений ВАСЭ-24 </w:t>
      </w:r>
      <w:r w:rsidR="00DE2DBD">
        <w:rPr>
          <w:bCs/>
          <w:lang w:val="ru-RU"/>
        </w:rPr>
        <w:t>−</w:t>
      </w:r>
      <w:r>
        <w:rPr>
          <w:bCs/>
          <w:lang w:val="ru-RU"/>
        </w:rPr>
        <w:t xml:space="preserve"> Документ </w:t>
      </w:r>
      <w:hyperlink r:id="rId22" w:history="1">
        <w:r w:rsidRPr="005C2E6F">
          <w:rPr>
            <w:rStyle w:val="Hyperlink"/>
            <w:bCs/>
          </w:rPr>
          <w:t>CWG-FHR-20/5</w:t>
        </w:r>
      </w:hyperlink>
    </w:p>
    <w:p w14:paraId="60987E18" w14:textId="560382A8" w:rsidR="0086677D" w:rsidRPr="0086677D" w:rsidRDefault="0086677D" w:rsidP="007337B0">
      <w:pPr>
        <w:jc w:val="both"/>
        <w:rPr>
          <w:rFonts w:asciiTheme="minorHAnsi" w:eastAsia="Aptos" w:hAnsiTheme="minorHAnsi" w:cstheme="minorHAnsi"/>
          <w:szCs w:val="24"/>
          <w:lang w:val="ru-RU"/>
        </w:rPr>
      </w:pPr>
      <w:r>
        <w:rPr>
          <w:lang w:val="ru-RU"/>
        </w:rPr>
        <w:t>7.1</w:t>
      </w:r>
      <w:r>
        <w:rPr>
          <w:lang w:val="ru-RU"/>
        </w:rPr>
        <w:tab/>
        <w:t xml:space="preserve">Директор БСЭ выступил со следующим заявлением: </w:t>
      </w:r>
      <w:hyperlink r:id="rId23" w:history="1">
        <w:r w:rsidRPr="005C2E6F">
          <w:rPr>
            <w:rStyle w:val="Hyperlink"/>
          </w:rPr>
          <w:t>https://www.itu.int/en/council/Documents/2025/Speech-TSB-Director-to-CWG-FHR.pdf</w:t>
        </w:r>
      </w:hyperlink>
      <w:r>
        <w:rPr>
          <w:lang w:val="ru-RU"/>
        </w:rPr>
        <w:t xml:space="preserve">. </w:t>
      </w:r>
    </w:p>
    <w:p w14:paraId="552A581A" w14:textId="4CCB6CD3" w:rsidR="0086677D" w:rsidRPr="0086677D" w:rsidRDefault="0086677D" w:rsidP="007337B0">
      <w:pPr>
        <w:jc w:val="both"/>
        <w:rPr>
          <w:rFonts w:asciiTheme="minorHAnsi" w:eastAsia="Aptos" w:hAnsiTheme="minorHAnsi" w:cstheme="minorHAnsi"/>
          <w:szCs w:val="24"/>
          <w:lang w:val="ru-RU"/>
        </w:rPr>
      </w:pPr>
      <w:r>
        <w:rPr>
          <w:lang w:val="ru-RU"/>
        </w:rPr>
        <w:t>7.2</w:t>
      </w:r>
      <w:r>
        <w:rPr>
          <w:lang w:val="ru-RU"/>
        </w:rPr>
        <w:tab/>
        <w:t xml:space="preserve">Заместитель Директора БСЭ представил от имени Генерального секретаря </w:t>
      </w:r>
      <w:r w:rsidR="0090397F">
        <w:rPr>
          <w:lang w:val="ru-RU"/>
        </w:rPr>
        <w:t>Д</w:t>
      </w:r>
      <w:r>
        <w:rPr>
          <w:lang w:val="ru-RU"/>
        </w:rPr>
        <w:t>окумент CWG-FHR-20/5.</w:t>
      </w:r>
    </w:p>
    <w:p w14:paraId="5482C12D" w14:textId="16F7CA9D" w:rsidR="0086677D" w:rsidRPr="0086677D" w:rsidRDefault="0086677D" w:rsidP="007337B0">
      <w:pPr>
        <w:jc w:val="both"/>
        <w:rPr>
          <w:rFonts w:asciiTheme="minorHAnsi" w:eastAsia="Aptos" w:hAnsiTheme="minorHAnsi" w:cstheme="minorHAnsi"/>
          <w:szCs w:val="24"/>
          <w:lang w:val="ru-RU"/>
        </w:rPr>
      </w:pPr>
      <w:r>
        <w:rPr>
          <w:lang w:val="ru-RU"/>
        </w:rPr>
        <w:t>7.3</w:t>
      </w:r>
      <w:r>
        <w:rPr>
          <w:lang w:val="ru-RU"/>
        </w:rPr>
        <w:tab/>
        <w:t>Был задан ряд вопросов о методе расчета финансовых последствий, приоритетности тем, подлежащих реализации, а также осуществимости шести предложенных вариантов действий.</w:t>
      </w:r>
    </w:p>
    <w:p w14:paraId="3739AC1F" w14:textId="39DB0AFA" w:rsidR="0086677D" w:rsidRPr="0086677D" w:rsidRDefault="0086677D" w:rsidP="007337B0">
      <w:pPr>
        <w:jc w:val="both"/>
        <w:rPr>
          <w:rFonts w:asciiTheme="minorHAnsi" w:eastAsia="Aptos" w:hAnsiTheme="minorHAnsi" w:cstheme="minorHAnsi"/>
          <w:szCs w:val="24"/>
          <w:lang w:val="ru-RU"/>
        </w:rPr>
      </w:pPr>
      <w:r>
        <w:rPr>
          <w:lang w:val="ru-RU"/>
        </w:rPr>
        <w:t>7.4</w:t>
      </w:r>
      <w:r>
        <w:rPr>
          <w:lang w:val="ru-RU"/>
        </w:rPr>
        <w:tab/>
        <w:t xml:space="preserve">Секретариат пояснил, что, хотя ВАСЭ-24 утвердила восемь новых </w:t>
      </w:r>
      <w:r w:rsidR="008F5DF5">
        <w:rPr>
          <w:lang w:val="ru-RU"/>
        </w:rPr>
        <w:t>Резолюций</w:t>
      </w:r>
      <w:r>
        <w:rPr>
          <w:lang w:val="ru-RU"/>
        </w:rPr>
        <w:t>, обновила 44 </w:t>
      </w:r>
      <w:r w:rsidR="008F5DF5">
        <w:rPr>
          <w:lang w:val="ru-RU"/>
        </w:rPr>
        <w:t xml:space="preserve">Резолюции </w:t>
      </w:r>
      <w:r>
        <w:rPr>
          <w:lang w:val="ru-RU"/>
        </w:rPr>
        <w:t>и утвердила пятнадцать действий, в которых Директору БСЭ поручается их выполнить, Комитет по бюджетному контролю (COM2) ВАСЭ-24 и пленарное заседание ВАСЭ</w:t>
      </w:r>
      <w:r w:rsidR="00A614AC" w:rsidRPr="00A614AC">
        <w:rPr>
          <w:lang w:val="ru-RU"/>
        </w:rPr>
        <w:noBreakHyphen/>
      </w:r>
      <w:r>
        <w:rPr>
          <w:lang w:val="ru-RU"/>
        </w:rPr>
        <w:t xml:space="preserve">24 утвердили оценочное воздействие на бюджет в размере </w:t>
      </w:r>
      <w:r>
        <w:rPr>
          <w:b/>
          <w:bCs/>
          <w:lang w:val="ru-RU"/>
        </w:rPr>
        <w:t>1,414</w:t>
      </w:r>
      <w:r w:rsidR="00A614AC">
        <w:rPr>
          <w:b/>
          <w:bCs/>
          <w:lang w:val="en-US"/>
        </w:rPr>
        <w:t> </w:t>
      </w:r>
      <w:r>
        <w:rPr>
          <w:b/>
          <w:bCs/>
          <w:lang w:val="ru-RU"/>
        </w:rPr>
        <w:t>млн.</w:t>
      </w:r>
      <w:r w:rsidR="00A614AC">
        <w:rPr>
          <w:b/>
          <w:bCs/>
          <w:lang w:val="en-US"/>
        </w:rPr>
        <w:t> </w:t>
      </w:r>
      <w:r>
        <w:rPr>
          <w:b/>
          <w:bCs/>
          <w:lang w:val="ru-RU"/>
        </w:rPr>
        <w:t>швейцарских франков</w:t>
      </w:r>
      <w:r>
        <w:rPr>
          <w:lang w:val="ru-RU"/>
        </w:rPr>
        <w:t>, которое охватывает только Резолюцию 101 об искусственном интеллекте (ИИ), Резолюцию 103 о цифровой инфраструктуре общего пользования (DPI) и Резолюцию 106 об устойчивой цифровой трансформации (SDT).</w:t>
      </w:r>
    </w:p>
    <w:p w14:paraId="3A8CF3C2" w14:textId="77777777" w:rsidR="0086677D" w:rsidRPr="0086677D" w:rsidRDefault="0086677D" w:rsidP="007337B0">
      <w:pPr>
        <w:jc w:val="both"/>
        <w:rPr>
          <w:rFonts w:asciiTheme="minorHAnsi" w:eastAsia="Aptos" w:hAnsiTheme="minorHAnsi" w:cstheme="minorHAnsi"/>
          <w:szCs w:val="24"/>
          <w:lang w:val="ru-RU"/>
        </w:rPr>
      </w:pPr>
      <w:r>
        <w:rPr>
          <w:lang w:val="ru-RU"/>
        </w:rPr>
        <w:t>7.5</w:t>
      </w:r>
      <w:r>
        <w:rPr>
          <w:lang w:val="ru-RU"/>
        </w:rPr>
        <w:tab/>
        <w:t xml:space="preserve">Секретариат проинформировал РГС-ФЛР о том, что в настоящее время ведутся переговоры с </w:t>
      </w:r>
      <w:r>
        <w:rPr>
          <w:b/>
          <w:bCs/>
          <w:lang w:val="ru-RU"/>
        </w:rPr>
        <w:t>Индией</w:t>
      </w:r>
      <w:r>
        <w:rPr>
          <w:lang w:val="ru-RU"/>
        </w:rPr>
        <w:t xml:space="preserve"> по рассмотрению варианта 1 (экономия за счет финансирования, выделяемого принимающей страной на организацию Ассамблеи, при условии согласия принимающей страны). Точная сумма сэкономленных средств на момент представления настоящего документа неизвестна, так как расходы на ВАСЭ-24 еще не закрыты. </w:t>
      </w:r>
    </w:p>
    <w:p w14:paraId="4C7032CA" w14:textId="0B0F2D13" w:rsidR="0086677D" w:rsidRPr="0086677D" w:rsidRDefault="0086677D" w:rsidP="007337B0">
      <w:pPr>
        <w:jc w:val="both"/>
        <w:rPr>
          <w:rFonts w:asciiTheme="minorHAnsi" w:eastAsia="Aptos" w:hAnsiTheme="minorHAnsi" w:cstheme="minorHAnsi"/>
          <w:szCs w:val="24"/>
          <w:lang w:val="ru-RU"/>
        </w:rPr>
      </w:pPr>
      <w:r>
        <w:rPr>
          <w:lang w:val="ru-RU"/>
        </w:rPr>
        <w:t>7.6</w:t>
      </w:r>
      <w:r>
        <w:rPr>
          <w:lang w:val="ru-RU"/>
        </w:rPr>
        <w:tab/>
        <w:t xml:space="preserve">Кроме того, Секретариат обратил внимание на Документ </w:t>
      </w:r>
      <w:hyperlink r:id="rId24" w:history="1">
        <w:r w:rsidRPr="005C2E6F">
          <w:rPr>
            <w:rStyle w:val="Hyperlink"/>
          </w:rPr>
          <w:t>CWG-FHR-20/14</w:t>
        </w:r>
      </w:hyperlink>
      <w:r w:rsidR="009A22A5">
        <w:rPr>
          <w:lang w:val="ru-RU"/>
        </w:rPr>
        <w:t xml:space="preserve">, представленный </w:t>
      </w:r>
      <w:r>
        <w:rPr>
          <w:lang w:val="ru-RU"/>
        </w:rPr>
        <w:t xml:space="preserve">к этому собранию РГС-ФЛР, в котором предлагается финансировать единовременные затраты и реализацию решений ВАСЭ-24 в первый год, или </w:t>
      </w:r>
      <w:r>
        <w:rPr>
          <w:b/>
          <w:bCs/>
          <w:lang w:val="ru-RU"/>
        </w:rPr>
        <w:t>556</w:t>
      </w:r>
      <w:r w:rsidR="00A614AC">
        <w:rPr>
          <w:b/>
          <w:bCs/>
          <w:lang w:val="en-US"/>
        </w:rPr>
        <w:t> </w:t>
      </w:r>
      <w:r>
        <w:rPr>
          <w:b/>
          <w:bCs/>
          <w:lang w:val="ru-RU"/>
        </w:rPr>
        <w:t>тыс. швейцарских франков</w:t>
      </w:r>
      <w:r>
        <w:rPr>
          <w:lang w:val="ru-RU"/>
        </w:rPr>
        <w:t xml:space="preserve">, за счет </w:t>
      </w:r>
      <w:r w:rsidR="009A22A5">
        <w:rPr>
          <w:lang w:val="ru-RU"/>
        </w:rPr>
        <w:t>сэкономленных средств</w:t>
      </w:r>
      <w:r>
        <w:rPr>
          <w:lang w:val="ru-RU"/>
        </w:rPr>
        <w:t xml:space="preserve"> бюджета 2024 года.</w:t>
      </w:r>
    </w:p>
    <w:p w14:paraId="07595D02" w14:textId="77777777" w:rsidR="0086677D" w:rsidRPr="0086677D" w:rsidRDefault="0086677D" w:rsidP="007337B0">
      <w:pPr>
        <w:jc w:val="both"/>
        <w:rPr>
          <w:rFonts w:asciiTheme="minorHAnsi" w:eastAsia="Aptos" w:hAnsiTheme="minorHAnsi" w:cstheme="minorHAnsi"/>
          <w:szCs w:val="24"/>
          <w:lang w:val="ru-RU"/>
        </w:rPr>
      </w:pPr>
      <w:r>
        <w:rPr>
          <w:lang w:val="ru-RU"/>
        </w:rPr>
        <w:lastRenderedPageBreak/>
        <w:t>7.7</w:t>
      </w:r>
      <w:r>
        <w:rPr>
          <w:lang w:val="ru-RU"/>
        </w:rPr>
        <w:tab/>
        <w:t xml:space="preserve">Секретариат пояснил также, что к числу </w:t>
      </w:r>
      <w:r>
        <w:rPr>
          <w:b/>
          <w:bCs/>
          <w:lang w:val="ru-RU"/>
        </w:rPr>
        <w:t>приоритетов</w:t>
      </w:r>
      <w:r>
        <w:rPr>
          <w:lang w:val="ru-RU"/>
        </w:rPr>
        <w:t>, которые определяются исходя из решений ВАСЭ-24 и регулярных запросов членов, относятся ИИ, DPI, экологическая устойчивость, квантовые технологии и связь в условиях бедствий/чрезвычайных ситуаций.</w:t>
      </w:r>
    </w:p>
    <w:p w14:paraId="0A51BF3E" w14:textId="77777777" w:rsidR="0086677D" w:rsidRPr="0086677D" w:rsidRDefault="0086677D" w:rsidP="007337B0">
      <w:pPr>
        <w:jc w:val="both"/>
        <w:rPr>
          <w:rFonts w:asciiTheme="minorHAnsi" w:eastAsia="Aptos" w:hAnsiTheme="minorHAnsi" w:cstheme="minorHAnsi"/>
          <w:szCs w:val="24"/>
          <w:lang w:val="ru-RU"/>
        </w:rPr>
      </w:pPr>
      <w:r>
        <w:rPr>
          <w:lang w:val="ru-RU"/>
        </w:rPr>
        <w:t>7.8</w:t>
      </w:r>
      <w:r>
        <w:rPr>
          <w:lang w:val="ru-RU"/>
        </w:rPr>
        <w:tab/>
        <w:t xml:space="preserve">Ряд делегатов поддержали вариант 3 (использование сэкономленных средств бюджета МСЭ) для финансирования выполнения решений ВАСЭ-24. Другие призвали к дальнейшей мобилизации ресурсов, предложили делать добровольные взносы и изучить другие механизмы возмещения затрат. </w:t>
      </w:r>
    </w:p>
    <w:p w14:paraId="7D2252C2" w14:textId="77777777" w:rsidR="0086677D" w:rsidRPr="0086677D" w:rsidRDefault="0086677D" w:rsidP="007337B0">
      <w:pPr>
        <w:jc w:val="both"/>
        <w:rPr>
          <w:rFonts w:asciiTheme="minorHAnsi" w:eastAsia="Aptos" w:hAnsiTheme="minorHAnsi" w:cstheme="minorHAnsi"/>
          <w:szCs w:val="24"/>
          <w:lang w:val="ru-RU"/>
        </w:rPr>
      </w:pPr>
      <w:r>
        <w:rPr>
          <w:lang w:val="ru-RU"/>
        </w:rPr>
        <w:t>7.9</w:t>
      </w:r>
      <w:r>
        <w:rPr>
          <w:lang w:val="ru-RU"/>
        </w:rPr>
        <w:tab/>
        <w:t>Секретариат выразил благодарность РГС-ФЛР за ее поддержку и рекомендации.</w:t>
      </w:r>
    </w:p>
    <w:p w14:paraId="28CDE73F" w14:textId="265CDC30" w:rsidR="0086677D" w:rsidRPr="0086677D" w:rsidRDefault="0086677D" w:rsidP="007337B0">
      <w:pPr>
        <w:pStyle w:val="Heading1"/>
        <w:jc w:val="both"/>
        <w:rPr>
          <w:lang w:val="ru-RU"/>
        </w:rPr>
      </w:pPr>
      <w:bookmarkStart w:id="8" w:name="_Hlk191477904"/>
      <w:r>
        <w:rPr>
          <w:bCs/>
          <w:lang w:val="ru-RU"/>
        </w:rPr>
        <w:t>8</w:t>
      </w:r>
      <w:r>
        <w:rPr>
          <w:lang w:val="ru-RU"/>
        </w:rPr>
        <w:tab/>
      </w:r>
      <w:r>
        <w:rPr>
          <w:bCs/>
          <w:lang w:val="ru-RU"/>
        </w:rPr>
        <w:t xml:space="preserve">Подготовка проекта бюджета Союза на 2026−2027 годы </w:t>
      </w:r>
      <w:r w:rsidR="00DE2DBD">
        <w:rPr>
          <w:bCs/>
          <w:lang w:val="ru-RU"/>
        </w:rPr>
        <w:t>−</w:t>
      </w:r>
      <w:r>
        <w:rPr>
          <w:bCs/>
          <w:lang w:val="ru-RU"/>
        </w:rPr>
        <w:t xml:space="preserve"> Документ </w:t>
      </w:r>
      <w:hyperlink r:id="rId25" w:history="1">
        <w:r w:rsidRPr="005C2E6F">
          <w:rPr>
            <w:rStyle w:val="Hyperlink"/>
            <w:bCs/>
          </w:rPr>
          <w:t>CWG-FHR-20/15</w:t>
        </w:r>
      </w:hyperlink>
    </w:p>
    <w:p w14:paraId="7E2D1EA5" w14:textId="77777777" w:rsidR="0086677D" w:rsidRPr="0086677D" w:rsidRDefault="0086677D" w:rsidP="007337B0">
      <w:pPr>
        <w:jc w:val="both"/>
        <w:rPr>
          <w:rFonts w:asciiTheme="minorHAnsi" w:hAnsiTheme="minorHAnsi" w:cstheme="minorHAnsi"/>
          <w:szCs w:val="24"/>
          <w:lang w:val="ru-RU"/>
        </w:rPr>
      </w:pPr>
      <w:r>
        <w:rPr>
          <w:lang w:val="ru-RU"/>
        </w:rPr>
        <w:t>8.1</w:t>
      </w:r>
      <w:r>
        <w:rPr>
          <w:lang w:val="ru-RU"/>
        </w:rPr>
        <w:tab/>
        <w:t>Секретариат представил Документ CWG-FHR-20/15.</w:t>
      </w:r>
    </w:p>
    <w:p w14:paraId="23FD9A14" w14:textId="5D575830" w:rsidR="0086677D" w:rsidRPr="0086677D" w:rsidRDefault="0086677D" w:rsidP="007337B0">
      <w:pPr>
        <w:jc w:val="both"/>
        <w:rPr>
          <w:rFonts w:asciiTheme="minorHAnsi" w:hAnsiTheme="minorHAnsi" w:cstheme="minorHAnsi"/>
          <w:szCs w:val="24"/>
          <w:lang w:val="ru-RU"/>
        </w:rPr>
      </w:pPr>
      <w:r>
        <w:rPr>
          <w:lang w:val="ru-RU"/>
        </w:rPr>
        <w:t>8.2</w:t>
      </w:r>
      <w:r>
        <w:rPr>
          <w:lang w:val="ru-RU"/>
        </w:rPr>
        <w:tab/>
        <w:t xml:space="preserve">В этом документе </w:t>
      </w:r>
      <w:r w:rsidR="009A22A5">
        <w:rPr>
          <w:lang w:val="ru-RU"/>
        </w:rPr>
        <w:t>содержится</w:t>
      </w:r>
      <w:r>
        <w:rPr>
          <w:lang w:val="ru-RU"/>
        </w:rPr>
        <w:t xml:space="preserve"> актуальная информация о подготовке проекта двухгодичного бюджета на 2026–2027 годы по состоянию на 20 января 2025 года. На этом этапе подготовки проекта бюджета на 2026–2027 годы расходы и доходы не сбалансированы</w:t>
      </w:r>
      <w:r w:rsidR="009A22A5">
        <w:rPr>
          <w:lang w:val="ru-RU"/>
        </w:rPr>
        <w:t xml:space="preserve"> </w:t>
      </w:r>
      <w:r>
        <w:rPr>
          <w:lang w:val="ru-RU"/>
        </w:rPr>
        <w:t>и имеет место дефицит в размере 18,1 млн. швейцарских франков.</w:t>
      </w:r>
    </w:p>
    <w:p w14:paraId="530CA7BD" w14:textId="6DE2152A" w:rsidR="0086677D" w:rsidRPr="0086677D" w:rsidRDefault="0086677D" w:rsidP="007337B0">
      <w:pPr>
        <w:jc w:val="both"/>
        <w:rPr>
          <w:rFonts w:asciiTheme="minorHAnsi" w:hAnsiTheme="minorHAnsi" w:cstheme="minorHAnsi"/>
          <w:szCs w:val="24"/>
          <w:lang w:val="ru-RU"/>
        </w:rPr>
      </w:pPr>
      <w:r>
        <w:rPr>
          <w:lang w:val="ru-RU"/>
        </w:rPr>
        <w:t>8.3</w:t>
      </w:r>
      <w:r>
        <w:rPr>
          <w:lang w:val="ru-RU"/>
        </w:rPr>
        <w:tab/>
        <w:t xml:space="preserve">В </w:t>
      </w:r>
      <w:r w:rsidR="00A614AC">
        <w:rPr>
          <w:lang w:val="ru-RU"/>
        </w:rPr>
        <w:t>Т</w:t>
      </w:r>
      <w:r>
        <w:rPr>
          <w:lang w:val="ru-RU"/>
        </w:rPr>
        <w:t>аблице 1 документа представлен уровень запланированных расходов, включенных в текущий проект бюджета, в разбивке по секторам. На данном этапе подготовки бюджета запланированные расходы на 2026–2027 годы превышают предельные значения, установленные Полномочной конференцией, на 2,9 млн. швейцарских франков.</w:t>
      </w:r>
    </w:p>
    <w:p w14:paraId="278BD986" w14:textId="28718630" w:rsidR="0086677D" w:rsidRPr="0086677D" w:rsidRDefault="0086677D" w:rsidP="007337B0">
      <w:pPr>
        <w:jc w:val="both"/>
        <w:rPr>
          <w:rFonts w:asciiTheme="minorHAnsi" w:hAnsiTheme="minorHAnsi" w:cstheme="minorHAnsi"/>
          <w:szCs w:val="24"/>
          <w:lang w:val="ru-RU"/>
        </w:rPr>
      </w:pPr>
      <w:r>
        <w:rPr>
          <w:lang w:val="ru-RU"/>
        </w:rPr>
        <w:t>8.4</w:t>
      </w:r>
      <w:r>
        <w:rPr>
          <w:lang w:val="ru-RU"/>
        </w:rPr>
        <w:tab/>
        <w:t xml:space="preserve">В </w:t>
      </w:r>
      <w:r w:rsidR="00A614AC">
        <w:rPr>
          <w:lang w:val="ru-RU"/>
        </w:rPr>
        <w:t>Т</w:t>
      </w:r>
      <w:r>
        <w:rPr>
          <w:lang w:val="ru-RU"/>
        </w:rPr>
        <w:t xml:space="preserve">аблице 2 документа </w:t>
      </w:r>
      <w:r w:rsidR="009A22A5">
        <w:rPr>
          <w:lang w:val="ru-RU"/>
        </w:rPr>
        <w:t>содержится</w:t>
      </w:r>
      <w:r>
        <w:rPr>
          <w:lang w:val="ru-RU"/>
        </w:rPr>
        <w:t xml:space="preserve"> прогноз доходов на 2026−2027 годы. Прогнозируемые доходы на период 2026–2027 годов на 15,2 млн. швейцарских франков ниже доходов, </w:t>
      </w:r>
      <w:r w:rsidR="009A22A5">
        <w:rPr>
          <w:lang w:val="ru-RU"/>
        </w:rPr>
        <w:t>которые прогнозировались</w:t>
      </w:r>
      <w:r>
        <w:rPr>
          <w:lang w:val="ru-RU"/>
        </w:rPr>
        <w:t xml:space="preserve"> Полномочной конференцией при утверждении Финансового плана на 2024–2027 годы.</w:t>
      </w:r>
    </w:p>
    <w:p w14:paraId="3B24B7AE" w14:textId="2974B9A8" w:rsidR="0086677D" w:rsidRPr="0086677D" w:rsidRDefault="0086677D" w:rsidP="007337B0">
      <w:pPr>
        <w:jc w:val="both"/>
        <w:rPr>
          <w:rFonts w:asciiTheme="minorHAnsi" w:hAnsiTheme="minorHAnsi" w:cstheme="minorHAnsi"/>
          <w:szCs w:val="24"/>
          <w:lang w:val="ru-RU"/>
        </w:rPr>
      </w:pPr>
      <w:r>
        <w:rPr>
          <w:lang w:val="ru-RU"/>
        </w:rPr>
        <w:t>8.5</w:t>
      </w:r>
      <w:r>
        <w:rPr>
          <w:lang w:val="ru-RU"/>
        </w:rPr>
        <w:tab/>
        <w:t>Секретариат продолжит работу над проектом бюджета на двухгодичный период и представит Совету на сессии в 2025 году сбалансированный бюджет в соответствии с установленными сроками.</w:t>
      </w:r>
    </w:p>
    <w:p w14:paraId="0AA76B6D" w14:textId="77777777" w:rsidR="0086677D" w:rsidRPr="0086677D" w:rsidRDefault="0086677D" w:rsidP="007337B0">
      <w:pPr>
        <w:jc w:val="both"/>
        <w:rPr>
          <w:rFonts w:asciiTheme="minorHAnsi" w:hAnsiTheme="minorHAnsi" w:cstheme="minorHAnsi"/>
          <w:szCs w:val="24"/>
          <w:lang w:val="ru-RU"/>
        </w:rPr>
      </w:pPr>
      <w:r>
        <w:rPr>
          <w:lang w:val="ru-RU"/>
        </w:rPr>
        <w:t>8.6</w:t>
      </w:r>
      <w:r>
        <w:rPr>
          <w:lang w:val="ru-RU"/>
        </w:rPr>
        <w:tab/>
        <w:t>Процесс уравновешения бюджета осуществляется с учетом следующих элементов:</w:t>
      </w:r>
    </w:p>
    <w:p w14:paraId="53D0E693" w14:textId="77777777" w:rsidR="0086677D" w:rsidRPr="0086677D" w:rsidRDefault="0086677D" w:rsidP="007337B0">
      <w:pPr>
        <w:pStyle w:val="enumlev1"/>
        <w:jc w:val="both"/>
        <w:rPr>
          <w:lang w:val="ru-RU"/>
        </w:rPr>
      </w:pPr>
      <w:r>
        <w:rPr>
          <w:lang w:val="ru-RU"/>
        </w:rPr>
        <w:t>i)</w:t>
      </w:r>
      <w:r>
        <w:rPr>
          <w:lang w:val="ru-RU"/>
        </w:rPr>
        <w:tab/>
        <w:t>внедрение мер повышения эффективности;</w:t>
      </w:r>
    </w:p>
    <w:p w14:paraId="102A752A" w14:textId="77777777" w:rsidR="0086677D" w:rsidRPr="0086677D" w:rsidRDefault="0086677D" w:rsidP="007337B0">
      <w:pPr>
        <w:pStyle w:val="enumlev1"/>
        <w:jc w:val="both"/>
        <w:rPr>
          <w:lang w:val="ru-RU"/>
        </w:rPr>
      </w:pPr>
      <w:r>
        <w:rPr>
          <w:lang w:val="ru-RU"/>
        </w:rPr>
        <w:t>ii)</w:t>
      </w:r>
      <w:r>
        <w:rPr>
          <w:lang w:val="ru-RU"/>
        </w:rPr>
        <w:tab/>
        <w:t>определение приоритетов и принятие мер по повышению эффективности на уровне Бюро/департаментов;</w:t>
      </w:r>
    </w:p>
    <w:p w14:paraId="47DD84FA" w14:textId="77777777" w:rsidR="0086677D" w:rsidRPr="0086677D" w:rsidRDefault="0086677D" w:rsidP="007337B0">
      <w:pPr>
        <w:pStyle w:val="enumlev1"/>
        <w:jc w:val="both"/>
        <w:rPr>
          <w:lang w:val="ru-RU"/>
        </w:rPr>
      </w:pPr>
      <w:r>
        <w:rPr>
          <w:lang w:val="ru-RU"/>
        </w:rPr>
        <w:t>iii)</w:t>
      </w:r>
      <w:r>
        <w:rPr>
          <w:lang w:val="ru-RU"/>
        </w:rPr>
        <w:tab/>
        <w:t xml:space="preserve">снижение приоритетности неосновных видов деятельности; </w:t>
      </w:r>
    </w:p>
    <w:p w14:paraId="184357EB" w14:textId="77777777" w:rsidR="0086677D" w:rsidRPr="0086677D" w:rsidRDefault="0086677D" w:rsidP="007337B0">
      <w:pPr>
        <w:pStyle w:val="enumlev1"/>
        <w:jc w:val="both"/>
        <w:rPr>
          <w:lang w:val="ru-RU"/>
        </w:rPr>
      </w:pPr>
      <w:r>
        <w:rPr>
          <w:lang w:val="ru-RU"/>
        </w:rPr>
        <w:t>iv)</w:t>
      </w:r>
      <w:r>
        <w:rPr>
          <w:lang w:val="ru-RU"/>
        </w:rPr>
        <w:tab/>
        <w:t>отсрочка найма на вакантные должности, относящиеся к неосновным видами деятельности;</w:t>
      </w:r>
    </w:p>
    <w:p w14:paraId="6A9097D4" w14:textId="419B1AAD" w:rsidR="0086677D" w:rsidRPr="0086677D" w:rsidRDefault="0086677D" w:rsidP="007337B0">
      <w:pPr>
        <w:pStyle w:val="enumlev1"/>
        <w:jc w:val="both"/>
        <w:rPr>
          <w:lang w:val="ru-RU"/>
        </w:rPr>
      </w:pPr>
      <w:r>
        <w:rPr>
          <w:lang w:val="ru-RU"/>
        </w:rPr>
        <w:t>v)</w:t>
      </w:r>
      <w:r>
        <w:rPr>
          <w:lang w:val="ru-RU"/>
        </w:rPr>
        <w:tab/>
        <w:t>включ</w:t>
      </w:r>
      <w:r w:rsidR="009A22A5">
        <w:rPr>
          <w:lang w:val="ru-RU"/>
        </w:rPr>
        <w:t>ение</w:t>
      </w:r>
      <w:r>
        <w:rPr>
          <w:lang w:val="ru-RU"/>
        </w:rPr>
        <w:t xml:space="preserve"> прогнозируемы</w:t>
      </w:r>
      <w:r w:rsidR="009A22A5">
        <w:rPr>
          <w:lang w:val="ru-RU"/>
        </w:rPr>
        <w:t>х</w:t>
      </w:r>
      <w:r>
        <w:rPr>
          <w:lang w:val="ru-RU"/>
        </w:rPr>
        <w:t xml:space="preserve"> результат</w:t>
      </w:r>
      <w:r w:rsidR="009A22A5">
        <w:rPr>
          <w:lang w:val="ru-RU"/>
        </w:rPr>
        <w:t>ов</w:t>
      </w:r>
      <w:r>
        <w:rPr>
          <w:lang w:val="ru-RU"/>
        </w:rPr>
        <w:t xml:space="preserve"> усилий МСЭ по мобилизации ресурсов.</w:t>
      </w:r>
    </w:p>
    <w:p w14:paraId="481D8877" w14:textId="77777777" w:rsidR="0086677D" w:rsidRPr="0086677D" w:rsidRDefault="0086677D" w:rsidP="007337B0">
      <w:pPr>
        <w:jc w:val="both"/>
        <w:rPr>
          <w:rFonts w:asciiTheme="minorHAnsi" w:hAnsiTheme="minorHAnsi" w:cstheme="minorHAnsi"/>
          <w:szCs w:val="24"/>
          <w:lang w:val="ru-RU"/>
        </w:rPr>
      </w:pPr>
      <w:r>
        <w:rPr>
          <w:lang w:val="ru-RU"/>
        </w:rPr>
        <w:t>8.7</w:t>
      </w:r>
      <w:r>
        <w:rPr>
          <w:lang w:val="ru-RU"/>
        </w:rPr>
        <w:tab/>
        <w:t>Следует отметить, что имеет место нехватка доходов, в частности по линии возмещения затрат. После обсуждений этого документа с делегатами руководство МСЭ обязалось представить в ближайшие недели сбалансированный проект бюджета на период 2026−2027 годов.</w:t>
      </w:r>
    </w:p>
    <w:p w14:paraId="30091F03" w14:textId="77777777" w:rsidR="0086677D" w:rsidRPr="0086677D" w:rsidRDefault="0086677D" w:rsidP="007337B0">
      <w:pPr>
        <w:jc w:val="both"/>
        <w:rPr>
          <w:rFonts w:asciiTheme="minorHAnsi" w:hAnsiTheme="minorHAnsi" w:cstheme="minorHAnsi"/>
          <w:szCs w:val="24"/>
          <w:lang w:val="ru-RU"/>
        </w:rPr>
      </w:pPr>
      <w:r>
        <w:rPr>
          <w:lang w:val="ru-RU"/>
        </w:rPr>
        <w:t>8.8</w:t>
      </w:r>
      <w:r>
        <w:rPr>
          <w:lang w:val="ru-RU"/>
        </w:rPr>
        <w:tab/>
        <w:t>РГС-ФЛР приняла к сведению этот документ и применяемые МСЭ подходы для финансирования своей деятельности в пределах согласованных ресурсов, выделяемых в рамках регулярного бюджета МСЭ.</w:t>
      </w:r>
    </w:p>
    <w:p w14:paraId="68F79180" w14:textId="31A929FD" w:rsidR="0086677D" w:rsidRPr="0086677D" w:rsidRDefault="0086677D" w:rsidP="007337B0">
      <w:pPr>
        <w:pStyle w:val="Heading1"/>
        <w:jc w:val="both"/>
        <w:rPr>
          <w:rFonts w:asciiTheme="minorHAnsi" w:hAnsiTheme="minorHAnsi" w:cstheme="minorHAnsi"/>
          <w:lang w:val="ru-RU"/>
        </w:rPr>
      </w:pPr>
      <w:r>
        <w:rPr>
          <w:bCs/>
          <w:lang w:val="ru-RU"/>
        </w:rPr>
        <w:lastRenderedPageBreak/>
        <w:t>9</w:t>
      </w:r>
      <w:r>
        <w:rPr>
          <w:lang w:val="ru-RU"/>
        </w:rPr>
        <w:tab/>
      </w:r>
      <w:r w:rsidRPr="00FB404F">
        <w:rPr>
          <w:bCs/>
          <w:lang w:val="ru-RU"/>
        </w:rPr>
        <w:t>Полн</w:t>
      </w:r>
      <w:r w:rsidR="009A22A5" w:rsidRPr="00FB404F">
        <w:rPr>
          <w:bCs/>
          <w:lang w:val="ru-RU"/>
        </w:rPr>
        <w:t>ы</w:t>
      </w:r>
      <w:r w:rsidR="00165041" w:rsidRPr="00FB404F">
        <w:rPr>
          <w:bCs/>
          <w:lang w:val="ru-RU"/>
        </w:rPr>
        <w:t>е</w:t>
      </w:r>
      <w:r w:rsidR="009A22A5" w:rsidRPr="00FB404F">
        <w:rPr>
          <w:bCs/>
          <w:lang w:val="ru-RU"/>
        </w:rPr>
        <w:t xml:space="preserve"> затрат</w:t>
      </w:r>
      <w:r w:rsidR="00165041" w:rsidRPr="00FB404F">
        <w:rPr>
          <w:bCs/>
          <w:lang w:val="ru-RU"/>
        </w:rPr>
        <w:t>ы</w:t>
      </w:r>
      <w:r w:rsidR="009A22A5">
        <w:rPr>
          <w:bCs/>
          <w:lang w:val="ru-RU"/>
        </w:rPr>
        <w:t xml:space="preserve"> </w:t>
      </w:r>
      <w:r w:rsidR="00DE2DBD">
        <w:rPr>
          <w:bCs/>
          <w:lang w:val="ru-RU"/>
        </w:rPr>
        <w:t>−</w:t>
      </w:r>
      <w:r w:rsidR="009A22A5">
        <w:rPr>
          <w:bCs/>
          <w:lang w:val="ru-RU"/>
        </w:rPr>
        <w:t xml:space="preserve"> </w:t>
      </w:r>
      <w:r>
        <w:rPr>
          <w:bCs/>
          <w:lang w:val="ru-RU"/>
        </w:rPr>
        <w:t>Обработка заявок на космические службы</w:t>
      </w:r>
      <w:r w:rsidR="009A22A5">
        <w:rPr>
          <w:bCs/>
          <w:lang w:val="ru-RU"/>
        </w:rPr>
        <w:t> </w:t>
      </w:r>
      <w:r w:rsidR="00DE2DBD">
        <w:rPr>
          <w:bCs/>
          <w:lang w:val="ru-RU"/>
        </w:rPr>
        <w:t>−</w:t>
      </w:r>
      <w:r>
        <w:rPr>
          <w:bCs/>
          <w:lang w:val="ru-RU"/>
        </w:rPr>
        <w:t xml:space="preserve"> Документ </w:t>
      </w:r>
      <w:hyperlink r:id="rId26" w:history="1">
        <w:r w:rsidRPr="005C2E6F">
          <w:rPr>
            <w:rStyle w:val="Hyperlink"/>
            <w:bCs/>
          </w:rPr>
          <w:t>CWG-FHR-20/10</w:t>
        </w:r>
      </w:hyperlink>
    </w:p>
    <w:p w14:paraId="7C95CC6A" w14:textId="77777777" w:rsidR="0086677D" w:rsidRPr="0086677D" w:rsidRDefault="0086677D" w:rsidP="007337B0">
      <w:pPr>
        <w:jc w:val="both"/>
        <w:rPr>
          <w:lang w:val="ru-RU"/>
        </w:rPr>
      </w:pPr>
      <w:r w:rsidRPr="009A22A5">
        <w:rPr>
          <w:lang w:val="ru-RU"/>
        </w:rPr>
        <w:t>9.1</w:t>
      </w:r>
      <w:r w:rsidRPr="009A22A5">
        <w:rPr>
          <w:lang w:val="ru-RU"/>
        </w:rPr>
        <w:tab/>
      </w:r>
      <w:r>
        <w:rPr>
          <w:lang w:val="ru-RU"/>
        </w:rPr>
        <w:t>Секретариат представил Документ CWG-FHR-20/10.</w:t>
      </w:r>
    </w:p>
    <w:p w14:paraId="19CFF473" w14:textId="710144CA" w:rsidR="0086677D" w:rsidRPr="0086677D" w:rsidRDefault="0086677D" w:rsidP="007337B0">
      <w:pPr>
        <w:jc w:val="both"/>
        <w:rPr>
          <w:rFonts w:asciiTheme="minorHAnsi" w:hAnsiTheme="minorHAnsi" w:cstheme="minorHAnsi"/>
          <w:szCs w:val="24"/>
          <w:lang w:val="ru-RU"/>
        </w:rPr>
      </w:pPr>
      <w:r>
        <w:rPr>
          <w:lang w:val="ru-RU"/>
        </w:rPr>
        <w:t>9.2</w:t>
      </w:r>
      <w:r>
        <w:rPr>
          <w:lang w:val="ru-RU"/>
        </w:rPr>
        <w:tab/>
        <w:t xml:space="preserve">Цель документа </w:t>
      </w:r>
      <w:r w:rsidR="00DE2DBD">
        <w:rPr>
          <w:lang w:val="ru-RU"/>
        </w:rPr>
        <w:t>−</w:t>
      </w:r>
      <w:r>
        <w:rPr>
          <w:lang w:val="ru-RU"/>
        </w:rPr>
        <w:t xml:space="preserve"> </w:t>
      </w:r>
      <w:r w:rsidR="009A22A5">
        <w:rPr>
          <w:lang w:val="ru-RU"/>
        </w:rPr>
        <w:t>предложить</w:t>
      </w:r>
      <w:r>
        <w:rPr>
          <w:lang w:val="ru-RU"/>
        </w:rPr>
        <w:t xml:space="preserve"> подробную информацию о полн</w:t>
      </w:r>
      <w:r w:rsidR="00165041">
        <w:rPr>
          <w:lang w:val="ru-RU"/>
        </w:rPr>
        <w:t>ых</w:t>
      </w:r>
      <w:r>
        <w:rPr>
          <w:lang w:val="ru-RU"/>
        </w:rPr>
        <w:t xml:space="preserve"> </w:t>
      </w:r>
      <w:r w:rsidR="009A22A5">
        <w:rPr>
          <w:lang w:val="ru-RU"/>
        </w:rPr>
        <w:t>затрат</w:t>
      </w:r>
      <w:r w:rsidR="00165041">
        <w:rPr>
          <w:lang w:val="ru-RU"/>
        </w:rPr>
        <w:t>ах</w:t>
      </w:r>
      <w:r>
        <w:rPr>
          <w:lang w:val="ru-RU"/>
        </w:rPr>
        <w:t>, предусмотренных в бюджете на 2024 год на обработку заявок на космические службы, с разбивкой по категориям заявок. Полны</w:t>
      </w:r>
      <w:r w:rsidR="00165041">
        <w:rPr>
          <w:lang w:val="ru-RU"/>
        </w:rPr>
        <w:t>е</w:t>
      </w:r>
      <w:r>
        <w:rPr>
          <w:lang w:val="ru-RU"/>
        </w:rPr>
        <w:t xml:space="preserve"> затрат</w:t>
      </w:r>
      <w:r w:rsidR="00165041">
        <w:rPr>
          <w:lang w:val="ru-RU"/>
        </w:rPr>
        <w:t>ы</w:t>
      </w:r>
      <w:r>
        <w:rPr>
          <w:lang w:val="ru-RU"/>
        </w:rPr>
        <w:t xml:space="preserve"> рассчитыва</w:t>
      </w:r>
      <w:r w:rsidR="00165041">
        <w:rPr>
          <w:lang w:val="ru-RU"/>
        </w:rPr>
        <w:t>ю</w:t>
      </w:r>
      <w:r>
        <w:rPr>
          <w:lang w:val="ru-RU"/>
        </w:rPr>
        <w:t xml:space="preserve">тся на основе методики распределения </w:t>
      </w:r>
      <w:r w:rsidR="00165041">
        <w:rPr>
          <w:lang w:val="ru-RU"/>
        </w:rPr>
        <w:t>затрат</w:t>
      </w:r>
      <w:r>
        <w:rPr>
          <w:lang w:val="ru-RU"/>
        </w:rPr>
        <w:t>, изложенной в Решении 535 Совета (С05, последнее изменение С14). В</w:t>
      </w:r>
      <w:r w:rsidR="00A614AC">
        <w:rPr>
          <w:lang w:val="ru-RU"/>
        </w:rPr>
        <w:t> </w:t>
      </w:r>
      <w:r>
        <w:rPr>
          <w:lang w:val="ru-RU"/>
        </w:rPr>
        <w:t xml:space="preserve">Резолюции 91 (Пересм. Гвадалахара, 2010 г.) Полномочной конференции отмечается, в частности, что Совет должен "продолжать разрабатывать соответствующую плату, основанную на полном отнесении затрат на предоставление той или иной услуги". Этот документ подготавливается именно в этих рамках и в поддержку работы, проводимой Группой экспертов Совета по Решению 482. Несколько делегаций выразили обеспокоенность в связи с возмещением </w:t>
      </w:r>
      <w:r w:rsidR="009A22A5">
        <w:rPr>
          <w:lang w:val="ru-RU"/>
        </w:rPr>
        <w:t>затрат</w:t>
      </w:r>
      <w:r>
        <w:rPr>
          <w:lang w:val="ru-RU"/>
        </w:rPr>
        <w:t xml:space="preserve"> в полном объеме.</w:t>
      </w:r>
    </w:p>
    <w:p w14:paraId="59E18FA8" w14:textId="148F4AF0" w:rsidR="0086677D" w:rsidRPr="0086677D" w:rsidRDefault="0086677D" w:rsidP="007337B0">
      <w:pPr>
        <w:jc w:val="both"/>
        <w:rPr>
          <w:rFonts w:asciiTheme="minorHAnsi" w:eastAsiaTheme="minorEastAsia" w:hAnsiTheme="minorHAnsi" w:cstheme="minorHAnsi"/>
          <w:szCs w:val="24"/>
          <w:lang w:val="ru-RU"/>
        </w:rPr>
      </w:pPr>
      <w:r w:rsidRPr="009A22A5">
        <w:rPr>
          <w:lang w:val="ru-RU"/>
        </w:rPr>
        <w:t>9.3</w:t>
      </w:r>
      <w:r>
        <w:rPr>
          <w:lang w:val="ru-RU"/>
        </w:rPr>
        <w:tab/>
      </w:r>
      <w:r w:rsidR="009A22A5">
        <w:rPr>
          <w:lang w:val="ru-RU"/>
        </w:rPr>
        <w:t xml:space="preserve">В ожидании отчета Группы экспертов по Решению 482, который будет передан в апреле 2025 года и будет содержать руководящие указания для сессии Совета 2025 года, </w:t>
      </w:r>
      <w:r>
        <w:rPr>
          <w:lang w:val="ru-RU"/>
        </w:rPr>
        <w:t xml:space="preserve">Рабочая группа Совета по финансовым и людским ресурсам приняла </w:t>
      </w:r>
      <w:r w:rsidR="009A22A5">
        <w:rPr>
          <w:lang w:val="ru-RU"/>
        </w:rPr>
        <w:t xml:space="preserve">документ </w:t>
      </w:r>
      <w:r>
        <w:rPr>
          <w:lang w:val="ru-RU"/>
        </w:rPr>
        <w:t>к сведению</w:t>
      </w:r>
      <w:r w:rsidR="009A22A5">
        <w:rPr>
          <w:lang w:val="ru-RU"/>
        </w:rPr>
        <w:t>.</w:t>
      </w:r>
    </w:p>
    <w:p w14:paraId="3D50FC7E" w14:textId="634F8281" w:rsidR="0086677D" w:rsidRPr="0086677D" w:rsidRDefault="0086677D" w:rsidP="007337B0">
      <w:pPr>
        <w:pStyle w:val="Heading1"/>
        <w:jc w:val="both"/>
        <w:rPr>
          <w:b w:val="0"/>
          <w:lang w:val="ru-RU"/>
        </w:rPr>
      </w:pPr>
      <w:bookmarkStart w:id="9" w:name="_Hlk191477948"/>
      <w:bookmarkEnd w:id="8"/>
      <w:r w:rsidRPr="003E4005">
        <w:rPr>
          <w:bCs/>
          <w:lang w:val="ru-RU"/>
        </w:rPr>
        <w:t>10</w:t>
      </w:r>
      <w:r w:rsidRPr="003E4005">
        <w:rPr>
          <w:lang w:val="ru-RU"/>
        </w:rPr>
        <w:tab/>
      </w:r>
      <w:r>
        <w:rPr>
          <w:bCs/>
          <w:lang w:val="ru-RU"/>
        </w:rPr>
        <w:t>Вклад</w:t>
      </w:r>
      <w:r w:rsidRPr="003E4005">
        <w:rPr>
          <w:bCs/>
          <w:lang w:val="ru-RU"/>
        </w:rPr>
        <w:t xml:space="preserve"> </w:t>
      </w:r>
      <w:r>
        <w:rPr>
          <w:bCs/>
          <w:lang w:val="ru-RU"/>
        </w:rPr>
        <w:t>компании</w:t>
      </w:r>
      <w:r w:rsidRPr="003E4005">
        <w:rPr>
          <w:bCs/>
          <w:lang w:val="ru-RU"/>
        </w:rPr>
        <w:t xml:space="preserve"> </w:t>
      </w:r>
      <w:r w:rsidRPr="00236212">
        <w:rPr>
          <w:bCs/>
        </w:rPr>
        <w:t>Asia</w:t>
      </w:r>
      <w:r w:rsidRPr="003E4005">
        <w:rPr>
          <w:bCs/>
          <w:lang w:val="ru-RU"/>
        </w:rPr>
        <w:t xml:space="preserve"> </w:t>
      </w:r>
      <w:r w:rsidRPr="00236212">
        <w:rPr>
          <w:bCs/>
        </w:rPr>
        <w:t>Satellite</w:t>
      </w:r>
      <w:r w:rsidRPr="003E4005">
        <w:rPr>
          <w:bCs/>
          <w:lang w:val="ru-RU"/>
        </w:rPr>
        <w:t xml:space="preserve"> </w:t>
      </w:r>
      <w:r w:rsidRPr="00236212">
        <w:rPr>
          <w:bCs/>
        </w:rPr>
        <w:t>Telecommunications</w:t>
      </w:r>
      <w:r w:rsidRPr="003E4005">
        <w:rPr>
          <w:bCs/>
          <w:lang w:val="ru-RU"/>
        </w:rPr>
        <w:t xml:space="preserve"> </w:t>
      </w:r>
      <w:r w:rsidRPr="00236212">
        <w:rPr>
          <w:bCs/>
        </w:rPr>
        <w:t>Co</w:t>
      </w:r>
      <w:r w:rsidRPr="003E4005">
        <w:rPr>
          <w:bCs/>
          <w:lang w:val="ru-RU"/>
        </w:rPr>
        <w:t xml:space="preserve">. </w:t>
      </w:r>
      <w:r w:rsidRPr="00236212">
        <w:rPr>
          <w:bCs/>
        </w:rPr>
        <w:t>Ltd</w:t>
      </w:r>
      <w:r w:rsidRPr="003E4005">
        <w:rPr>
          <w:bCs/>
          <w:lang w:val="ru-RU"/>
        </w:rPr>
        <w:t xml:space="preserve">. </w:t>
      </w:r>
      <w:r>
        <w:rPr>
          <w:bCs/>
          <w:lang w:val="ru-RU"/>
        </w:rPr>
        <w:t xml:space="preserve">(AsiaSat) </w:t>
      </w:r>
      <w:r w:rsidR="00DE2DBD">
        <w:rPr>
          <w:bCs/>
          <w:lang w:val="ru-RU"/>
        </w:rPr>
        <w:t>−</w:t>
      </w:r>
      <w:r w:rsidR="00165041">
        <w:rPr>
          <w:bCs/>
          <w:lang w:val="ru-RU"/>
        </w:rPr>
        <w:t xml:space="preserve"> </w:t>
      </w:r>
      <w:r>
        <w:rPr>
          <w:bCs/>
          <w:lang w:val="ru-RU"/>
        </w:rPr>
        <w:t xml:space="preserve">Обработка заявок на спутниковые сети и системы </w:t>
      </w:r>
      <w:r w:rsidR="00DE2DBD">
        <w:rPr>
          <w:bCs/>
          <w:lang w:val="ru-RU"/>
        </w:rPr>
        <w:t>−</w:t>
      </w:r>
      <w:r>
        <w:rPr>
          <w:bCs/>
          <w:lang w:val="ru-RU"/>
        </w:rPr>
        <w:t xml:space="preserve"> Документ </w:t>
      </w:r>
      <w:hyperlink r:id="rId27" w:history="1">
        <w:r w:rsidRPr="005C2E6F">
          <w:rPr>
            <w:rStyle w:val="Hyperlink"/>
            <w:bCs/>
          </w:rPr>
          <w:t>CWG-FHR-20/23</w:t>
        </w:r>
      </w:hyperlink>
    </w:p>
    <w:p w14:paraId="66F34D28" w14:textId="77777777" w:rsidR="0086677D" w:rsidRPr="0086677D" w:rsidRDefault="0086677D" w:rsidP="007337B0">
      <w:pPr>
        <w:jc w:val="both"/>
        <w:rPr>
          <w:lang w:val="ru-RU"/>
        </w:rPr>
      </w:pPr>
      <w:r>
        <w:rPr>
          <w:lang w:val="ru-RU"/>
        </w:rPr>
        <w:t>10.1</w:t>
      </w:r>
      <w:r>
        <w:rPr>
          <w:lang w:val="ru-RU"/>
        </w:rPr>
        <w:tab/>
        <w:t xml:space="preserve">Представитель AsiaSat представил Документ CWG-FHR-20/23, в котором содержатся три основных соображения: </w:t>
      </w:r>
    </w:p>
    <w:p w14:paraId="1EE3DA24" w14:textId="77777777" w:rsidR="0086677D" w:rsidRPr="006448CD" w:rsidRDefault="0086677D" w:rsidP="007337B0">
      <w:pPr>
        <w:pStyle w:val="enumlev1"/>
        <w:jc w:val="both"/>
        <w:rPr>
          <w:lang w:val="ru-RU"/>
        </w:rPr>
      </w:pPr>
      <w:r w:rsidRPr="006448CD">
        <w:rPr>
          <w:lang w:val="ru-RU"/>
        </w:rPr>
        <w:t>1)</w:t>
      </w:r>
      <w:r w:rsidRPr="006448CD">
        <w:rPr>
          <w:lang w:val="ru-RU"/>
        </w:rPr>
        <w:tab/>
        <w:t>что должно подлежать возмещению посредством взимания платы за регистрацию спутниковых сетей;</w:t>
      </w:r>
    </w:p>
    <w:p w14:paraId="26344C0E" w14:textId="57F77E1B" w:rsidR="0086677D" w:rsidRPr="006448CD" w:rsidRDefault="0086677D" w:rsidP="007337B0">
      <w:pPr>
        <w:pStyle w:val="enumlev1"/>
        <w:jc w:val="both"/>
        <w:rPr>
          <w:lang w:val="ru-RU"/>
        </w:rPr>
      </w:pPr>
      <w:r w:rsidRPr="006448CD">
        <w:rPr>
          <w:lang w:val="ru-RU"/>
        </w:rPr>
        <w:t>2)</w:t>
      </w:r>
      <w:r w:rsidRPr="006448CD">
        <w:rPr>
          <w:lang w:val="ru-RU"/>
        </w:rPr>
        <w:tab/>
        <w:t xml:space="preserve">что подлежит возмещению и какой разумный процент следует </w:t>
      </w:r>
      <w:r w:rsidR="009A22A5" w:rsidRPr="006448CD">
        <w:rPr>
          <w:lang w:val="ru-RU"/>
        </w:rPr>
        <w:t>списывать</w:t>
      </w:r>
      <w:r w:rsidRPr="006448CD">
        <w:rPr>
          <w:lang w:val="ru-RU"/>
        </w:rPr>
        <w:t xml:space="preserve"> на косвенные </w:t>
      </w:r>
      <w:r w:rsidR="00165041" w:rsidRPr="006448CD">
        <w:rPr>
          <w:lang w:val="ru-RU"/>
        </w:rPr>
        <w:t>затраты</w:t>
      </w:r>
      <w:r w:rsidRPr="006448CD">
        <w:rPr>
          <w:lang w:val="ru-RU"/>
        </w:rPr>
        <w:t>; и</w:t>
      </w:r>
    </w:p>
    <w:p w14:paraId="3F5678AC" w14:textId="77777777" w:rsidR="0086677D" w:rsidRPr="006448CD" w:rsidRDefault="0086677D" w:rsidP="007337B0">
      <w:pPr>
        <w:pStyle w:val="enumlev1"/>
        <w:jc w:val="both"/>
        <w:rPr>
          <w:lang w:val="ru-RU"/>
        </w:rPr>
      </w:pPr>
      <w:r w:rsidRPr="006448CD">
        <w:rPr>
          <w:lang w:val="ru-RU"/>
        </w:rPr>
        <w:t>3)</w:t>
      </w:r>
      <w:r w:rsidRPr="006448CD">
        <w:rPr>
          <w:lang w:val="ru-RU"/>
        </w:rPr>
        <w:tab/>
        <w:t>субсидирование и условия для бесплатной подачи заявки.</w:t>
      </w:r>
    </w:p>
    <w:p w14:paraId="7360322D" w14:textId="25757E15" w:rsidR="0086677D" w:rsidRPr="0086677D" w:rsidRDefault="0086677D" w:rsidP="007337B0">
      <w:pPr>
        <w:jc w:val="both"/>
        <w:rPr>
          <w:rFonts w:asciiTheme="minorHAnsi" w:hAnsiTheme="minorHAnsi" w:cstheme="minorHAnsi"/>
          <w:szCs w:val="24"/>
          <w:lang w:val="ru-RU"/>
        </w:rPr>
      </w:pPr>
      <w:r>
        <w:rPr>
          <w:lang w:val="ru-RU"/>
        </w:rPr>
        <w:t>10.2</w:t>
      </w:r>
      <w:r>
        <w:rPr>
          <w:lang w:val="ru-RU"/>
        </w:rPr>
        <w:tab/>
        <w:t>После этого вступительного слова несколько делегатов</w:t>
      </w:r>
      <w:r w:rsidR="009A22A5">
        <w:rPr>
          <w:lang w:val="ru-RU"/>
        </w:rPr>
        <w:t xml:space="preserve"> взяли слово и </w:t>
      </w:r>
      <w:r>
        <w:rPr>
          <w:lang w:val="ru-RU"/>
        </w:rPr>
        <w:t>подчеркнули важность сохранения механизма выделения одной бесплатной заявки на страну в год. Кроме того, было особо отмечено, что объем затрат, подлежащий возмещению в соответствии с Решением 482 Совета, должен определяться согласно Резолюции 91 (Пересм. Гвадалахара, 2010</w:t>
      </w:r>
      <w:r w:rsidR="009A22A5">
        <w:rPr>
          <w:lang w:val="ru-RU"/>
        </w:rPr>
        <w:t> </w:t>
      </w:r>
      <w:r>
        <w:rPr>
          <w:lang w:val="ru-RU"/>
        </w:rPr>
        <w:t>г.</w:t>
      </w:r>
      <w:r w:rsidR="009A22A5">
        <w:rPr>
          <w:lang w:val="ru-RU"/>
        </w:rPr>
        <w:t>)</w:t>
      </w:r>
      <w:r w:rsidR="008657E0">
        <w:rPr>
          <w:lang w:val="ru-RU"/>
        </w:rPr>
        <w:t xml:space="preserve"> ПК</w:t>
      </w:r>
      <w:r>
        <w:rPr>
          <w:lang w:val="ru-RU"/>
        </w:rPr>
        <w:t>. Наконец, несколько делегатов настаивали на необходимости дождаться заключительного отчета Группы экспертов по Решению 482, прежде чем Совет сможет рассматривать вопрос о пересмотре Решения 482.</w:t>
      </w:r>
    </w:p>
    <w:p w14:paraId="4C71E46E" w14:textId="0D9E65F2" w:rsidR="0086677D" w:rsidRPr="0086677D" w:rsidRDefault="0086677D" w:rsidP="007337B0">
      <w:pPr>
        <w:pStyle w:val="Heading1"/>
        <w:jc w:val="both"/>
        <w:rPr>
          <w:b w:val="0"/>
          <w:lang w:val="ru-RU"/>
        </w:rPr>
      </w:pPr>
      <w:r>
        <w:rPr>
          <w:bCs/>
          <w:lang w:val="ru-RU"/>
        </w:rPr>
        <w:t>11</w:t>
      </w:r>
      <w:r>
        <w:rPr>
          <w:lang w:val="ru-RU"/>
        </w:rPr>
        <w:tab/>
      </w:r>
      <w:r>
        <w:rPr>
          <w:bCs/>
          <w:lang w:val="ru-RU"/>
        </w:rPr>
        <w:t xml:space="preserve">Промежуточный отчет Группы экспертов по Решению 482 </w:t>
      </w:r>
      <w:r w:rsidR="00DE2DBD">
        <w:rPr>
          <w:bCs/>
          <w:lang w:val="ru-RU"/>
        </w:rPr>
        <w:t>−</w:t>
      </w:r>
      <w:r>
        <w:rPr>
          <w:bCs/>
          <w:lang w:val="ru-RU"/>
        </w:rPr>
        <w:t xml:space="preserve"> Документ </w:t>
      </w:r>
      <w:hyperlink r:id="rId28" w:history="1">
        <w:r w:rsidRPr="005C2E6F">
          <w:rPr>
            <w:rStyle w:val="Hyperlink"/>
            <w:bCs/>
          </w:rPr>
          <w:t>CWG-FHR-20/6</w:t>
        </w:r>
      </w:hyperlink>
    </w:p>
    <w:p w14:paraId="48552202" w14:textId="716D3665" w:rsidR="0086677D" w:rsidRPr="0086677D" w:rsidRDefault="0086677D" w:rsidP="007337B0">
      <w:pPr>
        <w:jc w:val="both"/>
        <w:rPr>
          <w:lang w:val="ru-RU"/>
        </w:rPr>
      </w:pPr>
      <w:r>
        <w:rPr>
          <w:lang w:val="ru-RU"/>
        </w:rPr>
        <w:t>11.1</w:t>
      </w:r>
      <w:r>
        <w:rPr>
          <w:lang w:val="ru-RU"/>
        </w:rPr>
        <w:tab/>
        <w:t xml:space="preserve">Секретариат представил </w:t>
      </w:r>
      <w:r w:rsidR="009A22A5">
        <w:rPr>
          <w:lang w:val="ru-RU"/>
        </w:rPr>
        <w:t xml:space="preserve">от имени </w:t>
      </w:r>
      <w:r w:rsidR="0090397F">
        <w:rPr>
          <w:lang w:val="ru-RU"/>
        </w:rPr>
        <w:t>П</w:t>
      </w:r>
      <w:r w:rsidR="009A22A5">
        <w:rPr>
          <w:lang w:val="ru-RU"/>
        </w:rPr>
        <w:t xml:space="preserve">редседателя Группы экспертов по Решению 482 </w:t>
      </w:r>
      <w:r>
        <w:rPr>
          <w:lang w:val="ru-RU"/>
        </w:rPr>
        <w:t xml:space="preserve">промежуточный отчет </w:t>
      </w:r>
      <w:r w:rsidR="009A22A5">
        <w:rPr>
          <w:lang w:val="ru-RU"/>
        </w:rPr>
        <w:t>г</w:t>
      </w:r>
      <w:r>
        <w:rPr>
          <w:lang w:val="ru-RU"/>
        </w:rPr>
        <w:t>р</w:t>
      </w:r>
      <w:r w:rsidR="009A22A5">
        <w:rPr>
          <w:lang w:val="ru-RU"/>
        </w:rPr>
        <w:t>уппы</w:t>
      </w:r>
      <w:r>
        <w:rPr>
          <w:lang w:val="ru-RU"/>
        </w:rPr>
        <w:t>. Состоялось уже три собрания, причем третье из них было проведено в течение недели, предшествовавшей собранию РГС-ФЛР. Поскольку работа группы к этому моменту еще не была завершена, 10 и 11 апреля 2025 года планируется провести четвертое собрание, с тем чтобы завершить подготовку отчета группы, подлежащего представлению Совету в рамках его сессии 2025 года. Несколько делегатов подчеркнули важность завершения группой своей работы к сессии Совета.</w:t>
      </w:r>
    </w:p>
    <w:bookmarkEnd w:id="9"/>
    <w:p w14:paraId="05067C99" w14:textId="76B56321" w:rsidR="0086677D" w:rsidRPr="0086677D" w:rsidRDefault="0086677D" w:rsidP="007337B0">
      <w:pPr>
        <w:pStyle w:val="Headingb"/>
        <w:jc w:val="both"/>
        <w:rPr>
          <w:lang w:val="ru-RU"/>
        </w:rPr>
      </w:pPr>
      <w:r>
        <w:rPr>
          <w:bCs/>
          <w:lang w:val="ru-RU"/>
        </w:rPr>
        <w:lastRenderedPageBreak/>
        <w:t xml:space="preserve">Анализ итогов третьего собрания Группы экспертов по Решению 482 </w:t>
      </w:r>
      <w:r w:rsidR="00DE2DBD">
        <w:rPr>
          <w:bCs/>
          <w:lang w:val="ru-RU"/>
        </w:rPr>
        <w:t>−</w:t>
      </w:r>
      <w:r>
        <w:rPr>
          <w:bCs/>
          <w:lang w:val="ru-RU"/>
        </w:rPr>
        <w:t xml:space="preserve"> Документ </w:t>
      </w:r>
      <w:hyperlink r:id="rId29" w:history="1">
        <w:r w:rsidRPr="005C2E6F">
          <w:rPr>
            <w:rStyle w:val="Hyperlink"/>
            <w:bCs/>
          </w:rPr>
          <w:t>CWG-FHR-20/29</w:t>
        </w:r>
      </w:hyperlink>
    </w:p>
    <w:p w14:paraId="64E6B333" w14:textId="77777777" w:rsidR="0086677D" w:rsidRPr="0086677D" w:rsidRDefault="0086677D" w:rsidP="007337B0">
      <w:pPr>
        <w:jc w:val="both"/>
        <w:rPr>
          <w:rFonts w:asciiTheme="minorHAnsi" w:hAnsiTheme="minorHAnsi" w:cstheme="minorHAnsi"/>
          <w:szCs w:val="24"/>
          <w:lang w:val="ru-RU"/>
        </w:rPr>
      </w:pPr>
      <w:r>
        <w:rPr>
          <w:lang w:val="ru-RU"/>
        </w:rPr>
        <w:t>11.2</w:t>
      </w:r>
      <w:r>
        <w:rPr>
          <w:lang w:val="ru-RU"/>
        </w:rPr>
        <w:tab/>
        <w:t>РГС-ФЛР изучила итоги третьего собрания Группы экспертов Совета по Решению 482, изложенные в Документе CWG-FHR-20/29.</w:t>
      </w:r>
    </w:p>
    <w:p w14:paraId="01759F85" w14:textId="77777777" w:rsidR="0086677D" w:rsidRPr="008677BA" w:rsidRDefault="0086677D" w:rsidP="007337B0">
      <w:pPr>
        <w:jc w:val="both"/>
        <w:rPr>
          <w:rFonts w:asciiTheme="minorHAnsi" w:hAnsiTheme="minorHAnsi" w:cstheme="minorHAnsi"/>
          <w:szCs w:val="24"/>
          <w:lang w:val="ru-RU"/>
        </w:rPr>
      </w:pPr>
      <w:r>
        <w:rPr>
          <w:lang w:val="ru-RU"/>
        </w:rPr>
        <w:t>11.3</w:t>
      </w:r>
      <w:r>
        <w:rPr>
          <w:lang w:val="ru-RU"/>
        </w:rPr>
        <w:tab/>
        <w:t>Основные итоги обсуждения:</w:t>
      </w:r>
    </w:p>
    <w:p w14:paraId="18756BB0" w14:textId="77777777" w:rsidR="0086677D" w:rsidRPr="0086677D" w:rsidRDefault="0086677D" w:rsidP="007337B0">
      <w:pPr>
        <w:pStyle w:val="enumlev1"/>
        <w:jc w:val="both"/>
        <w:rPr>
          <w:lang w:val="ru-RU"/>
        </w:rPr>
      </w:pPr>
      <w:r>
        <w:rPr>
          <w:lang w:val="ru-RU"/>
        </w:rPr>
        <w:t>–</w:t>
      </w:r>
      <w:r>
        <w:rPr>
          <w:lang w:val="ru-RU"/>
        </w:rPr>
        <w:tab/>
        <w:t>Делегаты приняли к сведению представленные материалы и упомянутые финансовые последствия.</w:t>
      </w:r>
    </w:p>
    <w:p w14:paraId="6BB10585" w14:textId="68A344A6" w:rsidR="0086677D" w:rsidRPr="0086677D" w:rsidRDefault="0086677D" w:rsidP="007337B0">
      <w:pPr>
        <w:pStyle w:val="enumlev1"/>
        <w:jc w:val="both"/>
        <w:rPr>
          <w:lang w:val="ru-RU"/>
        </w:rPr>
      </w:pPr>
      <w:r>
        <w:rPr>
          <w:lang w:val="ru-RU"/>
        </w:rPr>
        <w:t>–</w:t>
      </w:r>
      <w:r>
        <w:rPr>
          <w:lang w:val="ru-RU"/>
        </w:rPr>
        <w:tab/>
        <w:t>Некоторые делегаты отвергли вариант 1, предполагающий единовременное повышение взносов по всем заявкам на регистрацию спутниковых сетей на 103</w:t>
      </w:r>
      <w:r w:rsidR="000A74D6">
        <w:rPr>
          <w:lang w:val="fr-CA"/>
        </w:rPr>
        <w:t> </w:t>
      </w:r>
      <w:r>
        <w:rPr>
          <w:lang w:val="ru-RU"/>
        </w:rPr>
        <w:t>процента.</w:t>
      </w:r>
    </w:p>
    <w:p w14:paraId="012DA8B5" w14:textId="77777777" w:rsidR="0086677D" w:rsidRPr="0086677D" w:rsidRDefault="0086677D" w:rsidP="007337B0">
      <w:pPr>
        <w:pStyle w:val="enumlev1"/>
        <w:jc w:val="both"/>
        <w:rPr>
          <w:lang w:val="ru-RU"/>
        </w:rPr>
      </w:pPr>
      <w:r>
        <w:rPr>
          <w:lang w:val="ru-RU"/>
        </w:rPr>
        <w:t>–</w:t>
      </w:r>
      <w:r>
        <w:rPr>
          <w:lang w:val="ru-RU"/>
        </w:rPr>
        <w:tab/>
        <w:t>Признавая неотложность проблемы дефицита финансовых средств по линии возмещения затрат на обработку заявок на регистрацию спутниковых сетей (SNF), некоторые делегаты подчеркнули необходимость завершения Группой экспертов своей работы.</w:t>
      </w:r>
    </w:p>
    <w:p w14:paraId="4FADDA7B" w14:textId="77777777" w:rsidR="0086677D" w:rsidRPr="0086677D" w:rsidRDefault="0086677D" w:rsidP="007337B0">
      <w:pPr>
        <w:pStyle w:val="enumlev1"/>
        <w:jc w:val="both"/>
        <w:rPr>
          <w:lang w:val="ru-RU"/>
        </w:rPr>
      </w:pPr>
      <w:r>
        <w:rPr>
          <w:lang w:val="ru-RU"/>
        </w:rPr>
        <w:t>–</w:t>
      </w:r>
      <w:r>
        <w:rPr>
          <w:lang w:val="ru-RU"/>
        </w:rPr>
        <w:tab/>
        <w:t>Заключительное собрание Группы экспертов состоится в апреле 2025 года. На нем будет завершена работа над нерешенными вопросами, в частности по негеостационарным (НГСО) системам, и будут выработаны комплексные рекомендации по возмещению затрат в полном объеме.</w:t>
      </w:r>
    </w:p>
    <w:p w14:paraId="5BA37966" w14:textId="77777777" w:rsidR="0086677D" w:rsidRPr="0086677D" w:rsidRDefault="0086677D" w:rsidP="007337B0">
      <w:pPr>
        <w:jc w:val="both"/>
        <w:rPr>
          <w:rFonts w:asciiTheme="minorHAnsi" w:eastAsiaTheme="minorHAnsi" w:hAnsiTheme="minorHAnsi" w:cstheme="minorHAnsi"/>
          <w:szCs w:val="24"/>
          <w:lang w:val="ru-RU"/>
        </w:rPr>
      </w:pPr>
      <w:r>
        <w:rPr>
          <w:lang w:val="ru-RU"/>
        </w:rPr>
        <w:t>11.4</w:t>
      </w:r>
      <w:r>
        <w:rPr>
          <w:lang w:val="ru-RU"/>
        </w:rPr>
        <w:tab/>
        <w:t>Несколько делегатов подчеркнули важность обеспечения устойчивого в финансовом отношении решения и ожидают, что итоговые рекомендации, которые Группа экспертов подготовит в апреле 2025 года, позволят устранить существующие нерешенные вопросы, привести размер взимаемой платы в соответствие с фактическими затратами и представить соответствующий отчет Совету на его сессии 2025 года.</w:t>
      </w:r>
    </w:p>
    <w:p w14:paraId="297525C2" w14:textId="70A80218" w:rsidR="0086677D" w:rsidRPr="0086677D" w:rsidRDefault="0086677D" w:rsidP="007337B0">
      <w:pPr>
        <w:pStyle w:val="Heading1"/>
        <w:jc w:val="both"/>
        <w:rPr>
          <w:lang w:val="ru-RU"/>
        </w:rPr>
      </w:pPr>
      <w:r>
        <w:rPr>
          <w:bCs/>
          <w:lang w:val="ru-RU"/>
        </w:rPr>
        <w:t>12</w:t>
      </w:r>
      <w:r>
        <w:rPr>
          <w:lang w:val="ru-RU"/>
        </w:rPr>
        <w:tab/>
      </w:r>
      <w:r>
        <w:rPr>
          <w:bCs/>
          <w:lang w:val="ru-RU"/>
        </w:rPr>
        <w:t xml:space="preserve">Кодекс поведения на мероприятиях МСЭ </w:t>
      </w:r>
      <w:r w:rsidR="00DE2DBD">
        <w:rPr>
          <w:bCs/>
          <w:lang w:val="ru-RU"/>
        </w:rPr>
        <w:t>−</w:t>
      </w:r>
      <w:r>
        <w:rPr>
          <w:bCs/>
          <w:lang w:val="ru-RU"/>
        </w:rPr>
        <w:t xml:space="preserve"> Совместная работа в целях формирования культуры уважения </w:t>
      </w:r>
      <w:r w:rsidR="00DE2DBD">
        <w:rPr>
          <w:bCs/>
          <w:lang w:val="ru-RU"/>
        </w:rPr>
        <w:t>−</w:t>
      </w:r>
      <w:r>
        <w:rPr>
          <w:bCs/>
          <w:lang w:val="ru-RU"/>
        </w:rPr>
        <w:t xml:space="preserve"> Документ </w:t>
      </w:r>
      <w:hyperlink r:id="rId30" w:history="1">
        <w:r w:rsidRPr="005C2E6F">
          <w:rPr>
            <w:rStyle w:val="Hyperlink"/>
            <w:bCs/>
          </w:rPr>
          <w:t>CWG-FHR-20/17</w:t>
        </w:r>
      </w:hyperlink>
    </w:p>
    <w:p w14:paraId="0E3645F1" w14:textId="71D911DF" w:rsidR="0086677D" w:rsidRPr="0086677D" w:rsidRDefault="0086677D" w:rsidP="007337B0">
      <w:pPr>
        <w:jc w:val="both"/>
        <w:rPr>
          <w:lang w:val="ru-RU"/>
        </w:rPr>
      </w:pPr>
      <w:r>
        <w:rPr>
          <w:lang w:val="ru-RU"/>
        </w:rPr>
        <w:t>12.1</w:t>
      </w:r>
      <w:r>
        <w:rPr>
          <w:lang w:val="ru-RU"/>
        </w:rPr>
        <w:tab/>
        <w:t xml:space="preserve">Секретариат представил Документ CWG-FHR-20/17, напомнив, что Совет на своей сессии 2024 года одобрил концепцию Кодекса поведения на мероприятиях МСЭ и поручил </w:t>
      </w:r>
      <w:r w:rsidR="0090397F">
        <w:rPr>
          <w:lang w:val="ru-RU"/>
        </w:rPr>
        <w:t>С</w:t>
      </w:r>
      <w:r>
        <w:rPr>
          <w:lang w:val="ru-RU"/>
        </w:rPr>
        <w:t xml:space="preserve">екретариату разработать предварительный проект Кодекса поведения на собраниях и мероприятиях МСЭ. Цель заключается в </w:t>
      </w:r>
      <w:r w:rsidR="000A74D6">
        <w:rPr>
          <w:lang w:val="ru-RU"/>
        </w:rPr>
        <w:t>создании</w:t>
      </w:r>
      <w:r>
        <w:rPr>
          <w:lang w:val="ru-RU"/>
        </w:rPr>
        <w:t xml:space="preserve"> профессиональной, открытой для всех, уважительной и безопасной среды для всех делегатов и участников. РГС-ФЛР продолжит работу над проектом Кодекса.</w:t>
      </w:r>
    </w:p>
    <w:p w14:paraId="5325E672" w14:textId="033D9307" w:rsidR="0086677D" w:rsidRPr="0086677D" w:rsidRDefault="0086677D" w:rsidP="007337B0">
      <w:pPr>
        <w:jc w:val="both"/>
        <w:rPr>
          <w:rFonts w:asciiTheme="minorHAnsi" w:hAnsiTheme="minorHAnsi" w:cstheme="minorHAnsi"/>
          <w:szCs w:val="24"/>
          <w:lang w:val="ru-RU"/>
        </w:rPr>
      </w:pPr>
      <w:r>
        <w:rPr>
          <w:lang w:val="ru-RU"/>
        </w:rPr>
        <w:t>12.2</w:t>
      </w:r>
      <w:r>
        <w:rPr>
          <w:lang w:val="ru-RU"/>
        </w:rPr>
        <w:tab/>
        <w:t>В результате в ответ на просьбу, высказанную на собрании РГС-ФЛР в октябре 2024</w:t>
      </w:r>
      <w:r w:rsidR="00A751D2">
        <w:rPr>
          <w:lang w:val="ru-RU"/>
        </w:rPr>
        <w:t> </w:t>
      </w:r>
      <w:r>
        <w:rPr>
          <w:lang w:val="ru-RU"/>
        </w:rPr>
        <w:t>года, на обсуждение и рассмотрение на собрании РГС-ФЛР в феврале 2025 года были представлены пересмотренный Кодекс поведения МСЭ, направленный на предотвращение притеснений, включая сексуальные домогательства, на мероприятиях МСЭ, а также результаты сравнительного анализа применения Кодекса поведения ООН в других организациях.</w:t>
      </w:r>
    </w:p>
    <w:p w14:paraId="70069095" w14:textId="77777777" w:rsidR="0086677D" w:rsidRPr="0086677D" w:rsidRDefault="0086677D" w:rsidP="007337B0">
      <w:pPr>
        <w:jc w:val="both"/>
        <w:rPr>
          <w:rFonts w:asciiTheme="minorHAnsi" w:hAnsiTheme="minorHAnsi" w:cstheme="minorHAnsi"/>
          <w:szCs w:val="24"/>
          <w:lang w:val="ru-RU"/>
        </w:rPr>
      </w:pPr>
      <w:r>
        <w:rPr>
          <w:lang w:val="ru-RU"/>
        </w:rPr>
        <w:t>12.3</w:t>
      </w:r>
      <w:r>
        <w:rPr>
          <w:lang w:val="ru-RU"/>
        </w:rPr>
        <w:tab/>
        <w:t>Было отмечено, что Секретариат в своей работе опирается на Кодекс поведения системы ООН и пересмотрел процесс рассмотрения жалоб, добавив контактные данные МСЭ.</w:t>
      </w:r>
    </w:p>
    <w:p w14:paraId="46E596EB" w14:textId="1C759B84" w:rsidR="0086677D" w:rsidRPr="0086677D" w:rsidRDefault="0086677D" w:rsidP="007337B0">
      <w:pPr>
        <w:pStyle w:val="Heading1"/>
        <w:jc w:val="both"/>
        <w:rPr>
          <w:lang w:val="ru-RU"/>
        </w:rPr>
      </w:pPr>
      <w:r>
        <w:rPr>
          <w:bCs/>
          <w:lang w:val="ru-RU"/>
        </w:rPr>
        <w:t>13</w:t>
      </w:r>
      <w:r>
        <w:rPr>
          <w:lang w:val="ru-RU"/>
        </w:rPr>
        <w:tab/>
      </w:r>
      <w:r>
        <w:rPr>
          <w:bCs/>
          <w:lang w:val="ru-RU"/>
        </w:rPr>
        <w:t xml:space="preserve">Вклад РСС </w:t>
      </w:r>
      <w:r w:rsidR="00DE2DBD">
        <w:rPr>
          <w:bCs/>
          <w:lang w:val="ru-RU"/>
        </w:rPr>
        <w:t>−</w:t>
      </w:r>
      <w:r w:rsidR="000A74D6">
        <w:rPr>
          <w:bCs/>
          <w:lang w:val="ru-RU"/>
        </w:rPr>
        <w:t xml:space="preserve"> </w:t>
      </w:r>
      <w:r>
        <w:rPr>
          <w:bCs/>
          <w:lang w:val="ru-RU"/>
        </w:rPr>
        <w:t xml:space="preserve">Предложения, касающиеся кодекса поведения на мероприятиях МСЭ </w:t>
      </w:r>
      <w:r w:rsidR="00DE2DBD">
        <w:rPr>
          <w:bCs/>
          <w:lang w:val="ru-RU"/>
        </w:rPr>
        <w:t>−</w:t>
      </w:r>
      <w:r>
        <w:rPr>
          <w:bCs/>
          <w:lang w:val="ru-RU"/>
        </w:rPr>
        <w:t xml:space="preserve"> Документ </w:t>
      </w:r>
      <w:hyperlink r:id="rId31" w:history="1">
        <w:r w:rsidRPr="005C2E6F">
          <w:rPr>
            <w:rStyle w:val="Hyperlink"/>
            <w:bCs/>
          </w:rPr>
          <w:t>CWG-FHR-20/26</w:t>
        </w:r>
      </w:hyperlink>
    </w:p>
    <w:p w14:paraId="70DB99B3" w14:textId="77777777" w:rsidR="0086677D" w:rsidRPr="0086677D" w:rsidRDefault="0086677D" w:rsidP="007337B0">
      <w:pPr>
        <w:jc w:val="both"/>
        <w:rPr>
          <w:lang w:val="ru-RU"/>
        </w:rPr>
      </w:pPr>
      <w:r>
        <w:rPr>
          <w:lang w:val="ru-RU"/>
        </w:rPr>
        <w:t>13.1</w:t>
      </w:r>
      <w:r>
        <w:rPr>
          <w:lang w:val="ru-RU"/>
        </w:rPr>
        <w:tab/>
        <w:t>Представитель Регионального содружества в области связи (РСС) представил на рассмотрение РГС-ФЛР вклад РСС, касающийся Кодекса поведения на мероприятиях МСЭ (Документ CWG-FHR-20/26).</w:t>
      </w:r>
    </w:p>
    <w:p w14:paraId="33A44A2F" w14:textId="781DD723" w:rsidR="0086677D" w:rsidRPr="0086677D" w:rsidRDefault="0086677D" w:rsidP="007337B0">
      <w:pPr>
        <w:jc w:val="both"/>
        <w:rPr>
          <w:rFonts w:asciiTheme="minorHAnsi" w:hAnsiTheme="minorHAnsi" w:cstheme="minorHAnsi"/>
          <w:szCs w:val="24"/>
          <w:lang w:val="ru-RU"/>
        </w:rPr>
      </w:pPr>
      <w:r>
        <w:rPr>
          <w:lang w:val="ru-RU"/>
        </w:rPr>
        <w:lastRenderedPageBreak/>
        <w:t>13.2</w:t>
      </w:r>
      <w:r>
        <w:rPr>
          <w:lang w:val="ru-RU"/>
        </w:rPr>
        <w:tab/>
        <w:t xml:space="preserve">В ходе </w:t>
      </w:r>
      <w:r w:rsidR="000A74D6">
        <w:rPr>
          <w:lang w:val="ru-RU"/>
        </w:rPr>
        <w:t>одного из собраний</w:t>
      </w:r>
      <w:r>
        <w:rPr>
          <w:lang w:val="ru-RU"/>
        </w:rPr>
        <w:t xml:space="preserve"> рабочей группы РСС по сотрудничеству с МСЭ члены РСС обсудили целесообразность применения Кодекса поведения ООН к мероприятиям МСЭ. Они пришли к выводу, что содержательная часть Кодекса недостаточно </w:t>
      </w:r>
      <w:r w:rsidR="00165041">
        <w:rPr>
          <w:lang w:val="ru-RU"/>
        </w:rPr>
        <w:t>сбалансирована</w:t>
      </w:r>
      <w:r>
        <w:rPr>
          <w:lang w:val="ru-RU"/>
        </w:rPr>
        <w:t>.</w:t>
      </w:r>
    </w:p>
    <w:p w14:paraId="40BEC51E" w14:textId="77777777" w:rsidR="0086677D" w:rsidRPr="0086677D" w:rsidRDefault="0086677D" w:rsidP="007337B0">
      <w:pPr>
        <w:jc w:val="both"/>
        <w:rPr>
          <w:rFonts w:asciiTheme="minorHAnsi" w:hAnsiTheme="minorHAnsi" w:cstheme="minorHAnsi"/>
          <w:szCs w:val="24"/>
          <w:lang w:val="ru-RU"/>
        </w:rPr>
      </w:pPr>
      <w:r>
        <w:rPr>
          <w:lang w:val="ru-RU"/>
        </w:rPr>
        <w:t>13.3</w:t>
      </w:r>
      <w:r>
        <w:rPr>
          <w:lang w:val="ru-RU"/>
        </w:rPr>
        <w:tab/>
        <w:t>Было отмечено, что в Кодексе нет четкого определения права на подачу жалобы и не закреплена возможность обжалования обвинения. Кроме того, в него не включены положения, которые позволяли бы Государству-Члену или Члену Сектора оспаривать достаточность или обоснованность ответа на предполагаемое нарушение. Это может потенциально привести к тому, что представитель, в отношении которого были выдвинуты обвинения, окажется полностью отстранен от участия в собраниях МСЭ.</w:t>
      </w:r>
    </w:p>
    <w:p w14:paraId="719CD3C8" w14:textId="28ADAE02" w:rsidR="0086677D" w:rsidRPr="0086677D" w:rsidRDefault="0086677D" w:rsidP="007337B0">
      <w:pPr>
        <w:jc w:val="both"/>
        <w:rPr>
          <w:rFonts w:asciiTheme="minorHAnsi" w:hAnsiTheme="minorHAnsi" w:cstheme="minorHAnsi"/>
          <w:szCs w:val="24"/>
          <w:lang w:val="ru-RU"/>
        </w:rPr>
      </w:pPr>
      <w:r>
        <w:rPr>
          <w:lang w:val="ru-RU"/>
        </w:rPr>
        <w:t>13.4</w:t>
      </w:r>
      <w:r>
        <w:rPr>
          <w:lang w:val="ru-RU"/>
        </w:rPr>
        <w:tab/>
        <w:t>В Документе CWG-FHR-20/26 отмечается также, что для достижения консенсуса РГС</w:t>
      </w:r>
      <w:r w:rsidR="00A751D2">
        <w:rPr>
          <w:lang w:val="ru-RU"/>
        </w:rPr>
        <w:noBreakHyphen/>
      </w:r>
      <w:r>
        <w:rPr>
          <w:lang w:val="ru-RU"/>
        </w:rPr>
        <w:t>ФЛР следует рекомендовать отклонения или добавления к Кодексу поведения системы ООН только в тех случаях, когда это необходимо ввиду особенностей МСЭ.</w:t>
      </w:r>
    </w:p>
    <w:p w14:paraId="28758F3A" w14:textId="7A9A43C9" w:rsidR="0086677D" w:rsidRPr="0086677D" w:rsidRDefault="0086677D" w:rsidP="007337B0">
      <w:pPr>
        <w:jc w:val="both"/>
        <w:rPr>
          <w:rFonts w:asciiTheme="minorHAnsi" w:hAnsiTheme="minorHAnsi" w:cstheme="minorHAnsi"/>
          <w:szCs w:val="24"/>
          <w:lang w:val="ru-RU"/>
        </w:rPr>
      </w:pPr>
      <w:r>
        <w:rPr>
          <w:lang w:val="ru-RU"/>
        </w:rPr>
        <w:t>13.5</w:t>
      </w:r>
      <w:r>
        <w:rPr>
          <w:lang w:val="ru-RU"/>
        </w:rPr>
        <w:tab/>
        <w:t>Несколько делегаций выразили поддержку проекту Кодекса поведения МСЭ, представленному в Документе CWG-FHR-20/17, подчеркнув необходимость обеспечения безопасных условий для всех лиц, принимающих участие в мероприятиях МСЭ. Некоторые подчеркнули также важность распространения среди участников мероприятий МСЭ списка контактных лиц и контактн</w:t>
      </w:r>
      <w:r w:rsidR="000A74D6">
        <w:rPr>
          <w:lang w:val="ru-RU"/>
        </w:rPr>
        <w:t xml:space="preserve">ых данных </w:t>
      </w:r>
      <w:r>
        <w:rPr>
          <w:lang w:val="ru-RU"/>
        </w:rPr>
        <w:t>координатора в принимающей стране в тех случаях, когда мероприятие проводится за пределами Женевы.</w:t>
      </w:r>
    </w:p>
    <w:p w14:paraId="41046961" w14:textId="77777777" w:rsidR="0086677D" w:rsidRPr="0086677D" w:rsidRDefault="0086677D" w:rsidP="007337B0">
      <w:pPr>
        <w:jc w:val="both"/>
        <w:rPr>
          <w:rFonts w:asciiTheme="minorHAnsi" w:hAnsiTheme="minorHAnsi" w:cstheme="minorHAnsi"/>
          <w:szCs w:val="24"/>
          <w:lang w:val="ru-RU"/>
        </w:rPr>
      </w:pPr>
      <w:r>
        <w:rPr>
          <w:lang w:val="ru-RU"/>
        </w:rPr>
        <w:t>13.6</w:t>
      </w:r>
      <w:r>
        <w:rPr>
          <w:lang w:val="ru-RU"/>
        </w:rPr>
        <w:tab/>
        <w:t>Вместе с тем некоторые делегации отметили, что Кодекс поведения ООН носит информационный характер и не имеет правового статуса. Некоторые делегаты подчеркнули, что он не должен иметь обязательной силы и ни при каких обстоятельствах не может иметь юридического или предписывающего характера. Было также подчеркнуто, что делегаты подпадают под суверенные полномочия своих соответствующих Государств-Членов, а юрисдикция сохраняется за выдвинувшей их администрацией.</w:t>
      </w:r>
    </w:p>
    <w:p w14:paraId="614B88C0" w14:textId="12AFD8AB" w:rsidR="0086677D" w:rsidRPr="0086677D" w:rsidRDefault="0086677D" w:rsidP="007337B0">
      <w:pPr>
        <w:jc w:val="both"/>
        <w:rPr>
          <w:rFonts w:asciiTheme="minorHAnsi" w:hAnsiTheme="minorHAnsi" w:cstheme="minorHAnsi"/>
          <w:szCs w:val="24"/>
          <w:lang w:val="ru-RU"/>
        </w:rPr>
      </w:pPr>
      <w:r>
        <w:rPr>
          <w:lang w:val="ru-RU"/>
        </w:rPr>
        <w:t>13.7</w:t>
      </w:r>
      <w:r>
        <w:rPr>
          <w:lang w:val="ru-RU"/>
        </w:rPr>
        <w:tab/>
        <w:t xml:space="preserve">Советник по правовым вопросам пояснил, что Кодекс поведения ООН применяется в МСЭ в течение нескольких лет. Он подтвердил, что документ не носит предписывающего характера и что Генеральный секретарь МСЭ не имеет полномочий применять санкции в отношении делегатов. Он также напомнил, что персонал МСЭ подчиняется </w:t>
      </w:r>
      <w:r w:rsidR="000A74D6">
        <w:rPr>
          <w:lang w:val="ru-RU"/>
        </w:rPr>
        <w:t>политике</w:t>
      </w:r>
      <w:r>
        <w:rPr>
          <w:lang w:val="ru-RU"/>
        </w:rPr>
        <w:t xml:space="preserve"> МСЭ, но он</w:t>
      </w:r>
      <w:r w:rsidR="000A74D6">
        <w:rPr>
          <w:lang w:val="ru-RU"/>
        </w:rPr>
        <w:t>а</w:t>
      </w:r>
      <w:r>
        <w:rPr>
          <w:lang w:val="ru-RU"/>
        </w:rPr>
        <w:t xml:space="preserve"> не распространяются на делегатов. Именно поэтому МСЭ ввел в действие Кодекс поведения системы ООН, который предназначен именно для участников мероприятий.</w:t>
      </w:r>
    </w:p>
    <w:p w14:paraId="29CA17C6" w14:textId="40167011" w:rsidR="0086677D" w:rsidRPr="000A74D6" w:rsidRDefault="0086677D" w:rsidP="007337B0">
      <w:pPr>
        <w:jc w:val="both"/>
        <w:rPr>
          <w:rFonts w:asciiTheme="minorHAnsi" w:hAnsiTheme="minorHAnsi" w:cstheme="minorHAnsi"/>
          <w:szCs w:val="24"/>
          <w:lang w:val="ru-RU"/>
        </w:rPr>
      </w:pPr>
      <w:r>
        <w:rPr>
          <w:lang w:val="ru-RU"/>
        </w:rPr>
        <w:t>13.8</w:t>
      </w:r>
      <w:r>
        <w:rPr>
          <w:lang w:val="ru-RU"/>
        </w:rPr>
        <w:tab/>
        <w:t xml:space="preserve">Ряд делегаций отметили, что основным обоснованием разработки Кодекса поведения МСЭ является тот факт, что МСЭ уже применяет Кодекс поведения системы ООН. Запрос заключался лишь в том, чтобы определить, как наилучшим образом применять Кодекс ООН в рамках МСЭ. Несколько делегаций предостерегли от расширения этой инициативы, объяснив это тем, что она может привести к существенным проблемам, в том числе в контексте юрисдикции и действующего мандата устава внутреннего надзора, а также вызвать сложности с терминологией и наличием необходимых экспертных знаний и навыков внутри МСЭ и повлечь за собой финансовые затраты. Соединенные Штаты Америки выступили с просьбой включить в протокол оговорку относительно </w:t>
      </w:r>
      <w:r w:rsidR="000A74D6">
        <w:rPr>
          <w:lang w:val="ru-RU"/>
        </w:rPr>
        <w:t>использования</w:t>
      </w:r>
      <w:r>
        <w:rPr>
          <w:lang w:val="ru-RU"/>
        </w:rPr>
        <w:t xml:space="preserve"> в действующем Кодексе поведения ООН </w:t>
      </w:r>
      <w:r w:rsidR="000A74D6">
        <w:rPr>
          <w:lang w:val="ru-RU"/>
        </w:rPr>
        <w:t>слова</w:t>
      </w:r>
      <w:r>
        <w:rPr>
          <w:lang w:val="ru-RU"/>
        </w:rPr>
        <w:t xml:space="preserve"> "гендер".</w:t>
      </w:r>
    </w:p>
    <w:p w14:paraId="48FEE198" w14:textId="77777777" w:rsidR="0086677D" w:rsidRPr="0086677D" w:rsidRDefault="0086677D" w:rsidP="007337B0">
      <w:pPr>
        <w:jc w:val="both"/>
        <w:rPr>
          <w:rFonts w:asciiTheme="minorHAnsi" w:hAnsiTheme="minorHAnsi" w:cstheme="minorHAnsi"/>
          <w:szCs w:val="24"/>
          <w:lang w:val="ru-RU"/>
        </w:rPr>
      </w:pPr>
      <w:r>
        <w:rPr>
          <w:lang w:val="ru-RU"/>
        </w:rPr>
        <w:t>13.9</w:t>
      </w:r>
      <w:r>
        <w:rPr>
          <w:lang w:val="ru-RU"/>
        </w:rPr>
        <w:tab/>
        <w:t>Поскольку консенсуса по предложенному тексту Кодекса поведения на мероприятиях МСЭ и вкладу РСС достигнуто не было, Председатель РГС-ФЛР просила секретариат представить на следующем собрании РГС-ФЛР подробное разъяснение того, как применяется Кодекс поведения системы ООН, который продолжит действовать до последующего уведомления.</w:t>
      </w:r>
    </w:p>
    <w:p w14:paraId="752155D0" w14:textId="77777777" w:rsidR="0086677D" w:rsidRPr="0086677D" w:rsidRDefault="0086677D" w:rsidP="007337B0">
      <w:pPr>
        <w:jc w:val="both"/>
        <w:rPr>
          <w:rFonts w:asciiTheme="minorHAnsi" w:hAnsiTheme="minorHAnsi" w:cstheme="minorHAnsi"/>
          <w:szCs w:val="24"/>
          <w:lang w:val="ru-RU"/>
        </w:rPr>
      </w:pPr>
      <w:r>
        <w:rPr>
          <w:lang w:val="ru-RU"/>
        </w:rPr>
        <w:t>13.10</w:t>
      </w:r>
      <w:r>
        <w:rPr>
          <w:lang w:val="ru-RU"/>
        </w:rPr>
        <w:tab/>
        <w:t>Отчет о собрании будет представлен Совету МСЭ и послужит основой для будущей работы.</w:t>
      </w:r>
    </w:p>
    <w:p w14:paraId="1AE60559" w14:textId="1B3EF520" w:rsidR="0086677D" w:rsidRPr="0086677D" w:rsidRDefault="0086677D" w:rsidP="007337B0">
      <w:pPr>
        <w:pStyle w:val="Heading1"/>
        <w:jc w:val="both"/>
        <w:rPr>
          <w:rFonts w:asciiTheme="minorHAnsi" w:hAnsiTheme="minorHAnsi" w:cstheme="minorHAnsi"/>
          <w:b w:val="0"/>
          <w:bCs/>
          <w:szCs w:val="28"/>
          <w:lang w:val="ru-RU"/>
        </w:rPr>
      </w:pPr>
      <w:r>
        <w:rPr>
          <w:bCs/>
          <w:lang w:val="ru-RU"/>
        </w:rPr>
        <w:lastRenderedPageBreak/>
        <w:t>14</w:t>
      </w:r>
      <w:r>
        <w:rPr>
          <w:lang w:val="ru-RU"/>
        </w:rPr>
        <w:tab/>
      </w:r>
      <w:r>
        <w:rPr>
          <w:bCs/>
          <w:lang w:val="ru-RU"/>
        </w:rPr>
        <w:t xml:space="preserve">Анализ освобождения от уплаты взносов </w:t>
      </w:r>
      <w:r w:rsidR="00DE2DBD">
        <w:rPr>
          <w:bCs/>
          <w:lang w:val="ru-RU"/>
        </w:rPr>
        <w:t>−</w:t>
      </w:r>
      <w:r>
        <w:rPr>
          <w:bCs/>
          <w:lang w:val="ru-RU"/>
        </w:rPr>
        <w:t xml:space="preserve"> Документ </w:t>
      </w:r>
      <w:hyperlink r:id="rId32" w:history="1">
        <w:r w:rsidRPr="005C2E6F">
          <w:rPr>
            <w:rStyle w:val="Hyperlink"/>
            <w:bCs/>
          </w:rPr>
          <w:t>CWG-FHR-19/9</w:t>
        </w:r>
      </w:hyperlink>
    </w:p>
    <w:p w14:paraId="0567F9AF" w14:textId="1FE82E7F" w:rsidR="0086677D" w:rsidRPr="008677BA" w:rsidRDefault="0086677D" w:rsidP="007337B0">
      <w:pPr>
        <w:jc w:val="both"/>
        <w:rPr>
          <w:lang w:val="ru-RU"/>
        </w:rPr>
      </w:pPr>
      <w:r>
        <w:rPr>
          <w:lang w:val="ru-RU"/>
        </w:rPr>
        <w:t>14.1</w:t>
      </w:r>
      <w:r>
        <w:rPr>
          <w:lang w:val="ru-RU"/>
        </w:rPr>
        <w:tab/>
        <w:t xml:space="preserve">На сессии РГС-ФЛР в январе 2024 года, после обсуждения вклада группы стран </w:t>
      </w:r>
      <w:hyperlink r:id="rId33" w:history="1">
        <w:r w:rsidRPr="005C2E6F">
          <w:rPr>
            <w:rStyle w:val="Hyperlink"/>
          </w:rPr>
          <w:t>CWG-FHR-17/15</w:t>
        </w:r>
      </w:hyperlink>
      <w:r>
        <w:rPr>
          <w:lang w:val="ru-RU"/>
        </w:rPr>
        <w:t xml:space="preserve"> относительно освобождения от уплаты взносов, Председатель обратилась к </w:t>
      </w:r>
      <w:r w:rsidR="0090397F">
        <w:rPr>
          <w:lang w:val="ru-RU"/>
        </w:rPr>
        <w:t>С</w:t>
      </w:r>
      <w:r>
        <w:rPr>
          <w:lang w:val="ru-RU"/>
        </w:rPr>
        <w:t xml:space="preserve">екретариату с просьбой оценить влияние изменений, предложенных в этом вкладе. Секретариат </w:t>
      </w:r>
      <w:r w:rsidR="000A74D6">
        <w:rPr>
          <w:lang w:val="ru-RU"/>
        </w:rPr>
        <w:t>дал</w:t>
      </w:r>
      <w:r>
        <w:rPr>
          <w:lang w:val="ru-RU"/>
        </w:rPr>
        <w:t xml:space="preserve"> </w:t>
      </w:r>
      <w:r w:rsidR="000A74D6">
        <w:rPr>
          <w:lang w:val="ru-RU"/>
        </w:rPr>
        <w:t>свою</w:t>
      </w:r>
      <w:r>
        <w:rPr>
          <w:lang w:val="ru-RU"/>
        </w:rPr>
        <w:t xml:space="preserve"> оценку в Документе CWG-FHR-19/9, который был представлен к сессии в октябре 2024 года и затем повторно на настоящей сессии в феврале 2025 года. Подводя итог, можно сказать, что вклад группы стран актуализирует Резолюцию 925 и приведет ее в соответствие со сложившейся практикой, однако Секретариат обратил внимание на ряд положений, которые требуется разъяснить для целей выполнения. По итогам консультаций с авторами вклада, представленного группой стран, основное предлагаемое для большей ясности изменение предполагает исключение фразы "принимая во внимание экономическое положение" </w:t>
      </w:r>
      <w:r w:rsidRPr="00FB404F">
        <w:rPr>
          <w:lang w:val="ru-RU"/>
        </w:rPr>
        <w:t xml:space="preserve">запрашивающих </w:t>
      </w:r>
      <w:r w:rsidR="00026680" w:rsidRPr="00FB404F">
        <w:rPr>
          <w:lang w:val="ru-RU"/>
        </w:rPr>
        <w:t>объединений</w:t>
      </w:r>
      <w:r w:rsidRPr="00FB404F">
        <w:rPr>
          <w:lang w:val="ru-RU"/>
        </w:rPr>
        <w:t xml:space="preserve"> в</w:t>
      </w:r>
      <w:r w:rsidR="008657E0" w:rsidRPr="00FB404F">
        <w:rPr>
          <w:lang w:val="ru-RU"/>
        </w:rPr>
        <w:t xml:space="preserve"> предлагаемом</w:t>
      </w:r>
      <w:r w:rsidR="008657E0" w:rsidRPr="008657E0">
        <w:rPr>
          <w:lang w:val="ru-RU"/>
        </w:rPr>
        <w:t xml:space="preserve"> к добавлению пункт</w:t>
      </w:r>
      <w:r w:rsidR="008657E0">
        <w:rPr>
          <w:lang w:val="ru-RU"/>
        </w:rPr>
        <w:t>е</w:t>
      </w:r>
      <w:r w:rsidR="008657E0" w:rsidRPr="008657E0">
        <w:rPr>
          <w:lang w:val="ru-RU"/>
        </w:rPr>
        <w:t xml:space="preserve"> </w:t>
      </w:r>
      <w:r w:rsidR="008657E0" w:rsidRPr="00A751D2">
        <w:rPr>
          <w:i/>
          <w:iCs/>
          <w:lang w:val="ru-RU"/>
        </w:rPr>
        <w:t>f</w:t>
      </w:r>
      <w:r w:rsidR="001271EE" w:rsidRPr="00A751D2">
        <w:rPr>
          <w:i/>
          <w:iCs/>
          <w:lang w:val="ru-RU"/>
        </w:rPr>
        <w:t>)</w:t>
      </w:r>
      <w:r w:rsidR="008657E0" w:rsidRPr="008657E0">
        <w:rPr>
          <w:lang w:val="ru-RU"/>
        </w:rPr>
        <w:t xml:space="preserve"> раздел</w:t>
      </w:r>
      <w:r w:rsidR="008657E0">
        <w:rPr>
          <w:lang w:val="ru-RU"/>
        </w:rPr>
        <w:t>а</w:t>
      </w:r>
      <w:r w:rsidRPr="008657E0">
        <w:rPr>
          <w:lang w:val="ru-RU"/>
        </w:rPr>
        <w:t xml:space="preserve"> </w:t>
      </w:r>
      <w:r w:rsidRPr="008657E0">
        <w:rPr>
          <w:i/>
          <w:iCs/>
          <w:lang w:val="ru-RU"/>
        </w:rPr>
        <w:t>учитывая</w:t>
      </w:r>
      <w:r w:rsidRPr="008657E0">
        <w:rPr>
          <w:lang w:val="ru-RU"/>
        </w:rPr>
        <w:t>, поскольку доходы подающего</w:t>
      </w:r>
      <w:r>
        <w:rPr>
          <w:lang w:val="ru-RU"/>
        </w:rPr>
        <w:t xml:space="preserve"> заявку </w:t>
      </w:r>
      <w:r w:rsidR="00026680">
        <w:rPr>
          <w:lang w:val="ru-RU"/>
        </w:rPr>
        <w:t xml:space="preserve">объединения </w:t>
      </w:r>
      <w:r>
        <w:rPr>
          <w:lang w:val="ru-RU"/>
        </w:rPr>
        <w:t>не принимаются во внимание в качестве критерия освобождения от уплаты взносов.</w:t>
      </w:r>
    </w:p>
    <w:p w14:paraId="00E25398" w14:textId="51930632" w:rsidR="0086677D" w:rsidRPr="0086677D" w:rsidRDefault="0086677D" w:rsidP="007337B0">
      <w:pPr>
        <w:jc w:val="both"/>
        <w:rPr>
          <w:rFonts w:asciiTheme="minorHAnsi" w:hAnsiTheme="minorHAnsi" w:cstheme="minorHAnsi"/>
          <w:color w:val="000000"/>
          <w:szCs w:val="24"/>
          <w:lang w:val="ru-RU"/>
        </w:rPr>
      </w:pPr>
      <w:r>
        <w:rPr>
          <w:lang w:val="ru-RU"/>
        </w:rPr>
        <w:t>14.2</w:t>
      </w:r>
      <w:r>
        <w:rPr>
          <w:lang w:val="ru-RU"/>
        </w:rPr>
        <w:tab/>
        <w:t xml:space="preserve">Вопрос о сохранении за </w:t>
      </w:r>
      <w:r w:rsidR="00026680">
        <w:rPr>
          <w:lang w:val="ru-RU"/>
        </w:rPr>
        <w:t>объединениями</w:t>
      </w:r>
      <w:r>
        <w:rPr>
          <w:lang w:val="ru-RU"/>
        </w:rPr>
        <w:t xml:space="preserve">, включенными в список до 2017 года, права быть освобожденными от уплаты взносов остается открытым. Если Совет примет изменения, предлагаемые к Резолюции 925, не приняв отдельного решения о сохранении за </w:t>
      </w:r>
      <w:r w:rsidR="00026680">
        <w:rPr>
          <w:lang w:val="ru-RU"/>
        </w:rPr>
        <w:t>объединениями</w:t>
      </w:r>
      <w:r>
        <w:rPr>
          <w:lang w:val="ru-RU"/>
        </w:rPr>
        <w:t xml:space="preserve">, утвержденными до 2017 года, права быть освобожденными от взносов, около 50 </w:t>
      </w:r>
      <w:r w:rsidR="00026680">
        <w:rPr>
          <w:lang w:val="ru-RU"/>
        </w:rPr>
        <w:t>объединений</w:t>
      </w:r>
      <w:r>
        <w:rPr>
          <w:lang w:val="ru-RU"/>
        </w:rPr>
        <w:t xml:space="preserve"> (см. </w:t>
      </w:r>
      <w:r w:rsidR="00A44A65">
        <w:rPr>
          <w:lang w:val="ru-RU"/>
        </w:rPr>
        <w:t>п</w:t>
      </w:r>
      <w:r>
        <w:rPr>
          <w:lang w:val="ru-RU"/>
        </w:rPr>
        <w:t xml:space="preserve">риложения 3 и 4 к Документу </w:t>
      </w:r>
      <w:hyperlink r:id="rId34" w:history="1">
        <w:r w:rsidRPr="005C2E6F">
          <w:rPr>
            <w:rStyle w:val="Hyperlink"/>
          </w:rPr>
          <w:t>C22/100</w:t>
        </w:r>
      </w:hyperlink>
      <w:r>
        <w:rPr>
          <w:lang w:val="ru-RU"/>
        </w:rPr>
        <w:t xml:space="preserve">) лишатся </w:t>
      </w:r>
      <w:r w:rsidR="00A44A65">
        <w:rPr>
          <w:lang w:val="ru-RU"/>
        </w:rPr>
        <w:t>освобождения</w:t>
      </w:r>
      <w:r>
        <w:rPr>
          <w:lang w:val="ru-RU"/>
        </w:rPr>
        <w:t xml:space="preserve"> от уплаты взносов.</w:t>
      </w:r>
    </w:p>
    <w:p w14:paraId="05AD975C" w14:textId="7A9EC83E" w:rsidR="0086677D" w:rsidRPr="0086677D" w:rsidRDefault="0086677D" w:rsidP="007337B0">
      <w:pPr>
        <w:jc w:val="both"/>
        <w:rPr>
          <w:rFonts w:asciiTheme="minorHAnsi" w:hAnsiTheme="minorHAnsi" w:cstheme="minorHAnsi"/>
          <w:color w:val="000000"/>
          <w:szCs w:val="24"/>
          <w:lang w:val="ru-RU"/>
        </w:rPr>
      </w:pPr>
      <w:r>
        <w:rPr>
          <w:lang w:val="ru-RU"/>
        </w:rPr>
        <w:t>14.3</w:t>
      </w:r>
      <w:r>
        <w:rPr>
          <w:lang w:val="ru-RU"/>
        </w:rPr>
        <w:tab/>
        <w:t xml:space="preserve">Наконец, при изучении практики других органов Организации Объединенных Наций Секретариат особо отметил подход ВПС, который взимает с некоммерческих неправительственных </w:t>
      </w:r>
      <w:r w:rsidR="00026680">
        <w:rPr>
          <w:lang w:val="ru-RU"/>
        </w:rPr>
        <w:t>объедений</w:t>
      </w:r>
      <w:r>
        <w:rPr>
          <w:lang w:val="ru-RU"/>
        </w:rPr>
        <w:t xml:space="preserve"> сборы по сниженной ставке и не предлагает полного освобождения от уплаты взносов. Возможно, РГС-ФЛР пожелает рассмотреть такой вариант действий.</w:t>
      </w:r>
    </w:p>
    <w:p w14:paraId="6F944D2E" w14:textId="456A3322" w:rsidR="0086677D" w:rsidRPr="0086677D" w:rsidRDefault="0086677D" w:rsidP="007337B0">
      <w:pPr>
        <w:jc w:val="both"/>
        <w:rPr>
          <w:rFonts w:asciiTheme="minorHAnsi" w:hAnsiTheme="minorHAnsi" w:cstheme="minorHAnsi"/>
          <w:color w:val="000000"/>
          <w:szCs w:val="24"/>
          <w:lang w:val="ru-RU"/>
        </w:rPr>
      </w:pPr>
      <w:r>
        <w:rPr>
          <w:lang w:val="ru-RU"/>
        </w:rPr>
        <w:t>14.4</w:t>
      </w:r>
      <w:r>
        <w:rPr>
          <w:lang w:val="ru-RU"/>
        </w:rPr>
        <w:tab/>
        <w:t>Одна из делегаций поинтересовалась, рассматривал ли Секретариат возможность принятия в отношении национальных НПО особых мер содействия, с тем чтобы способствовать участию широкого круга заинтересованных сторон. Секретариат ответил, что получает определенное количество заявок на освобождени</w:t>
      </w:r>
      <w:r w:rsidR="00A44A65">
        <w:rPr>
          <w:lang w:val="ru-RU"/>
        </w:rPr>
        <w:t>е</w:t>
      </w:r>
      <w:r>
        <w:rPr>
          <w:lang w:val="ru-RU"/>
        </w:rPr>
        <w:t xml:space="preserve"> от уплаты взносов от национальных НПО, но они не соответствуют критериям, пересмотренным в 2017 году. Совет </w:t>
      </w:r>
      <w:r w:rsidR="00A44A65">
        <w:rPr>
          <w:lang w:val="ru-RU"/>
        </w:rPr>
        <w:t>мог бы</w:t>
      </w:r>
      <w:r>
        <w:rPr>
          <w:lang w:val="ru-RU"/>
        </w:rPr>
        <w:t xml:space="preserve"> принять решение о </w:t>
      </w:r>
      <w:r w:rsidR="00A44A65">
        <w:rPr>
          <w:lang w:val="ru-RU"/>
        </w:rPr>
        <w:t>распространении критериев</w:t>
      </w:r>
      <w:r>
        <w:rPr>
          <w:lang w:val="ru-RU"/>
        </w:rPr>
        <w:t xml:space="preserve"> для освобождения от уплаты взносов</w:t>
      </w:r>
      <w:r w:rsidR="00A44A65">
        <w:rPr>
          <w:lang w:val="ru-RU"/>
        </w:rPr>
        <w:t xml:space="preserve"> на национальные НПО</w:t>
      </w:r>
      <w:r>
        <w:rPr>
          <w:lang w:val="ru-RU"/>
        </w:rPr>
        <w:t xml:space="preserve">. Или же МСЭ </w:t>
      </w:r>
      <w:r w:rsidR="00A44A65">
        <w:rPr>
          <w:lang w:val="ru-RU"/>
        </w:rPr>
        <w:t>мог бы</w:t>
      </w:r>
      <w:r>
        <w:rPr>
          <w:lang w:val="ru-RU"/>
        </w:rPr>
        <w:t xml:space="preserve"> потенциально внедрить подход ВПС и предлагать НПО вместо </w:t>
      </w:r>
      <w:r w:rsidR="00A44A65">
        <w:rPr>
          <w:lang w:val="ru-RU"/>
        </w:rPr>
        <w:t xml:space="preserve">полного </w:t>
      </w:r>
      <w:r>
        <w:rPr>
          <w:lang w:val="ru-RU"/>
        </w:rPr>
        <w:t xml:space="preserve">освобождения </w:t>
      </w:r>
      <w:r w:rsidR="00EC3512">
        <w:rPr>
          <w:lang w:val="ru-RU"/>
        </w:rPr>
        <w:t xml:space="preserve">от уплаты взносов </w:t>
      </w:r>
      <w:r>
        <w:rPr>
          <w:lang w:val="ru-RU"/>
        </w:rPr>
        <w:t xml:space="preserve">сниженные </w:t>
      </w:r>
      <w:r w:rsidR="00EC3512">
        <w:rPr>
          <w:lang w:val="ru-RU"/>
        </w:rPr>
        <w:t>тарифы</w:t>
      </w:r>
      <w:r>
        <w:rPr>
          <w:lang w:val="ru-RU"/>
        </w:rPr>
        <w:t xml:space="preserve">, которые </w:t>
      </w:r>
      <w:r w:rsidR="00A44A65">
        <w:rPr>
          <w:lang w:val="ru-RU"/>
        </w:rPr>
        <w:t>могли бы</w:t>
      </w:r>
      <w:r>
        <w:rPr>
          <w:lang w:val="ru-RU"/>
        </w:rPr>
        <w:t xml:space="preserve"> распространяться на национальные и международные НПО. Еще один делегат добавил, что Совету следует пересмотреть критерии освобождения от уплаты взносов.</w:t>
      </w:r>
    </w:p>
    <w:p w14:paraId="2761E238" w14:textId="77777777" w:rsidR="0086677D" w:rsidRPr="0086677D" w:rsidRDefault="0086677D" w:rsidP="007337B0">
      <w:pPr>
        <w:jc w:val="both"/>
        <w:rPr>
          <w:rFonts w:asciiTheme="minorHAnsi" w:hAnsiTheme="minorHAnsi" w:cstheme="minorHAnsi"/>
          <w:color w:val="000000"/>
          <w:szCs w:val="24"/>
          <w:lang w:val="ru-RU"/>
        </w:rPr>
      </w:pPr>
      <w:r>
        <w:rPr>
          <w:lang w:val="ru-RU"/>
        </w:rPr>
        <w:t>14.5</w:t>
      </w:r>
      <w:r>
        <w:rPr>
          <w:lang w:val="ru-RU"/>
        </w:rPr>
        <w:tab/>
        <w:t>Ввиду отсутствия дополнительных замечаний Председатель сделала заключение, что эта тема будет включена в предлагаемый обзор членского состава консультативными группами Секторов и Межсекторальной координационной группой в соответствии с заявлением о взаимодействии.</w:t>
      </w:r>
    </w:p>
    <w:p w14:paraId="71304659" w14:textId="25E028A4" w:rsidR="0086677D" w:rsidRPr="0086677D" w:rsidRDefault="0086677D" w:rsidP="007337B0">
      <w:pPr>
        <w:pStyle w:val="Headingb"/>
        <w:jc w:val="both"/>
        <w:rPr>
          <w:rFonts w:asciiTheme="minorHAnsi" w:hAnsiTheme="minorHAnsi" w:cstheme="minorHAnsi"/>
          <w:szCs w:val="24"/>
          <w:lang w:val="ru-RU"/>
        </w:rPr>
      </w:pPr>
      <w:r>
        <w:rPr>
          <w:bCs/>
          <w:lang w:val="ru-RU"/>
        </w:rPr>
        <w:t xml:space="preserve">Заявление о взаимодействии, касающееся расширения участия Членов Сектора и повышения доходов </w:t>
      </w:r>
      <w:r w:rsidR="00DE2DBD">
        <w:rPr>
          <w:bCs/>
          <w:lang w:val="ru-RU"/>
        </w:rPr>
        <w:t>−</w:t>
      </w:r>
      <w:r w:rsidR="00A44A65">
        <w:rPr>
          <w:bCs/>
          <w:lang w:val="ru-RU"/>
        </w:rPr>
        <w:t xml:space="preserve"> </w:t>
      </w:r>
      <w:r w:rsidR="00026680">
        <w:rPr>
          <w:bCs/>
          <w:lang w:val="ru-RU"/>
        </w:rPr>
        <w:t xml:space="preserve">Документы </w:t>
      </w:r>
      <w:hyperlink r:id="rId35" w:history="1">
        <w:r w:rsidRPr="005C2E6F">
          <w:rPr>
            <w:rStyle w:val="Hyperlink"/>
            <w:bCs/>
          </w:rPr>
          <w:t>CWG-FHR-20/20(Rev.1)</w:t>
        </w:r>
      </w:hyperlink>
      <w:r>
        <w:rPr>
          <w:bCs/>
          <w:lang w:val="ru-RU"/>
        </w:rPr>
        <w:t xml:space="preserve"> и </w:t>
      </w:r>
      <w:hyperlink r:id="rId36" w:history="1">
        <w:r w:rsidRPr="005C2E6F">
          <w:rPr>
            <w:rStyle w:val="Hyperlink"/>
            <w:bCs/>
          </w:rPr>
          <w:t>CWG-FHR-20/31</w:t>
        </w:r>
      </w:hyperlink>
    </w:p>
    <w:p w14:paraId="6407B386" w14:textId="77777777" w:rsidR="0086677D" w:rsidRPr="0086677D" w:rsidRDefault="0086677D" w:rsidP="007337B0">
      <w:pPr>
        <w:jc w:val="both"/>
        <w:rPr>
          <w:rFonts w:asciiTheme="minorHAnsi" w:hAnsiTheme="minorHAnsi" w:cstheme="minorHAnsi"/>
          <w:color w:val="000000"/>
          <w:szCs w:val="24"/>
          <w:lang w:val="ru-RU"/>
        </w:rPr>
      </w:pPr>
      <w:r>
        <w:rPr>
          <w:lang w:val="ru-RU"/>
        </w:rPr>
        <w:t>14.6</w:t>
      </w:r>
      <w:r>
        <w:rPr>
          <w:lang w:val="ru-RU"/>
        </w:rPr>
        <w:tab/>
        <w:t>В стратегии мобилизации ресурсов, утвержденной Советом на сессии 2024 года, предлагается в консультации с консультативными группами Секторов пересмотреть права и преимущества членов Секторов. Это, в частности, предполагает рассмотрение преимуществ, которые способствовали бы тому, чтобы существующие Члены Секторов получали статус членов в нескольких Секторах, а Ассоциированные члены повышали свой статус до полного членства в рамках Секторов. Это предполагает также пересмотр и модернизацию ключевых услуг, предоставляемых Членам Секторов, например исследовательских комиссий.</w:t>
      </w:r>
    </w:p>
    <w:p w14:paraId="167F0ACD" w14:textId="77777777" w:rsidR="0086677D" w:rsidRPr="0086677D" w:rsidRDefault="0086677D" w:rsidP="007337B0">
      <w:pPr>
        <w:jc w:val="both"/>
        <w:rPr>
          <w:rFonts w:asciiTheme="minorHAnsi" w:hAnsiTheme="minorHAnsi" w:cstheme="minorHAnsi"/>
          <w:color w:val="000000"/>
          <w:szCs w:val="24"/>
          <w:lang w:val="ru-RU"/>
        </w:rPr>
      </w:pPr>
      <w:r>
        <w:rPr>
          <w:lang w:val="ru-RU"/>
        </w:rPr>
        <w:lastRenderedPageBreak/>
        <w:t>14.7</w:t>
      </w:r>
      <w:r>
        <w:rPr>
          <w:lang w:val="ru-RU"/>
        </w:rPr>
        <w:tab/>
        <w:t>В Документе CWG-FHR-20/20 представлен проект заявления РГС-ФЛР о взаимодействии, адресованного консультативным группам Секторов, в котором содержится просьба добавить в программу предстоящих в 2025 году собраний пункт повестки дня, посвященный консультациям с Государствами-Членами и Членами Секторов (включая Ассоциированных членов и Академические организации) о путях расширения участия Членов Секторов и увеличения доходов. В Документе CWG-FHR-20/20 содержится также рекомендация направить это заявление Межсекторальной координационной группе (МСКГ) для обеспечения полной координации.</w:t>
      </w:r>
    </w:p>
    <w:p w14:paraId="22CE1C43" w14:textId="77777777" w:rsidR="0086677D" w:rsidRPr="0086677D" w:rsidRDefault="0086677D" w:rsidP="007337B0">
      <w:pPr>
        <w:jc w:val="both"/>
        <w:rPr>
          <w:rFonts w:asciiTheme="minorHAnsi" w:hAnsiTheme="minorHAnsi" w:cstheme="minorHAnsi"/>
          <w:color w:val="000000"/>
          <w:szCs w:val="24"/>
          <w:lang w:val="ru-RU"/>
        </w:rPr>
      </w:pPr>
      <w:r>
        <w:rPr>
          <w:lang w:val="ru-RU"/>
        </w:rPr>
        <w:t>14.8</w:t>
      </w:r>
      <w:r>
        <w:rPr>
          <w:lang w:val="ru-RU"/>
        </w:rPr>
        <w:tab/>
        <w:t>Несколько делегаций поддержали заявление о взаимодействии и содержащийся в нем запрос о проведении консультативными группами Секторов и МСКГ консультаций и представлении отчета по этой теме. Одна из делегаций просила пояснить в заявлении, что к консультациям приглашаются Ассоциированные члены; еще одна делегация просила добавить в заявление просьбу представить вклады до конца 2025 года.</w:t>
      </w:r>
    </w:p>
    <w:p w14:paraId="581EFC3F" w14:textId="588D5D68" w:rsidR="0086677D" w:rsidRPr="0086677D" w:rsidRDefault="0086677D" w:rsidP="007337B0">
      <w:pPr>
        <w:jc w:val="both"/>
        <w:rPr>
          <w:rFonts w:asciiTheme="minorHAnsi" w:hAnsiTheme="minorHAnsi" w:cstheme="minorHAnsi"/>
          <w:color w:val="000000"/>
          <w:szCs w:val="24"/>
          <w:lang w:val="ru-RU"/>
        </w:rPr>
      </w:pPr>
      <w:r>
        <w:rPr>
          <w:lang w:val="ru-RU"/>
        </w:rPr>
        <w:t>14.9</w:t>
      </w:r>
      <w:r>
        <w:rPr>
          <w:lang w:val="ru-RU"/>
        </w:rPr>
        <w:tab/>
        <w:t xml:space="preserve">В завершение Председатель распорядилась, чтобы заявление о взаимодействии было доработано и распространено Секретариатом с учетом правок, о которых просили делегаты (см. Документ </w:t>
      </w:r>
      <w:hyperlink r:id="rId37" w:history="1">
        <w:r w:rsidRPr="005C2E6F">
          <w:rPr>
            <w:rStyle w:val="Hyperlink"/>
          </w:rPr>
          <w:t>CWG-FHR-20/31</w:t>
        </w:r>
      </w:hyperlink>
      <w:r>
        <w:rPr>
          <w:lang w:val="ru-RU"/>
        </w:rPr>
        <w:t>).</w:t>
      </w:r>
    </w:p>
    <w:p w14:paraId="48007B9A" w14:textId="7E26B8A8" w:rsidR="005C2E6F" w:rsidRPr="002C323B" w:rsidRDefault="0086677D" w:rsidP="007337B0">
      <w:pPr>
        <w:pStyle w:val="Heading1"/>
        <w:jc w:val="both"/>
        <w:rPr>
          <w:bCs/>
          <w:lang w:val="ru-RU"/>
        </w:rPr>
      </w:pPr>
      <w:r>
        <w:rPr>
          <w:bCs/>
          <w:lang w:val="ru-RU"/>
        </w:rPr>
        <w:t>15</w:t>
      </w:r>
      <w:r>
        <w:rPr>
          <w:lang w:val="ru-RU"/>
        </w:rPr>
        <w:tab/>
      </w:r>
      <w:r>
        <w:rPr>
          <w:bCs/>
          <w:lang w:val="ru-RU"/>
        </w:rPr>
        <w:t xml:space="preserve">Ход внедрения системы </w:t>
      </w:r>
      <w:r w:rsidR="002C323B">
        <w:rPr>
          <w:bCs/>
          <w:lang w:val="ru-RU"/>
        </w:rPr>
        <w:t xml:space="preserve">управления </w:t>
      </w:r>
      <w:r>
        <w:rPr>
          <w:bCs/>
          <w:lang w:val="ru-RU"/>
        </w:rPr>
        <w:t>ИТ, кибербезопасност</w:t>
      </w:r>
      <w:r w:rsidR="002C323B">
        <w:rPr>
          <w:bCs/>
          <w:lang w:val="ru-RU"/>
        </w:rPr>
        <w:t>ью</w:t>
      </w:r>
      <w:r>
        <w:rPr>
          <w:bCs/>
          <w:lang w:val="ru-RU"/>
        </w:rPr>
        <w:t xml:space="preserve"> и данными и отчет о ходе выполнения дорожной карты в области ИТ </w:t>
      </w:r>
      <w:r w:rsidR="00DE2DBD">
        <w:rPr>
          <w:bCs/>
          <w:lang w:val="ru-RU"/>
        </w:rPr>
        <w:t>−</w:t>
      </w:r>
      <w:r>
        <w:rPr>
          <w:bCs/>
          <w:lang w:val="ru-RU"/>
        </w:rPr>
        <w:t xml:space="preserve"> Документ </w:t>
      </w:r>
      <w:hyperlink r:id="rId38" w:history="1">
        <w:r w:rsidRPr="005C2E6F">
          <w:rPr>
            <w:rStyle w:val="Hyperlink"/>
            <w:bCs/>
          </w:rPr>
          <w:t>CWG-FHR-20/12</w:t>
        </w:r>
      </w:hyperlink>
    </w:p>
    <w:p w14:paraId="58523013" w14:textId="515C3A1C" w:rsidR="0086677D" w:rsidRPr="0086677D" w:rsidRDefault="0086677D" w:rsidP="007337B0">
      <w:pPr>
        <w:jc w:val="both"/>
        <w:rPr>
          <w:rFonts w:asciiTheme="minorHAnsi" w:hAnsiTheme="minorHAnsi" w:cstheme="minorHAnsi"/>
          <w:szCs w:val="24"/>
          <w:lang w:val="ru-RU"/>
        </w:rPr>
      </w:pPr>
      <w:r>
        <w:rPr>
          <w:lang w:val="ru-RU"/>
        </w:rPr>
        <w:t>15.1</w:t>
      </w:r>
      <w:r>
        <w:rPr>
          <w:lang w:val="ru-RU"/>
        </w:rPr>
        <w:tab/>
        <w:t xml:space="preserve">Секретариат представил Документ CWG-FHR-20/12, в котором содержится обновленная информация по </w:t>
      </w:r>
      <w:r w:rsidR="002C323B">
        <w:rPr>
          <w:lang w:val="ru-RU"/>
        </w:rPr>
        <w:t xml:space="preserve">управлению </w:t>
      </w:r>
      <w:r>
        <w:rPr>
          <w:lang w:val="ru-RU"/>
        </w:rPr>
        <w:t>ИТ, кибербезопасност</w:t>
      </w:r>
      <w:r w:rsidR="002C323B">
        <w:rPr>
          <w:lang w:val="ru-RU"/>
        </w:rPr>
        <w:t>ью</w:t>
      </w:r>
      <w:r>
        <w:rPr>
          <w:lang w:val="ru-RU"/>
        </w:rPr>
        <w:t xml:space="preserve"> и данными в МСЭ, а также о ходе выполнения дорожной карты преобразований в сфере ИТ. В МСЭ произошли значительные преобразования, имевшие целью повысить эффективность, содействовать инновациям и повысить качество услуг, предоставляемых его членам. В поддержку этих усилий МСЭ создал надежную, соответствующую его бизнес-стратегии систему управления ИТ и способствовал сотрудничеству между хозяйственными подразделениями и ИТ</w:t>
      </w:r>
      <w:r w:rsidR="00A871F9">
        <w:rPr>
          <w:lang w:val="ru-RU"/>
        </w:rPr>
        <w:noBreakHyphen/>
      </w:r>
      <w:r>
        <w:rPr>
          <w:lang w:val="ru-RU"/>
        </w:rPr>
        <w:t>подразделениями.</w:t>
      </w:r>
    </w:p>
    <w:p w14:paraId="640B2690" w14:textId="77777777" w:rsidR="0086677D" w:rsidRPr="0086677D" w:rsidRDefault="0086677D" w:rsidP="007337B0">
      <w:pPr>
        <w:jc w:val="both"/>
        <w:rPr>
          <w:rFonts w:asciiTheme="minorHAnsi" w:hAnsiTheme="minorHAnsi" w:cstheme="minorHAnsi"/>
          <w:szCs w:val="24"/>
          <w:lang w:val="ru-RU"/>
        </w:rPr>
      </w:pPr>
      <w:r>
        <w:rPr>
          <w:lang w:val="ru-RU"/>
        </w:rPr>
        <w:t>15.2</w:t>
      </w:r>
      <w:r>
        <w:rPr>
          <w:lang w:val="ru-RU"/>
        </w:rPr>
        <w:tab/>
        <w:t>Одной из ключевых инициатив стало создание в 2024 году Комитета по управлению информационно-коммуникационными технологиями (ICTGC), осуществляющего надзор за управлением ИТ. Для обеспечения охвата всего МСЭ в состав Комитета, который заседает под председательством заместителя Генерального секретаря, входят назначаемые должностные лица и представители Бюро. Круг ведения Комитета был закреплен в Служебном приказе 24/10 от 20 сентября 2024 года.</w:t>
      </w:r>
    </w:p>
    <w:p w14:paraId="1AD33E1A" w14:textId="77777777" w:rsidR="0086677D" w:rsidRPr="0086677D" w:rsidRDefault="0086677D" w:rsidP="007337B0">
      <w:pPr>
        <w:keepNext/>
        <w:keepLines/>
        <w:jc w:val="both"/>
        <w:rPr>
          <w:rFonts w:asciiTheme="minorHAnsi" w:hAnsiTheme="minorHAnsi" w:cstheme="minorHAnsi"/>
          <w:szCs w:val="24"/>
          <w:lang w:val="ru-RU"/>
        </w:rPr>
      </w:pPr>
      <w:r>
        <w:rPr>
          <w:lang w:val="ru-RU"/>
        </w:rPr>
        <w:t>15.3</w:t>
      </w:r>
      <w:r>
        <w:rPr>
          <w:lang w:val="ru-RU"/>
        </w:rPr>
        <w:tab/>
        <w:t>В отчете отмечается также значительный прогресс в трансформации ИТ, в частности в следующих областях:</w:t>
      </w:r>
    </w:p>
    <w:p w14:paraId="3502327A" w14:textId="77D7EDF0" w:rsidR="0086677D" w:rsidRPr="0086677D" w:rsidRDefault="00047660" w:rsidP="007337B0">
      <w:pPr>
        <w:pStyle w:val="enumlev1"/>
        <w:jc w:val="both"/>
        <w:rPr>
          <w:lang w:val="ru-RU"/>
        </w:rPr>
      </w:pPr>
      <w:r>
        <w:rPr>
          <w:lang w:val="ru-RU"/>
        </w:rPr>
        <w:tab/>
      </w:r>
      <w:r w:rsidR="002C323B">
        <w:rPr>
          <w:lang w:val="ru-RU"/>
        </w:rPr>
        <w:t>к</w:t>
      </w:r>
      <w:r w:rsidR="0086677D">
        <w:rPr>
          <w:lang w:val="ru-RU"/>
        </w:rPr>
        <w:t>ибербезопасность</w:t>
      </w:r>
      <w:r w:rsidR="002C323B">
        <w:rPr>
          <w:lang w:val="ru-RU"/>
        </w:rPr>
        <w:t>;</w:t>
      </w:r>
    </w:p>
    <w:p w14:paraId="305753A7" w14:textId="31D01B1B" w:rsidR="0086677D" w:rsidRPr="0086677D" w:rsidRDefault="00047660" w:rsidP="007337B0">
      <w:pPr>
        <w:pStyle w:val="enumlev1"/>
        <w:jc w:val="both"/>
        <w:rPr>
          <w:lang w:val="ru-RU"/>
        </w:rPr>
      </w:pPr>
      <w:r>
        <w:rPr>
          <w:lang w:val="ru-RU"/>
        </w:rPr>
        <w:tab/>
      </w:r>
      <w:r w:rsidR="0086677D">
        <w:rPr>
          <w:lang w:val="ru-RU"/>
        </w:rPr>
        <w:t>управление информацией (IG)</w:t>
      </w:r>
      <w:r w:rsidR="002C323B">
        <w:rPr>
          <w:lang w:val="ru-RU"/>
        </w:rPr>
        <w:t>;</w:t>
      </w:r>
    </w:p>
    <w:p w14:paraId="213105A3" w14:textId="17ACABA9" w:rsidR="0086677D" w:rsidRPr="0086677D" w:rsidRDefault="00047660" w:rsidP="007337B0">
      <w:pPr>
        <w:pStyle w:val="enumlev1"/>
        <w:jc w:val="both"/>
        <w:rPr>
          <w:lang w:val="ru-RU"/>
        </w:rPr>
      </w:pPr>
      <w:r>
        <w:rPr>
          <w:lang w:val="ru-RU"/>
        </w:rPr>
        <w:tab/>
      </w:r>
      <w:r w:rsidR="0086677D">
        <w:rPr>
          <w:lang w:val="ru-RU"/>
        </w:rPr>
        <w:t>архитектура предприятия (EA)</w:t>
      </w:r>
      <w:r w:rsidR="002C323B">
        <w:rPr>
          <w:lang w:val="ru-RU"/>
        </w:rPr>
        <w:t>;</w:t>
      </w:r>
    </w:p>
    <w:p w14:paraId="70B1FB21" w14:textId="5642257F" w:rsidR="0086677D" w:rsidRPr="0086677D" w:rsidRDefault="00047660" w:rsidP="007337B0">
      <w:pPr>
        <w:pStyle w:val="enumlev1"/>
        <w:jc w:val="both"/>
        <w:rPr>
          <w:lang w:val="ru-RU"/>
        </w:rPr>
      </w:pPr>
      <w:r>
        <w:rPr>
          <w:lang w:val="ru-RU"/>
        </w:rPr>
        <w:tab/>
      </w:r>
      <w:r w:rsidR="0086677D">
        <w:rPr>
          <w:lang w:val="ru-RU"/>
        </w:rPr>
        <w:t>внедрение облачных технологий</w:t>
      </w:r>
      <w:r w:rsidR="002C323B">
        <w:rPr>
          <w:lang w:val="ru-RU"/>
        </w:rPr>
        <w:t>;</w:t>
      </w:r>
    </w:p>
    <w:p w14:paraId="76FC14AD" w14:textId="42A54E55" w:rsidR="0086677D" w:rsidRPr="0086677D" w:rsidRDefault="00047660" w:rsidP="007337B0">
      <w:pPr>
        <w:pStyle w:val="enumlev1"/>
        <w:jc w:val="both"/>
        <w:rPr>
          <w:lang w:val="ru-RU"/>
        </w:rPr>
      </w:pPr>
      <w:r>
        <w:rPr>
          <w:lang w:val="ru-RU"/>
        </w:rPr>
        <w:tab/>
      </w:r>
      <w:r w:rsidR="0086677D">
        <w:rPr>
          <w:lang w:val="ru-RU"/>
        </w:rPr>
        <w:t xml:space="preserve">виртуальные </w:t>
      </w:r>
      <w:r w:rsidR="00026680">
        <w:rPr>
          <w:lang w:val="ru-RU"/>
        </w:rPr>
        <w:t xml:space="preserve">мероприятия и </w:t>
      </w:r>
      <w:r w:rsidR="0086677D">
        <w:rPr>
          <w:lang w:val="ru-RU"/>
        </w:rPr>
        <w:t>дистанционное участие</w:t>
      </w:r>
      <w:r w:rsidR="002C323B">
        <w:rPr>
          <w:lang w:val="ru-RU"/>
        </w:rPr>
        <w:t>;</w:t>
      </w:r>
    </w:p>
    <w:p w14:paraId="3FB21C12" w14:textId="5ABADA82" w:rsidR="0086677D" w:rsidRPr="0086677D" w:rsidRDefault="00047660" w:rsidP="007337B0">
      <w:pPr>
        <w:pStyle w:val="enumlev1"/>
        <w:jc w:val="both"/>
        <w:rPr>
          <w:lang w:val="ru-RU"/>
        </w:rPr>
      </w:pPr>
      <w:r>
        <w:rPr>
          <w:lang w:val="ru-RU"/>
        </w:rPr>
        <w:tab/>
      </w:r>
      <w:r w:rsidR="0086677D">
        <w:rPr>
          <w:lang w:val="ru-RU"/>
        </w:rPr>
        <w:t>совершенствовани</w:t>
      </w:r>
      <w:r w:rsidR="00026680">
        <w:rPr>
          <w:lang w:val="ru-RU"/>
        </w:rPr>
        <w:t>е</w:t>
      </w:r>
      <w:r w:rsidR="0086677D">
        <w:rPr>
          <w:lang w:val="ru-RU"/>
        </w:rPr>
        <w:t xml:space="preserve"> веб-сайта МСЭ</w:t>
      </w:r>
      <w:r w:rsidR="002C323B">
        <w:rPr>
          <w:lang w:val="ru-RU"/>
        </w:rPr>
        <w:t>;</w:t>
      </w:r>
    </w:p>
    <w:p w14:paraId="2EEBB5AF" w14:textId="4D5D9FF1" w:rsidR="0086677D" w:rsidRPr="0086677D" w:rsidRDefault="00047660" w:rsidP="007337B0">
      <w:pPr>
        <w:pStyle w:val="enumlev1"/>
        <w:jc w:val="both"/>
        <w:rPr>
          <w:lang w:val="ru-RU"/>
        </w:rPr>
      </w:pPr>
      <w:r>
        <w:rPr>
          <w:lang w:val="ru-RU"/>
        </w:rPr>
        <w:tab/>
      </w:r>
      <w:r w:rsidR="0086677D">
        <w:rPr>
          <w:lang w:val="ru-RU"/>
        </w:rPr>
        <w:t>решения на основе ИИ</w:t>
      </w:r>
      <w:r w:rsidR="002C323B">
        <w:rPr>
          <w:lang w:val="ru-RU"/>
        </w:rPr>
        <w:t>;</w:t>
      </w:r>
    </w:p>
    <w:p w14:paraId="23A5B791" w14:textId="1BCDBDEA" w:rsidR="0086677D" w:rsidRPr="0086677D" w:rsidRDefault="00047660" w:rsidP="007337B0">
      <w:pPr>
        <w:pStyle w:val="enumlev1"/>
        <w:jc w:val="both"/>
        <w:rPr>
          <w:lang w:val="ru-RU"/>
        </w:rPr>
      </w:pPr>
      <w:r>
        <w:rPr>
          <w:lang w:val="ru-RU"/>
        </w:rPr>
        <w:tab/>
      </w:r>
      <w:r w:rsidR="0086677D">
        <w:rPr>
          <w:lang w:val="ru-RU"/>
        </w:rPr>
        <w:t>корпоративные решения в области ERP (планирования ресурсов предприятия) и CRM (управления взаимоотношениями с клиентами).</w:t>
      </w:r>
    </w:p>
    <w:p w14:paraId="278009F9" w14:textId="77777777" w:rsidR="0086677D" w:rsidRPr="0086677D" w:rsidRDefault="0086677D" w:rsidP="007337B0">
      <w:pPr>
        <w:jc w:val="both"/>
        <w:rPr>
          <w:rFonts w:asciiTheme="minorHAnsi" w:hAnsiTheme="minorHAnsi" w:cstheme="minorHAnsi"/>
          <w:szCs w:val="24"/>
          <w:lang w:val="ru-RU"/>
        </w:rPr>
      </w:pPr>
      <w:r>
        <w:rPr>
          <w:lang w:val="ru-RU"/>
        </w:rPr>
        <w:lastRenderedPageBreak/>
        <w:t>15.4</w:t>
      </w:r>
      <w:r>
        <w:rPr>
          <w:lang w:val="ru-RU"/>
        </w:rPr>
        <w:tab/>
        <w:t>Эти достижения свидетельствуют о готовности МСЭ к укреплению своей инфраструктуры ИТ и повышению качества услуг, предоставляемых его членам.</w:t>
      </w:r>
    </w:p>
    <w:p w14:paraId="760B5631" w14:textId="77777777" w:rsidR="0086677D" w:rsidRPr="0086677D" w:rsidRDefault="0086677D" w:rsidP="007337B0">
      <w:pPr>
        <w:jc w:val="both"/>
        <w:rPr>
          <w:rFonts w:asciiTheme="minorHAnsi" w:hAnsiTheme="minorHAnsi" w:cstheme="minorHAnsi"/>
          <w:szCs w:val="24"/>
          <w:lang w:val="ru-RU"/>
        </w:rPr>
      </w:pPr>
      <w:r>
        <w:rPr>
          <w:lang w:val="ru-RU"/>
        </w:rPr>
        <w:t>15.5</w:t>
      </w:r>
      <w:r>
        <w:rPr>
          <w:lang w:val="ru-RU"/>
        </w:rPr>
        <w:tab/>
        <w:t>Делегаты приветствовали эти новости, отметив прогресс в области безопасности и управления, а также достижения в области ИТ в рамках МСЭ. Несколько делегатов просили, чтобы в будущих отчетах содержались временные шкалы и подробные сведения о запланированных мероприятиях в различных областях выполнения.</w:t>
      </w:r>
    </w:p>
    <w:p w14:paraId="2BF6939B" w14:textId="6D46EC70" w:rsidR="0086677D" w:rsidRPr="0086677D" w:rsidRDefault="0086677D" w:rsidP="007337B0">
      <w:pPr>
        <w:jc w:val="both"/>
        <w:rPr>
          <w:rFonts w:asciiTheme="minorHAnsi" w:hAnsiTheme="minorHAnsi" w:cstheme="minorHAnsi"/>
          <w:szCs w:val="24"/>
          <w:lang w:val="ru-RU"/>
        </w:rPr>
      </w:pPr>
      <w:r>
        <w:rPr>
          <w:lang w:val="ru-RU"/>
        </w:rPr>
        <w:t>15.6</w:t>
      </w:r>
      <w:r>
        <w:rPr>
          <w:lang w:val="ru-RU"/>
        </w:rPr>
        <w:tab/>
        <w:t xml:space="preserve">Делегаты высоко оценили значительные усилия МСЭ по повышению комфорта пользователей в лице Государств-Членов путем обновления платформ, процессов и инструментов, в особенности недавний проект по миграции в облако. Они запросили более подробную информацию о предстоящем проекте перехода на облачные технологии, уделив особое внимание </w:t>
      </w:r>
      <w:r w:rsidR="002C323B">
        <w:rPr>
          <w:lang w:val="ru-RU"/>
        </w:rPr>
        <w:t>трансформации</w:t>
      </w:r>
      <w:r>
        <w:rPr>
          <w:lang w:val="ru-RU"/>
        </w:rPr>
        <w:t xml:space="preserve"> ERP/CRM.</w:t>
      </w:r>
    </w:p>
    <w:p w14:paraId="2D897A40" w14:textId="77777777" w:rsidR="0086677D" w:rsidRPr="0086677D" w:rsidRDefault="0086677D" w:rsidP="007337B0">
      <w:pPr>
        <w:jc w:val="both"/>
        <w:rPr>
          <w:rFonts w:asciiTheme="minorHAnsi" w:hAnsiTheme="minorHAnsi" w:cstheme="minorHAnsi"/>
          <w:szCs w:val="24"/>
          <w:lang w:val="ru-RU"/>
        </w:rPr>
      </w:pPr>
      <w:r>
        <w:rPr>
          <w:lang w:val="ru-RU"/>
        </w:rPr>
        <w:t>15.7</w:t>
      </w:r>
      <w:r>
        <w:rPr>
          <w:lang w:val="ru-RU"/>
        </w:rPr>
        <w:tab/>
        <w:t>Делегаты подчеркнули важность понимания стратегии в области ИТ, планов действий и мониторинга показателей эффективности работы для внедрения ИКТ в рамках всего Союза.</w:t>
      </w:r>
    </w:p>
    <w:p w14:paraId="0E23B408" w14:textId="77777777" w:rsidR="0086677D" w:rsidRPr="0086677D" w:rsidRDefault="0086677D" w:rsidP="007337B0">
      <w:pPr>
        <w:jc w:val="both"/>
        <w:rPr>
          <w:rFonts w:asciiTheme="minorHAnsi" w:hAnsiTheme="minorHAnsi" w:cstheme="minorHAnsi"/>
          <w:szCs w:val="24"/>
          <w:lang w:val="ru-RU"/>
        </w:rPr>
      </w:pPr>
      <w:r>
        <w:rPr>
          <w:lang w:val="ru-RU"/>
        </w:rPr>
        <w:t>15.8</w:t>
      </w:r>
      <w:r>
        <w:rPr>
          <w:lang w:val="ru-RU"/>
        </w:rPr>
        <w:tab/>
        <w:t>Ряд делегатов отметили, что в отчете не представлено обновленной информации о проблемах, связанных с выполнением дорожной карты в области ИТ, независимых аудиторских проверках МСЭ и оценках уязвимости системы. Они подчеркнули важность регулярного представления обновленной информации по этим вопросам, особенно относительно механизмов обеспечения безопасности ИТ.</w:t>
      </w:r>
    </w:p>
    <w:p w14:paraId="0ABE5506" w14:textId="77777777" w:rsidR="0086677D" w:rsidRPr="0086677D" w:rsidRDefault="0086677D" w:rsidP="007337B0">
      <w:pPr>
        <w:jc w:val="both"/>
        <w:rPr>
          <w:rFonts w:asciiTheme="minorHAnsi" w:hAnsiTheme="minorHAnsi" w:cstheme="minorHAnsi"/>
          <w:szCs w:val="24"/>
          <w:lang w:val="ru-RU"/>
        </w:rPr>
      </w:pPr>
      <w:r>
        <w:rPr>
          <w:lang w:val="ru-RU"/>
        </w:rPr>
        <w:t>15.9</w:t>
      </w:r>
      <w:r>
        <w:rPr>
          <w:lang w:val="ru-RU"/>
        </w:rPr>
        <w:tab/>
        <w:t>Секретариат принял к сведению просьбу включать в будущие отчеты временную шкалу и информацию о ходе реализации проектов и проинформировал делегатов о том, что в настоящее время в Департаменте информационных служб происходит смена руководства и что работа над стратегией в области ИС будет продолжена в ближайшие месяцы.</w:t>
      </w:r>
    </w:p>
    <w:p w14:paraId="42D090E9" w14:textId="66FF460D" w:rsidR="0086677D" w:rsidRPr="0086677D" w:rsidRDefault="0086677D" w:rsidP="007337B0">
      <w:pPr>
        <w:jc w:val="both"/>
        <w:rPr>
          <w:rFonts w:asciiTheme="minorHAnsi" w:hAnsiTheme="minorHAnsi" w:cstheme="minorHAnsi"/>
          <w:szCs w:val="24"/>
          <w:lang w:val="ru-RU"/>
        </w:rPr>
      </w:pPr>
      <w:r>
        <w:rPr>
          <w:lang w:val="ru-RU"/>
        </w:rPr>
        <w:t>15.10</w:t>
      </w:r>
      <w:r>
        <w:rPr>
          <w:lang w:val="ru-RU"/>
        </w:rPr>
        <w:tab/>
        <w:t xml:space="preserve">Секретариат пояснил, что в настоящий момент идет оценка условий </w:t>
      </w:r>
      <w:r w:rsidR="002C323B">
        <w:rPr>
          <w:lang w:val="ru-RU"/>
        </w:rPr>
        <w:t xml:space="preserve">миграции </w:t>
      </w:r>
      <w:r>
        <w:rPr>
          <w:lang w:val="ru-RU"/>
        </w:rPr>
        <w:t xml:space="preserve">систем ERP и CRM и что она еще не завершена, а также отметил, что МСЭ предпринял все необходимые меры для сопоставления партнеров, предоставляющих программное обеспечение и осуществляющих внедрение систем, и для оценки всех финансовых последствий такого перехода. </w:t>
      </w:r>
    </w:p>
    <w:p w14:paraId="56540A4B" w14:textId="77777777" w:rsidR="0086677D" w:rsidRPr="0086677D" w:rsidRDefault="0086677D" w:rsidP="007337B0">
      <w:pPr>
        <w:jc w:val="both"/>
        <w:rPr>
          <w:rFonts w:asciiTheme="minorHAnsi" w:hAnsiTheme="minorHAnsi" w:cstheme="minorHAnsi"/>
          <w:szCs w:val="24"/>
          <w:lang w:val="ru-RU"/>
        </w:rPr>
      </w:pPr>
      <w:r>
        <w:rPr>
          <w:lang w:val="ru-RU"/>
        </w:rPr>
        <w:t>15.11</w:t>
      </w:r>
      <w:r>
        <w:rPr>
          <w:lang w:val="ru-RU"/>
        </w:rPr>
        <w:tab/>
        <w:t>Секретариат сообщил, что МСЭ проводит независимые оценки кибербезопасности и регулярно представляет аудиторам отчеты, как это делается и в отношении других систем, которые проверяются внешними аудиторами.</w:t>
      </w:r>
    </w:p>
    <w:p w14:paraId="711BBC4E" w14:textId="77777777" w:rsidR="0086677D" w:rsidRPr="0086677D" w:rsidRDefault="0086677D" w:rsidP="007337B0">
      <w:pPr>
        <w:jc w:val="both"/>
        <w:rPr>
          <w:rFonts w:asciiTheme="minorHAnsi" w:hAnsiTheme="minorHAnsi" w:cstheme="minorHAnsi"/>
          <w:szCs w:val="24"/>
          <w:lang w:val="ru-RU"/>
        </w:rPr>
      </w:pPr>
      <w:r>
        <w:rPr>
          <w:lang w:val="ru-RU"/>
        </w:rPr>
        <w:t>15.12</w:t>
      </w:r>
      <w:r>
        <w:rPr>
          <w:lang w:val="ru-RU"/>
        </w:rPr>
        <w:tab/>
        <w:t>Секретариат дополнительно пояснил, какую роль выполняет Комитет по управлению ИКТ, руководство которым осуществляет Генеральный секретарь, председателем которого в настоящее время является заместитель Генерального секретаря и в состав которого входит по одному представителю от каждого Бюро, а также сотрудники Департамента управления финансовыми ресурсами и Департамента управления людскими ресурсами. Члены ICTGC оказывают содействие Генеральному секретарю в принятии решений относительно инвестиций в проекты в области ИТ. Государства-Члены создали Фонд ИКТ, который был утвержден Советом, и Совет распределяет средства в этот фонд ИКТ при составлении каждого очередного бюджета, но в том, что касается управления, распределение средств и инвестирование в проекты в области ИТ в рамках МСЭ осуществляет заместитель Генерального секретаря, действуя через Руководящий комитет.</w:t>
      </w:r>
    </w:p>
    <w:p w14:paraId="5013ED1A" w14:textId="14081BBB" w:rsidR="0086677D" w:rsidRPr="0086677D" w:rsidRDefault="0086677D" w:rsidP="007337B0">
      <w:pPr>
        <w:pStyle w:val="Heading1"/>
        <w:jc w:val="both"/>
        <w:rPr>
          <w:lang w:val="ru-RU"/>
        </w:rPr>
      </w:pPr>
      <w:r>
        <w:rPr>
          <w:bCs/>
          <w:lang w:val="ru-RU"/>
        </w:rPr>
        <w:lastRenderedPageBreak/>
        <w:t>16</w:t>
      </w:r>
      <w:r>
        <w:rPr>
          <w:lang w:val="ru-RU"/>
        </w:rPr>
        <w:tab/>
      </w:r>
      <w:r>
        <w:rPr>
          <w:bCs/>
          <w:lang w:val="ru-RU"/>
        </w:rPr>
        <w:t xml:space="preserve">Обновленная информация о процессе трансформации </w:t>
      </w:r>
      <w:r w:rsidR="00DE2DBD">
        <w:rPr>
          <w:bCs/>
          <w:lang w:val="ru-RU"/>
        </w:rPr>
        <w:t>−</w:t>
      </w:r>
      <w:r>
        <w:rPr>
          <w:bCs/>
          <w:lang w:val="ru-RU"/>
        </w:rPr>
        <w:t xml:space="preserve"> </w:t>
      </w:r>
      <w:r w:rsidR="0090397F">
        <w:rPr>
          <w:bCs/>
          <w:lang w:val="ru-RU"/>
        </w:rPr>
        <w:t>Д</w:t>
      </w:r>
      <w:r>
        <w:rPr>
          <w:bCs/>
          <w:lang w:val="ru-RU"/>
        </w:rPr>
        <w:t xml:space="preserve">окумент </w:t>
      </w:r>
      <w:hyperlink r:id="rId39" w:history="1">
        <w:r w:rsidRPr="005C2E6F">
          <w:rPr>
            <w:rStyle w:val="Hyperlink"/>
            <w:bCs/>
          </w:rPr>
          <w:t>CWG-FHR-20/11</w:t>
        </w:r>
      </w:hyperlink>
      <w:r>
        <w:rPr>
          <w:bCs/>
          <w:lang w:val="ru-RU"/>
        </w:rPr>
        <w:t xml:space="preserve">, </w:t>
      </w:r>
      <w:r w:rsidR="002C323B">
        <w:rPr>
          <w:bCs/>
          <w:lang w:val="ru-RU"/>
        </w:rPr>
        <w:t>В</w:t>
      </w:r>
      <w:r>
        <w:rPr>
          <w:bCs/>
          <w:lang w:val="ru-RU"/>
        </w:rPr>
        <w:t xml:space="preserve">клад Российской Федерации </w:t>
      </w:r>
      <w:r w:rsidR="00DE2DBD">
        <w:rPr>
          <w:bCs/>
          <w:lang w:val="ru-RU"/>
        </w:rPr>
        <w:t>−</w:t>
      </w:r>
      <w:r>
        <w:rPr>
          <w:bCs/>
          <w:lang w:val="ru-RU"/>
        </w:rPr>
        <w:t xml:space="preserve"> Замечания к отчету Генерального секретаря </w:t>
      </w:r>
      <w:r w:rsidR="00DE2DBD">
        <w:rPr>
          <w:bCs/>
          <w:lang w:val="ru-RU"/>
        </w:rPr>
        <w:t>−</w:t>
      </w:r>
      <w:r>
        <w:rPr>
          <w:bCs/>
          <w:lang w:val="ru-RU"/>
        </w:rPr>
        <w:t xml:space="preserve"> Обновленная информация о процессе трансформации </w:t>
      </w:r>
      <w:r w:rsidR="00DE2DBD">
        <w:rPr>
          <w:bCs/>
          <w:lang w:val="ru-RU"/>
        </w:rPr>
        <w:t>−</w:t>
      </w:r>
      <w:r>
        <w:rPr>
          <w:bCs/>
          <w:lang w:val="ru-RU"/>
        </w:rPr>
        <w:t xml:space="preserve"> Документ </w:t>
      </w:r>
      <w:hyperlink r:id="rId40" w:history="1">
        <w:r w:rsidRPr="005C2E6F">
          <w:rPr>
            <w:rStyle w:val="Hyperlink"/>
            <w:bCs/>
          </w:rPr>
          <w:t>CWG-FHR-20/22</w:t>
        </w:r>
      </w:hyperlink>
      <w:r>
        <w:rPr>
          <w:bCs/>
          <w:lang w:val="ru-RU"/>
        </w:rPr>
        <w:t xml:space="preserve"> и </w:t>
      </w:r>
      <w:r w:rsidR="002C323B">
        <w:rPr>
          <w:bCs/>
          <w:lang w:val="ru-RU"/>
        </w:rPr>
        <w:t>О</w:t>
      </w:r>
      <w:r>
        <w:rPr>
          <w:bCs/>
          <w:lang w:val="ru-RU"/>
        </w:rPr>
        <w:t xml:space="preserve">бновленная информация о проекте по созданию нового веб-сайта </w:t>
      </w:r>
      <w:r w:rsidR="00DE2DBD">
        <w:rPr>
          <w:bCs/>
          <w:lang w:val="ru-RU"/>
        </w:rPr>
        <w:t>−</w:t>
      </w:r>
      <w:r>
        <w:rPr>
          <w:bCs/>
          <w:lang w:val="ru-RU"/>
        </w:rPr>
        <w:t xml:space="preserve"> Документ </w:t>
      </w:r>
      <w:hyperlink r:id="rId41" w:history="1">
        <w:r w:rsidRPr="005C2E6F">
          <w:rPr>
            <w:rStyle w:val="Hyperlink"/>
            <w:bCs/>
          </w:rPr>
          <w:t>CWG-FHR-20/28</w:t>
        </w:r>
      </w:hyperlink>
    </w:p>
    <w:p w14:paraId="277BE686" w14:textId="77777777" w:rsidR="0086677D" w:rsidRPr="0086677D" w:rsidRDefault="0086677D" w:rsidP="007337B0">
      <w:pPr>
        <w:jc w:val="both"/>
        <w:rPr>
          <w:rFonts w:asciiTheme="minorHAnsi" w:hAnsiTheme="minorHAnsi" w:cstheme="minorHAnsi"/>
          <w:szCs w:val="24"/>
          <w:lang w:val="ru-RU"/>
        </w:rPr>
      </w:pPr>
      <w:r>
        <w:rPr>
          <w:lang w:val="ru-RU"/>
        </w:rPr>
        <w:t>16.1</w:t>
      </w:r>
      <w:r>
        <w:rPr>
          <w:lang w:val="ru-RU"/>
        </w:rPr>
        <w:tab/>
        <w:t>Делегатам была представлена обновленная информация о процессе трансформации, причем основное внимание был уделено прогрессу, достигнутому по инициативам, реализуемым в ускоренном режиме. Делегаты были в целом удовлетворены достигнутым прогрессом. Кроме того, шесть инициатив, реализуемых в ускоренном режиме, ориентированы на людей и приносят также пользу персоналу. Делегаты высоко оценили также меры, предпринимаемые для продолжения процесса трансформации, и улучшения, внесенные в веб-сайт МСЭ, и выразили поддержку основным направлениям работы и инициативам, определенным в дорожной карте в качестве имеющих решающее значение для достижения организационной эффективности, а также подчеркнули необходимость обеспечения необходимых финансовых ресурсов для реализации инициатив в хорошем, динамичном темпе.</w:t>
      </w:r>
    </w:p>
    <w:p w14:paraId="5747619E" w14:textId="1F71D27A" w:rsidR="0086677D" w:rsidRPr="0086677D" w:rsidRDefault="0086677D" w:rsidP="007337B0">
      <w:pPr>
        <w:jc w:val="both"/>
        <w:rPr>
          <w:rFonts w:asciiTheme="minorHAnsi" w:hAnsiTheme="minorHAnsi" w:cstheme="minorHAnsi"/>
          <w:szCs w:val="24"/>
          <w:lang w:val="ru-RU"/>
        </w:rPr>
      </w:pPr>
      <w:r>
        <w:rPr>
          <w:lang w:val="ru-RU"/>
        </w:rPr>
        <w:t>16.2</w:t>
      </w:r>
      <w:r>
        <w:rPr>
          <w:lang w:val="ru-RU"/>
        </w:rPr>
        <w:tab/>
        <w:t>Ключевыми темами, которые делегаты поднимали в своих выступлениях, были: необходимость определения четких сроков и дат завершения шести этапов проекта создания нового веб-сайта, обеспокоенность по поводу доступности веб-сайта на нескольких языках и соответствия содержания разных языковых версий друг другу, а также важность разработки понятной информационной архитектуры для улучшения функции поиска информации и повышения удобства пользовател</w:t>
      </w:r>
      <w:r w:rsidR="002C323B">
        <w:rPr>
          <w:lang w:val="ru-RU"/>
        </w:rPr>
        <w:t>ей</w:t>
      </w:r>
      <w:r>
        <w:rPr>
          <w:lang w:val="ru-RU"/>
        </w:rPr>
        <w:t xml:space="preserve">. Делегаты обратились к </w:t>
      </w:r>
      <w:r w:rsidR="0090397F">
        <w:rPr>
          <w:lang w:val="ru-RU"/>
        </w:rPr>
        <w:t>С</w:t>
      </w:r>
      <w:r>
        <w:rPr>
          <w:lang w:val="ru-RU"/>
        </w:rPr>
        <w:t>екретариату с просьбой включать обновленную информацию о проекте создания нового веб-сайта в повестку дня всех собраний, которые будут проходить в 2025 году, в том числе разбивку затрат на новый веб-сайт и анализ возможности реализации аналогичного проекта для модернизации интранета.</w:t>
      </w:r>
    </w:p>
    <w:p w14:paraId="6878DA6A" w14:textId="1AE72AF0" w:rsidR="0086677D" w:rsidRPr="0086677D" w:rsidRDefault="0086677D" w:rsidP="007337B0">
      <w:pPr>
        <w:jc w:val="both"/>
        <w:rPr>
          <w:rFonts w:asciiTheme="minorHAnsi" w:hAnsiTheme="minorHAnsi" w:cstheme="minorHAnsi"/>
          <w:szCs w:val="24"/>
          <w:lang w:val="ru-RU"/>
        </w:rPr>
      </w:pPr>
      <w:r>
        <w:rPr>
          <w:lang w:val="ru-RU"/>
        </w:rPr>
        <w:t>16.3</w:t>
      </w:r>
      <w:r>
        <w:rPr>
          <w:lang w:val="ru-RU"/>
        </w:rPr>
        <w:tab/>
        <w:t xml:space="preserve">Еще одной важной темой обсуждения стал процесс трансформации: в замечаниях подчеркивалась важность оптимизации ресурсов, обеспечения согласованности с будущими стратегическим и финансовым планами, а также привлечения независимой сторонней точки зрения для обеспечения прозрачности процесса и доверия к нему. Поступили также комментарии относительно необходимости сотрудничества и поддержания диалога между Советом персонала и Группой по трансформации, а также о важности решения проблем, связанных с культурой руководства, управлением показателями деятельности и использованием инструментов на базе ИИ. В целом полученная обратная связь наглядно показала необходимость согласованного и прозрачного подхода как к проекту создания нового веб-сайта, так и к </w:t>
      </w:r>
      <w:r w:rsidR="002C323B">
        <w:rPr>
          <w:lang w:val="ru-RU"/>
        </w:rPr>
        <w:t xml:space="preserve">более масштабным </w:t>
      </w:r>
      <w:r>
        <w:rPr>
          <w:lang w:val="ru-RU"/>
        </w:rPr>
        <w:t xml:space="preserve">инициативам </w:t>
      </w:r>
      <w:r w:rsidR="002C323B">
        <w:rPr>
          <w:lang w:val="ru-RU"/>
        </w:rPr>
        <w:t xml:space="preserve">по </w:t>
      </w:r>
      <w:r>
        <w:rPr>
          <w:lang w:val="ru-RU"/>
        </w:rPr>
        <w:t>трансформации.</w:t>
      </w:r>
    </w:p>
    <w:p w14:paraId="7F60038C" w14:textId="60E347B8" w:rsidR="0086677D" w:rsidRPr="0086677D" w:rsidRDefault="0086677D" w:rsidP="007337B0">
      <w:pPr>
        <w:pStyle w:val="Heading1"/>
        <w:jc w:val="both"/>
        <w:rPr>
          <w:b w:val="0"/>
          <w:lang w:val="ru-RU"/>
        </w:rPr>
      </w:pPr>
      <w:r>
        <w:rPr>
          <w:bCs/>
          <w:lang w:val="ru-RU"/>
        </w:rPr>
        <w:t>17</w:t>
      </w:r>
      <w:r>
        <w:rPr>
          <w:lang w:val="ru-RU"/>
        </w:rPr>
        <w:tab/>
      </w:r>
      <w:r>
        <w:rPr>
          <w:bCs/>
          <w:lang w:val="ru-RU"/>
        </w:rPr>
        <w:t xml:space="preserve">Проблемы, возникающие при выполнении Решения 601 Совета о регистрации IIN </w:t>
      </w:r>
      <w:r w:rsidR="00DE2DBD">
        <w:rPr>
          <w:bCs/>
          <w:lang w:val="ru-RU"/>
        </w:rPr>
        <w:t>−</w:t>
      </w:r>
      <w:r>
        <w:rPr>
          <w:bCs/>
          <w:lang w:val="ru-RU"/>
        </w:rPr>
        <w:t xml:space="preserve"> Документ </w:t>
      </w:r>
      <w:hyperlink r:id="rId42" w:history="1">
        <w:r w:rsidRPr="005C2E6F">
          <w:rPr>
            <w:rStyle w:val="Hyperlink"/>
            <w:bCs/>
          </w:rPr>
          <w:t>CWG-FHR-20/13</w:t>
        </w:r>
      </w:hyperlink>
    </w:p>
    <w:p w14:paraId="21751968" w14:textId="77777777" w:rsidR="0086677D" w:rsidRPr="0086677D" w:rsidRDefault="0086677D" w:rsidP="007337B0">
      <w:pPr>
        <w:jc w:val="both"/>
        <w:rPr>
          <w:lang w:val="ru-RU"/>
        </w:rPr>
      </w:pPr>
      <w:r>
        <w:rPr>
          <w:lang w:val="ru-RU"/>
        </w:rPr>
        <w:t>17.1</w:t>
      </w:r>
      <w:r>
        <w:rPr>
          <w:lang w:val="ru-RU"/>
        </w:rPr>
        <w:tab/>
        <w:t>В рамках представления Документа CWG-FHR-20/13 Секретариат:</w:t>
      </w:r>
    </w:p>
    <w:p w14:paraId="245C74E3" w14:textId="77777777" w:rsidR="0086677D" w:rsidRPr="0086677D" w:rsidRDefault="0086677D" w:rsidP="007337B0">
      <w:pPr>
        <w:pStyle w:val="enumlev1"/>
        <w:jc w:val="both"/>
        <w:rPr>
          <w:lang w:val="ru-RU"/>
        </w:rPr>
      </w:pPr>
      <w:r>
        <w:rPr>
          <w:lang w:val="ru-RU"/>
        </w:rPr>
        <w:t>1)</w:t>
      </w:r>
      <w:r>
        <w:rPr>
          <w:lang w:val="ru-RU"/>
        </w:rPr>
        <w:tab/>
        <w:t>напомнил содержание Решения 601 Совета;</w:t>
      </w:r>
    </w:p>
    <w:p w14:paraId="09FCF498" w14:textId="77777777" w:rsidR="0086677D" w:rsidRPr="0086677D" w:rsidRDefault="0086677D" w:rsidP="007337B0">
      <w:pPr>
        <w:pStyle w:val="enumlev1"/>
        <w:jc w:val="both"/>
        <w:rPr>
          <w:lang w:val="ru-RU"/>
        </w:rPr>
      </w:pPr>
      <w:r>
        <w:rPr>
          <w:lang w:val="ru-RU"/>
        </w:rPr>
        <w:t>2)</w:t>
      </w:r>
      <w:r>
        <w:rPr>
          <w:lang w:val="ru-RU"/>
        </w:rPr>
        <w:tab/>
        <w:t>представил информацию о ходе его выполнения и проблемах, связанных со сбором ежегодных сборов за обслуживание IIN.</w:t>
      </w:r>
    </w:p>
    <w:p w14:paraId="484033AD" w14:textId="6F991AE9" w:rsidR="0086677D" w:rsidRPr="0086677D" w:rsidRDefault="0086677D" w:rsidP="007337B0">
      <w:pPr>
        <w:jc w:val="both"/>
        <w:rPr>
          <w:rFonts w:asciiTheme="minorHAnsi" w:hAnsiTheme="minorHAnsi" w:cstheme="minorHAnsi"/>
          <w:szCs w:val="24"/>
          <w:lang w:val="ru-RU"/>
        </w:rPr>
      </w:pPr>
      <w:r>
        <w:rPr>
          <w:lang w:val="ru-RU"/>
        </w:rPr>
        <w:t>17.2</w:t>
      </w:r>
      <w:r>
        <w:rPr>
          <w:lang w:val="ru-RU"/>
        </w:rPr>
        <w:tab/>
        <w:t>Один из делегатов (Председатель ИК2) сообщил, что Рекомендация МСЭ-Т E.118 находилась на пересмотре, после чего на собрании 2-й Исследовательской комиссии (ИК2) МСЭ-Т (Женева, 5−14 февраля 2025 г</w:t>
      </w:r>
      <w:r w:rsidR="00A871F9">
        <w:rPr>
          <w:lang w:val="ru-RU"/>
        </w:rPr>
        <w:t>.</w:t>
      </w:r>
      <w:r>
        <w:rPr>
          <w:lang w:val="ru-RU"/>
        </w:rPr>
        <w:t>) по ней было сделано заключение. Функция регистратора для IIN была исключена из пересмотренной Рекомендации. Однако сохраняется неопределенность в отношении того, каким образом следует официально донести эту информацию до Совета.</w:t>
      </w:r>
    </w:p>
    <w:p w14:paraId="620B401F" w14:textId="77777777" w:rsidR="0086677D" w:rsidRPr="0086677D" w:rsidRDefault="0086677D" w:rsidP="007337B0">
      <w:pPr>
        <w:jc w:val="both"/>
        <w:rPr>
          <w:rFonts w:asciiTheme="minorHAnsi" w:hAnsiTheme="minorHAnsi" w:cstheme="minorHAnsi"/>
          <w:szCs w:val="24"/>
          <w:lang w:val="ru-RU"/>
        </w:rPr>
      </w:pPr>
      <w:r>
        <w:rPr>
          <w:lang w:val="ru-RU"/>
        </w:rPr>
        <w:lastRenderedPageBreak/>
        <w:t>17.3</w:t>
      </w:r>
      <w:r>
        <w:rPr>
          <w:lang w:val="ru-RU"/>
        </w:rPr>
        <w:tab/>
        <w:t>Делегаты приняли этот документ к сведению; в отчет будет включено краткое изложение обсуждения. Ожидается, что после официального утверждения пересмотренной Рекомендации МСЭ-Т E.118 по IIN ИК2 МСЭ-Т обратится к Совету через Директора БСЭ. Следовательно, Решение 601, вероятно, будет отменено.</w:t>
      </w:r>
    </w:p>
    <w:p w14:paraId="64A7E204" w14:textId="515713C0" w:rsidR="0086677D" w:rsidRPr="0086677D" w:rsidRDefault="0086677D" w:rsidP="007337B0">
      <w:pPr>
        <w:pStyle w:val="Heading1"/>
        <w:jc w:val="both"/>
        <w:rPr>
          <w:b w:val="0"/>
          <w:lang w:val="ru-RU"/>
        </w:rPr>
      </w:pPr>
      <w:r>
        <w:rPr>
          <w:bCs/>
          <w:lang w:val="ru-RU"/>
        </w:rPr>
        <w:t>18</w:t>
      </w:r>
      <w:r>
        <w:rPr>
          <w:lang w:val="ru-RU"/>
        </w:rPr>
        <w:tab/>
      </w:r>
      <w:r>
        <w:rPr>
          <w:bCs/>
          <w:lang w:val="ru-RU"/>
        </w:rPr>
        <w:t xml:space="preserve">Заявление о взаимодействии, касающееся создания Рабочей группы Совета по разработке Стратегического и Финансового планов </w:t>
      </w:r>
      <w:r w:rsidR="00DE2DBD">
        <w:rPr>
          <w:bCs/>
          <w:lang w:val="ru-RU"/>
        </w:rPr>
        <w:t>−</w:t>
      </w:r>
      <w:r>
        <w:rPr>
          <w:bCs/>
          <w:lang w:val="ru-RU"/>
        </w:rPr>
        <w:t xml:space="preserve"> Документ </w:t>
      </w:r>
      <w:hyperlink r:id="rId43" w:history="1">
        <w:r w:rsidRPr="005C2E6F">
          <w:rPr>
            <w:rStyle w:val="Hyperlink"/>
            <w:bCs/>
          </w:rPr>
          <w:t>CWG-FHR-20/30</w:t>
        </w:r>
      </w:hyperlink>
    </w:p>
    <w:p w14:paraId="17969DDB" w14:textId="7DDBD703" w:rsidR="0086677D" w:rsidRPr="0086677D" w:rsidRDefault="0086677D" w:rsidP="007337B0">
      <w:pPr>
        <w:jc w:val="both"/>
        <w:rPr>
          <w:lang w:val="ru-RU"/>
        </w:rPr>
      </w:pPr>
      <w:r>
        <w:rPr>
          <w:lang w:val="ru-RU"/>
        </w:rPr>
        <w:t>18.1</w:t>
      </w:r>
      <w:r>
        <w:rPr>
          <w:lang w:val="ru-RU"/>
        </w:rPr>
        <w:tab/>
        <w:t xml:space="preserve">Секретариат представил Документ CWG-FHR-20/30 </w:t>
      </w:r>
      <w:r w:rsidR="00DE2DBD">
        <w:rPr>
          <w:lang w:val="ru-RU"/>
        </w:rPr>
        <w:t>−</w:t>
      </w:r>
      <w:r>
        <w:rPr>
          <w:lang w:val="ru-RU"/>
        </w:rPr>
        <w:t xml:space="preserve"> заявление о взаимодействии, касающееся создании Рабочей группы Совета по разработке Стратегического и Финансового планов (РГС-СФП). В ходе обсуждения один из делегатов поднял вопрос о том, не должно ли в названии документа говориться о "деятельности", а не о "создании" рабочей группы. Еще один делегат выразил мнение, что цель заявления заключается в том, чтобы проинформировать группу о создании РГС-СФП. Секретариат пояснил, что основная задача, безусловно, состоит в том, чтобы уведомить группу о создании РГС-СФП и предложить другим группам принять участие в ее работе. РГС-ФЛР приняла документ к сведению с этими пояснениями.</w:t>
      </w:r>
    </w:p>
    <w:p w14:paraId="08328B57" w14:textId="18740B7F" w:rsidR="0086677D" w:rsidRPr="0086677D" w:rsidRDefault="0086677D" w:rsidP="007337B0">
      <w:pPr>
        <w:pStyle w:val="Heading1"/>
        <w:jc w:val="both"/>
        <w:rPr>
          <w:b w:val="0"/>
          <w:lang w:val="ru-RU"/>
        </w:rPr>
      </w:pPr>
      <w:r>
        <w:rPr>
          <w:bCs/>
          <w:lang w:val="ru-RU"/>
        </w:rPr>
        <w:t>19</w:t>
      </w:r>
      <w:r>
        <w:rPr>
          <w:lang w:val="ru-RU"/>
        </w:rPr>
        <w:tab/>
      </w:r>
      <w:r>
        <w:rPr>
          <w:bCs/>
          <w:lang w:val="ru-RU"/>
        </w:rPr>
        <w:t xml:space="preserve">Обновленная информация о проекте по помещениям штаб-квартиры Союза </w:t>
      </w:r>
      <w:r w:rsidR="00DE2DBD">
        <w:rPr>
          <w:bCs/>
          <w:lang w:val="ru-RU"/>
        </w:rPr>
        <w:t>−</w:t>
      </w:r>
      <w:r>
        <w:rPr>
          <w:bCs/>
          <w:lang w:val="ru-RU"/>
        </w:rPr>
        <w:t xml:space="preserve"> Документ </w:t>
      </w:r>
      <w:hyperlink r:id="rId44" w:history="1">
        <w:r w:rsidRPr="005C2E6F">
          <w:rPr>
            <w:rStyle w:val="Hyperlink"/>
            <w:bCs/>
          </w:rPr>
          <w:t>CWG-FHR-20/7</w:t>
        </w:r>
      </w:hyperlink>
      <w:r>
        <w:rPr>
          <w:bCs/>
          <w:lang w:val="ru-RU"/>
        </w:rPr>
        <w:t xml:space="preserve"> и Отчет КГГЧ </w:t>
      </w:r>
      <w:r w:rsidR="00DE2DBD">
        <w:rPr>
          <w:bCs/>
          <w:lang w:val="ru-RU"/>
        </w:rPr>
        <w:t>−</w:t>
      </w:r>
      <w:r>
        <w:rPr>
          <w:bCs/>
          <w:lang w:val="ru-RU"/>
        </w:rPr>
        <w:t xml:space="preserve"> устная презентация</w:t>
      </w:r>
    </w:p>
    <w:p w14:paraId="1618459A" w14:textId="0AEDE31E" w:rsidR="0086677D" w:rsidRPr="0086677D" w:rsidRDefault="0086677D" w:rsidP="007337B0">
      <w:pPr>
        <w:jc w:val="both"/>
        <w:rPr>
          <w:lang w:val="ru-RU"/>
        </w:rPr>
      </w:pPr>
      <w:r>
        <w:rPr>
          <w:lang w:val="ru-RU"/>
        </w:rPr>
        <w:t>19.1</w:t>
      </w:r>
      <w:r>
        <w:rPr>
          <w:lang w:val="ru-RU"/>
        </w:rPr>
        <w:tab/>
        <w:t xml:space="preserve">Руководитель Отдела проекта строительства и административно-хозяйственного управления (BPFMD) представил Документ </w:t>
      </w:r>
      <w:hyperlink r:id="rId45" w:history="1">
        <w:r w:rsidRPr="005C2E6F">
          <w:rPr>
            <w:rStyle w:val="Hyperlink"/>
          </w:rPr>
          <w:t>CWG-FHR-20/7</w:t>
        </w:r>
      </w:hyperlink>
      <w:r>
        <w:rPr>
          <w:lang w:val="ru-RU"/>
        </w:rPr>
        <w:t>, в котором содержится обновленная информация о ходе выполнения Решения 640 Совета (C24), касающегося проекта по помещениям штаб-квартиры Союза.</w:t>
      </w:r>
    </w:p>
    <w:p w14:paraId="3C32D2E0" w14:textId="1DAA1E86" w:rsidR="0086677D" w:rsidRPr="00FB404F" w:rsidRDefault="0086677D" w:rsidP="007337B0">
      <w:pPr>
        <w:jc w:val="both"/>
        <w:rPr>
          <w:rFonts w:asciiTheme="minorHAnsi" w:hAnsiTheme="minorHAnsi" w:cstheme="minorHAnsi"/>
          <w:szCs w:val="24"/>
          <w:lang w:val="ru-RU"/>
        </w:rPr>
      </w:pPr>
      <w:r>
        <w:rPr>
          <w:lang w:val="ru-RU"/>
        </w:rPr>
        <w:t>19.2</w:t>
      </w:r>
      <w:r>
        <w:rPr>
          <w:lang w:val="ru-RU"/>
        </w:rPr>
        <w:tab/>
        <w:t xml:space="preserve">Комиссия по технической оценке, участвующая в начатом в сентябре 2024 года процессе проведения международного тендера, успешно продвигается с отбором фирмы по планированию и </w:t>
      </w:r>
      <w:r w:rsidRPr="00FB404F">
        <w:rPr>
          <w:lang w:val="ru-RU"/>
        </w:rPr>
        <w:t>проектированию (</w:t>
      </w:r>
      <w:r w:rsidR="00696CD7" w:rsidRPr="00FB404F">
        <w:rPr>
          <w:lang w:val="ru-RU"/>
        </w:rPr>
        <w:t>а</w:t>
      </w:r>
      <w:r w:rsidRPr="00FB404F">
        <w:rPr>
          <w:lang w:val="ru-RU"/>
        </w:rPr>
        <w:t>рхитект</w:t>
      </w:r>
      <w:r w:rsidR="00696CD7" w:rsidRPr="00FB404F">
        <w:rPr>
          <w:lang w:val="ru-RU"/>
        </w:rPr>
        <w:t>урно-инженерные компании</w:t>
      </w:r>
      <w:r w:rsidRPr="00FB404F">
        <w:rPr>
          <w:lang w:val="ru-RU"/>
        </w:rPr>
        <w:t>) и, как ожидается, завершит всю деятельность в конце марта 2025 года. Начальные мероприятия по проектированию официально завершены, и все финансовые обязательства окончательно согласованы. Процесс осуществляется своевременно и в рамках бюджета, определенного Советом.</w:t>
      </w:r>
    </w:p>
    <w:p w14:paraId="04D0C27B" w14:textId="77777777" w:rsidR="0086677D" w:rsidRPr="00FB404F" w:rsidRDefault="0086677D" w:rsidP="007337B0">
      <w:pPr>
        <w:jc w:val="both"/>
        <w:rPr>
          <w:rFonts w:asciiTheme="minorHAnsi" w:hAnsiTheme="minorHAnsi" w:cstheme="minorHAnsi"/>
          <w:szCs w:val="24"/>
          <w:lang w:val="ru-RU"/>
        </w:rPr>
      </w:pPr>
      <w:r w:rsidRPr="00FB404F">
        <w:rPr>
          <w:lang w:val="ru-RU"/>
        </w:rPr>
        <w:t>19.3</w:t>
      </w:r>
      <w:r w:rsidRPr="00FB404F">
        <w:rPr>
          <w:lang w:val="ru-RU"/>
        </w:rPr>
        <w:tab/>
        <w:t>Со швейцарскими властями по-прежнему поддерживаются прекрасные отношения, что способствует прогрессу в официальном изменении назначения кредита на сумму 150 млн. швейцарских франков.</w:t>
      </w:r>
    </w:p>
    <w:p w14:paraId="57C199C3" w14:textId="2A319370" w:rsidR="0086677D" w:rsidRPr="00FB404F" w:rsidRDefault="0086677D" w:rsidP="007337B0">
      <w:pPr>
        <w:jc w:val="both"/>
        <w:rPr>
          <w:rFonts w:asciiTheme="minorHAnsi" w:hAnsiTheme="minorHAnsi" w:cstheme="minorHAnsi"/>
          <w:szCs w:val="24"/>
          <w:lang w:val="ru-RU"/>
        </w:rPr>
      </w:pPr>
      <w:r w:rsidRPr="00FB404F">
        <w:rPr>
          <w:lang w:val="ru-RU"/>
        </w:rPr>
        <w:t>19.4</w:t>
      </w:r>
      <w:r w:rsidRPr="00FB404F">
        <w:rPr>
          <w:lang w:val="ru-RU"/>
        </w:rPr>
        <w:tab/>
        <w:t xml:space="preserve">Спонсорская поддержка: три из четырех первоначальных спонсоров подтвердили свое финансовое участие на первоначальном уровне этого проекта. Четвертый спонсор твердо привержен </w:t>
      </w:r>
      <w:r w:rsidR="00B13CA6" w:rsidRPr="00FB404F">
        <w:rPr>
          <w:lang w:val="ru-RU"/>
        </w:rPr>
        <w:t xml:space="preserve">проекту </w:t>
      </w:r>
      <w:r w:rsidRPr="00FB404F">
        <w:rPr>
          <w:lang w:val="ru-RU"/>
        </w:rPr>
        <w:t xml:space="preserve">и намерен увидеть, как проект будет развиваться, прежде чем принять окончательное решение. </w:t>
      </w:r>
    </w:p>
    <w:p w14:paraId="3934A6B5" w14:textId="29EF27C5" w:rsidR="0086677D" w:rsidRPr="0086677D" w:rsidRDefault="0086677D" w:rsidP="007337B0">
      <w:pPr>
        <w:jc w:val="both"/>
        <w:rPr>
          <w:rFonts w:asciiTheme="minorHAnsi" w:hAnsiTheme="minorHAnsi" w:cstheme="minorHAnsi"/>
          <w:szCs w:val="24"/>
          <w:lang w:val="ru-RU"/>
        </w:rPr>
      </w:pPr>
      <w:r w:rsidRPr="00FB404F">
        <w:rPr>
          <w:lang w:val="ru-RU"/>
        </w:rPr>
        <w:t>19.5</w:t>
      </w:r>
      <w:r w:rsidRPr="00FB404F">
        <w:rPr>
          <w:lang w:val="ru-RU"/>
        </w:rPr>
        <w:tab/>
        <w:t xml:space="preserve">Председатель КГГЧ </w:t>
      </w:r>
      <w:r w:rsidR="00696CD7" w:rsidRPr="00FB404F">
        <w:rPr>
          <w:lang w:val="ru-RU"/>
        </w:rPr>
        <w:t>представил устный отчет</w:t>
      </w:r>
      <w:r w:rsidRPr="00FB404F">
        <w:rPr>
          <w:lang w:val="ru-RU"/>
        </w:rPr>
        <w:t xml:space="preserve"> о ходе работы КГГЧ, поблагодарив </w:t>
      </w:r>
      <w:r w:rsidR="0090397F" w:rsidRPr="00FB404F">
        <w:rPr>
          <w:lang w:val="ru-RU"/>
        </w:rPr>
        <w:t>С</w:t>
      </w:r>
      <w:r w:rsidRPr="00FB404F">
        <w:rPr>
          <w:lang w:val="ru-RU"/>
        </w:rPr>
        <w:t>екретариат, проектную группу и коллег из КГГЧ за их вовлеченность в работу.</w:t>
      </w:r>
      <w:r>
        <w:rPr>
          <w:lang w:val="ru-RU"/>
        </w:rPr>
        <w:t xml:space="preserve"> При поддержке Советника МСЭ по правовым вопросам КГГЧ обновила свой круг ведения, в котором теперь содержатся усовершенствованные положения о требованиях к конфиденциальности, в особенности в части, касающейся закупочных процессов.</w:t>
      </w:r>
    </w:p>
    <w:p w14:paraId="33EC3191" w14:textId="0454F8C9" w:rsidR="0086677D" w:rsidRPr="0086677D" w:rsidRDefault="0086677D" w:rsidP="007337B0">
      <w:pPr>
        <w:pStyle w:val="Heading1"/>
        <w:jc w:val="both"/>
        <w:rPr>
          <w:b w:val="0"/>
          <w:lang w:val="ru-RU"/>
        </w:rPr>
      </w:pPr>
      <w:r>
        <w:rPr>
          <w:bCs/>
          <w:lang w:val="ru-RU"/>
        </w:rPr>
        <w:lastRenderedPageBreak/>
        <w:t>20</w:t>
      </w:r>
      <w:r>
        <w:rPr>
          <w:lang w:val="ru-RU"/>
        </w:rPr>
        <w:tab/>
      </w:r>
      <w:r>
        <w:rPr>
          <w:bCs/>
          <w:lang w:val="ru-RU"/>
        </w:rPr>
        <w:t xml:space="preserve">Первоначальный проект стратегического </w:t>
      </w:r>
      <w:r w:rsidRPr="00FB404F">
        <w:rPr>
          <w:bCs/>
          <w:lang w:val="ru-RU"/>
        </w:rPr>
        <w:t xml:space="preserve">плана </w:t>
      </w:r>
      <w:r w:rsidR="00696CD7" w:rsidRPr="00FB404F">
        <w:rPr>
          <w:bCs/>
          <w:lang w:val="ru-RU"/>
        </w:rPr>
        <w:t>в отношении комплекса зданий</w:t>
      </w:r>
      <w:r>
        <w:rPr>
          <w:bCs/>
          <w:lang w:val="ru-RU"/>
        </w:rPr>
        <w:t xml:space="preserve"> </w:t>
      </w:r>
      <w:r w:rsidR="00DE2DBD">
        <w:rPr>
          <w:bCs/>
          <w:lang w:val="ru-RU"/>
        </w:rPr>
        <w:t>−</w:t>
      </w:r>
      <w:r>
        <w:rPr>
          <w:bCs/>
          <w:lang w:val="ru-RU"/>
        </w:rPr>
        <w:t xml:space="preserve"> Документ </w:t>
      </w:r>
      <w:hyperlink r:id="rId46" w:history="1">
        <w:r w:rsidRPr="005C2E6F">
          <w:rPr>
            <w:rStyle w:val="Hyperlink"/>
            <w:bCs/>
          </w:rPr>
          <w:t>CWG-FHR-20/8</w:t>
        </w:r>
      </w:hyperlink>
      <w:r>
        <w:rPr>
          <w:bCs/>
          <w:lang w:val="ru-RU"/>
        </w:rPr>
        <w:t xml:space="preserve"> и </w:t>
      </w:r>
      <w:r w:rsidR="00673297">
        <w:rPr>
          <w:bCs/>
          <w:i/>
          <w:iCs/>
          <w:lang w:val="ru-RU"/>
        </w:rPr>
        <w:t>В</w:t>
      </w:r>
      <w:r>
        <w:rPr>
          <w:bCs/>
          <w:i/>
          <w:iCs/>
          <w:lang w:val="ru-RU"/>
        </w:rPr>
        <w:t>клад Группы стран:</w:t>
      </w:r>
      <w:r>
        <w:rPr>
          <w:bCs/>
          <w:lang w:val="ru-RU"/>
        </w:rPr>
        <w:t xml:space="preserve"> Предложения, касающиеся реализации альтернативного проекта нового здания штаб-квартиры МСЭ </w:t>
      </w:r>
      <w:r w:rsidR="00DE2DBD">
        <w:rPr>
          <w:bCs/>
          <w:lang w:val="ru-RU"/>
        </w:rPr>
        <w:t>−</w:t>
      </w:r>
      <w:r>
        <w:rPr>
          <w:bCs/>
          <w:lang w:val="ru-RU"/>
        </w:rPr>
        <w:t xml:space="preserve"> Документ </w:t>
      </w:r>
      <w:hyperlink r:id="rId47" w:history="1">
        <w:r w:rsidRPr="005C2E6F">
          <w:rPr>
            <w:rStyle w:val="Hyperlink"/>
            <w:bCs/>
          </w:rPr>
          <w:t>CWG-FHR-20/27</w:t>
        </w:r>
      </w:hyperlink>
    </w:p>
    <w:p w14:paraId="073649EB" w14:textId="69193FDE" w:rsidR="0086677D" w:rsidRPr="0086677D" w:rsidRDefault="0086677D" w:rsidP="007337B0">
      <w:pPr>
        <w:keepLines/>
        <w:jc w:val="both"/>
        <w:rPr>
          <w:lang w:val="ru-RU"/>
        </w:rPr>
      </w:pPr>
      <w:r>
        <w:rPr>
          <w:lang w:val="ru-RU"/>
        </w:rPr>
        <w:t>20.1</w:t>
      </w:r>
      <w:r>
        <w:rPr>
          <w:lang w:val="ru-RU"/>
        </w:rPr>
        <w:tab/>
        <w:t xml:space="preserve">Секретариат представил также Документ </w:t>
      </w:r>
      <w:hyperlink r:id="rId48" w:history="1">
        <w:r w:rsidRPr="005C2E6F">
          <w:rPr>
            <w:rStyle w:val="Hyperlink"/>
          </w:rPr>
          <w:t>CWG-FHR-20/8</w:t>
        </w:r>
      </w:hyperlink>
      <w:r>
        <w:rPr>
          <w:lang w:val="ru-RU"/>
        </w:rPr>
        <w:t xml:space="preserve">, в котором содержится первоначальный проект стратегического плана </w:t>
      </w:r>
      <w:r w:rsidR="00696CD7" w:rsidRPr="00696CD7">
        <w:rPr>
          <w:lang w:val="ru-RU"/>
        </w:rPr>
        <w:t>в отношении комплекса зданий</w:t>
      </w:r>
      <w:r>
        <w:rPr>
          <w:lang w:val="ru-RU"/>
        </w:rPr>
        <w:t xml:space="preserve">. Цель плана </w:t>
      </w:r>
      <w:r w:rsidR="00DE2DBD">
        <w:rPr>
          <w:lang w:val="ru-RU"/>
        </w:rPr>
        <w:t>−</w:t>
      </w:r>
      <w:r>
        <w:rPr>
          <w:lang w:val="ru-RU"/>
        </w:rPr>
        <w:t xml:space="preserve"> привести физическую среду организации в соответствие с е</w:t>
      </w:r>
      <w:r w:rsidR="00696CD7">
        <w:rPr>
          <w:lang w:val="ru-RU"/>
        </w:rPr>
        <w:t>е</w:t>
      </w:r>
      <w:r>
        <w:rPr>
          <w:lang w:val="ru-RU"/>
        </w:rPr>
        <w:t xml:space="preserve"> мандатом и стратегическими целями, обеспечив при этом устойчивое финансовое планирование и продуманное развитие.</w:t>
      </w:r>
    </w:p>
    <w:p w14:paraId="48BE5F5D" w14:textId="6CF94FA3" w:rsidR="0086677D" w:rsidRPr="0086677D" w:rsidRDefault="0086677D" w:rsidP="007337B0">
      <w:pPr>
        <w:jc w:val="both"/>
        <w:rPr>
          <w:rFonts w:asciiTheme="minorHAnsi" w:hAnsiTheme="minorHAnsi" w:cstheme="minorHAnsi"/>
          <w:szCs w:val="24"/>
          <w:lang w:val="ru-RU"/>
        </w:rPr>
      </w:pPr>
      <w:r>
        <w:rPr>
          <w:lang w:val="ru-RU"/>
        </w:rPr>
        <w:t>20.2</w:t>
      </w:r>
      <w:r>
        <w:rPr>
          <w:lang w:val="ru-RU"/>
        </w:rPr>
        <w:tab/>
        <w:t xml:space="preserve">Представитель РСС </w:t>
      </w:r>
      <w:r w:rsidR="00673297">
        <w:rPr>
          <w:lang w:val="ru-RU"/>
        </w:rPr>
        <w:t>презентовал</w:t>
      </w:r>
      <w:r>
        <w:rPr>
          <w:lang w:val="ru-RU"/>
        </w:rPr>
        <w:t xml:space="preserve"> вклад группы стран "Предложения, касающиеся реализации альтернативного проекта нового здания штаб-квартиры МСЭ".</w:t>
      </w:r>
    </w:p>
    <w:p w14:paraId="4A5D45F5" w14:textId="77777777" w:rsidR="0086677D" w:rsidRPr="0086677D" w:rsidRDefault="0086677D" w:rsidP="007337B0">
      <w:pPr>
        <w:jc w:val="both"/>
        <w:rPr>
          <w:rFonts w:asciiTheme="minorHAnsi" w:hAnsiTheme="minorHAnsi" w:cstheme="minorHAnsi"/>
          <w:szCs w:val="24"/>
          <w:lang w:val="ru-RU"/>
        </w:rPr>
      </w:pPr>
      <w:r>
        <w:rPr>
          <w:lang w:val="ru-RU"/>
        </w:rPr>
        <w:t>20.3</w:t>
      </w:r>
      <w:r>
        <w:rPr>
          <w:lang w:val="ru-RU"/>
        </w:rPr>
        <w:tab/>
        <w:t>Секретариат ответил на ряд вопросов делегаций:</w:t>
      </w:r>
    </w:p>
    <w:p w14:paraId="7751934E" w14:textId="77777777" w:rsidR="0086677D" w:rsidRPr="0086677D" w:rsidRDefault="0086677D" w:rsidP="007337B0">
      <w:pPr>
        <w:jc w:val="both"/>
        <w:rPr>
          <w:lang w:val="ru-RU"/>
        </w:rPr>
      </w:pPr>
      <w:r>
        <w:rPr>
          <w:lang w:val="ru-RU"/>
        </w:rPr>
        <w:t>20.4</w:t>
      </w:r>
      <w:r>
        <w:rPr>
          <w:lang w:val="ru-RU"/>
        </w:rPr>
        <w:tab/>
        <w:t>Один из делегатов, принимая во внимание обратную связь, полученную от технического эксперта из Германии, который оказывает поддержку КГГЧ, выразил признательность за проделанную работу и призвал МСЭ продолжать двигаться в этом верном направлении.</w:t>
      </w:r>
    </w:p>
    <w:p w14:paraId="0F8D063C" w14:textId="530B4A3F" w:rsidR="0086677D" w:rsidRPr="0086677D" w:rsidRDefault="0086677D" w:rsidP="007337B0">
      <w:pPr>
        <w:jc w:val="both"/>
        <w:rPr>
          <w:rFonts w:asciiTheme="minorHAnsi" w:hAnsiTheme="minorHAnsi" w:cstheme="minorHAnsi"/>
          <w:szCs w:val="24"/>
          <w:lang w:val="ru-RU"/>
        </w:rPr>
      </w:pPr>
      <w:r>
        <w:rPr>
          <w:lang w:val="ru-RU"/>
        </w:rPr>
        <w:t>20.5</w:t>
      </w:r>
      <w:r>
        <w:rPr>
          <w:lang w:val="ru-RU"/>
        </w:rPr>
        <w:tab/>
        <w:t xml:space="preserve">Один из делегатов выразил признательность за четкий проект стратегического плана </w:t>
      </w:r>
      <w:r w:rsidR="00696CD7" w:rsidRPr="00696CD7">
        <w:rPr>
          <w:lang w:val="ru-RU"/>
        </w:rPr>
        <w:t xml:space="preserve">в отношении комплекса зданий </w:t>
      </w:r>
      <w:r>
        <w:rPr>
          <w:lang w:val="ru-RU"/>
        </w:rPr>
        <w:t>и вклад группы стран, поскольку оба эти документ</w:t>
      </w:r>
      <w:r w:rsidR="00673297">
        <w:rPr>
          <w:lang w:val="ru-RU"/>
        </w:rPr>
        <w:t>а</w:t>
      </w:r>
      <w:r>
        <w:rPr>
          <w:lang w:val="ru-RU"/>
        </w:rPr>
        <w:t xml:space="preserve"> содержат четкий сигнал рассмотреть другие пути решения проблемы здания "Башня". Здание "Башня" может не только иметь ценность как капитальный актив, но и приносить доход. Таким образом, делегат подтверждает свое согласие </w:t>
      </w:r>
      <w:r w:rsidR="00673297">
        <w:rPr>
          <w:lang w:val="ru-RU"/>
        </w:rPr>
        <w:t>с дальнейшим изучением</w:t>
      </w:r>
      <w:r>
        <w:rPr>
          <w:lang w:val="ru-RU"/>
        </w:rPr>
        <w:t xml:space="preserve"> различных возможностей сохранения здания "Башня". Ссылаясь на вклады, представленные группами стран, делегат подтверждает, что после консультаций с рядом экспертов можно сделать вывод о том, что устойчивым решением могло быть стать автономное здание.</w:t>
      </w:r>
    </w:p>
    <w:p w14:paraId="3034D8AE" w14:textId="302AAA15" w:rsidR="0086677D" w:rsidRPr="0086677D" w:rsidRDefault="0086677D" w:rsidP="007337B0">
      <w:pPr>
        <w:jc w:val="both"/>
        <w:rPr>
          <w:rFonts w:asciiTheme="minorHAnsi" w:hAnsiTheme="minorHAnsi" w:cstheme="minorHAnsi"/>
          <w:szCs w:val="24"/>
          <w:lang w:val="ru-RU"/>
        </w:rPr>
      </w:pPr>
      <w:r>
        <w:rPr>
          <w:lang w:val="ru-RU"/>
        </w:rPr>
        <w:t>20.6</w:t>
      </w:r>
      <w:r>
        <w:rPr>
          <w:lang w:val="ru-RU"/>
        </w:rPr>
        <w:tab/>
        <w:t>Другой делегат поблагодарил Секретариат за проделанную работу и поинтересовался причинами задержки сроков проведения нового тендера на услуги</w:t>
      </w:r>
      <w:r w:rsidR="00673297">
        <w:rPr>
          <w:lang w:val="ru-RU"/>
        </w:rPr>
        <w:t xml:space="preserve"> проектного управления</w:t>
      </w:r>
      <w:r>
        <w:rPr>
          <w:lang w:val="ru-RU"/>
        </w:rPr>
        <w:t xml:space="preserve">. </w:t>
      </w:r>
      <w:r w:rsidR="00673297">
        <w:rPr>
          <w:lang w:val="ru-RU"/>
        </w:rPr>
        <w:t>Была высказана просьба</w:t>
      </w:r>
      <w:r>
        <w:rPr>
          <w:lang w:val="ru-RU"/>
        </w:rPr>
        <w:t xml:space="preserve"> указывать, в каком именно квартале будет начат тендер. </w:t>
      </w:r>
    </w:p>
    <w:p w14:paraId="76695D7B" w14:textId="456206B5" w:rsidR="0086677D" w:rsidRPr="0086677D" w:rsidRDefault="0086677D" w:rsidP="007337B0">
      <w:pPr>
        <w:jc w:val="both"/>
        <w:rPr>
          <w:rFonts w:asciiTheme="minorHAnsi" w:hAnsiTheme="minorHAnsi" w:cstheme="minorHAnsi"/>
          <w:szCs w:val="24"/>
          <w:lang w:val="ru-RU"/>
        </w:rPr>
      </w:pPr>
      <w:r>
        <w:rPr>
          <w:lang w:val="ru-RU"/>
        </w:rPr>
        <w:t>20.7</w:t>
      </w:r>
      <w:r>
        <w:rPr>
          <w:lang w:val="ru-RU"/>
        </w:rPr>
        <w:tab/>
        <w:t xml:space="preserve">Другой делегат также поблагодарил </w:t>
      </w:r>
      <w:r w:rsidR="0090397F">
        <w:rPr>
          <w:lang w:val="ru-RU"/>
        </w:rPr>
        <w:t>С</w:t>
      </w:r>
      <w:r>
        <w:rPr>
          <w:lang w:val="ru-RU"/>
        </w:rPr>
        <w:t>екретариат за обновленную информацию, отметив, что он признателен за то, что следующий этап этого проекта реализуется в соответствии с Решением Совета. Снижение платы за услуги управления проектом со стороны поставщика было воспринято положительно. Делегаты поддерживают направление сэкономленных средств из уже выделенных средств в резервный фонд нового проекта, а также приветствуют любые новости от властей Швейцарии, касающиеся изменения назначения кредита.</w:t>
      </w:r>
    </w:p>
    <w:p w14:paraId="43342275" w14:textId="3E09E652" w:rsidR="0086677D" w:rsidRPr="0086677D" w:rsidRDefault="0086677D" w:rsidP="007337B0">
      <w:pPr>
        <w:jc w:val="both"/>
        <w:rPr>
          <w:rFonts w:asciiTheme="minorHAnsi" w:hAnsiTheme="minorHAnsi" w:cstheme="minorHAnsi"/>
          <w:szCs w:val="24"/>
          <w:lang w:val="ru-RU"/>
        </w:rPr>
      </w:pPr>
      <w:r>
        <w:rPr>
          <w:lang w:val="ru-RU"/>
        </w:rPr>
        <w:t>20.8</w:t>
      </w:r>
      <w:r>
        <w:rPr>
          <w:lang w:val="ru-RU"/>
        </w:rPr>
        <w:tab/>
        <w:t xml:space="preserve">Один из делегатов высоко оценил все приложенные МСЭ к настоящему момент усилия и подготовку </w:t>
      </w:r>
      <w:r w:rsidR="0090397F">
        <w:rPr>
          <w:lang w:val="ru-RU"/>
        </w:rPr>
        <w:t>С</w:t>
      </w:r>
      <w:r>
        <w:rPr>
          <w:lang w:val="ru-RU"/>
        </w:rPr>
        <w:t xml:space="preserve">екретариатом первоначального проекта стратегического плана </w:t>
      </w:r>
      <w:r w:rsidR="00696CD7" w:rsidRPr="00696CD7">
        <w:rPr>
          <w:lang w:val="ru-RU"/>
        </w:rPr>
        <w:t>в отношении комплекса зданий</w:t>
      </w:r>
      <w:r>
        <w:rPr>
          <w:lang w:val="ru-RU"/>
        </w:rPr>
        <w:t>. Это очень содержательный документ, так как в нем содержатся предложения, рекомендации и план дальнейших действий. Требуется уточнение относительно стоимости активов здания "Башня"</w:t>
      </w:r>
      <w:r w:rsidR="00673297">
        <w:rPr>
          <w:lang w:val="ru-RU"/>
        </w:rPr>
        <w:t>:</w:t>
      </w:r>
      <w:r>
        <w:rPr>
          <w:lang w:val="ru-RU"/>
        </w:rPr>
        <w:t xml:space="preserve"> рассматривает ли по-прежнему кантон Женева возможность сохранения "Башни" в качестве знакового здания? Если да, может ли это иметь какие-либо последствия для потенциальной продажи здания "Башня"?</w:t>
      </w:r>
    </w:p>
    <w:p w14:paraId="421AB633" w14:textId="5D34A67B" w:rsidR="0086677D" w:rsidRPr="0086677D" w:rsidRDefault="0086677D" w:rsidP="007337B0">
      <w:pPr>
        <w:jc w:val="both"/>
        <w:rPr>
          <w:rFonts w:asciiTheme="minorHAnsi" w:hAnsiTheme="minorHAnsi" w:cstheme="minorHAnsi"/>
          <w:szCs w:val="24"/>
          <w:lang w:val="ru-RU"/>
        </w:rPr>
      </w:pPr>
      <w:r>
        <w:rPr>
          <w:lang w:val="ru-RU"/>
        </w:rPr>
        <w:t>20.9</w:t>
      </w:r>
      <w:r>
        <w:rPr>
          <w:lang w:val="ru-RU"/>
        </w:rPr>
        <w:tab/>
        <w:t xml:space="preserve">Один из делегатов поблагодарил </w:t>
      </w:r>
      <w:r w:rsidR="0090397F">
        <w:rPr>
          <w:lang w:val="ru-RU"/>
        </w:rPr>
        <w:t>С</w:t>
      </w:r>
      <w:r>
        <w:rPr>
          <w:lang w:val="ru-RU"/>
        </w:rPr>
        <w:t>екретариат за этот очень содержательный документ и за невероятный объем работы и усилий, приложенных для достижения прогресса на этом направлении. Вопрос касается происхождения оценок стоимости здания "Башня" и возможности его сохранения/ремонта и сдачи этажей в кратко-</w:t>
      </w:r>
      <w:r w:rsidR="00B13CA6" w:rsidRPr="00B13CA6">
        <w:rPr>
          <w:lang w:val="ru-RU"/>
        </w:rPr>
        <w:t>/</w:t>
      </w:r>
      <w:r>
        <w:rPr>
          <w:lang w:val="ru-RU"/>
        </w:rPr>
        <w:t>долгосрочную аренду.</w:t>
      </w:r>
    </w:p>
    <w:p w14:paraId="15CC9840" w14:textId="02E7C94B" w:rsidR="0086677D" w:rsidRPr="00FA206E" w:rsidRDefault="0086677D" w:rsidP="007337B0">
      <w:pPr>
        <w:jc w:val="both"/>
        <w:rPr>
          <w:rFonts w:asciiTheme="minorHAnsi" w:hAnsiTheme="minorHAnsi" w:cstheme="minorHAnsi"/>
          <w:szCs w:val="24"/>
          <w:lang w:val="ru-RU"/>
        </w:rPr>
      </w:pPr>
      <w:r>
        <w:rPr>
          <w:lang w:val="ru-RU"/>
        </w:rPr>
        <w:t>20.10</w:t>
      </w:r>
      <w:r>
        <w:rPr>
          <w:lang w:val="ru-RU"/>
        </w:rPr>
        <w:tab/>
        <w:t>Еще один делегат выразил признательность за положительный прогресс, достигнутый Секретариатом и КГГЧ в реализации проекта строительства здания штаб-квартиры, и просил предоставить подробную информацию о</w:t>
      </w:r>
      <w:r w:rsidR="00673297">
        <w:rPr>
          <w:lang w:val="ru-RU"/>
        </w:rPr>
        <w:t xml:space="preserve">б утвержденной </w:t>
      </w:r>
      <w:r>
        <w:rPr>
          <w:lang w:val="ru-RU"/>
        </w:rPr>
        <w:t xml:space="preserve">для проекта стратегии управления рисками и мерах по смягчению последствий. Необходимо заблаговременно провести </w:t>
      </w:r>
      <w:r>
        <w:rPr>
          <w:lang w:val="ru-RU"/>
        </w:rPr>
        <w:lastRenderedPageBreak/>
        <w:t>обсуждение вопроса о продаже зданий "Башня" или "Монбрийан" и финансовых последствий этих действий, с тем чтобы ПК-26 располагала подробной информации.</w:t>
      </w:r>
    </w:p>
    <w:p w14:paraId="64F97AEE" w14:textId="20A7478A" w:rsidR="0086677D" w:rsidRPr="00FA206E" w:rsidRDefault="0086677D" w:rsidP="007337B0">
      <w:pPr>
        <w:jc w:val="both"/>
        <w:rPr>
          <w:rFonts w:asciiTheme="minorHAnsi" w:hAnsiTheme="minorHAnsi" w:cstheme="minorHAnsi"/>
          <w:b/>
          <w:bCs/>
          <w:szCs w:val="24"/>
          <w:lang w:val="ru-RU"/>
        </w:rPr>
      </w:pPr>
      <w:r>
        <w:rPr>
          <w:lang w:val="ru-RU"/>
        </w:rPr>
        <w:t>20.11</w:t>
      </w:r>
      <w:r>
        <w:rPr>
          <w:lang w:val="ru-RU"/>
        </w:rPr>
        <w:tab/>
        <w:t xml:space="preserve">Еще один делегат поблагодарил </w:t>
      </w:r>
      <w:r w:rsidR="0090397F">
        <w:rPr>
          <w:lang w:val="ru-RU"/>
        </w:rPr>
        <w:t>С</w:t>
      </w:r>
      <w:r>
        <w:rPr>
          <w:lang w:val="ru-RU"/>
        </w:rPr>
        <w:t xml:space="preserve">екретариат за прекрасный документ, содержащий стратегический план </w:t>
      </w:r>
      <w:r w:rsidR="00696CD7" w:rsidRPr="00696CD7">
        <w:rPr>
          <w:lang w:val="ru-RU"/>
        </w:rPr>
        <w:t>в отношении комплекса зданий</w:t>
      </w:r>
      <w:r>
        <w:rPr>
          <w:lang w:val="ru-RU"/>
        </w:rPr>
        <w:t xml:space="preserve">, и также подчеркнул необходимость включения в стратегию развития </w:t>
      </w:r>
      <w:r w:rsidR="00696CD7">
        <w:rPr>
          <w:lang w:val="ru-RU"/>
        </w:rPr>
        <w:t>комплекса зданий</w:t>
      </w:r>
      <w:r>
        <w:rPr>
          <w:lang w:val="ru-RU"/>
        </w:rPr>
        <w:t xml:space="preserve"> раздела об управлении рисками. Делегат сослался на </w:t>
      </w:r>
      <w:r w:rsidR="00060FBD">
        <w:rPr>
          <w:lang w:val="ru-RU"/>
        </w:rPr>
        <w:t xml:space="preserve">отчет об аудиторской проверке </w:t>
      </w:r>
      <w:r>
        <w:rPr>
          <w:lang w:val="ru-RU"/>
        </w:rPr>
        <w:t xml:space="preserve">финансовой </w:t>
      </w:r>
      <w:r w:rsidR="00060FBD">
        <w:rPr>
          <w:lang w:val="ru-RU"/>
        </w:rPr>
        <w:t xml:space="preserve">отчетности за </w:t>
      </w:r>
      <w:r>
        <w:rPr>
          <w:lang w:val="ru-RU"/>
        </w:rPr>
        <w:t>2021 год, подготовленный предыдущими внешними аудиторами, где были рассмотрены соответствующие аспекты, связанные с темой здания "Башня".</w:t>
      </w:r>
    </w:p>
    <w:p w14:paraId="51EDF8B1" w14:textId="4C703E84" w:rsidR="0086677D" w:rsidRPr="0086677D" w:rsidRDefault="0086677D" w:rsidP="007337B0">
      <w:pPr>
        <w:pStyle w:val="Heading1"/>
        <w:jc w:val="both"/>
        <w:rPr>
          <w:lang w:val="ru-RU"/>
        </w:rPr>
      </w:pPr>
      <w:r>
        <w:rPr>
          <w:bCs/>
          <w:lang w:val="ru-RU"/>
        </w:rPr>
        <w:t>21</w:t>
      </w:r>
      <w:r>
        <w:rPr>
          <w:lang w:val="ru-RU"/>
        </w:rPr>
        <w:tab/>
      </w:r>
      <w:r w:rsidR="00673297">
        <w:rPr>
          <w:bCs/>
          <w:lang w:val="ru-RU"/>
        </w:rPr>
        <w:t>Решения для</w:t>
      </w:r>
      <w:r>
        <w:rPr>
          <w:bCs/>
          <w:lang w:val="ru-RU"/>
        </w:rPr>
        <w:t xml:space="preserve"> обеспечения непрерывности деятельности для собраний МСЭ в 2028−2029</w:t>
      </w:r>
      <w:r w:rsidR="005C2E6F">
        <w:rPr>
          <w:bCs/>
        </w:rPr>
        <w:t> </w:t>
      </w:r>
      <w:r>
        <w:rPr>
          <w:bCs/>
          <w:lang w:val="ru-RU"/>
        </w:rPr>
        <w:t xml:space="preserve">годах </w:t>
      </w:r>
      <w:r w:rsidR="00DE2DBD">
        <w:rPr>
          <w:bCs/>
          <w:lang w:val="ru-RU"/>
        </w:rPr>
        <w:t>−</w:t>
      </w:r>
      <w:r>
        <w:rPr>
          <w:bCs/>
          <w:lang w:val="ru-RU"/>
        </w:rPr>
        <w:t xml:space="preserve"> Документ </w:t>
      </w:r>
      <w:hyperlink r:id="rId49" w:history="1">
        <w:r w:rsidRPr="005C2E6F">
          <w:rPr>
            <w:rStyle w:val="Hyperlink"/>
            <w:bCs/>
          </w:rPr>
          <w:t>CWG-FHR-20/9</w:t>
        </w:r>
      </w:hyperlink>
      <w:r>
        <w:rPr>
          <w:bCs/>
          <w:lang w:val="ru-RU"/>
        </w:rPr>
        <w:t xml:space="preserve"> и обновленная информация об организации собраний МСЭ в Международном центре конференций в Женеве (МЦКЖ) </w:t>
      </w:r>
      <w:r w:rsidR="00DE2DBD">
        <w:rPr>
          <w:bCs/>
          <w:lang w:val="ru-RU"/>
        </w:rPr>
        <w:t>−</w:t>
      </w:r>
      <w:r>
        <w:rPr>
          <w:bCs/>
          <w:lang w:val="ru-RU"/>
        </w:rPr>
        <w:t xml:space="preserve"> Документ </w:t>
      </w:r>
      <w:hyperlink r:id="rId50" w:history="1">
        <w:r w:rsidRPr="005C2E6F">
          <w:rPr>
            <w:rStyle w:val="Hyperlink"/>
            <w:bCs/>
          </w:rPr>
          <w:t>CWG-FHR-20/INF/2</w:t>
        </w:r>
      </w:hyperlink>
    </w:p>
    <w:p w14:paraId="316A7E49" w14:textId="5FAA5461" w:rsidR="0086677D" w:rsidRPr="0086677D" w:rsidRDefault="0086677D" w:rsidP="007337B0">
      <w:pPr>
        <w:jc w:val="both"/>
        <w:rPr>
          <w:rFonts w:asciiTheme="minorHAnsi" w:hAnsiTheme="minorHAnsi" w:cstheme="minorHAnsi"/>
          <w:szCs w:val="24"/>
          <w:lang w:val="ru-RU"/>
        </w:rPr>
      </w:pPr>
      <w:r>
        <w:rPr>
          <w:lang w:val="ru-RU"/>
        </w:rPr>
        <w:t>21.1</w:t>
      </w:r>
      <w:r>
        <w:rPr>
          <w:lang w:val="ru-RU"/>
        </w:rPr>
        <w:tab/>
        <w:t xml:space="preserve">В Документе CWG-FHR-20/9 представлены решения для обеспечения непрерывности деятельности для проведения собраний МСЭ в 2028 и 2029 годах в соответствии с этапами проекта, изложенными в приложении к Решению 640 по проекту нового здания "Варембе", в котором в качестве первого года выполнения проекта определен 2028 год. Три основных варианта решений заключаются в проведении собраний МСЭ в период 2028–2029 годов в Palexpo в Женеве, в одном или </w:t>
      </w:r>
      <w:r w:rsidRPr="00FB404F">
        <w:rPr>
          <w:lang w:val="ru-RU"/>
        </w:rPr>
        <w:t xml:space="preserve">нескольких </w:t>
      </w:r>
      <w:r w:rsidR="00673297" w:rsidRPr="00FB404F">
        <w:rPr>
          <w:lang w:val="ru-RU"/>
        </w:rPr>
        <w:t xml:space="preserve">центрах </w:t>
      </w:r>
      <w:r w:rsidRPr="00FB404F">
        <w:rPr>
          <w:lang w:val="ru-RU"/>
        </w:rPr>
        <w:t>проведения собраний МСЭ,</w:t>
      </w:r>
      <w:r>
        <w:rPr>
          <w:lang w:val="ru-RU"/>
        </w:rPr>
        <w:t xml:space="preserve"> при этом чтобы организатором выступало одно из Государств-Члено</w:t>
      </w:r>
      <w:r w:rsidR="00673297">
        <w:rPr>
          <w:lang w:val="ru-RU"/>
        </w:rPr>
        <w:t>в</w:t>
      </w:r>
      <w:r>
        <w:rPr>
          <w:lang w:val="ru-RU"/>
        </w:rPr>
        <w:t>, или полностью в виртуальном формате. Возможно также объединение всех этих вариантов, хотя это было бы затруднительно с точки зрения логистики. В этом контексте был упомянут Документ CWG-FHR-20/INF/2 об организации собраний МСЭ в Международном центре конференций в Женеве (МЦКЖ), поскольку в 2028 году МЦКЖ не будет доступен в связи с запланированным ремонтом.</w:t>
      </w:r>
    </w:p>
    <w:p w14:paraId="5D7B8425" w14:textId="4D4B0EB9" w:rsidR="0086677D" w:rsidRPr="0086677D" w:rsidRDefault="0086677D" w:rsidP="007337B0">
      <w:pPr>
        <w:jc w:val="both"/>
        <w:rPr>
          <w:rFonts w:asciiTheme="minorHAnsi" w:hAnsiTheme="minorHAnsi" w:cstheme="minorHAnsi"/>
          <w:szCs w:val="24"/>
          <w:lang w:val="ru-RU"/>
        </w:rPr>
      </w:pPr>
      <w:r>
        <w:rPr>
          <w:lang w:val="ru-RU"/>
        </w:rPr>
        <w:t>21.2</w:t>
      </w:r>
      <w:r>
        <w:rPr>
          <w:lang w:val="ru-RU"/>
        </w:rPr>
        <w:tab/>
        <w:t xml:space="preserve">Делегаты приветствовали своевременность этого документа и обсудили относительные преимущества каждого из возможных решений. Ряд делегатов высказались за проведение всех собраний в Женеве, просив представить более подробную информацию о </w:t>
      </w:r>
      <w:r w:rsidR="00673297">
        <w:rPr>
          <w:lang w:val="ru-RU"/>
        </w:rPr>
        <w:t>стоимости</w:t>
      </w:r>
      <w:r>
        <w:rPr>
          <w:lang w:val="ru-RU"/>
        </w:rPr>
        <w:t xml:space="preserve"> аренды Palexpo, а также изучить возможность использования конференц</w:t>
      </w:r>
      <w:r w:rsidR="00673297">
        <w:rPr>
          <w:lang w:val="ru-RU"/>
        </w:rPr>
        <w:t xml:space="preserve">ионной инфраструктуры </w:t>
      </w:r>
      <w:r>
        <w:rPr>
          <w:lang w:val="ru-RU"/>
        </w:rPr>
        <w:t xml:space="preserve">в других международных организациях. Один из делегатов высказался в поддержку варианта, предполагающего </w:t>
      </w:r>
      <w:r w:rsidR="00673297">
        <w:rPr>
          <w:lang w:val="ru-RU"/>
        </w:rPr>
        <w:t xml:space="preserve">создание </w:t>
      </w:r>
      <w:r w:rsidR="00060FBD">
        <w:rPr>
          <w:lang w:val="ru-RU"/>
        </w:rPr>
        <w:t xml:space="preserve">центров </w:t>
      </w:r>
      <w:r>
        <w:rPr>
          <w:lang w:val="ru-RU"/>
        </w:rPr>
        <w:t>проведения собраний. Ряд делегатов просили, чтобы при оценке целесообразности проведения собраний полностью в виртуальном формате принимался во внимание характер конкретных мероприятий, отметив, в частности, что виртуальные собрания должны быть ограничены по времени. Делегаты обсудили возможность комбинирования нескольких решений и просили составить классификацию или обзор всех мероприятий МСЭ с точки зрения форматов, требований и продолжительности, чтобы оценить целесообразность каждого из возможных решений для каждого из собраний, включая соответствующие финансовые затраты. Один из делегатов задал вопрос о том, следует ли также обсудить места проведения собраний в 2030–2031 годах, поскольку строительство нового здания "Варембе" будет завершено только в 2031 году, и отметил, что при анализе концепции, предполагающей организацию</w:t>
      </w:r>
      <w:r w:rsidR="00673297">
        <w:rPr>
          <w:lang w:val="ru-RU"/>
        </w:rPr>
        <w:t xml:space="preserve"> </w:t>
      </w:r>
      <w:r w:rsidR="00060FBD">
        <w:rPr>
          <w:lang w:val="ru-RU"/>
        </w:rPr>
        <w:t xml:space="preserve">центров </w:t>
      </w:r>
      <w:r>
        <w:rPr>
          <w:lang w:val="ru-RU"/>
        </w:rPr>
        <w:t xml:space="preserve">проведения собраний </w:t>
      </w:r>
      <w:r w:rsidR="00060FBD">
        <w:rPr>
          <w:lang w:val="ru-RU"/>
        </w:rPr>
        <w:t>МСЭ</w:t>
      </w:r>
      <w:r>
        <w:rPr>
          <w:lang w:val="ru-RU"/>
        </w:rPr>
        <w:t xml:space="preserve">, важно принимать во внимание благополучие персонала. Еще один делегат просил включить план обеспечения непрерывности деятельности для собраний в более широкую стратегию обеспечения непрерывности деятельности для проекта нового здания. </w:t>
      </w:r>
    </w:p>
    <w:p w14:paraId="6689602C" w14:textId="77777777" w:rsidR="0086677D" w:rsidRPr="0086677D" w:rsidRDefault="0086677D" w:rsidP="007337B0">
      <w:pPr>
        <w:jc w:val="both"/>
        <w:rPr>
          <w:rFonts w:asciiTheme="minorHAnsi" w:hAnsiTheme="minorHAnsi" w:cstheme="minorHAnsi"/>
          <w:szCs w:val="24"/>
          <w:lang w:val="ru-RU"/>
        </w:rPr>
      </w:pPr>
      <w:r>
        <w:rPr>
          <w:lang w:val="ru-RU"/>
        </w:rPr>
        <w:t>21.3</w:t>
      </w:r>
      <w:r>
        <w:rPr>
          <w:lang w:val="ru-RU"/>
        </w:rPr>
        <w:tab/>
        <w:t>Один из делегатов подтвердил готовность страны, в которой располагается штаб-квартира МСЭ, оказывать ему поддержку на время ремонта МЦКЖ в пределах имеющихся ресурсов и в зависимости от результатов дальнейшего обсуждения на федеральном уровне по вопросу о поддержке международных организаций.</w:t>
      </w:r>
    </w:p>
    <w:p w14:paraId="3F3B64EE" w14:textId="613E2722" w:rsidR="0086677D" w:rsidRPr="0086677D" w:rsidRDefault="0086677D" w:rsidP="007337B0">
      <w:pPr>
        <w:jc w:val="both"/>
        <w:rPr>
          <w:rFonts w:asciiTheme="minorHAnsi" w:hAnsiTheme="minorHAnsi" w:cstheme="minorHAnsi"/>
          <w:spacing w:val="-2"/>
          <w:szCs w:val="24"/>
          <w:lang w:val="ru-RU"/>
        </w:rPr>
      </w:pPr>
      <w:r>
        <w:rPr>
          <w:lang w:val="ru-RU"/>
        </w:rPr>
        <w:lastRenderedPageBreak/>
        <w:t>21.4</w:t>
      </w:r>
      <w:r>
        <w:rPr>
          <w:lang w:val="ru-RU"/>
        </w:rPr>
        <w:tab/>
        <w:t>Секретариат принял к сведению обеспокоенность делегатов по поводу проведения полностью виртуальных собраний и просьбу представить более подробную классификацию собраний. МСЭ регулярно обращается к другим международным организациям, расположенным в Женеве, включая ЮНОГ, с запросами о наличии помещений для собраний, однако ни одна из организаций не в состоянии предложить достаточно</w:t>
      </w:r>
      <w:r w:rsidR="00673297">
        <w:rPr>
          <w:lang w:val="ru-RU"/>
        </w:rPr>
        <w:t>го</w:t>
      </w:r>
      <w:r>
        <w:rPr>
          <w:lang w:val="ru-RU"/>
        </w:rPr>
        <w:t xml:space="preserve"> пространства для полного графика мероприятий МСЭ или гарантировать своевременное предоставление помещений </w:t>
      </w:r>
      <w:r w:rsidR="00673297">
        <w:rPr>
          <w:lang w:val="ru-RU"/>
        </w:rPr>
        <w:t>под</w:t>
      </w:r>
      <w:r>
        <w:rPr>
          <w:lang w:val="ru-RU"/>
        </w:rPr>
        <w:t xml:space="preserve"> конкретны</w:t>
      </w:r>
      <w:r w:rsidR="00673297">
        <w:rPr>
          <w:lang w:val="ru-RU"/>
        </w:rPr>
        <w:t>е</w:t>
      </w:r>
      <w:r>
        <w:rPr>
          <w:lang w:val="ru-RU"/>
        </w:rPr>
        <w:t xml:space="preserve"> собрани</w:t>
      </w:r>
      <w:r w:rsidR="00673297">
        <w:rPr>
          <w:lang w:val="ru-RU"/>
        </w:rPr>
        <w:t>я</w:t>
      </w:r>
      <w:r>
        <w:rPr>
          <w:lang w:val="ru-RU"/>
        </w:rPr>
        <w:t xml:space="preserve">. Ввиду непредсказуемости, обусловленной необходимостью планировать </w:t>
      </w:r>
      <w:r w:rsidR="00673297">
        <w:rPr>
          <w:lang w:val="ru-RU"/>
        </w:rPr>
        <w:t>собрания</w:t>
      </w:r>
      <w:r>
        <w:rPr>
          <w:lang w:val="ru-RU"/>
        </w:rPr>
        <w:t xml:space="preserve"> с учетом соображений бюджета и потребностей членов МСЭ, а также крайне ограниченной доступности помещений у других организаций, Palexpo остается единственным реалистичным вариантом для проведения мероприятий в Женеве. Тем не менее, переговоры с ЮНОГ будут продолжены. В 2030 и 2031 годах, хотя строительство нового здания "Варембе" еще не будет завершено, должны быть доступны для использования конференц-залы в зданиях "Монбрийан" и "Башня", а также ограниченное пространство в МЦКЖ, в котором к этому моменту завершится запланированный ремонт.</w:t>
      </w:r>
    </w:p>
    <w:p w14:paraId="649BDC58" w14:textId="6850E440" w:rsidR="0086677D" w:rsidRPr="0086677D" w:rsidRDefault="0086677D" w:rsidP="007337B0">
      <w:pPr>
        <w:keepLines/>
        <w:jc w:val="both"/>
        <w:rPr>
          <w:rFonts w:asciiTheme="minorHAnsi" w:hAnsiTheme="minorHAnsi" w:cstheme="minorHAnsi"/>
          <w:szCs w:val="24"/>
          <w:lang w:val="ru-RU"/>
        </w:rPr>
      </w:pPr>
      <w:r>
        <w:rPr>
          <w:lang w:val="ru-RU"/>
        </w:rPr>
        <w:t>21.5</w:t>
      </w:r>
      <w:r>
        <w:rPr>
          <w:lang w:val="ru-RU"/>
        </w:rPr>
        <w:tab/>
        <w:t>Заместитель Генерального секретаря приветствовал представленные делегатами предложения и подтвердил, что более подробная информация будет представлена в соответствии с запросом Совету МСЭ на его сессии в 2025 году, на которо</w:t>
      </w:r>
      <w:r w:rsidR="00374F56">
        <w:rPr>
          <w:lang w:val="ru-RU"/>
        </w:rPr>
        <w:t>й</w:t>
      </w:r>
      <w:r>
        <w:rPr>
          <w:lang w:val="ru-RU"/>
        </w:rPr>
        <w:t xml:space="preserve"> </w:t>
      </w:r>
      <w:r w:rsidR="0090397F">
        <w:rPr>
          <w:lang w:val="ru-RU"/>
        </w:rPr>
        <w:t>С</w:t>
      </w:r>
      <w:r>
        <w:rPr>
          <w:lang w:val="ru-RU"/>
        </w:rPr>
        <w:t>екретариат будет просить предоставить четкие руководящие указания по дальнейшим действиям для обеспечения непрерывности работы собраний, включая приемлемость различных возможных решений и любого связанного с этим распределения бюджета, отметив, что вариант, предполагающий аренду Palexpo, потребует принятия финансовых обязательств до конца 2025 года.</w:t>
      </w:r>
    </w:p>
    <w:p w14:paraId="4A610CA9" w14:textId="05CCAD91" w:rsidR="0086677D" w:rsidRPr="0086677D" w:rsidRDefault="0086677D" w:rsidP="007337B0">
      <w:pPr>
        <w:jc w:val="both"/>
        <w:rPr>
          <w:rFonts w:asciiTheme="minorHAnsi" w:hAnsiTheme="minorHAnsi" w:cstheme="minorHAnsi"/>
          <w:szCs w:val="24"/>
          <w:lang w:val="ru-RU"/>
        </w:rPr>
      </w:pPr>
      <w:r>
        <w:rPr>
          <w:lang w:val="ru-RU"/>
        </w:rPr>
        <w:t>21.6</w:t>
      </w:r>
      <w:r>
        <w:rPr>
          <w:lang w:val="ru-RU"/>
        </w:rPr>
        <w:tab/>
        <w:t>Председатель предложил</w:t>
      </w:r>
      <w:r w:rsidR="0090397F">
        <w:rPr>
          <w:lang w:val="ru-RU"/>
        </w:rPr>
        <w:t>а</w:t>
      </w:r>
      <w:r>
        <w:rPr>
          <w:lang w:val="ru-RU"/>
        </w:rPr>
        <w:t xml:space="preserve"> </w:t>
      </w:r>
      <w:r w:rsidR="0090397F">
        <w:rPr>
          <w:lang w:val="ru-RU"/>
        </w:rPr>
        <w:t>С</w:t>
      </w:r>
      <w:r>
        <w:rPr>
          <w:lang w:val="ru-RU"/>
        </w:rPr>
        <w:t>екретариату представить Совету на его сессии в июне 2025 года подробный отчет с сопоставлением собраний и вариантов их проведения.</w:t>
      </w:r>
    </w:p>
    <w:p w14:paraId="082F906E" w14:textId="657768CD" w:rsidR="0086677D" w:rsidRPr="0086677D" w:rsidRDefault="0086677D" w:rsidP="007337B0">
      <w:pPr>
        <w:pStyle w:val="Heading1"/>
        <w:jc w:val="both"/>
        <w:rPr>
          <w:lang w:val="ru-RU"/>
        </w:rPr>
      </w:pPr>
      <w:r>
        <w:rPr>
          <w:bCs/>
          <w:lang w:val="ru-RU"/>
        </w:rPr>
        <w:t>22</w:t>
      </w:r>
      <w:r>
        <w:rPr>
          <w:lang w:val="ru-RU"/>
        </w:rPr>
        <w:tab/>
      </w:r>
      <w:r>
        <w:rPr>
          <w:bCs/>
          <w:lang w:val="ru-RU"/>
        </w:rPr>
        <w:t xml:space="preserve">Вклад Швейцарии </w:t>
      </w:r>
      <w:r w:rsidR="00DE2DBD">
        <w:rPr>
          <w:bCs/>
          <w:lang w:val="ru-RU"/>
        </w:rPr>
        <w:t>−</w:t>
      </w:r>
      <w:r>
        <w:rPr>
          <w:bCs/>
          <w:lang w:val="ru-RU"/>
        </w:rPr>
        <w:t xml:space="preserve"> Обеспечение возобновления нормального отчетного цикла для финансовой отчетности за 2024 год </w:t>
      </w:r>
      <w:r w:rsidR="00DE2DBD">
        <w:rPr>
          <w:bCs/>
          <w:lang w:val="ru-RU"/>
        </w:rPr>
        <w:t>−</w:t>
      </w:r>
      <w:r>
        <w:rPr>
          <w:bCs/>
          <w:lang w:val="ru-RU"/>
        </w:rPr>
        <w:t xml:space="preserve"> Документ </w:t>
      </w:r>
      <w:hyperlink r:id="rId51" w:history="1">
        <w:r w:rsidRPr="005C2E6F">
          <w:rPr>
            <w:rStyle w:val="Hyperlink"/>
            <w:bCs/>
          </w:rPr>
          <w:t>CWG-FHR-20/18</w:t>
        </w:r>
      </w:hyperlink>
    </w:p>
    <w:p w14:paraId="23C4880E" w14:textId="60998D43" w:rsidR="0086677D" w:rsidRPr="0086677D" w:rsidRDefault="0086677D" w:rsidP="007337B0">
      <w:pPr>
        <w:jc w:val="both"/>
        <w:rPr>
          <w:rFonts w:asciiTheme="minorHAnsi" w:hAnsiTheme="minorHAnsi" w:cstheme="minorHAnsi"/>
          <w:szCs w:val="24"/>
          <w:lang w:val="ru-RU"/>
        </w:rPr>
      </w:pPr>
      <w:r>
        <w:rPr>
          <w:lang w:val="ru-RU"/>
        </w:rPr>
        <w:t>22.1</w:t>
      </w:r>
      <w:r>
        <w:rPr>
          <w:lang w:val="ru-RU"/>
        </w:rPr>
        <w:tab/>
        <w:t xml:space="preserve">Швейцария представила Документ </w:t>
      </w:r>
      <w:hyperlink r:id="rId52" w:history="1">
        <w:r w:rsidRPr="005C2E6F">
          <w:rPr>
            <w:rStyle w:val="Hyperlink"/>
          </w:rPr>
          <w:t>CWG-FHR-20/18</w:t>
        </w:r>
      </w:hyperlink>
      <w:r w:rsidR="00374F56">
        <w:rPr>
          <w:lang w:val="ru-RU"/>
        </w:rPr>
        <w:t xml:space="preserve"> </w:t>
      </w:r>
      <w:r w:rsidR="00DE2DBD">
        <w:rPr>
          <w:lang w:val="ru-RU"/>
        </w:rPr>
        <w:t>−</w:t>
      </w:r>
      <w:r w:rsidR="00374F56">
        <w:rPr>
          <w:lang w:val="ru-RU"/>
        </w:rPr>
        <w:t xml:space="preserve"> </w:t>
      </w:r>
      <w:r>
        <w:rPr>
          <w:lang w:val="ru-RU"/>
        </w:rPr>
        <w:t>"Обеспечение возобновления нормального отчетного цикла для финансовой отчетности за 2024 год".</w:t>
      </w:r>
    </w:p>
    <w:p w14:paraId="45A44E7D" w14:textId="77777777" w:rsidR="0086677D" w:rsidRPr="0086677D" w:rsidRDefault="0086677D" w:rsidP="007337B0">
      <w:pPr>
        <w:jc w:val="both"/>
        <w:rPr>
          <w:rFonts w:asciiTheme="minorHAnsi" w:hAnsiTheme="minorHAnsi" w:cstheme="minorHAnsi"/>
          <w:szCs w:val="24"/>
          <w:lang w:val="ru-RU"/>
        </w:rPr>
      </w:pPr>
      <w:r>
        <w:rPr>
          <w:lang w:val="ru-RU"/>
        </w:rPr>
        <w:t>22.2</w:t>
      </w:r>
      <w:r>
        <w:rPr>
          <w:lang w:val="ru-RU"/>
        </w:rPr>
        <w:tab/>
        <w:t>В документе подчеркивается важность обеспечения возвращения МСЭ к регулярному циклу представления финансовой отчетности в отношении отчетности за 2024 год. Швейцария выражает обеспокоенность в связи с тем, что Совет не смог эффективно выполнять свою роль по своевременному надзору за финансами Союза в 2022 и 2023 годах, главным образом из-за отсутствия необходимых документов. Ситуацию необходимо исправить, чтобы обеспечить нормальный цикл отчетности по финансовой отчетности за 2024 год, что имеет важнейшее значение для поддержания надлежащего финансового надзора.</w:t>
      </w:r>
    </w:p>
    <w:p w14:paraId="4B63DD3D" w14:textId="77777777" w:rsidR="0086677D" w:rsidRPr="0086677D" w:rsidRDefault="0086677D" w:rsidP="007337B0">
      <w:pPr>
        <w:jc w:val="both"/>
        <w:rPr>
          <w:rFonts w:asciiTheme="minorHAnsi" w:hAnsiTheme="minorHAnsi" w:cstheme="minorHAnsi"/>
          <w:szCs w:val="24"/>
          <w:lang w:val="ru-RU"/>
        </w:rPr>
      </w:pPr>
      <w:r>
        <w:rPr>
          <w:lang w:val="ru-RU"/>
        </w:rPr>
        <w:t>22.3</w:t>
      </w:r>
      <w:r>
        <w:rPr>
          <w:lang w:val="ru-RU"/>
        </w:rPr>
        <w:tab/>
        <w:t>Швейцария предложила Председателю РГС-ФЛР обратиться к внешнему аудитору с официальным запросом представить полный и окончательный отчет о финансовой отчетности за 2024 год не позднее чем за четырнадцать дней до сессии Совета 2025 года. Кроме того, Генеральному секретарю следует сотрудничать с внешними аудиторами, чтобы уложиться в эти сроки.</w:t>
      </w:r>
    </w:p>
    <w:p w14:paraId="512B401B" w14:textId="77777777" w:rsidR="0086677D" w:rsidRPr="0086677D" w:rsidRDefault="0086677D" w:rsidP="007337B0">
      <w:pPr>
        <w:jc w:val="both"/>
        <w:rPr>
          <w:rFonts w:asciiTheme="minorHAnsi" w:hAnsiTheme="minorHAnsi" w:cstheme="minorHAnsi"/>
          <w:b/>
          <w:bCs/>
          <w:szCs w:val="24"/>
          <w:lang w:val="ru-RU"/>
        </w:rPr>
      </w:pPr>
      <w:r>
        <w:rPr>
          <w:lang w:val="ru-RU"/>
        </w:rPr>
        <w:t xml:space="preserve">22.4 </w:t>
      </w:r>
      <w:r>
        <w:rPr>
          <w:lang w:val="ru-RU"/>
        </w:rPr>
        <w:tab/>
        <w:t>Вклад Швейцарии получил большую поддержку со стороны делегатов. Руководство подтвердило приверженность МСЭ совершенствованию и своевременному представлению документов, а также подтвердило, что подготовка финансовой отчетности идет согласно графику, чтобы аудиторский отчет мог быть опубликован в соответствии с запросом.</w:t>
      </w:r>
      <w:bookmarkStart w:id="10" w:name="_Hlk191478880"/>
    </w:p>
    <w:p w14:paraId="03472893" w14:textId="423E2FDD" w:rsidR="0086677D" w:rsidRPr="00FA206E" w:rsidRDefault="0086677D" w:rsidP="007337B0">
      <w:pPr>
        <w:pStyle w:val="Heading1"/>
        <w:jc w:val="both"/>
        <w:rPr>
          <w:rFonts w:asciiTheme="minorHAnsi" w:hAnsiTheme="minorHAnsi" w:cstheme="minorHAnsi"/>
          <w:szCs w:val="28"/>
          <w:lang w:val="ru-RU"/>
        </w:rPr>
      </w:pPr>
      <w:r>
        <w:rPr>
          <w:bCs/>
          <w:lang w:val="ru-RU"/>
        </w:rPr>
        <w:lastRenderedPageBreak/>
        <w:t>23</w:t>
      </w:r>
      <w:r>
        <w:rPr>
          <w:lang w:val="ru-RU"/>
        </w:rPr>
        <w:tab/>
      </w:r>
      <w:r>
        <w:rPr>
          <w:bCs/>
          <w:lang w:val="ru-RU"/>
        </w:rPr>
        <w:t xml:space="preserve">Исполнение бюджета на 2024 год </w:t>
      </w:r>
      <w:r w:rsidR="00DE2DBD">
        <w:rPr>
          <w:bCs/>
          <w:lang w:val="ru-RU"/>
        </w:rPr>
        <w:t>−</w:t>
      </w:r>
      <w:r>
        <w:rPr>
          <w:bCs/>
          <w:lang w:val="ru-RU"/>
        </w:rPr>
        <w:t xml:space="preserve"> Документ </w:t>
      </w:r>
      <w:hyperlink r:id="rId53" w:history="1">
        <w:r w:rsidRPr="005C2E6F">
          <w:rPr>
            <w:rStyle w:val="Hyperlink"/>
            <w:bCs/>
          </w:rPr>
          <w:t>CWG-FHR-20/14</w:t>
        </w:r>
      </w:hyperlink>
    </w:p>
    <w:bookmarkEnd w:id="10"/>
    <w:p w14:paraId="5BEC3DEE" w14:textId="77777777" w:rsidR="0086677D" w:rsidRPr="0086677D" w:rsidRDefault="0086677D" w:rsidP="007337B0">
      <w:pPr>
        <w:jc w:val="both"/>
        <w:rPr>
          <w:lang w:val="ru-RU"/>
        </w:rPr>
      </w:pPr>
      <w:r>
        <w:rPr>
          <w:lang w:val="ru-RU"/>
        </w:rPr>
        <w:t>23.1</w:t>
      </w:r>
      <w:r>
        <w:rPr>
          <w:lang w:val="ru-RU"/>
        </w:rPr>
        <w:tab/>
        <w:t>Секретариат представил Документ CWG-FHR-20/14.</w:t>
      </w:r>
    </w:p>
    <w:p w14:paraId="1110CBF3" w14:textId="4114C07C" w:rsidR="0086677D" w:rsidRPr="00C37930" w:rsidRDefault="0086677D" w:rsidP="007337B0">
      <w:pPr>
        <w:jc w:val="both"/>
        <w:rPr>
          <w:rFonts w:asciiTheme="minorHAnsi" w:eastAsia="SimHei" w:hAnsiTheme="minorHAnsi" w:cstheme="minorHAnsi"/>
          <w:szCs w:val="24"/>
          <w:lang w:val="ru-RU"/>
        </w:rPr>
      </w:pPr>
      <w:r w:rsidRPr="00C37930">
        <w:rPr>
          <w:lang w:val="ru-RU"/>
        </w:rPr>
        <w:t>23.2</w:t>
      </w:r>
      <w:r w:rsidRPr="00C37930">
        <w:rPr>
          <w:lang w:val="ru-RU"/>
        </w:rPr>
        <w:tab/>
        <w:t xml:space="preserve">В настоящем отчете приводится прогноз исполнения бюджета на 2024 год, а также содержатся рекомендации, которые </w:t>
      </w:r>
      <w:r w:rsidR="0090397F" w:rsidRPr="00C37930">
        <w:rPr>
          <w:lang w:val="ru-RU"/>
        </w:rPr>
        <w:t>С</w:t>
      </w:r>
      <w:r w:rsidRPr="00C37930">
        <w:rPr>
          <w:lang w:val="ru-RU"/>
        </w:rPr>
        <w:t>екретариат представит Совету на сессии 2025 года относительно распределения ожидаемого положительного сальдо.</w:t>
      </w:r>
    </w:p>
    <w:p w14:paraId="4C6CF6C1" w14:textId="6D5DFB92" w:rsidR="0086677D" w:rsidRPr="00C37930" w:rsidRDefault="0086677D" w:rsidP="007337B0">
      <w:pPr>
        <w:jc w:val="both"/>
        <w:rPr>
          <w:rFonts w:asciiTheme="minorHAnsi" w:hAnsiTheme="minorHAnsi" w:cstheme="minorHAnsi"/>
          <w:bCs/>
          <w:szCs w:val="24"/>
          <w:lang w:val="ru-RU"/>
        </w:rPr>
      </w:pPr>
      <w:r w:rsidRPr="00C37930">
        <w:rPr>
          <w:lang w:val="ru-RU"/>
        </w:rPr>
        <w:t>23.3</w:t>
      </w:r>
      <w:r w:rsidRPr="00C37930">
        <w:rPr>
          <w:lang w:val="ru-RU"/>
        </w:rPr>
        <w:tab/>
        <w:t xml:space="preserve">По состоянию на 14 февраля 2025 года предварительный ожидаемый результат за 2024 год составляет +5,6 млн. швейцарских франков, что соответствует ожидаемому </w:t>
      </w:r>
      <w:r w:rsidR="00060FBD" w:rsidRPr="00C37930">
        <w:rPr>
          <w:lang w:val="ru-RU"/>
        </w:rPr>
        <w:t>активному сальдо</w:t>
      </w:r>
      <w:r w:rsidRPr="00C37930">
        <w:rPr>
          <w:lang w:val="ru-RU"/>
        </w:rPr>
        <w:t xml:space="preserve"> в размере 3,43% бюджета на 2024 год.</w:t>
      </w:r>
    </w:p>
    <w:p w14:paraId="0B431CEA" w14:textId="77777777" w:rsidR="0086677D" w:rsidRPr="00C37930" w:rsidRDefault="0086677D" w:rsidP="007337B0">
      <w:pPr>
        <w:jc w:val="both"/>
        <w:rPr>
          <w:rFonts w:asciiTheme="minorHAnsi" w:hAnsiTheme="minorHAnsi" w:cstheme="minorHAnsi"/>
          <w:szCs w:val="24"/>
          <w:lang w:val="ru-RU"/>
        </w:rPr>
      </w:pPr>
      <w:r w:rsidRPr="00C37930">
        <w:rPr>
          <w:lang w:val="ru-RU"/>
        </w:rPr>
        <w:t>23.4</w:t>
      </w:r>
      <w:r w:rsidRPr="00C37930">
        <w:rPr>
          <w:lang w:val="ru-RU"/>
        </w:rPr>
        <w:tab/>
        <w:t>Освоение бюджета по расходам составляет 94,60%, в то время как поступления, как ожидается, достигнут 98,02% запланированного объема.</w:t>
      </w:r>
    </w:p>
    <w:p w14:paraId="28B8E579" w14:textId="42107D4D" w:rsidR="0086677D" w:rsidRPr="00C37930" w:rsidRDefault="0086677D" w:rsidP="007337B0">
      <w:pPr>
        <w:jc w:val="both"/>
        <w:rPr>
          <w:rFonts w:asciiTheme="minorHAnsi" w:hAnsiTheme="minorHAnsi" w:cstheme="minorHAnsi"/>
          <w:szCs w:val="24"/>
          <w:lang w:val="ru-RU"/>
        </w:rPr>
      </w:pPr>
      <w:r w:rsidRPr="00C37930">
        <w:rPr>
          <w:lang w:val="ru-RU"/>
        </w:rPr>
        <w:t>23.5</w:t>
      </w:r>
      <w:r w:rsidRPr="00C37930">
        <w:rPr>
          <w:lang w:val="ru-RU"/>
        </w:rPr>
        <w:tab/>
      </w:r>
      <w:r w:rsidR="00374F56" w:rsidRPr="00C37930">
        <w:rPr>
          <w:lang w:val="ru-RU"/>
        </w:rPr>
        <w:t>Переоценка балансовой стоимости денежных средств и их эквивалентов будет производиться вне рамок исполнения бюджета и не окажет влияния на его результат.</w:t>
      </w:r>
    </w:p>
    <w:p w14:paraId="584809BA" w14:textId="11A49538" w:rsidR="0086677D" w:rsidRPr="0086677D" w:rsidRDefault="0086677D" w:rsidP="007337B0">
      <w:pPr>
        <w:jc w:val="both"/>
        <w:rPr>
          <w:rFonts w:asciiTheme="minorHAnsi" w:hAnsiTheme="minorHAnsi" w:cstheme="minorHAnsi"/>
          <w:szCs w:val="24"/>
          <w:lang w:val="ru-RU"/>
        </w:rPr>
      </w:pPr>
      <w:r w:rsidRPr="00C37930">
        <w:rPr>
          <w:lang w:val="ru-RU"/>
        </w:rPr>
        <w:t>23.6</w:t>
      </w:r>
      <w:r w:rsidRPr="00C37930">
        <w:rPr>
          <w:lang w:val="ru-RU"/>
        </w:rPr>
        <w:tab/>
        <w:t xml:space="preserve">Секретариат ранее информировал Членов о сложной финансовой ситуации, в которой находится МСЭ в связи с вопросами финансирования его деятельности и обеспечения </w:t>
      </w:r>
      <w:r w:rsidR="00B13CA6" w:rsidRPr="00C37930">
        <w:rPr>
          <w:lang w:val="ru-RU"/>
        </w:rPr>
        <w:t>благо</w:t>
      </w:r>
      <w:r w:rsidRPr="00C37930">
        <w:rPr>
          <w:lang w:val="ru-RU"/>
        </w:rPr>
        <w:t xml:space="preserve">разумного управления ресурсами. </w:t>
      </w:r>
      <w:r w:rsidR="00060FBD" w:rsidRPr="00C37930">
        <w:rPr>
          <w:lang w:val="ru-RU"/>
        </w:rPr>
        <w:t>Активное</w:t>
      </w:r>
      <w:r w:rsidRPr="00C37930">
        <w:rPr>
          <w:lang w:val="ru-RU"/>
        </w:rPr>
        <w:t xml:space="preserve"> сальдо за 2024 год указывает не на избыточность ресурсов, а на сокращение расходов и конструктивное управление средствами для целей обеспечения дополнительного финансирования ключевых направлений деятельности, финансируемых в недостаточной степени. Секретариат намерен предложить на сессии Совета, чтобы МСЭ использовал этот результат для финансирования ключевых приоритетов организации на предстоящие годы. Подробные предложения, включая обоснования и дополнительные сведения о конкретных расходах, будут представлены Совету на его сессии 2025 года, но на данном этапе, учитывая существующие ограничения в бюджете МСЭ на 2025 год, Секретариат ожидает, что будет просить Совет разрешить Генеральному секретарю </w:t>
      </w:r>
      <w:r w:rsidR="00374F56" w:rsidRPr="00C37930">
        <w:rPr>
          <w:lang w:val="ru-RU"/>
        </w:rPr>
        <w:t xml:space="preserve">осуществить следующее распределение </w:t>
      </w:r>
      <w:r w:rsidR="00B13CA6" w:rsidRPr="00C37930">
        <w:rPr>
          <w:lang w:val="ru-RU"/>
        </w:rPr>
        <w:t>активного сальдо бюджета</w:t>
      </w:r>
      <w:r w:rsidR="00374F56" w:rsidRPr="00C37930">
        <w:rPr>
          <w:lang w:val="ru-RU"/>
        </w:rPr>
        <w:t xml:space="preserve"> за 2024 год</w:t>
      </w:r>
      <w:r w:rsidRPr="00C37930">
        <w:rPr>
          <w:lang w:val="ru-RU"/>
        </w:rPr>
        <w:t>:</w:t>
      </w:r>
    </w:p>
    <w:p w14:paraId="5EAA1C4E" w14:textId="0C9B2B58" w:rsidR="0086677D" w:rsidRPr="008657E0" w:rsidRDefault="00374F56" w:rsidP="007337B0">
      <w:pPr>
        <w:pStyle w:val="Headingb"/>
        <w:jc w:val="both"/>
        <w:rPr>
          <w:lang w:val="ru-RU"/>
        </w:rPr>
      </w:pPr>
      <w:r>
        <w:rPr>
          <w:lang w:val="ru-RU"/>
        </w:rPr>
        <w:t>Резюме</w:t>
      </w:r>
      <w:r w:rsidR="0086677D">
        <w:rPr>
          <w:lang w:val="ru-RU"/>
        </w:rPr>
        <w:t xml:space="preserve"> предложения</w:t>
      </w:r>
    </w:p>
    <w:p w14:paraId="394805CE" w14:textId="254098B3" w:rsidR="00033830" w:rsidRPr="00861D01" w:rsidRDefault="00861D01" w:rsidP="007337B0">
      <w:pPr>
        <w:jc w:val="center"/>
        <w:rPr>
          <w:lang w:val="ru-RU"/>
        </w:rPr>
      </w:pPr>
      <w:r w:rsidRPr="00861D01">
        <w:rPr>
          <w:noProof/>
        </w:rPr>
        <w:drawing>
          <wp:inline distT="0" distB="0" distL="0" distR="0" wp14:anchorId="2EE86A93" wp14:editId="39977B54">
            <wp:extent cx="5760085" cy="1950720"/>
            <wp:effectExtent l="0" t="0" r="0" b="0"/>
            <wp:docPr id="493564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085" cy="1950720"/>
                    </a:xfrm>
                    <a:prstGeom prst="rect">
                      <a:avLst/>
                    </a:prstGeom>
                    <a:noFill/>
                    <a:ln>
                      <a:noFill/>
                    </a:ln>
                  </pic:spPr>
                </pic:pic>
              </a:graphicData>
            </a:graphic>
          </wp:inline>
        </w:drawing>
      </w:r>
    </w:p>
    <w:p w14:paraId="3EBD3C8E" w14:textId="3E123D81" w:rsidR="0086677D" w:rsidRPr="0086677D" w:rsidRDefault="0086677D" w:rsidP="007337B0">
      <w:pPr>
        <w:jc w:val="both"/>
        <w:rPr>
          <w:lang w:val="ru-RU"/>
        </w:rPr>
      </w:pPr>
      <w:r>
        <w:rPr>
          <w:lang w:val="ru-RU"/>
        </w:rPr>
        <w:t>23.7</w:t>
      </w:r>
      <w:r>
        <w:rPr>
          <w:lang w:val="ru-RU"/>
        </w:rPr>
        <w:tab/>
        <w:t>РГС-ФЛР приняла к сведению этот документ и сочла, что данный вопрос подлежит обсуждению на следующей сессии Совета в июне 2025 года</w:t>
      </w:r>
      <w:r w:rsidR="00033830">
        <w:rPr>
          <w:lang w:val="ru-RU"/>
        </w:rPr>
        <w:t>.</w:t>
      </w:r>
    </w:p>
    <w:p w14:paraId="7CC8EDA5" w14:textId="198080ED" w:rsidR="0086677D" w:rsidRPr="0086677D" w:rsidRDefault="0086677D" w:rsidP="007337B0">
      <w:pPr>
        <w:pStyle w:val="Heading1"/>
        <w:jc w:val="both"/>
        <w:rPr>
          <w:b w:val="0"/>
          <w:lang w:val="ru-RU"/>
        </w:rPr>
      </w:pPr>
      <w:r>
        <w:rPr>
          <w:bCs/>
          <w:lang w:val="ru-RU"/>
        </w:rPr>
        <w:t>24</w:t>
      </w:r>
      <w:r>
        <w:rPr>
          <w:lang w:val="ru-RU"/>
        </w:rPr>
        <w:tab/>
      </w:r>
      <w:r>
        <w:rPr>
          <w:bCs/>
          <w:lang w:val="ru-RU"/>
        </w:rPr>
        <w:t xml:space="preserve">Вклад Южно-Африканской Республики </w:t>
      </w:r>
      <w:r w:rsidR="00DE2DBD">
        <w:rPr>
          <w:bCs/>
          <w:lang w:val="ru-RU"/>
        </w:rPr>
        <w:t>−</w:t>
      </w:r>
      <w:r>
        <w:rPr>
          <w:bCs/>
          <w:lang w:val="ru-RU"/>
        </w:rPr>
        <w:t xml:space="preserve"> Представление и рассмотрение финансовой отчетности за 2024 год </w:t>
      </w:r>
      <w:r w:rsidR="00DE2DBD">
        <w:rPr>
          <w:bCs/>
          <w:lang w:val="ru-RU"/>
        </w:rPr>
        <w:t>−</w:t>
      </w:r>
      <w:r>
        <w:rPr>
          <w:bCs/>
          <w:lang w:val="ru-RU"/>
        </w:rPr>
        <w:t xml:space="preserve"> Документ </w:t>
      </w:r>
      <w:hyperlink r:id="rId55" w:history="1">
        <w:r w:rsidRPr="005C2E6F">
          <w:rPr>
            <w:rStyle w:val="Hyperlink"/>
            <w:bCs/>
          </w:rPr>
          <w:t>CWG-FHR-20/25</w:t>
        </w:r>
      </w:hyperlink>
    </w:p>
    <w:p w14:paraId="4351DFE2" w14:textId="62853A21" w:rsidR="0086677D" w:rsidRPr="0086677D" w:rsidRDefault="0086677D" w:rsidP="007337B0">
      <w:pPr>
        <w:jc w:val="both"/>
        <w:rPr>
          <w:lang w:val="ru-RU"/>
        </w:rPr>
      </w:pPr>
      <w:r>
        <w:rPr>
          <w:lang w:val="ru-RU"/>
        </w:rPr>
        <w:t>24.1</w:t>
      </w:r>
      <w:r>
        <w:rPr>
          <w:lang w:val="ru-RU"/>
        </w:rPr>
        <w:tab/>
        <w:t xml:space="preserve">Южно-Африканская Республика представила Документ </w:t>
      </w:r>
      <w:hyperlink r:id="rId56" w:history="1">
        <w:r w:rsidRPr="005C2E6F">
          <w:rPr>
            <w:rStyle w:val="Hyperlink"/>
          </w:rPr>
          <w:t>CWG-FHR-20/25</w:t>
        </w:r>
      </w:hyperlink>
      <w:r>
        <w:rPr>
          <w:lang w:val="ru-RU"/>
        </w:rPr>
        <w:t xml:space="preserve"> – Представление и рассмотрение финансовой отчетности за 2024 год.</w:t>
      </w:r>
    </w:p>
    <w:p w14:paraId="3706AE34" w14:textId="6C808A92" w:rsidR="0086677D" w:rsidRPr="00374F56" w:rsidRDefault="0086677D" w:rsidP="007337B0">
      <w:pPr>
        <w:jc w:val="both"/>
        <w:rPr>
          <w:szCs w:val="24"/>
          <w:lang w:val="ru-RU"/>
        </w:rPr>
      </w:pPr>
      <w:r>
        <w:rPr>
          <w:lang w:val="ru-RU"/>
        </w:rPr>
        <w:lastRenderedPageBreak/>
        <w:t>24.2</w:t>
      </w:r>
      <w:r>
        <w:rPr>
          <w:lang w:val="ru-RU"/>
        </w:rPr>
        <w:tab/>
        <w:t xml:space="preserve">В документе подчеркивается необходимость возвращения МСЭ к своему стандартному отчетному циклу для финансовой отчетности за 2024 год, </w:t>
      </w:r>
      <w:r w:rsidR="00374F56">
        <w:rPr>
          <w:lang w:val="ru-RU"/>
        </w:rPr>
        <w:t>что обеспечит</w:t>
      </w:r>
      <w:r>
        <w:rPr>
          <w:lang w:val="ru-RU"/>
        </w:rPr>
        <w:t xml:space="preserve"> </w:t>
      </w:r>
      <w:r w:rsidR="00374F56" w:rsidRPr="00374F56">
        <w:rPr>
          <w:lang w:val="ru-RU"/>
        </w:rPr>
        <w:t>всесторонн</w:t>
      </w:r>
      <w:r w:rsidR="00C37930">
        <w:rPr>
          <w:lang w:val="ru-RU"/>
        </w:rPr>
        <w:t>ее</w:t>
      </w:r>
      <w:r w:rsidR="00374F56" w:rsidRPr="00374F56">
        <w:rPr>
          <w:lang w:val="ru-RU"/>
        </w:rPr>
        <w:t xml:space="preserve"> </w:t>
      </w:r>
      <w:r w:rsidR="00C37930">
        <w:rPr>
          <w:lang w:val="ru-RU"/>
        </w:rPr>
        <w:t xml:space="preserve">рассмотрение </w:t>
      </w:r>
      <w:r w:rsidR="00374F56" w:rsidRPr="0074176F">
        <w:rPr>
          <w:lang w:val="ru-RU"/>
        </w:rPr>
        <w:t xml:space="preserve">и </w:t>
      </w:r>
      <w:r w:rsidR="00374F56" w:rsidRPr="00C37930">
        <w:rPr>
          <w:lang w:val="ru-RU"/>
        </w:rPr>
        <w:t>прозрачное управление</w:t>
      </w:r>
      <w:r w:rsidR="00374F56" w:rsidRPr="0074176F">
        <w:rPr>
          <w:lang w:val="ru-RU"/>
        </w:rPr>
        <w:t>.</w:t>
      </w:r>
    </w:p>
    <w:p w14:paraId="1655D736" w14:textId="50FE1DC3" w:rsidR="0086677D" w:rsidRPr="0086677D" w:rsidRDefault="0086677D" w:rsidP="007337B0">
      <w:pPr>
        <w:jc w:val="both"/>
        <w:rPr>
          <w:szCs w:val="24"/>
          <w:lang w:val="ru-RU"/>
        </w:rPr>
      </w:pPr>
      <w:r>
        <w:rPr>
          <w:lang w:val="ru-RU"/>
        </w:rPr>
        <w:t>24.3</w:t>
      </w:r>
      <w:r>
        <w:rPr>
          <w:lang w:val="ru-RU"/>
        </w:rPr>
        <w:tab/>
        <w:t>В связи с этим Рабочей группе Совета по финансовым и людским ресурсам предлагается оценить финансовую отчетность за 2024 год, прежде чем она будет представлена для окончательного утверждения на обычной сессии Совета МСЭ в 2025 году. Эт</w:t>
      </w:r>
      <w:r w:rsidR="00C37930">
        <w:rPr>
          <w:lang w:val="ru-RU"/>
        </w:rPr>
        <w:t>о</w:t>
      </w:r>
      <w:r>
        <w:rPr>
          <w:lang w:val="ru-RU"/>
        </w:rPr>
        <w:t xml:space="preserve"> </w:t>
      </w:r>
      <w:r w:rsidR="00C37930">
        <w:rPr>
          <w:lang w:val="ru-RU"/>
        </w:rPr>
        <w:t xml:space="preserve">рассмотрение </w:t>
      </w:r>
      <w:r>
        <w:rPr>
          <w:lang w:val="ru-RU"/>
        </w:rPr>
        <w:t>имеет жизненно важное значение для обеспечения эффективного финансового надзора, подотчетности и прозрачности в организации.</w:t>
      </w:r>
    </w:p>
    <w:p w14:paraId="762DEFAE" w14:textId="2D2C860B" w:rsidR="0086677D" w:rsidRPr="0086677D" w:rsidRDefault="0086677D" w:rsidP="007337B0">
      <w:pPr>
        <w:jc w:val="both"/>
        <w:rPr>
          <w:szCs w:val="24"/>
          <w:lang w:val="ru-RU"/>
        </w:rPr>
      </w:pPr>
      <w:r>
        <w:rPr>
          <w:lang w:val="ru-RU"/>
        </w:rPr>
        <w:t>24.4</w:t>
      </w:r>
      <w:r>
        <w:rPr>
          <w:lang w:val="ru-RU"/>
        </w:rPr>
        <w:tab/>
        <w:t xml:space="preserve">Ряд делегатов выразили обеспокоенность в связи с задержкой в представлении заключительного отчета об аудиторской проверке, </w:t>
      </w:r>
      <w:r w:rsidR="001C4BB8">
        <w:rPr>
          <w:lang w:val="ru-RU"/>
        </w:rPr>
        <w:t>поскольку это</w:t>
      </w:r>
      <w:r>
        <w:rPr>
          <w:lang w:val="ru-RU"/>
        </w:rPr>
        <w:t xml:space="preserve"> ограничивает способность Совета в полной мере работать с материалами и подрывает, таким образом, эффективность финансового надзора и управления.</w:t>
      </w:r>
    </w:p>
    <w:p w14:paraId="5B50E7D6" w14:textId="77777777" w:rsidR="0086677D" w:rsidRPr="0086677D" w:rsidRDefault="0086677D" w:rsidP="007337B0">
      <w:pPr>
        <w:jc w:val="both"/>
        <w:rPr>
          <w:szCs w:val="24"/>
          <w:lang w:val="ru-RU"/>
        </w:rPr>
      </w:pPr>
      <w:r>
        <w:rPr>
          <w:lang w:val="ru-RU"/>
        </w:rPr>
        <w:t>24.5</w:t>
      </w:r>
      <w:r>
        <w:rPr>
          <w:lang w:val="ru-RU"/>
        </w:rPr>
        <w:tab/>
        <w:t>Секретариат выразил признательность делегатам за их замечания и готовность рассматривать любые возможные решения, которые могли бы повысить прозрачность всех финансовых документов, и подчеркнул, что финансовая отчетность и заключительный аудиторский отчет также представляются членам IMAC и обсуждаются с ними до сессии Совета. Секретариат предложил возобновить проведение во время Совета информационной сессии с внешними аудиторами, чтобы обеспечить прямой диалог по результатам аудита.</w:t>
      </w:r>
    </w:p>
    <w:p w14:paraId="49DADFDF" w14:textId="4D38863B" w:rsidR="0086677D" w:rsidRPr="0086677D" w:rsidRDefault="0086677D" w:rsidP="007337B0">
      <w:pPr>
        <w:jc w:val="both"/>
        <w:rPr>
          <w:lang w:val="ru-RU"/>
        </w:rPr>
      </w:pPr>
      <w:r>
        <w:rPr>
          <w:lang w:val="ru-RU"/>
        </w:rPr>
        <w:t>24.6</w:t>
      </w:r>
      <w:r>
        <w:rPr>
          <w:lang w:val="ru-RU"/>
        </w:rPr>
        <w:tab/>
        <w:t>В качестве дальнейшего шага и принимая во внимание широкую поддержку, которую получил этот вклад, Председатель настоятельно призвал</w:t>
      </w:r>
      <w:r w:rsidR="001C4BB8">
        <w:rPr>
          <w:lang w:val="ru-RU"/>
        </w:rPr>
        <w:t>а</w:t>
      </w:r>
      <w:r>
        <w:rPr>
          <w:lang w:val="ru-RU"/>
        </w:rPr>
        <w:t xml:space="preserve"> </w:t>
      </w:r>
      <w:r w:rsidR="0090397F">
        <w:rPr>
          <w:lang w:val="ru-RU"/>
        </w:rPr>
        <w:t>С</w:t>
      </w:r>
      <w:r>
        <w:rPr>
          <w:lang w:val="ru-RU"/>
        </w:rPr>
        <w:t>екретариат организовать после публикации заключительного аудиторского отчета и до следующей сессии Совета виртуальное собрание РГС-ФЛР для дальнейшего обсуждения финансовых документов.</w:t>
      </w:r>
    </w:p>
    <w:p w14:paraId="6CCB53C3" w14:textId="6F19E33A" w:rsidR="0086677D" w:rsidRPr="0086677D" w:rsidRDefault="0086677D" w:rsidP="007337B0">
      <w:pPr>
        <w:pStyle w:val="Heading1"/>
        <w:jc w:val="both"/>
        <w:rPr>
          <w:lang w:val="ru-RU"/>
        </w:rPr>
      </w:pPr>
      <w:r>
        <w:rPr>
          <w:bCs/>
          <w:lang w:val="ru-RU"/>
        </w:rPr>
        <w:t>25</w:t>
      </w:r>
      <w:r>
        <w:rPr>
          <w:lang w:val="ru-RU"/>
        </w:rPr>
        <w:tab/>
      </w:r>
      <w:r>
        <w:rPr>
          <w:bCs/>
          <w:lang w:val="ru-RU"/>
        </w:rPr>
        <w:t xml:space="preserve">Продление мандата Внешнего аудитора </w:t>
      </w:r>
      <w:r w:rsidR="00DE2DBD">
        <w:rPr>
          <w:bCs/>
          <w:lang w:val="ru-RU"/>
        </w:rPr>
        <w:t>−</w:t>
      </w:r>
      <w:r>
        <w:rPr>
          <w:bCs/>
          <w:lang w:val="ru-RU"/>
        </w:rPr>
        <w:t xml:space="preserve"> Национального ревизионного управления (НРУ) Соединенного Королевства </w:t>
      </w:r>
      <w:r w:rsidR="00DE2DBD">
        <w:rPr>
          <w:bCs/>
          <w:lang w:val="ru-RU"/>
        </w:rPr>
        <w:t>−</w:t>
      </w:r>
      <w:r>
        <w:rPr>
          <w:bCs/>
          <w:lang w:val="ru-RU"/>
        </w:rPr>
        <w:t xml:space="preserve"> на двухгодичный период </w:t>
      </w:r>
      <w:r w:rsidR="00DE2DBD">
        <w:rPr>
          <w:bCs/>
          <w:lang w:val="ru-RU"/>
        </w:rPr>
        <w:t>−</w:t>
      </w:r>
      <w:r>
        <w:rPr>
          <w:bCs/>
          <w:lang w:val="ru-RU"/>
        </w:rPr>
        <w:t xml:space="preserve"> Документ </w:t>
      </w:r>
      <w:hyperlink r:id="rId57" w:history="1">
        <w:r w:rsidRPr="005C2E6F">
          <w:rPr>
            <w:rStyle w:val="Hyperlink"/>
            <w:bCs/>
          </w:rPr>
          <w:t>CWG-FHR-20/19</w:t>
        </w:r>
      </w:hyperlink>
    </w:p>
    <w:p w14:paraId="4F59534E" w14:textId="1C865F99" w:rsidR="0086677D" w:rsidRPr="0086677D" w:rsidRDefault="0086677D" w:rsidP="007337B0">
      <w:pPr>
        <w:jc w:val="both"/>
        <w:rPr>
          <w:szCs w:val="24"/>
          <w:lang w:val="ru-RU"/>
        </w:rPr>
      </w:pPr>
      <w:r>
        <w:rPr>
          <w:lang w:val="ru-RU"/>
        </w:rPr>
        <w:t>25.1</w:t>
      </w:r>
      <w:r>
        <w:rPr>
          <w:lang w:val="ru-RU"/>
        </w:rPr>
        <w:tab/>
        <w:t xml:space="preserve">Секретариат представил Документ CWG-FHR-20/19 "Продление мандата Внешнего аудитора </w:t>
      </w:r>
      <w:r w:rsidR="00DE2DBD">
        <w:rPr>
          <w:lang w:val="ru-RU"/>
        </w:rPr>
        <w:t>−</w:t>
      </w:r>
      <w:r>
        <w:rPr>
          <w:lang w:val="ru-RU"/>
        </w:rPr>
        <w:t xml:space="preserve"> Национального ревизионного управления (НРУ) Соединенного Королевства </w:t>
      </w:r>
      <w:r w:rsidR="00DE2DBD">
        <w:rPr>
          <w:lang w:val="ru-RU"/>
        </w:rPr>
        <w:t>−</w:t>
      </w:r>
      <w:r>
        <w:rPr>
          <w:lang w:val="ru-RU"/>
        </w:rPr>
        <w:t xml:space="preserve"> на двухгодичный период". </w:t>
      </w:r>
    </w:p>
    <w:p w14:paraId="30DDADBB" w14:textId="77777777" w:rsidR="0086677D" w:rsidRPr="0086677D" w:rsidRDefault="0086677D" w:rsidP="007337B0">
      <w:pPr>
        <w:jc w:val="both"/>
        <w:rPr>
          <w:szCs w:val="24"/>
          <w:lang w:val="ru-RU"/>
        </w:rPr>
      </w:pPr>
      <w:r>
        <w:rPr>
          <w:lang w:val="ru-RU"/>
        </w:rPr>
        <w:t>25.2</w:t>
      </w:r>
      <w:r>
        <w:rPr>
          <w:lang w:val="ru-RU"/>
        </w:rPr>
        <w:tab/>
        <w:t>В документе предлагается продлить мандат НРУ Великобритании в качестве Внешнего аудитора МСЭ для аудиторской проверки финансовой отчетности за 2026 и 2027 годы. Действующий мандат на проверку финансовой отчетности за 2022–2025 годы истекает 30 июня 2026 года. Рекомендуется продлить мандат на двухгодичный период, чтобы охватить предстоящие финансовые периоды. Эта рекомендация и проект решения будут представлены для утверждения на следующей сессии Совета.</w:t>
      </w:r>
    </w:p>
    <w:p w14:paraId="435EA2F8" w14:textId="77777777" w:rsidR="0086677D" w:rsidRPr="0086677D" w:rsidRDefault="0086677D" w:rsidP="007337B0">
      <w:pPr>
        <w:jc w:val="both"/>
        <w:rPr>
          <w:szCs w:val="24"/>
          <w:lang w:val="ru-RU"/>
        </w:rPr>
      </w:pPr>
      <w:r>
        <w:rPr>
          <w:lang w:val="ru-RU"/>
        </w:rPr>
        <w:t>25.3</w:t>
      </w:r>
      <w:r>
        <w:rPr>
          <w:lang w:val="ru-RU"/>
        </w:rPr>
        <w:tab/>
        <w:t>Ряд делегатов поблагодарили НРУ Соединенного Королевства за его работу, отметив в то же время важность возвращения к его стандартному циклу финансовой отчетности для финансовой отчетности за 2024 год.</w:t>
      </w:r>
    </w:p>
    <w:p w14:paraId="209EDB3D" w14:textId="77777777" w:rsidR="0086677D" w:rsidRPr="0086677D" w:rsidRDefault="0086677D" w:rsidP="007337B0">
      <w:pPr>
        <w:jc w:val="both"/>
        <w:rPr>
          <w:szCs w:val="24"/>
          <w:lang w:val="ru-RU"/>
        </w:rPr>
      </w:pPr>
      <w:r>
        <w:rPr>
          <w:lang w:val="ru-RU"/>
        </w:rPr>
        <w:t>25.4</w:t>
      </w:r>
      <w:r>
        <w:rPr>
          <w:lang w:val="ru-RU"/>
        </w:rPr>
        <w:tab/>
        <w:t>Некоторые делегаты отметили необходимость обеспечения стабильности в аудиторской проверке финансовой отчетности и выразили полную поддержку возобновлению мандата НРУ Соединенного Королевства в качестве внешних аудиторов.</w:t>
      </w:r>
    </w:p>
    <w:p w14:paraId="094D7028" w14:textId="77777777" w:rsidR="0086677D" w:rsidRPr="0086677D" w:rsidRDefault="0086677D" w:rsidP="007337B0">
      <w:pPr>
        <w:jc w:val="both"/>
        <w:rPr>
          <w:szCs w:val="24"/>
          <w:lang w:val="ru-RU"/>
        </w:rPr>
      </w:pPr>
      <w:r>
        <w:rPr>
          <w:lang w:val="ru-RU"/>
        </w:rPr>
        <w:t>25.5</w:t>
      </w:r>
      <w:r>
        <w:rPr>
          <w:lang w:val="ru-RU"/>
        </w:rPr>
        <w:tab/>
        <w:t>Секретариат представил некоторые пояснения относительно последствий непродления мандата с точки зрения финансовых и людских ресурсов и описал, какую поддержку НРУ оказывает руководству в процессе трансформации, пояснив необходимость обеспечения стабильности для продолжения и осуществления этой трансформации.</w:t>
      </w:r>
    </w:p>
    <w:p w14:paraId="7AD45C76" w14:textId="3843861D" w:rsidR="0086677D" w:rsidRPr="0086677D" w:rsidRDefault="0086677D" w:rsidP="007337B0">
      <w:pPr>
        <w:jc w:val="both"/>
        <w:rPr>
          <w:szCs w:val="24"/>
          <w:lang w:val="ru-RU"/>
        </w:rPr>
      </w:pPr>
      <w:r>
        <w:rPr>
          <w:lang w:val="ru-RU"/>
        </w:rPr>
        <w:lastRenderedPageBreak/>
        <w:t>25.6</w:t>
      </w:r>
      <w:r>
        <w:rPr>
          <w:lang w:val="ru-RU"/>
        </w:rPr>
        <w:tab/>
        <w:t>Председатель, рассчитывая на поддержку большинства делегатов, рекомендует Совету</w:t>
      </w:r>
      <w:r w:rsidR="001C4BB8">
        <w:rPr>
          <w:lang w:val="ru-RU"/>
        </w:rPr>
        <w:t xml:space="preserve"> на его сессии 2025 года </w:t>
      </w:r>
      <w:r>
        <w:rPr>
          <w:lang w:val="ru-RU"/>
        </w:rPr>
        <w:t>продлить мандат Национального ревизионного управления (НРУ) Соединенного Королевства.</w:t>
      </w:r>
    </w:p>
    <w:p w14:paraId="3FEC01F8" w14:textId="77777777" w:rsidR="0086677D" w:rsidRPr="0086677D" w:rsidRDefault="0086677D" w:rsidP="007337B0">
      <w:pPr>
        <w:jc w:val="both"/>
        <w:rPr>
          <w:lang w:val="ru-RU"/>
        </w:rPr>
      </w:pPr>
      <w:r>
        <w:rPr>
          <w:lang w:val="ru-RU"/>
        </w:rPr>
        <w:t>25.7</w:t>
      </w:r>
      <w:r>
        <w:rPr>
          <w:lang w:val="ru-RU"/>
        </w:rPr>
        <w:tab/>
        <w:t>Одна из делегаций просила включить в отчет Совету приведенное ниже заявление, с тем чтобы отразить точку зрения ряда делегаций:</w:t>
      </w:r>
    </w:p>
    <w:p w14:paraId="5C145E89" w14:textId="77777777" w:rsidR="0086677D" w:rsidRPr="006448CD" w:rsidRDefault="0086677D" w:rsidP="007337B0">
      <w:pPr>
        <w:pStyle w:val="enumlev1"/>
        <w:jc w:val="both"/>
        <w:rPr>
          <w:lang w:val="ru-RU"/>
        </w:rPr>
      </w:pPr>
      <w:r w:rsidRPr="006448CD">
        <w:rPr>
          <w:lang w:val="ru-RU"/>
        </w:rPr>
        <w:tab/>
        <w:t>"Некоторые делегаты указали на то, что ни в отчете Внешнего аудитора о финансовой отчетности МСЭ за 2023</w:t>
      </w:r>
      <w:r w:rsidRPr="00033830">
        <w:t> </w:t>
      </w:r>
      <w:r w:rsidRPr="006448CD">
        <w:rPr>
          <w:lang w:val="ru-RU"/>
        </w:rPr>
        <w:t>год, ни в Отчете о финансовой деятельности МСЭ за 2023</w:t>
      </w:r>
      <w:r w:rsidRPr="00033830">
        <w:t> </w:t>
      </w:r>
      <w:r w:rsidRPr="006448CD">
        <w:rPr>
          <w:lang w:val="ru-RU"/>
        </w:rPr>
        <w:t>год не представлена достаточная информация о финансовых последствиях произошедших в соответствующий период судебных разбирательств в трибунале МОТ, и просили явным образом включить подробную информацию на этот счет в прошедший проверку отчет о финансовой деятельности за 2024</w:t>
      </w:r>
      <w:r w:rsidRPr="00033830">
        <w:t> </w:t>
      </w:r>
      <w:r w:rsidRPr="006448CD">
        <w:rPr>
          <w:lang w:val="ru-RU"/>
        </w:rPr>
        <w:t>год и представить его для обеспечения прозрачности Союза".</w:t>
      </w:r>
    </w:p>
    <w:p w14:paraId="147B86A3" w14:textId="6CDB8527" w:rsidR="0086677D" w:rsidRPr="0086677D" w:rsidRDefault="0086677D" w:rsidP="007337B0">
      <w:pPr>
        <w:pStyle w:val="Heading1"/>
        <w:jc w:val="both"/>
        <w:rPr>
          <w:lang w:val="ru-RU"/>
        </w:rPr>
      </w:pPr>
      <w:r>
        <w:rPr>
          <w:bCs/>
          <w:lang w:val="ru-RU"/>
        </w:rPr>
        <w:t>26</w:t>
      </w:r>
      <w:r>
        <w:rPr>
          <w:lang w:val="ru-RU"/>
        </w:rPr>
        <w:tab/>
      </w:r>
      <w:r>
        <w:rPr>
          <w:bCs/>
          <w:lang w:val="ru-RU"/>
        </w:rPr>
        <w:t xml:space="preserve">Обновленный отчет об использовании консультационных фирм – Документ </w:t>
      </w:r>
      <w:hyperlink r:id="rId58" w:history="1">
        <w:r w:rsidRPr="005C2E6F">
          <w:rPr>
            <w:rStyle w:val="Hyperlink"/>
            <w:bCs/>
          </w:rPr>
          <w:t>CWG-FHR-20/INF/1</w:t>
        </w:r>
      </w:hyperlink>
    </w:p>
    <w:p w14:paraId="61E8DF06" w14:textId="460882DC" w:rsidR="0086677D" w:rsidRPr="0086677D" w:rsidRDefault="0086677D" w:rsidP="007337B0">
      <w:pPr>
        <w:jc w:val="both"/>
        <w:rPr>
          <w:rFonts w:cs="Calibri"/>
          <w:color w:val="000000"/>
          <w:szCs w:val="24"/>
          <w:lang w:val="ru-RU"/>
        </w:rPr>
      </w:pPr>
      <w:r>
        <w:rPr>
          <w:lang w:val="ru-RU"/>
        </w:rPr>
        <w:t>26.1</w:t>
      </w:r>
      <w:r>
        <w:rPr>
          <w:lang w:val="ru-RU"/>
        </w:rPr>
        <w:tab/>
        <w:t>По просьбе РГС-ФЛР на сессии в октябре 2024 года Секретариат представил Документ CWG-FHR-19/INF/1, содержащий информацию об использовании консультационных фирм. В</w:t>
      </w:r>
      <w:r w:rsidR="003E4005">
        <w:rPr>
          <w:lang w:val="ru-RU"/>
        </w:rPr>
        <w:t> </w:t>
      </w:r>
      <w:r>
        <w:rPr>
          <w:lang w:val="ru-RU"/>
        </w:rPr>
        <w:t>ходе этой сессии некоторые делегаты запросили дополнительную информацию о перечисленных в документе контрактах, в том числе об их целях и результатах. Документ 20/INF/1 содержит дополнительные сведения и отвечает таким образом на эти запросы.</w:t>
      </w:r>
    </w:p>
    <w:p w14:paraId="3DC0D1C8" w14:textId="035991E7" w:rsidR="0086677D" w:rsidRPr="0086677D" w:rsidRDefault="0086677D" w:rsidP="007337B0">
      <w:pPr>
        <w:jc w:val="both"/>
        <w:rPr>
          <w:rFonts w:cs="Calibri"/>
          <w:color w:val="000000"/>
          <w:szCs w:val="24"/>
          <w:lang w:val="ru-RU"/>
        </w:rPr>
      </w:pPr>
      <w:r>
        <w:rPr>
          <w:lang w:val="ru-RU"/>
        </w:rPr>
        <w:t>26.2</w:t>
      </w:r>
      <w:r>
        <w:rPr>
          <w:lang w:val="ru-RU"/>
        </w:rPr>
        <w:tab/>
        <w:t xml:space="preserve">МСЭ прибегает к услугам консультационных фирм в тех случаях, когда </w:t>
      </w:r>
      <w:r w:rsidR="0090397F">
        <w:rPr>
          <w:lang w:val="ru-RU"/>
        </w:rPr>
        <w:t>С</w:t>
      </w:r>
      <w:r>
        <w:rPr>
          <w:lang w:val="ru-RU"/>
        </w:rPr>
        <w:t>екретариату требуются особые экспертные знания или кадровая поддержка или когда использование внешних поставщиков услуг более рентабельно, чем использование собственных ресурсов МСЭ. В этом отчете приведена таблица, в которой перечислены контракты на оказание консультационных услуг за период, прошедший с момента проведения последней Полномочной конференции.</w:t>
      </w:r>
    </w:p>
    <w:p w14:paraId="293CAF03" w14:textId="095AB694" w:rsidR="0086677D" w:rsidRPr="0086677D" w:rsidRDefault="0086677D" w:rsidP="007337B0">
      <w:pPr>
        <w:jc w:val="both"/>
        <w:rPr>
          <w:rFonts w:cs="Calibri"/>
          <w:color w:val="000000"/>
          <w:szCs w:val="24"/>
          <w:lang w:val="ru-RU"/>
        </w:rPr>
      </w:pPr>
      <w:r>
        <w:rPr>
          <w:lang w:val="ru-RU"/>
        </w:rPr>
        <w:t>26.3</w:t>
      </w:r>
      <w:r>
        <w:rPr>
          <w:lang w:val="ru-RU"/>
        </w:rPr>
        <w:tab/>
        <w:t xml:space="preserve">Консультационные фирмы нанимаются для консультирования руководства по ключевым стратегическим вопросам, предоставляя </w:t>
      </w:r>
      <w:r w:rsidR="0090397F">
        <w:rPr>
          <w:lang w:val="ru-RU"/>
        </w:rPr>
        <w:t>С</w:t>
      </w:r>
      <w:r>
        <w:rPr>
          <w:lang w:val="ru-RU"/>
        </w:rPr>
        <w:t>екретариату внешнюю точку зрения, основанную на передовом опыте отрасли. Руководство принимает во внимание рекомендации консультационной фирмы, но не обязано их выполнять. Внешний стратегический консалтинг иногда используется как средство краткосрочного усиления потенциала в новых областях. В</w:t>
      </w:r>
      <w:r w:rsidR="003E4005">
        <w:rPr>
          <w:lang w:val="ru-RU"/>
        </w:rPr>
        <w:t> </w:t>
      </w:r>
      <w:r>
        <w:rPr>
          <w:lang w:val="ru-RU"/>
        </w:rPr>
        <w:t>рамках дорожной карты трансформации секретариат работает над устранением ключевых пробелов в компетенциях, с тем чтобы в дальнейшем иметь такой потенциал внутри организации.</w:t>
      </w:r>
    </w:p>
    <w:p w14:paraId="1812D943" w14:textId="3DEA07D0" w:rsidR="0086677D" w:rsidRPr="0086677D" w:rsidRDefault="0086677D" w:rsidP="007337B0">
      <w:pPr>
        <w:jc w:val="both"/>
        <w:rPr>
          <w:rFonts w:cs="Calibri"/>
          <w:color w:val="000000"/>
          <w:szCs w:val="24"/>
          <w:lang w:val="ru-RU"/>
        </w:rPr>
      </w:pPr>
      <w:r>
        <w:rPr>
          <w:lang w:val="ru-RU"/>
        </w:rPr>
        <w:t>26.4</w:t>
      </w:r>
      <w:r>
        <w:rPr>
          <w:lang w:val="ru-RU"/>
        </w:rPr>
        <w:tab/>
        <w:t xml:space="preserve">Несколько делегатов поблагодарили </w:t>
      </w:r>
      <w:r w:rsidR="0090397F">
        <w:rPr>
          <w:lang w:val="ru-RU"/>
        </w:rPr>
        <w:t>С</w:t>
      </w:r>
      <w:r>
        <w:rPr>
          <w:lang w:val="ru-RU"/>
        </w:rPr>
        <w:t xml:space="preserve">екретариат за предоставленную дополнительную информацию. Некоторые делегаты отметили, что поддерживают и понимают преимущества использования консультационных фирм, однако подчеркнули, что </w:t>
      </w:r>
      <w:r w:rsidR="0090397F">
        <w:rPr>
          <w:lang w:val="ru-RU"/>
        </w:rPr>
        <w:t>С</w:t>
      </w:r>
      <w:r>
        <w:rPr>
          <w:lang w:val="ru-RU"/>
        </w:rPr>
        <w:t xml:space="preserve">екретариату следует тщательно оценивать, может ли такая работа быть выполнена силами внутреннего персонала, и обращаться к консультационным </w:t>
      </w:r>
      <w:r w:rsidR="001C4BB8">
        <w:rPr>
          <w:lang w:val="ru-RU"/>
        </w:rPr>
        <w:t>фирмам</w:t>
      </w:r>
      <w:r>
        <w:rPr>
          <w:lang w:val="ru-RU"/>
        </w:rPr>
        <w:t xml:space="preserve"> только в случае нехватки внутренних ресурсов или компетенций. Несколько делегатов выразили также обеспокоенность в связи с участившимся использованием </w:t>
      </w:r>
      <w:r w:rsidR="00C37930">
        <w:rPr>
          <w:lang w:val="ru-RU"/>
        </w:rPr>
        <w:t xml:space="preserve">соглашений о специальных услугах </w:t>
      </w:r>
      <w:r w:rsidR="002229B7">
        <w:rPr>
          <w:lang w:val="ru-RU"/>
        </w:rPr>
        <w:t>(</w:t>
      </w:r>
      <w:r>
        <w:rPr>
          <w:lang w:val="ru-RU"/>
        </w:rPr>
        <w:t>SSA</w:t>
      </w:r>
      <w:r w:rsidR="002229B7">
        <w:rPr>
          <w:lang w:val="ru-RU"/>
        </w:rPr>
        <w:t>),</w:t>
      </w:r>
      <w:r>
        <w:rPr>
          <w:lang w:val="ru-RU"/>
        </w:rPr>
        <w:t xml:space="preserve"> т.</w:t>
      </w:r>
      <w:r w:rsidR="002229B7">
        <w:rPr>
          <w:lang w:val="ru-RU"/>
        </w:rPr>
        <w:t> </w:t>
      </w:r>
      <w:r>
        <w:rPr>
          <w:lang w:val="ru-RU"/>
        </w:rPr>
        <w:t>е. индивидуальных экспертов/консультантов. Наконец, некоторые делегаты подчеркнули необходимость обучения персонала в рамках дорожной карты трансформаци</w:t>
      </w:r>
      <w:r w:rsidR="001C4BB8">
        <w:rPr>
          <w:lang w:val="ru-RU"/>
        </w:rPr>
        <w:t>и</w:t>
      </w:r>
      <w:r>
        <w:rPr>
          <w:lang w:val="ru-RU"/>
        </w:rPr>
        <w:t xml:space="preserve"> для создания внутреннего потенциала и сокращения тем самым потребности в услугах сторонних консультантов.</w:t>
      </w:r>
    </w:p>
    <w:p w14:paraId="2625AAA5" w14:textId="77777777" w:rsidR="0086677D" w:rsidRPr="0086677D" w:rsidRDefault="0086677D" w:rsidP="007337B0">
      <w:pPr>
        <w:jc w:val="both"/>
        <w:rPr>
          <w:rFonts w:cs="Calibri"/>
          <w:color w:val="000000"/>
          <w:szCs w:val="24"/>
          <w:lang w:val="ru-RU"/>
        </w:rPr>
      </w:pPr>
      <w:r>
        <w:rPr>
          <w:lang w:val="ru-RU"/>
        </w:rPr>
        <w:t>26.5</w:t>
      </w:r>
      <w:r>
        <w:rPr>
          <w:lang w:val="ru-RU"/>
        </w:rPr>
        <w:tab/>
        <w:t xml:space="preserve">Несколько делегатов выразили обеспокоенность по поводу затрат на услуги консультационных фирм и обратили внимание на случаи, когда МСЭ не получал ощутимой пользы от рекомендаций консультационных фирм или не следовал им. Другие делегаты </w:t>
      </w:r>
      <w:r>
        <w:rPr>
          <w:lang w:val="ru-RU"/>
        </w:rPr>
        <w:lastRenderedPageBreak/>
        <w:t>спросили, отслеживает ли МСЭ результаты работы и удовлетворенность ими, на что Секретариат ответил утвердительно. Делегаты просили и далее представлять отчеты об использовании консультационных фирм, в том числе об использовании долгосрочных соглашений и процессе закупок.</w:t>
      </w:r>
    </w:p>
    <w:p w14:paraId="0E10447A" w14:textId="4B9EC278" w:rsidR="0086677D" w:rsidRPr="0086677D" w:rsidRDefault="0086677D" w:rsidP="007337B0">
      <w:pPr>
        <w:jc w:val="both"/>
        <w:rPr>
          <w:rFonts w:cs="Calibri"/>
          <w:color w:val="000000"/>
          <w:szCs w:val="24"/>
          <w:lang w:val="ru-RU"/>
        </w:rPr>
      </w:pPr>
      <w:r>
        <w:rPr>
          <w:lang w:val="ru-RU"/>
        </w:rPr>
        <w:t>26.6</w:t>
      </w:r>
      <w:r>
        <w:rPr>
          <w:lang w:val="ru-RU"/>
        </w:rPr>
        <w:tab/>
        <w:t xml:space="preserve">Заместитель Генерального секретаря поблагодарил делегатов и подчеркнул, что Секретариат должным образом принял к сведению полученные замечания. Он заверил делегатов в том, что </w:t>
      </w:r>
      <w:r w:rsidR="0090397F">
        <w:rPr>
          <w:lang w:val="ru-RU"/>
        </w:rPr>
        <w:t>С</w:t>
      </w:r>
      <w:r>
        <w:rPr>
          <w:lang w:val="ru-RU"/>
        </w:rPr>
        <w:t xml:space="preserve">екретариат тщательно рассматривает в каждом конкретном случае вопрос о том, является ли использование внешних консультантов наиболее эффективным вариантом, и добавил, что использование SSA обходится значительно дешевле, чем наем штатного персонала, что позволяет </w:t>
      </w:r>
      <w:r w:rsidR="0090397F">
        <w:rPr>
          <w:lang w:val="ru-RU"/>
        </w:rPr>
        <w:t>С</w:t>
      </w:r>
      <w:r>
        <w:rPr>
          <w:lang w:val="ru-RU"/>
        </w:rPr>
        <w:t>екретариату ввиду бюджетных ограничений удовлетворять растущие потребности с меньшими затратами.</w:t>
      </w:r>
    </w:p>
    <w:p w14:paraId="211FA934" w14:textId="182B444F" w:rsidR="0086677D" w:rsidRPr="0086677D" w:rsidRDefault="0086677D" w:rsidP="007337B0">
      <w:pPr>
        <w:jc w:val="both"/>
        <w:rPr>
          <w:rFonts w:cs="Calibri"/>
          <w:color w:val="000000"/>
          <w:szCs w:val="24"/>
          <w:lang w:val="ru-RU"/>
        </w:rPr>
      </w:pPr>
      <w:r>
        <w:rPr>
          <w:lang w:val="ru-RU"/>
        </w:rPr>
        <w:t>26.7</w:t>
      </w:r>
      <w:r>
        <w:rPr>
          <w:lang w:val="ru-RU"/>
        </w:rPr>
        <w:tab/>
        <w:t>Председатель завершил</w:t>
      </w:r>
      <w:r w:rsidR="0090397F">
        <w:rPr>
          <w:lang w:val="ru-RU"/>
        </w:rPr>
        <w:t>а</w:t>
      </w:r>
      <w:r>
        <w:rPr>
          <w:lang w:val="ru-RU"/>
        </w:rPr>
        <w:t xml:space="preserve"> обсуждение, отметив, что </w:t>
      </w:r>
      <w:r w:rsidR="0090397F">
        <w:rPr>
          <w:lang w:val="ru-RU"/>
        </w:rPr>
        <w:t>С</w:t>
      </w:r>
      <w:r>
        <w:rPr>
          <w:lang w:val="ru-RU"/>
        </w:rPr>
        <w:t>екретариат продолжит регулярно представлять отчеты по этому вопросу.</w:t>
      </w:r>
    </w:p>
    <w:p w14:paraId="56AB0229" w14:textId="10125887" w:rsidR="0086677D" w:rsidRPr="0086677D" w:rsidRDefault="0086677D" w:rsidP="007337B0">
      <w:pPr>
        <w:pStyle w:val="Heading1"/>
        <w:jc w:val="both"/>
        <w:rPr>
          <w:lang w:val="ru-RU"/>
        </w:rPr>
      </w:pPr>
      <w:r>
        <w:rPr>
          <w:bCs/>
          <w:lang w:val="ru-RU"/>
        </w:rPr>
        <w:t>27</w:t>
      </w:r>
      <w:r>
        <w:rPr>
          <w:lang w:val="ru-RU"/>
        </w:rPr>
        <w:tab/>
      </w:r>
      <w:r>
        <w:rPr>
          <w:bCs/>
          <w:lang w:val="ru-RU"/>
        </w:rPr>
        <w:t xml:space="preserve">Отчет о деятельности </w:t>
      </w:r>
      <w:r w:rsidR="00EC3512">
        <w:rPr>
          <w:bCs/>
          <w:lang w:val="ru-RU"/>
        </w:rPr>
        <w:t>М</w:t>
      </w:r>
      <w:r>
        <w:rPr>
          <w:bCs/>
          <w:lang w:val="ru-RU"/>
        </w:rPr>
        <w:t xml:space="preserve">ежсекторальной координационной группы – Документ </w:t>
      </w:r>
      <w:hyperlink r:id="rId59" w:history="1">
        <w:r w:rsidRPr="005C2E6F">
          <w:rPr>
            <w:rStyle w:val="Hyperlink"/>
            <w:bCs/>
          </w:rPr>
          <w:t>CWG-FHR-20/24</w:t>
        </w:r>
      </w:hyperlink>
    </w:p>
    <w:p w14:paraId="797EC9AA" w14:textId="0C34E3EA" w:rsidR="0086677D" w:rsidRPr="0086677D" w:rsidRDefault="0086677D" w:rsidP="007337B0">
      <w:pPr>
        <w:keepLines/>
        <w:jc w:val="both"/>
        <w:rPr>
          <w:rFonts w:cs="Calibri"/>
          <w:szCs w:val="24"/>
          <w:lang w:val="ru-RU"/>
        </w:rPr>
      </w:pPr>
      <w:r>
        <w:rPr>
          <w:lang w:val="ru-RU"/>
        </w:rPr>
        <w:t>27.1</w:t>
      </w:r>
      <w:r>
        <w:rPr>
          <w:lang w:val="ru-RU"/>
        </w:rPr>
        <w:tab/>
        <w:t xml:space="preserve">Председатель МСКГ представил краткий отчет о деятельности группы, имеющей отношение к задачам РГС-ФЛР. В отчет было включено предложение, касающееся использования услуг ввода субтитров на всех собраниях МСЭ. Председатель подчеркнул также, что это предложение уже было рассмотрено РГП, созданной для разработки руководящих </w:t>
      </w:r>
      <w:r w:rsidR="008657E0">
        <w:rPr>
          <w:lang w:val="ru-RU"/>
        </w:rPr>
        <w:t xml:space="preserve">принципов в отношении </w:t>
      </w:r>
      <w:r>
        <w:rPr>
          <w:lang w:val="ru-RU"/>
        </w:rPr>
        <w:t>управлени</w:t>
      </w:r>
      <w:r w:rsidR="008657E0">
        <w:rPr>
          <w:lang w:val="ru-RU"/>
        </w:rPr>
        <w:t>я</w:t>
      </w:r>
      <w:r>
        <w:rPr>
          <w:lang w:val="ru-RU"/>
        </w:rPr>
        <w:t xml:space="preserve"> полностью виртуальными собраниями и очными собраниями с дистанционным участием. Председатель МСКГ напомнил о том, что следует учитывать также финансовые последствия предоставления таких услуг. Из зала не было получено никаких замечаний.</w:t>
      </w:r>
    </w:p>
    <w:p w14:paraId="100B78BF" w14:textId="42109D94" w:rsidR="0086677D" w:rsidRPr="0086677D" w:rsidRDefault="0086677D" w:rsidP="007337B0">
      <w:pPr>
        <w:pStyle w:val="Normalaftertitle"/>
        <w:spacing w:before="1440"/>
        <w:jc w:val="both"/>
        <w:rPr>
          <w:rFonts w:cs="Calibri"/>
          <w:b/>
          <w:i/>
          <w:iCs/>
          <w:szCs w:val="24"/>
          <w:lang w:val="ru-RU"/>
        </w:rPr>
      </w:pPr>
      <w:r>
        <w:rPr>
          <w:b/>
          <w:bCs/>
          <w:i/>
          <w:iCs/>
          <w:lang w:val="ru-RU"/>
        </w:rPr>
        <w:t>Приложения:</w:t>
      </w:r>
      <w:r>
        <w:rPr>
          <w:lang w:val="ru-RU"/>
        </w:rPr>
        <w:t xml:space="preserve"> 2</w:t>
      </w:r>
    </w:p>
    <w:p w14:paraId="5466D306" w14:textId="77777777" w:rsidR="005C2E6F" w:rsidRPr="0074176F" w:rsidRDefault="005C2E6F" w:rsidP="007337B0">
      <w:pPr>
        <w:tabs>
          <w:tab w:val="clear" w:pos="794"/>
          <w:tab w:val="clear" w:pos="1191"/>
          <w:tab w:val="clear" w:pos="1588"/>
          <w:tab w:val="clear" w:pos="1985"/>
        </w:tabs>
        <w:overflowPunct/>
        <w:autoSpaceDE/>
        <w:autoSpaceDN/>
        <w:adjustRightInd/>
        <w:spacing w:before="0"/>
        <w:jc w:val="both"/>
        <w:textAlignment w:val="auto"/>
        <w:rPr>
          <w:caps/>
          <w:sz w:val="26"/>
          <w:lang w:val="ru-RU"/>
        </w:rPr>
      </w:pPr>
      <w:r>
        <w:rPr>
          <w:lang w:val="ru-RU"/>
        </w:rPr>
        <w:br w:type="page"/>
      </w:r>
    </w:p>
    <w:p w14:paraId="473E4D4B" w14:textId="53F26870" w:rsidR="0086677D" w:rsidRPr="008657E0" w:rsidRDefault="0086677D" w:rsidP="007337B0">
      <w:pPr>
        <w:pStyle w:val="AnnexNo"/>
        <w:jc w:val="both"/>
        <w:rPr>
          <w:lang w:val="ru-RU"/>
        </w:rPr>
      </w:pPr>
      <w:bookmarkStart w:id="11" w:name="_Ref200055629"/>
      <w:bookmarkStart w:id="12" w:name="Annex_A"/>
      <w:r w:rsidRPr="005C2E6F">
        <w:rPr>
          <w:lang w:val="ru-RU"/>
        </w:rPr>
        <w:lastRenderedPageBreak/>
        <w:t>П</w:t>
      </w:r>
      <w:r w:rsidR="005C2E6F">
        <w:rPr>
          <w:lang w:val="ru-RU"/>
        </w:rPr>
        <w:t>риложение</w:t>
      </w:r>
      <w:r w:rsidRPr="005C2E6F">
        <w:rPr>
          <w:lang w:val="ru-RU"/>
        </w:rPr>
        <w:t xml:space="preserve"> A</w:t>
      </w:r>
      <w:bookmarkEnd w:id="11"/>
    </w:p>
    <w:bookmarkEnd w:id="12"/>
    <w:p w14:paraId="3C281FAC" w14:textId="77777777" w:rsidR="0086677D" w:rsidRPr="006448CD" w:rsidRDefault="0086677D" w:rsidP="007337B0">
      <w:pPr>
        <w:pStyle w:val="Annextitle"/>
        <w:jc w:val="both"/>
        <w:rPr>
          <w:lang w:val="ru-RU"/>
        </w:rPr>
      </w:pPr>
      <w:r w:rsidRPr="006448CD">
        <w:rPr>
          <w:lang w:val="ru-RU"/>
        </w:rPr>
        <w:t>Круг ведения для проведения обзора регионального присутствия МСЭ</w:t>
      </w:r>
    </w:p>
    <w:p w14:paraId="6A53D2C3" w14:textId="77777777" w:rsidR="0086677D" w:rsidRPr="00EF6F1F" w:rsidRDefault="0086677D" w:rsidP="007337B0">
      <w:pPr>
        <w:pStyle w:val="Headingb"/>
        <w:jc w:val="both"/>
        <w:rPr>
          <w:szCs w:val="22"/>
          <w:lang w:val="ru-RU"/>
        </w:rPr>
      </w:pPr>
      <w:r w:rsidRPr="00EF6F1F">
        <w:rPr>
          <w:szCs w:val="22"/>
          <w:lang w:val="ru-RU"/>
        </w:rPr>
        <w:t>Цель</w:t>
      </w:r>
    </w:p>
    <w:p w14:paraId="2CC97568" w14:textId="77777777" w:rsidR="0086677D" w:rsidRPr="0086677D" w:rsidRDefault="0086677D" w:rsidP="007337B0">
      <w:pPr>
        <w:jc w:val="both"/>
        <w:rPr>
          <w:szCs w:val="22"/>
          <w:lang w:val="ru-RU"/>
        </w:rPr>
      </w:pPr>
      <w:r w:rsidRPr="0086677D">
        <w:rPr>
          <w:szCs w:val="22"/>
          <w:lang w:val="ru-RU"/>
        </w:rPr>
        <w:t>В настоящем круге ведения (</w:t>
      </w:r>
      <w:r w:rsidRPr="00EF6F1F">
        <w:rPr>
          <w:szCs w:val="22"/>
        </w:rPr>
        <w:t>ToR</w:t>
      </w:r>
      <w:r w:rsidRPr="0086677D">
        <w:rPr>
          <w:szCs w:val="22"/>
          <w:lang w:val="ru-RU"/>
        </w:rPr>
        <w:t>) описана основа для проведения всестороннего обзора регионального присутствия Международного союза электросвязи (МСЭ)</w:t>
      </w:r>
      <w:r w:rsidRPr="0086677D">
        <w:rPr>
          <w:spacing w:val="-2"/>
          <w:szCs w:val="22"/>
          <w:lang w:val="ru-RU"/>
        </w:rPr>
        <w:t xml:space="preserve"> в соответствии с Резолюцией</w:t>
      </w:r>
      <w:r w:rsidRPr="00EF6F1F">
        <w:rPr>
          <w:spacing w:val="-2"/>
          <w:szCs w:val="22"/>
        </w:rPr>
        <w:t> </w:t>
      </w:r>
      <w:r w:rsidRPr="0086677D">
        <w:rPr>
          <w:spacing w:val="-2"/>
          <w:szCs w:val="22"/>
          <w:lang w:val="ru-RU"/>
        </w:rPr>
        <w:t>25</w:t>
      </w:r>
      <w:r w:rsidRPr="0086677D">
        <w:rPr>
          <w:szCs w:val="22"/>
          <w:lang w:val="ru-RU"/>
        </w:rPr>
        <w:t xml:space="preserve"> (Пересм. Бухарест, 2022 г.). Обзор имеет целью решение следующих ключевых задач:</w:t>
      </w:r>
    </w:p>
    <w:p w14:paraId="47A9E635" w14:textId="77777777" w:rsidR="0086677D" w:rsidRPr="0086677D" w:rsidRDefault="0086677D" w:rsidP="007337B0">
      <w:pPr>
        <w:pStyle w:val="enumlev1"/>
        <w:jc w:val="both"/>
        <w:rPr>
          <w:szCs w:val="22"/>
          <w:lang w:val="ru-RU"/>
        </w:rPr>
      </w:pPr>
      <w:r w:rsidRPr="0086677D">
        <w:rPr>
          <w:szCs w:val="22"/>
          <w:lang w:val="ru-RU"/>
        </w:rPr>
        <w:t>1)</w:t>
      </w:r>
      <w:r w:rsidRPr="0086677D">
        <w:rPr>
          <w:szCs w:val="22"/>
          <w:lang w:val="ru-RU"/>
        </w:rPr>
        <w:tab/>
      </w:r>
      <w:r w:rsidRPr="0086677D">
        <w:rPr>
          <w:b/>
          <w:bCs/>
          <w:szCs w:val="22"/>
          <w:lang w:val="ru-RU"/>
        </w:rPr>
        <w:t>Оценить</w:t>
      </w:r>
      <w:r w:rsidRPr="0086677D">
        <w:rPr>
          <w:szCs w:val="22"/>
          <w:lang w:val="ru-RU"/>
        </w:rPr>
        <w:t xml:space="preserve"> эффективность и результативность регионального присутствия с точки зрения пользы, которую оно приносит Членам МСЭ, в контексте концепции "Единый МСЭ".</w:t>
      </w:r>
    </w:p>
    <w:p w14:paraId="5BF14769" w14:textId="77777777" w:rsidR="0086677D" w:rsidRPr="008677BA" w:rsidRDefault="0086677D" w:rsidP="007337B0">
      <w:pPr>
        <w:pStyle w:val="enumlev1"/>
        <w:jc w:val="both"/>
        <w:rPr>
          <w:rFonts w:cstheme="minorHAnsi"/>
          <w:szCs w:val="22"/>
          <w:lang w:val="ru-RU"/>
        </w:rPr>
      </w:pPr>
      <w:r w:rsidRPr="0086677D">
        <w:rPr>
          <w:rFonts w:cstheme="minorHAnsi"/>
          <w:szCs w:val="22"/>
          <w:lang w:val="ru-RU"/>
        </w:rPr>
        <w:t>2)</w:t>
      </w:r>
      <w:r w:rsidRPr="0086677D">
        <w:rPr>
          <w:rFonts w:cstheme="minorHAnsi"/>
          <w:szCs w:val="22"/>
          <w:lang w:val="ru-RU"/>
        </w:rPr>
        <w:tab/>
      </w:r>
      <w:r w:rsidRPr="0086677D">
        <w:rPr>
          <w:rFonts w:cstheme="minorHAnsi"/>
          <w:b/>
          <w:bCs/>
          <w:szCs w:val="22"/>
          <w:lang w:val="ru-RU"/>
        </w:rPr>
        <w:t>Оценить</w:t>
      </w:r>
      <w:r w:rsidRPr="0086677D">
        <w:rPr>
          <w:rFonts w:cstheme="minorHAnsi"/>
          <w:szCs w:val="22"/>
          <w:lang w:val="ru-RU"/>
        </w:rPr>
        <w:t xml:space="preserve"> выполнение соответствующих рекомендаций Внутреннего аудитора, Внешнего аудитора и Независимого консультативного комитета МСЭ по управлению </w:t>
      </w:r>
      <w:r w:rsidRPr="008677BA">
        <w:rPr>
          <w:rFonts w:cstheme="minorHAnsi"/>
          <w:szCs w:val="22"/>
          <w:lang w:val="ru-RU"/>
        </w:rPr>
        <w:t>(</w:t>
      </w:r>
      <w:r w:rsidRPr="00EF6F1F">
        <w:rPr>
          <w:rFonts w:cstheme="minorHAnsi"/>
          <w:szCs w:val="22"/>
        </w:rPr>
        <w:t>IMAC</w:t>
      </w:r>
      <w:r w:rsidRPr="008677BA">
        <w:rPr>
          <w:rFonts w:cstheme="minorHAnsi"/>
          <w:szCs w:val="22"/>
          <w:lang w:val="ru-RU"/>
        </w:rPr>
        <w:t>).</w:t>
      </w:r>
    </w:p>
    <w:p w14:paraId="524D5DE9" w14:textId="77777777" w:rsidR="0086677D" w:rsidRPr="0086677D" w:rsidRDefault="0086677D" w:rsidP="007337B0">
      <w:pPr>
        <w:pStyle w:val="enumlev1"/>
        <w:jc w:val="both"/>
        <w:rPr>
          <w:rFonts w:cstheme="minorHAnsi"/>
          <w:szCs w:val="22"/>
          <w:lang w:val="ru-RU"/>
        </w:rPr>
      </w:pPr>
      <w:r w:rsidRPr="0086677D">
        <w:rPr>
          <w:rFonts w:cstheme="minorHAnsi"/>
          <w:szCs w:val="22"/>
          <w:lang w:val="ru-RU"/>
        </w:rPr>
        <w:t>3)</w:t>
      </w:r>
      <w:r w:rsidRPr="0086677D">
        <w:rPr>
          <w:rFonts w:cstheme="minorHAnsi"/>
          <w:szCs w:val="22"/>
          <w:lang w:val="ru-RU"/>
        </w:rPr>
        <w:tab/>
      </w:r>
      <w:r w:rsidRPr="0086677D">
        <w:rPr>
          <w:rFonts w:cstheme="minorHAnsi"/>
          <w:b/>
          <w:bCs/>
          <w:szCs w:val="22"/>
          <w:lang w:val="ru-RU"/>
        </w:rPr>
        <w:t>Определить</w:t>
      </w:r>
      <w:r w:rsidRPr="0086677D">
        <w:rPr>
          <w:rFonts w:cstheme="minorHAnsi"/>
          <w:szCs w:val="22"/>
          <w:lang w:val="ru-RU"/>
        </w:rPr>
        <w:t xml:space="preserve"> возможности для повышения эффективности деятельности МСЭ в регионах и рекомендовать действенные меры по оптимизации этой деятельности.</w:t>
      </w:r>
    </w:p>
    <w:p w14:paraId="7D189A85" w14:textId="77777777" w:rsidR="0086677D" w:rsidRPr="0086677D" w:rsidRDefault="0086677D" w:rsidP="007337B0">
      <w:pPr>
        <w:pStyle w:val="enumlev1"/>
        <w:jc w:val="both"/>
        <w:rPr>
          <w:rFonts w:cstheme="minorHAnsi"/>
          <w:szCs w:val="22"/>
          <w:lang w:val="ru-RU"/>
        </w:rPr>
      </w:pPr>
      <w:r w:rsidRPr="0086677D">
        <w:rPr>
          <w:rFonts w:cstheme="minorHAnsi"/>
          <w:szCs w:val="22"/>
          <w:lang w:val="ru-RU"/>
        </w:rPr>
        <w:t>4)</w:t>
      </w:r>
      <w:r w:rsidRPr="0086677D">
        <w:rPr>
          <w:rFonts w:cstheme="minorHAnsi"/>
          <w:szCs w:val="22"/>
          <w:lang w:val="ru-RU"/>
        </w:rPr>
        <w:tab/>
      </w:r>
      <w:r w:rsidRPr="0086677D">
        <w:rPr>
          <w:rFonts w:cstheme="minorHAnsi"/>
          <w:b/>
          <w:bCs/>
          <w:szCs w:val="22"/>
          <w:lang w:val="ru-RU"/>
        </w:rPr>
        <w:t>Согласовать</w:t>
      </w:r>
      <w:r w:rsidRPr="0086677D">
        <w:rPr>
          <w:rFonts w:cstheme="minorHAnsi"/>
          <w:szCs w:val="22"/>
          <w:lang w:val="ru-RU"/>
        </w:rPr>
        <w:t xml:space="preserve"> региональное присутствие со стратегической концепцией и целями деятельности МСЭ, обеспечив устойчивое и эффективное предоставление услуг.</w:t>
      </w:r>
    </w:p>
    <w:p w14:paraId="33ECC938" w14:textId="77777777" w:rsidR="0086677D" w:rsidRPr="0086677D" w:rsidRDefault="0086677D" w:rsidP="007337B0">
      <w:pPr>
        <w:jc w:val="both"/>
        <w:rPr>
          <w:rFonts w:cstheme="minorHAnsi"/>
          <w:szCs w:val="22"/>
          <w:lang w:val="ru-RU"/>
        </w:rPr>
      </w:pPr>
      <w:r w:rsidRPr="0086677D">
        <w:rPr>
          <w:rFonts w:cstheme="minorHAnsi"/>
          <w:szCs w:val="22"/>
          <w:lang w:val="ru-RU"/>
        </w:rPr>
        <w:t xml:space="preserve">Обзор призван: </w:t>
      </w:r>
    </w:p>
    <w:p w14:paraId="1DF02836" w14:textId="77777777" w:rsidR="0086677D" w:rsidRPr="0086677D" w:rsidRDefault="0086677D" w:rsidP="007337B0">
      <w:pPr>
        <w:pStyle w:val="enumlev1"/>
        <w:jc w:val="both"/>
        <w:rPr>
          <w:rFonts w:cstheme="minorHAnsi"/>
          <w:szCs w:val="22"/>
          <w:lang w:val="ru-RU"/>
        </w:rPr>
      </w:pPr>
      <w:r w:rsidRPr="0086677D">
        <w:rPr>
          <w:rFonts w:cstheme="minorHAnsi"/>
          <w:szCs w:val="22"/>
          <w:lang w:val="ru-RU"/>
        </w:rPr>
        <w:t>1)</w:t>
      </w:r>
      <w:r w:rsidRPr="0086677D">
        <w:rPr>
          <w:rFonts w:cstheme="minorHAnsi"/>
          <w:szCs w:val="22"/>
          <w:lang w:val="ru-RU"/>
        </w:rPr>
        <w:tab/>
        <w:t>Обеспечить наличие инструментов для создания региональных и зональных отделений, оценки и повышения эффективности их работы, с тем чтобы они достигали измеримых и значимых результатов.</w:t>
      </w:r>
    </w:p>
    <w:p w14:paraId="2143624E" w14:textId="77777777" w:rsidR="0086677D" w:rsidRPr="0086677D" w:rsidRDefault="0086677D" w:rsidP="007337B0">
      <w:pPr>
        <w:pStyle w:val="enumlev1"/>
        <w:jc w:val="both"/>
        <w:rPr>
          <w:rFonts w:cstheme="minorHAnsi"/>
          <w:szCs w:val="22"/>
          <w:lang w:val="ru-RU"/>
        </w:rPr>
      </w:pPr>
      <w:r w:rsidRPr="0086677D">
        <w:rPr>
          <w:rFonts w:cstheme="minorHAnsi"/>
          <w:szCs w:val="22"/>
          <w:lang w:val="ru-RU"/>
        </w:rPr>
        <w:t>2)</w:t>
      </w:r>
      <w:r w:rsidRPr="0086677D">
        <w:rPr>
          <w:rFonts w:cstheme="minorHAnsi"/>
          <w:szCs w:val="22"/>
          <w:lang w:val="ru-RU"/>
        </w:rPr>
        <w:tab/>
        <w:t>Уточнить роль и задачи регионального присутствия и оптимизировать его структуру, с тем чтобы оно максимально соответствовало целям организации.</w:t>
      </w:r>
    </w:p>
    <w:p w14:paraId="311F1724" w14:textId="77777777" w:rsidR="0086677D" w:rsidRPr="0086677D" w:rsidRDefault="0086677D" w:rsidP="007337B0">
      <w:pPr>
        <w:pStyle w:val="enumlev1"/>
        <w:jc w:val="both"/>
        <w:rPr>
          <w:rFonts w:cstheme="minorHAnsi"/>
          <w:szCs w:val="22"/>
          <w:lang w:val="ru-RU"/>
        </w:rPr>
      </w:pPr>
      <w:r w:rsidRPr="0086677D">
        <w:rPr>
          <w:rFonts w:cstheme="minorHAnsi"/>
          <w:szCs w:val="22"/>
          <w:lang w:val="ru-RU"/>
        </w:rPr>
        <w:t>3)</w:t>
      </w:r>
      <w:r w:rsidRPr="0086677D">
        <w:rPr>
          <w:rFonts w:cstheme="minorHAnsi"/>
          <w:szCs w:val="22"/>
          <w:lang w:val="ru-RU"/>
        </w:rPr>
        <w:tab/>
        <w:t>Обеспечить, чтобы региональное присутствие МСЭ играло ключевую роль в эффективном и результативном выполнении Стратегического плана МСЭ и соответствующих планов действий.</w:t>
      </w:r>
    </w:p>
    <w:p w14:paraId="10C77A87" w14:textId="77777777" w:rsidR="0086677D" w:rsidRPr="0086677D" w:rsidRDefault="0086677D" w:rsidP="007337B0">
      <w:pPr>
        <w:pStyle w:val="enumlev1"/>
        <w:jc w:val="both"/>
        <w:rPr>
          <w:rFonts w:cstheme="minorHAnsi"/>
          <w:szCs w:val="22"/>
          <w:lang w:val="ru-RU"/>
        </w:rPr>
      </w:pPr>
      <w:r w:rsidRPr="0086677D">
        <w:rPr>
          <w:rFonts w:cstheme="minorHAnsi"/>
          <w:szCs w:val="22"/>
          <w:lang w:val="ru-RU"/>
        </w:rPr>
        <w:t>4)</w:t>
      </w:r>
      <w:r w:rsidRPr="0086677D">
        <w:rPr>
          <w:rFonts w:cstheme="minorHAnsi"/>
          <w:szCs w:val="22"/>
          <w:lang w:val="ru-RU"/>
        </w:rPr>
        <w:tab/>
        <w:t>Гарантировать глубокую интеграцию региональных и зональных отделений МСЭ в систему развития ООН и в более широкую отраслевую экосистему как на национальном, так и на региональном уровнях, что должно способствовать налаживанию значимых партнерских отношений и достижению синергетического эффекта.</w:t>
      </w:r>
    </w:p>
    <w:p w14:paraId="4FB4343B" w14:textId="77777777" w:rsidR="0086677D" w:rsidRPr="0086677D" w:rsidRDefault="0086677D" w:rsidP="007337B0">
      <w:pPr>
        <w:pStyle w:val="enumlev1"/>
        <w:jc w:val="both"/>
        <w:rPr>
          <w:rFonts w:cstheme="minorHAnsi"/>
          <w:szCs w:val="22"/>
          <w:lang w:val="ru-RU"/>
        </w:rPr>
      </w:pPr>
      <w:r w:rsidRPr="0086677D">
        <w:rPr>
          <w:rFonts w:cstheme="minorHAnsi"/>
          <w:szCs w:val="22"/>
          <w:lang w:val="ru-RU"/>
        </w:rPr>
        <w:t>5)</w:t>
      </w:r>
      <w:r w:rsidRPr="0086677D">
        <w:rPr>
          <w:rFonts w:cstheme="minorHAnsi"/>
          <w:szCs w:val="22"/>
          <w:lang w:val="ru-RU"/>
        </w:rPr>
        <w:tab/>
        <w:t>Определить меры по усилению внутреннего контроля в региональных и зональных отделениях, способствуя внедрению рациональных методов управления.</w:t>
      </w:r>
    </w:p>
    <w:p w14:paraId="4F449532" w14:textId="77777777" w:rsidR="0086677D" w:rsidRPr="0086677D" w:rsidRDefault="0086677D" w:rsidP="007337B0">
      <w:pPr>
        <w:pStyle w:val="Headingb"/>
        <w:jc w:val="both"/>
        <w:rPr>
          <w:szCs w:val="22"/>
          <w:lang w:val="ru-RU"/>
        </w:rPr>
      </w:pPr>
      <w:r w:rsidRPr="00EF6F1F">
        <w:rPr>
          <w:szCs w:val="22"/>
          <w:lang w:val="ru-RU"/>
        </w:rPr>
        <w:t>Методика</w:t>
      </w:r>
    </w:p>
    <w:p w14:paraId="151C903C" w14:textId="77777777" w:rsidR="0086677D" w:rsidRPr="0086677D" w:rsidRDefault="0086677D" w:rsidP="007337B0">
      <w:pPr>
        <w:jc w:val="both"/>
        <w:rPr>
          <w:rFonts w:cstheme="minorHAnsi"/>
          <w:szCs w:val="22"/>
          <w:lang w:val="ru-RU"/>
        </w:rPr>
      </w:pPr>
      <w:r w:rsidRPr="0086677D">
        <w:rPr>
          <w:rFonts w:cstheme="minorHAnsi"/>
          <w:szCs w:val="22"/>
          <w:lang w:val="ru-RU"/>
        </w:rPr>
        <w:t>Для того, чтобы обеспечить всесторонний и объективный обзор, Секретариат будет применять следующие методы:</w:t>
      </w:r>
    </w:p>
    <w:p w14:paraId="03D604F3" w14:textId="77777777" w:rsidR="0086677D" w:rsidRPr="0086677D" w:rsidRDefault="0086677D" w:rsidP="007337B0">
      <w:pPr>
        <w:pStyle w:val="enumlev1"/>
        <w:jc w:val="both"/>
        <w:rPr>
          <w:rFonts w:cstheme="minorHAnsi"/>
          <w:szCs w:val="22"/>
          <w:lang w:val="ru-RU"/>
        </w:rPr>
      </w:pPr>
      <w:r w:rsidRPr="00EF6F1F">
        <w:rPr>
          <w:rFonts w:cstheme="minorHAnsi"/>
          <w:i/>
          <w:iCs/>
          <w:szCs w:val="22"/>
        </w:rPr>
        <w:t>a</w:t>
      </w:r>
      <w:r w:rsidRPr="0086677D">
        <w:rPr>
          <w:rFonts w:cstheme="minorHAnsi"/>
          <w:i/>
          <w:iCs/>
          <w:szCs w:val="22"/>
          <w:lang w:val="ru-RU"/>
        </w:rPr>
        <w:t>)</w:t>
      </w:r>
      <w:r w:rsidRPr="0086677D">
        <w:rPr>
          <w:rFonts w:cstheme="minorHAnsi"/>
          <w:szCs w:val="22"/>
          <w:lang w:val="ru-RU"/>
        </w:rPr>
        <w:tab/>
      </w:r>
      <w:r w:rsidRPr="0086677D">
        <w:rPr>
          <w:rFonts w:cstheme="minorHAnsi"/>
          <w:b/>
          <w:bCs/>
          <w:szCs w:val="22"/>
          <w:lang w:val="ru-RU"/>
        </w:rPr>
        <w:t>Анализ документов</w:t>
      </w:r>
      <w:r w:rsidRPr="0086677D">
        <w:rPr>
          <w:rFonts w:cstheme="minorHAnsi"/>
          <w:szCs w:val="22"/>
          <w:lang w:val="ru-RU"/>
        </w:rPr>
        <w:t>. Провести аналитический обзор основополагающих документов, включая Резолюцию 25, стратегических планов МСЭ и отчетов о деятельности, о</w:t>
      </w:r>
      <w:r>
        <w:rPr>
          <w:rFonts w:cstheme="minorHAnsi"/>
          <w:szCs w:val="22"/>
          <w:lang w:val="en-US"/>
        </w:rPr>
        <w:t> </w:t>
      </w:r>
      <w:r w:rsidRPr="0086677D">
        <w:rPr>
          <w:rFonts w:cstheme="minorHAnsi"/>
          <w:szCs w:val="22"/>
          <w:lang w:val="ru-RU"/>
        </w:rPr>
        <w:t xml:space="preserve">проделанной работе и о результатах аудиторских проверок. </w:t>
      </w:r>
    </w:p>
    <w:p w14:paraId="448885C4" w14:textId="77777777" w:rsidR="0086677D" w:rsidRPr="0086677D" w:rsidRDefault="0086677D" w:rsidP="007337B0">
      <w:pPr>
        <w:pStyle w:val="enumlev1"/>
        <w:jc w:val="both"/>
        <w:rPr>
          <w:rFonts w:cstheme="minorHAnsi"/>
          <w:szCs w:val="22"/>
          <w:lang w:val="ru-RU"/>
        </w:rPr>
      </w:pPr>
      <w:r w:rsidRPr="00EF6F1F">
        <w:rPr>
          <w:rFonts w:cstheme="minorHAnsi"/>
          <w:i/>
          <w:iCs/>
          <w:szCs w:val="22"/>
        </w:rPr>
        <w:t>b</w:t>
      </w:r>
      <w:r w:rsidRPr="0086677D">
        <w:rPr>
          <w:rFonts w:cstheme="minorHAnsi"/>
          <w:i/>
          <w:iCs/>
          <w:szCs w:val="22"/>
          <w:lang w:val="ru-RU"/>
        </w:rPr>
        <w:t>)</w:t>
      </w:r>
      <w:r w:rsidRPr="0086677D">
        <w:rPr>
          <w:rFonts w:cstheme="minorHAnsi"/>
          <w:i/>
          <w:iCs/>
          <w:szCs w:val="22"/>
          <w:lang w:val="ru-RU"/>
        </w:rPr>
        <w:tab/>
      </w:r>
      <w:r w:rsidRPr="0086677D">
        <w:rPr>
          <w:rFonts w:cstheme="minorHAnsi"/>
          <w:b/>
          <w:bCs/>
          <w:szCs w:val="22"/>
          <w:lang w:val="ru-RU"/>
        </w:rPr>
        <w:t>Анализ данных</w:t>
      </w:r>
      <w:r w:rsidRPr="0086677D">
        <w:rPr>
          <w:rFonts w:cstheme="minorHAnsi"/>
          <w:szCs w:val="22"/>
          <w:lang w:val="ru-RU"/>
        </w:rPr>
        <w:t>. Проанализировать ключевые данные, включая штатное расписание, бюджетные ассигнования и результаты реализации проектов, чтобы выявить тенденции, недостатки и возможности для повышения эффективности.</w:t>
      </w:r>
    </w:p>
    <w:p w14:paraId="44807F7A" w14:textId="77777777" w:rsidR="0086677D" w:rsidRPr="0086677D" w:rsidRDefault="0086677D" w:rsidP="007337B0">
      <w:pPr>
        <w:pStyle w:val="enumlev1"/>
        <w:jc w:val="both"/>
        <w:rPr>
          <w:rFonts w:cstheme="minorHAnsi"/>
          <w:szCs w:val="22"/>
          <w:lang w:val="ru-RU"/>
        </w:rPr>
      </w:pPr>
      <w:r w:rsidRPr="00EF6F1F">
        <w:rPr>
          <w:rFonts w:cstheme="minorHAnsi"/>
          <w:i/>
          <w:iCs/>
          <w:szCs w:val="22"/>
        </w:rPr>
        <w:t>c</w:t>
      </w:r>
      <w:r w:rsidRPr="0086677D">
        <w:rPr>
          <w:rFonts w:cstheme="minorHAnsi"/>
          <w:i/>
          <w:iCs/>
          <w:szCs w:val="22"/>
          <w:lang w:val="ru-RU"/>
        </w:rPr>
        <w:t>)</w:t>
      </w:r>
      <w:r w:rsidRPr="0086677D">
        <w:rPr>
          <w:rFonts w:cstheme="minorHAnsi"/>
          <w:szCs w:val="22"/>
          <w:lang w:val="ru-RU"/>
        </w:rPr>
        <w:tab/>
      </w:r>
      <w:r w:rsidRPr="0086677D">
        <w:rPr>
          <w:rFonts w:cstheme="minorHAnsi"/>
          <w:b/>
          <w:bCs/>
          <w:szCs w:val="22"/>
          <w:lang w:val="ru-RU"/>
        </w:rPr>
        <w:t>Консультации с заинтересованными сторонами</w:t>
      </w:r>
      <w:r w:rsidRPr="0086677D">
        <w:rPr>
          <w:rFonts w:cstheme="minorHAnsi"/>
          <w:szCs w:val="22"/>
          <w:lang w:val="ru-RU"/>
        </w:rPr>
        <w:t>. Наладить взаимодействие внутри организации с ключевыми заинтересованными сторонами и консультироваться с</w:t>
      </w:r>
      <w:r>
        <w:rPr>
          <w:rFonts w:cstheme="minorHAnsi"/>
          <w:szCs w:val="22"/>
          <w:lang w:val="en-US"/>
        </w:rPr>
        <w:t> </w:t>
      </w:r>
      <w:r w:rsidRPr="0086677D">
        <w:rPr>
          <w:rFonts w:cstheme="minorHAnsi"/>
          <w:szCs w:val="22"/>
          <w:lang w:val="ru-RU"/>
        </w:rPr>
        <w:t xml:space="preserve">консультативными группами МСЭ для получения информации и стратегических </w:t>
      </w:r>
      <w:r w:rsidRPr="0086677D">
        <w:rPr>
          <w:rFonts w:cstheme="minorHAnsi"/>
          <w:szCs w:val="22"/>
          <w:lang w:val="ru-RU"/>
        </w:rPr>
        <w:lastRenderedPageBreak/>
        <w:t>рекомендаций для определения направления регионального присутствия МСЭ в</w:t>
      </w:r>
      <w:r>
        <w:rPr>
          <w:rFonts w:cstheme="minorHAnsi"/>
          <w:szCs w:val="22"/>
          <w:lang w:val="en-US"/>
        </w:rPr>
        <w:t> </w:t>
      </w:r>
      <w:r w:rsidRPr="0086677D">
        <w:rPr>
          <w:rFonts w:cstheme="minorHAnsi"/>
          <w:szCs w:val="22"/>
          <w:lang w:val="ru-RU"/>
        </w:rPr>
        <w:t>будущем.</w:t>
      </w:r>
    </w:p>
    <w:p w14:paraId="10A74BE8" w14:textId="0C4ADADF" w:rsidR="0086677D" w:rsidRPr="0086677D" w:rsidRDefault="0086677D" w:rsidP="007337B0">
      <w:pPr>
        <w:pStyle w:val="enumlev1"/>
        <w:jc w:val="both"/>
        <w:rPr>
          <w:rFonts w:cstheme="minorHAnsi"/>
          <w:szCs w:val="22"/>
          <w:lang w:val="ru-RU"/>
        </w:rPr>
      </w:pPr>
      <w:r w:rsidRPr="0086677D">
        <w:rPr>
          <w:rFonts w:cstheme="minorHAnsi"/>
          <w:szCs w:val="22"/>
          <w:lang w:val="ru-RU"/>
        </w:rPr>
        <w:tab/>
      </w:r>
      <w:r w:rsidRPr="0086677D">
        <w:rPr>
          <w:rFonts w:cstheme="minorHAnsi"/>
          <w:b/>
          <w:bCs/>
          <w:szCs w:val="22"/>
          <w:lang w:val="ru-RU"/>
        </w:rPr>
        <w:t>Опросы заинтересованных сторон</w:t>
      </w:r>
      <w:r w:rsidRPr="0086677D">
        <w:rPr>
          <w:rFonts w:cstheme="minorHAnsi"/>
          <w:szCs w:val="22"/>
          <w:lang w:val="ru-RU"/>
        </w:rPr>
        <w:t xml:space="preserve">. </w:t>
      </w:r>
      <w:r w:rsidR="001C4BB8">
        <w:rPr>
          <w:rFonts w:cstheme="minorHAnsi"/>
          <w:szCs w:val="22"/>
          <w:lang w:val="ru-RU"/>
        </w:rPr>
        <w:t>О</w:t>
      </w:r>
      <w:r w:rsidRPr="0086677D">
        <w:rPr>
          <w:rFonts w:cstheme="minorHAnsi"/>
          <w:szCs w:val="22"/>
          <w:lang w:val="ru-RU"/>
        </w:rPr>
        <w:t>рганизовывать опросы и получать от Членов МСЭ и</w:t>
      </w:r>
      <w:r>
        <w:rPr>
          <w:rFonts w:cstheme="minorHAnsi"/>
          <w:szCs w:val="22"/>
          <w:lang w:val="en-US"/>
        </w:rPr>
        <w:t> </w:t>
      </w:r>
      <w:r w:rsidRPr="0086677D">
        <w:rPr>
          <w:rFonts w:cstheme="minorHAnsi"/>
          <w:szCs w:val="22"/>
          <w:lang w:val="ru-RU"/>
        </w:rPr>
        <w:t>региональных организаций электросвязи (РОЭ) отзывы об уровнях их</w:t>
      </w:r>
      <w:r>
        <w:rPr>
          <w:rFonts w:cstheme="minorHAnsi"/>
          <w:szCs w:val="22"/>
          <w:lang w:val="en-US"/>
        </w:rPr>
        <w:t> </w:t>
      </w:r>
      <w:r w:rsidRPr="0086677D">
        <w:rPr>
          <w:rFonts w:cstheme="minorHAnsi"/>
          <w:szCs w:val="22"/>
          <w:lang w:val="ru-RU"/>
        </w:rPr>
        <w:t>удовлетворенности, для того чтобы оценить воздействие регионального присутствия, уделяя первоочередное внимание определению общего уровня удовлетворенности Членов МСЭ деятельностью региональных и зональных отделений.</w:t>
      </w:r>
    </w:p>
    <w:p w14:paraId="7D17BBEC" w14:textId="77777777" w:rsidR="0086677D" w:rsidRPr="0086677D" w:rsidRDefault="0086677D" w:rsidP="007337B0">
      <w:pPr>
        <w:pStyle w:val="enumlev1"/>
        <w:jc w:val="both"/>
        <w:rPr>
          <w:lang w:val="ru-RU"/>
        </w:rPr>
      </w:pPr>
      <w:r w:rsidRPr="00EF6F1F">
        <w:rPr>
          <w:i/>
          <w:iCs/>
        </w:rPr>
        <w:t>d</w:t>
      </w:r>
      <w:r w:rsidRPr="0086677D">
        <w:rPr>
          <w:i/>
          <w:iCs/>
          <w:lang w:val="ru-RU"/>
        </w:rPr>
        <w:t>)</w:t>
      </w:r>
      <w:r w:rsidRPr="0086677D">
        <w:rPr>
          <w:lang w:val="ru-RU"/>
        </w:rPr>
        <w:tab/>
      </w:r>
      <w:r w:rsidRPr="0086677D">
        <w:rPr>
          <w:b/>
          <w:bCs/>
          <w:lang w:val="ru-RU"/>
        </w:rPr>
        <w:t>Объем работ</w:t>
      </w:r>
    </w:p>
    <w:p w14:paraId="1291593A" w14:textId="77777777" w:rsidR="0086677D" w:rsidRPr="0086677D" w:rsidRDefault="0086677D" w:rsidP="007337B0">
      <w:pPr>
        <w:pStyle w:val="enumlev1"/>
        <w:jc w:val="both"/>
        <w:rPr>
          <w:lang w:val="ru-RU"/>
        </w:rPr>
      </w:pPr>
      <w:r w:rsidRPr="0086677D">
        <w:rPr>
          <w:lang w:val="ru-RU"/>
        </w:rPr>
        <w:tab/>
        <w:t>Обзор построен таким образом, чтобы можно было оценить следующие аспекты деятельности МСЭ:</w:t>
      </w:r>
    </w:p>
    <w:p w14:paraId="6D18CFB9" w14:textId="77777777" w:rsidR="0086677D" w:rsidRPr="0086677D" w:rsidRDefault="0086677D" w:rsidP="007337B0">
      <w:pPr>
        <w:pStyle w:val="enumlev2"/>
        <w:jc w:val="both"/>
        <w:rPr>
          <w:szCs w:val="22"/>
          <w:lang w:val="ru-RU"/>
        </w:rPr>
      </w:pPr>
      <w:r w:rsidRPr="0086677D">
        <w:rPr>
          <w:szCs w:val="22"/>
          <w:lang w:val="ru-RU"/>
        </w:rPr>
        <w:t>1)</w:t>
      </w:r>
      <w:r w:rsidRPr="0086677D">
        <w:rPr>
          <w:szCs w:val="22"/>
          <w:lang w:val="ru-RU"/>
        </w:rPr>
        <w:tab/>
        <w:t>Установить, выделяются ли региональным и зональным отделениям надлежащие и достаточные финансовые, людские и материальные ресурсы с учетом особенностей каждого из регионов, необходимые им для того, чтобы они могли эффективно осуществлять свою деятельность, решать запланированные задачи, представлять МСЭ как единое целое и оказывать воздействие.</w:t>
      </w:r>
    </w:p>
    <w:p w14:paraId="6BE5DB40" w14:textId="734251C3" w:rsidR="0086677D" w:rsidRPr="0086677D" w:rsidRDefault="0086677D" w:rsidP="007337B0">
      <w:pPr>
        <w:pStyle w:val="enumlev2"/>
        <w:jc w:val="both"/>
        <w:rPr>
          <w:szCs w:val="22"/>
          <w:lang w:val="ru-RU"/>
        </w:rPr>
      </w:pPr>
      <w:r w:rsidRPr="0086677D">
        <w:rPr>
          <w:rFonts w:eastAsiaTheme="minorEastAsia"/>
          <w:szCs w:val="22"/>
          <w:lang w:val="ru-RU"/>
        </w:rPr>
        <w:t>2</w:t>
      </w:r>
      <w:r w:rsidRPr="0086677D">
        <w:rPr>
          <w:szCs w:val="22"/>
          <w:lang w:val="ru-RU"/>
        </w:rPr>
        <w:t>)</w:t>
      </w:r>
      <w:r w:rsidRPr="0086677D">
        <w:rPr>
          <w:rFonts w:eastAsiaTheme="minorEastAsia"/>
          <w:szCs w:val="22"/>
          <w:lang w:val="ru-RU"/>
        </w:rPr>
        <w:tab/>
        <w:t>Проанализировать и оценить эффективность функции мобилизации ресурсов, а</w:t>
      </w:r>
      <w:r>
        <w:rPr>
          <w:rFonts w:eastAsiaTheme="minorEastAsia"/>
          <w:szCs w:val="22"/>
          <w:lang w:val="en-US"/>
        </w:rPr>
        <w:t> </w:t>
      </w:r>
      <w:r w:rsidRPr="0086677D">
        <w:rPr>
          <w:rFonts w:eastAsiaTheme="minorEastAsia"/>
          <w:szCs w:val="22"/>
          <w:lang w:val="ru-RU"/>
        </w:rPr>
        <w:t>также процедур привлечения консультантов, заключения специальных соглашений об услугах и найма персонала в региональных отделениях с учетом ключевых показателей деятельности (</w:t>
      </w:r>
      <w:r w:rsidRPr="00EF6F1F">
        <w:rPr>
          <w:rFonts w:eastAsiaTheme="minorEastAsia"/>
          <w:szCs w:val="22"/>
        </w:rPr>
        <w:t>KPI</w:t>
      </w:r>
      <w:r w:rsidRPr="0086677D">
        <w:rPr>
          <w:rFonts w:eastAsiaTheme="minorEastAsia"/>
          <w:szCs w:val="22"/>
          <w:lang w:val="ru-RU"/>
        </w:rPr>
        <w:t xml:space="preserve">), подробно описанных в </w:t>
      </w:r>
      <w:r w:rsidR="001C4BB8" w:rsidRPr="001C4BB8">
        <w:rPr>
          <w:rFonts w:eastAsiaTheme="minorEastAsia"/>
          <w:color w:val="0000FF"/>
          <w:szCs w:val="22"/>
          <w:u w:val="single"/>
          <w:lang w:val="ru-RU"/>
        </w:rPr>
        <w:fldChar w:fldCharType="begin"/>
      </w:r>
      <w:r w:rsidR="001C4BB8" w:rsidRPr="001C4BB8">
        <w:rPr>
          <w:rFonts w:eastAsiaTheme="minorEastAsia"/>
          <w:color w:val="0000FF"/>
          <w:szCs w:val="22"/>
          <w:u w:val="single"/>
          <w:lang w:val="ru-RU"/>
        </w:rPr>
        <w:instrText xml:space="preserve"> REF _Ref200055965 \h </w:instrText>
      </w:r>
      <w:r w:rsidR="001C4BB8" w:rsidRPr="001C4BB8">
        <w:rPr>
          <w:rFonts w:eastAsiaTheme="minorEastAsia"/>
          <w:color w:val="0000FF"/>
          <w:szCs w:val="22"/>
          <w:u w:val="single"/>
          <w:lang w:val="ru-RU"/>
        </w:rPr>
      </w:r>
      <w:r w:rsidR="007337B0">
        <w:rPr>
          <w:rFonts w:eastAsiaTheme="minorEastAsia"/>
          <w:color w:val="0000FF"/>
          <w:szCs w:val="22"/>
          <w:u w:val="single"/>
          <w:lang w:val="ru-RU"/>
        </w:rPr>
        <w:instrText xml:space="preserve"> \* MERGEFORMAT </w:instrText>
      </w:r>
      <w:r w:rsidR="001C4BB8" w:rsidRPr="001C4BB8">
        <w:rPr>
          <w:rFonts w:eastAsiaTheme="minorEastAsia"/>
          <w:color w:val="0000FF"/>
          <w:szCs w:val="22"/>
          <w:u w:val="single"/>
          <w:lang w:val="ru-RU"/>
        </w:rPr>
        <w:fldChar w:fldCharType="separate"/>
      </w:r>
      <w:r w:rsidR="001C4BB8" w:rsidRPr="001C4BB8">
        <w:rPr>
          <w:color w:val="0000FF"/>
          <w:u w:val="single"/>
          <w:lang w:val="ru-RU"/>
        </w:rPr>
        <w:t>Приложении 1</w:t>
      </w:r>
      <w:r w:rsidR="001C4BB8" w:rsidRPr="001C4BB8">
        <w:rPr>
          <w:rFonts w:eastAsiaTheme="minorEastAsia"/>
          <w:color w:val="0000FF"/>
          <w:szCs w:val="22"/>
          <w:u w:val="single"/>
          <w:lang w:val="ru-RU"/>
        </w:rPr>
        <w:fldChar w:fldCharType="end"/>
      </w:r>
      <w:r w:rsidRPr="0086677D">
        <w:rPr>
          <w:szCs w:val="22"/>
          <w:lang w:val="ru-RU"/>
        </w:rPr>
        <w:t>.</w:t>
      </w:r>
    </w:p>
    <w:p w14:paraId="6C190794" w14:textId="77777777" w:rsidR="0086677D" w:rsidRPr="008677BA" w:rsidRDefault="0086677D" w:rsidP="007337B0">
      <w:pPr>
        <w:pStyle w:val="enumlev2"/>
        <w:jc w:val="both"/>
        <w:rPr>
          <w:szCs w:val="22"/>
          <w:lang w:val="ru-RU"/>
        </w:rPr>
      </w:pPr>
      <w:r w:rsidRPr="0086677D">
        <w:rPr>
          <w:szCs w:val="22"/>
          <w:lang w:val="ru-RU"/>
        </w:rPr>
        <w:t>3)</w:t>
      </w:r>
      <w:r w:rsidRPr="0086677D">
        <w:rPr>
          <w:szCs w:val="22"/>
          <w:lang w:val="ru-RU"/>
        </w:rPr>
        <w:tab/>
        <w:t>Оценить эффективность различных механизмов финансирования, включая внебюджетное финансирование (</w:t>
      </w:r>
      <w:r w:rsidRPr="00EF6F1F">
        <w:rPr>
          <w:szCs w:val="22"/>
        </w:rPr>
        <w:t>FIT</w:t>
      </w:r>
      <w:r w:rsidRPr="0086677D">
        <w:rPr>
          <w:szCs w:val="22"/>
          <w:lang w:val="ru-RU"/>
        </w:rPr>
        <w:t xml:space="preserve"> и т.</w:t>
      </w:r>
      <w:r>
        <w:rPr>
          <w:szCs w:val="22"/>
          <w:lang w:val="en-US"/>
        </w:rPr>
        <w:t> </w:t>
      </w:r>
      <w:r w:rsidRPr="0086677D">
        <w:rPr>
          <w:szCs w:val="22"/>
          <w:lang w:val="ru-RU"/>
        </w:rPr>
        <w:t>д.), функции мобилизации ресурсов, а</w:t>
      </w:r>
      <w:r>
        <w:rPr>
          <w:szCs w:val="22"/>
          <w:lang w:val="en-US"/>
        </w:rPr>
        <w:t> </w:t>
      </w:r>
      <w:r w:rsidRPr="0086677D">
        <w:rPr>
          <w:szCs w:val="22"/>
          <w:lang w:val="ru-RU"/>
        </w:rPr>
        <w:t>также функции отчетности и оценки применительно к реализации проектов в</w:t>
      </w:r>
      <w:r>
        <w:rPr>
          <w:szCs w:val="22"/>
          <w:lang w:val="en-US"/>
        </w:rPr>
        <w:t> </w:t>
      </w:r>
      <w:r w:rsidRPr="0086677D">
        <w:rPr>
          <w:szCs w:val="22"/>
          <w:lang w:val="ru-RU"/>
        </w:rPr>
        <w:t>рамках регионального присутствия.</w:t>
      </w:r>
    </w:p>
    <w:p w14:paraId="1744B72C" w14:textId="77777777" w:rsidR="0086677D" w:rsidRPr="0086677D" w:rsidRDefault="0086677D" w:rsidP="007337B0">
      <w:pPr>
        <w:pStyle w:val="enumlev2"/>
        <w:jc w:val="both"/>
        <w:rPr>
          <w:szCs w:val="22"/>
          <w:lang w:val="ru-RU"/>
        </w:rPr>
      </w:pPr>
      <w:r w:rsidRPr="0086677D">
        <w:rPr>
          <w:szCs w:val="22"/>
          <w:lang w:val="ru-RU"/>
        </w:rPr>
        <w:t>4)</w:t>
      </w:r>
      <w:r w:rsidRPr="0086677D">
        <w:rPr>
          <w:szCs w:val="22"/>
          <w:lang w:val="ru-RU"/>
        </w:rPr>
        <w:tab/>
        <w:t>Оценить адекватность и эффективность процедур внутреннего утверждения.</w:t>
      </w:r>
    </w:p>
    <w:p w14:paraId="4233D6F2" w14:textId="77777777" w:rsidR="0086677D" w:rsidRPr="0086677D" w:rsidRDefault="0086677D" w:rsidP="007337B0">
      <w:pPr>
        <w:pStyle w:val="enumlev2"/>
        <w:jc w:val="both"/>
        <w:rPr>
          <w:szCs w:val="22"/>
          <w:lang w:val="ru-RU"/>
        </w:rPr>
      </w:pPr>
      <w:r w:rsidRPr="0086677D">
        <w:rPr>
          <w:rFonts w:eastAsiaTheme="minorEastAsia"/>
          <w:szCs w:val="22"/>
          <w:lang w:val="ru-RU"/>
        </w:rPr>
        <w:t>5</w:t>
      </w:r>
      <w:r w:rsidRPr="0086677D">
        <w:rPr>
          <w:szCs w:val="22"/>
          <w:lang w:val="ru-RU"/>
        </w:rPr>
        <w:t>)</w:t>
      </w:r>
      <w:r w:rsidRPr="0086677D">
        <w:rPr>
          <w:rFonts w:eastAsiaTheme="minorEastAsia"/>
          <w:szCs w:val="22"/>
          <w:lang w:val="ru-RU"/>
        </w:rPr>
        <w:tab/>
      </w:r>
      <w:r w:rsidRPr="0086677D">
        <w:rPr>
          <w:szCs w:val="22"/>
          <w:lang w:val="ru-RU"/>
        </w:rPr>
        <w:t>Определить, применяется ли принцип делегирования полномочий, насколько неукоснительно выполняются внутренние служебные приказы и директивные документы, а также определить, существует ли четкое распределение ролей и</w:t>
      </w:r>
      <w:r>
        <w:rPr>
          <w:szCs w:val="22"/>
          <w:lang w:val="en-US"/>
        </w:rPr>
        <w:t> </w:t>
      </w:r>
      <w:r w:rsidRPr="0086677D">
        <w:rPr>
          <w:szCs w:val="22"/>
          <w:lang w:val="ru-RU"/>
        </w:rPr>
        <w:t xml:space="preserve">обязанностей, в том числе выполняемых ответственными за процессы структурами и функциями второй линии защиты. </w:t>
      </w:r>
    </w:p>
    <w:p w14:paraId="59C9D216" w14:textId="77777777" w:rsidR="0086677D" w:rsidRPr="0086677D" w:rsidRDefault="0086677D" w:rsidP="007337B0">
      <w:pPr>
        <w:pStyle w:val="enumlev2"/>
        <w:jc w:val="both"/>
        <w:rPr>
          <w:szCs w:val="22"/>
          <w:lang w:val="ru-RU"/>
        </w:rPr>
      </w:pPr>
      <w:r w:rsidRPr="0086677D">
        <w:rPr>
          <w:rFonts w:eastAsiaTheme="minorEastAsia"/>
          <w:szCs w:val="22"/>
          <w:lang w:val="ru-RU"/>
        </w:rPr>
        <w:t>6</w:t>
      </w:r>
      <w:r w:rsidRPr="0086677D">
        <w:rPr>
          <w:szCs w:val="22"/>
          <w:lang w:val="ru-RU"/>
        </w:rPr>
        <w:t>)</w:t>
      </w:r>
      <w:r w:rsidRPr="0086677D">
        <w:rPr>
          <w:rFonts w:eastAsiaTheme="minorEastAsia"/>
          <w:szCs w:val="22"/>
          <w:lang w:val="ru-RU"/>
        </w:rPr>
        <w:tab/>
      </w:r>
      <w:r w:rsidRPr="0086677D">
        <w:rPr>
          <w:szCs w:val="22"/>
          <w:lang w:val="ru-RU"/>
        </w:rPr>
        <w:t>Проанализировать то, как региональное присутствие интегрировано в</w:t>
      </w:r>
      <w:r>
        <w:rPr>
          <w:szCs w:val="22"/>
          <w:lang w:val="en-US"/>
        </w:rPr>
        <w:t> </w:t>
      </w:r>
      <w:r w:rsidRPr="0086677D">
        <w:rPr>
          <w:szCs w:val="22"/>
          <w:lang w:val="ru-RU"/>
        </w:rPr>
        <w:t>Стратегический план в области людских ресурсов, уделяя особое внимание таким компонентам плана, как повышение квалификации и профессиональный рост, в том числе для того, чтобы выявить и устранить пробелы в организационной культуре и навыках, а также определить, сколько и какого рода курсы подготовки и повышения квалификации персонала проводятся в каждом из региональных или зональных отделений.</w:t>
      </w:r>
    </w:p>
    <w:p w14:paraId="2E8D7D78" w14:textId="77777777" w:rsidR="0086677D" w:rsidRPr="0086677D" w:rsidRDefault="0086677D" w:rsidP="007337B0">
      <w:pPr>
        <w:pStyle w:val="enumlev2"/>
        <w:jc w:val="both"/>
        <w:rPr>
          <w:szCs w:val="22"/>
          <w:lang w:val="ru-RU"/>
        </w:rPr>
      </w:pPr>
      <w:r w:rsidRPr="0086677D">
        <w:rPr>
          <w:rFonts w:eastAsiaTheme="minorEastAsia"/>
          <w:szCs w:val="22"/>
          <w:lang w:val="ru-RU"/>
        </w:rPr>
        <w:t>7</w:t>
      </w:r>
      <w:r w:rsidRPr="0086677D">
        <w:rPr>
          <w:szCs w:val="22"/>
          <w:lang w:val="ru-RU"/>
        </w:rPr>
        <w:t>)</w:t>
      </w:r>
      <w:r w:rsidRPr="0086677D">
        <w:rPr>
          <w:rFonts w:eastAsiaTheme="minorEastAsia"/>
          <w:szCs w:val="22"/>
          <w:lang w:val="ru-RU"/>
        </w:rPr>
        <w:tab/>
        <w:t xml:space="preserve">Сравнить деятельность в области наращивания потенциала и развития всех региональных и зональных отделений с тем, что предусмотрено стратегией деятельности </w:t>
      </w:r>
      <w:r w:rsidRPr="0086677D">
        <w:rPr>
          <w:szCs w:val="22"/>
          <w:lang w:val="ru-RU"/>
        </w:rPr>
        <w:t xml:space="preserve">Центров профессиональной подготовки Академии МСЭ. </w:t>
      </w:r>
    </w:p>
    <w:p w14:paraId="05133884" w14:textId="77777777" w:rsidR="0086677D" w:rsidRPr="0086677D" w:rsidRDefault="0086677D" w:rsidP="007337B0">
      <w:pPr>
        <w:pStyle w:val="enumlev2"/>
        <w:jc w:val="both"/>
        <w:rPr>
          <w:szCs w:val="22"/>
          <w:lang w:val="ru-RU"/>
        </w:rPr>
      </w:pPr>
      <w:r w:rsidRPr="0086677D">
        <w:rPr>
          <w:rFonts w:eastAsiaTheme="minorEastAsia"/>
          <w:szCs w:val="22"/>
          <w:lang w:val="ru-RU"/>
        </w:rPr>
        <w:t>8</w:t>
      </w:r>
      <w:r w:rsidRPr="0086677D">
        <w:rPr>
          <w:szCs w:val="22"/>
          <w:lang w:val="ru-RU"/>
        </w:rPr>
        <w:t>)</w:t>
      </w:r>
      <w:r w:rsidRPr="0086677D">
        <w:rPr>
          <w:rFonts w:eastAsiaTheme="minorEastAsia"/>
          <w:szCs w:val="22"/>
          <w:lang w:val="ru-RU"/>
        </w:rPr>
        <w:tab/>
      </w:r>
      <w:r w:rsidRPr="0086677D">
        <w:rPr>
          <w:szCs w:val="22"/>
          <w:lang w:val="ru-RU"/>
        </w:rPr>
        <w:t>Определить, с какими препятствиями и проблемами сталкиваются сотрудники, участвуя в мероприятиях, включая связанные с этим затраты, и какие результаты ожидаются, с тем чтобы при необходимости обеспечить их более активное и эффективное участие в мероприятиях МСЭ, а также предоставить рекомендации в отношении того, как обеспечить более активное и эффективное участие региональных и зональных отделений.</w:t>
      </w:r>
    </w:p>
    <w:p w14:paraId="4D6BE436" w14:textId="3C4FC114" w:rsidR="0086677D" w:rsidRPr="0086677D" w:rsidRDefault="0086677D" w:rsidP="007337B0">
      <w:pPr>
        <w:pStyle w:val="enumlev2"/>
        <w:jc w:val="both"/>
        <w:rPr>
          <w:szCs w:val="22"/>
          <w:lang w:val="ru-RU"/>
        </w:rPr>
      </w:pPr>
      <w:r w:rsidRPr="0086677D">
        <w:rPr>
          <w:rFonts w:eastAsiaTheme="minorEastAsia"/>
          <w:szCs w:val="22"/>
          <w:lang w:val="ru-RU"/>
        </w:rPr>
        <w:t>9</w:t>
      </w:r>
      <w:r w:rsidRPr="0086677D">
        <w:rPr>
          <w:szCs w:val="22"/>
          <w:lang w:val="ru-RU"/>
        </w:rPr>
        <w:t>)</w:t>
      </w:r>
      <w:r w:rsidRPr="0086677D">
        <w:rPr>
          <w:rFonts w:eastAsiaTheme="minorEastAsia"/>
          <w:szCs w:val="22"/>
          <w:lang w:val="ru-RU"/>
        </w:rPr>
        <w:tab/>
      </w:r>
      <w:r w:rsidRPr="0086677D">
        <w:rPr>
          <w:szCs w:val="22"/>
          <w:lang w:val="ru-RU"/>
        </w:rPr>
        <w:t xml:space="preserve">Определить, содержит ли представляемая Совету и различным Бюро МСЭ отчетность о региональном присутствии достаточно подробную информацию о деятельности региональных и зональных отделений, как это предусмотрено </w:t>
      </w:r>
      <w:r w:rsidRPr="0086677D">
        <w:rPr>
          <w:szCs w:val="22"/>
          <w:lang w:val="ru-RU"/>
        </w:rPr>
        <w:lastRenderedPageBreak/>
        <w:t xml:space="preserve">Стратегическим планом МСЭ, Кигалийским планом действий, региональными инициативами, ежегодными четырехгодичными скользящими оперативными планами Генерального секретариата и трех Секторов, и удовлетворяются ли просьбы Государств-Членов об оказании помощи с учетом </w:t>
      </w:r>
      <w:r w:rsidRPr="00EF6F1F">
        <w:rPr>
          <w:szCs w:val="22"/>
        </w:rPr>
        <w:t>KPI</w:t>
      </w:r>
      <w:r w:rsidRPr="0086677D">
        <w:rPr>
          <w:szCs w:val="22"/>
          <w:lang w:val="ru-RU"/>
        </w:rPr>
        <w:t xml:space="preserve">, подробно описанных в </w:t>
      </w:r>
      <w:r w:rsidR="001C4BB8" w:rsidRPr="001C4BB8">
        <w:rPr>
          <w:color w:val="0000FF"/>
          <w:szCs w:val="22"/>
          <w:u w:val="single"/>
          <w:lang w:val="ru-RU"/>
        </w:rPr>
        <w:fldChar w:fldCharType="begin"/>
      </w:r>
      <w:r w:rsidR="001C4BB8" w:rsidRPr="001C4BB8">
        <w:rPr>
          <w:color w:val="0000FF"/>
          <w:szCs w:val="22"/>
          <w:u w:val="single"/>
          <w:lang w:val="ru-RU"/>
        </w:rPr>
        <w:instrText xml:space="preserve"> REF _Ref200055965 \h </w:instrText>
      </w:r>
      <w:r w:rsidR="001C4BB8" w:rsidRPr="001C4BB8">
        <w:rPr>
          <w:color w:val="0000FF"/>
          <w:szCs w:val="22"/>
          <w:u w:val="single"/>
          <w:lang w:val="ru-RU"/>
        </w:rPr>
      </w:r>
      <w:r w:rsidR="007337B0">
        <w:rPr>
          <w:color w:val="0000FF"/>
          <w:szCs w:val="22"/>
          <w:u w:val="single"/>
          <w:lang w:val="ru-RU"/>
        </w:rPr>
        <w:instrText xml:space="preserve"> \* MERGEFORMAT </w:instrText>
      </w:r>
      <w:r w:rsidR="001C4BB8" w:rsidRPr="001C4BB8">
        <w:rPr>
          <w:color w:val="0000FF"/>
          <w:szCs w:val="22"/>
          <w:u w:val="single"/>
          <w:lang w:val="ru-RU"/>
        </w:rPr>
        <w:fldChar w:fldCharType="separate"/>
      </w:r>
      <w:r w:rsidR="001C4BB8" w:rsidRPr="001C4BB8">
        <w:rPr>
          <w:color w:val="0000FF"/>
          <w:u w:val="single"/>
          <w:lang w:val="ru-RU"/>
        </w:rPr>
        <w:t>Приложении 1</w:t>
      </w:r>
      <w:r w:rsidR="001C4BB8" w:rsidRPr="001C4BB8">
        <w:rPr>
          <w:color w:val="0000FF"/>
          <w:szCs w:val="22"/>
          <w:u w:val="single"/>
          <w:lang w:val="ru-RU"/>
        </w:rPr>
        <w:fldChar w:fldCharType="end"/>
      </w:r>
      <w:r w:rsidRPr="0086677D">
        <w:rPr>
          <w:szCs w:val="22"/>
          <w:lang w:val="ru-RU"/>
        </w:rPr>
        <w:t>.</w:t>
      </w:r>
    </w:p>
    <w:p w14:paraId="3F1ED7AA" w14:textId="77777777" w:rsidR="0086677D" w:rsidRPr="0086677D" w:rsidRDefault="0086677D" w:rsidP="007337B0">
      <w:pPr>
        <w:pStyle w:val="enumlev2"/>
        <w:jc w:val="both"/>
        <w:rPr>
          <w:szCs w:val="22"/>
          <w:lang w:val="ru-RU"/>
        </w:rPr>
      </w:pPr>
      <w:r w:rsidRPr="0086677D">
        <w:rPr>
          <w:rFonts w:eastAsiaTheme="minorEastAsia"/>
          <w:szCs w:val="22"/>
          <w:lang w:val="ru-RU"/>
        </w:rPr>
        <w:t>10</w:t>
      </w:r>
      <w:r w:rsidRPr="0086677D">
        <w:rPr>
          <w:szCs w:val="22"/>
          <w:lang w:val="ru-RU"/>
        </w:rPr>
        <w:t>)</w:t>
      </w:r>
      <w:r w:rsidRPr="0086677D">
        <w:rPr>
          <w:rFonts w:eastAsiaTheme="minorEastAsia"/>
          <w:szCs w:val="22"/>
          <w:lang w:val="ru-RU"/>
        </w:rPr>
        <w:tab/>
        <w:t>Имея в виду поставленные задачи, о</w:t>
      </w:r>
      <w:r w:rsidRPr="0086677D">
        <w:rPr>
          <w:szCs w:val="22"/>
          <w:lang w:val="ru-RU"/>
        </w:rPr>
        <w:t>ценить механизмы, в том числе механизмы обмена информацией между региональными и зональными отделениями, Генеральным секретариатом, тремя Бюро и региональными организациями, и</w:t>
      </w:r>
      <w:r>
        <w:rPr>
          <w:szCs w:val="22"/>
          <w:lang w:val="en-US"/>
        </w:rPr>
        <w:t> </w:t>
      </w:r>
      <w:r w:rsidRPr="0086677D">
        <w:rPr>
          <w:szCs w:val="22"/>
          <w:lang w:val="ru-RU"/>
        </w:rPr>
        <w:t>эффективность координации, планирования и реализации при организации региональных мероприятий, собраний и конференций МСЭ, а также определить, что можно улучшить и какие действия можно предпринять для усиления синергетического эффекта в процессе координации деятельности, проектов и</w:t>
      </w:r>
      <w:r>
        <w:rPr>
          <w:szCs w:val="22"/>
          <w:lang w:val="en-US"/>
        </w:rPr>
        <w:t> </w:t>
      </w:r>
      <w:r w:rsidRPr="0086677D">
        <w:rPr>
          <w:szCs w:val="22"/>
          <w:lang w:val="ru-RU"/>
        </w:rPr>
        <w:t xml:space="preserve">инициатив и обмена информацией о них между региональными/зональными отделениями и штаб-квартирой МСЭ. </w:t>
      </w:r>
    </w:p>
    <w:p w14:paraId="1D446BC1" w14:textId="77777777" w:rsidR="0086677D" w:rsidRPr="0086677D" w:rsidRDefault="0086677D" w:rsidP="007337B0">
      <w:pPr>
        <w:pStyle w:val="enumlev2"/>
        <w:jc w:val="both"/>
        <w:rPr>
          <w:szCs w:val="22"/>
          <w:lang w:val="ru-RU"/>
        </w:rPr>
      </w:pPr>
      <w:r w:rsidRPr="0086677D">
        <w:rPr>
          <w:rFonts w:eastAsiaTheme="minorEastAsia"/>
          <w:szCs w:val="22"/>
          <w:lang w:val="ru-RU"/>
        </w:rPr>
        <w:t>11</w:t>
      </w:r>
      <w:r w:rsidRPr="0086677D">
        <w:rPr>
          <w:szCs w:val="22"/>
          <w:lang w:val="ru-RU"/>
        </w:rPr>
        <w:t>)</w:t>
      </w:r>
      <w:r w:rsidRPr="0086677D">
        <w:rPr>
          <w:rFonts w:eastAsiaTheme="minorEastAsia"/>
          <w:szCs w:val="22"/>
          <w:lang w:val="ru-RU"/>
        </w:rPr>
        <w:tab/>
      </w:r>
      <w:r w:rsidRPr="0086677D">
        <w:rPr>
          <w:szCs w:val="22"/>
          <w:lang w:val="ru-RU"/>
        </w:rPr>
        <w:t>Оценить эффективность механизмов взаимодействия с Членами МСЭ, а также с</w:t>
      </w:r>
      <w:r>
        <w:rPr>
          <w:szCs w:val="22"/>
          <w:lang w:val="en-US"/>
        </w:rPr>
        <w:t> </w:t>
      </w:r>
      <w:r w:rsidRPr="0086677D">
        <w:rPr>
          <w:szCs w:val="22"/>
          <w:lang w:val="ru-RU"/>
        </w:rPr>
        <w:t>другими международными, региональными и субрегиональными организациями и учреждениями системы ООН.</w:t>
      </w:r>
    </w:p>
    <w:p w14:paraId="64E67A2B" w14:textId="77777777" w:rsidR="0086677D" w:rsidRPr="0086677D" w:rsidRDefault="0086677D" w:rsidP="007337B0">
      <w:pPr>
        <w:pStyle w:val="enumlev2"/>
        <w:jc w:val="both"/>
        <w:rPr>
          <w:szCs w:val="22"/>
          <w:lang w:val="ru-RU"/>
        </w:rPr>
      </w:pPr>
      <w:r w:rsidRPr="0086677D">
        <w:rPr>
          <w:rFonts w:eastAsiaTheme="minorEastAsia"/>
          <w:szCs w:val="22"/>
          <w:lang w:val="ru-RU"/>
        </w:rPr>
        <w:t>12</w:t>
      </w:r>
      <w:r w:rsidRPr="0086677D">
        <w:rPr>
          <w:szCs w:val="22"/>
          <w:lang w:val="ru-RU"/>
        </w:rPr>
        <w:t>)</w:t>
      </w:r>
      <w:r w:rsidRPr="0086677D">
        <w:rPr>
          <w:rFonts w:eastAsiaTheme="minorEastAsia"/>
          <w:szCs w:val="22"/>
          <w:lang w:val="ru-RU"/>
        </w:rPr>
        <w:tab/>
        <w:t xml:space="preserve">Рекомендовать региональным и зональным отделениям подходы к </w:t>
      </w:r>
      <w:r w:rsidRPr="0086677D">
        <w:rPr>
          <w:szCs w:val="22"/>
          <w:lang w:val="ru-RU"/>
        </w:rPr>
        <w:t>усилению координации работы стран, не входящих в конкретную региональную организацию электросвязи (РОЭ), и соответствующих РОЭ в рамках региональных процессов подготовки ко всемирным ассамблеям и конференциям Союза.</w:t>
      </w:r>
    </w:p>
    <w:p w14:paraId="78E9A028" w14:textId="77777777" w:rsidR="0086677D" w:rsidRPr="00EF6F1F" w:rsidRDefault="0086677D" w:rsidP="007337B0">
      <w:pPr>
        <w:pStyle w:val="Headingb"/>
        <w:jc w:val="both"/>
        <w:rPr>
          <w:szCs w:val="22"/>
          <w:lang w:val="ru-RU"/>
        </w:rPr>
      </w:pPr>
      <w:r w:rsidRPr="00EF6F1F">
        <w:rPr>
          <w:szCs w:val="22"/>
          <w:lang w:val="ru-RU"/>
        </w:rPr>
        <w:t>Результаты работы</w:t>
      </w:r>
    </w:p>
    <w:p w14:paraId="35B204E2" w14:textId="77777777" w:rsidR="0086677D" w:rsidRPr="0086677D" w:rsidRDefault="0086677D" w:rsidP="007337B0">
      <w:pPr>
        <w:jc w:val="both"/>
        <w:rPr>
          <w:szCs w:val="22"/>
          <w:lang w:val="ru-RU"/>
        </w:rPr>
      </w:pPr>
      <w:r w:rsidRPr="0086677D">
        <w:rPr>
          <w:szCs w:val="22"/>
          <w:lang w:val="ru-RU"/>
        </w:rPr>
        <w:t xml:space="preserve">В процессе обзора Секретариатом МСЭ будут достигнуты следующие результаты: </w:t>
      </w:r>
    </w:p>
    <w:p w14:paraId="097230BD" w14:textId="77777777" w:rsidR="0086677D" w:rsidRPr="0086677D" w:rsidRDefault="0086677D" w:rsidP="007337B0">
      <w:pPr>
        <w:pStyle w:val="enumlev1"/>
        <w:jc w:val="both"/>
        <w:rPr>
          <w:szCs w:val="22"/>
          <w:lang w:val="ru-RU"/>
        </w:rPr>
      </w:pPr>
      <w:r w:rsidRPr="0086677D">
        <w:rPr>
          <w:szCs w:val="22"/>
          <w:lang w:val="ru-RU"/>
        </w:rPr>
        <w:t>–</w:t>
      </w:r>
      <w:r w:rsidRPr="0086677D">
        <w:rPr>
          <w:szCs w:val="22"/>
          <w:lang w:val="ru-RU"/>
        </w:rPr>
        <w:tab/>
        <w:t>Первоначальный отчет, в котором изложены подробный план работы, методология и</w:t>
      </w:r>
      <w:r>
        <w:rPr>
          <w:szCs w:val="22"/>
          <w:lang w:val="en-US"/>
        </w:rPr>
        <w:t> </w:t>
      </w:r>
      <w:r w:rsidRPr="0086677D">
        <w:rPr>
          <w:szCs w:val="22"/>
          <w:lang w:val="ru-RU"/>
        </w:rPr>
        <w:t xml:space="preserve">возможные финансовые последствия, если таковые ожидаются. </w:t>
      </w:r>
    </w:p>
    <w:p w14:paraId="7CC485F1" w14:textId="77777777" w:rsidR="0086677D" w:rsidRPr="0086677D" w:rsidRDefault="0086677D" w:rsidP="007337B0">
      <w:pPr>
        <w:pStyle w:val="enumlev1"/>
        <w:jc w:val="both"/>
        <w:rPr>
          <w:szCs w:val="22"/>
          <w:lang w:val="ru-RU"/>
        </w:rPr>
      </w:pPr>
      <w:r w:rsidRPr="0086677D">
        <w:rPr>
          <w:szCs w:val="22"/>
          <w:lang w:val="ru-RU"/>
        </w:rPr>
        <w:t>–</w:t>
      </w:r>
      <w:r w:rsidRPr="0086677D">
        <w:rPr>
          <w:szCs w:val="22"/>
          <w:lang w:val="ru-RU"/>
        </w:rPr>
        <w:tab/>
        <w:t>Промежуточный отчет, содержащий предварительные выводы и рекомендации.</w:t>
      </w:r>
    </w:p>
    <w:p w14:paraId="1A53731A" w14:textId="77777777" w:rsidR="0086677D" w:rsidRPr="0086677D" w:rsidRDefault="0086677D" w:rsidP="007337B0">
      <w:pPr>
        <w:pStyle w:val="enumlev1"/>
        <w:jc w:val="both"/>
        <w:rPr>
          <w:szCs w:val="22"/>
          <w:lang w:val="ru-RU"/>
        </w:rPr>
      </w:pPr>
      <w:r w:rsidRPr="0086677D">
        <w:rPr>
          <w:szCs w:val="22"/>
          <w:lang w:val="ru-RU"/>
        </w:rPr>
        <w:t>–</w:t>
      </w:r>
      <w:r w:rsidRPr="0086677D">
        <w:rPr>
          <w:rFonts w:ascii="Symbol" w:hAnsi="Symbol"/>
          <w:szCs w:val="22"/>
          <w:lang w:val="ru-RU"/>
        </w:rPr>
        <w:tab/>
      </w:r>
      <w:r w:rsidRPr="0086677D">
        <w:rPr>
          <w:szCs w:val="22"/>
          <w:lang w:val="ru-RU"/>
        </w:rPr>
        <w:t>Заключительный отчет, содержащий результаты всестороннего анализа, выводы и</w:t>
      </w:r>
      <w:r>
        <w:rPr>
          <w:szCs w:val="22"/>
          <w:lang w:val="en-US"/>
        </w:rPr>
        <w:t> </w:t>
      </w:r>
      <w:r w:rsidRPr="0086677D">
        <w:rPr>
          <w:szCs w:val="22"/>
          <w:lang w:val="ru-RU"/>
        </w:rPr>
        <w:t>практические рекомендации.</w:t>
      </w:r>
    </w:p>
    <w:p w14:paraId="0E736C5D" w14:textId="77777777" w:rsidR="0086677D" w:rsidRPr="0086677D" w:rsidRDefault="0086677D" w:rsidP="007337B0">
      <w:pPr>
        <w:pStyle w:val="enumlev1"/>
        <w:jc w:val="both"/>
        <w:rPr>
          <w:szCs w:val="22"/>
          <w:lang w:val="ru-RU"/>
        </w:rPr>
      </w:pPr>
      <w:r w:rsidRPr="0086677D">
        <w:rPr>
          <w:szCs w:val="22"/>
          <w:lang w:val="ru-RU"/>
        </w:rPr>
        <w:t>–</w:t>
      </w:r>
      <w:r w:rsidRPr="0086677D">
        <w:rPr>
          <w:szCs w:val="22"/>
          <w:lang w:val="ru-RU"/>
        </w:rPr>
        <w:tab/>
        <w:t>Представление заключительного отчета и основных выводов Совету МСЭ.</w:t>
      </w:r>
    </w:p>
    <w:p w14:paraId="7D10DCEF" w14:textId="77777777" w:rsidR="0086677D" w:rsidRPr="00EF6F1F" w:rsidRDefault="0086677D" w:rsidP="007337B0">
      <w:pPr>
        <w:pStyle w:val="Headingb"/>
        <w:jc w:val="both"/>
        <w:rPr>
          <w:szCs w:val="22"/>
          <w:lang w:val="ru-RU"/>
        </w:rPr>
      </w:pPr>
      <w:r w:rsidRPr="00EF6F1F">
        <w:rPr>
          <w:szCs w:val="22"/>
          <w:lang w:val="ru-RU"/>
        </w:rPr>
        <w:t>Сроки</w:t>
      </w:r>
    </w:p>
    <w:p w14:paraId="0AF8C306" w14:textId="77777777" w:rsidR="0086677D" w:rsidRPr="0086677D" w:rsidRDefault="0086677D" w:rsidP="007337B0">
      <w:pPr>
        <w:pStyle w:val="enumlev1"/>
        <w:jc w:val="both"/>
        <w:rPr>
          <w:szCs w:val="22"/>
          <w:lang w:val="ru-RU"/>
        </w:rPr>
      </w:pPr>
      <w:r w:rsidRPr="0086677D">
        <w:rPr>
          <w:szCs w:val="22"/>
          <w:lang w:val="ru-RU"/>
        </w:rPr>
        <w:t>–</w:t>
      </w:r>
      <w:r w:rsidRPr="0086677D">
        <w:rPr>
          <w:szCs w:val="22"/>
          <w:lang w:val="ru-RU"/>
        </w:rPr>
        <w:tab/>
        <w:t>Первоначальный отчет: июнь 2025</w:t>
      </w:r>
      <w:r>
        <w:rPr>
          <w:szCs w:val="22"/>
          <w:lang w:val="en-US"/>
        </w:rPr>
        <w:t> </w:t>
      </w:r>
      <w:r w:rsidRPr="0086677D">
        <w:rPr>
          <w:szCs w:val="22"/>
          <w:lang w:val="ru-RU"/>
        </w:rPr>
        <w:t>года (Совет).</w:t>
      </w:r>
    </w:p>
    <w:p w14:paraId="045E7CF3" w14:textId="77777777" w:rsidR="0086677D" w:rsidRPr="0086677D" w:rsidRDefault="0086677D" w:rsidP="007337B0">
      <w:pPr>
        <w:pStyle w:val="enumlev1"/>
        <w:jc w:val="both"/>
        <w:rPr>
          <w:szCs w:val="22"/>
          <w:lang w:val="ru-RU"/>
        </w:rPr>
      </w:pPr>
      <w:r w:rsidRPr="0086677D">
        <w:rPr>
          <w:szCs w:val="22"/>
          <w:lang w:val="ru-RU"/>
        </w:rPr>
        <w:t>–</w:t>
      </w:r>
      <w:r w:rsidRPr="0086677D">
        <w:rPr>
          <w:szCs w:val="22"/>
          <w:lang w:val="ru-RU"/>
        </w:rPr>
        <w:tab/>
        <w:t>Промежуточный отчет: сентябрь/октябрь 2025</w:t>
      </w:r>
      <w:r>
        <w:rPr>
          <w:szCs w:val="22"/>
          <w:lang w:val="en-US"/>
        </w:rPr>
        <w:t> </w:t>
      </w:r>
      <w:r w:rsidRPr="0086677D">
        <w:rPr>
          <w:szCs w:val="22"/>
          <w:lang w:val="ru-RU"/>
        </w:rPr>
        <w:t>года и январь/февраль 2026</w:t>
      </w:r>
      <w:r>
        <w:rPr>
          <w:szCs w:val="22"/>
          <w:lang w:val="en-US"/>
        </w:rPr>
        <w:t> </w:t>
      </w:r>
      <w:r w:rsidRPr="0086677D">
        <w:rPr>
          <w:szCs w:val="22"/>
          <w:lang w:val="ru-RU"/>
        </w:rPr>
        <w:t>года (собрания РГС-ФЛР).</w:t>
      </w:r>
    </w:p>
    <w:p w14:paraId="37EC197F" w14:textId="77777777" w:rsidR="0086677D" w:rsidRPr="0086677D" w:rsidRDefault="0086677D" w:rsidP="007337B0">
      <w:pPr>
        <w:pStyle w:val="enumlev1"/>
        <w:jc w:val="both"/>
        <w:rPr>
          <w:szCs w:val="22"/>
          <w:lang w:val="ru-RU"/>
        </w:rPr>
      </w:pPr>
      <w:r w:rsidRPr="0086677D">
        <w:rPr>
          <w:szCs w:val="22"/>
          <w:lang w:val="ru-RU"/>
        </w:rPr>
        <w:t>–</w:t>
      </w:r>
      <w:r w:rsidRPr="0086677D">
        <w:rPr>
          <w:szCs w:val="22"/>
          <w:lang w:val="ru-RU"/>
        </w:rPr>
        <w:tab/>
        <w:t>Заключительный отчет: представление Совету МСЭ, апрель 2026</w:t>
      </w:r>
      <w:r>
        <w:rPr>
          <w:szCs w:val="22"/>
          <w:lang w:val="en-US"/>
        </w:rPr>
        <w:t> </w:t>
      </w:r>
      <w:r w:rsidRPr="0086677D">
        <w:rPr>
          <w:szCs w:val="22"/>
          <w:lang w:val="ru-RU"/>
        </w:rPr>
        <w:t>года.</w:t>
      </w:r>
    </w:p>
    <w:p w14:paraId="779ADED9" w14:textId="77777777" w:rsidR="0086677D" w:rsidRPr="0086677D" w:rsidRDefault="0086677D" w:rsidP="0086677D">
      <w:pPr>
        <w:rPr>
          <w:lang w:val="ru-RU"/>
        </w:rPr>
      </w:pPr>
      <w:r w:rsidRPr="0086677D">
        <w:rPr>
          <w:lang w:val="ru-RU"/>
        </w:rPr>
        <w:br w:type="page"/>
      </w:r>
    </w:p>
    <w:p w14:paraId="0B641023" w14:textId="2A8EDDB6" w:rsidR="0086677D" w:rsidRPr="008677BA" w:rsidRDefault="0086677D" w:rsidP="00033830">
      <w:pPr>
        <w:pStyle w:val="AnnexNo"/>
        <w:rPr>
          <w:lang w:val="ru-RU"/>
        </w:rPr>
      </w:pPr>
      <w:bookmarkStart w:id="13" w:name="_Ref200055965"/>
      <w:bookmarkStart w:id="14" w:name="Annex_1"/>
      <w:r w:rsidRPr="008677BA">
        <w:rPr>
          <w:lang w:val="ru-RU"/>
        </w:rPr>
        <w:lastRenderedPageBreak/>
        <w:t>П</w:t>
      </w:r>
      <w:r w:rsidR="005C2E6F" w:rsidRPr="008677BA">
        <w:rPr>
          <w:lang w:val="ru-RU"/>
        </w:rPr>
        <w:t>риложение</w:t>
      </w:r>
      <w:r w:rsidRPr="008677BA">
        <w:rPr>
          <w:lang w:val="ru-RU"/>
        </w:rPr>
        <w:t xml:space="preserve"> 1</w:t>
      </w:r>
      <w:r w:rsidR="005C2E6F" w:rsidRPr="008677BA">
        <w:rPr>
          <w:lang w:val="ru-RU"/>
        </w:rPr>
        <w:t xml:space="preserve"> к Приложению А</w:t>
      </w:r>
      <w:bookmarkEnd w:id="13"/>
    </w:p>
    <w:bookmarkEnd w:id="14"/>
    <w:p w14:paraId="18CBD85F" w14:textId="77777777" w:rsidR="0086677D" w:rsidRPr="0086677D" w:rsidRDefault="0086677D" w:rsidP="0086677D">
      <w:pPr>
        <w:pStyle w:val="Annextitle"/>
        <w:rPr>
          <w:lang w:val="ru-RU"/>
        </w:rPr>
      </w:pPr>
      <w:r w:rsidRPr="0086677D">
        <w:rPr>
          <w:lang w:val="ru-RU"/>
        </w:rPr>
        <w:t>Ключевые показатели деятельности и критерии оценки, которыми следует руководствоваться при проведении обзора регионального присутствия МСЭ</w:t>
      </w:r>
    </w:p>
    <w:p w14:paraId="5F387D31" w14:textId="77777777" w:rsidR="0086677D" w:rsidRPr="0086677D" w:rsidRDefault="0086677D" w:rsidP="007337B0">
      <w:pPr>
        <w:pStyle w:val="Normalaftertitle"/>
        <w:jc w:val="both"/>
        <w:rPr>
          <w:lang w:val="ru-RU"/>
        </w:rPr>
      </w:pPr>
      <w:r w:rsidRPr="0086677D">
        <w:rPr>
          <w:lang w:val="ru-RU"/>
        </w:rPr>
        <w:t>Для того, чтобы обеспечить всестороннюю и эффективную оценку регионального присутствия МСЭ, при проведении обзора следует руководствоваться следующими ключевыми показателями деятельности и критериями оценки:</w:t>
      </w:r>
    </w:p>
    <w:p w14:paraId="1527A1FC" w14:textId="77777777" w:rsidR="0086677D" w:rsidRPr="0086677D" w:rsidRDefault="0086677D" w:rsidP="007337B0">
      <w:pPr>
        <w:pStyle w:val="enumlev1"/>
        <w:jc w:val="both"/>
        <w:rPr>
          <w:lang w:val="ru-RU"/>
        </w:rPr>
      </w:pPr>
      <w:r w:rsidRPr="0086677D">
        <w:rPr>
          <w:lang w:val="ru-RU"/>
        </w:rPr>
        <w:t>1)</w:t>
      </w:r>
      <w:r w:rsidRPr="0086677D">
        <w:rPr>
          <w:lang w:val="ru-RU"/>
        </w:rPr>
        <w:tab/>
        <w:t>Процентная доля выполненных задач, установленных в Стратегическом плане и планах действий.</w:t>
      </w:r>
    </w:p>
    <w:p w14:paraId="2C7E0A94" w14:textId="77777777" w:rsidR="0086677D" w:rsidRPr="0086677D" w:rsidRDefault="0086677D" w:rsidP="007337B0">
      <w:pPr>
        <w:pStyle w:val="enumlev1"/>
        <w:jc w:val="both"/>
        <w:rPr>
          <w:lang w:val="ru-RU"/>
        </w:rPr>
      </w:pPr>
      <w:r w:rsidRPr="0086677D">
        <w:rPr>
          <w:lang w:val="ru-RU"/>
        </w:rPr>
        <w:t>2)</w:t>
      </w:r>
      <w:r w:rsidRPr="0086677D">
        <w:rPr>
          <w:lang w:val="ru-RU"/>
        </w:rPr>
        <w:tab/>
        <w:t>Процентная доля планов работы/деятельности сотрудников, непосредственно согласующихся со Стратегическим планом и Кигалийским планом действий.</w:t>
      </w:r>
    </w:p>
    <w:p w14:paraId="7A6894EC" w14:textId="77777777" w:rsidR="0086677D" w:rsidRPr="0086677D" w:rsidRDefault="0086677D" w:rsidP="007337B0">
      <w:pPr>
        <w:pStyle w:val="enumlev1"/>
        <w:jc w:val="both"/>
        <w:rPr>
          <w:lang w:val="ru-RU"/>
        </w:rPr>
      </w:pPr>
      <w:r w:rsidRPr="0086677D">
        <w:rPr>
          <w:lang w:val="ru-RU"/>
        </w:rPr>
        <w:t>3)</w:t>
      </w:r>
      <w:r w:rsidRPr="0086677D">
        <w:rPr>
          <w:lang w:val="ru-RU"/>
        </w:rPr>
        <w:tab/>
        <w:t>Среднее время, затрачиваемое сотрудниками региональных отделений на рассмотрение/выполнение запросов Государств-Членов об оказании помощи.</w:t>
      </w:r>
    </w:p>
    <w:p w14:paraId="192614AD" w14:textId="77777777" w:rsidR="0086677D" w:rsidRPr="0086677D" w:rsidRDefault="0086677D" w:rsidP="007337B0">
      <w:pPr>
        <w:pStyle w:val="enumlev1"/>
        <w:jc w:val="both"/>
        <w:rPr>
          <w:lang w:val="ru-RU"/>
        </w:rPr>
      </w:pPr>
      <w:r w:rsidRPr="0086677D">
        <w:rPr>
          <w:lang w:val="ru-RU"/>
        </w:rPr>
        <w:t>4)</w:t>
      </w:r>
      <w:r w:rsidRPr="0086677D">
        <w:rPr>
          <w:lang w:val="ru-RU"/>
        </w:rPr>
        <w:tab/>
        <w:t>Оценки уровня общей удовлетворенности деятельностью региональных и зональных отделений, составляемые на основе отзывов их Членов.</w:t>
      </w:r>
    </w:p>
    <w:p w14:paraId="64F3FCE6" w14:textId="77777777" w:rsidR="0086677D" w:rsidRPr="0086677D" w:rsidRDefault="0086677D" w:rsidP="007337B0">
      <w:pPr>
        <w:pStyle w:val="enumlev1"/>
        <w:jc w:val="both"/>
        <w:rPr>
          <w:lang w:val="ru-RU"/>
        </w:rPr>
      </w:pPr>
      <w:r w:rsidRPr="0086677D">
        <w:rPr>
          <w:lang w:val="ru-RU"/>
        </w:rPr>
        <w:t>5)</w:t>
      </w:r>
      <w:r w:rsidRPr="0086677D">
        <w:rPr>
          <w:lang w:val="ru-RU"/>
        </w:rPr>
        <w:tab/>
        <w:t>Оценки уровня достаточности ресурсов, составляемые на основе отзывов региональных и зональных отделений и Государств-Членов.</w:t>
      </w:r>
    </w:p>
    <w:p w14:paraId="7F39EB67" w14:textId="77777777" w:rsidR="0086677D" w:rsidRPr="0086677D" w:rsidRDefault="0086677D" w:rsidP="007337B0">
      <w:pPr>
        <w:pStyle w:val="enumlev1"/>
        <w:jc w:val="both"/>
        <w:rPr>
          <w:lang w:val="ru-RU"/>
        </w:rPr>
      </w:pPr>
      <w:r w:rsidRPr="0086677D">
        <w:rPr>
          <w:lang w:val="ru-RU"/>
        </w:rPr>
        <w:t>6)</w:t>
      </w:r>
      <w:r w:rsidRPr="0086677D">
        <w:rPr>
          <w:lang w:val="ru-RU"/>
        </w:rPr>
        <w:tab/>
        <w:t>Количество региональных инициатив, успешно реализованных в пределах выделенных на них ресурсов.</w:t>
      </w:r>
    </w:p>
    <w:p w14:paraId="6C08C52D" w14:textId="77777777" w:rsidR="0086677D" w:rsidRPr="0086677D" w:rsidRDefault="0086677D" w:rsidP="007337B0">
      <w:pPr>
        <w:pStyle w:val="enumlev1"/>
        <w:jc w:val="both"/>
        <w:rPr>
          <w:lang w:val="ru-RU"/>
        </w:rPr>
      </w:pPr>
      <w:r w:rsidRPr="0086677D">
        <w:rPr>
          <w:lang w:val="ru-RU"/>
        </w:rPr>
        <w:t>7)</w:t>
      </w:r>
      <w:r w:rsidRPr="0086677D">
        <w:rPr>
          <w:lang w:val="ru-RU"/>
        </w:rPr>
        <w:tab/>
        <w:t>Рекомендации в отношении того, как при подготовке отчетности решать любые проблемы, возникающие при сборе данных или демонстрации прогресса в достижении ключевых показателей деятельности.</w:t>
      </w:r>
    </w:p>
    <w:p w14:paraId="27814BCE" w14:textId="77777777" w:rsidR="0086677D" w:rsidRPr="0086677D" w:rsidRDefault="0086677D" w:rsidP="007337B0">
      <w:pPr>
        <w:pStyle w:val="enumlev1"/>
        <w:jc w:val="both"/>
        <w:rPr>
          <w:lang w:val="ru-RU"/>
        </w:rPr>
      </w:pPr>
      <w:r w:rsidRPr="0086677D">
        <w:rPr>
          <w:lang w:val="ru-RU"/>
        </w:rPr>
        <w:t>8)</w:t>
      </w:r>
      <w:r w:rsidRPr="0086677D">
        <w:rPr>
          <w:lang w:val="ru-RU"/>
        </w:rPr>
        <w:tab/>
        <w:t>Определить, эффективны ли информация/</w:t>
      </w:r>
      <w:r w:rsidRPr="00EF6F1F">
        <w:t>KPI</w:t>
      </w:r>
      <w:r w:rsidRPr="0086677D">
        <w:rPr>
          <w:lang w:val="ru-RU"/>
        </w:rPr>
        <w:t>, приводимые в отчетности о действиях региональных и зональных отделений по согласованию своей работы, видов деятельности и конечных результатов со Стратегическим планом МСЭ на 2023−2026</w:t>
      </w:r>
      <w:r>
        <w:rPr>
          <w:lang w:val="en-US"/>
        </w:rPr>
        <w:t> </w:t>
      </w:r>
      <w:r w:rsidRPr="0086677D">
        <w:rPr>
          <w:lang w:val="ru-RU"/>
        </w:rPr>
        <w:t>годы и Кигалийским планом действий, включая тематические приоритеты, конечные результаты, намеченные результаты деятельности и региональные инициативы в</w:t>
      </w:r>
      <w:r>
        <w:rPr>
          <w:lang w:val="en-US"/>
        </w:rPr>
        <w:t> </w:t>
      </w:r>
      <w:r w:rsidRPr="0086677D">
        <w:rPr>
          <w:lang w:val="ru-RU"/>
        </w:rPr>
        <w:t>соответствии со Стратегическим планом, и об их эффективности в этом отношении.</w:t>
      </w:r>
    </w:p>
    <w:p w14:paraId="2645EC70" w14:textId="77777777" w:rsidR="0086677D" w:rsidRPr="0086677D" w:rsidRDefault="0086677D" w:rsidP="007337B0">
      <w:pPr>
        <w:pStyle w:val="enumlev1"/>
        <w:jc w:val="both"/>
        <w:rPr>
          <w:lang w:val="ru-RU"/>
        </w:rPr>
      </w:pPr>
      <w:r w:rsidRPr="0086677D">
        <w:rPr>
          <w:lang w:val="ru-RU"/>
        </w:rPr>
        <w:t>9)</w:t>
      </w:r>
      <w:r w:rsidRPr="0086677D">
        <w:rPr>
          <w:lang w:val="ru-RU"/>
        </w:rPr>
        <w:tab/>
        <w:t>Оценить степень вовлеченности сотрудников и конкретные шаги, предпринятые при</w:t>
      </w:r>
      <w:r>
        <w:rPr>
          <w:lang w:val="en-US"/>
        </w:rPr>
        <w:t> </w:t>
      </w:r>
      <w:r w:rsidRPr="0086677D">
        <w:rPr>
          <w:lang w:val="ru-RU"/>
        </w:rPr>
        <w:t xml:space="preserve">разработке </w:t>
      </w:r>
      <w:r w:rsidRPr="00EF6F1F">
        <w:t>KPI</w:t>
      </w:r>
      <w:r w:rsidRPr="0086677D">
        <w:rPr>
          <w:lang w:val="ru-RU"/>
        </w:rPr>
        <w:t xml:space="preserve"> Консультативной группы по развитию электросвязи (КГРЭ). </w:t>
      </w:r>
    </w:p>
    <w:p w14:paraId="638C4CEB" w14:textId="77777777" w:rsidR="0086677D" w:rsidRPr="0086677D" w:rsidRDefault="0086677D" w:rsidP="007337B0">
      <w:pPr>
        <w:pStyle w:val="enumlev1"/>
        <w:jc w:val="both"/>
        <w:rPr>
          <w:lang w:val="ru-RU"/>
        </w:rPr>
      </w:pPr>
      <w:r w:rsidRPr="0086677D">
        <w:rPr>
          <w:lang w:val="ru-RU"/>
        </w:rPr>
        <w:t>10)</w:t>
      </w:r>
      <w:r w:rsidRPr="0086677D">
        <w:rPr>
          <w:lang w:val="ru-RU"/>
        </w:rPr>
        <w:tab/>
        <w:t>Описать проблемы, с которыми сталкиваются сотрудники региональных и зональных отделений, участвуя в мероприятиях, в том числе проблемы, связанные с материально-техническим обеспечением, факторами, препятствующими активному участию, или</w:t>
      </w:r>
      <w:r>
        <w:rPr>
          <w:lang w:val="en-US"/>
        </w:rPr>
        <w:t> </w:t>
      </w:r>
      <w:r w:rsidRPr="0086677D">
        <w:rPr>
          <w:lang w:val="ru-RU"/>
        </w:rPr>
        <w:t>сопряженными с этими мероприятиями расходами.</w:t>
      </w:r>
    </w:p>
    <w:p w14:paraId="186FB11C" w14:textId="77777777" w:rsidR="0086677D" w:rsidRPr="0086677D" w:rsidRDefault="0086677D" w:rsidP="007337B0">
      <w:pPr>
        <w:pStyle w:val="enumlev1"/>
        <w:jc w:val="both"/>
        <w:rPr>
          <w:lang w:val="ru-RU"/>
        </w:rPr>
      </w:pPr>
      <w:r w:rsidRPr="0086677D">
        <w:rPr>
          <w:lang w:val="ru-RU"/>
        </w:rPr>
        <w:t>11)</w:t>
      </w:r>
      <w:r w:rsidRPr="0086677D">
        <w:rPr>
          <w:lang w:val="ru-RU"/>
        </w:rPr>
        <w:tab/>
        <w:t>Предоставить сотрудникам региональных и зональных отделений рекомендации о том, как наилучшим образом обеспечить максимально тесное взаимодействие с</w:t>
      </w:r>
      <w:r>
        <w:rPr>
          <w:lang w:val="en-US"/>
        </w:rPr>
        <w:t> </w:t>
      </w:r>
      <w:r w:rsidRPr="0086677D">
        <w:rPr>
          <w:lang w:val="ru-RU"/>
        </w:rPr>
        <w:t>региональными заинтересованными сторонами в рамках глобальных мероприятий.</w:t>
      </w:r>
    </w:p>
    <w:p w14:paraId="0FEA3B91" w14:textId="77777777" w:rsidR="0086677D" w:rsidRPr="0086677D" w:rsidRDefault="0086677D" w:rsidP="007337B0">
      <w:pPr>
        <w:pStyle w:val="enumlev1"/>
        <w:jc w:val="both"/>
        <w:rPr>
          <w:lang w:val="ru-RU"/>
        </w:rPr>
      </w:pPr>
      <w:r w:rsidRPr="0086677D">
        <w:rPr>
          <w:lang w:val="ru-RU"/>
        </w:rPr>
        <w:t>12)</w:t>
      </w:r>
      <w:r w:rsidRPr="0086677D">
        <w:rPr>
          <w:lang w:val="ru-RU"/>
        </w:rPr>
        <w:tab/>
        <w:t>На основе рекомендаций определить, может ли план действий, направленных на</w:t>
      </w:r>
      <w:r>
        <w:rPr>
          <w:lang w:val="en-US"/>
        </w:rPr>
        <w:t> </w:t>
      </w:r>
      <w:r w:rsidRPr="0086677D">
        <w:rPr>
          <w:lang w:val="ru-RU"/>
        </w:rPr>
        <w:t>обеспечение более активного участия сотрудников региональных и зональных отделений в мероприятиях, повысить эффективность такого участия.</w:t>
      </w:r>
    </w:p>
    <w:p w14:paraId="27FBEC97" w14:textId="77777777" w:rsidR="0086677D" w:rsidRPr="0086677D" w:rsidRDefault="0086677D" w:rsidP="007337B0">
      <w:pPr>
        <w:pStyle w:val="enumlev1"/>
        <w:keepNext/>
        <w:keepLines/>
        <w:jc w:val="both"/>
        <w:rPr>
          <w:lang w:val="ru-RU"/>
        </w:rPr>
      </w:pPr>
      <w:r w:rsidRPr="0086677D">
        <w:rPr>
          <w:lang w:val="ru-RU"/>
        </w:rPr>
        <w:t>13)</w:t>
      </w:r>
      <w:r w:rsidRPr="0086677D">
        <w:rPr>
          <w:lang w:val="ru-RU"/>
        </w:rPr>
        <w:tab/>
        <w:t>Объем людских и финансовых ресурсов в региональных и зональных отделениях, в том числе:</w:t>
      </w:r>
    </w:p>
    <w:p w14:paraId="06B01834" w14:textId="77777777" w:rsidR="0086677D" w:rsidRPr="0086677D" w:rsidRDefault="0086677D" w:rsidP="007337B0">
      <w:pPr>
        <w:pStyle w:val="enumlev2"/>
        <w:jc w:val="both"/>
        <w:rPr>
          <w:lang w:val="ru-RU"/>
        </w:rPr>
      </w:pPr>
      <w:r w:rsidRPr="00EF6F1F">
        <w:rPr>
          <w:rFonts w:eastAsiaTheme="minorEastAsia"/>
          <w:i/>
          <w:iCs/>
        </w:rPr>
        <w:t>a</w:t>
      </w:r>
      <w:r w:rsidRPr="0086677D">
        <w:rPr>
          <w:rFonts w:eastAsiaTheme="minorEastAsia"/>
          <w:i/>
          <w:iCs/>
          <w:lang w:val="ru-RU"/>
        </w:rPr>
        <w:t>)</w:t>
      </w:r>
      <w:r w:rsidRPr="0086677D">
        <w:rPr>
          <w:rFonts w:eastAsiaTheme="minorEastAsia"/>
          <w:i/>
          <w:iCs/>
          <w:lang w:val="ru-RU"/>
        </w:rPr>
        <w:tab/>
      </w:r>
      <w:r w:rsidRPr="0086677D">
        <w:rPr>
          <w:lang w:val="ru-RU"/>
        </w:rPr>
        <w:t>число сотрудников в каждом региональном и зональном отделении;</w:t>
      </w:r>
    </w:p>
    <w:p w14:paraId="2C9D30F9" w14:textId="77777777" w:rsidR="0086677D" w:rsidRPr="0086677D" w:rsidRDefault="0086677D" w:rsidP="007337B0">
      <w:pPr>
        <w:pStyle w:val="enumlev2"/>
        <w:jc w:val="both"/>
        <w:rPr>
          <w:lang w:val="ru-RU"/>
        </w:rPr>
      </w:pPr>
      <w:r w:rsidRPr="00EF6F1F">
        <w:rPr>
          <w:rFonts w:eastAsiaTheme="minorEastAsia"/>
          <w:i/>
          <w:iCs/>
        </w:rPr>
        <w:t>b</w:t>
      </w:r>
      <w:r w:rsidRPr="0086677D">
        <w:rPr>
          <w:rFonts w:eastAsiaTheme="minorEastAsia"/>
          <w:i/>
          <w:iCs/>
          <w:lang w:val="ru-RU"/>
        </w:rPr>
        <w:t>)</w:t>
      </w:r>
      <w:r w:rsidRPr="0086677D">
        <w:rPr>
          <w:rFonts w:eastAsiaTheme="minorEastAsia"/>
          <w:i/>
          <w:iCs/>
          <w:lang w:val="ru-RU"/>
        </w:rPr>
        <w:tab/>
      </w:r>
      <w:r w:rsidRPr="0086677D">
        <w:rPr>
          <w:lang w:val="ru-RU"/>
        </w:rPr>
        <w:t>число стран, обслуживаемых региональным или зональным отделением;</w:t>
      </w:r>
    </w:p>
    <w:p w14:paraId="256C8F22" w14:textId="77777777" w:rsidR="0086677D" w:rsidRPr="0086677D" w:rsidRDefault="0086677D" w:rsidP="007337B0">
      <w:pPr>
        <w:pStyle w:val="enumlev2"/>
        <w:jc w:val="both"/>
        <w:rPr>
          <w:lang w:val="ru-RU"/>
        </w:rPr>
      </w:pPr>
      <w:r w:rsidRPr="00EF6F1F">
        <w:rPr>
          <w:rFonts w:eastAsiaTheme="minorEastAsia"/>
          <w:i/>
          <w:iCs/>
        </w:rPr>
        <w:lastRenderedPageBreak/>
        <w:t>c</w:t>
      </w:r>
      <w:r w:rsidRPr="0086677D">
        <w:rPr>
          <w:rFonts w:eastAsiaTheme="minorEastAsia"/>
          <w:i/>
          <w:iCs/>
          <w:lang w:val="ru-RU"/>
        </w:rPr>
        <w:t>)</w:t>
      </w:r>
      <w:r w:rsidRPr="0086677D">
        <w:rPr>
          <w:rFonts w:eastAsiaTheme="minorEastAsia"/>
          <w:i/>
          <w:iCs/>
          <w:lang w:val="ru-RU"/>
        </w:rPr>
        <w:tab/>
      </w:r>
      <w:r w:rsidRPr="0086677D">
        <w:rPr>
          <w:lang w:val="ru-RU"/>
        </w:rPr>
        <w:t>количество проектов/инициатив, в которых участвуют региональные или</w:t>
      </w:r>
      <w:r>
        <w:rPr>
          <w:lang w:val="en-US"/>
        </w:rPr>
        <w:t> </w:t>
      </w:r>
      <w:r w:rsidRPr="0086677D">
        <w:rPr>
          <w:lang w:val="ru-RU"/>
        </w:rPr>
        <w:t>зональные отделения, и организованных ими мероприятий (региональных и</w:t>
      </w:r>
      <w:r>
        <w:rPr>
          <w:lang w:val="en-US"/>
        </w:rPr>
        <w:t> </w:t>
      </w:r>
      <w:r w:rsidRPr="0086677D">
        <w:rPr>
          <w:lang w:val="ru-RU"/>
        </w:rPr>
        <w:t>в масштабах МСЭ) (за отчетный год);</w:t>
      </w:r>
    </w:p>
    <w:p w14:paraId="50BBDA8D" w14:textId="77777777" w:rsidR="0086677D" w:rsidRPr="0086677D" w:rsidRDefault="0086677D" w:rsidP="007337B0">
      <w:pPr>
        <w:pStyle w:val="enumlev2"/>
        <w:jc w:val="both"/>
        <w:rPr>
          <w:lang w:val="ru-RU"/>
        </w:rPr>
      </w:pPr>
      <w:r w:rsidRPr="00EF6F1F">
        <w:rPr>
          <w:rFonts w:eastAsiaTheme="minorEastAsia"/>
          <w:i/>
          <w:iCs/>
        </w:rPr>
        <w:t>d</w:t>
      </w:r>
      <w:r w:rsidRPr="0086677D">
        <w:rPr>
          <w:rFonts w:eastAsiaTheme="minorEastAsia"/>
          <w:i/>
          <w:iCs/>
          <w:lang w:val="ru-RU"/>
        </w:rPr>
        <w:t>)</w:t>
      </w:r>
      <w:r w:rsidRPr="0086677D">
        <w:rPr>
          <w:rFonts w:eastAsiaTheme="minorEastAsia"/>
          <w:i/>
          <w:iCs/>
          <w:lang w:val="ru-RU"/>
        </w:rPr>
        <w:tab/>
      </w:r>
      <w:r w:rsidRPr="0086677D">
        <w:rPr>
          <w:lang w:val="ru-RU"/>
        </w:rPr>
        <w:t>ресурсы, выделяемые каждому из региональных и зональных отделений в</w:t>
      </w:r>
      <w:r>
        <w:rPr>
          <w:lang w:val="en-US"/>
        </w:rPr>
        <w:t> </w:t>
      </w:r>
      <w:r w:rsidRPr="0086677D">
        <w:rPr>
          <w:lang w:val="ru-RU"/>
        </w:rPr>
        <w:t>соответствии с финансовым планом (за отчетный год, в подробной разбивке по</w:t>
      </w:r>
      <w:r>
        <w:rPr>
          <w:lang w:val="en-US"/>
        </w:rPr>
        <w:t> </w:t>
      </w:r>
      <w:r w:rsidRPr="0086677D">
        <w:rPr>
          <w:lang w:val="ru-RU"/>
        </w:rPr>
        <w:t>ресурсам, выделяемым на персонал, деятельность отделения и реализацию проектов/инициатив/мероприятий);</w:t>
      </w:r>
    </w:p>
    <w:p w14:paraId="51BC2CD6" w14:textId="77777777" w:rsidR="0086677D" w:rsidRPr="0086677D" w:rsidRDefault="0086677D" w:rsidP="007337B0">
      <w:pPr>
        <w:pStyle w:val="enumlev2"/>
        <w:jc w:val="both"/>
        <w:rPr>
          <w:lang w:val="ru-RU"/>
        </w:rPr>
      </w:pPr>
      <w:r w:rsidRPr="00EF6F1F">
        <w:rPr>
          <w:rFonts w:eastAsiaTheme="minorEastAsia"/>
          <w:i/>
          <w:iCs/>
        </w:rPr>
        <w:t>e</w:t>
      </w:r>
      <w:r w:rsidRPr="0086677D">
        <w:rPr>
          <w:rFonts w:eastAsiaTheme="minorEastAsia"/>
          <w:i/>
          <w:iCs/>
          <w:lang w:val="ru-RU"/>
        </w:rPr>
        <w:t>)</w:t>
      </w:r>
      <w:r w:rsidRPr="0086677D">
        <w:rPr>
          <w:rFonts w:eastAsiaTheme="minorEastAsia"/>
          <w:i/>
          <w:iCs/>
          <w:lang w:val="ru-RU"/>
        </w:rPr>
        <w:tab/>
      </w:r>
      <w:r w:rsidRPr="0086677D">
        <w:rPr>
          <w:lang w:val="ru-RU"/>
        </w:rPr>
        <w:t>технологические платформы, используемые региональными и зональными отделениями (для проведения собраний в полностью виртуальном/смешанном формате, использования электронных методов работы и различных существующих электронных инструментов для распространения актуальной информации среди соответствующих Государств-Членов);</w:t>
      </w:r>
    </w:p>
    <w:p w14:paraId="3B10F0DF" w14:textId="77777777" w:rsidR="0086677D" w:rsidRPr="0086677D" w:rsidRDefault="0086677D" w:rsidP="007337B0">
      <w:pPr>
        <w:pStyle w:val="enumlev2"/>
        <w:jc w:val="both"/>
        <w:rPr>
          <w:lang w:val="ru-RU"/>
        </w:rPr>
      </w:pPr>
      <w:r w:rsidRPr="00EF6F1F">
        <w:rPr>
          <w:rFonts w:eastAsiaTheme="minorEastAsia"/>
          <w:i/>
          <w:iCs/>
        </w:rPr>
        <w:t>f</w:t>
      </w:r>
      <w:r w:rsidRPr="0086677D">
        <w:rPr>
          <w:rFonts w:eastAsiaTheme="minorEastAsia"/>
          <w:i/>
          <w:iCs/>
          <w:lang w:val="ru-RU"/>
        </w:rPr>
        <w:t>)</w:t>
      </w:r>
      <w:r w:rsidRPr="0086677D">
        <w:rPr>
          <w:rFonts w:eastAsiaTheme="minorEastAsia"/>
          <w:i/>
          <w:iCs/>
          <w:lang w:val="ru-RU"/>
        </w:rPr>
        <w:tab/>
      </w:r>
      <w:r w:rsidRPr="0086677D">
        <w:rPr>
          <w:lang w:val="ru-RU"/>
        </w:rPr>
        <w:t>использование инструментов управления финансовой деятельностью МСЭ региональными и зональными отделениями;</w:t>
      </w:r>
    </w:p>
    <w:p w14:paraId="13F580C4" w14:textId="77777777" w:rsidR="0086677D" w:rsidRPr="0086677D" w:rsidRDefault="0086677D" w:rsidP="007337B0">
      <w:pPr>
        <w:pStyle w:val="enumlev2"/>
        <w:jc w:val="both"/>
        <w:rPr>
          <w:lang w:val="ru-RU"/>
        </w:rPr>
      </w:pPr>
      <w:r w:rsidRPr="00EF6F1F">
        <w:rPr>
          <w:rFonts w:eastAsiaTheme="minorEastAsia"/>
          <w:i/>
          <w:iCs/>
        </w:rPr>
        <w:t>g</w:t>
      </w:r>
      <w:r w:rsidRPr="0086677D">
        <w:rPr>
          <w:rFonts w:eastAsiaTheme="minorEastAsia"/>
          <w:i/>
          <w:iCs/>
          <w:lang w:val="ru-RU"/>
        </w:rPr>
        <w:t>)</w:t>
      </w:r>
      <w:r w:rsidRPr="0086677D">
        <w:rPr>
          <w:rFonts w:eastAsiaTheme="minorEastAsia"/>
          <w:i/>
          <w:iCs/>
          <w:lang w:val="ru-RU"/>
        </w:rPr>
        <w:tab/>
      </w:r>
      <w:r w:rsidRPr="0086677D">
        <w:rPr>
          <w:lang w:val="ru-RU"/>
        </w:rPr>
        <w:t>усилия/действия, предпринимаемые для увеличения объема людских и</w:t>
      </w:r>
      <w:r>
        <w:rPr>
          <w:lang w:val="en-US"/>
        </w:rPr>
        <w:t> </w:t>
      </w:r>
      <w:r w:rsidRPr="0086677D">
        <w:rPr>
          <w:lang w:val="ru-RU"/>
        </w:rPr>
        <w:t>финансовых ресурсов в региональных и зональных отделениях для реализации региональных инициатив;</w:t>
      </w:r>
    </w:p>
    <w:p w14:paraId="4C59AC4E" w14:textId="77777777" w:rsidR="0086677D" w:rsidRPr="0086677D" w:rsidRDefault="0086677D" w:rsidP="007337B0">
      <w:pPr>
        <w:pStyle w:val="enumlev2"/>
        <w:jc w:val="both"/>
        <w:rPr>
          <w:lang w:val="ru-RU"/>
        </w:rPr>
      </w:pPr>
      <w:r w:rsidRPr="00EF6F1F">
        <w:rPr>
          <w:rFonts w:eastAsiaTheme="minorEastAsia"/>
          <w:i/>
          <w:iCs/>
        </w:rPr>
        <w:t>h</w:t>
      </w:r>
      <w:r w:rsidRPr="0086677D">
        <w:rPr>
          <w:rFonts w:eastAsiaTheme="minorEastAsia"/>
          <w:i/>
          <w:iCs/>
          <w:lang w:val="ru-RU"/>
        </w:rPr>
        <w:t>)</w:t>
      </w:r>
      <w:r w:rsidRPr="0086677D">
        <w:rPr>
          <w:rFonts w:eastAsiaTheme="minorEastAsia"/>
          <w:i/>
          <w:iCs/>
          <w:lang w:val="ru-RU"/>
        </w:rPr>
        <w:tab/>
      </w:r>
      <w:r w:rsidRPr="0086677D">
        <w:rPr>
          <w:lang w:val="ru-RU"/>
        </w:rPr>
        <w:t>финансовые и административные условия, обеспечиваемые принимающими странами для региональных и зональных отделений.</w:t>
      </w:r>
    </w:p>
    <w:p w14:paraId="273402A8" w14:textId="77777777" w:rsidR="0086677D" w:rsidRPr="0086677D" w:rsidRDefault="0086677D" w:rsidP="007337B0">
      <w:pPr>
        <w:pStyle w:val="enumlev1"/>
        <w:keepNext/>
        <w:keepLines/>
        <w:jc w:val="both"/>
        <w:rPr>
          <w:lang w:val="ru-RU"/>
        </w:rPr>
      </w:pPr>
      <w:r w:rsidRPr="0086677D">
        <w:rPr>
          <w:rFonts w:eastAsiaTheme="minorEastAsia"/>
          <w:lang w:val="ru-RU"/>
        </w:rPr>
        <w:t>14</w:t>
      </w:r>
      <w:r w:rsidRPr="0086677D">
        <w:rPr>
          <w:lang w:val="ru-RU"/>
        </w:rPr>
        <w:t>)</w:t>
      </w:r>
      <w:r w:rsidRPr="0086677D">
        <w:rPr>
          <w:rFonts w:eastAsiaTheme="minorEastAsia"/>
          <w:lang w:val="ru-RU"/>
        </w:rPr>
        <w:tab/>
      </w:r>
      <w:r w:rsidRPr="0086677D">
        <w:rPr>
          <w:lang w:val="ru-RU"/>
        </w:rPr>
        <w:t>Стратегия набора персонала, в том числе:</w:t>
      </w:r>
    </w:p>
    <w:p w14:paraId="1156A41A" w14:textId="77777777" w:rsidR="0086677D" w:rsidRPr="0086677D" w:rsidRDefault="0086677D" w:rsidP="007337B0">
      <w:pPr>
        <w:pStyle w:val="enumlev2"/>
        <w:jc w:val="both"/>
        <w:rPr>
          <w:lang w:val="ru-RU"/>
        </w:rPr>
      </w:pPr>
      <w:r w:rsidRPr="00EF6F1F">
        <w:rPr>
          <w:rFonts w:eastAsiaTheme="minorEastAsia"/>
          <w:i/>
          <w:iCs/>
        </w:rPr>
        <w:t>a</w:t>
      </w:r>
      <w:r w:rsidRPr="0086677D">
        <w:rPr>
          <w:rFonts w:eastAsiaTheme="minorEastAsia"/>
          <w:i/>
          <w:iCs/>
          <w:lang w:val="ru-RU"/>
        </w:rPr>
        <w:t>)</w:t>
      </w:r>
      <w:r w:rsidRPr="0086677D">
        <w:rPr>
          <w:rFonts w:eastAsiaTheme="minorEastAsia"/>
          <w:i/>
          <w:iCs/>
          <w:lang w:val="ru-RU"/>
        </w:rPr>
        <w:tab/>
      </w:r>
      <w:r w:rsidRPr="0086677D">
        <w:rPr>
          <w:lang w:val="ru-RU"/>
        </w:rPr>
        <w:t>количество и категории вакантных должностей в региональных и зональных отделениях (за отчетный год);</w:t>
      </w:r>
    </w:p>
    <w:p w14:paraId="43E22E58" w14:textId="77777777" w:rsidR="0086677D" w:rsidRPr="0086677D" w:rsidRDefault="0086677D" w:rsidP="007337B0">
      <w:pPr>
        <w:pStyle w:val="enumlev2"/>
        <w:jc w:val="both"/>
        <w:rPr>
          <w:lang w:val="ru-RU"/>
        </w:rPr>
      </w:pPr>
      <w:r w:rsidRPr="00EF6F1F">
        <w:rPr>
          <w:rFonts w:eastAsiaTheme="minorEastAsia"/>
          <w:i/>
          <w:iCs/>
        </w:rPr>
        <w:t>b</w:t>
      </w:r>
      <w:r w:rsidRPr="0086677D">
        <w:rPr>
          <w:rFonts w:eastAsiaTheme="minorEastAsia"/>
          <w:i/>
          <w:iCs/>
          <w:lang w:val="ru-RU"/>
        </w:rPr>
        <w:t>)</w:t>
      </w:r>
      <w:r w:rsidRPr="0086677D">
        <w:rPr>
          <w:rFonts w:eastAsiaTheme="minorEastAsia"/>
          <w:i/>
          <w:iCs/>
          <w:lang w:val="ru-RU"/>
        </w:rPr>
        <w:tab/>
      </w:r>
      <w:r w:rsidRPr="0086677D">
        <w:rPr>
          <w:lang w:val="ru-RU"/>
        </w:rPr>
        <w:t>среднее время, необходимое для набора новых сотрудников региональными и</w:t>
      </w:r>
      <w:r>
        <w:rPr>
          <w:lang w:val="en-US"/>
        </w:rPr>
        <w:t> </w:t>
      </w:r>
      <w:r w:rsidRPr="0086677D">
        <w:rPr>
          <w:lang w:val="ru-RU"/>
        </w:rPr>
        <w:t>зональными отделениями (от определения вакантной/необходимой должности до подписания контракта);</w:t>
      </w:r>
    </w:p>
    <w:p w14:paraId="5718C8F3" w14:textId="77777777" w:rsidR="0086677D" w:rsidRPr="0086677D" w:rsidRDefault="0086677D" w:rsidP="007337B0">
      <w:pPr>
        <w:pStyle w:val="enumlev2"/>
        <w:jc w:val="both"/>
        <w:rPr>
          <w:lang w:val="ru-RU"/>
        </w:rPr>
      </w:pPr>
      <w:r w:rsidRPr="00EF6F1F">
        <w:rPr>
          <w:rFonts w:eastAsiaTheme="minorEastAsia"/>
          <w:i/>
          <w:iCs/>
        </w:rPr>
        <w:t>c</w:t>
      </w:r>
      <w:r w:rsidRPr="0086677D">
        <w:rPr>
          <w:rFonts w:eastAsiaTheme="minorEastAsia"/>
          <w:i/>
          <w:iCs/>
          <w:lang w:val="ru-RU"/>
        </w:rPr>
        <w:t>)</w:t>
      </w:r>
      <w:r w:rsidRPr="0086677D">
        <w:rPr>
          <w:rFonts w:eastAsiaTheme="minorEastAsia"/>
          <w:i/>
          <w:iCs/>
          <w:lang w:val="ru-RU"/>
        </w:rPr>
        <w:tab/>
      </w:r>
      <w:r w:rsidRPr="0086677D">
        <w:rPr>
          <w:lang w:val="ru-RU"/>
        </w:rPr>
        <w:t>совершенствование процедур и методов набора персонала региональными и</w:t>
      </w:r>
      <w:r>
        <w:rPr>
          <w:lang w:val="en-US"/>
        </w:rPr>
        <w:t> </w:t>
      </w:r>
      <w:r w:rsidRPr="0086677D">
        <w:rPr>
          <w:lang w:val="ru-RU"/>
        </w:rPr>
        <w:t>зональными отделениями для предоставления им возможностей для</w:t>
      </w:r>
      <w:r>
        <w:rPr>
          <w:lang w:val="en-US"/>
        </w:rPr>
        <w:t> </w:t>
      </w:r>
      <w:r w:rsidRPr="0086677D">
        <w:rPr>
          <w:lang w:val="ru-RU"/>
        </w:rPr>
        <w:t>выявления и набора специалистов, обладающих необходимой квалификацией в области управления проектами;</w:t>
      </w:r>
    </w:p>
    <w:p w14:paraId="6CE1EA17" w14:textId="77777777" w:rsidR="0086677D" w:rsidRPr="0086677D" w:rsidRDefault="0086677D" w:rsidP="007337B0">
      <w:pPr>
        <w:pStyle w:val="enumlev2"/>
        <w:jc w:val="both"/>
        <w:rPr>
          <w:lang w:val="ru-RU"/>
        </w:rPr>
      </w:pPr>
      <w:r w:rsidRPr="00EF6F1F">
        <w:rPr>
          <w:rFonts w:eastAsiaTheme="minorEastAsia"/>
          <w:i/>
          <w:iCs/>
        </w:rPr>
        <w:t>d</w:t>
      </w:r>
      <w:r w:rsidRPr="0086677D">
        <w:rPr>
          <w:rFonts w:eastAsiaTheme="minorEastAsia"/>
          <w:i/>
          <w:iCs/>
          <w:lang w:val="ru-RU"/>
        </w:rPr>
        <w:t>)</w:t>
      </w:r>
      <w:r w:rsidRPr="0086677D">
        <w:rPr>
          <w:rFonts w:eastAsiaTheme="minorEastAsia"/>
          <w:i/>
          <w:iCs/>
          <w:lang w:val="ru-RU"/>
        </w:rPr>
        <w:tab/>
      </w:r>
      <w:r w:rsidRPr="0086677D">
        <w:rPr>
          <w:lang w:val="ru-RU"/>
        </w:rPr>
        <w:t>внедрение политики в области мобильности персонала (в каждом из</w:t>
      </w:r>
      <w:r>
        <w:rPr>
          <w:lang w:val="en-US"/>
        </w:rPr>
        <w:t> </w:t>
      </w:r>
      <w:r w:rsidRPr="0086677D">
        <w:rPr>
          <w:lang w:val="ru-RU"/>
        </w:rPr>
        <w:t>региональных и зональных отделений за отчетный год).</w:t>
      </w:r>
    </w:p>
    <w:p w14:paraId="31DE7010" w14:textId="77777777" w:rsidR="0086677D" w:rsidRPr="0086677D" w:rsidRDefault="0086677D" w:rsidP="007337B0">
      <w:pPr>
        <w:pStyle w:val="enumlev1"/>
        <w:jc w:val="both"/>
        <w:rPr>
          <w:lang w:val="ru-RU"/>
        </w:rPr>
      </w:pPr>
      <w:r w:rsidRPr="0086677D">
        <w:rPr>
          <w:rFonts w:eastAsiaTheme="minorEastAsia"/>
          <w:lang w:val="ru-RU"/>
        </w:rPr>
        <w:t>15</w:t>
      </w:r>
      <w:r w:rsidRPr="0086677D">
        <w:rPr>
          <w:lang w:val="ru-RU"/>
        </w:rPr>
        <w:t>)</w:t>
      </w:r>
      <w:r w:rsidRPr="0086677D">
        <w:rPr>
          <w:rFonts w:eastAsiaTheme="minorEastAsia"/>
          <w:lang w:val="ru-RU"/>
        </w:rPr>
        <w:tab/>
      </w:r>
      <w:r w:rsidRPr="0086677D">
        <w:rPr>
          <w:lang w:val="ru-RU"/>
        </w:rPr>
        <w:t>Конкретные виды деятельности (проекты, региональные инициативы, мероприятия/встречи/конференции, региональные подготовительные собрания, отраслевые мероприятия и т. д.), а также дополнительные критерии оценки эффективности административной, финансовой и материально-технической поддержки участников мероприятий МСЭ, проводимых региональными и зональными отделениями в регионах, организации их питания и предоставления им других услуг.</w:t>
      </w:r>
    </w:p>
    <w:p w14:paraId="3D7DEB75" w14:textId="31A9C7CD" w:rsidR="0086677D" w:rsidRPr="0086677D" w:rsidRDefault="0086677D" w:rsidP="007337B0">
      <w:pPr>
        <w:pStyle w:val="enumlev1"/>
        <w:jc w:val="both"/>
        <w:rPr>
          <w:lang w:val="ru-RU"/>
        </w:rPr>
      </w:pPr>
      <w:r w:rsidRPr="0086677D">
        <w:rPr>
          <w:rFonts w:eastAsiaTheme="minorEastAsia"/>
          <w:lang w:val="ru-RU"/>
        </w:rPr>
        <w:t>16</w:t>
      </w:r>
      <w:r w:rsidRPr="0086677D">
        <w:rPr>
          <w:lang w:val="ru-RU"/>
        </w:rPr>
        <w:t>)</w:t>
      </w:r>
      <w:r w:rsidRPr="0086677D">
        <w:rPr>
          <w:rFonts w:eastAsiaTheme="minorEastAsia"/>
          <w:lang w:val="ru-RU"/>
        </w:rPr>
        <w:tab/>
      </w:r>
      <w:r w:rsidRPr="0086677D">
        <w:rPr>
          <w:lang w:val="ru-RU"/>
        </w:rPr>
        <w:t>Участие Членов в региональных мероприятиях, глобальных мероприятиях МСЭ</w:t>
      </w:r>
      <w:r w:rsidRPr="0086677D">
        <w:rPr>
          <w:lang w:val="ru-RU"/>
        </w:rPr>
        <w:noBreakHyphen/>
      </w:r>
      <w:r w:rsidRPr="00EF6F1F">
        <w:t>D</w:t>
      </w:r>
      <w:r w:rsidRPr="0086677D">
        <w:rPr>
          <w:lang w:val="ru-RU"/>
        </w:rPr>
        <w:t>/МСЭ</w:t>
      </w:r>
      <w:r w:rsidRPr="0086677D">
        <w:rPr>
          <w:lang w:val="ru-RU"/>
        </w:rPr>
        <w:noBreakHyphen/>
      </w:r>
      <w:r w:rsidRPr="00EF6F1F">
        <w:t>T</w:t>
      </w:r>
      <w:r w:rsidRPr="0086677D">
        <w:rPr>
          <w:lang w:val="ru-RU"/>
        </w:rPr>
        <w:t>/МСЭ-</w:t>
      </w:r>
      <w:r w:rsidRPr="00EF6F1F">
        <w:t>R</w:t>
      </w:r>
      <w:r w:rsidRPr="0086677D">
        <w:rPr>
          <w:lang w:val="ru-RU"/>
        </w:rPr>
        <w:t xml:space="preserve"> и в работе трех Секторов (например, в работе исследовательских комиссий, групп экспертов, консультативных групп Секторов и </w:t>
      </w:r>
      <w:r w:rsidR="001C4BB8" w:rsidRPr="0086677D">
        <w:rPr>
          <w:lang w:val="ru-RU"/>
        </w:rPr>
        <w:t>т. п.</w:t>
      </w:r>
      <w:r w:rsidRPr="0086677D">
        <w:rPr>
          <w:lang w:val="ru-RU"/>
        </w:rPr>
        <w:t>).</w:t>
      </w:r>
    </w:p>
    <w:p w14:paraId="22BEB296" w14:textId="77777777" w:rsidR="0086677D" w:rsidRPr="0086677D" w:rsidRDefault="0086677D" w:rsidP="007337B0">
      <w:pPr>
        <w:pStyle w:val="enumlev1"/>
        <w:jc w:val="both"/>
        <w:rPr>
          <w:lang w:val="ru-RU"/>
        </w:rPr>
      </w:pPr>
      <w:r w:rsidRPr="0086677D">
        <w:rPr>
          <w:rFonts w:eastAsiaTheme="minorEastAsia"/>
          <w:lang w:val="ru-RU"/>
        </w:rPr>
        <w:t>17</w:t>
      </w:r>
      <w:r w:rsidRPr="0086677D">
        <w:rPr>
          <w:lang w:val="ru-RU"/>
        </w:rPr>
        <w:t>)</w:t>
      </w:r>
      <w:r w:rsidRPr="0086677D">
        <w:rPr>
          <w:rFonts w:eastAsiaTheme="minorEastAsia"/>
          <w:lang w:val="ru-RU"/>
        </w:rPr>
        <w:tab/>
      </w:r>
      <w:r w:rsidRPr="0086677D">
        <w:rPr>
          <w:lang w:val="ru-RU"/>
        </w:rPr>
        <w:t>Результаты мероприятий, демонстрирующие взаимосвязь между результатами деятельности и достижением стратегических целей, решением задач и прогрессом в</w:t>
      </w:r>
      <w:r>
        <w:rPr>
          <w:lang w:val="en-US"/>
        </w:rPr>
        <w:t> </w:t>
      </w:r>
      <w:r w:rsidRPr="0086677D">
        <w:rPr>
          <w:lang w:val="ru-RU"/>
        </w:rPr>
        <w:t xml:space="preserve">выполнении </w:t>
      </w:r>
      <w:r w:rsidRPr="00EF6F1F">
        <w:t>KPI</w:t>
      </w:r>
      <w:r w:rsidRPr="0086677D">
        <w:rPr>
          <w:lang w:val="ru-RU"/>
        </w:rPr>
        <w:t xml:space="preserve"> в каждом из регионов/субрегионов.</w:t>
      </w:r>
    </w:p>
    <w:p w14:paraId="08D5D81F" w14:textId="77777777" w:rsidR="0086677D" w:rsidRPr="0086677D" w:rsidRDefault="0086677D" w:rsidP="007337B0">
      <w:pPr>
        <w:pStyle w:val="enumlev1"/>
        <w:jc w:val="both"/>
        <w:rPr>
          <w:lang w:val="ru-RU"/>
        </w:rPr>
      </w:pPr>
      <w:r w:rsidRPr="0086677D">
        <w:rPr>
          <w:rFonts w:eastAsiaTheme="minorEastAsia"/>
          <w:lang w:val="ru-RU"/>
        </w:rPr>
        <w:t>18</w:t>
      </w:r>
      <w:r w:rsidRPr="0086677D">
        <w:rPr>
          <w:lang w:val="ru-RU"/>
        </w:rPr>
        <w:t>)</w:t>
      </w:r>
      <w:r w:rsidRPr="0086677D">
        <w:rPr>
          <w:rFonts w:eastAsiaTheme="minorEastAsia"/>
          <w:lang w:val="ru-RU"/>
        </w:rPr>
        <w:tab/>
        <w:t xml:space="preserve">Оценка прогресса в выполнении соответствующих </w:t>
      </w:r>
      <w:r w:rsidRPr="00EF6F1F">
        <w:rPr>
          <w:rFonts w:eastAsiaTheme="minorEastAsia"/>
        </w:rPr>
        <w:t>KPI</w:t>
      </w:r>
      <w:r w:rsidRPr="0086677D">
        <w:rPr>
          <w:lang w:val="ru-RU"/>
        </w:rPr>
        <w:t>.</w:t>
      </w:r>
    </w:p>
    <w:p w14:paraId="0ED0D683" w14:textId="77777777" w:rsidR="0086677D" w:rsidRPr="0086677D" w:rsidRDefault="0086677D" w:rsidP="007337B0">
      <w:pPr>
        <w:pStyle w:val="enumlev1"/>
        <w:jc w:val="both"/>
        <w:rPr>
          <w:lang w:val="ru-RU"/>
        </w:rPr>
      </w:pPr>
      <w:r w:rsidRPr="0086677D">
        <w:rPr>
          <w:rFonts w:eastAsiaTheme="minorEastAsia"/>
          <w:lang w:val="ru-RU"/>
        </w:rPr>
        <w:t>19</w:t>
      </w:r>
      <w:r w:rsidRPr="0086677D">
        <w:rPr>
          <w:lang w:val="ru-RU"/>
        </w:rPr>
        <w:t>)</w:t>
      </w:r>
      <w:r w:rsidRPr="0086677D">
        <w:rPr>
          <w:rFonts w:eastAsiaTheme="minorEastAsia"/>
          <w:lang w:val="ru-RU"/>
        </w:rPr>
        <w:tab/>
        <w:t>Выявление обусловленных внутренними и внешними факторами проблем и трудностей,</w:t>
      </w:r>
      <w:r w:rsidRPr="0086677D">
        <w:rPr>
          <w:lang w:val="ru-RU"/>
        </w:rPr>
        <w:t xml:space="preserve"> возникающих в связи с реализацией проектов и программ и влияющих на возможность </w:t>
      </w:r>
      <w:r w:rsidRPr="0086677D">
        <w:rPr>
          <w:lang w:val="ru-RU"/>
        </w:rPr>
        <w:lastRenderedPageBreak/>
        <w:t xml:space="preserve">выполнения/реализации стратегических задач и целевых </w:t>
      </w:r>
      <w:r w:rsidRPr="00EF6F1F">
        <w:t>KPI</w:t>
      </w:r>
      <w:r w:rsidRPr="0086677D">
        <w:rPr>
          <w:lang w:val="ru-RU"/>
        </w:rPr>
        <w:t xml:space="preserve"> благодаря региональному присутствию.</w:t>
      </w:r>
    </w:p>
    <w:p w14:paraId="7CC20A5F" w14:textId="77777777" w:rsidR="0086677D" w:rsidRPr="0086677D" w:rsidRDefault="0086677D" w:rsidP="007337B0">
      <w:pPr>
        <w:pStyle w:val="enumlev1"/>
        <w:jc w:val="both"/>
        <w:rPr>
          <w:lang w:val="ru-RU"/>
        </w:rPr>
      </w:pPr>
      <w:r w:rsidRPr="0086677D">
        <w:rPr>
          <w:rFonts w:eastAsiaTheme="minorEastAsia"/>
          <w:lang w:val="ru-RU"/>
        </w:rPr>
        <w:t>20</w:t>
      </w:r>
      <w:r w:rsidRPr="0086677D">
        <w:rPr>
          <w:lang w:val="ru-RU"/>
        </w:rPr>
        <w:t>)</w:t>
      </w:r>
      <w:r w:rsidRPr="0086677D">
        <w:rPr>
          <w:rFonts w:eastAsiaTheme="minorEastAsia"/>
          <w:lang w:val="ru-RU"/>
        </w:rPr>
        <w:tab/>
        <w:t xml:space="preserve">Если это применимо, </w:t>
      </w:r>
      <w:r w:rsidRPr="0086677D">
        <w:rPr>
          <w:lang w:val="ru-RU"/>
        </w:rPr>
        <w:t xml:space="preserve">рекомендации в отношении новых </w:t>
      </w:r>
      <w:r w:rsidRPr="00EF6F1F">
        <w:t>KPI</w:t>
      </w:r>
      <w:r w:rsidRPr="0086677D">
        <w:rPr>
          <w:lang w:val="ru-RU"/>
        </w:rPr>
        <w:t>, которые следует использовать для оценки прогресса в достижении стратегических целей и решении задач.</w:t>
      </w:r>
    </w:p>
    <w:p w14:paraId="3B14D3DA" w14:textId="77777777" w:rsidR="0086677D" w:rsidRPr="0086677D" w:rsidRDefault="0086677D" w:rsidP="007337B0">
      <w:pPr>
        <w:pStyle w:val="enumlev1"/>
        <w:jc w:val="both"/>
        <w:rPr>
          <w:lang w:val="ru-RU"/>
        </w:rPr>
      </w:pPr>
      <w:r w:rsidRPr="0086677D">
        <w:rPr>
          <w:rFonts w:eastAsiaTheme="minorEastAsia"/>
          <w:lang w:val="ru-RU"/>
        </w:rPr>
        <w:t>21</w:t>
      </w:r>
      <w:r w:rsidRPr="0086677D">
        <w:rPr>
          <w:lang w:val="ru-RU"/>
        </w:rPr>
        <w:t>)</w:t>
      </w:r>
      <w:r w:rsidRPr="0086677D">
        <w:rPr>
          <w:rFonts w:eastAsiaTheme="minorEastAsia"/>
          <w:lang w:val="ru-RU"/>
        </w:rPr>
        <w:tab/>
        <w:t xml:space="preserve">Учитывающие специфику </w:t>
      </w:r>
      <w:r w:rsidRPr="0086677D">
        <w:rPr>
          <w:lang w:val="ru-RU"/>
        </w:rPr>
        <w:t>НРС рекомендации относительно того, повышают ли оценки и</w:t>
      </w:r>
      <w:r>
        <w:rPr>
          <w:lang w:val="en-US"/>
        </w:rPr>
        <w:t> </w:t>
      </w:r>
      <w:r w:rsidRPr="0086677D">
        <w:rPr>
          <w:lang w:val="ru-RU"/>
        </w:rPr>
        <w:t>планы действий в отношении развития электросвязи/ИКТ для каждой страны способность региональных отделений оказывать поддержку Членам, а также потребности в бюджетных средствах для проведения таких оценок.</w:t>
      </w:r>
    </w:p>
    <w:p w14:paraId="2910170E" w14:textId="77777777" w:rsidR="0086677D" w:rsidRPr="0086677D" w:rsidRDefault="0086677D" w:rsidP="007337B0">
      <w:pPr>
        <w:pStyle w:val="enumlev1"/>
        <w:jc w:val="both"/>
        <w:rPr>
          <w:lang w:val="ru-RU"/>
        </w:rPr>
      </w:pPr>
      <w:r w:rsidRPr="0086677D">
        <w:rPr>
          <w:rFonts w:eastAsiaTheme="minorEastAsia"/>
          <w:lang w:val="ru-RU"/>
        </w:rPr>
        <w:t>22</w:t>
      </w:r>
      <w:r w:rsidRPr="0086677D">
        <w:rPr>
          <w:lang w:val="ru-RU"/>
        </w:rPr>
        <w:t>)</w:t>
      </w:r>
      <w:r w:rsidRPr="0086677D">
        <w:rPr>
          <w:rFonts w:eastAsiaTheme="minorEastAsia"/>
          <w:lang w:val="ru-RU"/>
        </w:rPr>
        <w:tab/>
      </w:r>
      <w:r w:rsidRPr="0086677D">
        <w:rPr>
          <w:lang w:val="ru-RU"/>
        </w:rPr>
        <w:t>Подробная информация о выделенных стипендиях, показывающая, насколько справедливо и прозрачно выделяются стипендии (принцип справедливого географического распределения, гендерный баланс и охват лиц с ограниченными возможностями).</w:t>
      </w:r>
    </w:p>
    <w:p w14:paraId="69514B27" w14:textId="77777777" w:rsidR="0086677D" w:rsidRPr="0086677D" w:rsidRDefault="0086677D" w:rsidP="007337B0">
      <w:pPr>
        <w:pStyle w:val="enumlev1"/>
        <w:jc w:val="both"/>
        <w:rPr>
          <w:lang w:val="ru-RU"/>
        </w:rPr>
      </w:pPr>
      <w:r w:rsidRPr="0086677D">
        <w:rPr>
          <w:rFonts w:eastAsiaTheme="minorEastAsia"/>
          <w:lang w:val="ru-RU"/>
        </w:rPr>
        <w:t>23</w:t>
      </w:r>
      <w:r w:rsidRPr="0086677D">
        <w:rPr>
          <w:lang w:val="ru-RU"/>
        </w:rPr>
        <w:t>)</w:t>
      </w:r>
      <w:r w:rsidRPr="0086677D">
        <w:rPr>
          <w:rFonts w:eastAsiaTheme="minorEastAsia"/>
          <w:lang w:val="ru-RU"/>
        </w:rPr>
        <w:tab/>
      </w:r>
      <w:r w:rsidRPr="0086677D">
        <w:rPr>
          <w:lang w:val="ru-RU"/>
        </w:rPr>
        <w:t>Анализ процедур подачи и рассмотрения заявок на предоставление стипендий на основе информации, полученной от Государств-Членов, по результатам которого можно рекомендовать внесение изменений в процедуры и формат с целью их усовершенствования и устранения недостатков.</w:t>
      </w:r>
    </w:p>
    <w:p w14:paraId="6EBCF38D" w14:textId="77777777" w:rsidR="0086677D" w:rsidRPr="0086677D" w:rsidRDefault="0086677D" w:rsidP="007337B0">
      <w:pPr>
        <w:pStyle w:val="enumlev1"/>
        <w:keepNext/>
        <w:keepLines/>
        <w:jc w:val="both"/>
        <w:rPr>
          <w:lang w:val="ru-RU"/>
        </w:rPr>
      </w:pPr>
      <w:r w:rsidRPr="0086677D">
        <w:rPr>
          <w:rFonts w:eastAsiaTheme="minorEastAsia"/>
          <w:lang w:val="ru-RU"/>
        </w:rPr>
        <w:t>24)</w:t>
      </w:r>
      <w:r w:rsidRPr="0086677D">
        <w:rPr>
          <w:rFonts w:eastAsiaTheme="minorEastAsia"/>
          <w:lang w:val="ru-RU"/>
        </w:rPr>
        <w:tab/>
      </w:r>
      <w:r w:rsidRPr="0086677D">
        <w:rPr>
          <w:lang w:val="ru-RU"/>
        </w:rPr>
        <w:t>Представительство всех трех Секторов в региональных и зональных отделениях при внедрении концепции "Единый МСЭ":</w:t>
      </w:r>
    </w:p>
    <w:p w14:paraId="61D86700" w14:textId="77777777" w:rsidR="0086677D" w:rsidRPr="0086677D" w:rsidRDefault="0086677D" w:rsidP="007337B0">
      <w:pPr>
        <w:pStyle w:val="enumlev2"/>
        <w:jc w:val="both"/>
        <w:rPr>
          <w:lang w:val="ru-RU"/>
        </w:rPr>
      </w:pPr>
      <w:r w:rsidRPr="00EF6F1F">
        <w:rPr>
          <w:rFonts w:eastAsiaTheme="minorEastAsia"/>
          <w:i/>
          <w:iCs/>
        </w:rPr>
        <w:t>a</w:t>
      </w:r>
      <w:r w:rsidRPr="0086677D">
        <w:rPr>
          <w:rFonts w:eastAsiaTheme="minorEastAsia"/>
          <w:i/>
          <w:iCs/>
          <w:lang w:val="ru-RU"/>
        </w:rPr>
        <w:t>)</w:t>
      </w:r>
      <w:r w:rsidRPr="0086677D">
        <w:rPr>
          <w:rFonts w:eastAsiaTheme="minorEastAsia"/>
          <w:i/>
          <w:iCs/>
          <w:lang w:val="ru-RU"/>
        </w:rPr>
        <w:tab/>
      </w:r>
      <w:r w:rsidRPr="0086677D">
        <w:rPr>
          <w:lang w:val="ru-RU"/>
        </w:rPr>
        <w:t>Наличие/количество координаторов для Секторов МСЭ-Т и МСЭ-</w:t>
      </w:r>
      <w:r w:rsidRPr="00EF6F1F">
        <w:t>R</w:t>
      </w:r>
      <w:r w:rsidRPr="0086677D">
        <w:rPr>
          <w:lang w:val="ru-RU"/>
        </w:rPr>
        <w:t xml:space="preserve"> во всех региональных/зональных отделениях.</w:t>
      </w:r>
    </w:p>
    <w:p w14:paraId="45F451BA" w14:textId="77777777" w:rsidR="0086677D" w:rsidRPr="0086677D" w:rsidRDefault="0086677D" w:rsidP="007337B0">
      <w:pPr>
        <w:pStyle w:val="enumlev2"/>
        <w:jc w:val="both"/>
        <w:rPr>
          <w:rFonts w:cs="Calibri"/>
          <w:szCs w:val="24"/>
          <w:lang w:val="ru-RU"/>
        </w:rPr>
      </w:pPr>
      <w:r w:rsidRPr="00EF6F1F">
        <w:rPr>
          <w:rFonts w:eastAsiaTheme="minorEastAsia" w:cs="Calibri"/>
          <w:i/>
          <w:iCs/>
          <w:szCs w:val="24"/>
        </w:rPr>
        <w:t>b</w:t>
      </w:r>
      <w:r w:rsidRPr="0086677D">
        <w:rPr>
          <w:rFonts w:eastAsiaTheme="minorEastAsia" w:cs="Calibri"/>
          <w:i/>
          <w:iCs/>
          <w:szCs w:val="24"/>
          <w:lang w:val="ru-RU"/>
        </w:rPr>
        <w:t>)</w:t>
      </w:r>
      <w:r w:rsidRPr="0086677D">
        <w:rPr>
          <w:rFonts w:eastAsiaTheme="minorEastAsia" w:cs="Calibri"/>
          <w:i/>
          <w:iCs/>
          <w:szCs w:val="24"/>
          <w:lang w:val="ru-RU"/>
        </w:rPr>
        <w:tab/>
      </w:r>
      <w:r w:rsidRPr="0086677D">
        <w:rPr>
          <w:rFonts w:cs="Calibri"/>
          <w:szCs w:val="24"/>
          <w:lang w:val="ru-RU"/>
        </w:rPr>
        <w:t xml:space="preserve">Средства обеспечения </w:t>
      </w:r>
      <w:r w:rsidRPr="0086677D">
        <w:rPr>
          <w:lang w:val="ru-RU"/>
        </w:rPr>
        <w:t xml:space="preserve">региональных/зональных отделений </w:t>
      </w:r>
      <w:r w:rsidRPr="0086677D">
        <w:rPr>
          <w:rFonts w:cs="Calibri"/>
          <w:szCs w:val="24"/>
          <w:lang w:val="ru-RU"/>
        </w:rPr>
        <w:t>техническим персоналом, обладающим знаниями и опытом в трех Секторах Союза, в частности специализированным персоналом из Сектора стандартизации и Сектора радиосвязи, с целью укрепления государств-членов и оказания им помощи.</w:t>
      </w:r>
    </w:p>
    <w:p w14:paraId="48F02788" w14:textId="77777777" w:rsidR="0086677D" w:rsidRPr="0086677D" w:rsidRDefault="0086677D" w:rsidP="007337B0">
      <w:pPr>
        <w:pStyle w:val="enumlev2"/>
        <w:jc w:val="both"/>
        <w:rPr>
          <w:rFonts w:cs="Calibri"/>
          <w:szCs w:val="24"/>
          <w:lang w:val="ru-RU"/>
        </w:rPr>
      </w:pPr>
      <w:r w:rsidRPr="00EF6F1F">
        <w:rPr>
          <w:rFonts w:eastAsiaTheme="minorEastAsia" w:cs="Calibri"/>
          <w:i/>
          <w:iCs/>
          <w:szCs w:val="24"/>
        </w:rPr>
        <w:t>c</w:t>
      </w:r>
      <w:r w:rsidRPr="0086677D">
        <w:rPr>
          <w:rFonts w:eastAsiaTheme="minorEastAsia" w:cs="Calibri"/>
          <w:i/>
          <w:iCs/>
          <w:szCs w:val="24"/>
          <w:lang w:val="ru-RU"/>
        </w:rPr>
        <w:t>)</w:t>
      </w:r>
      <w:r w:rsidRPr="0086677D">
        <w:rPr>
          <w:rFonts w:eastAsiaTheme="minorEastAsia" w:cs="Calibri"/>
          <w:i/>
          <w:iCs/>
          <w:szCs w:val="24"/>
          <w:lang w:val="ru-RU"/>
        </w:rPr>
        <w:tab/>
      </w:r>
      <w:r w:rsidRPr="0086677D">
        <w:rPr>
          <w:rFonts w:cs="Calibri"/>
          <w:szCs w:val="24"/>
          <w:lang w:val="ru-RU"/>
        </w:rPr>
        <w:t xml:space="preserve">Участие региональных и зональных отделений в деятельности всех трех Секторов (в особенности МСЭ </w:t>
      </w:r>
      <w:r w:rsidRPr="00EF6F1F">
        <w:rPr>
          <w:rFonts w:cs="Calibri"/>
          <w:szCs w:val="24"/>
        </w:rPr>
        <w:t>T</w:t>
      </w:r>
      <w:r w:rsidRPr="0086677D">
        <w:rPr>
          <w:rFonts w:cs="Calibri"/>
          <w:szCs w:val="24"/>
          <w:lang w:val="ru-RU"/>
        </w:rPr>
        <w:t xml:space="preserve"> и МСЭ-</w:t>
      </w:r>
      <w:r w:rsidRPr="00EF6F1F">
        <w:rPr>
          <w:rFonts w:cs="Calibri"/>
          <w:szCs w:val="24"/>
        </w:rPr>
        <w:t>R</w:t>
      </w:r>
      <w:r w:rsidRPr="0086677D">
        <w:rPr>
          <w:rFonts w:cs="Calibri"/>
          <w:szCs w:val="24"/>
          <w:lang w:val="ru-RU"/>
        </w:rPr>
        <w:t>).</w:t>
      </w:r>
    </w:p>
    <w:p w14:paraId="402979E0" w14:textId="77777777" w:rsidR="0086677D" w:rsidRPr="0086677D" w:rsidRDefault="0086677D" w:rsidP="007337B0">
      <w:pPr>
        <w:pStyle w:val="enumlev1"/>
        <w:keepNext/>
        <w:keepLines/>
        <w:jc w:val="both"/>
        <w:rPr>
          <w:lang w:val="ru-RU"/>
        </w:rPr>
      </w:pPr>
      <w:r w:rsidRPr="0086677D">
        <w:rPr>
          <w:rFonts w:eastAsiaTheme="minorEastAsia"/>
          <w:lang w:val="ru-RU"/>
        </w:rPr>
        <w:t>25)</w:t>
      </w:r>
      <w:r w:rsidRPr="0086677D">
        <w:rPr>
          <w:rFonts w:eastAsiaTheme="minorEastAsia"/>
          <w:lang w:val="ru-RU"/>
        </w:rPr>
        <w:tab/>
      </w:r>
      <w:r w:rsidRPr="0086677D">
        <w:rPr>
          <w:lang w:val="ru-RU"/>
        </w:rPr>
        <w:t>Определить, обеспечивает ли региональное присутствие предоставление Директорам трех Бюро, консультативным органам и Совету перечисленной ниже информации о</w:t>
      </w:r>
      <w:r>
        <w:rPr>
          <w:lang w:val="en-US"/>
        </w:rPr>
        <w:t> </w:t>
      </w:r>
      <w:r w:rsidRPr="0086677D">
        <w:rPr>
          <w:lang w:val="ru-RU"/>
        </w:rPr>
        <w:t>каждом из региональных/зональных отделений в достаточном объеме в</w:t>
      </w:r>
      <w:r>
        <w:rPr>
          <w:lang w:val="en-US"/>
        </w:rPr>
        <w:t> </w:t>
      </w:r>
      <w:r w:rsidRPr="0086677D">
        <w:rPr>
          <w:lang w:val="ru-RU"/>
        </w:rPr>
        <w:t>ежегодных/периодических отчетах о региональном присутствии:</w:t>
      </w:r>
    </w:p>
    <w:p w14:paraId="12356EAE" w14:textId="5962DFDC" w:rsidR="0086677D" w:rsidRPr="0086677D" w:rsidRDefault="0086677D" w:rsidP="007337B0">
      <w:pPr>
        <w:pStyle w:val="enumlev2"/>
        <w:jc w:val="both"/>
        <w:rPr>
          <w:rFonts w:cs="Calibri"/>
          <w:szCs w:val="24"/>
          <w:lang w:val="ru-RU"/>
        </w:rPr>
      </w:pPr>
      <w:r w:rsidRPr="00EF6F1F">
        <w:rPr>
          <w:rFonts w:eastAsiaTheme="minorEastAsia" w:cs="Calibri"/>
          <w:i/>
          <w:iCs/>
          <w:szCs w:val="24"/>
        </w:rPr>
        <w:t>a</w:t>
      </w:r>
      <w:r w:rsidRPr="0086677D">
        <w:rPr>
          <w:rFonts w:eastAsiaTheme="minorEastAsia" w:cs="Calibri"/>
          <w:i/>
          <w:iCs/>
          <w:szCs w:val="24"/>
          <w:lang w:val="ru-RU"/>
        </w:rPr>
        <w:t>)</w:t>
      </w:r>
      <w:r w:rsidRPr="0086677D">
        <w:rPr>
          <w:rFonts w:eastAsiaTheme="minorEastAsia" w:cs="Calibri"/>
          <w:i/>
          <w:iCs/>
          <w:szCs w:val="24"/>
          <w:lang w:val="ru-RU"/>
        </w:rPr>
        <w:tab/>
      </w:r>
      <w:r w:rsidRPr="0086677D">
        <w:rPr>
          <w:rFonts w:cs="Calibri"/>
          <w:szCs w:val="24"/>
          <w:lang w:val="ru-RU"/>
        </w:rPr>
        <w:t>Штатное расписание региональных и зональных отделений, включая количество сотрудников, занимаемые должности и другие показатели в соответствии с</w:t>
      </w:r>
      <w:r>
        <w:rPr>
          <w:rFonts w:cs="Calibri"/>
          <w:szCs w:val="24"/>
          <w:lang w:val="en-US"/>
        </w:rPr>
        <w:t> </w:t>
      </w:r>
      <w:r w:rsidRPr="0086677D">
        <w:rPr>
          <w:rFonts w:cs="Calibri"/>
          <w:szCs w:val="24"/>
          <w:lang w:val="ru-RU"/>
        </w:rPr>
        <w:t>Резолюцией</w:t>
      </w:r>
      <w:r>
        <w:rPr>
          <w:rFonts w:cs="Calibri"/>
          <w:szCs w:val="24"/>
          <w:lang w:val="en-US"/>
        </w:rPr>
        <w:t> </w:t>
      </w:r>
      <w:r w:rsidRPr="0086677D">
        <w:rPr>
          <w:rFonts w:cs="Calibri"/>
          <w:szCs w:val="24"/>
          <w:lang w:val="ru-RU"/>
        </w:rPr>
        <w:t>48 (Пересм., Бухарест, 2022 г.).</w:t>
      </w:r>
    </w:p>
    <w:p w14:paraId="26E3B6B2" w14:textId="77777777" w:rsidR="0086677D" w:rsidRPr="0086677D" w:rsidRDefault="0086677D" w:rsidP="007337B0">
      <w:pPr>
        <w:pStyle w:val="enumlev2"/>
        <w:jc w:val="both"/>
        <w:rPr>
          <w:rFonts w:cs="Calibri"/>
          <w:szCs w:val="24"/>
          <w:lang w:val="ru-RU"/>
        </w:rPr>
      </w:pPr>
      <w:r w:rsidRPr="00EF6F1F">
        <w:rPr>
          <w:rFonts w:eastAsiaTheme="minorEastAsia" w:cs="Calibri"/>
          <w:i/>
          <w:iCs/>
          <w:szCs w:val="24"/>
        </w:rPr>
        <w:t>b</w:t>
      </w:r>
      <w:r w:rsidRPr="0086677D">
        <w:rPr>
          <w:rFonts w:eastAsiaTheme="minorEastAsia" w:cs="Calibri"/>
          <w:i/>
          <w:iCs/>
          <w:szCs w:val="24"/>
          <w:lang w:val="ru-RU"/>
        </w:rPr>
        <w:t>)</w:t>
      </w:r>
      <w:r w:rsidRPr="0086677D">
        <w:rPr>
          <w:rFonts w:eastAsiaTheme="minorEastAsia" w:cs="Calibri"/>
          <w:i/>
          <w:iCs/>
          <w:szCs w:val="24"/>
          <w:lang w:val="ru-RU"/>
        </w:rPr>
        <w:tab/>
      </w:r>
      <w:r w:rsidRPr="0086677D">
        <w:rPr>
          <w:rFonts w:cs="Calibri"/>
          <w:szCs w:val="24"/>
          <w:lang w:val="ru-RU"/>
        </w:rPr>
        <w:t>Финансовая информация, включая бюджетные ассигнования региональным и</w:t>
      </w:r>
      <w:r>
        <w:rPr>
          <w:rFonts w:cs="Calibri"/>
          <w:szCs w:val="24"/>
          <w:lang w:val="en-US"/>
        </w:rPr>
        <w:t> </w:t>
      </w:r>
      <w:r w:rsidRPr="0086677D">
        <w:rPr>
          <w:rFonts w:cs="Calibri"/>
          <w:szCs w:val="24"/>
          <w:lang w:val="ru-RU"/>
        </w:rPr>
        <w:t>зональным отделениям и расходы в разбивке по тематическим приоритетам и</w:t>
      </w:r>
      <w:r>
        <w:rPr>
          <w:rFonts w:cs="Calibri"/>
          <w:szCs w:val="24"/>
          <w:lang w:val="en-US"/>
        </w:rPr>
        <w:t> </w:t>
      </w:r>
      <w:r w:rsidRPr="0086677D">
        <w:rPr>
          <w:rFonts w:cs="Calibri"/>
          <w:szCs w:val="24"/>
          <w:lang w:val="ru-RU"/>
        </w:rPr>
        <w:t>запланированным результатам работы.</w:t>
      </w:r>
    </w:p>
    <w:p w14:paraId="08E487F6" w14:textId="77777777" w:rsidR="0086677D" w:rsidRPr="0086677D" w:rsidRDefault="0086677D" w:rsidP="007337B0">
      <w:pPr>
        <w:pStyle w:val="enumlev2"/>
        <w:jc w:val="both"/>
        <w:rPr>
          <w:rFonts w:cs="Calibri"/>
          <w:szCs w:val="24"/>
          <w:lang w:val="ru-RU"/>
        </w:rPr>
      </w:pPr>
      <w:r w:rsidRPr="00EF6F1F">
        <w:rPr>
          <w:rFonts w:eastAsiaTheme="minorEastAsia" w:cs="Calibri"/>
          <w:i/>
          <w:iCs/>
          <w:szCs w:val="24"/>
        </w:rPr>
        <w:t>c</w:t>
      </w:r>
      <w:r w:rsidRPr="0086677D">
        <w:rPr>
          <w:rFonts w:eastAsiaTheme="minorEastAsia" w:cs="Calibri"/>
          <w:i/>
          <w:iCs/>
          <w:szCs w:val="24"/>
          <w:lang w:val="ru-RU"/>
        </w:rPr>
        <w:t>)</w:t>
      </w:r>
      <w:r w:rsidRPr="0086677D">
        <w:rPr>
          <w:rFonts w:eastAsiaTheme="minorEastAsia" w:cs="Calibri"/>
          <w:i/>
          <w:iCs/>
          <w:szCs w:val="24"/>
          <w:lang w:val="ru-RU"/>
        </w:rPr>
        <w:tab/>
      </w:r>
      <w:r w:rsidRPr="0086677D">
        <w:rPr>
          <w:rFonts w:cs="Calibri"/>
          <w:szCs w:val="24"/>
          <w:lang w:val="ru-RU"/>
        </w:rPr>
        <w:t>Осуществление видов деятельности (в том числе тех, которые относятся к трем Секторам и Генеральному секретариату).</w:t>
      </w:r>
    </w:p>
    <w:p w14:paraId="42408BCF" w14:textId="77777777" w:rsidR="0086677D" w:rsidRPr="0086677D" w:rsidRDefault="0086677D" w:rsidP="007337B0">
      <w:pPr>
        <w:pStyle w:val="enumlev1"/>
        <w:keepNext/>
        <w:keepLines/>
        <w:jc w:val="both"/>
        <w:rPr>
          <w:lang w:val="ru-RU"/>
        </w:rPr>
      </w:pPr>
      <w:r w:rsidRPr="0086677D">
        <w:rPr>
          <w:rFonts w:eastAsiaTheme="minorEastAsia"/>
          <w:lang w:val="ru-RU"/>
        </w:rPr>
        <w:t>26)</w:t>
      </w:r>
      <w:r w:rsidRPr="0086677D">
        <w:rPr>
          <w:rFonts w:eastAsiaTheme="minorEastAsia"/>
          <w:lang w:val="ru-RU"/>
        </w:rPr>
        <w:tab/>
      </w:r>
      <w:r w:rsidRPr="0086677D">
        <w:rPr>
          <w:lang w:val="ru-RU"/>
        </w:rPr>
        <w:t>Определить, обеспечивает ли региональное присутствие предоставление Директорам трех Бюро, консультативным органам и Совету перечисленной ниже информации в</w:t>
      </w:r>
      <w:r>
        <w:rPr>
          <w:lang w:val="en-US"/>
        </w:rPr>
        <w:t> </w:t>
      </w:r>
      <w:r w:rsidRPr="0086677D">
        <w:rPr>
          <w:lang w:val="ru-RU"/>
        </w:rPr>
        <w:t>достаточном объеме:</w:t>
      </w:r>
    </w:p>
    <w:p w14:paraId="41405AD1" w14:textId="0D72F417" w:rsidR="0086677D" w:rsidRPr="0086677D" w:rsidRDefault="0086677D" w:rsidP="007337B0">
      <w:pPr>
        <w:pStyle w:val="enumlev2"/>
        <w:jc w:val="both"/>
        <w:rPr>
          <w:rFonts w:cs="Calibri"/>
          <w:szCs w:val="24"/>
          <w:lang w:val="ru-RU"/>
        </w:rPr>
      </w:pPr>
      <w:r w:rsidRPr="00EF6F1F">
        <w:rPr>
          <w:rFonts w:eastAsiaTheme="minorEastAsia" w:cs="Calibri"/>
          <w:i/>
          <w:iCs/>
          <w:szCs w:val="24"/>
        </w:rPr>
        <w:t>a</w:t>
      </w:r>
      <w:r w:rsidRPr="0086677D">
        <w:rPr>
          <w:rFonts w:eastAsiaTheme="minorEastAsia" w:cs="Calibri"/>
          <w:i/>
          <w:iCs/>
          <w:szCs w:val="24"/>
          <w:lang w:val="ru-RU"/>
        </w:rPr>
        <w:t>)</w:t>
      </w:r>
      <w:r w:rsidRPr="0086677D">
        <w:rPr>
          <w:rFonts w:eastAsiaTheme="minorEastAsia" w:cs="Calibri"/>
          <w:i/>
          <w:iCs/>
          <w:szCs w:val="24"/>
          <w:lang w:val="ru-RU"/>
        </w:rPr>
        <w:tab/>
      </w:r>
      <w:r w:rsidR="001C4BB8">
        <w:rPr>
          <w:rFonts w:cs="Calibri"/>
          <w:szCs w:val="24"/>
          <w:lang w:val="ru-RU"/>
        </w:rPr>
        <w:t>л</w:t>
      </w:r>
      <w:r w:rsidRPr="0086677D">
        <w:rPr>
          <w:rFonts w:cs="Calibri"/>
          <w:szCs w:val="24"/>
          <w:lang w:val="ru-RU"/>
        </w:rPr>
        <w:t>юбые трудности, с которыми приходится сталкиваться при сборе вышеуказанных/запрашиваемых данных</w:t>
      </w:r>
      <w:r w:rsidR="001C4BB8">
        <w:rPr>
          <w:rFonts w:cs="Calibri"/>
          <w:szCs w:val="24"/>
          <w:lang w:val="ru-RU"/>
        </w:rPr>
        <w:t>;</w:t>
      </w:r>
    </w:p>
    <w:p w14:paraId="5CE8DCDD" w14:textId="589C4BE0" w:rsidR="0086677D" w:rsidRPr="0086677D" w:rsidRDefault="0086677D" w:rsidP="007337B0">
      <w:pPr>
        <w:pStyle w:val="enumlev2"/>
        <w:jc w:val="both"/>
        <w:rPr>
          <w:rFonts w:cs="Calibri"/>
          <w:szCs w:val="24"/>
          <w:lang w:val="ru-RU"/>
        </w:rPr>
      </w:pPr>
      <w:r w:rsidRPr="00EF6F1F">
        <w:rPr>
          <w:rFonts w:eastAsiaTheme="minorEastAsia" w:cs="Calibri"/>
          <w:i/>
          <w:iCs/>
          <w:szCs w:val="24"/>
        </w:rPr>
        <w:t>b</w:t>
      </w:r>
      <w:r w:rsidRPr="0086677D">
        <w:rPr>
          <w:rFonts w:eastAsiaTheme="minorEastAsia" w:cs="Calibri"/>
          <w:i/>
          <w:iCs/>
          <w:szCs w:val="24"/>
          <w:lang w:val="ru-RU"/>
        </w:rPr>
        <w:t>)</w:t>
      </w:r>
      <w:r w:rsidRPr="0086677D">
        <w:rPr>
          <w:rFonts w:eastAsiaTheme="minorEastAsia" w:cs="Calibri"/>
          <w:i/>
          <w:iCs/>
          <w:szCs w:val="24"/>
          <w:lang w:val="ru-RU"/>
        </w:rPr>
        <w:tab/>
      </w:r>
      <w:r w:rsidR="001C4BB8">
        <w:rPr>
          <w:rFonts w:cs="Calibri"/>
          <w:szCs w:val="24"/>
          <w:lang w:val="ru-RU"/>
        </w:rPr>
        <w:t>л</w:t>
      </w:r>
      <w:r w:rsidRPr="0086677D">
        <w:rPr>
          <w:rFonts w:cs="Calibri"/>
          <w:szCs w:val="24"/>
          <w:lang w:val="ru-RU"/>
        </w:rPr>
        <w:t>юбые рекомендации в отношении того, как регулярная отчетность может способствовать активизации деятельности, связанной с обеспечением регионального присутствия</w:t>
      </w:r>
      <w:r w:rsidR="001C4BB8">
        <w:rPr>
          <w:rFonts w:cs="Calibri"/>
          <w:szCs w:val="24"/>
          <w:lang w:val="ru-RU"/>
        </w:rPr>
        <w:t>;</w:t>
      </w:r>
    </w:p>
    <w:p w14:paraId="6C6DFB6D" w14:textId="4AE10688" w:rsidR="0086677D" w:rsidRPr="0086677D" w:rsidRDefault="0086677D" w:rsidP="007337B0">
      <w:pPr>
        <w:pStyle w:val="enumlev2"/>
        <w:jc w:val="both"/>
        <w:rPr>
          <w:rFonts w:cs="Calibri"/>
          <w:szCs w:val="24"/>
          <w:lang w:val="ru-RU"/>
        </w:rPr>
      </w:pPr>
      <w:r w:rsidRPr="00EF6F1F">
        <w:rPr>
          <w:rFonts w:eastAsiaTheme="minorEastAsia" w:cs="Calibri"/>
          <w:i/>
          <w:iCs/>
          <w:szCs w:val="24"/>
        </w:rPr>
        <w:lastRenderedPageBreak/>
        <w:t>c</w:t>
      </w:r>
      <w:r w:rsidRPr="0086677D">
        <w:rPr>
          <w:rFonts w:eastAsiaTheme="minorEastAsia" w:cs="Calibri"/>
          <w:i/>
          <w:iCs/>
          <w:szCs w:val="24"/>
          <w:lang w:val="ru-RU"/>
        </w:rPr>
        <w:t>)</w:t>
      </w:r>
      <w:r w:rsidRPr="0086677D">
        <w:rPr>
          <w:rFonts w:eastAsiaTheme="minorEastAsia" w:cs="Calibri"/>
          <w:i/>
          <w:iCs/>
          <w:szCs w:val="24"/>
          <w:lang w:val="ru-RU"/>
        </w:rPr>
        <w:tab/>
      </w:r>
      <w:r w:rsidR="001C4BB8">
        <w:rPr>
          <w:rFonts w:cs="Calibri"/>
          <w:szCs w:val="24"/>
          <w:lang w:val="ru-RU"/>
        </w:rPr>
        <w:t>л</w:t>
      </w:r>
      <w:r w:rsidRPr="0086677D">
        <w:rPr>
          <w:rFonts w:cs="Calibri"/>
          <w:szCs w:val="24"/>
          <w:lang w:val="ru-RU"/>
        </w:rPr>
        <w:t>юбые рекомендации в отношении того, каким образом надзор со стороны консультативных органов и Совета может способствовать активизации деятельности, связанной с обеспечением регионального присутствия.</w:t>
      </w:r>
    </w:p>
    <w:p w14:paraId="52536913" w14:textId="77777777" w:rsidR="0086677D" w:rsidRPr="0086677D" w:rsidRDefault="0086677D" w:rsidP="007337B0">
      <w:pPr>
        <w:pStyle w:val="enumlev1"/>
        <w:keepNext/>
        <w:keepLines/>
        <w:jc w:val="both"/>
        <w:rPr>
          <w:lang w:val="ru-RU"/>
        </w:rPr>
      </w:pPr>
      <w:r w:rsidRPr="0086677D">
        <w:rPr>
          <w:rFonts w:eastAsiaTheme="minorEastAsia"/>
          <w:lang w:val="ru-RU"/>
        </w:rPr>
        <w:t>27)</w:t>
      </w:r>
      <w:r w:rsidRPr="0086677D">
        <w:rPr>
          <w:rFonts w:eastAsiaTheme="minorEastAsia"/>
          <w:lang w:val="ru-RU"/>
        </w:rPr>
        <w:tab/>
        <w:t>Указать, в какой степени</w:t>
      </w:r>
    </w:p>
    <w:p w14:paraId="64F2EE11" w14:textId="77777777" w:rsidR="0086677D" w:rsidRPr="0086677D" w:rsidRDefault="0086677D" w:rsidP="007337B0">
      <w:pPr>
        <w:pStyle w:val="enumlev2"/>
        <w:jc w:val="both"/>
        <w:rPr>
          <w:lang w:val="ru-RU"/>
        </w:rPr>
      </w:pPr>
      <w:r w:rsidRPr="00EF6F1F">
        <w:rPr>
          <w:rFonts w:eastAsiaTheme="minorEastAsia"/>
          <w:i/>
          <w:iCs/>
        </w:rPr>
        <w:t>a</w:t>
      </w:r>
      <w:r w:rsidRPr="0086677D">
        <w:rPr>
          <w:rFonts w:eastAsiaTheme="minorEastAsia"/>
          <w:i/>
          <w:iCs/>
          <w:lang w:val="ru-RU"/>
        </w:rPr>
        <w:t>)</w:t>
      </w:r>
      <w:r w:rsidRPr="0086677D">
        <w:rPr>
          <w:rFonts w:eastAsiaTheme="minorEastAsia"/>
          <w:lang w:val="ru-RU"/>
        </w:rPr>
        <w:tab/>
        <w:t>выполнены с</w:t>
      </w:r>
      <w:r w:rsidRPr="0086677D">
        <w:rPr>
          <w:lang w:val="ru-RU"/>
        </w:rPr>
        <w:t>оответствующие рекомендации внутреннего аудита, внешнего аудита, Независимого консультативного комитета по управлению и</w:t>
      </w:r>
      <w:r>
        <w:rPr>
          <w:lang w:val="en-US"/>
        </w:rPr>
        <w:t> </w:t>
      </w:r>
      <w:r w:rsidRPr="0086677D">
        <w:rPr>
          <w:lang w:val="ru-RU"/>
        </w:rPr>
        <w:t>Объединенной инспекционной группы в отношении регионального присутствия;</w:t>
      </w:r>
    </w:p>
    <w:p w14:paraId="56A3FF28" w14:textId="77777777" w:rsidR="0086677D" w:rsidRPr="0086677D" w:rsidRDefault="0086677D" w:rsidP="007337B0">
      <w:pPr>
        <w:pStyle w:val="enumlev2"/>
        <w:jc w:val="both"/>
        <w:rPr>
          <w:lang w:val="ru-RU"/>
        </w:rPr>
      </w:pPr>
      <w:r w:rsidRPr="00EF6F1F">
        <w:rPr>
          <w:rFonts w:eastAsiaTheme="minorEastAsia"/>
          <w:i/>
          <w:iCs/>
        </w:rPr>
        <w:t>b</w:t>
      </w:r>
      <w:r w:rsidRPr="0086677D">
        <w:rPr>
          <w:rFonts w:eastAsiaTheme="minorEastAsia"/>
          <w:i/>
          <w:iCs/>
          <w:lang w:val="ru-RU"/>
        </w:rPr>
        <w:t>)</w:t>
      </w:r>
      <w:r w:rsidRPr="0086677D">
        <w:rPr>
          <w:rFonts w:eastAsiaTheme="minorEastAsia"/>
          <w:lang w:val="ru-RU"/>
        </w:rPr>
        <w:tab/>
        <w:t>внедрены к</w:t>
      </w:r>
      <w:r w:rsidRPr="0086677D">
        <w:rPr>
          <w:lang w:val="ru-RU"/>
        </w:rPr>
        <w:t>омпоненты Системы подотчетности МСЭ в региональных отделениях. Следует среди прочего указать, как внедряются УОР, методы составления бюджета, ориентированного на результаты, и как выполняется Стратегический план в области людских ресурсов. Следует также указать любые пробелы в</w:t>
      </w:r>
      <w:r>
        <w:rPr>
          <w:lang w:val="en-US"/>
        </w:rPr>
        <w:t> </w:t>
      </w:r>
      <w:r w:rsidRPr="0086677D">
        <w:rPr>
          <w:lang w:val="ru-RU"/>
        </w:rPr>
        <w:t>реализации и прогресс в устранении этих пробелов;</w:t>
      </w:r>
    </w:p>
    <w:p w14:paraId="6C807A78" w14:textId="77777777" w:rsidR="0086677D" w:rsidRPr="0086677D" w:rsidRDefault="0086677D" w:rsidP="007337B0">
      <w:pPr>
        <w:pStyle w:val="enumlev2"/>
        <w:jc w:val="both"/>
        <w:rPr>
          <w:lang w:val="ru-RU"/>
        </w:rPr>
      </w:pPr>
      <w:r w:rsidRPr="00EF6F1F">
        <w:rPr>
          <w:rFonts w:eastAsiaTheme="minorEastAsia"/>
          <w:i/>
          <w:iCs/>
        </w:rPr>
        <w:t>c</w:t>
      </w:r>
      <w:r w:rsidRPr="0086677D">
        <w:rPr>
          <w:rFonts w:eastAsiaTheme="minorEastAsia"/>
          <w:i/>
          <w:iCs/>
          <w:lang w:val="ru-RU"/>
        </w:rPr>
        <w:t>)</w:t>
      </w:r>
      <w:r w:rsidRPr="0086677D">
        <w:rPr>
          <w:rFonts w:eastAsiaTheme="minorEastAsia"/>
          <w:lang w:val="ru-RU"/>
        </w:rPr>
        <w:tab/>
      </w:r>
      <w:r w:rsidRPr="0086677D">
        <w:rPr>
          <w:lang w:val="ru-RU"/>
        </w:rPr>
        <w:t>приняты меры по обеспечению подотчетности при предоставлении региональным/зональным отделениям большей самостоятельности в принятии решений в отношении различных видов деятельности, инициатив и проектов, осуществляемых ими;</w:t>
      </w:r>
    </w:p>
    <w:p w14:paraId="17E73EBD" w14:textId="77777777" w:rsidR="0086677D" w:rsidRPr="0086677D" w:rsidRDefault="0086677D" w:rsidP="007337B0">
      <w:pPr>
        <w:pStyle w:val="enumlev2"/>
        <w:jc w:val="both"/>
        <w:rPr>
          <w:rFonts w:cstheme="minorHAnsi"/>
          <w:lang w:val="ru-RU"/>
        </w:rPr>
      </w:pPr>
      <w:r w:rsidRPr="00EF6F1F">
        <w:rPr>
          <w:rFonts w:eastAsiaTheme="minorEastAsia" w:cstheme="minorHAnsi"/>
          <w:i/>
          <w:iCs/>
        </w:rPr>
        <w:t>d</w:t>
      </w:r>
      <w:r w:rsidRPr="0086677D">
        <w:rPr>
          <w:rFonts w:eastAsiaTheme="minorEastAsia" w:cstheme="minorHAnsi"/>
          <w:i/>
          <w:iCs/>
          <w:lang w:val="ru-RU"/>
        </w:rPr>
        <w:t>)</w:t>
      </w:r>
      <w:r w:rsidRPr="0086677D">
        <w:rPr>
          <w:rFonts w:eastAsiaTheme="minorEastAsia" w:cstheme="minorHAnsi"/>
          <w:lang w:val="ru-RU"/>
        </w:rPr>
        <w:tab/>
        <w:t xml:space="preserve">эффективны и результативны механизмы контроля за соблюдением этических норм, </w:t>
      </w:r>
      <w:r w:rsidRPr="0086677D">
        <w:rPr>
          <w:lang w:val="ru-RU"/>
        </w:rPr>
        <w:t>рассмотрения жалоб и реагирования на них.</w:t>
      </w:r>
    </w:p>
    <w:p w14:paraId="1D5E96EE" w14:textId="77777777" w:rsidR="0086677D" w:rsidRPr="0086677D" w:rsidRDefault="0086677D" w:rsidP="007337B0">
      <w:pPr>
        <w:jc w:val="both"/>
        <w:rPr>
          <w:lang w:val="ru-RU"/>
        </w:rPr>
      </w:pPr>
      <w:r w:rsidRPr="0086677D">
        <w:rPr>
          <w:rFonts w:cs="Calibri"/>
          <w:szCs w:val="24"/>
          <w:lang w:val="ru-RU"/>
        </w:rPr>
        <w:t>Дополнительные критерии оценки административной, финансовой, материально-технической поддержки участников мероприятий МСЭ, проводимых региональными и зональными отделениями, организации их питания и предоставления им других специальных услуг.</w:t>
      </w:r>
    </w:p>
    <w:p w14:paraId="3CCD007D" w14:textId="78B80900" w:rsidR="0086677D" w:rsidRPr="0086677D" w:rsidRDefault="0086677D" w:rsidP="0086677D">
      <w:pPr>
        <w:jc w:val="both"/>
        <w:rPr>
          <w:lang w:val="ru-RU"/>
        </w:rPr>
      </w:pPr>
      <w:r w:rsidRPr="0086677D">
        <w:rPr>
          <w:lang w:val="ru-RU"/>
        </w:rPr>
        <w:br w:type="page"/>
      </w:r>
    </w:p>
    <w:p w14:paraId="1F988C2F" w14:textId="77777777" w:rsidR="0086677D" w:rsidRPr="0086677D" w:rsidRDefault="0086677D" w:rsidP="006124AD">
      <w:pPr>
        <w:pStyle w:val="AnnexNo"/>
        <w:rPr>
          <w:lang w:val="ru-RU"/>
        </w:rPr>
      </w:pPr>
      <w:bookmarkStart w:id="15" w:name="_Ref200055699"/>
      <w:bookmarkStart w:id="16" w:name="AnnexB"/>
      <w:r>
        <w:rPr>
          <w:lang w:val="ru-RU"/>
        </w:rPr>
        <w:lastRenderedPageBreak/>
        <w:t>Приложение В</w:t>
      </w:r>
      <w:bookmarkEnd w:id="15"/>
    </w:p>
    <w:bookmarkEnd w:id="16"/>
    <w:p w14:paraId="3A46B992" w14:textId="63BCDEAA" w:rsidR="0086677D" w:rsidRPr="0086677D" w:rsidRDefault="008657E0" w:rsidP="0086677D">
      <w:pPr>
        <w:pStyle w:val="Annextitle"/>
        <w:rPr>
          <w:lang w:val="ru-RU"/>
        </w:rPr>
      </w:pPr>
      <w:r>
        <w:rPr>
          <w:bCs/>
          <w:lang w:val="ru-RU"/>
        </w:rPr>
        <w:t>Руководящие</w:t>
      </w:r>
      <w:r w:rsidR="0086677D">
        <w:rPr>
          <w:bCs/>
          <w:lang w:val="ru-RU"/>
        </w:rPr>
        <w:t xml:space="preserve"> </w:t>
      </w:r>
      <w:r>
        <w:rPr>
          <w:bCs/>
          <w:lang w:val="ru-RU"/>
        </w:rPr>
        <w:t>принципы</w:t>
      </w:r>
      <w:r w:rsidR="0086677D">
        <w:rPr>
          <w:bCs/>
          <w:lang w:val="ru-RU"/>
        </w:rPr>
        <w:t xml:space="preserve"> </w:t>
      </w:r>
      <w:r>
        <w:rPr>
          <w:bCs/>
          <w:lang w:val="ru-RU"/>
        </w:rPr>
        <w:t>в отношении</w:t>
      </w:r>
      <w:r w:rsidR="0086677D">
        <w:rPr>
          <w:bCs/>
          <w:lang w:val="ru-RU"/>
        </w:rPr>
        <w:t xml:space="preserve"> управлени</w:t>
      </w:r>
      <w:r>
        <w:rPr>
          <w:bCs/>
          <w:lang w:val="ru-RU"/>
        </w:rPr>
        <w:t>я</w:t>
      </w:r>
      <w:r w:rsidR="0086677D">
        <w:rPr>
          <w:bCs/>
          <w:lang w:val="ru-RU"/>
        </w:rPr>
        <w:t xml:space="preserve"> полностью виртуальными собраниями и очными собраниями с дистанционным участием</w:t>
      </w:r>
    </w:p>
    <w:p w14:paraId="4649EF5B" w14:textId="77777777" w:rsidR="0086677D" w:rsidRPr="0086677D" w:rsidRDefault="0086677D" w:rsidP="007337B0">
      <w:pPr>
        <w:pStyle w:val="Headingb"/>
        <w:jc w:val="both"/>
        <w:rPr>
          <w:lang w:val="ru-RU"/>
        </w:rPr>
      </w:pPr>
      <w:r>
        <w:rPr>
          <w:bCs/>
          <w:lang w:val="ru-RU"/>
        </w:rPr>
        <w:t>Цель</w:t>
      </w:r>
    </w:p>
    <w:p w14:paraId="1D703D51" w14:textId="440714F4" w:rsidR="0086677D" w:rsidRPr="0086677D" w:rsidRDefault="0086677D" w:rsidP="007337B0">
      <w:pPr>
        <w:jc w:val="both"/>
        <w:rPr>
          <w:lang w:val="ru-RU"/>
        </w:rPr>
      </w:pPr>
      <w:r>
        <w:rPr>
          <w:lang w:val="ru-RU"/>
        </w:rPr>
        <w:t xml:space="preserve">Руководящие </w:t>
      </w:r>
      <w:r w:rsidR="008657E0">
        <w:rPr>
          <w:lang w:val="ru-RU"/>
        </w:rPr>
        <w:t>принципы</w:t>
      </w:r>
      <w:r>
        <w:rPr>
          <w:lang w:val="ru-RU"/>
        </w:rPr>
        <w:t xml:space="preserve"> и приложения, содержащиеся в настоящем документе, представляют собой указания высокого уровня по управлению и руководству полностью виртуальными собраниями и очными собраниями с дистанционным участием.</w:t>
      </w:r>
    </w:p>
    <w:p w14:paraId="75ED1C4C" w14:textId="77777777" w:rsidR="0086677D" w:rsidRPr="0086677D" w:rsidRDefault="0086677D" w:rsidP="007337B0">
      <w:pPr>
        <w:pStyle w:val="Headingb"/>
        <w:jc w:val="both"/>
        <w:rPr>
          <w:lang w:val="ru-RU"/>
        </w:rPr>
      </w:pPr>
      <w:r>
        <w:rPr>
          <w:bCs/>
          <w:lang w:val="ru-RU"/>
        </w:rPr>
        <w:t>Сфера применения</w:t>
      </w:r>
    </w:p>
    <w:p w14:paraId="24638194" w14:textId="42CAE4AB" w:rsidR="0086677D" w:rsidRPr="0086677D" w:rsidRDefault="0086677D" w:rsidP="007337B0">
      <w:pPr>
        <w:jc w:val="both"/>
        <w:rPr>
          <w:lang w:val="ru-RU"/>
        </w:rPr>
      </w:pPr>
      <w:r>
        <w:rPr>
          <w:lang w:val="ru-RU"/>
        </w:rPr>
        <w:t xml:space="preserve">Настоящие руководящие </w:t>
      </w:r>
      <w:r w:rsidR="008657E0">
        <w:rPr>
          <w:lang w:val="ru-RU"/>
        </w:rPr>
        <w:t>принципы</w:t>
      </w:r>
      <w:r>
        <w:rPr>
          <w:lang w:val="ru-RU"/>
        </w:rPr>
        <w:t xml:space="preserve"> касаются всех собраний Секторов и Генерального секретариата и не противоречат существующей регуляторной базе и методам работы Секторов.</w:t>
      </w:r>
    </w:p>
    <w:p w14:paraId="186EC8E2" w14:textId="44D4EB3D" w:rsidR="0086677D" w:rsidRPr="0086677D" w:rsidRDefault="0086677D" w:rsidP="007337B0">
      <w:pPr>
        <w:pStyle w:val="Heading1"/>
        <w:jc w:val="both"/>
        <w:rPr>
          <w:lang w:val="ru-RU"/>
        </w:rPr>
      </w:pPr>
      <w:r>
        <w:rPr>
          <w:bCs/>
          <w:lang w:val="ru-RU"/>
        </w:rPr>
        <w:t>1</w:t>
      </w:r>
      <w:r>
        <w:rPr>
          <w:lang w:val="ru-RU"/>
        </w:rPr>
        <w:tab/>
      </w:r>
      <w:r>
        <w:rPr>
          <w:bCs/>
          <w:lang w:val="ru-RU"/>
        </w:rPr>
        <w:t xml:space="preserve">Категории собраний </w:t>
      </w:r>
      <w:r w:rsidR="0090397F">
        <w:rPr>
          <w:bCs/>
          <w:lang w:val="ru-RU"/>
        </w:rPr>
        <w:t>в зависимости от</w:t>
      </w:r>
      <w:r>
        <w:rPr>
          <w:bCs/>
          <w:lang w:val="ru-RU"/>
        </w:rPr>
        <w:t xml:space="preserve"> формат</w:t>
      </w:r>
      <w:r w:rsidR="0090397F">
        <w:rPr>
          <w:bCs/>
          <w:lang w:val="ru-RU"/>
        </w:rPr>
        <w:t>а</w:t>
      </w:r>
      <w:r>
        <w:rPr>
          <w:bCs/>
          <w:lang w:val="ru-RU"/>
        </w:rPr>
        <w:t xml:space="preserve"> проведения</w:t>
      </w:r>
    </w:p>
    <w:p w14:paraId="6D1D4FD4" w14:textId="406A3CC8" w:rsidR="0086677D" w:rsidRPr="0086677D" w:rsidRDefault="0086677D" w:rsidP="007337B0">
      <w:pPr>
        <w:jc w:val="both"/>
        <w:rPr>
          <w:lang w:val="ru-RU"/>
        </w:rPr>
      </w:pPr>
      <w:r>
        <w:rPr>
          <w:lang w:val="ru-RU"/>
        </w:rPr>
        <w:t xml:space="preserve">В настоящее время </w:t>
      </w:r>
      <w:r w:rsidR="001C4BB8">
        <w:rPr>
          <w:lang w:val="ru-RU"/>
        </w:rPr>
        <w:t>в рамках</w:t>
      </w:r>
      <w:r>
        <w:rPr>
          <w:lang w:val="ru-RU"/>
        </w:rPr>
        <w:t xml:space="preserve"> мероприяти</w:t>
      </w:r>
      <w:r w:rsidR="001C4BB8">
        <w:rPr>
          <w:lang w:val="ru-RU"/>
        </w:rPr>
        <w:t>й</w:t>
      </w:r>
      <w:r>
        <w:rPr>
          <w:lang w:val="ru-RU"/>
        </w:rPr>
        <w:t xml:space="preserve"> МСЭ проводятся </w:t>
      </w:r>
      <w:r w:rsidR="0090397F">
        <w:rPr>
          <w:lang w:val="ru-RU"/>
        </w:rPr>
        <w:t>заседания</w:t>
      </w:r>
      <w:r>
        <w:rPr>
          <w:lang w:val="ru-RU"/>
        </w:rPr>
        <w:t>, относящиеся к одной из следующих четырех категорий:</w:t>
      </w:r>
    </w:p>
    <w:p w14:paraId="188C6E08" w14:textId="3D2AF25F" w:rsidR="0086677D" w:rsidRPr="0086677D" w:rsidRDefault="0086677D" w:rsidP="007337B0">
      <w:pPr>
        <w:pStyle w:val="enumlev1"/>
        <w:jc w:val="both"/>
        <w:rPr>
          <w:lang w:val="ru-RU"/>
        </w:rPr>
      </w:pPr>
      <w:r>
        <w:rPr>
          <w:i/>
          <w:iCs/>
          <w:lang w:val="ru-RU"/>
        </w:rPr>
        <w:t>a)</w:t>
      </w:r>
      <w:r>
        <w:rPr>
          <w:lang w:val="ru-RU"/>
        </w:rPr>
        <w:tab/>
      </w:r>
      <w:r>
        <w:rPr>
          <w:b/>
          <w:bCs/>
          <w:lang w:val="ru-RU"/>
        </w:rPr>
        <w:t>очные</w:t>
      </w:r>
      <w:r>
        <w:rPr>
          <w:lang w:val="ru-RU"/>
        </w:rPr>
        <w:t xml:space="preserve"> </w:t>
      </w:r>
      <w:r w:rsidR="00DE2DBD">
        <w:rPr>
          <w:lang w:val="ru-RU"/>
        </w:rPr>
        <w:t>−</w:t>
      </w:r>
      <w:r>
        <w:rPr>
          <w:lang w:val="ru-RU"/>
        </w:rPr>
        <w:t xml:space="preserve"> все участники присутствуют в зале заседаний;</w:t>
      </w:r>
    </w:p>
    <w:p w14:paraId="5E65DFAD" w14:textId="3F36154B" w:rsidR="0086677D" w:rsidRPr="0086677D" w:rsidRDefault="0086677D" w:rsidP="007337B0">
      <w:pPr>
        <w:pStyle w:val="enumlev1"/>
        <w:jc w:val="both"/>
        <w:rPr>
          <w:lang w:val="ru-RU"/>
        </w:rPr>
      </w:pPr>
      <w:r>
        <w:rPr>
          <w:i/>
          <w:iCs/>
          <w:lang w:val="ru-RU"/>
        </w:rPr>
        <w:t>b)</w:t>
      </w:r>
      <w:r>
        <w:rPr>
          <w:lang w:val="ru-RU"/>
        </w:rPr>
        <w:tab/>
      </w:r>
      <w:r>
        <w:rPr>
          <w:b/>
          <w:bCs/>
          <w:lang w:val="ru-RU"/>
        </w:rPr>
        <w:t xml:space="preserve">полностью виртуальные </w:t>
      </w:r>
      <w:r w:rsidR="00DE2DBD">
        <w:rPr>
          <w:lang w:val="ru-RU"/>
        </w:rPr>
        <w:t>−</w:t>
      </w:r>
      <w:r>
        <w:rPr>
          <w:lang w:val="ru-RU"/>
        </w:rPr>
        <w:t xml:space="preserve"> все участники присутствуют дистанционно, подключившись через платформу для веб-конференций из своей локации;</w:t>
      </w:r>
    </w:p>
    <w:p w14:paraId="0542E796" w14:textId="420C4053" w:rsidR="0086677D" w:rsidRPr="0086677D" w:rsidRDefault="0086677D" w:rsidP="007337B0">
      <w:pPr>
        <w:pStyle w:val="enumlev1"/>
        <w:jc w:val="both"/>
        <w:rPr>
          <w:lang w:val="ru-RU"/>
        </w:rPr>
      </w:pPr>
      <w:r>
        <w:rPr>
          <w:i/>
          <w:iCs/>
          <w:lang w:val="ru-RU"/>
        </w:rPr>
        <w:t>c)</w:t>
      </w:r>
      <w:r>
        <w:rPr>
          <w:lang w:val="ru-RU"/>
        </w:rPr>
        <w:tab/>
      </w:r>
      <w:r>
        <w:rPr>
          <w:b/>
          <w:bCs/>
          <w:lang w:val="ru-RU"/>
        </w:rPr>
        <w:t>очные с возможностью дистанционного участия (выступления)</w:t>
      </w:r>
      <w:r>
        <w:rPr>
          <w:lang w:val="ru-RU"/>
        </w:rPr>
        <w:t xml:space="preserve"> </w:t>
      </w:r>
      <w:r w:rsidR="00DE2DBD">
        <w:rPr>
          <w:lang w:val="ru-RU"/>
        </w:rPr>
        <w:t>−</w:t>
      </w:r>
      <w:r>
        <w:rPr>
          <w:lang w:val="ru-RU"/>
        </w:rPr>
        <w:t xml:space="preserve"> зал заседаний подключен к платформе для веб-конференций. Участники могут присутствовать на месте, в зале заседаний, и/или принимать активное участие дистанционно через платформу для веб-конференций</w:t>
      </w:r>
      <w:r w:rsidRPr="005D6998">
        <w:rPr>
          <w:rFonts w:eastAsiaTheme="minorEastAsia"/>
          <w:position w:val="6"/>
          <w:sz w:val="16"/>
          <w:lang w:val="ru-RU"/>
        </w:rPr>
        <w:footnoteReference w:id="1"/>
      </w:r>
      <w:r w:rsidR="001C4BB8">
        <w:rPr>
          <w:lang w:val="ru-RU"/>
        </w:rPr>
        <w:t>;</w:t>
      </w:r>
    </w:p>
    <w:p w14:paraId="72BB2301" w14:textId="18F8DA24" w:rsidR="0086677D" w:rsidRPr="0086677D" w:rsidRDefault="0086677D" w:rsidP="007337B0">
      <w:pPr>
        <w:pStyle w:val="enumlev1"/>
        <w:jc w:val="both"/>
        <w:rPr>
          <w:lang w:val="ru-RU"/>
        </w:rPr>
      </w:pPr>
      <w:r>
        <w:rPr>
          <w:i/>
          <w:iCs/>
          <w:lang w:val="ru-RU"/>
        </w:rPr>
        <w:t>d)</w:t>
      </w:r>
      <w:r>
        <w:rPr>
          <w:lang w:val="ru-RU"/>
        </w:rPr>
        <w:tab/>
      </w:r>
      <w:r>
        <w:rPr>
          <w:b/>
          <w:bCs/>
          <w:lang w:val="ru-RU"/>
        </w:rPr>
        <w:t>очные с веб-трансляцией</w:t>
      </w:r>
      <w:r>
        <w:rPr>
          <w:lang w:val="ru-RU"/>
        </w:rPr>
        <w:t xml:space="preserve"> </w:t>
      </w:r>
      <w:r w:rsidR="00DE2DBD">
        <w:rPr>
          <w:lang w:val="ru-RU"/>
        </w:rPr>
        <w:t>−</w:t>
      </w:r>
      <w:r>
        <w:rPr>
          <w:lang w:val="ru-RU"/>
        </w:rPr>
        <w:t xml:space="preserve"> означает просмотр (в реальном времени или почти в реальном времени) события в онлайн-режиме без возможности взять слово.</w:t>
      </w:r>
    </w:p>
    <w:p w14:paraId="103AE270" w14:textId="49ADEDA9" w:rsidR="0086677D" w:rsidRPr="0086677D" w:rsidRDefault="0086677D" w:rsidP="007337B0">
      <w:pPr>
        <w:pStyle w:val="Heading1"/>
        <w:jc w:val="both"/>
        <w:rPr>
          <w:lang w:val="ru-RU"/>
        </w:rPr>
      </w:pPr>
      <w:r>
        <w:rPr>
          <w:bCs/>
          <w:lang w:val="ru-RU"/>
        </w:rPr>
        <w:t>2</w:t>
      </w:r>
      <w:r>
        <w:rPr>
          <w:lang w:val="ru-RU"/>
        </w:rPr>
        <w:tab/>
      </w:r>
      <w:r>
        <w:rPr>
          <w:bCs/>
          <w:lang w:val="ru-RU"/>
        </w:rPr>
        <w:t xml:space="preserve">Структура настоящих руководящих </w:t>
      </w:r>
      <w:r w:rsidR="008657E0">
        <w:rPr>
          <w:bCs/>
          <w:lang w:val="ru-RU"/>
        </w:rPr>
        <w:t>принципов</w:t>
      </w:r>
    </w:p>
    <w:p w14:paraId="3E0DACF1" w14:textId="5E3A1CC3" w:rsidR="0086677D" w:rsidRPr="0086677D" w:rsidRDefault="0086677D" w:rsidP="007337B0">
      <w:pPr>
        <w:jc w:val="both"/>
        <w:rPr>
          <w:lang w:val="ru-RU"/>
        </w:rPr>
      </w:pPr>
      <w:r>
        <w:rPr>
          <w:lang w:val="ru-RU"/>
        </w:rPr>
        <w:t xml:space="preserve">Настоящие руководящие </w:t>
      </w:r>
      <w:r w:rsidR="008657E0">
        <w:rPr>
          <w:lang w:val="ru-RU"/>
        </w:rPr>
        <w:t>принципы</w:t>
      </w:r>
      <w:r>
        <w:rPr>
          <w:lang w:val="ru-RU"/>
        </w:rPr>
        <w:t xml:space="preserve"> </w:t>
      </w:r>
      <w:r w:rsidR="008657E0">
        <w:rPr>
          <w:lang w:val="ru-RU"/>
        </w:rPr>
        <w:t>разработаны на основании</w:t>
      </w:r>
      <w:r>
        <w:rPr>
          <w:lang w:val="ru-RU"/>
        </w:rPr>
        <w:t xml:space="preserve"> критери</w:t>
      </w:r>
      <w:r w:rsidR="008657E0">
        <w:rPr>
          <w:lang w:val="ru-RU"/>
        </w:rPr>
        <w:t>ев</w:t>
      </w:r>
      <w:r>
        <w:rPr>
          <w:lang w:val="ru-RU"/>
        </w:rPr>
        <w:t>, установленны</w:t>
      </w:r>
      <w:r w:rsidR="008657E0">
        <w:rPr>
          <w:lang w:val="ru-RU"/>
        </w:rPr>
        <w:t>х</w:t>
      </w:r>
      <w:r>
        <w:rPr>
          <w:lang w:val="ru-RU"/>
        </w:rPr>
        <w:t xml:space="preserve"> в разделе 2 Приложения 1 к Резолюции 167 (Пересм. Бухарест, 2022 г.) об укреплении и развитии потенциала МСЭ для проведения полностью виртуальных собраний и очных собраний с дистанционным участием и обеспечении электронных средств для продвижения работы Союза </w:t>
      </w:r>
      <w:r w:rsidR="008657E0">
        <w:rPr>
          <w:lang w:val="ru-RU"/>
        </w:rPr>
        <w:t>соответствующим образом</w:t>
      </w:r>
      <w:r>
        <w:rPr>
          <w:lang w:val="ru-RU"/>
        </w:rPr>
        <w:t xml:space="preserve"> либо в рамках основной части руководящих </w:t>
      </w:r>
      <w:r w:rsidR="008657E0">
        <w:rPr>
          <w:lang w:val="ru-RU"/>
        </w:rPr>
        <w:t>принципов</w:t>
      </w:r>
      <w:r>
        <w:rPr>
          <w:lang w:val="ru-RU"/>
        </w:rPr>
        <w:t xml:space="preserve">, либо в приложениях к руководящим </w:t>
      </w:r>
      <w:r w:rsidR="008657E0">
        <w:rPr>
          <w:lang w:val="ru-RU"/>
        </w:rPr>
        <w:t>принципам</w:t>
      </w:r>
      <w:r>
        <w:rPr>
          <w:lang w:val="ru-RU"/>
        </w:rPr>
        <w:t>.</w:t>
      </w:r>
    </w:p>
    <w:p w14:paraId="2DB0739E" w14:textId="3958F257" w:rsidR="0086677D" w:rsidRPr="0086677D" w:rsidRDefault="0086677D" w:rsidP="007337B0">
      <w:pPr>
        <w:jc w:val="both"/>
        <w:rPr>
          <w:lang w:val="ru-RU"/>
        </w:rPr>
      </w:pPr>
      <w:r>
        <w:rPr>
          <w:lang w:val="ru-RU"/>
        </w:rPr>
        <w:t xml:space="preserve">Обзор текущей применимой политики и практики в отношении полностью виртуальных собраний и очных собраний с дистанционным участием, </w:t>
      </w:r>
      <w:r w:rsidR="004A67AD">
        <w:rPr>
          <w:lang w:val="ru-RU"/>
        </w:rPr>
        <w:t>согласно подробным указаниям, содержащимся в</w:t>
      </w:r>
      <w:r>
        <w:rPr>
          <w:lang w:val="ru-RU"/>
        </w:rPr>
        <w:t xml:space="preserve"> разделе 1 Приложения 1 к Резолюции 167 (Пересм. Бухарест, 2022 г.), приводится в</w:t>
      </w:r>
      <w:r w:rsidR="007D37F2">
        <w:rPr>
          <w:lang w:val="ru-RU"/>
        </w:rPr>
        <w:t xml:space="preserve"> </w:t>
      </w:r>
      <w:hyperlink w:anchor="Annex_1B" w:history="1">
        <w:r w:rsidR="007D37F2" w:rsidRPr="007D37F2">
          <w:rPr>
            <w:rStyle w:val="Hyperlink"/>
          </w:rPr>
          <w:t>Приложении 1</w:t>
        </w:r>
      </w:hyperlink>
      <w:r>
        <w:rPr>
          <w:lang w:val="ru-RU"/>
        </w:rPr>
        <w:t xml:space="preserve"> </w:t>
      </w:r>
      <w:r w:rsidR="001C4BB8" w:rsidRPr="007D37F2">
        <w:fldChar w:fldCharType="begin"/>
      </w:r>
      <w:r w:rsidR="001C4BB8" w:rsidRPr="007D37F2">
        <w:rPr>
          <w:lang w:val="ru-RU"/>
        </w:rPr>
        <w:instrText xml:space="preserve"> </w:instrText>
      </w:r>
      <w:r w:rsidR="001C4BB8" w:rsidRPr="007D37F2">
        <w:instrText>REF</w:instrText>
      </w:r>
      <w:r w:rsidR="001C4BB8" w:rsidRPr="007D37F2">
        <w:rPr>
          <w:lang w:val="ru-RU"/>
        </w:rPr>
        <w:instrText xml:space="preserve"> _</w:instrText>
      </w:r>
      <w:r w:rsidR="001C4BB8" w:rsidRPr="007D37F2">
        <w:instrText>Ref</w:instrText>
      </w:r>
      <w:r w:rsidR="001C4BB8" w:rsidRPr="007D37F2">
        <w:rPr>
          <w:lang w:val="ru-RU"/>
        </w:rPr>
        <w:instrText>200056160 \</w:instrText>
      </w:r>
      <w:r w:rsidR="001C4BB8" w:rsidRPr="007D37F2">
        <w:instrText>h</w:instrText>
      </w:r>
      <w:r w:rsidR="001C4BB8" w:rsidRPr="007D37F2">
        <w:rPr>
          <w:lang w:val="ru-RU"/>
        </w:rPr>
        <w:instrText xml:space="preserve"> </w:instrText>
      </w:r>
      <w:r w:rsidR="006124AD" w:rsidRPr="007D37F2">
        <w:rPr>
          <w:lang w:val="ru-RU"/>
        </w:rPr>
        <w:instrText xml:space="preserve"> \* </w:instrText>
      </w:r>
      <w:r w:rsidR="006124AD" w:rsidRPr="007D37F2">
        <w:instrText>MERGEFORMAT</w:instrText>
      </w:r>
      <w:r w:rsidR="006124AD" w:rsidRPr="007D37F2">
        <w:rPr>
          <w:lang w:val="ru-RU"/>
        </w:rPr>
        <w:instrText xml:space="preserve"> </w:instrText>
      </w:r>
      <w:r w:rsidR="001C4BB8" w:rsidRPr="007D37F2">
        <w:fldChar w:fldCharType="separate"/>
      </w:r>
      <w:r w:rsidR="001C4BB8" w:rsidRPr="007D37F2">
        <w:fldChar w:fldCharType="end"/>
      </w:r>
      <w:r>
        <w:rPr>
          <w:lang w:val="ru-RU"/>
        </w:rPr>
        <w:t xml:space="preserve">к настоящим Руководящим </w:t>
      </w:r>
      <w:r w:rsidR="008657E0">
        <w:rPr>
          <w:lang w:val="ru-RU"/>
        </w:rPr>
        <w:t>принципам</w:t>
      </w:r>
      <w:r>
        <w:rPr>
          <w:lang w:val="ru-RU"/>
        </w:rPr>
        <w:t>.</w:t>
      </w:r>
    </w:p>
    <w:p w14:paraId="6550349C" w14:textId="77777777" w:rsidR="0086677D" w:rsidRPr="0086677D" w:rsidRDefault="0086677D" w:rsidP="0086677D">
      <w:pPr>
        <w:overflowPunct/>
        <w:autoSpaceDE/>
        <w:autoSpaceDN/>
        <w:adjustRightInd/>
        <w:spacing w:before="0"/>
        <w:textAlignment w:val="auto"/>
        <w:rPr>
          <w:lang w:val="ru-RU"/>
        </w:rPr>
      </w:pPr>
      <w:r w:rsidRPr="0086677D">
        <w:rPr>
          <w:lang w:val="ru-RU"/>
        </w:rPr>
        <w:br w:type="page"/>
      </w:r>
    </w:p>
    <w:p w14:paraId="50FF3810" w14:textId="53CD296B" w:rsidR="0086677D" w:rsidRPr="0086677D" w:rsidRDefault="0086677D" w:rsidP="0086677D">
      <w:pPr>
        <w:pStyle w:val="Annextitle"/>
        <w:rPr>
          <w:lang w:val="ru-RU"/>
        </w:rPr>
      </w:pPr>
      <w:r>
        <w:rPr>
          <w:bCs/>
          <w:lang w:val="ru-RU"/>
        </w:rPr>
        <w:lastRenderedPageBreak/>
        <w:t xml:space="preserve">Руководящие </w:t>
      </w:r>
      <w:r w:rsidR="008657E0">
        <w:rPr>
          <w:bCs/>
          <w:lang w:val="ru-RU"/>
        </w:rPr>
        <w:t>принципы</w:t>
      </w:r>
    </w:p>
    <w:p w14:paraId="6A168D29" w14:textId="37E0B4A7" w:rsidR="0086677D" w:rsidRPr="0086677D" w:rsidRDefault="0086677D" w:rsidP="0086677D">
      <w:pPr>
        <w:pStyle w:val="Heading1"/>
        <w:rPr>
          <w:lang w:val="ru-RU"/>
        </w:rPr>
      </w:pPr>
      <w:r>
        <w:rPr>
          <w:bCs/>
          <w:lang w:val="ru-RU"/>
        </w:rPr>
        <w:t>1</w:t>
      </w:r>
      <w:r>
        <w:rPr>
          <w:lang w:val="ru-RU"/>
        </w:rPr>
        <w:tab/>
      </w:r>
      <w:r>
        <w:rPr>
          <w:bCs/>
          <w:lang w:val="ru-RU"/>
        </w:rPr>
        <w:t xml:space="preserve">Разъяснение относительно прав разных категорий членов, участвующих дистанционно, </w:t>
      </w:r>
      <w:r w:rsidR="001C4BB8">
        <w:rPr>
          <w:bCs/>
          <w:lang w:val="ru-RU"/>
        </w:rPr>
        <w:t>в том, что касается</w:t>
      </w:r>
      <w:r>
        <w:rPr>
          <w:bCs/>
          <w:lang w:val="ru-RU"/>
        </w:rPr>
        <w:t xml:space="preserve"> принятия решений на собраниях разных типов</w:t>
      </w:r>
      <w:r>
        <w:rPr>
          <w:lang w:val="ru-RU"/>
        </w:rPr>
        <w:t xml:space="preserve"> </w:t>
      </w:r>
    </w:p>
    <w:p w14:paraId="7E324571" w14:textId="77777777" w:rsidR="0086677D" w:rsidRPr="0086677D" w:rsidRDefault="0086677D" w:rsidP="007337B0">
      <w:pPr>
        <w:pStyle w:val="Heading2"/>
        <w:jc w:val="both"/>
        <w:rPr>
          <w:lang w:val="ru-RU"/>
        </w:rPr>
      </w:pPr>
      <w:r>
        <w:rPr>
          <w:bCs/>
          <w:lang w:val="ru-RU"/>
        </w:rPr>
        <w:t>1.1</w:t>
      </w:r>
      <w:r>
        <w:rPr>
          <w:lang w:val="ru-RU"/>
        </w:rPr>
        <w:tab/>
      </w:r>
      <w:r>
        <w:rPr>
          <w:bCs/>
          <w:lang w:val="ru-RU"/>
        </w:rPr>
        <w:t>Статус дистанционных участников очных собраний с дистанционным участием</w:t>
      </w:r>
    </w:p>
    <w:p w14:paraId="699F014D" w14:textId="09ED8A2C" w:rsidR="0086677D" w:rsidRPr="0074176F" w:rsidRDefault="0086677D" w:rsidP="007337B0">
      <w:pPr>
        <w:jc w:val="both"/>
        <w:rPr>
          <w:lang w:val="ru-RU"/>
        </w:rPr>
      </w:pPr>
      <w:r>
        <w:rPr>
          <w:lang w:val="ru-RU"/>
        </w:rPr>
        <w:t xml:space="preserve">В Резолюции 167 (Пересм. Бухарест, 2022 г.) Полномочной конференции подчеркивается важность дистанционного участия для обеспечения </w:t>
      </w:r>
      <w:r w:rsidR="008657E0">
        <w:rPr>
          <w:lang w:val="ru-RU"/>
        </w:rPr>
        <w:t>более широкого участия и открытости</w:t>
      </w:r>
      <w:r>
        <w:rPr>
          <w:lang w:val="ru-RU"/>
        </w:rPr>
        <w:t xml:space="preserve"> и устанавливается правовая основа для дистанционного участия. Устав, Конвенция и Общий регламент не содержат конкретных положений о дистанционном участии.</w:t>
      </w:r>
    </w:p>
    <w:p w14:paraId="1401CD8D" w14:textId="77777777" w:rsidR="0086677D" w:rsidRPr="0086677D" w:rsidRDefault="0086677D" w:rsidP="007337B0">
      <w:pPr>
        <w:jc w:val="both"/>
        <w:rPr>
          <w:lang w:val="ru-RU"/>
        </w:rPr>
      </w:pPr>
      <w:r>
        <w:rPr>
          <w:lang w:val="ru-RU"/>
        </w:rPr>
        <w:t xml:space="preserve">В пункте </w:t>
      </w:r>
      <w:r w:rsidRPr="003E4005">
        <w:rPr>
          <w:i/>
          <w:iCs/>
          <w:lang w:val="ru-RU"/>
        </w:rPr>
        <w:t>е)</w:t>
      </w:r>
      <w:r>
        <w:rPr>
          <w:lang w:val="ru-RU"/>
        </w:rPr>
        <w:t xml:space="preserve"> раздела </w:t>
      </w:r>
      <w:r w:rsidRPr="008677BA">
        <w:rPr>
          <w:i/>
          <w:iCs/>
          <w:lang w:val="ru-RU"/>
        </w:rPr>
        <w:t>признавая</w:t>
      </w:r>
      <w:r>
        <w:rPr>
          <w:lang w:val="ru-RU"/>
        </w:rPr>
        <w:t xml:space="preserve"> Резолюции 167 говорится, что на текущем этапе интерактивное дистанционное участие принимает форму скорее "дистанционного выступления", чем "дистанционного участия", поскольку дистанционный участник не может участвовать в процессе принятия решений. В связи с этим предлагаются следующие разъяснения относительно прав дистанционных участников очных собраний, на которых допускается дистанционное участие:</w:t>
      </w:r>
    </w:p>
    <w:p w14:paraId="24376740" w14:textId="77777777" w:rsidR="0086677D" w:rsidRPr="0086677D" w:rsidRDefault="0086677D" w:rsidP="007337B0">
      <w:pPr>
        <w:pStyle w:val="enumlev1"/>
        <w:jc w:val="both"/>
        <w:rPr>
          <w:lang w:val="ru-RU"/>
        </w:rPr>
      </w:pPr>
      <w:r>
        <w:rPr>
          <w:i/>
          <w:iCs/>
          <w:lang w:val="ru-RU"/>
        </w:rPr>
        <w:t>a)</w:t>
      </w:r>
      <w:r>
        <w:rPr>
          <w:lang w:val="ru-RU"/>
        </w:rPr>
        <w:tab/>
        <w:t>Дистанционные участники не пользуются такими же правами на участие в очных собраниях с дистанционным участием, как участники, присутствующие очно.</w:t>
      </w:r>
    </w:p>
    <w:p w14:paraId="7C80D198" w14:textId="493AD51D" w:rsidR="0086677D" w:rsidRPr="0086677D" w:rsidRDefault="0086677D" w:rsidP="007337B0">
      <w:pPr>
        <w:pStyle w:val="enumlev1"/>
        <w:jc w:val="both"/>
        <w:rPr>
          <w:lang w:val="ru-RU"/>
        </w:rPr>
      </w:pPr>
      <w:r>
        <w:rPr>
          <w:i/>
          <w:iCs/>
          <w:lang w:val="ru-RU"/>
        </w:rPr>
        <w:t>b)</w:t>
      </w:r>
      <w:r>
        <w:rPr>
          <w:lang w:val="ru-RU"/>
        </w:rPr>
        <w:tab/>
        <w:t xml:space="preserve">Дистанционные участники имеют право участвовать в обсуждениях и прениях в рамках процесса достижения консенсуса </w:t>
      </w:r>
      <w:r w:rsidR="008677BA">
        <w:rPr>
          <w:lang w:val="ru-RU"/>
        </w:rPr>
        <w:t>настолько</w:t>
      </w:r>
      <w:r>
        <w:rPr>
          <w:lang w:val="ru-RU"/>
        </w:rPr>
        <w:t xml:space="preserve"> активн</w:t>
      </w:r>
      <w:r w:rsidR="008677BA">
        <w:rPr>
          <w:lang w:val="ru-RU"/>
        </w:rPr>
        <w:t>о</w:t>
      </w:r>
      <w:r>
        <w:rPr>
          <w:lang w:val="ru-RU"/>
        </w:rPr>
        <w:t xml:space="preserve">, </w:t>
      </w:r>
      <w:r w:rsidR="008677BA">
        <w:rPr>
          <w:lang w:val="ru-RU"/>
        </w:rPr>
        <w:t xml:space="preserve">насколько </w:t>
      </w:r>
      <w:r>
        <w:rPr>
          <w:lang w:val="ru-RU"/>
        </w:rPr>
        <w:t>это возможно.</w:t>
      </w:r>
    </w:p>
    <w:p w14:paraId="74F5C221" w14:textId="5510B460" w:rsidR="0086677D" w:rsidRPr="0086677D" w:rsidRDefault="0086677D" w:rsidP="007337B0">
      <w:pPr>
        <w:pStyle w:val="enumlev1"/>
        <w:jc w:val="both"/>
        <w:rPr>
          <w:lang w:val="ru-RU"/>
        </w:rPr>
      </w:pPr>
      <w:r>
        <w:rPr>
          <w:i/>
          <w:iCs/>
          <w:lang w:val="ru-RU"/>
        </w:rPr>
        <w:t>c)</w:t>
      </w:r>
      <w:r>
        <w:rPr>
          <w:lang w:val="ru-RU"/>
        </w:rPr>
        <w:tab/>
        <w:t>Дистанционные участники не могут принимать участи</w:t>
      </w:r>
      <w:r w:rsidR="008677BA">
        <w:rPr>
          <w:lang w:val="ru-RU"/>
        </w:rPr>
        <w:t>я</w:t>
      </w:r>
      <w:r>
        <w:rPr>
          <w:lang w:val="ru-RU"/>
        </w:rPr>
        <w:t xml:space="preserve"> в процессе принятия решений. Это означает, что:</w:t>
      </w:r>
    </w:p>
    <w:p w14:paraId="13256D64" w14:textId="77777777" w:rsidR="0086677D" w:rsidRPr="0086677D" w:rsidRDefault="0086677D" w:rsidP="007337B0">
      <w:pPr>
        <w:pStyle w:val="enumlev2"/>
        <w:jc w:val="both"/>
        <w:rPr>
          <w:lang w:val="ru-RU"/>
        </w:rPr>
      </w:pPr>
      <w:r>
        <w:rPr>
          <w:lang w:val="ru-RU"/>
        </w:rPr>
        <w:t>i)</w:t>
      </w:r>
      <w:r>
        <w:rPr>
          <w:lang w:val="ru-RU"/>
        </w:rPr>
        <w:tab/>
        <w:t>дистанционные участники не имеют права голоса и не учитываются при подсчете кворума (см. ОР 93, ОР 115);</w:t>
      </w:r>
    </w:p>
    <w:p w14:paraId="1DE2637B" w14:textId="76DD9178" w:rsidR="0086677D" w:rsidRPr="0086677D" w:rsidRDefault="0086677D" w:rsidP="007337B0">
      <w:pPr>
        <w:pStyle w:val="enumlev2"/>
        <w:jc w:val="both"/>
        <w:rPr>
          <w:lang w:val="ru-RU"/>
        </w:rPr>
      </w:pPr>
      <w:r>
        <w:rPr>
          <w:lang w:val="ru-RU"/>
        </w:rPr>
        <w:t>ii)</w:t>
      </w:r>
      <w:r>
        <w:rPr>
          <w:lang w:val="ru-RU"/>
        </w:rPr>
        <w:tab/>
        <w:t>принятие решения на основе консенсуса между присутствующими очно участниками</w:t>
      </w:r>
      <w:r w:rsidR="008677BA">
        <w:rPr>
          <w:lang w:val="ru-RU"/>
        </w:rPr>
        <w:t xml:space="preserve"> возможно </w:t>
      </w:r>
      <w:r>
        <w:rPr>
          <w:lang w:val="ru-RU"/>
        </w:rPr>
        <w:t xml:space="preserve">даже </w:t>
      </w:r>
      <w:r w:rsidR="008677BA">
        <w:rPr>
          <w:lang w:val="ru-RU"/>
        </w:rPr>
        <w:t xml:space="preserve">в том случае, </w:t>
      </w:r>
      <w:r>
        <w:rPr>
          <w:lang w:val="ru-RU"/>
        </w:rPr>
        <w:t xml:space="preserve">если дистанционные участники </w:t>
      </w:r>
      <w:r w:rsidR="008677BA">
        <w:rPr>
          <w:lang w:val="ru-RU"/>
        </w:rPr>
        <w:t xml:space="preserve">с ним </w:t>
      </w:r>
      <w:r>
        <w:rPr>
          <w:lang w:val="ru-RU"/>
        </w:rPr>
        <w:t>не согласны;</w:t>
      </w:r>
    </w:p>
    <w:p w14:paraId="110F2A79" w14:textId="2C438136" w:rsidR="0086677D" w:rsidRPr="0090397F" w:rsidRDefault="0086677D" w:rsidP="007337B0">
      <w:pPr>
        <w:pStyle w:val="enumlev2"/>
        <w:jc w:val="both"/>
        <w:rPr>
          <w:lang w:val="ru-RU"/>
        </w:rPr>
      </w:pPr>
      <w:r>
        <w:rPr>
          <w:lang w:val="ru-RU"/>
        </w:rPr>
        <w:t>iii)</w:t>
      </w:r>
      <w:r>
        <w:rPr>
          <w:lang w:val="ru-RU"/>
        </w:rPr>
        <w:tab/>
        <w:t>дистанционные участники не имеют права поднимать вопросы по порядку ведения заседания или вносить предложения по порядку ведения заседания</w:t>
      </w:r>
      <w:r w:rsidR="0090397F" w:rsidRPr="0090397F">
        <w:rPr>
          <w:lang w:val="ru-RU"/>
        </w:rPr>
        <w:t>.</w:t>
      </w:r>
    </w:p>
    <w:p w14:paraId="0DDD0DB2" w14:textId="3633D7F7" w:rsidR="0086677D" w:rsidRPr="0086677D" w:rsidRDefault="0086677D" w:rsidP="007337B0">
      <w:pPr>
        <w:pStyle w:val="enumlev1"/>
        <w:jc w:val="both"/>
        <w:rPr>
          <w:lang w:val="ru-RU"/>
        </w:rPr>
      </w:pPr>
      <w:r>
        <w:rPr>
          <w:i/>
          <w:iCs/>
          <w:lang w:val="ru-RU"/>
        </w:rPr>
        <w:t>d)</w:t>
      </w:r>
      <w:r>
        <w:rPr>
          <w:lang w:val="ru-RU"/>
        </w:rPr>
        <w:tab/>
        <w:t xml:space="preserve">Председатель собрания отвечает за руководство обсуждениями, соблюдение процедурных правил и вынесение вопросов на голосование (см. ОР 59), а также за выполнение обязанностей вне официальных собраний, поэтому председатель должен (должна) присутствовать на любом очном собрании, включая собрания с дистанционным участием. В дополнение к вышесказанному желательно, чтобы </w:t>
      </w:r>
      <w:r w:rsidR="008677BA">
        <w:rPr>
          <w:lang w:val="ru-RU"/>
        </w:rPr>
        <w:t xml:space="preserve">очно присутствовали также </w:t>
      </w:r>
      <w:r>
        <w:rPr>
          <w:lang w:val="ru-RU"/>
        </w:rPr>
        <w:t>заместители председателя, поскольку им может быть предложено заменить председателя в случае его отсутствия или возглавить подкомитеты или специальные группы.</w:t>
      </w:r>
    </w:p>
    <w:p w14:paraId="74631FCE" w14:textId="77777777" w:rsidR="0086677D" w:rsidRPr="008677BA" w:rsidRDefault="0086677D" w:rsidP="007337B0">
      <w:pPr>
        <w:pStyle w:val="Heading2"/>
        <w:jc w:val="both"/>
        <w:rPr>
          <w:b w:val="0"/>
          <w:lang w:val="ru-RU"/>
        </w:rPr>
      </w:pPr>
      <w:r>
        <w:rPr>
          <w:bCs/>
          <w:lang w:val="ru-RU"/>
        </w:rPr>
        <w:t>1.2</w:t>
      </w:r>
      <w:r>
        <w:rPr>
          <w:lang w:val="ru-RU"/>
        </w:rPr>
        <w:tab/>
      </w:r>
      <w:r>
        <w:rPr>
          <w:bCs/>
          <w:lang w:val="ru-RU"/>
        </w:rPr>
        <w:t>Статус участников полностью виртуальных собраний</w:t>
      </w:r>
    </w:p>
    <w:p w14:paraId="19C8203E" w14:textId="3ED5E02D" w:rsidR="0086677D" w:rsidRPr="0086677D" w:rsidRDefault="0086677D" w:rsidP="007337B0">
      <w:pPr>
        <w:jc w:val="both"/>
        <w:rPr>
          <w:lang w:val="ru-RU"/>
        </w:rPr>
      </w:pPr>
      <w:r>
        <w:rPr>
          <w:lang w:val="ru-RU"/>
        </w:rPr>
        <w:t xml:space="preserve">Начиная с ПК-22 полностью виртуальные собрания официально признаются и принимаются в качестве способа проведения собраний в </w:t>
      </w:r>
      <w:r w:rsidR="0090397F">
        <w:rPr>
          <w:lang w:val="ru-RU"/>
        </w:rPr>
        <w:t xml:space="preserve">регуляторной базе </w:t>
      </w:r>
      <w:r>
        <w:rPr>
          <w:lang w:val="ru-RU"/>
        </w:rPr>
        <w:t xml:space="preserve">МСЭ (см. Решение 5 и Резолюции 25 и 167). В Резолюции 167 (Пересм. Бухарест, 2022 г.) МСЭ предоставлен всеобъемлющий мандат на развитие и укрепление его возможностей по организации и проведению полностью виртуальных собраний. В свете решения Полномочной конференции сохранить пункт </w:t>
      </w:r>
      <w:r w:rsidRPr="003E4005">
        <w:rPr>
          <w:i/>
          <w:iCs/>
          <w:lang w:val="ru-RU"/>
        </w:rPr>
        <w:t>e)</w:t>
      </w:r>
      <w:r>
        <w:rPr>
          <w:lang w:val="ru-RU"/>
        </w:rPr>
        <w:t xml:space="preserve"> раздела </w:t>
      </w:r>
      <w:r>
        <w:rPr>
          <w:i/>
          <w:iCs/>
          <w:lang w:val="ru-RU"/>
        </w:rPr>
        <w:t>признавая</w:t>
      </w:r>
      <w:r>
        <w:rPr>
          <w:lang w:val="ru-RU"/>
        </w:rPr>
        <w:t xml:space="preserve"> Резолюции 167 в его нынешнем виде любое такое развитие событий и укрепление </w:t>
      </w:r>
      <w:r>
        <w:rPr>
          <w:lang w:val="ru-RU"/>
        </w:rPr>
        <w:lastRenderedPageBreak/>
        <w:t>возможностей по проведению полностью виртуальных собраний в МСЭ должны оставаться в рамках ограничений, установленных вышеупомянутым положением.</w:t>
      </w:r>
    </w:p>
    <w:p w14:paraId="2D89AE7C" w14:textId="77777777" w:rsidR="0086677D" w:rsidRPr="0086677D" w:rsidRDefault="0086677D" w:rsidP="007337B0">
      <w:pPr>
        <w:jc w:val="both"/>
        <w:rPr>
          <w:lang w:val="ru-RU"/>
        </w:rPr>
      </w:pPr>
      <w:r>
        <w:rPr>
          <w:lang w:val="ru-RU"/>
        </w:rPr>
        <w:t xml:space="preserve">Хотя строгое прочтение пункта </w:t>
      </w:r>
      <w:r w:rsidRPr="006124AD">
        <w:rPr>
          <w:i/>
          <w:iCs/>
          <w:lang w:val="ru-RU"/>
        </w:rPr>
        <w:t>e)</w:t>
      </w:r>
      <w:r>
        <w:rPr>
          <w:lang w:val="ru-RU"/>
        </w:rPr>
        <w:t xml:space="preserve"> раздела </w:t>
      </w:r>
      <w:r>
        <w:rPr>
          <w:i/>
          <w:iCs/>
          <w:lang w:val="ru-RU"/>
        </w:rPr>
        <w:t>признавая</w:t>
      </w:r>
      <w:r>
        <w:rPr>
          <w:lang w:val="ru-RU"/>
        </w:rPr>
        <w:t xml:space="preserve"> предполагает, что виртуальные собрания не могут привести к принятию какого-либо решения, опыт МСЭ во время пандемии COVID-19 и цели Резолюции могут быть использованы в поддержку либерального толкования, согласно которому все участники полностью виртуального собрания могут участвовать в процессе принятия решений на основе консенсуса. В частности, признание Членами МСЭ решений, принятых на основе консенсуса на полностью виртуальных собраниях в период пандемии, привело к правовым результатам, которые были интегрированы в оперативную деятельность МСЭ. Такая практика свидетельствует о коллективном понимании и признании того, что в контексте полностью виртуальных собраний консенсус между участниками является правомерной формой принятия решений в рамках Союза. Кроме того, отсутствие возражений по поводу этой практики со стороны высшего органа МСЭ, Полномочной конференции, в сентябре 2022 года, может восприниматься как подтверждение правомерности и приемлемости решений, принятых на основе консенсуса на виртуальных собраниях, не только в отношении прошлого, но и в отношении будущего.</w:t>
      </w:r>
    </w:p>
    <w:p w14:paraId="15F79B39" w14:textId="77777777" w:rsidR="0086677D" w:rsidRPr="0086677D" w:rsidRDefault="0086677D" w:rsidP="007337B0">
      <w:pPr>
        <w:jc w:val="both"/>
        <w:rPr>
          <w:lang w:val="ru-RU"/>
        </w:rPr>
      </w:pPr>
      <w:r>
        <w:rPr>
          <w:lang w:val="ru-RU"/>
        </w:rPr>
        <w:t>Таким образом, роль участников полностью виртуальных собраний заключается в следующем:</w:t>
      </w:r>
    </w:p>
    <w:p w14:paraId="570A9AD2" w14:textId="77777777" w:rsidR="0086677D" w:rsidRPr="0086677D" w:rsidRDefault="0086677D" w:rsidP="007337B0">
      <w:pPr>
        <w:pStyle w:val="enumlev1"/>
        <w:jc w:val="both"/>
        <w:rPr>
          <w:lang w:val="ru-RU"/>
        </w:rPr>
      </w:pPr>
      <w:r>
        <w:rPr>
          <w:i/>
          <w:iCs/>
          <w:lang w:val="ru-RU"/>
        </w:rPr>
        <w:t>a)</w:t>
      </w:r>
      <w:r>
        <w:rPr>
          <w:lang w:val="ru-RU"/>
        </w:rPr>
        <w:tab/>
        <w:t>участники полностью виртуального собрания могут участвовать в дискуссиях и прениях в рамках процесса достижения консенсуса;</w:t>
      </w:r>
    </w:p>
    <w:p w14:paraId="4CE23E35" w14:textId="77777777" w:rsidR="0086677D" w:rsidRPr="0086677D" w:rsidRDefault="0086677D" w:rsidP="007337B0">
      <w:pPr>
        <w:pStyle w:val="enumlev1"/>
        <w:jc w:val="both"/>
        <w:rPr>
          <w:lang w:val="ru-RU"/>
        </w:rPr>
      </w:pPr>
      <w:r>
        <w:rPr>
          <w:i/>
          <w:iCs/>
          <w:lang w:val="ru-RU"/>
        </w:rPr>
        <w:t>b)</w:t>
      </w:r>
      <w:r>
        <w:rPr>
          <w:lang w:val="ru-RU"/>
        </w:rPr>
        <w:tab/>
        <w:t>решения на полностью виртуальных собраниях могут приниматься только на основе консенсуса. Если на собрании не удается достичь консенсуса, то рассматриваемый вопрос должен быть вновь представлен на рассмотрение на одном из будущих собраний;</w:t>
      </w:r>
    </w:p>
    <w:p w14:paraId="1E7961E1" w14:textId="77777777" w:rsidR="0086677D" w:rsidRPr="0086677D" w:rsidRDefault="0086677D" w:rsidP="007337B0">
      <w:pPr>
        <w:pStyle w:val="enumlev1"/>
        <w:jc w:val="both"/>
        <w:rPr>
          <w:lang w:val="ru-RU"/>
        </w:rPr>
      </w:pPr>
      <w:r>
        <w:rPr>
          <w:i/>
          <w:iCs/>
          <w:lang w:val="ru-RU"/>
        </w:rPr>
        <w:t>c)</w:t>
      </w:r>
      <w:r>
        <w:rPr>
          <w:lang w:val="ru-RU"/>
        </w:rPr>
        <w:tab/>
        <w:t>с учетом того, что при проведении полностью виртуального собрания физический зал заседаний отсутствует, существует логическое понимание, что все участники, включая тех, кто выполняет руководящие функции, такие как председатели и заместители председателя, участвуют в собрании дистанционно;</w:t>
      </w:r>
    </w:p>
    <w:p w14:paraId="31ACBA6C" w14:textId="77777777" w:rsidR="0086677D" w:rsidRPr="0086677D" w:rsidRDefault="0086677D" w:rsidP="007337B0">
      <w:pPr>
        <w:pStyle w:val="enumlev1"/>
        <w:jc w:val="both"/>
        <w:rPr>
          <w:lang w:val="ru-RU"/>
        </w:rPr>
      </w:pPr>
      <w:r>
        <w:rPr>
          <w:i/>
          <w:iCs/>
          <w:lang w:val="ru-RU"/>
        </w:rPr>
        <w:t>d)</w:t>
      </w:r>
      <w:r>
        <w:rPr>
          <w:lang w:val="ru-RU"/>
        </w:rPr>
        <w:tab/>
        <w:t>сложившаяся в МСЭ практика на полностью виртуальных собраниях, которая предполагает принятие решений на основе консенсуса, отражает понимание существующих регуляторных ограничений в отношении принятия решений. В таких условиях следует отказаться от использования процедурных инструментов, предусматривающих предложения или вопросы по порядку ведения заседаний, поскольку цель по-прежнему заключается в принятии решений на основе консенсуса, а не голосованием.</w:t>
      </w:r>
    </w:p>
    <w:p w14:paraId="4A78983A" w14:textId="77777777" w:rsidR="0086677D" w:rsidRPr="0086677D" w:rsidRDefault="0086677D" w:rsidP="007337B0">
      <w:pPr>
        <w:pStyle w:val="Heading1"/>
        <w:jc w:val="both"/>
        <w:rPr>
          <w:sz w:val="28"/>
          <w:lang w:val="ru-RU"/>
        </w:rPr>
      </w:pPr>
      <w:r>
        <w:rPr>
          <w:lang w:val="ru-RU"/>
        </w:rPr>
        <w:t>2</w:t>
      </w:r>
      <w:r>
        <w:rPr>
          <w:lang w:val="ru-RU"/>
        </w:rPr>
        <w:tab/>
        <w:t>Услуги устного перевода на собраниях с дистанционным участием</w:t>
      </w:r>
    </w:p>
    <w:p w14:paraId="0F74BE7E" w14:textId="77777777" w:rsidR="0086677D" w:rsidRPr="0086677D" w:rsidRDefault="0086677D" w:rsidP="007337B0">
      <w:pPr>
        <w:pStyle w:val="Heading2"/>
        <w:jc w:val="both"/>
        <w:rPr>
          <w:b w:val="0"/>
          <w:lang w:val="ru-RU"/>
        </w:rPr>
      </w:pPr>
      <w:r>
        <w:rPr>
          <w:bCs/>
          <w:lang w:val="ru-RU"/>
        </w:rPr>
        <w:t>2.1</w:t>
      </w:r>
      <w:r>
        <w:rPr>
          <w:lang w:val="ru-RU"/>
        </w:rPr>
        <w:tab/>
      </w:r>
      <w:r>
        <w:rPr>
          <w:bCs/>
          <w:lang w:val="ru-RU"/>
        </w:rPr>
        <w:t>Предоставление услуг устного перевода</w:t>
      </w:r>
    </w:p>
    <w:p w14:paraId="0CBC9DF3" w14:textId="6FA66A03" w:rsidR="0086677D" w:rsidRPr="0086677D" w:rsidRDefault="0086677D" w:rsidP="007337B0">
      <w:pPr>
        <w:jc w:val="both"/>
        <w:rPr>
          <w:lang w:val="ru-RU"/>
        </w:rPr>
      </w:pPr>
      <w:r>
        <w:rPr>
          <w:lang w:val="ru-RU"/>
        </w:rPr>
        <w:t xml:space="preserve">Услуги устного перевода на всех конференциях, ассамблеях и собраниях МСЭ предоставляются в соответствии с Документом C22/INF/7 о мерах и принципах письменного и устного перевода в МСЭ и </w:t>
      </w:r>
      <w:r w:rsidR="008677BA">
        <w:rPr>
          <w:lang w:val="ru-RU"/>
        </w:rPr>
        <w:t>доступны</w:t>
      </w:r>
      <w:r>
        <w:rPr>
          <w:lang w:val="ru-RU"/>
        </w:rPr>
        <w:t xml:space="preserve"> в равной степени всем участникам, независимо от того, участвуют они очно или дистанционно.</w:t>
      </w:r>
    </w:p>
    <w:p w14:paraId="3B043344" w14:textId="77777777" w:rsidR="0086677D" w:rsidRPr="0086677D" w:rsidRDefault="0086677D" w:rsidP="007337B0">
      <w:pPr>
        <w:jc w:val="both"/>
        <w:rPr>
          <w:lang w:val="ru-RU"/>
        </w:rPr>
      </w:pPr>
      <w:r>
        <w:rPr>
          <w:lang w:val="ru-RU"/>
        </w:rPr>
        <w:t xml:space="preserve">В настоящее время правила предоставления услуг устного перевода применяются к очным собраниям, полностью виртуальным собраниям и очным собраниям с дистанционным участием. Максимальная продолжительность одного </w:t>
      </w:r>
      <w:r w:rsidRPr="008657E0">
        <w:rPr>
          <w:lang w:val="ru-RU"/>
        </w:rPr>
        <w:t>заседания</w:t>
      </w:r>
      <w:r>
        <w:rPr>
          <w:lang w:val="ru-RU"/>
        </w:rPr>
        <w:t xml:space="preserve"> составляет три (3) часа, при этом не может быть более двух (2) заседаний в день. Между заседаниями необходим перерыв продолжительностью не менее девяноста (90) минут.</w:t>
      </w:r>
    </w:p>
    <w:p w14:paraId="2B2F9630" w14:textId="77777777" w:rsidR="0086677D" w:rsidRPr="0086677D" w:rsidRDefault="0086677D" w:rsidP="007337B0">
      <w:pPr>
        <w:jc w:val="both"/>
        <w:rPr>
          <w:lang w:val="ru-RU"/>
        </w:rPr>
      </w:pPr>
      <w:r>
        <w:rPr>
          <w:lang w:val="ru-RU"/>
        </w:rPr>
        <w:lastRenderedPageBreak/>
        <w:t xml:space="preserve">Условия предоставления услуг дистанционного устного перевода на собраниях также включены в повестку дня существующего механизма консультаций между Координационным советом руководителей общей системы Организации Объединенных Наций (КСР) и Ассоциацией конференционных устных переводчиков (АИИК). </w:t>
      </w:r>
    </w:p>
    <w:p w14:paraId="5BA18B26" w14:textId="77777777" w:rsidR="0086677D" w:rsidRPr="0086677D" w:rsidRDefault="0086677D" w:rsidP="007337B0">
      <w:pPr>
        <w:pStyle w:val="Heading2"/>
        <w:jc w:val="both"/>
        <w:rPr>
          <w:b w:val="0"/>
          <w:lang w:val="ru-RU"/>
        </w:rPr>
      </w:pPr>
      <w:r>
        <w:rPr>
          <w:bCs/>
          <w:lang w:val="ru-RU"/>
        </w:rPr>
        <w:t>2.2</w:t>
      </w:r>
      <w:r>
        <w:rPr>
          <w:lang w:val="ru-RU"/>
        </w:rPr>
        <w:tab/>
      </w:r>
      <w:r>
        <w:rPr>
          <w:bCs/>
          <w:lang w:val="ru-RU"/>
        </w:rPr>
        <w:t>Соображения и риски технического характера, связанные с предоставлением услуг устного перевода в ходе собраний с дистанционным участием</w:t>
      </w:r>
    </w:p>
    <w:p w14:paraId="5F64173B" w14:textId="1B9F8F7E" w:rsidR="0086677D" w:rsidRPr="0086677D" w:rsidRDefault="0086677D" w:rsidP="007337B0">
      <w:pPr>
        <w:jc w:val="both"/>
        <w:rPr>
          <w:lang w:val="ru-RU"/>
        </w:rPr>
      </w:pPr>
      <w:r>
        <w:rPr>
          <w:lang w:val="ru-RU"/>
        </w:rPr>
        <w:t xml:space="preserve">За последние годы технология дистанционного участия существенно улучшилась </w:t>
      </w:r>
      <w:r w:rsidR="00DE2DBD">
        <w:rPr>
          <w:lang w:val="ru-RU"/>
        </w:rPr>
        <w:t>−</w:t>
      </w:r>
      <w:r>
        <w:rPr>
          <w:lang w:val="ru-RU"/>
        </w:rPr>
        <w:t xml:space="preserve"> как в плане качества, так и в плане надежности. Кроме того, участники, подключающиеся дистанционно, теперь лучше осведомлены о лучших практиках дистанционных выступлений, таких как размеренная речь и четкость формулировок. Несмотря на значительный прогресс, который был достигнут в предоставлении услуг устного перевода на собраниях с дистанционным участием, сохраняются определенные технические риски, которые могут вызывать перебои в обслуживании, например сбои в работе оборудования или в установке соединений на стороне участников, подключающихся дистанционно, или в месте физического присутствия персонала. Качество устного перевода также может страдать из-за проблем с платформами дистанционного участия, которые могут приводить к плохому качеству звука или чрезмерному снижению уровня громкости. Качество сетевых соединений и оборудования, такого как гарнитуры, имеет решающее значение при предоставлении услуг устного перевода на собраниях с дистанционным участием.</w:t>
      </w:r>
    </w:p>
    <w:p w14:paraId="1DDC17E4" w14:textId="77777777" w:rsidR="0086677D" w:rsidRPr="0086677D" w:rsidRDefault="0086677D" w:rsidP="007337B0">
      <w:pPr>
        <w:jc w:val="both"/>
        <w:rPr>
          <w:lang w:val="ru-RU"/>
        </w:rPr>
      </w:pPr>
      <w:r>
        <w:rPr>
          <w:lang w:val="ru-RU"/>
        </w:rPr>
        <w:t>Для снижения рисков можно внедрить мониторинг в режиме реального времени путем создания каналов связи, по которым участники могли бы оперативно сообщать о любых проблемах с устным переводом или звуком. Кроме того, будет предоставляться резервный канал, который может быть активирован в случае возникновения у дистанционных участников каких-либо технических проблем.</w:t>
      </w:r>
    </w:p>
    <w:p w14:paraId="1F8D370F" w14:textId="54C122D3" w:rsidR="0086677D" w:rsidRPr="0086677D" w:rsidRDefault="0086677D" w:rsidP="007337B0">
      <w:pPr>
        <w:pStyle w:val="Heading1"/>
        <w:jc w:val="both"/>
        <w:rPr>
          <w:lang w:val="ru-RU"/>
        </w:rPr>
      </w:pPr>
      <w:r>
        <w:rPr>
          <w:bCs/>
          <w:lang w:val="ru-RU"/>
        </w:rPr>
        <w:t>3</w:t>
      </w:r>
      <w:r>
        <w:rPr>
          <w:lang w:val="ru-RU"/>
        </w:rPr>
        <w:tab/>
      </w:r>
      <w:r>
        <w:rPr>
          <w:bCs/>
          <w:lang w:val="ru-RU"/>
        </w:rPr>
        <w:t xml:space="preserve">Технологический нейтралитет </w:t>
      </w:r>
      <w:r w:rsidR="00DE2DBD">
        <w:rPr>
          <w:bCs/>
          <w:lang w:val="ru-RU"/>
        </w:rPr>
        <w:t>−</w:t>
      </w:r>
      <w:r>
        <w:rPr>
          <w:bCs/>
          <w:lang w:val="ru-RU"/>
        </w:rPr>
        <w:t xml:space="preserve"> Платформы для веб-конференций</w:t>
      </w:r>
    </w:p>
    <w:p w14:paraId="0785FAE4" w14:textId="77777777" w:rsidR="0086677D" w:rsidRPr="0086677D" w:rsidRDefault="0086677D" w:rsidP="007337B0">
      <w:pPr>
        <w:jc w:val="both"/>
        <w:rPr>
          <w:lang w:val="ru-RU"/>
        </w:rPr>
      </w:pPr>
      <w:r>
        <w:rPr>
          <w:lang w:val="ru-RU"/>
        </w:rPr>
        <w:t>Платформа для веб-конференций, используемая для проведения полностью виртуальных собраний и очных собраний с дистанционным участием, должна быть доступна для всех участников независимо от их местонахождения, и при ее выборе должны приниматься во внимание возможные технические ограничения для участников, которые помешают их полноценному и равноправному участию. Платформа для веб-конференций должна также предусматривать интеграцию со службами устного перевода. Кроме того, для того чтобы получить доступ к платформе, участники не должны быть обязаны загружать или приобретать какое-либо программное обеспечение для доступа к ней, и будут получать ссылку с приглашением на собрание, по которой они смогут присоединиться.</w:t>
      </w:r>
    </w:p>
    <w:p w14:paraId="39F6B866" w14:textId="62EC5CEE" w:rsidR="0086677D" w:rsidRPr="0086677D" w:rsidRDefault="0086677D" w:rsidP="007337B0">
      <w:pPr>
        <w:jc w:val="both"/>
        <w:rPr>
          <w:lang w:val="ru-RU"/>
        </w:rPr>
      </w:pPr>
      <w:r>
        <w:rPr>
          <w:lang w:val="ru-RU"/>
        </w:rPr>
        <w:t xml:space="preserve">В случае полностью дистанционных собраний организаторы мероприятий обязаны прилагать все усилия для того, чтобы участники имели равный и полный доступ к платформам для веб-конференций. Информация о собраниях и соответствующие документы </w:t>
      </w:r>
      <w:r w:rsidR="008657E0">
        <w:rPr>
          <w:lang w:val="ru-RU"/>
        </w:rPr>
        <w:t>могли бы</w:t>
      </w:r>
      <w:r>
        <w:rPr>
          <w:lang w:val="ru-RU"/>
        </w:rPr>
        <w:t xml:space="preserve"> рассылаться по электронной почте в дополнение к любым онлайновым площадкам для взаимодействия, что поможет обеспечить наличие альтернативных способов получения информации и участия в обсуждениях. В случае если организаторы мероприятия обнаружили технический барьер, препятствующий участию заинтересованных участников, следует найти альтернативные решения.</w:t>
      </w:r>
    </w:p>
    <w:p w14:paraId="490CE40A" w14:textId="77777777" w:rsidR="0086677D" w:rsidRPr="0086677D" w:rsidRDefault="0086677D" w:rsidP="007337B0">
      <w:pPr>
        <w:pStyle w:val="Heading1"/>
        <w:jc w:val="both"/>
        <w:rPr>
          <w:lang w:val="ru-RU"/>
        </w:rPr>
      </w:pPr>
      <w:r>
        <w:rPr>
          <w:bCs/>
          <w:lang w:val="ru-RU"/>
        </w:rPr>
        <w:lastRenderedPageBreak/>
        <w:t>4</w:t>
      </w:r>
      <w:r>
        <w:rPr>
          <w:lang w:val="ru-RU"/>
        </w:rPr>
        <w:tab/>
      </w:r>
      <w:r>
        <w:rPr>
          <w:bCs/>
          <w:lang w:val="ru-RU"/>
        </w:rPr>
        <w:t>Выбор формата проведения собрания</w:t>
      </w:r>
      <w:r>
        <w:rPr>
          <w:lang w:val="ru-RU"/>
        </w:rPr>
        <w:t xml:space="preserve"> </w:t>
      </w:r>
    </w:p>
    <w:p w14:paraId="0E953C50" w14:textId="6C6B47E8" w:rsidR="0086677D" w:rsidRPr="0086677D" w:rsidRDefault="0086677D" w:rsidP="007337B0">
      <w:pPr>
        <w:jc w:val="both"/>
        <w:rPr>
          <w:lang w:val="ru-RU"/>
        </w:rPr>
      </w:pPr>
      <w:r>
        <w:rPr>
          <w:lang w:val="ru-RU"/>
        </w:rPr>
        <w:t>К факторам, которые следует учитывать при выборе формата проведения собрания, относятся: цель собрания, вероятная аудитория, доля участников, которые будут находиться на месте проведения мероприятия, характер собрания (предполагается принятие решений или нет), планы относительно голосования, структура собрания (пленарное заседание, групповая дискуссия, семинар-практикум и т.</w:t>
      </w:r>
      <w:r w:rsidR="00B868E1" w:rsidRPr="0074176F">
        <w:rPr>
          <w:lang w:val="ru-RU"/>
        </w:rPr>
        <w:t xml:space="preserve"> </w:t>
      </w:r>
      <w:r>
        <w:rPr>
          <w:lang w:val="ru-RU"/>
        </w:rPr>
        <w:t>д.), продолжительность мероприятия, глобальный или региональный охват, наличие залов заседаний и технического оснащения, контекст (например, заключительное собрание перед важной конференцией), открытость (например, соображения географической или гендерной представленности), бюджетные ограничения и экологические факторы.</w:t>
      </w:r>
    </w:p>
    <w:p w14:paraId="0E377307" w14:textId="0353D9D2" w:rsidR="0086677D" w:rsidRPr="0086677D" w:rsidRDefault="0086677D" w:rsidP="007337B0">
      <w:pPr>
        <w:pStyle w:val="Heading1"/>
        <w:jc w:val="both"/>
        <w:rPr>
          <w:lang w:val="ru-RU"/>
        </w:rPr>
      </w:pPr>
      <w:r>
        <w:rPr>
          <w:bCs/>
          <w:lang w:val="ru-RU"/>
        </w:rPr>
        <w:t>5</w:t>
      </w:r>
      <w:r>
        <w:rPr>
          <w:lang w:val="ru-RU"/>
        </w:rPr>
        <w:tab/>
      </w:r>
      <w:r>
        <w:rPr>
          <w:bCs/>
          <w:lang w:val="ru-RU"/>
        </w:rPr>
        <w:t xml:space="preserve">Участие в обсуждениях, происходящих в </w:t>
      </w:r>
      <w:r w:rsidR="008677BA">
        <w:rPr>
          <w:bCs/>
          <w:lang w:val="ru-RU"/>
        </w:rPr>
        <w:t>очном</w:t>
      </w:r>
      <w:r>
        <w:rPr>
          <w:bCs/>
          <w:lang w:val="ru-RU"/>
        </w:rPr>
        <w:t xml:space="preserve"> режиме</w:t>
      </w:r>
    </w:p>
    <w:p w14:paraId="00447C3C" w14:textId="11CD718F" w:rsidR="0086677D" w:rsidRPr="004A67AD" w:rsidRDefault="0086677D" w:rsidP="007337B0">
      <w:pPr>
        <w:jc w:val="both"/>
        <w:rPr>
          <w:lang w:val="ru-RU"/>
        </w:rPr>
      </w:pPr>
      <w:r>
        <w:rPr>
          <w:lang w:val="ru-RU"/>
        </w:rPr>
        <w:t xml:space="preserve">Дистанционные участники могут участвовать в обсуждениях, происходящих в </w:t>
      </w:r>
      <w:r w:rsidR="008677BA">
        <w:rPr>
          <w:lang w:val="ru-RU"/>
        </w:rPr>
        <w:t>очном</w:t>
      </w:r>
      <w:r>
        <w:rPr>
          <w:lang w:val="ru-RU"/>
        </w:rPr>
        <w:t xml:space="preserve"> режиме (например</w:t>
      </w:r>
      <w:r w:rsidRPr="008657E0">
        <w:rPr>
          <w:lang w:val="ru-RU"/>
        </w:rPr>
        <w:t xml:space="preserve">, в специальных </w:t>
      </w:r>
      <w:r w:rsidR="008657E0" w:rsidRPr="008657E0">
        <w:rPr>
          <w:lang w:val="ru-RU"/>
        </w:rPr>
        <w:t>собрания</w:t>
      </w:r>
      <w:r w:rsidR="008657E0">
        <w:rPr>
          <w:lang w:val="ru-RU"/>
        </w:rPr>
        <w:t>х</w:t>
      </w:r>
      <w:r>
        <w:rPr>
          <w:lang w:val="ru-RU"/>
        </w:rPr>
        <w:t>), при условии</w:t>
      </w:r>
      <w:r w:rsidR="008677BA">
        <w:rPr>
          <w:lang w:val="ru-RU"/>
        </w:rPr>
        <w:t>,</w:t>
      </w:r>
      <w:r>
        <w:rPr>
          <w:lang w:val="ru-RU"/>
        </w:rPr>
        <w:t xml:space="preserve"> что они проводятся в местах/залах, интегрированных с используемой виртуальной платформой. Многие платформы для веб-конференций имеют также режим "дискуссионных групп", что позволяет участникам создавать свои собственные секционные заседания для проведения офлайновых обсуждений. Однако могут быть случаи, когда дистанционное участие в специальных обсуждениях невозможно, например, когда председатель созывает собрание спонтанно, без предварительного уведомления, или когда он созывает собрание в зале, не подключенном к нужной виртуальной платформе. В таких случаях после возобновлении работы </w:t>
      </w:r>
      <w:r w:rsidRPr="008657E0">
        <w:rPr>
          <w:lang w:val="ru-RU"/>
        </w:rPr>
        <w:t>собрания дистанционные</w:t>
      </w:r>
      <w:r>
        <w:rPr>
          <w:lang w:val="ru-RU"/>
        </w:rPr>
        <w:t xml:space="preserve"> участники должны быть проинформированы об обсуждениях или договоренностях, достигнутых в ходе специального обсуждения, и им должна быть предоставлена возможность высказать свои замечания или точку зрения до того, как решение будет официально принято. </w:t>
      </w:r>
    </w:p>
    <w:p w14:paraId="5E5EAF1C" w14:textId="7D1B7C13" w:rsidR="0086677D" w:rsidRPr="0086677D" w:rsidRDefault="0086677D" w:rsidP="007337B0">
      <w:pPr>
        <w:pStyle w:val="Heading1"/>
        <w:jc w:val="both"/>
        <w:rPr>
          <w:lang w:val="ru-RU"/>
        </w:rPr>
      </w:pPr>
      <w:r>
        <w:rPr>
          <w:bCs/>
          <w:lang w:val="ru-RU"/>
        </w:rPr>
        <w:t>6</w:t>
      </w:r>
      <w:r>
        <w:rPr>
          <w:lang w:val="ru-RU"/>
        </w:rPr>
        <w:tab/>
      </w:r>
      <w:r>
        <w:rPr>
          <w:bCs/>
          <w:lang w:val="ru-RU"/>
        </w:rPr>
        <w:t xml:space="preserve">Практические меры по обеспечению равных возможностей для участия, в частности лиц с </w:t>
      </w:r>
      <w:r w:rsidR="002229B7">
        <w:rPr>
          <w:bCs/>
          <w:lang w:val="ru-RU"/>
        </w:rPr>
        <w:t>ограниченными возможностями</w:t>
      </w:r>
      <w:r>
        <w:rPr>
          <w:bCs/>
          <w:lang w:val="ru-RU"/>
        </w:rPr>
        <w:t xml:space="preserve"> и лиц с особыми потребностями</w:t>
      </w:r>
    </w:p>
    <w:p w14:paraId="7170B08B" w14:textId="77777777" w:rsidR="0086677D" w:rsidRPr="004A67AD" w:rsidRDefault="0086677D" w:rsidP="007337B0">
      <w:pPr>
        <w:jc w:val="both"/>
        <w:rPr>
          <w:lang w:val="ru-RU"/>
        </w:rPr>
      </w:pPr>
      <w:r>
        <w:rPr>
          <w:lang w:val="ru-RU"/>
        </w:rPr>
        <w:t>Для очных собраний с дистанционным участием или полностью виртуальных собраний доступны субтитры, за которыми можно следить на платформе для веб-конференций или через веб-трансляцию.</w:t>
      </w:r>
    </w:p>
    <w:p w14:paraId="0B31B7E4" w14:textId="77777777" w:rsidR="0086677D" w:rsidRPr="0086677D" w:rsidRDefault="0086677D" w:rsidP="007337B0">
      <w:pPr>
        <w:jc w:val="both"/>
        <w:rPr>
          <w:lang w:val="ru-RU"/>
        </w:rPr>
      </w:pPr>
      <w:r>
        <w:rPr>
          <w:lang w:val="ru-RU"/>
        </w:rPr>
        <w:t>Перевод на жестовый язык может быть организован по запросу (при условии наличия ресурсов) на любом собрании МСЭ и может передаваться через платформы для веб-конференций и веб-трансляций.</w:t>
      </w:r>
    </w:p>
    <w:p w14:paraId="0D684ED1" w14:textId="4F84B6C5" w:rsidR="0086677D" w:rsidRPr="0086677D" w:rsidRDefault="0086677D" w:rsidP="007337B0">
      <w:pPr>
        <w:jc w:val="both"/>
        <w:rPr>
          <w:lang w:val="ru-RU"/>
        </w:rPr>
      </w:pPr>
      <w:r>
        <w:rPr>
          <w:lang w:val="ru-RU"/>
        </w:rPr>
        <w:t xml:space="preserve">Платформы для веб-конференций, выбранные МСЭ, имеют функции, обеспечивающие доступность (например, поддержку чтения с экрана, регулируемый размер шрифта, клавиатуру) для лиц с </w:t>
      </w:r>
      <w:r w:rsidR="002229B7" w:rsidRPr="002229B7">
        <w:rPr>
          <w:lang w:val="ru-RU"/>
        </w:rPr>
        <w:t xml:space="preserve">ограниченными возможностями </w:t>
      </w:r>
      <w:r>
        <w:rPr>
          <w:lang w:val="ru-RU"/>
        </w:rPr>
        <w:t xml:space="preserve">и лиц с особыми потребностями. </w:t>
      </w:r>
    </w:p>
    <w:p w14:paraId="75A4691C" w14:textId="77777777" w:rsidR="0086677D" w:rsidRPr="0086677D" w:rsidRDefault="0086677D" w:rsidP="007337B0">
      <w:pPr>
        <w:jc w:val="both"/>
        <w:rPr>
          <w:lang w:val="ru-RU"/>
        </w:rPr>
      </w:pPr>
      <w:r>
        <w:rPr>
          <w:lang w:val="ru-RU"/>
        </w:rPr>
        <w:t>В регистрационной форме для собраний участникам предлагается заранее указать, требуется ли им какая-либо специальная поддержка для участия, чтобы оценить возможность принятия необходимых мер для обеспечения доступности во время мероприятия.</w:t>
      </w:r>
    </w:p>
    <w:p w14:paraId="3F61586C" w14:textId="267B99D5" w:rsidR="0086677D" w:rsidRPr="0086677D" w:rsidRDefault="0086677D" w:rsidP="007337B0">
      <w:pPr>
        <w:jc w:val="both"/>
        <w:rPr>
          <w:lang w:val="ru-RU"/>
        </w:rPr>
      </w:pPr>
      <w:r>
        <w:rPr>
          <w:lang w:val="ru-RU"/>
        </w:rPr>
        <w:t xml:space="preserve">В начале </w:t>
      </w:r>
      <w:r w:rsidR="004A67AD">
        <w:rPr>
          <w:lang w:val="ru-RU"/>
        </w:rPr>
        <w:t>заседаний</w:t>
      </w:r>
      <w:r>
        <w:rPr>
          <w:lang w:val="ru-RU"/>
        </w:rPr>
        <w:t xml:space="preserve"> участникам предоставляется информация о том, какие функции, обеспечивающие доступность, имеются на платформе во время собрания, с тем чтобы все участники были проинформированы и чтобы эти функции были при необходимости активированы.</w:t>
      </w:r>
    </w:p>
    <w:p w14:paraId="148A0DD0" w14:textId="659A6508" w:rsidR="0086677D" w:rsidRPr="0086677D" w:rsidRDefault="0086677D" w:rsidP="007337B0">
      <w:pPr>
        <w:pStyle w:val="Heading1"/>
        <w:jc w:val="both"/>
        <w:rPr>
          <w:sz w:val="28"/>
          <w:lang w:val="ru-RU"/>
        </w:rPr>
      </w:pPr>
      <w:r>
        <w:rPr>
          <w:lang w:val="ru-RU"/>
        </w:rPr>
        <w:lastRenderedPageBreak/>
        <w:t>7</w:t>
      </w:r>
      <w:r>
        <w:rPr>
          <w:lang w:val="ru-RU"/>
        </w:rPr>
        <w:tab/>
        <w:t xml:space="preserve">Гибкость в плане продолжительности и времени проведения собраний с учетом часовых поясов </w:t>
      </w:r>
      <w:r w:rsidR="008657E0">
        <w:rPr>
          <w:lang w:val="ru-RU"/>
        </w:rPr>
        <w:t xml:space="preserve">в </w:t>
      </w:r>
      <w:r>
        <w:rPr>
          <w:lang w:val="ru-RU"/>
        </w:rPr>
        <w:t>мест</w:t>
      </w:r>
      <w:r w:rsidR="008657E0">
        <w:rPr>
          <w:lang w:val="ru-RU"/>
        </w:rPr>
        <w:t>ах</w:t>
      </w:r>
      <w:r>
        <w:rPr>
          <w:lang w:val="ru-RU"/>
        </w:rPr>
        <w:t xml:space="preserve"> нахождения участников</w:t>
      </w:r>
    </w:p>
    <w:p w14:paraId="0F40B198" w14:textId="1F6F312D" w:rsidR="0086677D" w:rsidRPr="00FA206E" w:rsidRDefault="0086677D" w:rsidP="007337B0">
      <w:pPr>
        <w:jc w:val="both"/>
        <w:rPr>
          <w:lang w:val="ru-RU"/>
        </w:rPr>
      </w:pPr>
      <w:r>
        <w:rPr>
          <w:lang w:val="ru-RU"/>
        </w:rPr>
        <w:t xml:space="preserve">При организации очных собраний с дистанционным участием рекомендуется проводить </w:t>
      </w:r>
      <w:r w:rsidR="0090397F">
        <w:rPr>
          <w:lang w:val="ru-RU"/>
        </w:rPr>
        <w:t>заседания</w:t>
      </w:r>
      <w:r>
        <w:rPr>
          <w:lang w:val="ru-RU"/>
        </w:rPr>
        <w:t xml:space="preserve"> в основное рабочее время по часовому поясу места, где проводится очное собрание. Дистанционные участники присоединяются по мере необходимости. При выборе времени необходима определенная степень гибкости: перв</w:t>
      </w:r>
      <w:r w:rsidR="004A67AD">
        <w:rPr>
          <w:lang w:val="ru-RU"/>
        </w:rPr>
        <w:t xml:space="preserve">ое заседание </w:t>
      </w:r>
      <w:r>
        <w:rPr>
          <w:lang w:val="ru-RU"/>
        </w:rPr>
        <w:t xml:space="preserve">начинается, как правило, в 08 час. 00 мин. или 09. час. 00 мин. по местному времени в месте проведения очного собрания и заканчивается в 17 час. 00 или 18 час. 00 мин., при этом </w:t>
      </w:r>
      <w:r w:rsidR="004A67AD">
        <w:rPr>
          <w:lang w:val="ru-RU"/>
        </w:rPr>
        <w:t xml:space="preserve">для удобства участников, подключающихся дистанционно из других часовых поясов, </w:t>
      </w:r>
      <w:r>
        <w:rPr>
          <w:lang w:val="ru-RU"/>
        </w:rPr>
        <w:t>перерыв на обед может быть сокращен.</w:t>
      </w:r>
    </w:p>
    <w:p w14:paraId="3FE9BD34" w14:textId="72C728CD" w:rsidR="0086677D" w:rsidRPr="0086677D" w:rsidRDefault="0086677D" w:rsidP="007337B0">
      <w:pPr>
        <w:jc w:val="both"/>
        <w:rPr>
          <w:lang w:val="ru-RU"/>
        </w:rPr>
      </w:pPr>
      <w:r>
        <w:rPr>
          <w:lang w:val="ru-RU"/>
        </w:rPr>
        <w:t xml:space="preserve">В настоящее время полностью виртуальные собрания с участниками со всего мира организуются в дневные часы по женевскому времени (11 час. 00 мин. – 15 час. 00 мин.). Для удобства Государств-Членов во всех регионах полностью виртуальные собрания могут проводиться в рабочее время по другим часовым поясам, что будет иметь последствия в плане ресурсов и затрат на сверхурочную работу вспомогательного персонала, базирующегося в штаб-квартире МСЭ в Женеве. Если собрание охватывает несколько тем или состоит из нескольких </w:t>
      </w:r>
      <w:r w:rsidR="0090397F">
        <w:rPr>
          <w:lang w:val="ru-RU"/>
        </w:rPr>
        <w:t>заседаний</w:t>
      </w:r>
      <w:r>
        <w:rPr>
          <w:lang w:val="ru-RU"/>
        </w:rPr>
        <w:t xml:space="preserve">, оно может быть разбито на блоки, чтобы лучше соответствовать графику участников. Для планирования мероприятий с учетом разницы не только во времени, но </w:t>
      </w:r>
      <w:r w:rsidR="00273D25">
        <w:rPr>
          <w:lang w:val="ru-RU"/>
        </w:rPr>
        <w:t>и в</w:t>
      </w:r>
      <w:r>
        <w:rPr>
          <w:lang w:val="ru-RU"/>
        </w:rPr>
        <w:t xml:space="preserve"> рабочих неделях разных стран, следует принимать меры, с тем чтобы по возможности избегать проведения виртуальных собраний по пятницам.</w:t>
      </w:r>
    </w:p>
    <w:p w14:paraId="050C5B72" w14:textId="77777777" w:rsidR="0086677D" w:rsidRPr="0086677D" w:rsidRDefault="0086677D" w:rsidP="007337B0">
      <w:pPr>
        <w:jc w:val="both"/>
        <w:rPr>
          <w:lang w:val="ru-RU"/>
        </w:rPr>
      </w:pPr>
      <w:r>
        <w:rPr>
          <w:lang w:val="ru-RU"/>
        </w:rPr>
        <w:t xml:space="preserve">Во всех случаях организаторы мероприятий должны делать все возможное, чтобы учесть разницу во времени, принимая во внимание последствия для обеспечения справедливого участия делегатов из всех Государств – Членов МСЭ и для вспомогательного персонала как в штаб-квартире, так и в отделениях на местах, а также затраты на оплату сверхурочной работы персонала и на устный перевод. </w:t>
      </w:r>
    </w:p>
    <w:p w14:paraId="461CD8F0" w14:textId="77777777" w:rsidR="0086677D" w:rsidRPr="0086677D" w:rsidRDefault="0086677D" w:rsidP="007337B0">
      <w:pPr>
        <w:pStyle w:val="Heading1"/>
        <w:jc w:val="both"/>
        <w:rPr>
          <w:lang w:val="ru-RU"/>
        </w:rPr>
      </w:pPr>
      <w:r>
        <w:rPr>
          <w:bCs/>
          <w:lang w:val="ru-RU"/>
        </w:rPr>
        <w:t>8</w:t>
      </w:r>
      <w:r>
        <w:rPr>
          <w:lang w:val="ru-RU"/>
        </w:rPr>
        <w:tab/>
      </w:r>
      <w:r>
        <w:rPr>
          <w:bCs/>
          <w:lang w:val="ru-RU"/>
        </w:rPr>
        <w:t>Обеспечение, в случае необходимости, профессиональной подготовки организаторов собраний МСЭ, сотрудников региональных отделений, председателей, докладчиков, редакторов и делегатов при уделении особого внимания ведению собраний и эффективному управлению дистанционным участием</w:t>
      </w:r>
    </w:p>
    <w:p w14:paraId="5BBB55B0" w14:textId="4C63B5A0" w:rsidR="0086677D" w:rsidRPr="0086677D" w:rsidRDefault="0086677D" w:rsidP="007337B0">
      <w:pPr>
        <w:jc w:val="both"/>
        <w:rPr>
          <w:lang w:val="ru-RU"/>
        </w:rPr>
      </w:pPr>
      <w:r>
        <w:rPr>
          <w:lang w:val="ru-RU"/>
        </w:rPr>
        <w:t xml:space="preserve">С 2020 года для организаторов собраний и </w:t>
      </w:r>
      <w:r w:rsidR="00273D25">
        <w:rPr>
          <w:lang w:val="ru-RU"/>
        </w:rPr>
        <w:t xml:space="preserve">задействованного в них </w:t>
      </w:r>
      <w:r>
        <w:rPr>
          <w:lang w:val="ru-RU"/>
        </w:rPr>
        <w:t xml:space="preserve">персонала организуется обучение на рабочем месте. Программа информационных сессий для председателей включает </w:t>
      </w:r>
      <w:r w:rsidR="00273D25">
        <w:rPr>
          <w:lang w:val="ru-RU"/>
        </w:rPr>
        <w:t xml:space="preserve">в себя </w:t>
      </w:r>
      <w:r>
        <w:rPr>
          <w:lang w:val="ru-RU"/>
        </w:rPr>
        <w:t>рекомендации по более эффективной координации обсуждений с участием очных и дистанционных участников. Делегатам регулярно предоставляются инструктивные материалы и предлагаются обучающие мероприятия, в частности в тех случаях, когда ожидается существенное число дистанционных участников. В зависимости от имеющихся ресурсов технические модераторы МСЭ могут оказывать поддержку участникам, присоединяющимся к собраниям МСЭ дистанционно, а также помогать председателю и секретарю давать слово участникам</w:t>
      </w:r>
      <w:r w:rsidR="00273D25">
        <w:rPr>
          <w:lang w:val="ru-RU"/>
        </w:rPr>
        <w:t>, подключающимся дистанционно</w:t>
      </w:r>
      <w:r>
        <w:rPr>
          <w:lang w:val="ru-RU"/>
        </w:rPr>
        <w:t>.</w:t>
      </w:r>
    </w:p>
    <w:p w14:paraId="3CD32D5C" w14:textId="77777777" w:rsidR="0086677D" w:rsidRPr="0086677D" w:rsidRDefault="0086677D" w:rsidP="007337B0">
      <w:pPr>
        <w:pStyle w:val="Heading1"/>
        <w:jc w:val="both"/>
        <w:rPr>
          <w:b w:val="0"/>
          <w:lang w:val="ru-RU"/>
        </w:rPr>
      </w:pPr>
      <w:r>
        <w:rPr>
          <w:bCs/>
          <w:lang w:val="ru-RU"/>
        </w:rPr>
        <w:t>9</w:t>
      </w:r>
      <w:r>
        <w:rPr>
          <w:lang w:val="ru-RU"/>
        </w:rPr>
        <w:tab/>
      </w:r>
      <w:r>
        <w:rPr>
          <w:bCs/>
          <w:lang w:val="ru-RU"/>
        </w:rPr>
        <w:t>Передовой опыт управления собраниями с дистанционным участием</w:t>
      </w:r>
    </w:p>
    <w:p w14:paraId="0C7FF5E5" w14:textId="6128DAE3" w:rsidR="0086677D" w:rsidRPr="0086677D" w:rsidRDefault="0086677D" w:rsidP="007337B0">
      <w:pPr>
        <w:pStyle w:val="Heading2"/>
        <w:jc w:val="both"/>
        <w:rPr>
          <w:lang w:val="ru-RU"/>
        </w:rPr>
      </w:pPr>
      <w:r>
        <w:rPr>
          <w:bCs/>
          <w:lang w:val="ru-RU"/>
        </w:rPr>
        <w:t>9.1</w:t>
      </w:r>
      <w:r>
        <w:rPr>
          <w:lang w:val="ru-RU"/>
        </w:rPr>
        <w:tab/>
      </w:r>
      <w:r>
        <w:rPr>
          <w:bCs/>
          <w:lang w:val="ru-RU"/>
        </w:rPr>
        <w:t>Процесс регистрации</w:t>
      </w:r>
    </w:p>
    <w:p w14:paraId="24091302" w14:textId="77777777" w:rsidR="0086677D" w:rsidRPr="0086677D" w:rsidRDefault="0086677D" w:rsidP="007337B0">
      <w:pPr>
        <w:jc w:val="both"/>
        <w:rPr>
          <w:lang w:val="ru-RU"/>
        </w:rPr>
      </w:pPr>
      <w:r>
        <w:rPr>
          <w:lang w:val="ru-RU"/>
        </w:rPr>
        <w:t xml:space="preserve">Для мероприятий, открытых только для членов МСЭ, дистанционные участники следуют той же процедуре регистрации и аккредитации, что и участники на месте, а доступ в реальный зал и </w:t>
      </w:r>
      <w:r>
        <w:rPr>
          <w:lang w:val="ru-RU"/>
        </w:rPr>
        <w:lastRenderedPageBreak/>
        <w:t>виртуальный зал контролируется с использованием аналогичного механизма проверки авторизации.</w:t>
      </w:r>
    </w:p>
    <w:p w14:paraId="0B2AEBC7" w14:textId="77777777" w:rsidR="0086677D" w:rsidRPr="0086677D" w:rsidRDefault="0086677D" w:rsidP="007337B0">
      <w:pPr>
        <w:jc w:val="both"/>
        <w:rPr>
          <w:lang w:val="ru-RU"/>
        </w:rPr>
      </w:pPr>
      <w:r>
        <w:rPr>
          <w:lang w:val="ru-RU"/>
        </w:rPr>
        <w:t>Для открытых мероприятий, таких как семинары-практикумы, саммит "ИИ во благо" или форум ВВУИО, дистанционным участникам не требуется проходить процедуру аккредитации в полном объеме. Генеральный секретариат и три Бюро могут использовать упрощенную систему регистрации CRM, предназначенную для поддержки регистрации участников вышеупомянутых открытых мероприятий.</w:t>
      </w:r>
    </w:p>
    <w:p w14:paraId="08A3DFAD" w14:textId="77777777" w:rsidR="0086677D" w:rsidRPr="0086677D" w:rsidRDefault="0086677D" w:rsidP="007337B0">
      <w:pPr>
        <w:pStyle w:val="Heading2"/>
        <w:jc w:val="both"/>
        <w:rPr>
          <w:lang w:val="ru-RU"/>
        </w:rPr>
      </w:pPr>
      <w:r>
        <w:rPr>
          <w:bCs/>
          <w:lang w:val="ru-RU"/>
        </w:rPr>
        <w:t>9.2</w:t>
      </w:r>
      <w:r>
        <w:rPr>
          <w:lang w:val="ru-RU"/>
        </w:rPr>
        <w:tab/>
      </w:r>
      <w:r>
        <w:rPr>
          <w:bCs/>
          <w:lang w:val="ru-RU"/>
        </w:rPr>
        <w:t>Управление запросами из зала</w:t>
      </w:r>
    </w:p>
    <w:p w14:paraId="11C8B409" w14:textId="77777777" w:rsidR="0086677D" w:rsidRPr="0086677D" w:rsidRDefault="0086677D" w:rsidP="007337B0">
      <w:pPr>
        <w:jc w:val="both"/>
        <w:rPr>
          <w:lang w:val="ru-RU"/>
        </w:rPr>
      </w:pPr>
      <w:r>
        <w:rPr>
          <w:lang w:val="ru-RU"/>
        </w:rPr>
        <w:t>Председатель должен управлять просьбами о предоставлении слова, поступающими и из зала заседаний, где делегаты физически поднимают руку/таблички или нажимают кнопку запроса, и с платформы для веб-конференций, где делегаты используют функцию поднятия виртуальной руки. Председатель может применять на собраниях МСЭ различные подходы:</w:t>
      </w:r>
    </w:p>
    <w:p w14:paraId="5BAF7BFC" w14:textId="77777777" w:rsidR="0086677D" w:rsidRPr="0086677D" w:rsidRDefault="0086677D" w:rsidP="007337B0">
      <w:pPr>
        <w:pStyle w:val="enumlev1"/>
        <w:jc w:val="both"/>
        <w:rPr>
          <w:lang w:val="ru-RU"/>
        </w:rPr>
      </w:pPr>
      <w:r>
        <w:rPr>
          <w:lang w:val="ru-RU"/>
        </w:rPr>
        <w:t>–</w:t>
      </w:r>
      <w:r>
        <w:rPr>
          <w:lang w:val="ru-RU"/>
        </w:rPr>
        <w:tab/>
        <w:t>Председатель отдает приоритет участникам, находящимся в зале, а затем переходит к дистанционным участникам;</w:t>
      </w:r>
    </w:p>
    <w:p w14:paraId="76344DA8" w14:textId="77777777" w:rsidR="0086677D" w:rsidRPr="0086677D" w:rsidRDefault="0086677D" w:rsidP="007337B0">
      <w:pPr>
        <w:pStyle w:val="enumlev1"/>
        <w:jc w:val="both"/>
        <w:rPr>
          <w:lang w:val="ru-RU"/>
        </w:rPr>
      </w:pPr>
      <w:r>
        <w:rPr>
          <w:lang w:val="ru-RU"/>
        </w:rPr>
        <w:t>–</w:t>
      </w:r>
      <w:r>
        <w:rPr>
          <w:lang w:val="ru-RU"/>
        </w:rPr>
        <w:tab/>
        <w:t>Председатель отвечает на запросы в порядке их поступления настолько, насколько это возможно;</w:t>
      </w:r>
    </w:p>
    <w:p w14:paraId="4F942170" w14:textId="52DBD34B" w:rsidR="0086677D" w:rsidRPr="0086677D" w:rsidRDefault="0086677D" w:rsidP="007337B0">
      <w:pPr>
        <w:pStyle w:val="enumlev1"/>
        <w:jc w:val="both"/>
        <w:rPr>
          <w:lang w:val="ru-RU"/>
        </w:rPr>
      </w:pPr>
      <w:r>
        <w:rPr>
          <w:lang w:val="ru-RU"/>
        </w:rPr>
        <w:t>–</w:t>
      </w:r>
      <w:r>
        <w:rPr>
          <w:lang w:val="ru-RU"/>
        </w:rPr>
        <w:tab/>
        <w:t xml:space="preserve">Председатель </w:t>
      </w:r>
      <w:r w:rsidR="00273D25">
        <w:rPr>
          <w:lang w:val="ru-RU"/>
        </w:rPr>
        <w:t>предлагает</w:t>
      </w:r>
      <w:r>
        <w:rPr>
          <w:lang w:val="ru-RU"/>
        </w:rPr>
        <w:t xml:space="preserve"> дистанционны</w:t>
      </w:r>
      <w:r w:rsidR="00273D25">
        <w:rPr>
          <w:lang w:val="ru-RU"/>
        </w:rPr>
        <w:t>м</w:t>
      </w:r>
      <w:r>
        <w:rPr>
          <w:lang w:val="ru-RU"/>
        </w:rPr>
        <w:t xml:space="preserve"> участник</w:t>
      </w:r>
      <w:r w:rsidR="00273D25">
        <w:rPr>
          <w:lang w:val="ru-RU"/>
        </w:rPr>
        <w:t>ам</w:t>
      </w:r>
      <w:r>
        <w:rPr>
          <w:lang w:val="ru-RU"/>
        </w:rPr>
        <w:t xml:space="preserve"> включить микрофоны и просить дать слово;</w:t>
      </w:r>
    </w:p>
    <w:p w14:paraId="00D3A5D3" w14:textId="77777777" w:rsidR="0086677D" w:rsidRPr="0086677D" w:rsidRDefault="0086677D" w:rsidP="007337B0">
      <w:pPr>
        <w:pStyle w:val="enumlev1"/>
        <w:jc w:val="both"/>
        <w:rPr>
          <w:lang w:val="ru-RU"/>
        </w:rPr>
      </w:pPr>
      <w:r>
        <w:rPr>
          <w:lang w:val="ru-RU"/>
        </w:rPr>
        <w:t>–</w:t>
      </w:r>
      <w:r>
        <w:rPr>
          <w:lang w:val="ru-RU"/>
        </w:rPr>
        <w:tab/>
        <w:t>всем делегатам вне зависимости от того, присутствуют они очно или дистанционно, предлагается подключиться к платформе для веб-конференций и воспользоваться функцией поднятия виртуальной руки.</w:t>
      </w:r>
    </w:p>
    <w:p w14:paraId="528D44DA" w14:textId="3A457023" w:rsidR="0086677D" w:rsidRPr="0086677D" w:rsidRDefault="0086677D" w:rsidP="007337B0">
      <w:pPr>
        <w:pStyle w:val="Heading2"/>
        <w:jc w:val="both"/>
        <w:rPr>
          <w:lang w:val="ru-RU"/>
        </w:rPr>
      </w:pPr>
      <w:r>
        <w:rPr>
          <w:bCs/>
          <w:lang w:val="ru-RU"/>
        </w:rPr>
        <w:t>9.3</w:t>
      </w:r>
      <w:r>
        <w:rPr>
          <w:lang w:val="ru-RU"/>
        </w:rPr>
        <w:tab/>
      </w:r>
      <w:r>
        <w:rPr>
          <w:bCs/>
          <w:lang w:val="ru-RU"/>
        </w:rPr>
        <w:t>Использование функции чат</w:t>
      </w:r>
    </w:p>
    <w:p w14:paraId="109737B1" w14:textId="77777777" w:rsidR="0086677D" w:rsidRPr="0086677D" w:rsidRDefault="0086677D" w:rsidP="007337B0">
      <w:pPr>
        <w:jc w:val="both"/>
        <w:rPr>
          <w:lang w:val="ru-RU"/>
        </w:rPr>
      </w:pPr>
      <w:r>
        <w:rPr>
          <w:lang w:val="ru-RU"/>
        </w:rPr>
        <w:t xml:space="preserve">Функция чата на платформе для веб-конференций не включается автоматически. В тех случаях, когда эта функция активирована, чат не является частью официального протокола собрания. Дистанционные участники должны понимать, что по различным причинам председатель и секретариат могут быть не в состоянии читать сообщения в чате собрания. Тем не менее, функция чата может использоваться для представления вкладов по просьбе председателя (например, конкретного предложения, внесенного в ходе прений) или для обмена текстами и отправки личных сообщений. Она также может использоваться для привлечения внимания к техническим проблемам или для получения помощи от модератора. </w:t>
      </w:r>
    </w:p>
    <w:p w14:paraId="14402DBC" w14:textId="4FB0A019" w:rsidR="0086677D" w:rsidRPr="0086677D" w:rsidRDefault="0086677D" w:rsidP="007337B0">
      <w:pPr>
        <w:jc w:val="both"/>
        <w:rPr>
          <w:lang w:val="ru-RU"/>
        </w:rPr>
      </w:pPr>
      <w:r>
        <w:rPr>
          <w:lang w:val="ru-RU"/>
        </w:rPr>
        <w:t>Через ча</w:t>
      </w:r>
      <w:r w:rsidR="00273D25">
        <w:rPr>
          <w:lang w:val="ru-RU"/>
        </w:rPr>
        <w:t>т</w:t>
      </w:r>
      <w:r>
        <w:rPr>
          <w:lang w:val="ru-RU"/>
        </w:rPr>
        <w:t xml:space="preserve"> нельзя просить предоставить слово. </w:t>
      </w:r>
    </w:p>
    <w:p w14:paraId="3E46C5BC" w14:textId="77777777" w:rsidR="006124AD" w:rsidRPr="006448CD" w:rsidRDefault="006124AD" w:rsidP="006124AD">
      <w:pPr>
        <w:rPr>
          <w:lang w:val="ru-RU"/>
        </w:rPr>
      </w:pPr>
      <w:bookmarkStart w:id="17" w:name="_Ref200056160"/>
      <w:r w:rsidRPr="006448CD">
        <w:rPr>
          <w:lang w:val="ru-RU"/>
        </w:rPr>
        <w:br w:type="page"/>
      </w:r>
    </w:p>
    <w:p w14:paraId="7D27541E" w14:textId="404F5398" w:rsidR="0086677D" w:rsidRPr="008677BA" w:rsidRDefault="001C4BB8" w:rsidP="006124AD">
      <w:pPr>
        <w:pStyle w:val="AnnexNo"/>
        <w:rPr>
          <w:lang w:val="ru-RU"/>
        </w:rPr>
      </w:pPr>
      <w:bookmarkStart w:id="18" w:name="Annex_1B"/>
      <w:r w:rsidRPr="008677BA">
        <w:rPr>
          <w:lang w:val="ru-RU"/>
        </w:rPr>
        <w:lastRenderedPageBreak/>
        <w:t xml:space="preserve">Приложение </w:t>
      </w:r>
      <w:r w:rsidR="0086677D" w:rsidRPr="008677BA">
        <w:rPr>
          <w:lang w:val="ru-RU"/>
        </w:rPr>
        <w:t xml:space="preserve">1 к Приложению </w:t>
      </w:r>
      <w:r w:rsidR="0086677D" w:rsidRPr="001C4BB8">
        <w:t>B</w:t>
      </w:r>
      <w:bookmarkEnd w:id="17"/>
    </w:p>
    <w:bookmarkEnd w:id="18"/>
    <w:p w14:paraId="68D30665" w14:textId="77777777" w:rsidR="0086677D" w:rsidRPr="0086677D" w:rsidRDefault="0086677D" w:rsidP="0086677D">
      <w:pPr>
        <w:pStyle w:val="Annextitle"/>
        <w:rPr>
          <w:lang w:val="ru-RU"/>
        </w:rPr>
      </w:pPr>
      <w:r>
        <w:rPr>
          <w:bCs/>
          <w:lang w:val="ru-RU"/>
        </w:rPr>
        <w:t>Текущая практика в отношении управления полностью виртуальными собраниями и очными собраниями с дистанционным участием</w:t>
      </w:r>
    </w:p>
    <w:p w14:paraId="02A94881" w14:textId="3CC2344E" w:rsidR="0086677D" w:rsidRPr="0086677D" w:rsidRDefault="0086677D" w:rsidP="007337B0">
      <w:pPr>
        <w:pStyle w:val="Normalaftertitle"/>
        <w:jc w:val="both"/>
        <w:rPr>
          <w:lang w:val="ru-RU"/>
        </w:rPr>
      </w:pPr>
      <w:r>
        <w:rPr>
          <w:lang w:val="ru-RU"/>
        </w:rPr>
        <w:t xml:space="preserve">Полный список документов, охватывающих существующие руководящие </w:t>
      </w:r>
      <w:r w:rsidR="008657E0">
        <w:rPr>
          <w:lang w:val="ru-RU"/>
        </w:rPr>
        <w:t>принципы в отношении</w:t>
      </w:r>
      <w:r>
        <w:rPr>
          <w:lang w:val="ru-RU"/>
        </w:rPr>
        <w:t xml:space="preserve"> проведени</w:t>
      </w:r>
      <w:r w:rsidR="008657E0">
        <w:rPr>
          <w:lang w:val="ru-RU"/>
        </w:rPr>
        <w:t>я</w:t>
      </w:r>
      <w:r>
        <w:rPr>
          <w:lang w:val="ru-RU"/>
        </w:rPr>
        <w:t xml:space="preserve"> полностью виртуальных собраний и собраний с дистанционным участием, был представлен на 17-м собрании РГС-ФЛР в январе 2024 года в Документе </w:t>
      </w:r>
      <w:hyperlink r:id="rId60" w:history="1">
        <w:r w:rsidRPr="005C2E6F">
          <w:rPr>
            <w:rStyle w:val="Hyperlink"/>
          </w:rPr>
          <w:t>CWG-FHR-17/INF/4</w:t>
        </w:r>
      </w:hyperlink>
      <w:r>
        <w:rPr>
          <w:lang w:val="ru-RU"/>
        </w:rPr>
        <w:t>.</w:t>
      </w:r>
    </w:p>
    <w:p w14:paraId="41DAFF74" w14:textId="20AD2029" w:rsidR="00C462C5" w:rsidRPr="0090397F" w:rsidRDefault="0086677D" w:rsidP="007337B0">
      <w:pPr>
        <w:jc w:val="both"/>
        <w:rPr>
          <w:lang w:val="ru-RU"/>
        </w:rPr>
      </w:pPr>
      <w:r>
        <w:rPr>
          <w:lang w:val="ru-RU"/>
        </w:rPr>
        <w:t xml:space="preserve">В Документе </w:t>
      </w:r>
      <w:hyperlink r:id="rId61" w:history="1">
        <w:r w:rsidRPr="005C2E6F">
          <w:rPr>
            <w:rStyle w:val="Hyperlink"/>
          </w:rPr>
          <w:t>CWG-FHR-20/3(Rev.2)</w:t>
        </w:r>
      </w:hyperlink>
      <w:r>
        <w:rPr>
          <w:lang w:val="ru-RU"/>
        </w:rPr>
        <w:t xml:space="preserve"> также содержатся дополнительные соображения относительно проведения полностью виртуальных собраний и очных собраний с дистанционным участием.</w:t>
      </w:r>
    </w:p>
    <w:p w14:paraId="0986D23C" w14:textId="77777777" w:rsidR="00796BD3" w:rsidRPr="00796BD3" w:rsidRDefault="00C462C5" w:rsidP="006124AD">
      <w:pPr>
        <w:spacing w:before="720"/>
        <w:jc w:val="center"/>
      </w:pPr>
      <w:r>
        <w:t>______________</w:t>
      </w:r>
    </w:p>
    <w:sectPr w:rsidR="00796BD3" w:rsidRPr="00796BD3" w:rsidSect="00796BD3">
      <w:footerReference w:type="default" r:id="rId62"/>
      <w:headerReference w:type="first" r:id="rId63"/>
      <w:footerReference w:type="first" r:id="rId6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7FFF" w14:textId="77777777" w:rsidR="003819E3" w:rsidRDefault="003819E3">
      <w:r>
        <w:separator/>
      </w:r>
    </w:p>
  </w:endnote>
  <w:endnote w:type="continuationSeparator" w:id="0">
    <w:p w14:paraId="421B170D" w14:textId="77777777" w:rsidR="003819E3" w:rsidRDefault="0038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30077C1" w14:textId="77777777" w:rsidTr="00E31DCE">
      <w:trPr>
        <w:jc w:val="center"/>
      </w:trPr>
      <w:tc>
        <w:tcPr>
          <w:tcW w:w="1803" w:type="dxa"/>
          <w:vAlign w:val="center"/>
        </w:tcPr>
        <w:p w14:paraId="45C10FFD" w14:textId="1DE41124" w:rsidR="00672F8A" w:rsidRPr="00236212" w:rsidRDefault="00672F8A" w:rsidP="00672F8A">
          <w:pPr>
            <w:pStyle w:val="Header"/>
            <w:jc w:val="left"/>
            <w:rPr>
              <w:noProof/>
              <w:lang w:val="ru-RU"/>
            </w:rPr>
          </w:pPr>
        </w:p>
      </w:tc>
      <w:tc>
        <w:tcPr>
          <w:tcW w:w="8261" w:type="dxa"/>
        </w:tcPr>
        <w:p w14:paraId="1A8F3567" w14:textId="3B5E11BD"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5C2E6F">
            <w:rPr>
              <w:bCs/>
              <w:lang w:val="ru-RU"/>
            </w:rPr>
            <w:t>50</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43FED798"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61412C7" w14:textId="77777777" w:rsidTr="00E31DCE">
      <w:trPr>
        <w:jc w:val="center"/>
      </w:trPr>
      <w:tc>
        <w:tcPr>
          <w:tcW w:w="1803" w:type="dxa"/>
          <w:vAlign w:val="center"/>
        </w:tcPr>
        <w:p w14:paraId="296E6472" w14:textId="77777777" w:rsidR="00672F8A" w:rsidRDefault="00D631AA" w:rsidP="00672F8A">
          <w:pPr>
            <w:pStyle w:val="Header"/>
            <w:jc w:val="left"/>
            <w:rPr>
              <w:noProof/>
            </w:rPr>
          </w:pPr>
          <w:r w:rsidRPr="00D631AA">
            <w:rPr>
              <w:color w:val="0563C1"/>
              <w:szCs w:val="14"/>
            </w:rPr>
            <w:t>council.itu.int/2025</w:t>
          </w:r>
        </w:p>
      </w:tc>
      <w:tc>
        <w:tcPr>
          <w:tcW w:w="8261" w:type="dxa"/>
        </w:tcPr>
        <w:p w14:paraId="0B10297B" w14:textId="7F9C46AB"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86677D">
            <w:rPr>
              <w:bCs/>
            </w:rPr>
            <w:t>50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4B210D8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7919" w14:textId="77777777" w:rsidR="003819E3" w:rsidRDefault="003819E3">
      <w:r>
        <w:t>____________________</w:t>
      </w:r>
    </w:p>
  </w:footnote>
  <w:footnote w:type="continuationSeparator" w:id="0">
    <w:p w14:paraId="3C40292F" w14:textId="77777777" w:rsidR="003819E3" w:rsidRDefault="003819E3">
      <w:r>
        <w:continuationSeparator/>
      </w:r>
    </w:p>
  </w:footnote>
  <w:footnote w:id="1">
    <w:p w14:paraId="3BC82D55" w14:textId="77777777" w:rsidR="0086677D" w:rsidRPr="0086677D" w:rsidRDefault="0086677D" w:rsidP="0086677D">
      <w:pPr>
        <w:pStyle w:val="FootnoteText"/>
        <w:spacing w:after="120"/>
        <w:rPr>
          <w:lang w:val="ru-RU"/>
        </w:rPr>
      </w:pPr>
      <w:r w:rsidRPr="6506BD36">
        <w:rPr>
          <w:rStyle w:val="FootnoteReference"/>
          <w:lang w:val="ru-RU"/>
        </w:rPr>
        <w:footnoteRef/>
      </w:r>
      <w:r>
        <w:rPr>
          <w:lang w:val="ru-RU"/>
        </w:rPr>
        <w:tab/>
        <w:t>В порядке разъяснения следует отметить, что веб-трансляции не входят в эту категорию.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2906DAA7" w14:textId="77777777" w:rsidTr="00156890">
      <w:trPr>
        <w:trHeight w:val="1104"/>
        <w:jc w:val="center"/>
      </w:trPr>
      <w:tc>
        <w:tcPr>
          <w:tcW w:w="6359" w:type="dxa"/>
          <w:vAlign w:val="center"/>
        </w:tcPr>
        <w:p w14:paraId="2EF833CF"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A920C5D" wp14:editId="4FF1349C">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02E868BD" w14:textId="77777777" w:rsidR="00156890" w:rsidRDefault="00156890" w:rsidP="00796BD3">
          <w:pPr>
            <w:pStyle w:val="Header"/>
            <w:jc w:val="right"/>
            <w:rPr>
              <w:rFonts w:ascii="Arial" w:hAnsi="Arial" w:cs="Arial"/>
              <w:b/>
              <w:bCs/>
              <w:color w:val="009CD6"/>
              <w:szCs w:val="18"/>
            </w:rPr>
          </w:pPr>
        </w:p>
      </w:tc>
    </w:tr>
  </w:tbl>
  <w:p w14:paraId="06FEF0CC"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7C2301" wp14:editId="7C57D180">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9219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26E7F5D"/>
    <w:multiLevelType w:val="hybridMultilevel"/>
    <w:tmpl w:val="D3447C30"/>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num w:numId="1" w16cid:durableId="1034693786">
    <w:abstractNumId w:val="0"/>
  </w:num>
  <w:num w:numId="2" w16cid:durableId="34212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7D"/>
    <w:rsid w:val="00005BE0"/>
    <w:rsid w:val="0001706C"/>
    <w:rsid w:val="0002183E"/>
    <w:rsid w:val="00026680"/>
    <w:rsid w:val="00033830"/>
    <w:rsid w:val="00045356"/>
    <w:rsid w:val="00047660"/>
    <w:rsid w:val="000569B4"/>
    <w:rsid w:val="0006007D"/>
    <w:rsid w:val="00060FBD"/>
    <w:rsid w:val="00080E82"/>
    <w:rsid w:val="00093454"/>
    <w:rsid w:val="000A0973"/>
    <w:rsid w:val="000A74D6"/>
    <w:rsid w:val="000B2DE7"/>
    <w:rsid w:val="000E568E"/>
    <w:rsid w:val="00102895"/>
    <w:rsid w:val="0010615F"/>
    <w:rsid w:val="001271EE"/>
    <w:rsid w:val="001276F2"/>
    <w:rsid w:val="0014229E"/>
    <w:rsid w:val="0014734F"/>
    <w:rsid w:val="00156890"/>
    <w:rsid w:val="0015710D"/>
    <w:rsid w:val="00163A32"/>
    <w:rsid w:val="00165041"/>
    <w:rsid w:val="00165D06"/>
    <w:rsid w:val="00192B41"/>
    <w:rsid w:val="00195483"/>
    <w:rsid w:val="001B7B09"/>
    <w:rsid w:val="001C2A1E"/>
    <w:rsid w:val="001C4BB8"/>
    <w:rsid w:val="001E1C35"/>
    <w:rsid w:val="001E6719"/>
    <w:rsid w:val="001E7F50"/>
    <w:rsid w:val="00214070"/>
    <w:rsid w:val="002229B7"/>
    <w:rsid w:val="00225368"/>
    <w:rsid w:val="00227FF0"/>
    <w:rsid w:val="00236170"/>
    <w:rsid w:val="00236212"/>
    <w:rsid w:val="00273D25"/>
    <w:rsid w:val="00291EB6"/>
    <w:rsid w:val="002C323B"/>
    <w:rsid w:val="002C3F32"/>
    <w:rsid w:val="002D2F57"/>
    <w:rsid w:val="002D48C5"/>
    <w:rsid w:val="0033025A"/>
    <w:rsid w:val="00345D2A"/>
    <w:rsid w:val="00374F56"/>
    <w:rsid w:val="003819E3"/>
    <w:rsid w:val="003D54B8"/>
    <w:rsid w:val="003E4005"/>
    <w:rsid w:val="003F099E"/>
    <w:rsid w:val="003F235E"/>
    <w:rsid w:val="00401FD7"/>
    <w:rsid w:val="004023E0"/>
    <w:rsid w:val="00403DD8"/>
    <w:rsid w:val="00442515"/>
    <w:rsid w:val="0045686C"/>
    <w:rsid w:val="0046474E"/>
    <w:rsid w:val="004918C4"/>
    <w:rsid w:val="00497703"/>
    <w:rsid w:val="004A0374"/>
    <w:rsid w:val="004A45B5"/>
    <w:rsid w:val="004A67AD"/>
    <w:rsid w:val="004D0129"/>
    <w:rsid w:val="00515795"/>
    <w:rsid w:val="005A64D5"/>
    <w:rsid w:val="005B3893"/>
    <w:rsid w:val="005B3DEC"/>
    <w:rsid w:val="005C2E6F"/>
    <w:rsid w:val="00601994"/>
    <w:rsid w:val="006124AD"/>
    <w:rsid w:val="006448CD"/>
    <w:rsid w:val="00660449"/>
    <w:rsid w:val="00672F8A"/>
    <w:rsid w:val="00673297"/>
    <w:rsid w:val="00696CD7"/>
    <w:rsid w:val="0069718C"/>
    <w:rsid w:val="006E2D42"/>
    <w:rsid w:val="00703676"/>
    <w:rsid w:val="00707304"/>
    <w:rsid w:val="00732269"/>
    <w:rsid w:val="007337B0"/>
    <w:rsid w:val="0074176F"/>
    <w:rsid w:val="00762555"/>
    <w:rsid w:val="0077110E"/>
    <w:rsid w:val="00785ABD"/>
    <w:rsid w:val="00796BD3"/>
    <w:rsid w:val="007A2DD4"/>
    <w:rsid w:val="007B3EB4"/>
    <w:rsid w:val="007D37F2"/>
    <w:rsid w:val="007D38B5"/>
    <w:rsid w:val="007E7EA0"/>
    <w:rsid w:val="00807255"/>
    <w:rsid w:val="0081023E"/>
    <w:rsid w:val="008173AA"/>
    <w:rsid w:val="00840A14"/>
    <w:rsid w:val="00843661"/>
    <w:rsid w:val="00861D01"/>
    <w:rsid w:val="008657E0"/>
    <w:rsid w:val="0086677D"/>
    <w:rsid w:val="008677BA"/>
    <w:rsid w:val="008B62B4"/>
    <w:rsid w:val="008D2D7B"/>
    <w:rsid w:val="008E0737"/>
    <w:rsid w:val="008F5DF5"/>
    <w:rsid w:val="008F7C2C"/>
    <w:rsid w:val="0090397F"/>
    <w:rsid w:val="009363E8"/>
    <w:rsid w:val="00940E96"/>
    <w:rsid w:val="009471BD"/>
    <w:rsid w:val="00950A82"/>
    <w:rsid w:val="009A22A5"/>
    <w:rsid w:val="009B0BAE"/>
    <w:rsid w:val="009C1C89"/>
    <w:rsid w:val="009F3448"/>
    <w:rsid w:val="009F4F92"/>
    <w:rsid w:val="00A01CF9"/>
    <w:rsid w:val="00A0572E"/>
    <w:rsid w:val="00A20B63"/>
    <w:rsid w:val="00A44A65"/>
    <w:rsid w:val="00A614AC"/>
    <w:rsid w:val="00A71773"/>
    <w:rsid w:val="00A751D2"/>
    <w:rsid w:val="00A871F9"/>
    <w:rsid w:val="00AC6619"/>
    <w:rsid w:val="00AE2C85"/>
    <w:rsid w:val="00B0107F"/>
    <w:rsid w:val="00B12A37"/>
    <w:rsid w:val="00B13CA6"/>
    <w:rsid w:val="00B41837"/>
    <w:rsid w:val="00B63EF2"/>
    <w:rsid w:val="00B72932"/>
    <w:rsid w:val="00B868E1"/>
    <w:rsid w:val="00B93D8D"/>
    <w:rsid w:val="00BA7D89"/>
    <w:rsid w:val="00BB6CD6"/>
    <w:rsid w:val="00BC0D39"/>
    <w:rsid w:val="00BC7BC0"/>
    <w:rsid w:val="00BD3FBB"/>
    <w:rsid w:val="00BD57B7"/>
    <w:rsid w:val="00BE63E2"/>
    <w:rsid w:val="00BF448F"/>
    <w:rsid w:val="00C37930"/>
    <w:rsid w:val="00C462C5"/>
    <w:rsid w:val="00CD2009"/>
    <w:rsid w:val="00CF5E21"/>
    <w:rsid w:val="00CF629C"/>
    <w:rsid w:val="00CF6348"/>
    <w:rsid w:val="00D631AA"/>
    <w:rsid w:val="00D92EEA"/>
    <w:rsid w:val="00DA5D4E"/>
    <w:rsid w:val="00DA770A"/>
    <w:rsid w:val="00DE2DBD"/>
    <w:rsid w:val="00E05752"/>
    <w:rsid w:val="00E176BA"/>
    <w:rsid w:val="00E423EC"/>
    <w:rsid w:val="00E55121"/>
    <w:rsid w:val="00E5588F"/>
    <w:rsid w:val="00E56300"/>
    <w:rsid w:val="00E7135C"/>
    <w:rsid w:val="00E818E3"/>
    <w:rsid w:val="00EB4FCB"/>
    <w:rsid w:val="00EC3512"/>
    <w:rsid w:val="00EC6BC5"/>
    <w:rsid w:val="00F348D0"/>
    <w:rsid w:val="00F35898"/>
    <w:rsid w:val="00F5225B"/>
    <w:rsid w:val="00F61BE2"/>
    <w:rsid w:val="00FB404F"/>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1B825"/>
  <w15:docId w15:val="{20010042-9FD3-6B43-A43D-99447F3C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qFormat/>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7337B0"/>
    <w:rPr>
      <w:color w:val="0070C0"/>
      <w:u w:val="single"/>
      <w:lang w:val="ru-RU"/>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qFormat/>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227FF0"/>
    <w:pPr>
      <w:keepNext/>
      <w:keepLines/>
      <w:spacing w:before="480" w:after="80"/>
      <w:jc w:val="center"/>
    </w:pPr>
    <w:rPr>
      <w:caps/>
      <w:sz w:val="26"/>
    </w:rPr>
  </w:style>
  <w:style w:type="paragraph" w:customStyle="1" w:styleId="Annextitle">
    <w:name w:val="Annex_title"/>
    <w:basedOn w:val="Normal"/>
    <w:next w:val="Annexref"/>
    <w:qFormat/>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paragraph" w:customStyle="1" w:styleId="Tablefin">
    <w:name w:val="Table_fin"/>
    <w:basedOn w:val="Tabletext"/>
    <w:rsid w:val="0086677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sz w:val="22"/>
      <w:lang w:val="en-US"/>
    </w:rPr>
  </w:style>
  <w:style w:type="character" w:customStyle="1" w:styleId="FootnoteTextChar">
    <w:name w:val="Footnote Text Char"/>
    <w:basedOn w:val="DefaultParagraphFont"/>
    <w:link w:val="FootnoteText"/>
    <w:uiPriority w:val="99"/>
    <w:rsid w:val="0086677D"/>
    <w:rPr>
      <w:rFonts w:ascii="Calibri" w:hAnsi="Calibri"/>
      <w:lang w:val="en-GB" w:eastAsia="en-US"/>
    </w:rPr>
  </w:style>
  <w:style w:type="character" w:customStyle="1" w:styleId="NormalaftertitleChar">
    <w:name w:val="Normal after title Char"/>
    <w:basedOn w:val="DefaultParagraphFont"/>
    <w:link w:val="Normalaftertitle"/>
    <w:locked/>
    <w:rsid w:val="0086677D"/>
    <w:rPr>
      <w:rFonts w:ascii="Calibri" w:hAnsi="Calibri"/>
      <w:sz w:val="22"/>
      <w:lang w:val="en-GB" w:eastAsia="en-US"/>
    </w:rPr>
  </w:style>
  <w:style w:type="character" w:customStyle="1" w:styleId="enumlev1Char">
    <w:name w:val="enumlev1 Char"/>
    <w:link w:val="enumlev1"/>
    <w:qFormat/>
    <w:rsid w:val="0086677D"/>
    <w:rPr>
      <w:rFonts w:ascii="Calibri" w:hAnsi="Calibri"/>
      <w:sz w:val="22"/>
      <w:lang w:val="en-GB" w:eastAsia="en-US"/>
    </w:rPr>
  </w:style>
  <w:style w:type="character" w:customStyle="1" w:styleId="HeadingbChar">
    <w:name w:val="Heading_b Char"/>
    <w:basedOn w:val="DefaultParagraphFont"/>
    <w:link w:val="Headingb"/>
    <w:locked/>
    <w:rsid w:val="0086677D"/>
    <w:rPr>
      <w:rFonts w:ascii="Calibri" w:hAnsi="Calibri"/>
      <w:b/>
      <w:sz w:val="22"/>
      <w:lang w:val="en-GB" w:eastAsia="en-US"/>
    </w:rPr>
  </w:style>
  <w:style w:type="character" w:styleId="CommentReference">
    <w:name w:val="annotation reference"/>
    <w:basedOn w:val="DefaultParagraphFont"/>
    <w:semiHidden/>
    <w:unhideWhenUsed/>
    <w:rsid w:val="005C2E6F"/>
    <w:rPr>
      <w:sz w:val="16"/>
      <w:szCs w:val="16"/>
    </w:rPr>
  </w:style>
  <w:style w:type="paragraph" w:styleId="CommentText">
    <w:name w:val="annotation text"/>
    <w:basedOn w:val="Normal"/>
    <w:link w:val="CommentTextChar"/>
    <w:semiHidden/>
    <w:unhideWhenUsed/>
    <w:rsid w:val="005C2E6F"/>
    <w:rPr>
      <w:sz w:val="20"/>
    </w:rPr>
  </w:style>
  <w:style w:type="character" w:customStyle="1" w:styleId="CommentTextChar">
    <w:name w:val="Comment Text Char"/>
    <w:basedOn w:val="DefaultParagraphFont"/>
    <w:link w:val="CommentText"/>
    <w:semiHidden/>
    <w:rsid w:val="005C2E6F"/>
    <w:rPr>
      <w:rFonts w:ascii="Calibri" w:hAnsi="Calibri"/>
      <w:lang w:val="en-GB" w:eastAsia="en-US"/>
    </w:rPr>
  </w:style>
  <w:style w:type="paragraph" w:styleId="CommentSubject">
    <w:name w:val="annotation subject"/>
    <w:basedOn w:val="CommentText"/>
    <w:next w:val="CommentText"/>
    <w:link w:val="CommentSubjectChar"/>
    <w:semiHidden/>
    <w:unhideWhenUsed/>
    <w:rsid w:val="005C2E6F"/>
    <w:rPr>
      <w:b/>
      <w:bCs/>
    </w:rPr>
  </w:style>
  <w:style w:type="character" w:customStyle="1" w:styleId="CommentSubjectChar">
    <w:name w:val="Comment Subject Char"/>
    <w:basedOn w:val="CommentTextChar"/>
    <w:link w:val="CommentSubject"/>
    <w:semiHidden/>
    <w:rsid w:val="005C2E6F"/>
    <w:rPr>
      <w:rFonts w:ascii="Calibri" w:hAnsi="Calibri"/>
      <w:b/>
      <w:bCs/>
      <w:lang w:val="en-GB" w:eastAsia="en-US"/>
    </w:rPr>
  </w:style>
  <w:style w:type="character" w:styleId="UnresolvedMention">
    <w:name w:val="Unresolved Mention"/>
    <w:basedOn w:val="DefaultParagraphFont"/>
    <w:uiPriority w:val="99"/>
    <w:semiHidden/>
    <w:unhideWhenUsed/>
    <w:rsid w:val="005C2E6F"/>
    <w:rPr>
      <w:color w:val="605E5C"/>
      <w:shd w:val="clear" w:color="auto" w:fill="E1DFDD"/>
    </w:rPr>
  </w:style>
  <w:style w:type="paragraph" w:styleId="Revision">
    <w:name w:val="Revision"/>
    <w:hidden/>
    <w:uiPriority w:val="99"/>
    <w:semiHidden/>
    <w:rsid w:val="008F5DF5"/>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261381">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2045054646">
      <w:bodyDiv w:val="1"/>
      <w:marLeft w:val="0"/>
      <w:marRight w:val="0"/>
      <w:marTop w:val="0"/>
      <w:marBottom w:val="0"/>
      <w:divBdr>
        <w:top w:val="none" w:sz="0" w:space="0" w:color="auto"/>
        <w:left w:val="none" w:sz="0" w:space="0" w:color="auto"/>
        <w:bottom w:val="none" w:sz="0" w:space="0" w:color="auto"/>
        <w:right w:val="none" w:sz="0" w:space="0" w:color="auto"/>
      </w:divBdr>
      <w:divsChild>
        <w:div w:id="258366836">
          <w:marLeft w:val="0"/>
          <w:marRight w:val="0"/>
          <w:marTop w:val="0"/>
          <w:marBottom w:val="0"/>
          <w:divBdr>
            <w:top w:val="none" w:sz="0" w:space="0" w:color="auto"/>
            <w:left w:val="none" w:sz="0" w:space="0" w:color="auto"/>
            <w:bottom w:val="none" w:sz="0" w:space="0" w:color="auto"/>
            <w:right w:val="none" w:sz="0" w:space="0" w:color="auto"/>
          </w:divBdr>
          <w:divsChild>
            <w:div w:id="390663496">
              <w:marLeft w:val="0"/>
              <w:marRight w:val="0"/>
              <w:marTop w:val="0"/>
              <w:marBottom w:val="0"/>
              <w:divBdr>
                <w:top w:val="none" w:sz="0" w:space="0" w:color="auto"/>
                <w:left w:val="none" w:sz="0" w:space="0" w:color="auto"/>
                <w:bottom w:val="none" w:sz="0" w:space="0" w:color="auto"/>
                <w:right w:val="none" w:sz="0" w:space="0" w:color="auto"/>
              </w:divBdr>
            </w:div>
          </w:divsChild>
        </w:div>
        <w:div w:id="1015763674">
          <w:marLeft w:val="0"/>
          <w:marRight w:val="0"/>
          <w:marTop w:val="0"/>
          <w:marBottom w:val="0"/>
          <w:divBdr>
            <w:top w:val="none" w:sz="0" w:space="0" w:color="auto"/>
            <w:left w:val="none" w:sz="0" w:space="0" w:color="auto"/>
            <w:bottom w:val="none" w:sz="0" w:space="0" w:color="auto"/>
            <w:right w:val="none" w:sz="0" w:space="0" w:color="auto"/>
          </w:divBdr>
          <w:divsChild>
            <w:div w:id="1628387961">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WGFHR20-C-0010/en" TargetMode="External"/><Relationship Id="rId21" Type="http://schemas.openxmlformats.org/officeDocument/2006/relationships/hyperlink" Target="https://www.itu.int/en/council/Documents/basic-texts-2023/RES-167-R.pdf" TargetMode="External"/><Relationship Id="rId34" Type="http://schemas.openxmlformats.org/officeDocument/2006/relationships/hyperlink" Target="https://www.itu.int/md/S22-CL-C-0100/en" TargetMode="External"/><Relationship Id="rId42" Type="http://schemas.openxmlformats.org/officeDocument/2006/relationships/hyperlink" Target="https://www.itu.int/md/S25-CWGFHR20-C-0013/en" TargetMode="External"/><Relationship Id="rId47" Type="http://schemas.openxmlformats.org/officeDocument/2006/relationships/hyperlink" Target="https://www.itu.int/md/S25-CWGFHR20-C-0027/en" TargetMode="External"/><Relationship Id="rId50" Type="http://schemas.openxmlformats.org/officeDocument/2006/relationships/hyperlink" Target="https://www.itu.int/md/S25-CWGFHR20-INF-0002/en" TargetMode="External"/><Relationship Id="rId55" Type="http://schemas.openxmlformats.org/officeDocument/2006/relationships/hyperlink" Target="https://www.itu.int/md/S25-CWGFHR20-C-0025/en"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CL-C-0049/en" TargetMode="External"/><Relationship Id="rId29" Type="http://schemas.openxmlformats.org/officeDocument/2006/relationships/hyperlink" Target="https://www.itu.int/md/S25-CWGFHR20-C-0029/en" TargetMode="External"/><Relationship Id="rId11" Type="http://schemas.openxmlformats.org/officeDocument/2006/relationships/hyperlink" Target="https://www.itu.int/md/S23-CL-C-0129/en" TargetMode="External"/><Relationship Id="rId24" Type="http://schemas.openxmlformats.org/officeDocument/2006/relationships/hyperlink" Target="https://www.itu.int/md/S25-CWGFHR20-C-0014/en" TargetMode="External"/><Relationship Id="rId32" Type="http://schemas.openxmlformats.org/officeDocument/2006/relationships/hyperlink" Target="https://www.itu.int/md/S24-CWGFHR19-C-0009/en" TargetMode="External"/><Relationship Id="rId37" Type="http://schemas.openxmlformats.org/officeDocument/2006/relationships/hyperlink" Target="https://www.itu.int/md/S25-CWGFHR20-C-0031/en" TargetMode="External"/><Relationship Id="rId40" Type="http://schemas.openxmlformats.org/officeDocument/2006/relationships/hyperlink" Target="https://www.itu.int/md/S25-CWGFHR20-C-0022/en" TargetMode="External"/><Relationship Id="rId45" Type="http://schemas.openxmlformats.org/officeDocument/2006/relationships/hyperlink" Target="https://www.itu.int/md/S25-CWGFHR20-C-0007/en" TargetMode="External"/><Relationship Id="rId53" Type="http://schemas.openxmlformats.org/officeDocument/2006/relationships/hyperlink" Target="https://www.itu.int/md/S25-CWGFHR20-C-0014/en" TargetMode="External"/><Relationship Id="rId58" Type="http://schemas.openxmlformats.org/officeDocument/2006/relationships/hyperlink" Target="https://www.itu.int/md/S25-CWGFHR20-INF-0001/e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25-CWGFHR20-C-0003/en" TargetMode="External"/><Relationship Id="rId19" Type="http://schemas.openxmlformats.org/officeDocument/2006/relationships/hyperlink" Target="https://www.itu.int/md/S24-CWGFHR19-241007-TD-0002/en" TargetMode="External"/><Relationship Id="rId14" Type="http://schemas.openxmlformats.org/officeDocument/2006/relationships/hyperlink" Target="https://www.itu.int/md/S25-CWGFHR20-250217-TD-0001/en" TargetMode="External"/><Relationship Id="rId22" Type="http://schemas.openxmlformats.org/officeDocument/2006/relationships/hyperlink" Target="https://www.itu.int/md/S25-CWGFHR20-C-0005/en" TargetMode="External"/><Relationship Id="rId27" Type="http://schemas.openxmlformats.org/officeDocument/2006/relationships/hyperlink" Target="https://www.itu.int/md/S25-CWGFHR20-C-0023/en" TargetMode="External"/><Relationship Id="rId30" Type="http://schemas.openxmlformats.org/officeDocument/2006/relationships/hyperlink" Target="https://www.itu.int/md/S25-CWGFHR20-C-0017/en" TargetMode="External"/><Relationship Id="rId35" Type="http://schemas.openxmlformats.org/officeDocument/2006/relationships/hyperlink" Target="https://www.itu.int/md/S25-CWGFHR20-C-0020/en" TargetMode="External"/><Relationship Id="rId43" Type="http://schemas.openxmlformats.org/officeDocument/2006/relationships/hyperlink" Target="https://www.itu.int/md/S25-CWGFHR20-C-0030/en" TargetMode="External"/><Relationship Id="rId48" Type="http://schemas.openxmlformats.org/officeDocument/2006/relationships/hyperlink" Target="https://www.itu.int/md/S25-CWGFHR20-C-0008/en" TargetMode="External"/><Relationship Id="rId56" Type="http://schemas.openxmlformats.org/officeDocument/2006/relationships/hyperlink" Target="https://www.itu.int/md/S25-CWGFHR20-C-0025/en" TargetMode="External"/><Relationship Id="rId64" Type="http://schemas.openxmlformats.org/officeDocument/2006/relationships/footer" Target="footer2.xml"/><Relationship Id="rId8" Type="http://schemas.openxmlformats.org/officeDocument/2006/relationships/hyperlink" Target="https://www.itu.int/md/S24-CWGFHR19-C-0015/en" TargetMode="External"/><Relationship Id="rId51" Type="http://schemas.openxmlformats.org/officeDocument/2006/relationships/hyperlink" Target="https://www.itu.int/md/S25-CWGFHR20-C-0018/en" TargetMode="External"/><Relationship Id="rId3" Type="http://schemas.openxmlformats.org/officeDocument/2006/relationships/styles" Target="styles.xml"/><Relationship Id="rId12" Type="http://schemas.openxmlformats.org/officeDocument/2006/relationships/hyperlink" Target="https://www.itu.int/md/S25-CWGFHR20-C-0021/en" TargetMode="External"/><Relationship Id="rId17" Type="http://schemas.openxmlformats.org/officeDocument/2006/relationships/hyperlink" Target="https://www.itu.int/md/S24-CWGFHR19-241007-TD-0002/en" TargetMode="External"/><Relationship Id="rId25" Type="http://schemas.openxmlformats.org/officeDocument/2006/relationships/hyperlink" Target="https://www.itu.int/md/S25-CWGFHR20-C-0015/en" TargetMode="External"/><Relationship Id="rId33" Type="http://schemas.openxmlformats.org/officeDocument/2006/relationships/hyperlink" Target="https://www.itu.int/md/S24-CWGFHR17-C-0015/en" TargetMode="External"/><Relationship Id="rId38" Type="http://schemas.openxmlformats.org/officeDocument/2006/relationships/hyperlink" Target="https://www.itu.int/md/S25-CWGFHR20-C-0012/en" TargetMode="External"/><Relationship Id="rId46" Type="http://schemas.openxmlformats.org/officeDocument/2006/relationships/hyperlink" Target="https://www.itu.int/md/S25-CWGFHR20-C-0008/en" TargetMode="External"/><Relationship Id="rId59" Type="http://schemas.openxmlformats.org/officeDocument/2006/relationships/hyperlink" Target="https://www.itu.int/md/S25-CWGFHR20-C-0024/en" TargetMode="External"/><Relationship Id="rId20" Type="http://schemas.openxmlformats.org/officeDocument/2006/relationships/hyperlink" Target="https://www.itu.int/md/S25-CWGFHR20-C-0003/en" TargetMode="External"/><Relationship Id="rId41" Type="http://schemas.openxmlformats.org/officeDocument/2006/relationships/hyperlink" Target="https://www.itu.int/md/S25-CWGFHR20-C-0028/en" TargetMode="External"/><Relationship Id="rId54" Type="http://schemas.openxmlformats.org/officeDocument/2006/relationships/image" Target="media/image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5-CWGFHR20-C-0004/en" TargetMode="External"/><Relationship Id="rId23" Type="http://schemas.openxmlformats.org/officeDocument/2006/relationships/hyperlink" Target="https://www.itu.int/en/council/Documents/2025/Speech-TSB-Director-to-CWG-FHR.pdf" TargetMode="External"/><Relationship Id="rId28" Type="http://schemas.openxmlformats.org/officeDocument/2006/relationships/hyperlink" Target="https://www.itu.int/md/S25-CWGFHR20-C-0006/en" TargetMode="External"/><Relationship Id="rId36" Type="http://schemas.openxmlformats.org/officeDocument/2006/relationships/hyperlink" Target="https://www.itu.int/md/S25-CWGFHR20-C-0031/en" TargetMode="External"/><Relationship Id="rId49" Type="http://schemas.openxmlformats.org/officeDocument/2006/relationships/hyperlink" Target="https://www.itu.int/md/S25-CWGFHR20-C-0009/en" TargetMode="External"/><Relationship Id="rId57" Type="http://schemas.openxmlformats.org/officeDocument/2006/relationships/hyperlink" Target="https://www.itu.int/md/S25-CWGFHR20-C-0019/en" TargetMode="External"/><Relationship Id="rId10" Type="http://schemas.openxmlformats.org/officeDocument/2006/relationships/hyperlink" Target="https://www.itu.int/md/S24-CL-C-0050/en" TargetMode="External"/><Relationship Id="rId31" Type="http://schemas.openxmlformats.org/officeDocument/2006/relationships/hyperlink" Target="https://www.itu.int/md/S25-CWGFHR20-C-0026/en" TargetMode="External"/><Relationship Id="rId44" Type="http://schemas.openxmlformats.org/officeDocument/2006/relationships/hyperlink" Target="https://www.itu.int/md/S25-CWGFHR20-C-0007/en" TargetMode="External"/><Relationship Id="rId52" Type="http://schemas.openxmlformats.org/officeDocument/2006/relationships/hyperlink" Target="https://www.itu.int/md/S25-CWGFHR20-C-0018/en" TargetMode="External"/><Relationship Id="rId60" Type="http://schemas.openxmlformats.org/officeDocument/2006/relationships/hyperlink" Target="https://www.itu.int/md/S24-CWGFHR17-INF-0004/e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5-CWGFHR20-C-0032/en" TargetMode="External"/><Relationship Id="rId13" Type="http://schemas.openxmlformats.org/officeDocument/2006/relationships/hyperlink" Target="https://www.itu.int/md/S25-CWGFHR20-C-0002/en" TargetMode="External"/><Relationship Id="rId18" Type="http://schemas.openxmlformats.org/officeDocument/2006/relationships/hyperlink" Target="https://www.itu.int/md/S24-CL-C-0049/en" TargetMode="External"/><Relationship Id="rId39" Type="http://schemas.openxmlformats.org/officeDocument/2006/relationships/hyperlink" Target="https://www.itu.int/md/S25-CWGFHR20-C-001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EFFB-8C26-4DB6-91BF-72D3C271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PR_Council25.dotx</Template>
  <TotalTime>7</TotalTime>
  <Pages>37</Pages>
  <Words>13200</Words>
  <Characters>95158</Characters>
  <Application>Microsoft Office Word</Application>
  <DocSecurity>0</DocSecurity>
  <Lines>1585</Lines>
  <Paragraphs>488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107870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19th and 20th meetings of the Council Working Group on financial and human resources</dc:title>
  <dc:subject>ITU Council 2025</dc:subject>
  <cp:keywords>C2025, C25, Council-25</cp:keywords>
  <dc:description/>
  <cp:lastPrinted>2006-03-28T16:12:00Z</cp:lastPrinted>
  <dcterms:created xsi:type="dcterms:W3CDTF">2025-06-11T08:01:00Z</dcterms:created>
  <dcterms:modified xsi:type="dcterms:W3CDTF">2025-06-11T08:08:00Z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