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2C59E7" w:rsidRPr="00BB6FD8" w14:paraId="3FA9C9E2" w14:textId="77777777" w:rsidTr="00C538FC">
        <w:trPr>
          <w:cantSplit/>
          <w:trHeight w:val="23"/>
        </w:trPr>
        <w:tc>
          <w:tcPr>
            <w:tcW w:w="3969" w:type="dxa"/>
            <w:vMerge w:val="restart"/>
            <w:tcMar>
              <w:left w:w="0" w:type="dxa"/>
            </w:tcMar>
          </w:tcPr>
          <w:p w14:paraId="2949F853" w14:textId="1002CFD6" w:rsidR="002C59E7" w:rsidRPr="00BB6FD8" w:rsidRDefault="002C59E7" w:rsidP="002C59E7">
            <w:pPr>
              <w:tabs>
                <w:tab w:val="left" w:pos="851"/>
              </w:tabs>
              <w:spacing w:before="0" w:line="240" w:lineRule="atLeast"/>
              <w:rPr>
                <w:b/>
              </w:rPr>
            </w:pPr>
            <w:bookmarkStart w:id="0" w:name="_Hlk133421839"/>
            <w:r w:rsidRPr="00BB6FD8">
              <w:rPr>
                <w:b/>
              </w:rPr>
              <w:t>Orden del día:</w:t>
            </w:r>
            <w:r w:rsidR="009A6DD1" w:rsidRPr="0030105A">
              <w:rPr>
                <w:b/>
                <w:bCs/>
                <w:noProof/>
                <w:color w:val="000000"/>
                <w:lang w:val="es-ES"/>
              </w:rPr>
              <w:t xml:space="preserve"> ADM 1</w:t>
            </w:r>
          </w:p>
        </w:tc>
        <w:tc>
          <w:tcPr>
            <w:tcW w:w="5245" w:type="dxa"/>
          </w:tcPr>
          <w:p w14:paraId="15C8491E" w14:textId="70AEFCFF" w:rsidR="002C59E7" w:rsidRPr="00BB6FD8" w:rsidRDefault="002C59E7" w:rsidP="002C59E7">
            <w:pPr>
              <w:tabs>
                <w:tab w:val="left" w:pos="851"/>
              </w:tabs>
              <w:spacing w:before="0" w:line="240" w:lineRule="atLeast"/>
              <w:jc w:val="right"/>
              <w:rPr>
                <w:b/>
              </w:rPr>
            </w:pPr>
            <w:r w:rsidRPr="0030105A">
              <w:rPr>
                <w:b/>
                <w:bCs/>
                <w:noProof/>
                <w:color w:val="000000"/>
                <w:lang w:val="es-ES"/>
              </w:rPr>
              <w:t>Documento C25/47-S</w:t>
            </w:r>
          </w:p>
        </w:tc>
      </w:tr>
      <w:tr w:rsidR="002C59E7" w:rsidRPr="00666D09" w14:paraId="7E82328E" w14:textId="77777777" w:rsidTr="00C538FC">
        <w:trPr>
          <w:cantSplit/>
        </w:trPr>
        <w:tc>
          <w:tcPr>
            <w:tcW w:w="3969" w:type="dxa"/>
            <w:vMerge/>
          </w:tcPr>
          <w:p w14:paraId="6FB2AF9A" w14:textId="77777777" w:rsidR="002C59E7" w:rsidRPr="00BB6FD8" w:rsidRDefault="002C59E7" w:rsidP="002C59E7">
            <w:pPr>
              <w:tabs>
                <w:tab w:val="left" w:pos="851"/>
              </w:tabs>
              <w:spacing w:line="240" w:lineRule="atLeast"/>
              <w:rPr>
                <w:b/>
              </w:rPr>
            </w:pPr>
          </w:p>
        </w:tc>
        <w:tc>
          <w:tcPr>
            <w:tcW w:w="5245" w:type="dxa"/>
          </w:tcPr>
          <w:p w14:paraId="3507923E" w14:textId="40E00A72" w:rsidR="002C59E7" w:rsidRPr="00666D09" w:rsidRDefault="002C59E7" w:rsidP="002C59E7">
            <w:pPr>
              <w:tabs>
                <w:tab w:val="left" w:pos="851"/>
              </w:tabs>
              <w:spacing w:before="0"/>
              <w:jc w:val="right"/>
              <w:rPr>
                <w:b/>
                <w:lang w:val="en-GB"/>
              </w:rPr>
            </w:pPr>
            <w:r w:rsidRPr="0030105A">
              <w:rPr>
                <w:b/>
                <w:bCs/>
                <w:noProof/>
                <w:color w:val="000000"/>
                <w:lang w:val="es-ES"/>
              </w:rPr>
              <w:t>29 de abril de 2025</w:t>
            </w:r>
          </w:p>
        </w:tc>
      </w:tr>
      <w:tr w:rsidR="002C59E7" w:rsidRPr="00BB6FD8" w14:paraId="4E4F1683" w14:textId="77777777" w:rsidTr="00C538FC">
        <w:trPr>
          <w:cantSplit/>
          <w:trHeight w:val="23"/>
        </w:trPr>
        <w:tc>
          <w:tcPr>
            <w:tcW w:w="3969" w:type="dxa"/>
            <w:vMerge/>
          </w:tcPr>
          <w:p w14:paraId="63DA7037" w14:textId="77777777" w:rsidR="002C59E7" w:rsidRPr="00666D09" w:rsidRDefault="002C59E7" w:rsidP="002C59E7">
            <w:pPr>
              <w:tabs>
                <w:tab w:val="left" w:pos="851"/>
              </w:tabs>
              <w:spacing w:line="240" w:lineRule="atLeast"/>
              <w:rPr>
                <w:b/>
                <w:lang w:val="en-GB"/>
              </w:rPr>
            </w:pPr>
          </w:p>
        </w:tc>
        <w:tc>
          <w:tcPr>
            <w:tcW w:w="5245" w:type="dxa"/>
          </w:tcPr>
          <w:p w14:paraId="4E0FC6EB" w14:textId="3458552C" w:rsidR="002C59E7" w:rsidRPr="00BB6FD8" w:rsidRDefault="002C59E7" w:rsidP="002C59E7">
            <w:pPr>
              <w:tabs>
                <w:tab w:val="left" w:pos="851"/>
              </w:tabs>
              <w:spacing w:before="0" w:line="240" w:lineRule="atLeast"/>
              <w:jc w:val="right"/>
              <w:rPr>
                <w:b/>
                <w:bCs/>
              </w:rPr>
            </w:pPr>
            <w:r w:rsidRPr="0030105A">
              <w:rPr>
                <w:b/>
                <w:bCs/>
                <w:noProof/>
                <w:color w:val="000000"/>
                <w:lang w:val="es-ES"/>
              </w:rPr>
              <w:t>Original: inglés</w:t>
            </w:r>
          </w:p>
        </w:tc>
      </w:tr>
      <w:tr w:rsidR="00FE57F6" w:rsidRPr="00BB6FD8" w14:paraId="7851D6B6" w14:textId="77777777" w:rsidTr="00C538FC">
        <w:trPr>
          <w:cantSplit/>
          <w:trHeight w:val="23"/>
        </w:trPr>
        <w:tc>
          <w:tcPr>
            <w:tcW w:w="3969" w:type="dxa"/>
          </w:tcPr>
          <w:p w14:paraId="4B1F8411" w14:textId="77777777" w:rsidR="00FE57F6" w:rsidRPr="00BB6FD8" w:rsidRDefault="00FE57F6" w:rsidP="00C538FC">
            <w:pPr>
              <w:tabs>
                <w:tab w:val="left" w:pos="851"/>
              </w:tabs>
              <w:spacing w:line="240" w:lineRule="atLeast"/>
              <w:rPr>
                <w:b/>
              </w:rPr>
            </w:pPr>
          </w:p>
        </w:tc>
        <w:tc>
          <w:tcPr>
            <w:tcW w:w="5245" w:type="dxa"/>
          </w:tcPr>
          <w:p w14:paraId="131A7046" w14:textId="77777777" w:rsidR="00FE57F6" w:rsidRPr="00BB6FD8" w:rsidRDefault="00FE57F6" w:rsidP="00C538FC">
            <w:pPr>
              <w:tabs>
                <w:tab w:val="left" w:pos="851"/>
              </w:tabs>
              <w:spacing w:before="0" w:line="240" w:lineRule="atLeast"/>
              <w:jc w:val="right"/>
              <w:rPr>
                <w:b/>
              </w:rPr>
            </w:pPr>
          </w:p>
        </w:tc>
      </w:tr>
      <w:tr w:rsidR="00FE57F6" w:rsidRPr="00BB6FD8" w14:paraId="00D92A0E" w14:textId="77777777" w:rsidTr="00C538FC">
        <w:trPr>
          <w:cantSplit/>
        </w:trPr>
        <w:tc>
          <w:tcPr>
            <w:tcW w:w="9214" w:type="dxa"/>
            <w:gridSpan w:val="2"/>
            <w:tcMar>
              <w:left w:w="0" w:type="dxa"/>
            </w:tcMar>
          </w:tcPr>
          <w:p w14:paraId="76A7078A" w14:textId="77777777" w:rsidR="00FE57F6" w:rsidRPr="00BB6FD8" w:rsidRDefault="00157AC4" w:rsidP="00C538FC">
            <w:pPr>
              <w:pStyle w:val="Source"/>
              <w:jc w:val="left"/>
              <w:rPr>
                <w:sz w:val="34"/>
                <w:szCs w:val="34"/>
              </w:rPr>
            </w:pPr>
            <w:r>
              <w:rPr>
                <w:rFonts w:cstheme="minorHAnsi"/>
                <w:sz w:val="34"/>
                <w:szCs w:val="34"/>
              </w:rPr>
              <w:t>Informe de la Secretaria General</w:t>
            </w:r>
          </w:p>
        </w:tc>
      </w:tr>
      <w:tr w:rsidR="002C59E7" w:rsidRPr="00BB6FD8" w14:paraId="74C78D92" w14:textId="77777777" w:rsidTr="00C538FC">
        <w:trPr>
          <w:cantSplit/>
        </w:trPr>
        <w:tc>
          <w:tcPr>
            <w:tcW w:w="9214" w:type="dxa"/>
            <w:gridSpan w:val="2"/>
            <w:tcMar>
              <w:left w:w="0" w:type="dxa"/>
            </w:tcMar>
          </w:tcPr>
          <w:p w14:paraId="262F0460" w14:textId="51A42729" w:rsidR="002C59E7" w:rsidRPr="00F92BED" w:rsidRDefault="00F8472A" w:rsidP="00163F01">
            <w:pPr>
              <w:pStyle w:val="Subtitle"/>
              <w:framePr w:hSpace="0" w:wrap="auto" w:vAnchor="margin" w:hAnchor="text" w:xAlign="left" w:yAlign="inline"/>
            </w:pPr>
            <w:r w:rsidRPr="0030105A">
              <w:rPr>
                <w:noProof/>
                <w:lang w:val="es-ES"/>
              </w:rPr>
              <w:t xml:space="preserve">PROYECTO </w:t>
            </w:r>
            <w:r w:rsidRPr="00163F01">
              <w:t>DE</w:t>
            </w:r>
            <w:r w:rsidRPr="0030105A">
              <w:rPr>
                <w:noProof/>
                <w:lang w:val="es-ES"/>
              </w:rPr>
              <w:t xml:space="preserve"> PRESUPUESTO BIENAL DE LA UNIÓN PARA 2026-2027</w:t>
            </w:r>
          </w:p>
        </w:tc>
      </w:tr>
      <w:tr w:rsidR="002C59E7" w:rsidRPr="00BB6FD8" w14:paraId="73A194F4" w14:textId="77777777" w:rsidTr="00C538FC">
        <w:trPr>
          <w:cantSplit/>
        </w:trPr>
        <w:tc>
          <w:tcPr>
            <w:tcW w:w="9214" w:type="dxa"/>
            <w:gridSpan w:val="2"/>
            <w:tcBorders>
              <w:top w:val="single" w:sz="4" w:space="0" w:color="auto"/>
              <w:bottom w:val="single" w:sz="4" w:space="0" w:color="auto"/>
            </w:tcBorders>
            <w:tcMar>
              <w:left w:w="0" w:type="dxa"/>
            </w:tcMar>
          </w:tcPr>
          <w:p w14:paraId="557E6DC2" w14:textId="77777777" w:rsidR="002C59E7" w:rsidRPr="00BB6FD8" w:rsidRDefault="002C59E7" w:rsidP="002C59E7">
            <w:pPr>
              <w:spacing w:before="160"/>
              <w:rPr>
                <w:b/>
                <w:bCs/>
                <w:sz w:val="26"/>
                <w:szCs w:val="26"/>
              </w:rPr>
            </w:pPr>
            <w:r w:rsidRPr="00BB6FD8">
              <w:rPr>
                <w:b/>
                <w:bCs/>
                <w:sz w:val="26"/>
                <w:szCs w:val="26"/>
              </w:rPr>
              <w:t>Finalidad</w:t>
            </w:r>
          </w:p>
          <w:p w14:paraId="6E457CB2" w14:textId="66BE685C" w:rsidR="002C59E7" w:rsidRDefault="002C59E7" w:rsidP="009E2DE7">
            <w:pPr>
              <w:spacing w:before="160"/>
              <w:jc w:val="both"/>
              <w:rPr>
                <w:noProof/>
                <w:color w:val="000000"/>
                <w:lang w:val="es-ES"/>
              </w:rPr>
            </w:pPr>
            <w:r w:rsidRPr="0030105A">
              <w:rPr>
                <w:noProof/>
                <w:color w:val="000000"/>
                <w:lang w:val="es-ES"/>
              </w:rPr>
              <w:t>En este documento se presenta el proyecto de presupuesto bienal de la Unión para 2026</w:t>
            </w:r>
            <w:r w:rsidR="009E2DE7">
              <w:rPr>
                <w:noProof/>
                <w:color w:val="000000"/>
                <w:lang w:val="es-ES"/>
              </w:rPr>
              <w:noBreakHyphen/>
            </w:r>
            <w:r w:rsidRPr="0030105A">
              <w:rPr>
                <w:noProof/>
                <w:color w:val="000000"/>
                <w:lang w:val="es-ES"/>
              </w:rPr>
              <w:t xml:space="preserve">2027. Se basa en el Plan estratégico de la Unión para ese periodo y refleja las repercusiones financieras de la aplicación de las decisiones y resoluciones adoptadas por la Conferencia de Plenipotenciarios (Bucarest, 2022) y por el Consejo de la UIT en sus reuniones anteriores. Este presupuesto también presupone ciertos niveles de recuperación de las notificaciones de redes de satélite (SNF), que se basa en la aprobación del Documento </w:t>
            </w:r>
            <w:hyperlink r:id="rId8" w:history="1">
              <w:r w:rsidRPr="0030105A">
                <w:rPr>
                  <w:rStyle w:val="Hyperlink"/>
                  <w:noProof/>
                  <w:lang w:val="es-ES"/>
                </w:rPr>
                <w:t>C25/64</w:t>
              </w:r>
            </w:hyperlink>
            <w:r w:rsidRPr="0030105A">
              <w:rPr>
                <w:noProof/>
                <w:color w:val="000000"/>
                <w:lang w:val="es-ES"/>
              </w:rPr>
              <w:t xml:space="preserve">. Las previsiones para 2028-2029 sen detalla en el </w:t>
            </w:r>
            <w:hyperlink w:anchor="Annex_C" w:history="1">
              <w:r w:rsidRPr="0030105A">
                <w:rPr>
                  <w:rStyle w:val="Hyperlink"/>
                  <w:noProof/>
                  <w:lang w:val="es-ES"/>
                </w:rPr>
                <w:t>Anexo C</w:t>
              </w:r>
            </w:hyperlink>
            <w:r w:rsidRPr="0030105A">
              <w:rPr>
                <w:noProof/>
                <w:lang w:val="es-ES"/>
              </w:rPr>
              <w:t xml:space="preserve"> </w:t>
            </w:r>
            <w:r w:rsidRPr="0030105A">
              <w:rPr>
                <w:noProof/>
                <w:color w:val="000000"/>
                <w:lang w:val="es-ES"/>
              </w:rPr>
              <w:t>al presente documento.</w:t>
            </w:r>
          </w:p>
          <w:p w14:paraId="7ACDB4F8" w14:textId="77777777" w:rsidR="002C59E7" w:rsidRPr="00BB6FD8" w:rsidRDefault="002C59E7" w:rsidP="002C59E7">
            <w:pPr>
              <w:spacing w:before="160"/>
              <w:rPr>
                <w:b/>
                <w:bCs/>
                <w:sz w:val="26"/>
                <w:szCs w:val="26"/>
              </w:rPr>
            </w:pPr>
            <w:r w:rsidRPr="00BB6FD8">
              <w:rPr>
                <w:b/>
                <w:bCs/>
                <w:sz w:val="26"/>
                <w:szCs w:val="26"/>
              </w:rPr>
              <w:t>Acción solicitada al Consejo</w:t>
            </w:r>
          </w:p>
          <w:p w14:paraId="40A4751F" w14:textId="718D4B2A" w:rsidR="002C59E7" w:rsidRDefault="002C59E7" w:rsidP="009E2DE7">
            <w:pPr>
              <w:spacing w:before="160"/>
              <w:jc w:val="both"/>
              <w:rPr>
                <w:noProof/>
                <w:color w:val="000000"/>
                <w:lang w:val="es-ES"/>
              </w:rPr>
            </w:pPr>
            <w:r w:rsidRPr="0030105A">
              <w:rPr>
                <w:noProof/>
                <w:color w:val="000000"/>
                <w:lang w:val="es-ES"/>
              </w:rPr>
              <w:t xml:space="preserve">Se solicita al Consejo que </w:t>
            </w:r>
            <w:r w:rsidRPr="0030105A">
              <w:rPr>
                <w:b/>
                <w:bCs/>
                <w:noProof/>
                <w:color w:val="000000"/>
                <w:lang w:val="es-ES"/>
              </w:rPr>
              <w:t xml:space="preserve">examine </w:t>
            </w:r>
            <w:r w:rsidRPr="0030105A">
              <w:rPr>
                <w:noProof/>
                <w:color w:val="000000"/>
                <w:lang w:val="es-ES"/>
              </w:rPr>
              <w:t>el proyecto de presupuesto bienal de la Unión para 2026</w:t>
            </w:r>
            <w:r w:rsidR="00290DC4">
              <w:rPr>
                <w:noProof/>
                <w:color w:val="000000"/>
                <w:lang w:val="es-ES"/>
              </w:rPr>
              <w:noBreakHyphen/>
            </w:r>
            <w:r w:rsidRPr="0030105A">
              <w:rPr>
                <w:noProof/>
                <w:color w:val="000000"/>
                <w:lang w:val="es-ES"/>
              </w:rPr>
              <w:t xml:space="preserve">2027 y que </w:t>
            </w:r>
            <w:r w:rsidRPr="0030105A">
              <w:rPr>
                <w:b/>
                <w:bCs/>
                <w:noProof/>
                <w:color w:val="000000"/>
                <w:lang w:val="es-ES"/>
              </w:rPr>
              <w:t xml:space="preserve">apruebe </w:t>
            </w:r>
            <w:r w:rsidRPr="0030105A">
              <w:rPr>
                <w:noProof/>
                <w:color w:val="000000"/>
                <w:lang w:val="es-ES"/>
              </w:rPr>
              <w:t xml:space="preserve">el proyecto de Resolución que se presenta en el </w:t>
            </w:r>
            <w:hyperlink w:anchor="Annex_A" w:history="1">
              <w:r w:rsidRPr="0030105A">
                <w:rPr>
                  <w:rStyle w:val="Hyperlink"/>
                  <w:noProof/>
                  <w:lang w:val="es-ES"/>
                </w:rPr>
                <w:t>Anexo A</w:t>
              </w:r>
            </w:hyperlink>
            <w:r w:rsidRPr="0030105A">
              <w:rPr>
                <w:noProof/>
                <w:color w:val="000000"/>
                <w:lang w:val="es-ES"/>
              </w:rPr>
              <w:t xml:space="preserve"> a este documento.</w:t>
            </w:r>
          </w:p>
          <w:p w14:paraId="002DF6D0" w14:textId="77777777" w:rsidR="002C59E7" w:rsidRPr="00F24B71" w:rsidRDefault="002C59E7" w:rsidP="002C59E7">
            <w:pPr>
              <w:spacing w:before="160"/>
              <w:rPr>
                <w:b/>
                <w:bCs/>
                <w:sz w:val="26"/>
                <w:szCs w:val="26"/>
                <w:lang w:val="es-ES"/>
              </w:rPr>
            </w:pPr>
            <w:r w:rsidRPr="00F24B71">
              <w:rPr>
                <w:b/>
                <w:bCs/>
                <w:sz w:val="26"/>
                <w:szCs w:val="26"/>
                <w:lang w:val="es-ES"/>
              </w:rPr>
              <w:t>Vínculo</w:t>
            </w:r>
            <w:r>
              <w:rPr>
                <w:b/>
                <w:bCs/>
                <w:sz w:val="26"/>
                <w:szCs w:val="26"/>
                <w:lang w:val="es-ES"/>
              </w:rPr>
              <w:t>(</w:t>
            </w:r>
            <w:r w:rsidRPr="00F24B71">
              <w:rPr>
                <w:b/>
                <w:bCs/>
                <w:sz w:val="26"/>
                <w:szCs w:val="26"/>
                <w:lang w:val="es-ES"/>
              </w:rPr>
              <w:t>s</w:t>
            </w:r>
            <w:r>
              <w:rPr>
                <w:b/>
                <w:bCs/>
                <w:sz w:val="26"/>
                <w:szCs w:val="26"/>
                <w:lang w:val="es-ES"/>
              </w:rPr>
              <w:t>)</w:t>
            </w:r>
            <w:r w:rsidRPr="00F24B71">
              <w:rPr>
                <w:b/>
                <w:bCs/>
                <w:sz w:val="26"/>
                <w:szCs w:val="26"/>
                <w:lang w:val="es-ES"/>
              </w:rPr>
              <w:t xml:space="preserve"> pertinente</w:t>
            </w:r>
            <w:r>
              <w:rPr>
                <w:b/>
                <w:bCs/>
                <w:sz w:val="26"/>
                <w:szCs w:val="26"/>
                <w:lang w:val="es-ES"/>
              </w:rPr>
              <w:t>(</w:t>
            </w:r>
            <w:r w:rsidRPr="00F24B71">
              <w:rPr>
                <w:b/>
                <w:bCs/>
                <w:sz w:val="26"/>
                <w:szCs w:val="26"/>
                <w:lang w:val="es-ES"/>
              </w:rPr>
              <w:t>s</w:t>
            </w:r>
            <w:r>
              <w:rPr>
                <w:b/>
                <w:bCs/>
                <w:sz w:val="26"/>
                <w:szCs w:val="26"/>
                <w:lang w:val="es-ES"/>
              </w:rPr>
              <w:t>)</w:t>
            </w:r>
            <w:r w:rsidRPr="00F24B71">
              <w:rPr>
                <w:b/>
                <w:bCs/>
                <w:sz w:val="26"/>
                <w:szCs w:val="26"/>
                <w:lang w:val="es-ES"/>
              </w:rPr>
              <w:t xml:space="preserve"> con el Plan Estratégico</w:t>
            </w:r>
          </w:p>
          <w:p w14:paraId="7E624726" w14:textId="77777777" w:rsidR="002C59E7" w:rsidRDefault="002C59E7" w:rsidP="009E2DE7">
            <w:pPr>
              <w:spacing w:before="160"/>
              <w:jc w:val="both"/>
              <w:rPr>
                <w:noProof/>
                <w:color w:val="000000"/>
                <w:lang w:val="es-ES"/>
              </w:rPr>
            </w:pPr>
            <w:r w:rsidRPr="0030105A">
              <w:rPr>
                <w:noProof/>
                <w:color w:val="000000"/>
                <w:lang w:val="es-ES"/>
              </w:rPr>
              <w:t>El proyecto de presupuesto bienal de la Unión financia los dos objetivos y las cinco prioridades temáticas del Plan Estratégico de la UIT.</w:t>
            </w:r>
          </w:p>
          <w:p w14:paraId="1B5088DA" w14:textId="77777777" w:rsidR="002C59E7" w:rsidRDefault="002C59E7" w:rsidP="002C59E7">
            <w:pPr>
              <w:spacing w:before="160"/>
              <w:rPr>
                <w:b/>
                <w:bCs/>
                <w:sz w:val="26"/>
                <w:szCs w:val="26"/>
              </w:rPr>
            </w:pPr>
            <w:r w:rsidRPr="00F24B71">
              <w:rPr>
                <w:b/>
                <w:bCs/>
                <w:sz w:val="26"/>
                <w:szCs w:val="26"/>
              </w:rPr>
              <w:t>Repercusiones financieras</w:t>
            </w:r>
          </w:p>
          <w:p w14:paraId="7B9EC16C" w14:textId="77777777" w:rsidR="002C59E7" w:rsidRPr="00BB6FD8" w:rsidRDefault="002C59E7" w:rsidP="009E2DE7">
            <w:pPr>
              <w:spacing w:before="160"/>
              <w:jc w:val="both"/>
              <w:rPr>
                <w:caps/>
                <w:sz w:val="22"/>
              </w:rPr>
            </w:pPr>
            <w:r w:rsidRPr="0030105A">
              <w:rPr>
                <w:noProof/>
                <w:color w:val="000000"/>
                <w:lang w:val="es-ES"/>
              </w:rPr>
              <w:t>El proyecto de presupuesto bienal de la Unión para 2026-2027 está equilibrado y los ingresos son iguales a los gastos.</w:t>
            </w:r>
          </w:p>
          <w:p w14:paraId="146F4F36" w14:textId="77777777" w:rsidR="002C59E7" w:rsidRPr="00BB6FD8" w:rsidRDefault="002C59E7" w:rsidP="002C59E7">
            <w:pPr>
              <w:spacing w:before="160"/>
              <w:rPr>
                <w:b/>
                <w:bCs/>
                <w:sz w:val="26"/>
                <w:szCs w:val="26"/>
              </w:rPr>
            </w:pPr>
            <w:r w:rsidRPr="00BB6FD8">
              <w:rPr>
                <w:b/>
                <w:bCs/>
                <w:sz w:val="26"/>
                <w:szCs w:val="26"/>
              </w:rPr>
              <w:t>Referencia</w:t>
            </w:r>
            <w:r>
              <w:rPr>
                <w:b/>
                <w:bCs/>
                <w:sz w:val="26"/>
                <w:szCs w:val="26"/>
              </w:rPr>
              <w:t>s</w:t>
            </w:r>
            <w:r w:rsidRPr="00BB6FD8">
              <w:rPr>
                <w:sz w:val="26"/>
                <w:szCs w:val="26"/>
              </w:rPr>
              <w:t xml:space="preserve"> </w:t>
            </w:r>
          </w:p>
          <w:p w14:paraId="5430EA83" w14:textId="6D23DB37" w:rsidR="002C59E7" w:rsidRPr="004D3A3C" w:rsidRDefault="002C59E7" w:rsidP="00F8472A">
            <w:pPr>
              <w:snapToGrid w:val="0"/>
              <w:rPr>
                <w:i/>
                <w:iCs/>
                <w:sz w:val="22"/>
                <w:szCs w:val="22"/>
              </w:rPr>
            </w:pPr>
            <w:hyperlink r:id="rId9" w:history="1">
              <w:r w:rsidRPr="00F8472A">
                <w:rPr>
                  <w:rStyle w:val="Hyperlink"/>
                  <w:i/>
                  <w:iCs/>
                  <w:noProof/>
                  <w:sz w:val="22"/>
                  <w:szCs w:val="22"/>
                  <w:lang w:val="es-ES"/>
                </w:rPr>
                <w:t>Art. 28 de la Constitución</w:t>
              </w:r>
            </w:hyperlink>
            <w:r w:rsidRPr="00F8472A">
              <w:rPr>
                <w:i/>
                <w:iCs/>
                <w:noProof/>
                <w:color w:val="000000"/>
                <w:sz w:val="22"/>
                <w:szCs w:val="22"/>
                <w:lang w:val="es-ES"/>
              </w:rPr>
              <w:t xml:space="preserve">; </w:t>
            </w:r>
            <w:hyperlink r:id="rId10" w:history="1">
              <w:r w:rsidRPr="00F8472A">
                <w:rPr>
                  <w:rStyle w:val="Hyperlink"/>
                  <w:i/>
                  <w:iCs/>
                  <w:noProof/>
                  <w:sz w:val="22"/>
                  <w:szCs w:val="22"/>
                  <w:lang w:val="es-ES"/>
                </w:rPr>
                <w:t>núm. 73, Art. 4 del Convenio</w:t>
              </w:r>
            </w:hyperlink>
            <w:r w:rsidRPr="00F8472A">
              <w:rPr>
                <w:i/>
                <w:iCs/>
                <w:noProof/>
                <w:color w:val="000000"/>
                <w:sz w:val="22"/>
                <w:szCs w:val="22"/>
                <w:lang w:val="es-ES"/>
              </w:rPr>
              <w:t xml:space="preserve">; </w:t>
            </w:r>
            <w:hyperlink r:id="rId11" w:history="1">
              <w:r w:rsidRPr="00F8472A">
                <w:rPr>
                  <w:rStyle w:val="Hyperlink"/>
                  <w:i/>
                  <w:iCs/>
                  <w:noProof/>
                  <w:sz w:val="22"/>
                  <w:szCs w:val="22"/>
                  <w:lang w:val="es-ES"/>
                </w:rPr>
                <w:t>Art. 33 del Convenio</w:t>
              </w:r>
            </w:hyperlink>
            <w:r w:rsidR="00F50DAB" w:rsidRPr="00F8472A">
              <w:rPr>
                <w:i/>
                <w:iCs/>
                <w:sz w:val="22"/>
                <w:szCs w:val="22"/>
              </w:rPr>
              <w:t>;</w:t>
            </w:r>
            <w:r w:rsidR="00F8472A">
              <w:rPr>
                <w:i/>
                <w:iCs/>
                <w:sz w:val="22"/>
                <w:szCs w:val="22"/>
              </w:rPr>
              <w:t xml:space="preserve"> </w:t>
            </w:r>
            <w:hyperlink r:id="rId12" w:history="1">
              <w:hyperlink r:id="rId13" w:history="1">
                <w:r w:rsidR="00290DC4" w:rsidRPr="00F8472A">
                  <w:rPr>
                    <w:rStyle w:val="Hyperlink"/>
                    <w:i/>
                    <w:iCs/>
                    <w:sz w:val="22"/>
                    <w:szCs w:val="22"/>
                    <w:lang w:val="es-ES"/>
                  </w:rPr>
                  <w:t>Decisión 5</w:t>
                </w:r>
              </w:hyperlink>
              <w:r w:rsidRPr="00F8472A">
                <w:rPr>
                  <w:i/>
                  <w:iCs/>
                  <w:noProof/>
                  <w:color w:val="000000"/>
                  <w:sz w:val="22"/>
                  <w:szCs w:val="22"/>
                  <w:lang w:val="es-ES"/>
                </w:rPr>
                <w:t xml:space="preserve"> (Rev. Bucarest, 2022) de la Conferencia de Plenipotenciarios</w:t>
              </w:r>
            </w:hyperlink>
            <w:r w:rsidR="00163F01" w:rsidRPr="00F8472A">
              <w:rPr>
                <w:i/>
                <w:iCs/>
                <w:sz w:val="22"/>
                <w:szCs w:val="22"/>
              </w:rPr>
              <w:t>; Resoluciones</w:t>
            </w:r>
            <w:r w:rsidR="00F8472A">
              <w:rPr>
                <w:i/>
                <w:iCs/>
                <w:sz w:val="22"/>
                <w:szCs w:val="22"/>
              </w:rPr>
              <w:t xml:space="preserve"> </w:t>
            </w:r>
            <w:hyperlink r:id="rId14" w:history="1">
              <w:hyperlink r:id="rId15" w:history="1">
                <w:r w:rsidR="00F50DAB" w:rsidRPr="00F8472A">
                  <w:rPr>
                    <w:rStyle w:val="Hyperlink"/>
                    <w:i/>
                    <w:iCs/>
                    <w:sz w:val="22"/>
                    <w:szCs w:val="22"/>
                  </w:rPr>
                  <w:t>71 (Rev. Bucarest, 2022)</w:t>
                </w:r>
              </w:hyperlink>
              <w:r w:rsidRPr="00F8472A">
                <w:rPr>
                  <w:i/>
                  <w:iCs/>
                  <w:noProof/>
                  <w:color w:val="000000"/>
                  <w:sz w:val="22"/>
                  <w:szCs w:val="22"/>
                  <w:lang w:val="es-ES"/>
                </w:rPr>
                <w:t xml:space="preserve"> </w:t>
              </w:r>
              <w:r w:rsidR="00F50DAB" w:rsidRPr="00F8472A">
                <w:rPr>
                  <w:i/>
                  <w:iCs/>
                  <w:noProof/>
                  <w:color w:val="000000"/>
                  <w:sz w:val="22"/>
                  <w:szCs w:val="22"/>
                  <w:lang w:val="es-ES"/>
                </w:rPr>
                <w:t>y</w:t>
              </w:r>
            </w:hyperlink>
            <w:r w:rsidR="00F50DAB" w:rsidRPr="00F8472A">
              <w:rPr>
                <w:i/>
                <w:iCs/>
                <w:sz w:val="22"/>
                <w:szCs w:val="22"/>
              </w:rPr>
              <w:t xml:space="preserve"> </w:t>
            </w:r>
            <w:hyperlink r:id="rId16" w:history="1">
              <w:hyperlink r:id="rId17" w:history="1">
                <w:r w:rsidR="00F50DAB" w:rsidRPr="00F8472A">
                  <w:rPr>
                    <w:rStyle w:val="Hyperlink"/>
                    <w:i/>
                    <w:iCs/>
                    <w:sz w:val="22"/>
                    <w:szCs w:val="22"/>
                  </w:rPr>
                  <w:t>151 (Rev. Bucarest, 2022)</w:t>
                </w:r>
              </w:hyperlink>
              <w:r w:rsidRPr="00F8472A">
                <w:rPr>
                  <w:i/>
                  <w:iCs/>
                  <w:noProof/>
                  <w:color w:val="000000"/>
                  <w:sz w:val="22"/>
                  <w:szCs w:val="22"/>
                  <w:lang w:val="es-ES"/>
                </w:rPr>
                <w:t xml:space="preserve"> de la Conferencia de Plenipotenciarios</w:t>
              </w:r>
            </w:hyperlink>
            <w:r w:rsidR="00F50DAB" w:rsidRPr="00F8472A">
              <w:rPr>
                <w:i/>
                <w:iCs/>
                <w:sz w:val="22"/>
                <w:szCs w:val="22"/>
              </w:rPr>
              <w:t xml:space="preserve">; Documento </w:t>
            </w:r>
            <w:hyperlink r:id="rId18" w:history="1">
              <w:hyperlink r:id="rId19" w:history="1">
                <w:r w:rsidR="00290DC4" w:rsidRPr="00F8472A">
                  <w:rPr>
                    <w:rStyle w:val="Hyperlink"/>
                    <w:i/>
                    <w:iCs/>
                    <w:sz w:val="22"/>
                    <w:szCs w:val="22"/>
                    <w:lang w:val="es-ES"/>
                  </w:rPr>
                  <w:t>C25/64</w:t>
                </w:r>
              </w:hyperlink>
              <w:r w:rsidRPr="00F8472A">
                <w:rPr>
                  <w:i/>
                  <w:iCs/>
                  <w:noProof/>
                  <w:color w:val="000000"/>
                  <w:sz w:val="22"/>
                  <w:szCs w:val="22"/>
                  <w:lang w:val="es-ES"/>
                </w:rPr>
                <w:t xml:space="preserve"> – Propuesta de metodología para el cálculo de la recuperación de costes de SNF</w:t>
              </w:r>
            </w:hyperlink>
          </w:p>
        </w:tc>
      </w:tr>
      <w:bookmarkEnd w:id="0"/>
    </w:tbl>
    <w:p w14:paraId="18DC4E07" w14:textId="77777777" w:rsidR="00093EEB" w:rsidRPr="00BB6FD8" w:rsidRDefault="00093EEB"/>
    <w:p w14:paraId="56AA1FE8" w14:textId="77777777" w:rsidR="001559F5" w:rsidRPr="00BB6FD8" w:rsidRDefault="001559F5">
      <w:pPr>
        <w:tabs>
          <w:tab w:val="clear" w:pos="567"/>
          <w:tab w:val="clear" w:pos="1134"/>
          <w:tab w:val="clear" w:pos="1701"/>
          <w:tab w:val="clear" w:pos="2268"/>
          <w:tab w:val="clear" w:pos="2835"/>
        </w:tabs>
        <w:overflowPunct/>
        <w:autoSpaceDE/>
        <w:autoSpaceDN/>
        <w:adjustRightInd/>
        <w:spacing w:before="0"/>
        <w:textAlignment w:val="auto"/>
      </w:pPr>
      <w:r w:rsidRPr="00BB6FD8">
        <w:br w:type="page"/>
      </w:r>
    </w:p>
    <w:p w14:paraId="56AB215E" w14:textId="26BAF5A3" w:rsidR="00F92BED" w:rsidRPr="002514B4" w:rsidRDefault="002C59E7" w:rsidP="00F8472A">
      <w:pPr>
        <w:pStyle w:val="Heading1"/>
      </w:pPr>
      <w:r w:rsidRPr="002514B4">
        <w:lastRenderedPageBreak/>
        <w:t>1</w:t>
      </w:r>
      <w:r w:rsidRPr="002514B4">
        <w:tab/>
        <w:t>Síntesis</w:t>
      </w:r>
    </w:p>
    <w:p w14:paraId="64F7DC53" w14:textId="59FA75BB" w:rsidR="002C59E7" w:rsidRPr="00AE4B35" w:rsidRDefault="002C59E7" w:rsidP="009E3DF8">
      <w:pPr>
        <w:jc w:val="both"/>
        <w:rPr>
          <w:noProof/>
          <w:spacing w:val="-3"/>
          <w:lang w:val="es-ES"/>
        </w:rPr>
      </w:pPr>
      <w:r w:rsidRPr="00AE4B35">
        <w:rPr>
          <w:noProof/>
          <w:spacing w:val="-3"/>
          <w:lang w:val="es-ES"/>
        </w:rPr>
        <w:t>1.1</w:t>
      </w:r>
      <w:r w:rsidRPr="00AE4B35">
        <w:rPr>
          <w:noProof/>
          <w:spacing w:val="-3"/>
          <w:lang w:val="es-ES"/>
        </w:rPr>
        <w:tab/>
        <w:t>El presupuesto propuesto se ha elaborado en el marco de la Decisión 5 (Rev. Bucarest, 2022) y del Plan estratégico de la Unión para 2024-2027 que figura en la Resolución</w:t>
      </w:r>
      <w:r w:rsidR="00290DC4" w:rsidRPr="00AE4B35">
        <w:rPr>
          <w:noProof/>
          <w:spacing w:val="-3"/>
          <w:lang w:val="es-ES"/>
        </w:rPr>
        <w:t> </w:t>
      </w:r>
      <w:r w:rsidRPr="00AE4B35">
        <w:rPr>
          <w:noProof/>
          <w:spacing w:val="-3"/>
          <w:lang w:val="es-ES"/>
        </w:rPr>
        <w:t>71</w:t>
      </w:r>
      <w:r w:rsidR="00290DC4" w:rsidRPr="00AE4B35">
        <w:rPr>
          <w:noProof/>
          <w:spacing w:val="-3"/>
          <w:lang w:val="es-ES"/>
        </w:rPr>
        <w:t> </w:t>
      </w:r>
      <w:r w:rsidRPr="00AE4B35">
        <w:rPr>
          <w:noProof/>
          <w:spacing w:val="-3"/>
          <w:lang w:val="es-ES"/>
        </w:rPr>
        <w:t>(Rev.</w:t>
      </w:r>
      <w:r w:rsidR="00290DC4" w:rsidRPr="00AE4B35">
        <w:rPr>
          <w:noProof/>
          <w:spacing w:val="-3"/>
          <w:lang w:val="es-ES"/>
        </w:rPr>
        <w:t> </w:t>
      </w:r>
      <w:r w:rsidRPr="00AE4B35">
        <w:rPr>
          <w:noProof/>
          <w:spacing w:val="-3"/>
          <w:lang w:val="es-ES"/>
        </w:rPr>
        <w:t>Bucarest, 2022), respectivamente. De conformidad con la Decisión 5</w:t>
      </w:r>
      <w:r w:rsidR="00290DC4" w:rsidRPr="00AE4B35">
        <w:rPr>
          <w:noProof/>
          <w:spacing w:val="-3"/>
          <w:lang w:val="es-ES"/>
        </w:rPr>
        <w:t> </w:t>
      </w:r>
      <w:r w:rsidRPr="00AE4B35">
        <w:rPr>
          <w:noProof/>
          <w:spacing w:val="-3"/>
          <w:lang w:val="es-ES"/>
        </w:rPr>
        <w:t>(Rev.</w:t>
      </w:r>
      <w:r w:rsidR="00290DC4" w:rsidRPr="00AE4B35">
        <w:rPr>
          <w:noProof/>
          <w:spacing w:val="-3"/>
          <w:lang w:val="es-ES"/>
        </w:rPr>
        <w:t> </w:t>
      </w:r>
      <w:r w:rsidRPr="00AE4B35">
        <w:rPr>
          <w:noProof/>
          <w:spacing w:val="-3"/>
          <w:lang w:val="es-ES"/>
        </w:rPr>
        <w:t>Bucarest, 2022), el proyecto de presupuesto para 2026-2027 muestra un crecimiento nominal nulo en el importe de la unidad contributiva, es decir, 318</w:t>
      </w:r>
      <w:r w:rsidR="00290DC4" w:rsidRPr="00AE4B35">
        <w:rPr>
          <w:noProof/>
          <w:spacing w:val="-3"/>
          <w:lang w:val="es-ES"/>
        </w:rPr>
        <w:t> </w:t>
      </w:r>
      <w:r w:rsidRPr="00AE4B35">
        <w:rPr>
          <w:noProof/>
          <w:spacing w:val="-3"/>
          <w:lang w:val="es-ES"/>
        </w:rPr>
        <w:t>000</w:t>
      </w:r>
      <w:r w:rsidR="00290DC4" w:rsidRPr="00AE4B35">
        <w:rPr>
          <w:noProof/>
          <w:spacing w:val="-3"/>
          <w:lang w:val="es-ES"/>
        </w:rPr>
        <w:t> </w:t>
      </w:r>
      <w:r w:rsidRPr="00AE4B35">
        <w:rPr>
          <w:noProof/>
          <w:spacing w:val="-3"/>
          <w:lang w:val="es-ES"/>
        </w:rPr>
        <w:t xml:space="preserve">CHF. </w:t>
      </w:r>
    </w:p>
    <w:p w14:paraId="13CC3A0A" w14:textId="77777777" w:rsidR="002C59E7" w:rsidRPr="00AE4B35" w:rsidRDefault="002C59E7" w:rsidP="009E3DF8">
      <w:pPr>
        <w:jc w:val="both"/>
        <w:rPr>
          <w:noProof/>
          <w:spacing w:val="-3"/>
          <w:lang w:val="es-ES"/>
        </w:rPr>
      </w:pPr>
      <w:r w:rsidRPr="00AE4B35">
        <w:rPr>
          <w:noProof/>
          <w:spacing w:val="-3"/>
          <w:lang w:val="es-ES"/>
        </w:rPr>
        <w:t>1.2</w:t>
      </w:r>
      <w:r w:rsidRPr="00AE4B35">
        <w:rPr>
          <w:noProof/>
          <w:spacing w:val="-3"/>
          <w:lang w:val="es-ES"/>
        </w:rPr>
        <w:tab/>
        <w:t>En el cuadro siguiente se resumen las estimaciones de ingresos y gastos para 2026-2027 en comparación con el Plan Financiero, el presupuesto para 2024-2025 y los datos reales de 2024.</w:t>
      </w:r>
    </w:p>
    <w:p w14:paraId="761B587C" w14:textId="24F4B133" w:rsidR="00F92BED" w:rsidRPr="00F8472A" w:rsidRDefault="00291B70" w:rsidP="00F8472A">
      <w:pPr>
        <w:pStyle w:val="Figure"/>
      </w:pPr>
      <w:r w:rsidRPr="00F8472A">
        <w:drawing>
          <wp:inline distT="0" distB="0" distL="0" distR="0" wp14:anchorId="07C163F7" wp14:editId="55BA8048">
            <wp:extent cx="5760085" cy="1742440"/>
            <wp:effectExtent l="0" t="0" r="0" b="0"/>
            <wp:docPr id="162370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1742440"/>
                    </a:xfrm>
                    <a:prstGeom prst="rect">
                      <a:avLst/>
                    </a:prstGeom>
                    <a:noFill/>
                    <a:ln>
                      <a:noFill/>
                    </a:ln>
                  </pic:spPr>
                </pic:pic>
              </a:graphicData>
            </a:graphic>
          </wp:inline>
        </w:drawing>
      </w:r>
    </w:p>
    <w:p w14:paraId="357F7781" w14:textId="3139496B" w:rsidR="002C59E7" w:rsidRPr="0030105A" w:rsidRDefault="002C59E7" w:rsidP="009E3DF8">
      <w:pPr>
        <w:jc w:val="both"/>
        <w:rPr>
          <w:noProof/>
          <w:lang w:val="es-ES"/>
        </w:rPr>
      </w:pPr>
      <w:r w:rsidRPr="0030105A">
        <w:rPr>
          <w:noProof/>
          <w:lang w:val="es-ES"/>
        </w:rPr>
        <w:t>1.3</w:t>
      </w:r>
      <w:r w:rsidRPr="0030105A">
        <w:rPr>
          <w:noProof/>
          <w:lang w:val="es-ES"/>
        </w:rPr>
        <w:tab/>
        <w:t>El proyecto de presupuesto bienal de la Unión para 2026-2027 está equilibrado y los ingresos son iguales a los gastos, a saber 333</w:t>
      </w:r>
      <w:r w:rsidR="00290DC4">
        <w:rPr>
          <w:noProof/>
          <w:lang w:val="es-ES"/>
        </w:rPr>
        <w:t> </w:t>
      </w:r>
      <w:r w:rsidRPr="0030105A">
        <w:rPr>
          <w:noProof/>
          <w:lang w:val="es-ES"/>
        </w:rPr>
        <w:t>238</w:t>
      </w:r>
      <w:r w:rsidR="00290DC4">
        <w:rPr>
          <w:noProof/>
          <w:lang w:val="es-ES"/>
        </w:rPr>
        <w:t> </w:t>
      </w:r>
      <w:r w:rsidRPr="0030105A">
        <w:rPr>
          <w:noProof/>
          <w:lang w:val="es-ES"/>
        </w:rPr>
        <w:t>000</w:t>
      </w:r>
      <w:r w:rsidR="00290DC4">
        <w:rPr>
          <w:noProof/>
          <w:lang w:val="es-ES"/>
        </w:rPr>
        <w:t> </w:t>
      </w:r>
      <w:r w:rsidRPr="0030105A">
        <w:rPr>
          <w:noProof/>
          <w:lang w:val="es-ES"/>
        </w:rPr>
        <w:t>CHF Los ingresos y gastos del periodo superan el Plan Financiero de la Unión para 2026-2027 en 3</w:t>
      </w:r>
      <w:r w:rsidR="00290DC4">
        <w:rPr>
          <w:noProof/>
          <w:lang w:val="es-ES"/>
        </w:rPr>
        <w:t> </w:t>
      </w:r>
      <w:r w:rsidRPr="0030105A">
        <w:rPr>
          <w:noProof/>
          <w:lang w:val="es-ES"/>
        </w:rPr>
        <w:t>620</w:t>
      </w:r>
      <w:r w:rsidR="00290DC4">
        <w:rPr>
          <w:noProof/>
          <w:lang w:val="es-ES"/>
        </w:rPr>
        <w:t> </w:t>
      </w:r>
      <w:r w:rsidRPr="0030105A">
        <w:rPr>
          <w:noProof/>
          <w:lang w:val="es-ES"/>
        </w:rPr>
        <w:t>000</w:t>
      </w:r>
      <w:r w:rsidR="00290DC4">
        <w:rPr>
          <w:noProof/>
          <w:lang w:val="es-ES"/>
        </w:rPr>
        <w:t> </w:t>
      </w:r>
      <w:r w:rsidRPr="0030105A">
        <w:rPr>
          <w:noProof/>
          <w:lang w:val="es-ES"/>
        </w:rPr>
        <w:t xml:space="preserve">CHF. A continuación se ofrece información detallada sobre las variaciones de ingresos y gastos. El </w:t>
      </w:r>
      <w:hyperlink w:anchor="Annex_A" w:history="1">
        <w:r w:rsidRPr="0030105A">
          <w:rPr>
            <w:rStyle w:val="Hyperlink"/>
            <w:noProof/>
            <w:lang w:val="es-ES"/>
          </w:rPr>
          <w:t>Anexo A</w:t>
        </w:r>
      </w:hyperlink>
      <w:r w:rsidRPr="0030105A">
        <w:rPr>
          <w:noProof/>
          <w:lang w:val="es-ES"/>
        </w:rPr>
        <w:t xml:space="preserve"> contiene un proyecto de Resolución sobre el proyecto de presupuesto bienal de la Unión para 2026</w:t>
      </w:r>
      <w:r w:rsidR="00290DC4">
        <w:rPr>
          <w:noProof/>
          <w:lang w:val="es-ES"/>
        </w:rPr>
        <w:noBreakHyphen/>
      </w:r>
      <w:r w:rsidRPr="0030105A">
        <w:rPr>
          <w:noProof/>
          <w:lang w:val="es-ES"/>
        </w:rPr>
        <w:t xml:space="preserve">2027, que incluye cuadros que detallan los ingresos por fuente y los gastos por sección, subsección y categoría de gastos. En el </w:t>
      </w:r>
      <w:hyperlink w:anchor="Annex_D" w:history="1">
        <w:r w:rsidRPr="0030105A">
          <w:rPr>
            <w:rStyle w:val="Hyperlink"/>
            <w:noProof/>
            <w:lang w:val="es-ES"/>
          </w:rPr>
          <w:t>Anexo D</w:t>
        </w:r>
      </w:hyperlink>
      <w:r w:rsidRPr="0030105A">
        <w:rPr>
          <w:noProof/>
          <w:lang w:val="es-ES"/>
        </w:rPr>
        <w:t xml:space="preserve"> se describen las categorías de gastos.</w:t>
      </w:r>
    </w:p>
    <w:p w14:paraId="76187025" w14:textId="77777777" w:rsidR="002C59E7" w:rsidRPr="00F8472A" w:rsidRDefault="002C59E7" w:rsidP="009E3DF8">
      <w:pPr>
        <w:pStyle w:val="Heading1"/>
      </w:pPr>
      <w:r w:rsidRPr="002514B4">
        <w:t>2</w:t>
      </w:r>
      <w:r w:rsidRPr="002514B4">
        <w:tab/>
        <w:t>Bases</w:t>
      </w:r>
    </w:p>
    <w:p w14:paraId="229324F1" w14:textId="77777777" w:rsidR="002C59E7" w:rsidRPr="0030105A" w:rsidRDefault="002C59E7" w:rsidP="00F8472A">
      <w:pPr>
        <w:rPr>
          <w:noProof/>
          <w:lang w:val="es-ES"/>
        </w:rPr>
      </w:pPr>
      <w:r w:rsidRPr="0030105A">
        <w:rPr>
          <w:noProof/>
          <w:lang w:val="es-ES"/>
        </w:rPr>
        <w:t>2.1</w:t>
      </w:r>
      <w:r w:rsidRPr="0030105A">
        <w:rPr>
          <w:noProof/>
          <w:lang w:val="es-ES"/>
        </w:rPr>
        <w:tab/>
        <w:t>El proyecto de presupuesto bienal para 2026-2027 se basa en:</w:t>
      </w:r>
    </w:p>
    <w:p w14:paraId="01FD01CE" w14:textId="200ABEAE" w:rsidR="002C59E7" w:rsidRPr="009E3DF8" w:rsidRDefault="00290DC4" w:rsidP="009E3DF8">
      <w:pPr>
        <w:pStyle w:val="enumlev1"/>
      </w:pPr>
      <w:r w:rsidRPr="009E3DF8">
        <w:t>–</w:t>
      </w:r>
      <w:r w:rsidRPr="009E3DF8">
        <w:tab/>
      </w:r>
      <w:r w:rsidR="002C59E7" w:rsidRPr="009E3DF8">
        <w:t>un tipo de cambio de 1,0</w:t>
      </w:r>
      <w:r w:rsidRPr="009E3DF8">
        <w:t> </w:t>
      </w:r>
      <w:r w:rsidR="002C59E7" w:rsidRPr="009E3DF8">
        <w:t>USD = 0,929</w:t>
      </w:r>
      <w:r w:rsidRPr="009E3DF8">
        <w:t> </w:t>
      </w:r>
      <w:r w:rsidR="002C59E7" w:rsidRPr="009E3DF8">
        <w:t>CHF, es decir, el tipo de cambio vigente en enero de 2025;</w:t>
      </w:r>
    </w:p>
    <w:p w14:paraId="623ADD8D" w14:textId="64767B44" w:rsidR="002C59E7" w:rsidRPr="0030105A" w:rsidRDefault="00290DC4" w:rsidP="009E3DF8">
      <w:pPr>
        <w:pStyle w:val="enumlev1"/>
      </w:pPr>
      <w:r w:rsidRPr="00290DC4">
        <w:t>–</w:t>
      </w:r>
      <w:r>
        <w:tab/>
      </w:r>
      <w:r w:rsidR="002C59E7" w:rsidRPr="0030105A">
        <w:t>las condiciones de servicio vigentes en el régimen común de las Naciones Unidas a 1 de enero de 2025.</w:t>
      </w:r>
    </w:p>
    <w:p w14:paraId="07526064" w14:textId="77777777" w:rsidR="002C59E7" w:rsidRPr="0030105A" w:rsidRDefault="002C59E7" w:rsidP="00290DC4">
      <w:pPr>
        <w:jc w:val="both"/>
        <w:rPr>
          <w:noProof/>
          <w:lang w:val="es-ES"/>
        </w:rPr>
      </w:pPr>
      <w:r w:rsidRPr="0030105A">
        <w:rPr>
          <w:noProof/>
          <w:lang w:val="es-ES"/>
        </w:rPr>
        <w:t>2.2</w:t>
      </w:r>
      <w:r w:rsidRPr="0030105A">
        <w:rPr>
          <w:noProof/>
          <w:lang w:val="es-ES"/>
        </w:rPr>
        <w:tab/>
        <w:t>El proyecto de presupuesto bienal de la Unión para 2026-2027 no incluye ninguna dotación para posibles aumentos de costes en el periodo comprendido entre el 1 de enero de 2025 y el 31 de diciembre de 2027.</w:t>
      </w:r>
    </w:p>
    <w:p w14:paraId="7E489199" w14:textId="74A89C87" w:rsidR="002C59E7" w:rsidRPr="0030105A" w:rsidRDefault="002C59E7" w:rsidP="00290DC4">
      <w:pPr>
        <w:jc w:val="both"/>
        <w:rPr>
          <w:noProof/>
          <w:lang w:val="es-ES"/>
        </w:rPr>
      </w:pPr>
      <w:r w:rsidRPr="0030105A">
        <w:rPr>
          <w:noProof/>
          <w:lang w:val="es-ES"/>
        </w:rPr>
        <w:t>2.3</w:t>
      </w:r>
      <w:r w:rsidRPr="0030105A">
        <w:rPr>
          <w:noProof/>
          <w:lang w:val="es-ES"/>
        </w:rPr>
        <w:tab/>
        <w:t xml:space="preserve">Los gastos se clasifican en los cuadros del proyecto de Resolución del </w:t>
      </w:r>
      <w:hyperlink w:anchor="Annex_A" w:history="1">
        <w:r w:rsidRPr="0030105A">
          <w:rPr>
            <w:rStyle w:val="Hyperlink"/>
            <w:noProof/>
            <w:lang w:val="es-ES"/>
          </w:rPr>
          <w:t>Anexo A</w:t>
        </w:r>
      </w:hyperlink>
      <w:r w:rsidRPr="00AE4B35">
        <w:rPr>
          <w:rStyle w:val="Hyperlink"/>
          <w:noProof/>
          <w:u w:val="none"/>
          <w:lang w:val="es-ES"/>
        </w:rPr>
        <w:t xml:space="preserve"> </w:t>
      </w:r>
      <w:r w:rsidRPr="0030105A">
        <w:rPr>
          <w:noProof/>
          <w:lang w:val="es-ES"/>
        </w:rPr>
        <w:t>como gastos de funcionamiento o gastos de capital. Los gastos de capital corresponden a elementos con una vida útil superior a 1 año y un valor estimado superior a 5</w:t>
      </w:r>
      <w:r w:rsidR="00F62D22">
        <w:rPr>
          <w:noProof/>
          <w:lang w:val="es-ES"/>
        </w:rPr>
        <w:t> </w:t>
      </w:r>
      <w:r w:rsidRPr="0030105A">
        <w:rPr>
          <w:noProof/>
          <w:lang w:val="es-ES"/>
        </w:rPr>
        <w:t>000</w:t>
      </w:r>
      <w:r w:rsidR="00F62D22">
        <w:rPr>
          <w:noProof/>
          <w:lang w:val="es-ES"/>
        </w:rPr>
        <w:t> </w:t>
      </w:r>
      <w:r w:rsidRPr="0030105A">
        <w:rPr>
          <w:noProof/>
          <w:lang w:val="es-ES"/>
        </w:rPr>
        <w:t>CHF. En el proyecto de presupuesto bienal de la Unión para 2026-2027 se estima un total de 842</w:t>
      </w:r>
      <w:r w:rsidR="00F62D22">
        <w:rPr>
          <w:noProof/>
          <w:lang w:val="es-ES"/>
        </w:rPr>
        <w:t> </w:t>
      </w:r>
      <w:r w:rsidRPr="0030105A">
        <w:rPr>
          <w:noProof/>
          <w:lang w:val="es-ES"/>
        </w:rPr>
        <w:t>000</w:t>
      </w:r>
      <w:r w:rsidR="00F62D22">
        <w:rPr>
          <w:noProof/>
          <w:lang w:val="es-ES"/>
        </w:rPr>
        <w:t> </w:t>
      </w:r>
      <w:r w:rsidRPr="0030105A">
        <w:rPr>
          <w:noProof/>
          <w:lang w:val="es-ES"/>
        </w:rPr>
        <w:t xml:space="preserve">CHF en gastos de capital (véase el </w:t>
      </w:r>
      <w:hyperlink w:anchor="Table_12" w:history="1">
        <w:r w:rsidRPr="0030105A">
          <w:rPr>
            <w:rStyle w:val="Hyperlink"/>
            <w:noProof/>
            <w:lang w:val="es-ES"/>
          </w:rPr>
          <w:t>Cuadro 12</w:t>
        </w:r>
      </w:hyperlink>
      <w:r w:rsidRPr="0030105A">
        <w:rPr>
          <w:noProof/>
          <w:lang w:val="es-ES"/>
        </w:rPr>
        <w:t xml:space="preserve"> del Anexo A).</w:t>
      </w:r>
    </w:p>
    <w:p w14:paraId="4106A067" w14:textId="77777777" w:rsidR="002C59E7" w:rsidRPr="0030105A" w:rsidRDefault="002C59E7" w:rsidP="009E3DF8">
      <w:pPr>
        <w:jc w:val="both"/>
        <w:rPr>
          <w:b/>
          <w:bCs/>
          <w:noProof/>
          <w:color w:val="002060"/>
          <w:lang w:val="es-ES"/>
        </w:rPr>
      </w:pPr>
      <w:r w:rsidRPr="0030105A">
        <w:rPr>
          <w:noProof/>
          <w:lang w:val="es-ES"/>
        </w:rPr>
        <w:t>2.4</w:t>
      </w:r>
      <w:r w:rsidRPr="0030105A">
        <w:rPr>
          <w:noProof/>
          <w:lang w:val="es-ES"/>
        </w:rPr>
        <w:tab/>
        <w:t xml:space="preserve">Los gastos de personal del periodo se han ajustado a la baja para tener en cuenta la reducción de los costes anuales asociada al tiempo dedicado a cubrir las vacantes actuales y a la rotación de personal prevista, sobre la base de las tasas medias registradas en 2024. Se han </w:t>
      </w:r>
      <w:r w:rsidRPr="0030105A">
        <w:rPr>
          <w:noProof/>
          <w:lang w:val="es-ES"/>
        </w:rPr>
        <w:lastRenderedPageBreak/>
        <w:t>introducido reducciones adicionales para ajustar al máximo los gastos al Plan Financiero, teniendo en cuenta las prioridades de las Oficinas y la Secretaría General.</w:t>
      </w:r>
    </w:p>
    <w:p w14:paraId="36447925" w14:textId="77777777" w:rsidR="002C59E7" w:rsidRPr="0030105A" w:rsidRDefault="002C59E7" w:rsidP="009E3DF8">
      <w:pPr>
        <w:pStyle w:val="Heading1"/>
        <w:rPr>
          <w:noProof/>
          <w:color w:val="002060"/>
          <w:lang w:val="es-ES"/>
        </w:rPr>
      </w:pPr>
      <w:r w:rsidRPr="0030105A">
        <w:rPr>
          <w:noProof/>
          <w:lang w:val="es-ES"/>
        </w:rPr>
        <w:t>3</w:t>
      </w:r>
      <w:r w:rsidRPr="0030105A">
        <w:rPr>
          <w:noProof/>
          <w:lang w:val="es-ES"/>
        </w:rPr>
        <w:tab/>
        <w:t>Consignaciones presupuestarias por Sector</w:t>
      </w:r>
    </w:p>
    <w:p w14:paraId="7BE83F3A" w14:textId="59EF8ADC" w:rsidR="002C59E7" w:rsidRPr="0030105A" w:rsidRDefault="002C59E7" w:rsidP="009E3DF8">
      <w:pPr>
        <w:jc w:val="both"/>
        <w:rPr>
          <w:noProof/>
          <w:lang w:val="es-ES"/>
        </w:rPr>
      </w:pPr>
      <w:r w:rsidRPr="0030105A">
        <w:rPr>
          <w:noProof/>
          <w:lang w:val="es-ES"/>
        </w:rPr>
        <w:t>3.1</w:t>
      </w:r>
      <w:r w:rsidRPr="0030105A">
        <w:rPr>
          <w:noProof/>
          <w:lang w:val="es-ES"/>
        </w:rPr>
        <w:tab/>
        <w:t>En este capítulo se ofrece información adicional sobre las estimaciones de gastos para 2026-2027. El presupuesto de gastos presenta las consignaciones presupuestarias para 2026</w:t>
      </w:r>
      <w:r w:rsidR="00F62D22">
        <w:rPr>
          <w:noProof/>
          <w:lang w:val="es-ES"/>
        </w:rPr>
        <w:noBreakHyphen/>
      </w:r>
      <w:r w:rsidRPr="0030105A">
        <w:rPr>
          <w:noProof/>
          <w:lang w:val="es-ES"/>
        </w:rPr>
        <w:t>2027 por sección y subsección, según se define en el Artículo 6 del Reglamento Financiero, y por categoría de gastos, según la Regla Financiera 6.1 (véase el proyecto de Resolución sobre el presupuesto del Anexo 2). Durante el periodo 2026-2027, la UIT acogerá conferencias mundiales bajo el amparo de la Secretaría General (Conferencia de Plenipotenciarios de 2026 y Foro Mundial de Política de las Telecomunicaciones de 2026) y del Sector de Radiocomunicaciones (Conferencia Mundial de Radiocomunicaciones de 2027), lo que generará costes relativamente más elevados para esos sectores en comparación con el Sector de Normalización de las Telecomunicaciones y el Sector de Desarrollo de las Telecomunicaciones.</w:t>
      </w:r>
    </w:p>
    <w:p w14:paraId="17CE9C84" w14:textId="77777777" w:rsidR="002C59E7" w:rsidRPr="0030105A" w:rsidRDefault="002C59E7" w:rsidP="009E3DF8">
      <w:pPr>
        <w:jc w:val="both"/>
        <w:rPr>
          <w:noProof/>
          <w:lang w:val="es-ES"/>
        </w:rPr>
      </w:pPr>
      <w:r w:rsidRPr="0030105A">
        <w:rPr>
          <w:noProof/>
          <w:lang w:val="es-ES"/>
        </w:rPr>
        <w:t>3.2</w:t>
      </w:r>
      <w:r w:rsidRPr="0030105A">
        <w:rPr>
          <w:noProof/>
          <w:lang w:val="es-ES"/>
        </w:rPr>
        <w:tab/>
        <w:t>En el cuadro siguiente se indican los gastos por Sector y se comparan las estimaciones para 2026-2027 con el presupuesto de 2024-2025 en lo que respecta a la variación de los programas, el aumento de los costes y los valores de crecimiento real.</w:t>
      </w:r>
    </w:p>
    <w:p w14:paraId="6C5744F3" w14:textId="2FD4E05B" w:rsidR="002C59E7" w:rsidRPr="0030105A" w:rsidRDefault="00F77D6A" w:rsidP="009E3DF8">
      <w:pPr>
        <w:pStyle w:val="Figure"/>
        <w:rPr>
          <w:lang w:val="es-ES"/>
        </w:rPr>
      </w:pPr>
      <w:r w:rsidRPr="00F77D6A">
        <w:drawing>
          <wp:inline distT="0" distB="0" distL="0" distR="0" wp14:anchorId="318728DA" wp14:editId="7C88B147">
            <wp:extent cx="5760085" cy="1296670"/>
            <wp:effectExtent l="0" t="0" r="0" b="0"/>
            <wp:docPr id="1642735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1296670"/>
                    </a:xfrm>
                    <a:prstGeom prst="rect">
                      <a:avLst/>
                    </a:prstGeom>
                    <a:noFill/>
                    <a:ln>
                      <a:noFill/>
                    </a:ln>
                  </pic:spPr>
                </pic:pic>
              </a:graphicData>
            </a:graphic>
          </wp:inline>
        </w:drawing>
      </w:r>
    </w:p>
    <w:p w14:paraId="6AFD05AD" w14:textId="747B55B8" w:rsidR="002C59E7" w:rsidRPr="0030105A" w:rsidRDefault="002C59E7" w:rsidP="009E3DF8">
      <w:pPr>
        <w:jc w:val="both"/>
        <w:rPr>
          <w:noProof/>
          <w:lang w:val="es-ES"/>
        </w:rPr>
      </w:pPr>
      <w:r w:rsidRPr="0030105A">
        <w:rPr>
          <w:noProof/>
          <w:lang w:val="es-ES"/>
        </w:rPr>
        <w:t>3.3</w:t>
      </w:r>
      <w:r w:rsidRPr="0030105A">
        <w:rPr>
          <w:noProof/>
          <w:lang w:val="es-ES"/>
        </w:rPr>
        <w:tab/>
        <w:t>En el siguiente gráfico se muestra el desglose por categoría de las estimaciones para 2026-2027. En Otros costes se incluyen las partidas de Materiales y suministros, Adquisición de locales, mobiliario y equipo; Servicios públicos e internos; Auditoría de cuentas, cotizaciones a otros organismos y varios. Gastos de personal y Otros gastos de personal representan más del 81,5</w:t>
      </w:r>
      <w:r w:rsidR="00155C0F">
        <w:rPr>
          <w:noProof/>
          <w:lang w:val="es-ES"/>
        </w:rPr>
        <w:t> </w:t>
      </w:r>
      <w:r w:rsidRPr="0030105A">
        <w:rPr>
          <w:noProof/>
          <w:lang w:val="es-ES"/>
        </w:rPr>
        <w:t>% del presupuesto total.</w:t>
      </w:r>
    </w:p>
    <w:p w14:paraId="07CFB12B" w14:textId="5F58BF88" w:rsidR="002C59E7" w:rsidRPr="0030105A" w:rsidRDefault="00B078B7" w:rsidP="009E3DF8">
      <w:pPr>
        <w:pStyle w:val="Figure"/>
        <w:rPr>
          <w:lang w:val="es-ES"/>
        </w:rPr>
      </w:pPr>
      <w:r w:rsidRPr="00B078B7">
        <w:rPr>
          <w:lang w:val="es-ES"/>
        </w:rPr>
        <w:drawing>
          <wp:inline distT="0" distB="0" distL="0" distR="0" wp14:anchorId="6AB89C72" wp14:editId="630461F6">
            <wp:extent cx="3105310" cy="2559182"/>
            <wp:effectExtent l="0" t="0" r="0" b="0"/>
            <wp:docPr id="551360265"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0265" name="Picture 1" descr="A pie chart with numbers and text&#10;&#10;AI-generated content may be incorrect."/>
                    <pic:cNvPicPr/>
                  </pic:nvPicPr>
                  <pic:blipFill>
                    <a:blip r:embed="rId22"/>
                    <a:stretch>
                      <a:fillRect/>
                    </a:stretch>
                  </pic:blipFill>
                  <pic:spPr>
                    <a:xfrm>
                      <a:off x="0" y="0"/>
                      <a:ext cx="3105310" cy="2559182"/>
                    </a:xfrm>
                    <a:prstGeom prst="rect">
                      <a:avLst/>
                    </a:prstGeom>
                  </pic:spPr>
                </pic:pic>
              </a:graphicData>
            </a:graphic>
          </wp:inline>
        </w:drawing>
      </w:r>
    </w:p>
    <w:p w14:paraId="4CA718C2" w14:textId="77777777" w:rsidR="002C59E7" w:rsidRPr="0030105A" w:rsidRDefault="002C59E7" w:rsidP="009E3DF8">
      <w:pPr>
        <w:jc w:val="both"/>
        <w:rPr>
          <w:noProof/>
          <w:lang w:val="es-ES"/>
        </w:rPr>
      </w:pPr>
      <w:r w:rsidRPr="0030105A">
        <w:rPr>
          <w:noProof/>
          <w:lang w:val="es-ES"/>
        </w:rPr>
        <w:lastRenderedPageBreak/>
        <w:t>3.4</w:t>
      </w:r>
      <w:r w:rsidRPr="0030105A">
        <w:rPr>
          <w:noProof/>
          <w:lang w:val="es-ES"/>
        </w:rPr>
        <w:tab/>
        <w:t>Las estimaciones de gastos se basan en los valores reales a 1 de enero de 2025. Las condiciones de servicio son las condiciones vigentes en el régimen común de las Naciones Unidas a 1 de enero de 2025.</w:t>
      </w:r>
    </w:p>
    <w:p w14:paraId="416DA0DE" w14:textId="1A6E66C1" w:rsidR="002C59E7" w:rsidRPr="0030105A" w:rsidRDefault="002C59E7" w:rsidP="009E3DF8">
      <w:pPr>
        <w:jc w:val="both"/>
        <w:rPr>
          <w:noProof/>
          <w:lang w:val="es-ES"/>
        </w:rPr>
      </w:pPr>
      <w:r w:rsidRPr="0030105A">
        <w:rPr>
          <w:noProof/>
          <w:lang w:val="es-ES"/>
        </w:rPr>
        <w:t>3.5</w:t>
      </w:r>
      <w:r w:rsidRPr="0030105A">
        <w:rPr>
          <w:noProof/>
          <w:lang w:val="es-ES"/>
        </w:rPr>
        <w:tab/>
        <w:t>El aumento de los costes entre el 1 de enero de 2023 (base del presupuesto para 2024</w:t>
      </w:r>
      <w:r w:rsidR="00155C0F">
        <w:rPr>
          <w:noProof/>
          <w:lang w:val="es-ES"/>
        </w:rPr>
        <w:noBreakHyphen/>
      </w:r>
      <w:r w:rsidRPr="0030105A">
        <w:rPr>
          <w:noProof/>
          <w:lang w:val="es-ES"/>
        </w:rPr>
        <w:t>2025) y el 1 de enero de 2025, que se calcula en 7,35</w:t>
      </w:r>
      <w:r w:rsidR="00155C0F">
        <w:rPr>
          <w:noProof/>
          <w:lang w:val="es-ES"/>
        </w:rPr>
        <w:t> </w:t>
      </w:r>
      <w:r w:rsidRPr="0030105A">
        <w:rPr>
          <w:noProof/>
          <w:lang w:val="es-ES"/>
        </w:rPr>
        <w:t>millones</w:t>
      </w:r>
      <w:r w:rsidR="00155C0F">
        <w:rPr>
          <w:noProof/>
          <w:lang w:val="es-ES"/>
        </w:rPr>
        <w:t> </w:t>
      </w:r>
      <w:r w:rsidRPr="0030105A">
        <w:rPr>
          <w:noProof/>
          <w:lang w:val="es-ES"/>
        </w:rPr>
        <w:t>CHF, se debe principalmente a lo siguiente:</w:t>
      </w:r>
    </w:p>
    <w:p w14:paraId="25C14F0C" w14:textId="125C46FA" w:rsidR="002C59E7" w:rsidRPr="0030105A" w:rsidRDefault="00155C0F" w:rsidP="009E3DF8">
      <w:pPr>
        <w:pStyle w:val="enumlev1"/>
      </w:pPr>
      <w:r w:rsidRPr="00155C0F">
        <w:t>–</w:t>
      </w:r>
      <w:r>
        <w:tab/>
      </w:r>
      <w:r w:rsidR="002C59E7" w:rsidRPr="0030105A">
        <w:t>aumento del 3,01</w:t>
      </w:r>
      <w:r>
        <w:t> </w:t>
      </w:r>
      <w:r w:rsidR="002C59E7" w:rsidRPr="0030105A">
        <w:t>% en Gastos de personal y Otros gastos de personal para el personal de las categorías profesional y superiores;</w:t>
      </w:r>
    </w:p>
    <w:p w14:paraId="04025681" w14:textId="5856BB4C" w:rsidR="002C59E7" w:rsidRPr="0030105A" w:rsidRDefault="00155C0F" w:rsidP="009E3DF8">
      <w:pPr>
        <w:pStyle w:val="enumlev1"/>
      </w:pPr>
      <w:r w:rsidRPr="00290DC4">
        <w:t>–</w:t>
      </w:r>
      <w:r>
        <w:tab/>
      </w:r>
      <w:r w:rsidR="002C59E7" w:rsidRPr="0030105A">
        <w:t>aumento del 1,92</w:t>
      </w:r>
      <w:r>
        <w:t> </w:t>
      </w:r>
      <w:r w:rsidR="002C59E7" w:rsidRPr="0030105A">
        <w:t>% en la Gastos de personal y Otros gastos de personal para el personal de la categoría de Servicios Generales.</w:t>
      </w:r>
    </w:p>
    <w:p w14:paraId="68BD4FDA" w14:textId="4B03D9B3" w:rsidR="002C59E7" w:rsidRPr="0030105A" w:rsidRDefault="00155C0F" w:rsidP="009E3DF8">
      <w:pPr>
        <w:pStyle w:val="enumlev1"/>
      </w:pPr>
      <w:r w:rsidRPr="00290DC4">
        <w:t>–</w:t>
      </w:r>
      <w:r>
        <w:tab/>
        <w:t>l</w:t>
      </w:r>
      <w:r w:rsidR="002C59E7" w:rsidRPr="0030105A">
        <w:t>a tasa de inflación para el periodo comprendido entre enero de 2023 y enero de 2025 fue del 1,2</w:t>
      </w:r>
      <w:r>
        <w:t> </w:t>
      </w:r>
      <w:r w:rsidR="002C59E7" w:rsidRPr="0030105A">
        <w:t>%.</w:t>
      </w:r>
    </w:p>
    <w:p w14:paraId="41AD58DA" w14:textId="6BDA4A1B" w:rsidR="002C59E7" w:rsidRPr="0030105A" w:rsidRDefault="002C59E7" w:rsidP="00155C0F">
      <w:pPr>
        <w:jc w:val="both"/>
        <w:rPr>
          <w:noProof/>
          <w:lang w:val="es-ES"/>
        </w:rPr>
      </w:pPr>
      <w:r w:rsidRPr="0030105A">
        <w:rPr>
          <w:noProof/>
          <w:lang w:val="es-ES"/>
        </w:rPr>
        <w:t>3.6</w:t>
      </w:r>
      <w:r w:rsidRPr="0030105A">
        <w:rPr>
          <w:noProof/>
          <w:lang w:val="es-ES"/>
        </w:rPr>
        <w:tab/>
        <w:t>Se calcula que, para prestar los servicios solicitados por los Miembros, ejecutar el Plan estratégico (Bucarest, 2022) y celebrar las grandes conferencias de la Unión, el programa de trabajo que se llevará a cabo en 2026-2027 experimentará un aumento neto de 5,6</w:t>
      </w:r>
      <w:r w:rsidR="00155C0F">
        <w:rPr>
          <w:noProof/>
          <w:lang w:val="es-ES"/>
        </w:rPr>
        <w:t> </w:t>
      </w:r>
      <w:r w:rsidRPr="0030105A">
        <w:rPr>
          <w:noProof/>
          <w:lang w:val="es-ES"/>
        </w:rPr>
        <w:t>millones</w:t>
      </w:r>
      <w:r w:rsidR="00155C0F">
        <w:rPr>
          <w:noProof/>
          <w:lang w:val="es-ES"/>
        </w:rPr>
        <w:t> </w:t>
      </w:r>
      <w:r w:rsidRPr="0030105A">
        <w:rPr>
          <w:noProof/>
          <w:lang w:val="es-ES"/>
        </w:rPr>
        <w:t>CHF, es decir, el 1,7</w:t>
      </w:r>
      <w:r w:rsidR="00155C0F">
        <w:rPr>
          <w:noProof/>
          <w:lang w:val="es-ES"/>
        </w:rPr>
        <w:t> </w:t>
      </w:r>
      <w:r w:rsidRPr="0030105A">
        <w:rPr>
          <w:noProof/>
          <w:lang w:val="es-ES"/>
        </w:rPr>
        <w:t>% del presupuesto de 2024-2025. Los elementos más importantes que justifican las diferencias entre los programas de 2026-2027 y 2024-2025 son los siguientes:</w:t>
      </w:r>
    </w:p>
    <w:p w14:paraId="32368A4C" w14:textId="72B2CE92" w:rsidR="002C59E7" w:rsidRPr="0030105A" w:rsidRDefault="0045786E" w:rsidP="009E3DF8">
      <w:pPr>
        <w:pStyle w:val="Figure"/>
        <w:rPr>
          <w:lang w:val="es-ES"/>
        </w:rPr>
      </w:pPr>
      <w:r w:rsidRPr="0045786E">
        <w:drawing>
          <wp:inline distT="0" distB="0" distL="0" distR="0" wp14:anchorId="056D3927" wp14:editId="31EAF700">
            <wp:extent cx="5213251" cy="2622430"/>
            <wp:effectExtent l="0" t="0" r="6985" b="6985"/>
            <wp:docPr id="5864746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3014" cy="2627341"/>
                    </a:xfrm>
                    <a:prstGeom prst="rect">
                      <a:avLst/>
                    </a:prstGeom>
                    <a:noFill/>
                    <a:ln>
                      <a:noFill/>
                    </a:ln>
                  </pic:spPr>
                </pic:pic>
              </a:graphicData>
            </a:graphic>
          </wp:inline>
        </w:drawing>
      </w:r>
    </w:p>
    <w:p w14:paraId="71645D0C" w14:textId="32FAF17F" w:rsidR="002C59E7" w:rsidRPr="0030105A" w:rsidRDefault="002C59E7" w:rsidP="009E3DF8">
      <w:pPr>
        <w:jc w:val="both"/>
        <w:rPr>
          <w:noProof/>
          <w:lang w:val="es-ES"/>
        </w:rPr>
      </w:pPr>
      <w:r w:rsidRPr="0030105A">
        <w:rPr>
          <w:noProof/>
          <w:lang w:val="es-ES"/>
        </w:rPr>
        <w:t>3.7</w:t>
      </w:r>
      <w:r w:rsidRPr="0030105A">
        <w:rPr>
          <w:noProof/>
          <w:lang w:val="es-ES"/>
        </w:rPr>
        <w:tab/>
        <w:t xml:space="preserve">El "crecimiento real" del presupuesto entre 2024-2025 y el proyecto de presupuesto para 2026-2027 es negativo y se sitúa en </w:t>
      </w:r>
      <w:r w:rsidR="00155C0F" w:rsidRPr="00155C0F">
        <w:rPr>
          <w:noProof/>
          <w:lang w:val="es-ES"/>
        </w:rPr>
        <w:t>–</w:t>
      </w:r>
      <w:r w:rsidRPr="0030105A">
        <w:rPr>
          <w:noProof/>
          <w:lang w:val="es-ES"/>
        </w:rPr>
        <w:t>8,7</w:t>
      </w:r>
      <w:r w:rsidR="00155C0F">
        <w:rPr>
          <w:noProof/>
          <w:lang w:val="es-ES"/>
        </w:rPr>
        <w:t> </w:t>
      </w:r>
      <w:r w:rsidRPr="0030105A">
        <w:rPr>
          <w:noProof/>
          <w:lang w:val="es-ES"/>
        </w:rPr>
        <w:t>millones</w:t>
      </w:r>
      <w:r w:rsidR="00155C0F">
        <w:rPr>
          <w:noProof/>
          <w:lang w:val="es-ES"/>
        </w:rPr>
        <w:t> </w:t>
      </w:r>
      <w:r w:rsidRPr="0030105A">
        <w:rPr>
          <w:noProof/>
          <w:lang w:val="es-ES"/>
        </w:rPr>
        <w:t xml:space="preserve">CHF, es decir, </w:t>
      </w:r>
      <w:r w:rsidR="00155C0F" w:rsidRPr="00155C0F">
        <w:rPr>
          <w:noProof/>
          <w:lang w:val="es-ES"/>
        </w:rPr>
        <w:t>–</w:t>
      </w:r>
      <w:r w:rsidRPr="0030105A">
        <w:rPr>
          <w:noProof/>
          <w:lang w:val="es-ES"/>
        </w:rPr>
        <w:t>2,66</w:t>
      </w:r>
      <w:r w:rsidR="00155C0F">
        <w:rPr>
          <w:noProof/>
          <w:lang w:val="es-ES"/>
        </w:rPr>
        <w:t> </w:t>
      </w:r>
      <w:r w:rsidRPr="0030105A">
        <w:rPr>
          <w:noProof/>
          <w:lang w:val="es-ES"/>
        </w:rPr>
        <w:t>%. Esta disminución se debe a las diversas medidas de eficiencia que se han introducido, entre ellas:</w:t>
      </w:r>
    </w:p>
    <w:p w14:paraId="32529497" w14:textId="77777777" w:rsidR="002C59E7" w:rsidRPr="0030105A" w:rsidRDefault="002C59E7" w:rsidP="009E3DF8">
      <w:pPr>
        <w:pStyle w:val="enumlev1"/>
      </w:pPr>
      <w:r w:rsidRPr="00155C0F">
        <w:t>a)</w:t>
      </w:r>
      <w:r w:rsidRPr="0030105A">
        <w:tab/>
        <w:t>medidas de eficiencia energética de los edificios;</w:t>
      </w:r>
    </w:p>
    <w:p w14:paraId="251B28D1" w14:textId="77777777" w:rsidR="002C59E7" w:rsidRPr="0030105A" w:rsidRDefault="002C59E7" w:rsidP="009E3DF8">
      <w:pPr>
        <w:pStyle w:val="enumlev1"/>
      </w:pPr>
      <w:r w:rsidRPr="0030105A">
        <w:t>b)</w:t>
      </w:r>
      <w:r w:rsidRPr="0030105A">
        <w:tab/>
        <w:t>mayor utilización de las medidas de eficiencia disponibles en el sistema de las Naciones Unidas (por ejemplo, servicios administrativos comunes);</w:t>
      </w:r>
    </w:p>
    <w:p w14:paraId="1DF9AA1A" w14:textId="77777777" w:rsidR="002C59E7" w:rsidRPr="0030105A" w:rsidRDefault="002C59E7" w:rsidP="009E3DF8">
      <w:pPr>
        <w:pStyle w:val="enumlev1"/>
      </w:pPr>
      <w:r w:rsidRPr="0030105A">
        <w:t>c)</w:t>
      </w:r>
      <w:r w:rsidRPr="0030105A">
        <w:tab/>
        <w:t>reducción de los gastos de viaje mediante una planificación y gestión eficaces;</w:t>
      </w:r>
    </w:p>
    <w:p w14:paraId="0DFF6890" w14:textId="77777777" w:rsidR="002C59E7" w:rsidRPr="0030105A" w:rsidRDefault="002C59E7" w:rsidP="009E3DF8">
      <w:pPr>
        <w:pStyle w:val="enumlev1"/>
      </w:pPr>
      <w:r w:rsidRPr="0030105A">
        <w:t>d)</w:t>
      </w:r>
      <w:r w:rsidRPr="0030105A">
        <w:tab/>
        <w:t>previsión de eficiencias como resultado de la transformación digital;</w:t>
      </w:r>
    </w:p>
    <w:p w14:paraId="1A5B09DF" w14:textId="77777777" w:rsidR="002C59E7" w:rsidRPr="0030105A" w:rsidRDefault="002C59E7" w:rsidP="009E3DF8">
      <w:pPr>
        <w:pStyle w:val="enumlev1"/>
      </w:pPr>
      <w:r w:rsidRPr="0030105A">
        <w:t>e)</w:t>
      </w:r>
      <w:r w:rsidRPr="0030105A">
        <w:tab/>
        <w:t>menor duplicación entre las Oficinas y la Secretaría General;</w:t>
      </w:r>
    </w:p>
    <w:p w14:paraId="31967446" w14:textId="77777777" w:rsidR="002C59E7" w:rsidRPr="0030105A" w:rsidRDefault="002C59E7" w:rsidP="009E3DF8">
      <w:pPr>
        <w:pStyle w:val="enumlev1"/>
      </w:pPr>
      <w:r w:rsidRPr="0030105A">
        <w:t>f)</w:t>
      </w:r>
      <w:r w:rsidRPr="0030105A">
        <w:tab/>
        <w:t>optimización del uso de las modalidades de contratos de corta duración;</w:t>
      </w:r>
    </w:p>
    <w:p w14:paraId="73F7671C" w14:textId="77777777" w:rsidR="002C59E7" w:rsidRPr="0030105A" w:rsidRDefault="002C59E7" w:rsidP="009E3DF8">
      <w:pPr>
        <w:pStyle w:val="enumlev1"/>
      </w:pPr>
      <w:r w:rsidRPr="0030105A">
        <w:lastRenderedPageBreak/>
        <w:t>g)</w:t>
      </w:r>
      <w:r w:rsidRPr="0030105A">
        <w:tab/>
        <w:t>establecimiento de un nuevo orden de prioridades para las actividades;</w:t>
      </w:r>
    </w:p>
    <w:p w14:paraId="753B9A86" w14:textId="77777777" w:rsidR="002C59E7" w:rsidRPr="0030105A" w:rsidRDefault="002C59E7" w:rsidP="009E3DF8">
      <w:pPr>
        <w:pStyle w:val="enumlev1"/>
        <w:rPr>
          <w:b/>
          <w:bCs/>
          <w:color w:val="002060"/>
        </w:rPr>
      </w:pPr>
      <w:r w:rsidRPr="0030105A">
        <w:t>h)</w:t>
      </w:r>
      <w:r w:rsidRPr="0030105A">
        <w:tab/>
        <w:t>demora en la contratación de puestos vacantes en actividades no esenciales.</w:t>
      </w:r>
    </w:p>
    <w:p w14:paraId="0AA4028A" w14:textId="77777777" w:rsidR="002C59E7" w:rsidRPr="0030105A" w:rsidRDefault="002C59E7" w:rsidP="00F8472A">
      <w:pPr>
        <w:pStyle w:val="Headingb"/>
        <w:rPr>
          <w:noProof/>
          <w:color w:val="002060"/>
          <w:lang w:val="es-ES"/>
        </w:rPr>
      </w:pPr>
      <w:r w:rsidRPr="0030105A">
        <w:rPr>
          <w:noProof/>
          <w:lang w:val="es-ES"/>
        </w:rPr>
        <w:t>Secretaría General</w:t>
      </w:r>
    </w:p>
    <w:p w14:paraId="51022559" w14:textId="56601C6B" w:rsidR="002C59E7" w:rsidRPr="0030105A" w:rsidRDefault="002C59E7" w:rsidP="009E3DF8">
      <w:pPr>
        <w:jc w:val="both"/>
        <w:rPr>
          <w:noProof/>
          <w:lang w:val="es-ES"/>
        </w:rPr>
      </w:pPr>
      <w:r w:rsidRPr="0030105A">
        <w:rPr>
          <w:noProof/>
          <w:lang w:val="es-ES"/>
        </w:rPr>
        <w:t>3.8</w:t>
      </w:r>
      <w:r w:rsidRPr="0030105A">
        <w:rPr>
          <w:noProof/>
          <w:lang w:val="es-ES"/>
        </w:rPr>
        <w:tab/>
        <w:t>En el siguiente cuadro se comparan el presupuesto para 2026-2027, el Plan Financiero, el presupuesto para 2024-2025 y los datos reales de 2024. El total de las estimaciones presupuestarias para 2026-2027 asciende a a 4,4</w:t>
      </w:r>
      <w:r w:rsidR="00155C0F">
        <w:rPr>
          <w:noProof/>
          <w:lang w:val="es-ES"/>
        </w:rPr>
        <w:t> </w:t>
      </w:r>
      <w:r w:rsidRPr="0030105A">
        <w:rPr>
          <w:noProof/>
          <w:lang w:val="es-ES"/>
        </w:rPr>
        <w:t>millones</w:t>
      </w:r>
      <w:r w:rsidR="00155C0F">
        <w:rPr>
          <w:noProof/>
          <w:lang w:val="es-ES"/>
        </w:rPr>
        <w:t> </w:t>
      </w:r>
      <w:r w:rsidRPr="0030105A">
        <w:rPr>
          <w:noProof/>
          <w:lang w:val="es-ES"/>
        </w:rPr>
        <w:t xml:space="preserve">CHF menos que el Plan Financiero. </w:t>
      </w:r>
    </w:p>
    <w:p w14:paraId="5A5FB088" w14:textId="6EFE5F8B" w:rsidR="002C59E7" w:rsidRPr="0030105A" w:rsidRDefault="005F3AB7" w:rsidP="009E3DF8">
      <w:pPr>
        <w:pStyle w:val="Figure"/>
      </w:pPr>
      <w:r w:rsidRPr="005F3AB7">
        <w:drawing>
          <wp:inline distT="0" distB="0" distL="0" distR="0" wp14:anchorId="46A1D1EC" wp14:editId="5DD89FD8">
            <wp:extent cx="5691767" cy="2052416"/>
            <wp:effectExtent l="0" t="0" r="4445" b="5080"/>
            <wp:docPr id="16044495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8173" cy="2065544"/>
                    </a:xfrm>
                    <a:prstGeom prst="rect">
                      <a:avLst/>
                    </a:prstGeom>
                    <a:noFill/>
                    <a:ln>
                      <a:noFill/>
                    </a:ln>
                  </pic:spPr>
                </pic:pic>
              </a:graphicData>
            </a:graphic>
          </wp:inline>
        </w:drawing>
      </w:r>
    </w:p>
    <w:p w14:paraId="24042C25" w14:textId="5B935EEF" w:rsidR="002C59E7" w:rsidRPr="0030105A" w:rsidRDefault="002C59E7" w:rsidP="009E3DF8">
      <w:pPr>
        <w:jc w:val="both"/>
        <w:rPr>
          <w:noProof/>
          <w:lang w:val="es-ES"/>
        </w:rPr>
      </w:pPr>
      <w:r w:rsidRPr="0030105A">
        <w:rPr>
          <w:noProof/>
          <w:lang w:val="es-ES"/>
        </w:rPr>
        <w:t>3.9</w:t>
      </w:r>
      <w:r w:rsidRPr="0030105A">
        <w:rPr>
          <w:noProof/>
          <w:lang w:val="es-ES"/>
        </w:rPr>
        <w:tab/>
        <w:t>En el cuadro siguiente se muestran las estimaciones en términos reales para 2026-2027, desglosadas por sección de la Secretaría General y comparadas con el presupuesto para 2024</w:t>
      </w:r>
      <w:r w:rsidR="00155C0F">
        <w:rPr>
          <w:noProof/>
          <w:lang w:val="es-ES"/>
        </w:rPr>
        <w:noBreakHyphen/>
      </w:r>
      <w:r w:rsidRPr="0030105A">
        <w:rPr>
          <w:noProof/>
          <w:lang w:val="es-ES"/>
        </w:rPr>
        <w:t xml:space="preserve">2025. El crecimiento real negativo del </w:t>
      </w:r>
      <w:r w:rsidR="00155C0F" w:rsidRPr="00155C0F">
        <w:rPr>
          <w:noProof/>
          <w:lang w:val="es-ES"/>
        </w:rPr>
        <w:t>–</w:t>
      </w:r>
      <w:r w:rsidRPr="0030105A">
        <w:rPr>
          <w:noProof/>
          <w:lang w:val="es-ES"/>
        </w:rPr>
        <w:t>3,25</w:t>
      </w:r>
      <w:r w:rsidR="00155C0F">
        <w:rPr>
          <w:noProof/>
          <w:lang w:val="es-ES"/>
        </w:rPr>
        <w:t> </w:t>
      </w:r>
      <w:r w:rsidRPr="0030105A">
        <w:rPr>
          <w:noProof/>
          <w:lang w:val="es-ES"/>
        </w:rPr>
        <w:t>% demuestra las estrictas restricciones financieras con las que funcionará la Secretaría General durante 2026-2027.</w:t>
      </w:r>
    </w:p>
    <w:p w14:paraId="4F1E6002" w14:textId="6CCB39B4" w:rsidR="002C59E7" w:rsidRPr="0030105A" w:rsidRDefault="00A27CB3" w:rsidP="009E3DF8">
      <w:pPr>
        <w:pStyle w:val="Figure"/>
      </w:pPr>
      <w:r w:rsidRPr="00A27CB3">
        <w:drawing>
          <wp:inline distT="0" distB="0" distL="0" distR="0" wp14:anchorId="7CA3568D" wp14:editId="51EAE10D">
            <wp:extent cx="5760085" cy="1656080"/>
            <wp:effectExtent l="0" t="0" r="0" b="1270"/>
            <wp:docPr id="6237210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656080"/>
                    </a:xfrm>
                    <a:prstGeom prst="rect">
                      <a:avLst/>
                    </a:prstGeom>
                    <a:noFill/>
                    <a:ln>
                      <a:noFill/>
                    </a:ln>
                  </pic:spPr>
                </pic:pic>
              </a:graphicData>
            </a:graphic>
          </wp:inline>
        </w:drawing>
      </w:r>
    </w:p>
    <w:p w14:paraId="5B55FB06" w14:textId="7E1A7307" w:rsidR="002C59E7" w:rsidRPr="0030105A" w:rsidRDefault="002C59E7" w:rsidP="009E3DF8">
      <w:pPr>
        <w:jc w:val="both"/>
        <w:rPr>
          <w:noProof/>
          <w:lang w:val="es-ES"/>
        </w:rPr>
      </w:pPr>
      <w:r w:rsidRPr="0030105A">
        <w:rPr>
          <w:noProof/>
          <w:lang w:val="es-ES"/>
        </w:rPr>
        <w:t>En el siguiente gráfico se muestra el desglose por categoría de las estimaciones para</w:t>
      </w:r>
      <w:r w:rsidR="00AE4B35">
        <w:rPr>
          <w:noProof/>
          <w:lang w:val="es-ES"/>
        </w:rPr>
        <w:t> </w:t>
      </w:r>
      <w:r w:rsidRPr="0030105A">
        <w:rPr>
          <w:noProof/>
          <w:lang w:val="es-ES"/>
        </w:rPr>
        <w:t>2026</w:t>
      </w:r>
      <w:r w:rsidR="0014063F">
        <w:rPr>
          <w:noProof/>
          <w:lang w:val="es-ES"/>
        </w:rPr>
        <w:noBreakHyphen/>
      </w:r>
      <w:r w:rsidRPr="0030105A">
        <w:rPr>
          <w:noProof/>
          <w:lang w:val="es-ES"/>
        </w:rPr>
        <w:t>2027. Gastos de personal y Otros gastos de personal representan aproximadamente el 75,5%.</w:t>
      </w:r>
    </w:p>
    <w:p w14:paraId="0C8C0E44" w14:textId="65E4E460" w:rsidR="002C59E7" w:rsidRPr="0030105A" w:rsidRDefault="000F2A7C" w:rsidP="009E3DF8">
      <w:pPr>
        <w:pStyle w:val="Figure"/>
      </w:pPr>
      <w:r w:rsidRPr="000F2A7C">
        <w:lastRenderedPageBreak/>
        <w:drawing>
          <wp:inline distT="0" distB="0" distL="0" distR="0" wp14:anchorId="0BE967BC" wp14:editId="3E9DD19E">
            <wp:extent cx="3374818" cy="2245056"/>
            <wp:effectExtent l="0" t="0" r="0" b="0"/>
            <wp:docPr id="19624596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1026" cy="2262491"/>
                    </a:xfrm>
                    <a:prstGeom prst="rect">
                      <a:avLst/>
                    </a:prstGeom>
                    <a:noFill/>
                    <a:ln>
                      <a:noFill/>
                    </a:ln>
                  </pic:spPr>
                </pic:pic>
              </a:graphicData>
            </a:graphic>
          </wp:inline>
        </w:drawing>
      </w:r>
    </w:p>
    <w:p w14:paraId="740C0E8E" w14:textId="77777777" w:rsidR="002C59E7" w:rsidRPr="0030105A" w:rsidRDefault="002C59E7" w:rsidP="00F8472A">
      <w:pPr>
        <w:pStyle w:val="Headingb"/>
        <w:rPr>
          <w:noProof/>
          <w:color w:val="002060"/>
          <w:lang w:val="es-ES"/>
        </w:rPr>
      </w:pPr>
      <w:r w:rsidRPr="0030105A">
        <w:rPr>
          <w:noProof/>
          <w:lang w:val="es-ES"/>
        </w:rPr>
        <w:t>Sector de Radiocomunicaciones</w:t>
      </w:r>
    </w:p>
    <w:p w14:paraId="0D976536" w14:textId="42204981" w:rsidR="002C59E7" w:rsidRPr="0030105A" w:rsidRDefault="002C59E7" w:rsidP="0014063F">
      <w:pPr>
        <w:spacing w:after="240"/>
        <w:jc w:val="both"/>
        <w:rPr>
          <w:noProof/>
          <w:lang w:val="es-ES"/>
        </w:rPr>
      </w:pPr>
      <w:r w:rsidRPr="0030105A">
        <w:rPr>
          <w:noProof/>
          <w:lang w:val="es-ES"/>
        </w:rPr>
        <w:t>3.10</w:t>
      </w:r>
      <w:r w:rsidRPr="0030105A">
        <w:rPr>
          <w:noProof/>
          <w:lang w:val="es-ES"/>
        </w:rPr>
        <w:tab/>
        <w:t>En el siguiente cuadro se comparan el presupuesto para 2026-2027, el Plan Financiero, el presupuesto para 2024-2025 y los datos reales de 2024. En comparación con el Plan Financiero, las estimaciones presupuestarias para 2026-2027 del Sector de Radiocomunicaciones se han incrementado en 1,4</w:t>
      </w:r>
      <w:r w:rsidR="00155C0F">
        <w:rPr>
          <w:noProof/>
          <w:lang w:val="es-ES"/>
        </w:rPr>
        <w:t> </w:t>
      </w:r>
      <w:r w:rsidRPr="0030105A">
        <w:rPr>
          <w:noProof/>
          <w:lang w:val="es-ES"/>
        </w:rPr>
        <w:t>millones</w:t>
      </w:r>
      <w:r w:rsidR="00155C0F">
        <w:rPr>
          <w:noProof/>
          <w:lang w:val="es-ES"/>
        </w:rPr>
        <w:t> </w:t>
      </w:r>
      <w:r w:rsidRPr="0030105A">
        <w:rPr>
          <w:noProof/>
          <w:lang w:val="es-ES"/>
        </w:rPr>
        <w:t>CHF.</w:t>
      </w:r>
    </w:p>
    <w:p w14:paraId="04127368" w14:textId="484B348D" w:rsidR="002C59E7" w:rsidRPr="0030105A" w:rsidRDefault="00FE3D1A" w:rsidP="009E3DF8">
      <w:pPr>
        <w:pStyle w:val="Figure"/>
      </w:pPr>
      <w:r w:rsidRPr="00FE3D1A">
        <w:drawing>
          <wp:inline distT="0" distB="0" distL="0" distR="0" wp14:anchorId="082BF073" wp14:editId="6F55D91C">
            <wp:extent cx="5760085" cy="2152650"/>
            <wp:effectExtent l="0" t="0" r="0" b="0"/>
            <wp:docPr id="165855097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0979" name="Picture 1" descr="A screenshot of a graph&#10;&#10;AI-generated content may be incorrect."/>
                    <pic:cNvPicPr/>
                  </pic:nvPicPr>
                  <pic:blipFill>
                    <a:blip r:embed="rId27"/>
                    <a:stretch>
                      <a:fillRect/>
                    </a:stretch>
                  </pic:blipFill>
                  <pic:spPr>
                    <a:xfrm>
                      <a:off x="0" y="0"/>
                      <a:ext cx="5760085" cy="2152650"/>
                    </a:xfrm>
                    <a:prstGeom prst="rect">
                      <a:avLst/>
                    </a:prstGeom>
                  </pic:spPr>
                </pic:pic>
              </a:graphicData>
            </a:graphic>
          </wp:inline>
        </w:drawing>
      </w:r>
    </w:p>
    <w:p w14:paraId="52E20564" w14:textId="075BD52B" w:rsidR="002C59E7" w:rsidRPr="0030105A" w:rsidRDefault="002C59E7" w:rsidP="00A27CB3">
      <w:pPr>
        <w:spacing w:before="240" w:after="240"/>
        <w:jc w:val="both"/>
        <w:rPr>
          <w:noProof/>
          <w:lang w:val="es-ES"/>
        </w:rPr>
      </w:pPr>
      <w:r w:rsidRPr="0030105A">
        <w:rPr>
          <w:noProof/>
          <w:lang w:val="es-ES"/>
        </w:rPr>
        <w:t>3.11</w:t>
      </w:r>
      <w:r w:rsidR="0014063F">
        <w:rPr>
          <w:noProof/>
          <w:lang w:val="es-ES"/>
        </w:rPr>
        <w:tab/>
      </w:r>
      <w:r w:rsidRPr="0030105A">
        <w:rPr>
          <w:noProof/>
          <w:lang w:val="es-ES"/>
        </w:rPr>
        <w:t>En el cuadro siguiente se muestran las estimaciones del Sector de Radiocomunicaciones para 2026-2027, desglosadas por sección y comparadas con el presupuesto de 2024-2025, indicando el crecimiento real. Muestra un crecimiento real negativo del 1,17</w:t>
      </w:r>
      <w:r w:rsidR="00AE1477">
        <w:rPr>
          <w:noProof/>
          <w:lang w:val="es-ES"/>
        </w:rPr>
        <w:t> </w:t>
      </w:r>
      <w:r w:rsidRPr="0030105A">
        <w:rPr>
          <w:noProof/>
          <w:lang w:val="es-ES"/>
        </w:rPr>
        <w:t>%.</w:t>
      </w:r>
    </w:p>
    <w:p w14:paraId="43F5B867" w14:textId="71D6356C" w:rsidR="002C59E7" w:rsidRPr="0030105A" w:rsidRDefault="00A27CB3" w:rsidP="00483E10">
      <w:pPr>
        <w:pStyle w:val="Figure"/>
        <w:rPr>
          <w:lang w:val="es-ES"/>
        </w:rPr>
      </w:pPr>
      <w:r w:rsidRPr="00A27CB3">
        <w:drawing>
          <wp:inline distT="0" distB="0" distL="0" distR="0" wp14:anchorId="072CA630" wp14:editId="2D799596">
            <wp:extent cx="5760085" cy="1895475"/>
            <wp:effectExtent l="0" t="0" r="0" b="9525"/>
            <wp:docPr id="1403350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1895475"/>
                    </a:xfrm>
                    <a:prstGeom prst="rect">
                      <a:avLst/>
                    </a:prstGeom>
                    <a:noFill/>
                    <a:ln>
                      <a:noFill/>
                    </a:ln>
                  </pic:spPr>
                </pic:pic>
              </a:graphicData>
            </a:graphic>
          </wp:inline>
        </w:drawing>
      </w:r>
    </w:p>
    <w:p w14:paraId="3177AF7D" w14:textId="5D01A956" w:rsidR="002C59E7" w:rsidRPr="0030105A" w:rsidRDefault="002C59E7" w:rsidP="0014063F">
      <w:pPr>
        <w:jc w:val="both"/>
        <w:rPr>
          <w:noProof/>
          <w:lang w:val="es-ES"/>
        </w:rPr>
      </w:pPr>
      <w:r w:rsidRPr="0030105A">
        <w:rPr>
          <w:noProof/>
          <w:lang w:val="es-ES"/>
        </w:rPr>
        <w:lastRenderedPageBreak/>
        <w:t>En el siguiente gráfico se muestra el desglose por categoría de las estimaciones para 2026</w:t>
      </w:r>
      <w:r w:rsidR="00AE1477">
        <w:rPr>
          <w:noProof/>
          <w:lang w:val="es-ES"/>
        </w:rPr>
        <w:noBreakHyphen/>
      </w:r>
      <w:r w:rsidRPr="0030105A">
        <w:rPr>
          <w:noProof/>
          <w:lang w:val="es-ES"/>
        </w:rPr>
        <w:t>2027. Gastos de personal y Otros gastos de personal representan aproximadamente el</w:t>
      </w:r>
      <w:r w:rsidR="00AE4B35">
        <w:rPr>
          <w:noProof/>
          <w:lang w:val="es-ES"/>
        </w:rPr>
        <w:t> </w:t>
      </w:r>
      <w:r w:rsidRPr="0030105A">
        <w:rPr>
          <w:noProof/>
          <w:lang w:val="es-ES"/>
        </w:rPr>
        <w:t>93</w:t>
      </w:r>
      <w:r w:rsidR="00AE1477">
        <w:rPr>
          <w:noProof/>
          <w:lang w:val="es-ES"/>
        </w:rPr>
        <w:t> </w:t>
      </w:r>
      <w:r w:rsidRPr="0030105A">
        <w:rPr>
          <w:noProof/>
          <w:lang w:val="es-ES"/>
        </w:rPr>
        <w:t>%.</w:t>
      </w:r>
    </w:p>
    <w:p w14:paraId="57942613" w14:textId="5720AB24" w:rsidR="002C59E7" w:rsidRPr="0030105A" w:rsidRDefault="003B205D" w:rsidP="00412665">
      <w:pPr>
        <w:pStyle w:val="Figure"/>
        <w:rPr>
          <w:lang w:val="es-ES"/>
        </w:rPr>
      </w:pPr>
      <w:r w:rsidRPr="003B205D">
        <w:rPr>
          <w:lang w:val="es-ES"/>
        </w:rPr>
        <w:drawing>
          <wp:inline distT="0" distB="0" distL="0" distR="0" wp14:anchorId="1B526E2E" wp14:editId="71F29884">
            <wp:extent cx="2660653" cy="2149522"/>
            <wp:effectExtent l="0" t="0" r="6350" b="3175"/>
            <wp:docPr id="371981232" name="Picture 1" descr="A pie chart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81232" name="Picture 1" descr="A pie chart with numbers and a number of people&#10;&#10;AI-generated content may be incorrect."/>
                    <pic:cNvPicPr/>
                  </pic:nvPicPr>
                  <pic:blipFill>
                    <a:blip r:embed="rId29"/>
                    <a:stretch>
                      <a:fillRect/>
                    </a:stretch>
                  </pic:blipFill>
                  <pic:spPr>
                    <a:xfrm>
                      <a:off x="0" y="0"/>
                      <a:ext cx="2672911" cy="2159425"/>
                    </a:xfrm>
                    <a:prstGeom prst="rect">
                      <a:avLst/>
                    </a:prstGeom>
                  </pic:spPr>
                </pic:pic>
              </a:graphicData>
            </a:graphic>
          </wp:inline>
        </w:drawing>
      </w:r>
    </w:p>
    <w:p w14:paraId="698594AC" w14:textId="77777777" w:rsidR="002C59E7" w:rsidRPr="00412665" w:rsidRDefault="002C59E7" w:rsidP="00412665">
      <w:pPr>
        <w:pStyle w:val="Headingb"/>
      </w:pPr>
      <w:r w:rsidRPr="00412665">
        <w:t>Sector de Normalización de las Telecomunicaciones</w:t>
      </w:r>
    </w:p>
    <w:p w14:paraId="44A5684B" w14:textId="439B36CC" w:rsidR="002C59E7" w:rsidRPr="0030105A" w:rsidRDefault="002C59E7" w:rsidP="008007F1">
      <w:pPr>
        <w:spacing w:after="240"/>
        <w:jc w:val="both"/>
        <w:rPr>
          <w:noProof/>
          <w:lang w:val="es-ES"/>
        </w:rPr>
      </w:pPr>
      <w:r w:rsidRPr="0030105A">
        <w:rPr>
          <w:noProof/>
          <w:lang w:val="es-ES"/>
        </w:rPr>
        <w:t>3.12</w:t>
      </w:r>
      <w:r w:rsidRPr="0030105A">
        <w:rPr>
          <w:noProof/>
          <w:lang w:val="es-ES"/>
        </w:rPr>
        <w:tab/>
        <w:t>En el siguiente cuadro se comparan el presupuesto para 2026-2027, el Plan Financiero, el presupuesto para 2024-2025 y los datos reales de 2024. En comparación con el Plan Financiero, las estimaciones presupuestarias para 2026-2027 del Sector de Normalización de las Telecomunicaciones se han incrementado en 1,1</w:t>
      </w:r>
      <w:r w:rsidR="00AE1477">
        <w:rPr>
          <w:noProof/>
          <w:lang w:val="es-ES"/>
        </w:rPr>
        <w:t> </w:t>
      </w:r>
      <w:r w:rsidRPr="0030105A">
        <w:rPr>
          <w:noProof/>
          <w:lang w:val="es-ES"/>
        </w:rPr>
        <w:t>millones</w:t>
      </w:r>
      <w:r w:rsidR="00AE1477">
        <w:rPr>
          <w:noProof/>
          <w:lang w:val="es-ES"/>
        </w:rPr>
        <w:t> </w:t>
      </w:r>
      <w:r w:rsidRPr="0030105A">
        <w:rPr>
          <w:noProof/>
          <w:lang w:val="es-ES"/>
        </w:rPr>
        <w:t>CHF.</w:t>
      </w:r>
    </w:p>
    <w:p w14:paraId="189EEEF9" w14:textId="7DE883E2" w:rsidR="002C59E7" w:rsidRPr="0030105A" w:rsidRDefault="008007F1" w:rsidP="00412665">
      <w:pPr>
        <w:pStyle w:val="Figure"/>
      </w:pPr>
      <w:r w:rsidRPr="008007F1">
        <w:drawing>
          <wp:inline distT="0" distB="0" distL="0" distR="0" wp14:anchorId="5C187441" wp14:editId="7DD4AE3B">
            <wp:extent cx="5866790" cy="1872615"/>
            <wp:effectExtent l="0" t="0" r="635" b="0"/>
            <wp:docPr id="1494946551"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46551" name="Picture 1" descr="A close-up of a chart&#10;&#10;AI-generated content may be incorrect."/>
                    <pic:cNvPicPr/>
                  </pic:nvPicPr>
                  <pic:blipFill>
                    <a:blip r:embed="rId30"/>
                    <a:stretch>
                      <a:fillRect/>
                    </a:stretch>
                  </pic:blipFill>
                  <pic:spPr>
                    <a:xfrm>
                      <a:off x="0" y="0"/>
                      <a:ext cx="5878683" cy="1876411"/>
                    </a:xfrm>
                    <a:prstGeom prst="rect">
                      <a:avLst/>
                    </a:prstGeom>
                  </pic:spPr>
                </pic:pic>
              </a:graphicData>
            </a:graphic>
          </wp:inline>
        </w:drawing>
      </w:r>
    </w:p>
    <w:p w14:paraId="24428540" w14:textId="349210EB" w:rsidR="002C59E7" w:rsidRPr="0030105A" w:rsidRDefault="002C59E7" w:rsidP="002213BA">
      <w:pPr>
        <w:jc w:val="both"/>
        <w:rPr>
          <w:noProof/>
          <w:lang w:val="es-ES"/>
        </w:rPr>
      </w:pPr>
      <w:r w:rsidRPr="0030105A">
        <w:rPr>
          <w:noProof/>
          <w:lang w:val="es-ES"/>
        </w:rPr>
        <w:t>3.13</w:t>
      </w:r>
      <w:r w:rsidRPr="0030105A">
        <w:rPr>
          <w:noProof/>
          <w:lang w:val="es-ES"/>
        </w:rPr>
        <w:tab/>
        <w:t>En el cuadro siguiente se muestran las estimaciones para 2026-2027, desglosadas por sección del Sector de Normalización de las Telecomunicaciones y comparadas con el presupuesto para 2024-2025, indicando un crecimiento real negativo del 2,56</w:t>
      </w:r>
      <w:r w:rsidR="00AE1477">
        <w:rPr>
          <w:noProof/>
          <w:lang w:val="es-ES"/>
        </w:rPr>
        <w:t> </w:t>
      </w:r>
      <w:r w:rsidRPr="0030105A">
        <w:rPr>
          <w:noProof/>
          <w:lang w:val="es-ES"/>
        </w:rPr>
        <w:t>%.</w:t>
      </w:r>
    </w:p>
    <w:p w14:paraId="26FEA3F8" w14:textId="5A8E0434" w:rsidR="002C59E7" w:rsidRPr="0030105A" w:rsidRDefault="00A27CB3" w:rsidP="00412665">
      <w:pPr>
        <w:pStyle w:val="Figure"/>
        <w:rPr>
          <w:lang w:val="es-ES"/>
        </w:rPr>
      </w:pPr>
      <w:r w:rsidRPr="00A27CB3">
        <w:drawing>
          <wp:inline distT="0" distB="0" distL="0" distR="0" wp14:anchorId="05C43FB2" wp14:editId="5325E13F">
            <wp:extent cx="5866765" cy="1630680"/>
            <wp:effectExtent l="0" t="0" r="635" b="7620"/>
            <wp:docPr id="14990309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855" cy="1630983"/>
                    </a:xfrm>
                    <a:prstGeom prst="rect">
                      <a:avLst/>
                    </a:prstGeom>
                    <a:noFill/>
                    <a:ln>
                      <a:noFill/>
                    </a:ln>
                  </pic:spPr>
                </pic:pic>
              </a:graphicData>
            </a:graphic>
          </wp:inline>
        </w:drawing>
      </w:r>
    </w:p>
    <w:p w14:paraId="11E53205" w14:textId="4679C735" w:rsidR="002C59E7" w:rsidRPr="0030105A" w:rsidRDefault="002C59E7" w:rsidP="00AE4B35">
      <w:pPr>
        <w:jc w:val="both"/>
        <w:rPr>
          <w:noProof/>
        </w:rPr>
      </w:pPr>
      <w:r w:rsidRPr="0030105A">
        <w:rPr>
          <w:noProof/>
        </w:rPr>
        <w:lastRenderedPageBreak/>
        <w:t>En el siguiente gráfico se muestra el desglose por categoría de las estimaciones para 2026</w:t>
      </w:r>
      <w:r w:rsidR="00AE1477">
        <w:rPr>
          <w:noProof/>
        </w:rPr>
        <w:noBreakHyphen/>
      </w:r>
      <w:r w:rsidRPr="0030105A">
        <w:rPr>
          <w:noProof/>
        </w:rPr>
        <w:t>2027. Gastos de personal y Otros gastos de personal representan aproximadamente el</w:t>
      </w:r>
      <w:r w:rsidR="00AE4B35">
        <w:rPr>
          <w:noProof/>
        </w:rPr>
        <w:t> </w:t>
      </w:r>
      <w:r w:rsidRPr="0030105A">
        <w:rPr>
          <w:noProof/>
        </w:rPr>
        <w:t>90</w:t>
      </w:r>
      <w:r w:rsidR="00AE1477">
        <w:rPr>
          <w:noProof/>
        </w:rPr>
        <w:t> </w:t>
      </w:r>
      <w:r w:rsidRPr="0030105A">
        <w:rPr>
          <w:noProof/>
        </w:rPr>
        <w:t>%.</w:t>
      </w:r>
    </w:p>
    <w:p w14:paraId="7FE80C89" w14:textId="6CBA4D59" w:rsidR="002C59E7" w:rsidRPr="0030105A" w:rsidRDefault="003B205D" w:rsidP="00412665">
      <w:pPr>
        <w:pStyle w:val="Figure"/>
        <w:rPr>
          <w:lang w:val="es-ES"/>
        </w:rPr>
      </w:pPr>
      <w:r w:rsidRPr="003B205D">
        <w:rPr>
          <w:lang w:val="es-ES"/>
        </w:rPr>
        <w:drawing>
          <wp:inline distT="0" distB="0" distL="0" distR="0" wp14:anchorId="423653BB" wp14:editId="28096423">
            <wp:extent cx="2825086" cy="2351277"/>
            <wp:effectExtent l="0" t="0" r="0" b="0"/>
            <wp:docPr id="249373059" name="Picture 1" descr="A pie chart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73059" name="Picture 1" descr="A pie chart with numbers and a number of people&#10;&#10;AI-generated content may be incorrect."/>
                    <pic:cNvPicPr/>
                  </pic:nvPicPr>
                  <pic:blipFill>
                    <a:blip r:embed="rId32"/>
                    <a:stretch>
                      <a:fillRect/>
                    </a:stretch>
                  </pic:blipFill>
                  <pic:spPr>
                    <a:xfrm>
                      <a:off x="0" y="0"/>
                      <a:ext cx="2837338" cy="2361474"/>
                    </a:xfrm>
                    <a:prstGeom prst="rect">
                      <a:avLst/>
                    </a:prstGeom>
                  </pic:spPr>
                </pic:pic>
              </a:graphicData>
            </a:graphic>
          </wp:inline>
        </w:drawing>
      </w:r>
    </w:p>
    <w:p w14:paraId="1FCB77FC" w14:textId="77777777" w:rsidR="002C59E7" w:rsidRPr="0030105A" w:rsidRDefault="002C59E7" w:rsidP="002213BA">
      <w:pPr>
        <w:pStyle w:val="Headingb"/>
        <w:rPr>
          <w:noProof/>
          <w:color w:val="002060"/>
        </w:rPr>
      </w:pPr>
      <w:r w:rsidRPr="0030105A">
        <w:rPr>
          <w:noProof/>
        </w:rPr>
        <w:t>Sector de Desarrollo de las Telecomunicaciones</w:t>
      </w:r>
    </w:p>
    <w:p w14:paraId="5BC6CE45" w14:textId="01E61EDD" w:rsidR="002C59E7" w:rsidRPr="0030105A" w:rsidRDefault="002C59E7" w:rsidP="002213BA">
      <w:pPr>
        <w:jc w:val="both"/>
        <w:rPr>
          <w:noProof/>
        </w:rPr>
      </w:pPr>
      <w:r w:rsidRPr="0030105A">
        <w:rPr>
          <w:noProof/>
        </w:rPr>
        <w:t>3.14</w:t>
      </w:r>
      <w:r w:rsidRPr="0030105A">
        <w:rPr>
          <w:noProof/>
        </w:rPr>
        <w:tab/>
        <w:t>En el siguiente cuadro se comparan el presupuesto para 2026-2027, el Plan Financiero, el presupuesto para 2024-2025 y los datos reales de 2024. En comparación con el Plan Financiero, las estimaciones presupuestarias para 2026-2027 del Sector de Desarrollo de las Telecomunicaciones se han incrementado en 0,8</w:t>
      </w:r>
      <w:r w:rsidR="00AE1477">
        <w:rPr>
          <w:noProof/>
        </w:rPr>
        <w:t> </w:t>
      </w:r>
      <w:r w:rsidRPr="0030105A">
        <w:rPr>
          <w:noProof/>
        </w:rPr>
        <w:t>millones</w:t>
      </w:r>
      <w:r w:rsidR="00AE1477">
        <w:rPr>
          <w:noProof/>
        </w:rPr>
        <w:t> </w:t>
      </w:r>
      <w:r w:rsidRPr="0030105A">
        <w:rPr>
          <w:noProof/>
        </w:rPr>
        <w:t>CHF.</w:t>
      </w:r>
    </w:p>
    <w:p w14:paraId="74E41118" w14:textId="4979970D" w:rsidR="002C59E7" w:rsidRDefault="00291B70" w:rsidP="00412665">
      <w:pPr>
        <w:pStyle w:val="Figure"/>
        <w:rPr>
          <w:lang w:val="es-ES"/>
        </w:rPr>
      </w:pPr>
      <w:r w:rsidRPr="00291B70">
        <w:drawing>
          <wp:inline distT="0" distB="0" distL="0" distR="0" wp14:anchorId="4E6BA279" wp14:editId="182FE2D3">
            <wp:extent cx="5760085" cy="1484630"/>
            <wp:effectExtent l="0" t="0" r="0" b="0"/>
            <wp:docPr id="3077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1484630"/>
                    </a:xfrm>
                    <a:prstGeom prst="rect">
                      <a:avLst/>
                    </a:prstGeom>
                    <a:noFill/>
                    <a:ln>
                      <a:noFill/>
                    </a:ln>
                  </pic:spPr>
                </pic:pic>
              </a:graphicData>
            </a:graphic>
          </wp:inline>
        </w:drawing>
      </w:r>
    </w:p>
    <w:p w14:paraId="652A472F" w14:textId="77777777" w:rsidR="00AE1477" w:rsidRPr="0030105A" w:rsidRDefault="00AE1477" w:rsidP="002213BA">
      <w:pPr>
        <w:jc w:val="both"/>
        <w:rPr>
          <w:noProof/>
          <w:lang w:val="es-ES"/>
        </w:rPr>
      </w:pPr>
      <w:r w:rsidRPr="0030105A">
        <w:rPr>
          <w:noProof/>
          <w:lang w:val="es-ES"/>
        </w:rPr>
        <w:t>3.15</w:t>
      </w:r>
      <w:r w:rsidRPr="0030105A">
        <w:rPr>
          <w:noProof/>
          <w:lang w:val="es-ES"/>
        </w:rPr>
        <w:tab/>
        <w:t>En el cuadro siguiente se muestran las estimaciones para 2026-2027, desglosadas por sección del Sector de Desarrollo de las Telecomunicaciones y comparadas con el presupuesto para 2024-2025. Muestra un crecimiento real negativo del 2,41%. La reducción se debe a la eliminación de los costos de la CMDT del presupuesto para 2026-2027.</w:t>
      </w:r>
    </w:p>
    <w:p w14:paraId="6C70B25D" w14:textId="220136D8" w:rsidR="002C59E7" w:rsidRPr="0030105A" w:rsidRDefault="00A27CB3" w:rsidP="002213BA">
      <w:pPr>
        <w:pStyle w:val="Figure"/>
        <w:rPr>
          <w:lang w:val="es-ES"/>
        </w:rPr>
      </w:pPr>
      <w:r w:rsidRPr="00A27CB3">
        <w:drawing>
          <wp:inline distT="0" distB="0" distL="0" distR="0" wp14:anchorId="2D80A2AA" wp14:editId="2B7AAC12">
            <wp:extent cx="5760085" cy="1685925"/>
            <wp:effectExtent l="0" t="0" r="0" b="9525"/>
            <wp:docPr id="13376596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685925"/>
                    </a:xfrm>
                    <a:prstGeom prst="rect">
                      <a:avLst/>
                    </a:prstGeom>
                    <a:noFill/>
                    <a:ln>
                      <a:noFill/>
                    </a:ln>
                  </pic:spPr>
                </pic:pic>
              </a:graphicData>
            </a:graphic>
          </wp:inline>
        </w:drawing>
      </w:r>
    </w:p>
    <w:p w14:paraId="3A778250" w14:textId="1DD0DD02" w:rsidR="002C59E7" w:rsidRPr="0030105A" w:rsidRDefault="002C59E7" w:rsidP="002213BA">
      <w:pPr>
        <w:jc w:val="both"/>
        <w:rPr>
          <w:noProof/>
        </w:rPr>
      </w:pPr>
      <w:r w:rsidRPr="0030105A">
        <w:rPr>
          <w:noProof/>
        </w:rPr>
        <w:lastRenderedPageBreak/>
        <w:t>En el siguiente gráfico se muestra el desglose por categoría de las estimaciones para 2026</w:t>
      </w:r>
      <w:r w:rsidR="00AE1477">
        <w:rPr>
          <w:noProof/>
        </w:rPr>
        <w:noBreakHyphen/>
      </w:r>
      <w:r w:rsidRPr="0030105A">
        <w:rPr>
          <w:noProof/>
        </w:rPr>
        <w:t>2027. Gastos de personal y Otros gastos de personal representan aproximadamente el</w:t>
      </w:r>
      <w:r w:rsidR="002440C0">
        <w:rPr>
          <w:noProof/>
        </w:rPr>
        <w:t> </w:t>
      </w:r>
      <w:r w:rsidRPr="0030105A">
        <w:rPr>
          <w:noProof/>
        </w:rPr>
        <w:t>83</w:t>
      </w:r>
      <w:r w:rsidR="00AE1477">
        <w:rPr>
          <w:noProof/>
        </w:rPr>
        <w:t> </w:t>
      </w:r>
      <w:r w:rsidRPr="0030105A">
        <w:rPr>
          <w:noProof/>
        </w:rPr>
        <w:t>%.</w:t>
      </w:r>
    </w:p>
    <w:p w14:paraId="15CEF987" w14:textId="121147F6" w:rsidR="002C59E7" w:rsidRPr="0030105A" w:rsidRDefault="003B205D" w:rsidP="002213BA">
      <w:pPr>
        <w:pStyle w:val="Figure"/>
        <w:rPr>
          <w:lang w:val="es-ES"/>
        </w:rPr>
      </w:pPr>
      <w:r w:rsidRPr="003B205D">
        <w:rPr>
          <w:lang w:val="es-ES"/>
        </w:rPr>
        <w:drawing>
          <wp:inline distT="0" distB="0" distL="0" distR="0" wp14:anchorId="3C025061" wp14:editId="4E215B56">
            <wp:extent cx="2845613" cy="2281736"/>
            <wp:effectExtent l="0" t="0" r="0" b="4445"/>
            <wp:docPr id="941683405" name="Picture 1" descr="A pie chart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83405" name="Picture 1" descr="A pie chart with numbers and a number of people&#10;&#10;AI-generated content may be incorrect."/>
                    <pic:cNvPicPr/>
                  </pic:nvPicPr>
                  <pic:blipFill>
                    <a:blip r:embed="rId35"/>
                    <a:stretch>
                      <a:fillRect/>
                    </a:stretch>
                  </pic:blipFill>
                  <pic:spPr>
                    <a:xfrm>
                      <a:off x="0" y="0"/>
                      <a:ext cx="2851229" cy="2286239"/>
                    </a:xfrm>
                    <a:prstGeom prst="rect">
                      <a:avLst/>
                    </a:prstGeom>
                  </pic:spPr>
                </pic:pic>
              </a:graphicData>
            </a:graphic>
          </wp:inline>
        </w:drawing>
      </w:r>
    </w:p>
    <w:p w14:paraId="404767F1" w14:textId="77777777" w:rsidR="002C59E7" w:rsidRPr="00925DAF" w:rsidRDefault="002C59E7" w:rsidP="00483E10">
      <w:pPr>
        <w:pStyle w:val="Heading1"/>
        <w:rPr>
          <w:noProof/>
          <w:lang w:val="es-ES"/>
        </w:rPr>
      </w:pPr>
      <w:bookmarkStart w:id="1" w:name="_Hlk196840751"/>
      <w:r w:rsidRPr="00925DAF">
        <w:rPr>
          <w:noProof/>
          <w:lang w:val="es-ES"/>
        </w:rPr>
        <w:t>4</w:t>
      </w:r>
      <w:r w:rsidRPr="00925DAF">
        <w:rPr>
          <w:noProof/>
          <w:lang w:val="es-ES"/>
        </w:rPr>
        <w:tab/>
        <w:t>Ingresos por fuente</w:t>
      </w:r>
    </w:p>
    <w:p w14:paraId="0E6B4F5D" w14:textId="14DDC92B" w:rsidR="002C59E7" w:rsidRPr="0030105A" w:rsidRDefault="002C59E7" w:rsidP="002213BA">
      <w:pPr>
        <w:jc w:val="both"/>
        <w:rPr>
          <w:noProof/>
          <w:lang w:val="es-ES"/>
        </w:rPr>
      </w:pPr>
      <w:r w:rsidRPr="0030105A">
        <w:rPr>
          <w:noProof/>
          <w:lang w:val="es-ES"/>
        </w:rPr>
        <w:t>4.1</w:t>
      </w:r>
      <w:r w:rsidRPr="0030105A">
        <w:rPr>
          <w:noProof/>
          <w:lang w:val="es-ES"/>
        </w:rPr>
        <w:tab/>
        <w:t>En este capítulo se presenta información sobre las estimaciones de ingresos para 2026</w:t>
      </w:r>
      <w:r w:rsidR="00AE1477">
        <w:rPr>
          <w:noProof/>
          <w:lang w:val="es-ES"/>
        </w:rPr>
        <w:noBreakHyphen/>
      </w:r>
      <w:r w:rsidRPr="0030105A">
        <w:rPr>
          <w:noProof/>
          <w:lang w:val="es-ES"/>
        </w:rPr>
        <w:t xml:space="preserve">2027 desglosadas por fuente, </w:t>
      </w:r>
      <w:r w:rsidRPr="002213BA">
        <w:rPr>
          <w:noProof/>
        </w:rPr>
        <w:t>según</w:t>
      </w:r>
      <w:r w:rsidRPr="0030105A">
        <w:rPr>
          <w:noProof/>
          <w:lang w:val="es-ES"/>
        </w:rPr>
        <w:t xml:space="preserve"> se define en el Artículo 7 del Reglamento Financiero.</w:t>
      </w:r>
    </w:p>
    <w:p w14:paraId="45D048D9" w14:textId="6D702820" w:rsidR="002C59E7" w:rsidRPr="0030105A" w:rsidRDefault="002C59E7" w:rsidP="002213BA">
      <w:pPr>
        <w:jc w:val="both"/>
        <w:rPr>
          <w:noProof/>
          <w:lang w:val="es-ES"/>
        </w:rPr>
      </w:pPr>
      <w:r w:rsidRPr="0030105A">
        <w:rPr>
          <w:noProof/>
          <w:lang w:val="es-ES"/>
        </w:rPr>
        <w:t>4.2</w:t>
      </w:r>
      <w:r w:rsidRPr="0030105A">
        <w:rPr>
          <w:noProof/>
          <w:lang w:val="es-ES"/>
        </w:rPr>
        <w:tab/>
        <w:t>En el cuadro siguiente se presentan las proyecciones ingresos para 2026-2027 en comparación con el Plan Financiero, el presupuesto para 2024-2025 y los ingresos reales de 2024. Los ingresos previstos para 2026-2027 superan en 3,6</w:t>
      </w:r>
      <w:r w:rsidR="00AE1477">
        <w:rPr>
          <w:noProof/>
          <w:lang w:val="es-ES"/>
        </w:rPr>
        <w:t> </w:t>
      </w:r>
      <w:r w:rsidRPr="0030105A">
        <w:rPr>
          <w:noProof/>
          <w:lang w:val="es-ES"/>
        </w:rPr>
        <w:t>millones</w:t>
      </w:r>
      <w:r w:rsidR="00AE1477">
        <w:rPr>
          <w:noProof/>
          <w:lang w:val="es-ES"/>
        </w:rPr>
        <w:t> </w:t>
      </w:r>
      <w:r w:rsidRPr="0030105A">
        <w:rPr>
          <w:noProof/>
          <w:lang w:val="es-ES"/>
        </w:rPr>
        <w:t>CHF los ingresos previstos por la Conferencia de Plenipotenciarios cuando se aprobó el Plan Financiero para 2024-2027. Las variaciones entre 2026 y 2027 se deben principalmente a las diferencias de programación (PP en 2026 y CMR, AR y RPC en 2027). Está previsto que se ingresen 2,8</w:t>
      </w:r>
      <w:r w:rsidR="00AE1477">
        <w:rPr>
          <w:noProof/>
          <w:lang w:val="es-ES"/>
        </w:rPr>
        <w:t> </w:t>
      </w:r>
      <w:r w:rsidRPr="0030105A">
        <w:rPr>
          <w:noProof/>
          <w:lang w:val="es-ES"/>
        </w:rPr>
        <w:t>millones</w:t>
      </w:r>
      <w:r w:rsidR="00AE1477">
        <w:rPr>
          <w:noProof/>
          <w:lang w:val="es-ES"/>
        </w:rPr>
        <w:t> </w:t>
      </w:r>
      <w:r w:rsidRPr="0030105A">
        <w:rPr>
          <w:noProof/>
          <w:lang w:val="es-ES"/>
        </w:rPr>
        <w:t>CHF en la cuenta de provisión en 2026, que se retirarán en 2027 para compensar la variación de gastos entre los dos años del bienio. La aportación al fondo de conservación de los edificios es inferior al capital anual estimado de 2</w:t>
      </w:r>
      <w:r w:rsidR="00AE1477">
        <w:rPr>
          <w:noProof/>
          <w:lang w:val="es-ES"/>
        </w:rPr>
        <w:t> </w:t>
      </w:r>
      <w:r w:rsidRPr="0030105A">
        <w:rPr>
          <w:noProof/>
          <w:lang w:val="es-ES"/>
        </w:rPr>
        <w:t>millones</w:t>
      </w:r>
      <w:r w:rsidR="00AE1477">
        <w:rPr>
          <w:noProof/>
          <w:lang w:val="es-ES"/>
        </w:rPr>
        <w:t> </w:t>
      </w:r>
      <w:r w:rsidRPr="0030105A">
        <w:rPr>
          <w:noProof/>
          <w:lang w:val="es-ES"/>
        </w:rPr>
        <w:t>CHF para el mantenimiento de los edificios de la Torre y Montbrillant recomendado por la Secretaría al GTC-RHF en su reunión de febrero de 2025 (</w:t>
      </w:r>
      <w:r w:rsidR="00483E10">
        <w:rPr>
          <w:noProof/>
          <w:lang w:val="es-ES"/>
        </w:rPr>
        <w:t xml:space="preserve">Doc. </w:t>
      </w:r>
      <w:hyperlink r:id="rId36" w:history="1">
        <w:r w:rsidRPr="0030105A">
          <w:rPr>
            <w:rStyle w:val="Hyperlink"/>
            <w:noProof/>
            <w:lang w:val="es-ES"/>
          </w:rPr>
          <w:t>CWG-FHR 20/8</w:t>
        </w:r>
      </w:hyperlink>
      <w:r w:rsidRPr="0030105A">
        <w:rPr>
          <w:noProof/>
          <w:lang w:val="es-ES"/>
        </w:rPr>
        <w:t>); no obstante, en este momento es imposible asignar una aportación mayor debido a las limitaciones presupuestarias.</w:t>
      </w:r>
      <w:bookmarkEnd w:id="1"/>
    </w:p>
    <w:p w14:paraId="62879129" w14:textId="39A19331" w:rsidR="002C59E7" w:rsidRPr="0030105A" w:rsidRDefault="004F7ED4" w:rsidP="00483E10">
      <w:pPr>
        <w:pStyle w:val="Figure"/>
        <w:rPr>
          <w:lang w:val="es-ES"/>
        </w:rPr>
      </w:pPr>
      <w:r w:rsidRPr="004F7ED4">
        <w:drawing>
          <wp:inline distT="0" distB="0" distL="0" distR="0" wp14:anchorId="3DC77217" wp14:editId="623435BB">
            <wp:extent cx="5758699" cy="1733910"/>
            <wp:effectExtent l="0" t="0" r="0" b="0"/>
            <wp:docPr id="16527830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1296" cy="1737703"/>
                    </a:xfrm>
                    <a:prstGeom prst="rect">
                      <a:avLst/>
                    </a:prstGeom>
                    <a:noFill/>
                    <a:ln>
                      <a:noFill/>
                    </a:ln>
                  </pic:spPr>
                </pic:pic>
              </a:graphicData>
            </a:graphic>
          </wp:inline>
        </w:drawing>
      </w:r>
    </w:p>
    <w:p w14:paraId="65802E9D" w14:textId="2CDEA560" w:rsidR="002C59E7" w:rsidRDefault="002C59E7" w:rsidP="002213BA">
      <w:pPr>
        <w:jc w:val="both"/>
        <w:rPr>
          <w:noProof/>
          <w:lang w:val="es-ES"/>
        </w:rPr>
      </w:pPr>
      <w:r w:rsidRPr="0030105A">
        <w:rPr>
          <w:noProof/>
          <w:lang w:val="es-ES"/>
        </w:rPr>
        <w:t>4.3</w:t>
      </w:r>
      <w:r w:rsidRPr="0030105A">
        <w:rPr>
          <w:noProof/>
          <w:lang w:val="es-ES"/>
        </w:rPr>
        <w:tab/>
        <w:t>Las contribuciones previstas aumentaron ligeramente en 580</w:t>
      </w:r>
      <w:r w:rsidR="00AE1477">
        <w:rPr>
          <w:noProof/>
          <w:lang w:val="es-ES"/>
        </w:rPr>
        <w:t> </w:t>
      </w:r>
      <w:r w:rsidRPr="0030105A">
        <w:rPr>
          <w:noProof/>
          <w:lang w:val="es-ES"/>
        </w:rPr>
        <w:t>000</w:t>
      </w:r>
      <w:r w:rsidR="00AE1477">
        <w:rPr>
          <w:noProof/>
          <w:lang w:val="es-ES"/>
        </w:rPr>
        <w:t> </w:t>
      </w:r>
      <w:r w:rsidRPr="0030105A">
        <w:rPr>
          <w:noProof/>
          <w:lang w:val="es-ES"/>
        </w:rPr>
        <w:t>CHF, aunque el valor de la unidad contributiva se ha mantenido en 318</w:t>
      </w:r>
      <w:r w:rsidR="00AE1477">
        <w:rPr>
          <w:noProof/>
          <w:lang w:val="es-ES"/>
        </w:rPr>
        <w:t> </w:t>
      </w:r>
      <w:r w:rsidRPr="0030105A">
        <w:rPr>
          <w:noProof/>
          <w:lang w:val="es-ES"/>
        </w:rPr>
        <w:t>000</w:t>
      </w:r>
      <w:r w:rsidR="00AE1477">
        <w:rPr>
          <w:noProof/>
          <w:lang w:val="es-ES"/>
        </w:rPr>
        <w:t> </w:t>
      </w:r>
      <w:r w:rsidRPr="0030105A">
        <w:rPr>
          <w:noProof/>
          <w:lang w:val="es-ES"/>
        </w:rPr>
        <w:t>CHF, de conformidad con la Decisión</w:t>
      </w:r>
      <w:r w:rsidR="00925DAF">
        <w:rPr>
          <w:noProof/>
          <w:lang w:val="es-ES"/>
        </w:rPr>
        <w:t> </w:t>
      </w:r>
      <w:r w:rsidRPr="0030105A">
        <w:rPr>
          <w:noProof/>
          <w:lang w:val="es-ES"/>
        </w:rPr>
        <w:t>5</w:t>
      </w:r>
      <w:r w:rsidR="00AE1477">
        <w:rPr>
          <w:noProof/>
          <w:lang w:val="es-ES"/>
        </w:rPr>
        <w:t> </w:t>
      </w:r>
      <w:r w:rsidRPr="0030105A">
        <w:rPr>
          <w:noProof/>
          <w:lang w:val="es-ES"/>
        </w:rPr>
        <w:t xml:space="preserve">(Rev. Bucarest, 2022). Como se indica en el siguiente cuadro, el aumento que se cree que experimentarán las contribuciones previstas en comparación con el Plan Financiero </w:t>
      </w:r>
      <w:r w:rsidRPr="0030105A">
        <w:rPr>
          <w:noProof/>
          <w:lang w:val="es-ES"/>
        </w:rPr>
        <w:lastRenderedPageBreak/>
        <w:t xml:space="preserve">se debe principalmente al aumento del número de Miembros Asociados, y también se esperan incrementos menos significativos de otros Miembros de Sector, las Instituciones Académicas y un nuevo </w:t>
      </w:r>
      <w:r w:rsidRPr="002213BA">
        <w:rPr>
          <w:noProof/>
        </w:rPr>
        <w:t>Estado</w:t>
      </w:r>
      <w:r w:rsidRPr="0030105A">
        <w:rPr>
          <w:noProof/>
          <w:lang w:val="es-ES"/>
        </w:rPr>
        <w:t xml:space="preserve"> Miembro de la UIT. </w:t>
      </w:r>
    </w:p>
    <w:p w14:paraId="3777D9CD" w14:textId="0BEB59AE" w:rsidR="002261DA" w:rsidRDefault="002261DA" w:rsidP="002213BA">
      <w:pPr>
        <w:pStyle w:val="Figure"/>
        <w:rPr>
          <w:lang w:val="es-ES"/>
        </w:rPr>
      </w:pPr>
      <w:r w:rsidRPr="002261DA">
        <w:rPr>
          <w:lang w:val="es-ES"/>
        </w:rPr>
        <w:drawing>
          <wp:inline distT="0" distB="0" distL="0" distR="0" wp14:anchorId="5EDC1145" wp14:editId="2C2DB380">
            <wp:extent cx="5760085" cy="2414270"/>
            <wp:effectExtent l="0" t="0" r="0" b="5080"/>
            <wp:docPr id="138531285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12855" name="Picture 1" descr="A screenshot of a graph&#10;&#10;AI-generated content may be incorrect."/>
                    <pic:cNvPicPr/>
                  </pic:nvPicPr>
                  <pic:blipFill>
                    <a:blip r:embed="rId38"/>
                    <a:stretch>
                      <a:fillRect/>
                    </a:stretch>
                  </pic:blipFill>
                  <pic:spPr>
                    <a:xfrm>
                      <a:off x="0" y="0"/>
                      <a:ext cx="5760085" cy="2414270"/>
                    </a:xfrm>
                    <a:prstGeom prst="rect">
                      <a:avLst/>
                    </a:prstGeom>
                  </pic:spPr>
                </pic:pic>
              </a:graphicData>
            </a:graphic>
          </wp:inline>
        </w:drawing>
      </w:r>
    </w:p>
    <w:p w14:paraId="039E3CC8" w14:textId="6CCA2923" w:rsidR="002C59E7" w:rsidRPr="0030105A" w:rsidRDefault="002C59E7" w:rsidP="002213BA">
      <w:pPr>
        <w:jc w:val="both"/>
        <w:rPr>
          <w:noProof/>
          <w:lang w:val="es-ES"/>
        </w:rPr>
      </w:pPr>
      <w:r w:rsidRPr="0030105A">
        <w:rPr>
          <w:noProof/>
          <w:lang w:val="es-ES"/>
        </w:rPr>
        <w:t>4.4</w:t>
      </w:r>
      <w:r w:rsidRPr="0030105A">
        <w:rPr>
          <w:noProof/>
          <w:lang w:val="es-ES"/>
        </w:rPr>
        <w:tab/>
        <w:t xml:space="preserve">En comparación con el Plan Financiero, se espera una reducción limitada de los ingresos por recuperación de costes por la venta de publicaciones en 2026-2027, debido al programa de </w:t>
      </w:r>
      <w:r w:rsidRPr="002213BA">
        <w:rPr>
          <w:noProof/>
        </w:rPr>
        <w:t>publicaciones</w:t>
      </w:r>
      <w:r w:rsidRPr="0030105A">
        <w:rPr>
          <w:noProof/>
          <w:lang w:val="es-ES"/>
        </w:rPr>
        <w:t xml:space="preserve"> para este periodo, que incluirá una CMR. </w:t>
      </w:r>
    </w:p>
    <w:p w14:paraId="688E8924" w14:textId="063E3E27" w:rsidR="002C59E7" w:rsidRPr="0030105A" w:rsidRDefault="002C59E7" w:rsidP="002213BA">
      <w:pPr>
        <w:jc w:val="both"/>
        <w:rPr>
          <w:noProof/>
          <w:lang w:val="es-ES"/>
        </w:rPr>
      </w:pPr>
      <w:r w:rsidRPr="0030105A">
        <w:rPr>
          <w:noProof/>
          <w:lang w:val="es-ES"/>
        </w:rPr>
        <w:t>4.5</w:t>
      </w:r>
      <w:r w:rsidRPr="0030105A">
        <w:rPr>
          <w:noProof/>
          <w:lang w:val="es-ES"/>
        </w:rPr>
        <w:tab/>
        <w:t>En lo que respecta a la recuperación de costes de las notificaciones de redes de satélite (SNF), se estima que los costes anuales totales de la labor de la UIT en este ámbito ascienden a 22,8</w:t>
      </w:r>
      <w:r w:rsidR="00925DAF">
        <w:rPr>
          <w:noProof/>
          <w:lang w:val="es-ES"/>
        </w:rPr>
        <w:t> </w:t>
      </w:r>
      <w:r w:rsidRPr="0030105A">
        <w:rPr>
          <w:noProof/>
          <w:lang w:val="es-ES"/>
        </w:rPr>
        <w:t>millones</w:t>
      </w:r>
      <w:r w:rsidR="00925DAF">
        <w:rPr>
          <w:noProof/>
          <w:lang w:val="es-ES"/>
        </w:rPr>
        <w:t> </w:t>
      </w:r>
      <w:r w:rsidRPr="0030105A">
        <w:rPr>
          <w:noProof/>
          <w:lang w:val="es-ES"/>
        </w:rPr>
        <w:t>CHF, aunque las estimaciones para 2026-2027 contemplan un total de solo 18</w:t>
      </w:r>
      <w:r w:rsidR="00925DAF">
        <w:rPr>
          <w:noProof/>
          <w:lang w:val="es-ES"/>
        </w:rPr>
        <w:t> </w:t>
      </w:r>
      <w:r w:rsidRPr="002213BA">
        <w:rPr>
          <w:noProof/>
        </w:rPr>
        <w:t>millones</w:t>
      </w:r>
      <w:r w:rsidR="00925DAF">
        <w:rPr>
          <w:noProof/>
          <w:lang w:val="es-ES"/>
        </w:rPr>
        <w:t> </w:t>
      </w:r>
      <w:r w:rsidRPr="0030105A">
        <w:rPr>
          <w:noProof/>
          <w:lang w:val="es-ES"/>
        </w:rPr>
        <w:t>CHF. Este cálculo se basa en la propuesta de la Secretaría para modificar la aplicación de las recomendaciones del EG-DEC482, que se presentará al Consejo en 2025. En esta propuesta se reconocen los problemas prácticos que plantea la recuperación de todos los costos identificados por la Secretaría y se propone aplicar límites de referencia. Además de la estimación total de costos de referencia, se propone asignar 1</w:t>
      </w:r>
      <w:r w:rsidR="00925DAF">
        <w:rPr>
          <w:noProof/>
          <w:lang w:val="es-ES"/>
        </w:rPr>
        <w:t> </w:t>
      </w:r>
      <w:r w:rsidRPr="0030105A">
        <w:rPr>
          <w:noProof/>
          <w:lang w:val="es-ES"/>
        </w:rPr>
        <w:t>millón</w:t>
      </w:r>
      <w:r w:rsidR="00925DAF">
        <w:rPr>
          <w:noProof/>
          <w:lang w:val="es-ES"/>
        </w:rPr>
        <w:t> </w:t>
      </w:r>
      <w:r w:rsidRPr="0030105A">
        <w:rPr>
          <w:noProof/>
          <w:lang w:val="es-ES"/>
        </w:rPr>
        <w:t xml:space="preserve">CHF adicional por año, que se abonará al Fondo de las TIC, para compensar el costo del programa de mejora del </w:t>
      </w:r>
      <w:r w:rsidRPr="0030105A">
        <w:rPr>
          <w:i/>
          <w:iCs/>
          <w:noProof/>
          <w:lang w:val="es-ES"/>
        </w:rPr>
        <w:t xml:space="preserve">software </w:t>
      </w:r>
      <w:r w:rsidRPr="0030105A">
        <w:rPr>
          <w:noProof/>
          <w:lang w:val="es-ES"/>
        </w:rPr>
        <w:t>de la BR que es necesario para facilitar las actividades de SNF. En el Documento</w:t>
      </w:r>
      <w:r w:rsidR="00483E10">
        <w:rPr>
          <w:noProof/>
          <w:lang w:val="es-ES"/>
        </w:rPr>
        <w:t> </w:t>
      </w:r>
      <w:hyperlink r:id="rId39" w:history="1">
        <w:r w:rsidRPr="0030105A">
          <w:rPr>
            <w:rStyle w:val="Hyperlink"/>
            <w:noProof/>
            <w:lang w:val="es-ES"/>
          </w:rPr>
          <w:t>C25/64</w:t>
        </w:r>
      </w:hyperlink>
      <w:r w:rsidRPr="0030105A">
        <w:rPr>
          <w:noProof/>
          <w:lang w:val="es-ES"/>
        </w:rPr>
        <w:t xml:space="preserve"> la Secretaría ha propuesto que este importe se tome de las tasas de SNF. Si no se aprueban los ingresos adicionales, se suprimirá esta disposición.</w:t>
      </w:r>
    </w:p>
    <w:p w14:paraId="3F30102A" w14:textId="77777777" w:rsidR="002C59E7" w:rsidRPr="0030105A" w:rsidRDefault="002C59E7" w:rsidP="002213BA">
      <w:pPr>
        <w:jc w:val="both"/>
        <w:rPr>
          <w:noProof/>
          <w:lang w:val="es-ES"/>
        </w:rPr>
      </w:pPr>
      <w:r w:rsidRPr="0030105A">
        <w:rPr>
          <w:noProof/>
          <w:lang w:val="es-ES"/>
        </w:rPr>
        <w:t>4.6</w:t>
      </w:r>
      <w:r w:rsidRPr="0030105A">
        <w:rPr>
          <w:noProof/>
          <w:lang w:val="es-ES"/>
        </w:rPr>
        <w:tab/>
        <w:t xml:space="preserve">Se espera que los ingresos en concepto de apoyo a proyectos sigan aumentando, como ha ocurrido </w:t>
      </w:r>
      <w:r w:rsidRPr="002213BA">
        <w:rPr>
          <w:noProof/>
        </w:rPr>
        <w:t>en</w:t>
      </w:r>
      <w:r w:rsidRPr="0030105A">
        <w:rPr>
          <w:noProof/>
          <w:lang w:val="es-ES"/>
        </w:rPr>
        <w:t xml:space="preserve"> los últimos años. El excedente de la estimación del Plan Financiero se ingresará en el Fondo de Desarrollo de las TIC.</w:t>
      </w:r>
    </w:p>
    <w:p w14:paraId="31E8ECEE" w14:textId="5E72E504" w:rsidR="002C59E7" w:rsidRPr="0030105A" w:rsidRDefault="004F7ED4" w:rsidP="00483E10">
      <w:pPr>
        <w:pStyle w:val="Figure"/>
        <w:rPr>
          <w:lang w:val="es-ES"/>
        </w:rPr>
      </w:pPr>
      <w:r w:rsidRPr="004F7ED4">
        <w:drawing>
          <wp:inline distT="0" distB="0" distL="0" distR="0" wp14:anchorId="39F8E7E6" wp14:editId="76C66CAA">
            <wp:extent cx="5760085" cy="2053087"/>
            <wp:effectExtent l="0" t="0" r="0" b="4445"/>
            <wp:docPr id="54501201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0940" cy="2056956"/>
                    </a:xfrm>
                    <a:prstGeom prst="rect">
                      <a:avLst/>
                    </a:prstGeom>
                    <a:noFill/>
                    <a:ln>
                      <a:noFill/>
                    </a:ln>
                  </pic:spPr>
                </pic:pic>
              </a:graphicData>
            </a:graphic>
          </wp:inline>
        </w:drawing>
      </w:r>
    </w:p>
    <w:p w14:paraId="4FD63FDA" w14:textId="238DE2AE" w:rsidR="002C59E7" w:rsidRPr="0030105A" w:rsidRDefault="002C59E7" w:rsidP="002213BA">
      <w:pPr>
        <w:jc w:val="both"/>
        <w:rPr>
          <w:noProof/>
          <w:lang w:val="es-ES"/>
        </w:rPr>
      </w:pPr>
      <w:r w:rsidRPr="0030105A">
        <w:rPr>
          <w:noProof/>
          <w:lang w:val="es-ES"/>
        </w:rPr>
        <w:lastRenderedPageBreak/>
        <w:t>4.7</w:t>
      </w:r>
      <w:r w:rsidRPr="0030105A">
        <w:rPr>
          <w:noProof/>
          <w:lang w:val="es-ES"/>
        </w:rPr>
        <w:tab/>
        <w:t>Como se indica en el cuadro siguiente, se han ajustado los intereses previstos y otros ingresos de acuerdo con los resultados obtenidos en los últimos años. Se calcula que los ingresos por intereses aumentarán en 3,6</w:t>
      </w:r>
      <w:r w:rsidR="00925DAF">
        <w:rPr>
          <w:noProof/>
          <w:lang w:val="es-ES"/>
        </w:rPr>
        <w:t> </w:t>
      </w:r>
      <w:r w:rsidRPr="0030105A">
        <w:rPr>
          <w:noProof/>
          <w:lang w:val="es-ES"/>
        </w:rPr>
        <w:t>millones</w:t>
      </w:r>
      <w:r w:rsidR="00925DAF">
        <w:rPr>
          <w:noProof/>
          <w:lang w:val="es-ES"/>
        </w:rPr>
        <w:t> </w:t>
      </w:r>
      <w:r w:rsidRPr="0030105A">
        <w:rPr>
          <w:noProof/>
          <w:lang w:val="es-ES"/>
        </w:rPr>
        <w:t>CHF, mientras que otros ingresos aumentarán en 0,5</w:t>
      </w:r>
      <w:r w:rsidR="00925DAF">
        <w:rPr>
          <w:noProof/>
          <w:lang w:val="es-ES"/>
        </w:rPr>
        <w:t> </w:t>
      </w:r>
      <w:r w:rsidRPr="0030105A">
        <w:rPr>
          <w:noProof/>
          <w:lang w:val="es-ES"/>
        </w:rPr>
        <w:t>millones</w:t>
      </w:r>
      <w:r w:rsidR="00925DAF">
        <w:rPr>
          <w:noProof/>
          <w:lang w:val="es-ES"/>
        </w:rPr>
        <w:t> </w:t>
      </w:r>
      <w:r w:rsidRPr="0030105A">
        <w:rPr>
          <w:noProof/>
          <w:lang w:val="es-ES"/>
        </w:rPr>
        <w:t xml:space="preserve">CHF. </w:t>
      </w:r>
    </w:p>
    <w:p w14:paraId="695C5C6B" w14:textId="280B7D81" w:rsidR="002C59E7" w:rsidRPr="0030105A" w:rsidRDefault="004F7ED4" w:rsidP="00483E10">
      <w:pPr>
        <w:pStyle w:val="Figure"/>
        <w:rPr>
          <w:lang w:val="es-ES"/>
        </w:rPr>
      </w:pPr>
      <w:r w:rsidRPr="004F7ED4">
        <w:drawing>
          <wp:inline distT="0" distB="0" distL="0" distR="0" wp14:anchorId="5ED64C4D" wp14:editId="5D61B208">
            <wp:extent cx="5760085" cy="1293963"/>
            <wp:effectExtent l="0" t="0" r="0" b="1905"/>
            <wp:docPr id="4149533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591" cy="1297446"/>
                    </a:xfrm>
                    <a:prstGeom prst="rect">
                      <a:avLst/>
                    </a:prstGeom>
                    <a:noFill/>
                    <a:ln>
                      <a:noFill/>
                    </a:ln>
                  </pic:spPr>
                </pic:pic>
              </a:graphicData>
            </a:graphic>
          </wp:inline>
        </w:drawing>
      </w:r>
    </w:p>
    <w:p w14:paraId="4F45C3E3" w14:textId="77777777" w:rsidR="002C59E7" w:rsidRPr="00925DAF" w:rsidRDefault="002C59E7" w:rsidP="00483E10">
      <w:pPr>
        <w:pStyle w:val="Heading1"/>
        <w:rPr>
          <w:noProof/>
          <w:lang w:val="es-ES"/>
        </w:rPr>
      </w:pPr>
      <w:r w:rsidRPr="00925DAF">
        <w:rPr>
          <w:noProof/>
          <w:lang w:val="es-ES"/>
        </w:rPr>
        <w:t>5</w:t>
      </w:r>
      <w:r w:rsidRPr="00925DAF">
        <w:rPr>
          <w:noProof/>
          <w:lang w:val="es-ES"/>
        </w:rPr>
        <w:tab/>
        <w:t>Servicios lingüísticos</w:t>
      </w:r>
    </w:p>
    <w:p w14:paraId="4278BC59" w14:textId="3A778064" w:rsidR="002C59E7" w:rsidRPr="0030105A" w:rsidRDefault="002C59E7" w:rsidP="002213BA">
      <w:pPr>
        <w:jc w:val="both"/>
        <w:rPr>
          <w:rFonts w:asciiTheme="minorHAnsi" w:hAnsiTheme="minorHAnsi"/>
          <w:noProof/>
          <w:lang w:val="es-ES"/>
        </w:rPr>
      </w:pPr>
      <w:r w:rsidRPr="0030105A">
        <w:rPr>
          <w:noProof/>
          <w:lang w:val="es-ES"/>
        </w:rPr>
        <w:t>5.1</w:t>
      </w:r>
      <w:r w:rsidRPr="0030105A">
        <w:rPr>
          <w:noProof/>
          <w:lang w:val="es-ES"/>
        </w:rPr>
        <w:tab/>
        <w:t xml:space="preserve">De acuerdo con el </w:t>
      </w:r>
      <w:r w:rsidRPr="0030105A">
        <w:rPr>
          <w:i/>
          <w:iCs/>
          <w:noProof/>
          <w:lang w:val="es-ES"/>
        </w:rPr>
        <w:t xml:space="preserve">decide </w:t>
      </w:r>
      <w:r w:rsidRPr="0030105A">
        <w:rPr>
          <w:noProof/>
          <w:lang w:val="es-ES"/>
        </w:rPr>
        <w:t>1.2 de la Decisión 5 (Rev. Bucarest, 2022), los gastos de interpretación, traducción y tratamiento de textos en los idiomas oficiales de la Unión no superarán 85</w:t>
      </w:r>
      <w:r w:rsidR="00925DAF">
        <w:rPr>
          <w:noProof/>
          <w:lang w:val="es-ES"/>
        </w:rPr>
        <w:t> </w:t>
      </w:r>
      <w:r w:rsidRPr="0030105A">
        <w:rPr>
          <w:noProof/>
          <w:lang w:val="es-ES"/>
        </w:rPr>
        <w:t>millones</w:t>
      </w:r>
      <w:r w:rsidR="00925DAF">
        <w:rPr>
          <w:noProof/>
          <w:lang w:val="es-ES"/>
        </w:rPr>
        <w:t> </w:t>
      </w:r>
      <w:r w:rsidRPr="0030105A">
        <w:rPr>
          <w:noProof/>
          <w:lang w:val="es-ES"/>
        </w:rPr>
        <w:t>CHF para el periodo 2024-2027.</w:t>
      </w:r>
    </w:p>
    <w:p w14:paraId="2CDE76DA" w14:textId="77777777" w:rsidR="002C59E7" w:rsidRPr="0030105A" w:rsidRDefault="002C59E7" w:rsidP="002213BA">
      <w:pPr>
        <w:jc w:val="both"/>
        <w:rPr>
          <w:rFonts w:asciiTheme="minorHAnsi" w:hAnsiTheme="minorHAnsi"/>
          <w:noProof/>
          <w:lang w:val="es-ES"/>
        </w:rPr>
      </w:pPr>
      <w:r w:rsidRPr="0030105A">
        <w:rPr>
          <w:noProof/>
          <w:lang w:val="es-ES"/>
        </w:rPr>
        <w:t>5.2</w:t>
      </w:r>
      <w:r w:rsidRPr="0030105A">
        <w:rPr>
          <w:noProof/>
          <w:lang w:val="es-ES"/>
        </w:rPr>
        <w:tab/>
        <w:t xml:space="preserve">En el siguiente cuadro se refleja la estimación del gasto en servicios lingüísticos para 2026-2027 en comparación con 2024-2025, que está muy por debajo de la cuantía máxima prevista y se espera que siga </w:t>
      </w:r>
      <w:r w:rsidRPr="002213BA">
        <w:rPr>
          <w:noProof/>
        </w:rPr>
        <w:t>disminuyendo</w:t>
      </w:r>
      <w:r w:rsidRPr="0030105A">
        <w:rPr>
          <w:noProof/>
          <w:lang w:val="es-ES"/>
        </w:rPr>
        <w:t xml:space="preserve"> con el tiempo. La disminución de los costes de traducción a pesar del aumento del volumen (CMR-27, PP-26) se debe principalmente al ajuste de una distribución óptima de la capacidad fija/variable en las actividades de traducción y al aumento de la productividad. El incremento en el tratamiento de textos se debe al aumento del volumen. Por último, el mayor coste de la interpretación se debe al programa de conferencias, que incluye los dos eventos más importantes de la Unión (PP-26 y CMR-27).</w:t>
      </w:r>
    </w:p>
    <w:p w14:paraId="6D825ED6" w14:textId="6FA2675A" w:rsidR="002C59E7" w:rsidRPr="0030105A" w:rsidRDefault="007B2904" w:rsidP="00483E10">
      <w:pPr>
        <w:pStyle w:val="Figure"/>
        <w:rPr>
          <w:rFonts w:asciiTheme="minorHAnsi" w:hAnsiTheme="minorHAnsi"/>
          <w:lang w:val="es-ES"/>
        </w:rPr>
      </w:pPr>
      <w:r w:rsidRPr="007B2904">
        <w:drawing>
          <wp:inline distT="0" distB="0" distL="0" distR="0" wp14:anchorId="32A08730" wp14:editId="79A91C1D">
            <wp:extent cx="4524037" cy="1937982"/>
            <wp:effectExtent l="0" t="0" r="0" b="5715"/>
            <wp:docPr id="9079340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8819" cy="1940031"/>
                    </a:xfrm>
                    <a:prstGeom prst="rect">
                      <a:avLst/>
                    </a:prstGeom>
                    <a:noFill/>
                    <a:ln>
                      <a:noFill/>
                    </a:ln>
                  </pic:spPr>
                </pic:pic>
              </a:graphicData>
            </a:graphic>
          </wp:inline>
        </w:drawing>
      </w:r>
    </w:p>
    <w:p w14:paraId="3D7D292F" w14:textId="77777777" w:rsidR="002C59E7" w:rsidRPr="0030105A" w:rsidRDefault="002C59E7" w:rsidP="002213BA">
      <w:pPr>
        <w:jc w:val="both"/>
        <w:rPr>
          <w:rFonts w:asciiTheme="minorHAnsi" w:hAnsiTheme="minorHAnsi"/>
          <w:noProof/>
          <w:lang w:val="es-ES"/>
        </w:rPr>
      </w:pPr>
      <w:hyperlink w:anchor="Annex_B" w:history="1">
        <w:r w:rsidRPr="0030105A">
          <w:rPr>
            <w:noProof/>
            <w:lang w:val="es-ES"/>
          </w:rPr>
          <w:t xml:space="preserve">En el </w:t>
        </w:r>
        <w:hyperlink w:anchor="Annex_B" w:history="1">
          <w:r w:rsidRPr="0030105A">
            <w:rPr>
              <w:rStyle w:val="Hyperlink"/>
              <w:rFonts w:asciiTheme="minorHAnsi" w:hAnsiTheme="minorHAnsi"/>
              <w:noProof/>
              <w:lang w:val="es-ES"/>
            </w:rPr>
            <w:t>Anexo B</w:t>
          </w:r>
        </w:hyperlink>
        <w:r w:rsidRPr="0030105A">
          <w:rPr>
            <w:noProof/>
            <w:lang w:val="es-ES"/>
          </w:rPr>
          <w:t xml:space="preserve"> se desglosa el volumen de documentación para 2026-2027 y la evolución de los costes unitarios de traducción y </w:t>
        </w:r>
        <w:r w:rsidRPr="002213BA">
          <w:rPr>
            <w:noProof/>
          </w:rPr>
          <w:t>tratamiento</w:t>
        </w:r>
        <w:r w:rsidRPr="0030105A">
          <w:rPr>
            <w:noProof/>
            <w:lang w:val="es-ES"/>
          </w:rPr>
          <w:t xml:space="preserve"> de textos desde 2012.</w:t>
        </w:r>
      </w:hyperlink>
    </w:p>
    <w:p w14:paraId="05A1CA38" w14:textId="77777777" w:rsidR="002C59E7" w:rsidRPr="00163F01" w:rsidRDefault="002C59E7" w:rsidP="00483E10">
      <w:pPr>
        <w:pStyle w:val="Heading1"/>
      </w:pPr>
      <w:bookmarkStart w:id="2" w:name="OLE_LINK1"/>
      <w:r w:rsidRPr="00163F01">
        <w:t>6</w:t>
      </w:r>
      <w:r w:rsidRPr="00163F01">
        <w:tab/>
        <w:t>Becas</w:t>
      </w:r>
    </w:p>
    <w:p w14:paraId="2AD7672A" w14:textId="2F422D67" w:rsidR="002C59E7" w:rsidRPr="0030105A" w:rsidRDefault="002C59E7" w:rsidP="002213BA">
      <w:pPr>
        <w:jc w:val="both"/>
        <w:rPr>
          <w:rFonts w:asciiTheme="minorHAnsi" w:hAnsiTheme="minorHAnsi"/>
          <w:noProof/>
          <w:lang w:val="es-ES"/>
        </w:rPr>
      </w:pPr>
      <w:r w:rsidRPr="0030105A">
        <w:rPr>
          <w:noProof/>
          <w:lang w:val="es-ES"/>
        </w:rPr>
        <w:t>6.1</w:t>
      </w:r>
      <w:r w:rsidRPr="0030105A">
        <w:rPr>
          <w:noProof/>
          <w:lang w:val="es-ES"/>
        </w:rPr>
        <w:tab/>
        <w:t xml:space="preserve">Los gastos previstos en </w:t>
      </w:r>
      <w:r w:rsidRPr="002213BA">
        <w:rPr>
          <w:noProof/>
        </w:rPr>
        <w:t>concepto</w:t>
      </w:r>
      <w:r w:rsidRPr="0030105A">
        <w:rPr>
          <w:noProof/>
          <w:lang w:val="es-ES"/>
        </w:rPr>
        <w:t xml:space="preserve"> de becas ascienden a 1</w:t>
      </w:r>
      <w:r w:rsidR="00925DAF">
        <w:rPr>
          <w:noProof/>
          <w:lang w:val="es-ES"/>
        </w:rPr>
        <w:t> </w:t>
      </w:r>
      <w:r w:rsidRPr="0030105A">
        <w:rPr>
          <w:noProof/>
          <w:lang w:val="es-ES"/>
        </w:rPr>
        <w:t>818</w:t>
      </w:r>
      <w:r w:rsidR="00925DAF">
        <w:rPr>
          <w:noProof/>
          <w:lang w:val="es-ES"/>
        </w:rPr>
        <w:t> </w:t>
      </w:r>
      <w:r w:rsidRPr="0030105A">
        <w:rPr>
          <w:noProof/>
          <w:lang w:val="es-ES"/>
        </w:rPr>
        <w:t>000</w:t>
      </w:r>
      <w:r w:rsidR="00925DAF">
        <w:rPr>
          <w:noProof/>
          <w:lang w:val="es-ES"/>
        </w:rPr>
        <w:t> </w:t>
      </w:r>
      <w:r w:rsidRPr="0030105A">
        <w:rPr>
          <w:noProof/>
          <w:lang w:val="es-ES"/>
        </w:rPr>
        <w:t xml:space="preserve">CHF en el proyecto de presupuesto bienal de la Unión </w:t>
      </w:r>
      <w:r w:rsidRPr="002213BA">
        <w:rPr>
          <w:noProof/>
        </w:rPr>
        <w:t>para</w:t>
      </w:r>
      <w:r w:rsidRPr="0030105A">
        <w:rPr>
          <w:noProof/>
          <w:lang w:val="es-ES"/>
        </w:rPr>
        <w:t xml:space="preserve"> 2026-2027, en comparación con 2</w:t>
      </w:r>
      <w:r w:rsidR="00925DAF">
        <w:rPr>
          <w:noProof/>
          <w:lang w:val="es-ES"/>
        </w:rPr>
        <w:t> </w:t>
      </w:r>
      <w:r w:rsidRPr="0030105A">
        <w:rPr>
          <w:noProof/>
          <w:lang w:val="es-ES"/>
        </w:rPr>
        <w:t>361</w:t>
      </w:r>
      <w:r w:rsidR="00925DAF">
        <w:rPr>
          <w:noProof/>
          <w:lang w:val="es-ES"/>
        </w:rPr>
        <w:t> </w:t>
      </w:r>
      <w:r w:rsidRPr="0030105A">
        <w:rPr>
          <w:noProof/>
          <w:lang w:val="es-ES"/>
        </w:rPr>
        <w:t>000</w:t>
      </w:r>
      <w:r w:rsidR="00925DAF">
        <w:rPr>
          <w:noProof/>
          <w:lang w:val="es-ES"/>
        </w:rPr>
        <w:t> </w:t>
      </w:r>
      <w:r w:rsidRPr="0030105A">
        <w:rPr>
          <w:noProof/>
          <w:lang w:val="es-ES"/>
        </w:rPr>
        <w:t>CHF en el presupuesto de la Unión para 2024-2025, con el desglose por Sectores que se muestra en el siguiente cuadro. El importante descenso se debe principalmente a que el Sector de Desarrollo acogió la CMDT en 2025, que proporcionó créditos para becas elevados.</w:t>
      </w:r>
      <w:bookmarkEnd w:id="2"/>
    </w:p>
    <w:p w14:paraId="249D7F2A" w14:textId="2E2393CA" w:rsidR="002C59E7" w:rsidRPr="0030105A" w:rsidRDefault="007B2904" w:rsidP="00483E10">
      <w:pPr>
        <w:pStyle w:val="Figure"/>
        <w:rPr>
          <w:lang w:val="es-ES"/>
        </w:rPr>
      </w:pPr>
      <w:r w:rsidRPr="007B2904">
        <w:lastRenderedPageBreak/>
        <w:drawing>
          <wp:inline distT="0" distB="0" distL="0" distR="0" wp14:anchorId="6D4F0F41" wp14:editId="22041235">
            <wp:extent cx="4954145" cy="2122227"/>
            <wp:effectExtent l="0" t="0" r="0" b="0"/>
            <wp:docPr id="11601040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0683" cy="2137879"/>
                    </a:xfrm>
                    <a:prstGeom prst="rect">
                      <a:avLst/>
                    </a:prstGeom>
                    <a:noFill/>
                    <a:ln>
                      <a:noFill/>
                    </a:ln>
                  </pic:spPr>
                </pic:pic>
              </a:graphicData>
            </a:graphic>
          </wp:inline>
        </w:drawing>
      </w:r>
    </w:p>
    <w:p w14:paraId="49243DFB" w14:textId="77777777" w:rsidR="002C59E7" w:rsidRPr="00163F01" w:rsidRDefault="002C59E7" w:rsidP="00483E10">
      <w:pPr>
        <w:pStyle w:val="Heading1"/>
      </w:pPr>
      <w:r w:rsidRPr="00163F01">
        <w:t>7</w:t>
      </w:r>
      <w:r w:rsidRPr="00163F01">
        <w:tab/>
        <w:t>Puestos presupuestados</w:t>
      </w:r>
    </w:p>
    <w:p w14:paraId="0E6AAA37" w14:textId="77777777" w:rsidR="002C59E7" w:rsidRPr="0030105A" w:rsidRDefault="002C59E7" w:rsidP="002213BA">
      <w:pPr>
        <w:jc w:val="both"/>
        <w:rPr>
          <w:rFonts w:asciiTheme="minorHAnsi" w:hAnsiTheme="minorHAnsi"/>
          <w:noProof/>
          <w:lang w:val="es-ES"/>
        </w:rPr>
      </w:pPr>
      <w:r w:rsidRPr="0030105A">
        <w:rPr>
          <w:noProof/>
          <w:lang w:val="es-ES"/>
        </w:rPr>
        <w:t>7.1</w:t>
      </w:r>
      <w:r w:rsidRPr="0030105A">
        <w:rPr>
          <w:noProof/>
          <w:lang w:val="es-ES"/>
        </w:rPr>
        <w:tab/>
        <w:t xml:space="preserve">En el presupuesto ordinario para 2026-2027 se ha incluido una partida para un total de 747 </w:t>
      </w:r>
      <w:r w:rsidRPr="002213BA">
        <w:rPr>
          <w:noProof/>
        </w:rPr>
        <w:t>puestos</w:t>
      </w:r>
      <w:r w:rsidRPr="0030105A">
        <w:rPr>
          <w:noProof/>
          <w:lang w:val="es-ES"/>
        </w:rPr>
        <w:t xml:space="preserve">, lo que supone una disminución de 14 puestos en comparación con los puestos financiados con cargo al presupuesto ordinario de 2024-2025, de conformidad con la tendencia a la baja que se lleva experimentando de forma constante desde 2006, como se muestra en el cuadro siguiente. </w:t>
      </w:r>
    </w:p>
    <w:p w14:paraId="2D10C644" w14:textId="77777777" w:rsidR="002C59E7" w:rsidRPr="0030105A" w:rsidRDefault="002C59E7" w:rsidP="00483E10">
      <w:pPr>
        <w:pStyle w:val="Figure"/>
        <w:rPr>
          <w:rFonts w:asciiTheme="minorHAnsi" w:hAnsiTheme="minorHAnsi"/>
          <w:lang w:val="es-ES"/>
        </w:rPr>
      </w:pPr>
      <w:r w:rsidRPr="0030105A">
        <w:rPr>
          <w:lang w:val="es-ES"/>
        </w:rPr>
        <w:drawing>
          <wp:inline distT="0" distB="0" distL="0" distR="0" wp14:anchorId="7AE26D5D" wp14:editId="23A7F99B">
            <wp:extent cx="5614459" cy="2729552"/>
            <wp:effectExtent l="0" t="0" r="5715" b="0"/>
            <wp:docPr id="62410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8096" name=""/>
                    <pic:cNvPicPr/>
                  </pic:nvPicPr>
                  <pic:blipFill>
                    <a:blip r:embed="rId44"/>
                    <a:stretch>
                      <a:fillRect/>
                    </a:stretch>
                  </pic:blipFill>
                  <pic:spPr>
                    <a:xfrm>
                      <a:off x="0" y="0"/>
                      <a:ext cx="5630881" cy="2737536"/>
                    </a:xfrm>
                    <a:prstGeom prst="rect">
                      <a:avLst/>
                    </a:prstGeom>
                  </pic:spPr>
                </pic:pic>
              </a:graphicData>
            </a:graphic>
          </wp:inline>
        </w:drawing>
      </w:r>
    </w:p>
    <w:p w14:paraId="7792E0B6" w14:textId="77777777" w:rsidR="002C59E7" w:rsidRDefault="002C59E7" w:rsidP="002213BA">
      <w:pPr>
        <w:jc w:val="both"/>
        <w:rPr>
          <w:noProof/>
          <w:lang w:val="es-ES"/>
        </w:rPr>
      </w:pPr>
      <w:r w:rsidRPr="0030105A">
        <w:rPr>
          <w:noProof/>
          <w:lang w:val="es-ES"/>
        </w:rPr>
        <w:t>7.2</w:t>
      </w:r>
      <w:r w:rsidRPr="0030105A">
        <w:rPr>
          <w:noProof/>
          <w:lang w:val="es-ES"/>
        </w:rPr>
        <w:tab/>
        <w:t xml:space="preserve">En el cuadro siguiente se desglosan los puestos con cargo al presupuesto ordinario por </w:t>
      </w:r>
      <w:r w:rsidRPr="002213BA">
        <w:rPr>
          <w:noProof/>
        </w:rPr>
        <w:t>departamento</w:t>
      </w:r>
      <w:r w:rsidRPr="0030105A">
        <w:rPr>
          <w:noProof/>
          <w:lang w:val="es-ES"/>
        </w:rPr>
        <w:t xml:space="preserve"> de la Secretaría General y las Oficinas para 2026-2027, en comparación con los puestos correspondientes del bienio 2024-2025.</w:t>
      </w:r>
    </w:p>
    <w:p w14:paraId="6A20BD17" w14:textId="76B3D4DA" w:rsidR="00225CEC" w:rsidRDefault="006F62DC" w:rsidP="00483E10">
      <w:pPr>
        <w:pStyle w:val="Figure"/>
        <w:rPr>
          <w:lang w:val="es-ES"/>
        </w:rPr>
      </w:pPr>
      <w:r w:rsidRPr="006F62DC">
        <w:lastRenderedPageBreak/>
        <w:drawing>
          <wp:inline distT="0" distB="0" distL="0" distR="0" wp14:anchorId="1CB8DCB3" wp14:editId="234F7832">
            <wp:extent cx="5760085" cy="2588895"/>
            <wp:effectExtent l="0" t="0" r="0" b="1905"/>
            <wp:docPr id="3576258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588895"/>
                    </a:xfrm>
                    <a:prstGeom prst="rect">
                      <a:avLst/>
                    </a:prstGeom>
                    <a:noFill/>
                    <a:ln>
                      <a:noFill/>
                    </a:ln>
                  </pic:spPr>
                </pic:pic>
              </a:graphicData>
            </a:graphic>
          </wp:inline>
        </w:drawing>
      </w:r>
    </w:p>
    <w:p w14:paraId="64F5C7C7" w14:textId="33A55E55" w:rsidR="002C59E7" w:rsidRPr="002514B4" w:rsidRDefault="002C59E7" w:rsidP="00F8472A">
      <w:pPr>
        <w:pStyle w:val="Heading1"/>
      </w:pPr>
      <w:r w:rsidRPr="002514B4">
        <w:t>8</w:t>
      </w:r>
      <w:r w:rsidRPr="002514B4">
        <w:tab/>
        <w:t>Vinculación con el Plan Estratégico</w:t>
      </w:r>
    </w:p>
    <w:p w14:paraId="43FE0DD6" w14:textId="77777777" w:rsidR="002C59E7" w:rsidRPr="0030105A" w:rsidRDefault="002C59E7" w:rsidP="002213BA">
      <w:pPr>
        <w:jc w:val="both"/>
        <w:rPr>
          <w:rFonts w:asciiTheme="minorHAnsi" w:hAnsiTheme="minorHAnsi" w:cstheme="minorHAnsi"/>
          <w:noProof/>
          <w:lang w:val="es-ES"/>
        </w:rPr>
      </w:pPr>
      <w:r w:rsidRPr="0030105A">
        <w:rPr>
          <w:noProof/>
          <w:lang w:val="es-ES"/>
        </w:rPr>
        <w:t>8.1</w:t>
      </w:r>
      <w:r w:rsidRPr="0030105A">
        <w:rPr>
          <w:noProof/>
          <w:lang w:val="es-ES"/>
        </w:rPr>
        <w:tab/>
        <w:t xml:space="preserve">En el Plan estratégico de la Unión para 2024-2027 (Resolución 71, Rev. Bucarest, 2022) se definen dos metas estratégicas y cinco prioridades temáticas con miras al logro de la misión global de la UIT, que </w:t>
      </w:r>
      <w:r w:rsidRPr="002213BA">
        <w:rPr>
          <w:noProof/>
        </w:rPr>
        <w:t>consiste</w:t>
      </w:r>
      <w:r w:rsidRPr="0030105A">
        <w:rPr>
          <w:noProof/>
          <w:lang w:val="es-ES"/>
        </w:rPr>
        <w:t xml:space="preserve"> en promover, facilitar y fomentar el acceso asequible y universal a las redes, servicios y aplicaciones de telecomunicaciones/tecnologías de la información y la comunicación, así como su utilización para el crecimiento y el desarrollo socioeconómico y ecológico sostenibles.</w:t>
      </w:r>
    </w:p>
    <w:p w14:paraId="04659DD7" w14:textId="3DB771B2" w:rsidR="002C59E7" w:rsidRPr="00C85694" w:rsidRDefault="002C59E7" w:rsidP="002213BA">
      <w:pPr>
        <w:jc w:val="both"/>
        <w:rPr>
          <w:rFonts w:asciiTheme="minorHAnsi" w:hAnsiTheme="minorHAnsi" w:cstheme="minorHAnsi"/>
          <w:noProof/>
        </w:rPr>
      </w:pPr>
      <w:r w:rsidRPr="0030105A">
        <w:rPr>
          <w:noProof/>
          <w:lang w:val="es-ES"/>
        </w:rPr>
        <w:t>8.2</w:t>
      </w:r>
      <w:r w:rsidRPr="0030105A">
        <w:rPr>
          <w:noProof/>
          <w:lang w:val="es-ES"/>
        </w:rPr>
        <w:tab/>
        <w:t>Las cinco prioridades temáticas son las siguientes:</w:t>
      </w:r>
      <w:r w:rsidR="00C85694" w:rsidRPr="00C85694">
        <w:rPr>
          <w:noProof/>
          <w:lang w:val="es-ES"/>
        </w:rPr>
        <w:t xml:space="preserve"> </w:t>
      </w:r>
    </w:p>
    <w:p w14:paraId="49650571" w14:textId="67C89B99" w:rsidR="002C59E7" w:rsidRPr="0030105A" w:rsidRDefault="00EE3523" w:rsidP="00483E10">
      <w:pPr>
        <w:pStyle w:val="enumlev1"/>
        <w:rPr>
          <w:rFonts w:asciiTheme="minorHAnsi" w:hAnsiTheme="minorHAnsi" w:cstheme="minorHAnsi"/>
        </w:rPr>
      </w:pPr>
      <w:r w:rsidRPr="00EE3523">
        <w:t>–</w:t>
      </w:r>
      <w:r>
        <w:tab/>
      </w:r>
      <w:r w:rsidR="002C59E7" w:rsidRPr="0030105A">
        <w:t>Utilización del espectro para servicios espaciales y terrenales</w:t>
      </w:r>
    </w:p>
    <w:p w14:paraId="438E8CB4" w14:textId="082E7E81" w:rsidR="002C59E7" w:rsidRPr="0030105A" w:rsidRDefault="00EE3523" w:rsidP="00483E10">
      <w:pPr>
        <w:pStyle w:val="enumlev1"/>
        <w:rPr>
          <w:rFonts w:asciiTheme="minorHAnsi" w:hAnsiTheme="minorHAnsi" w:cstheme="minorHAnsi"/>
        </w:rPr>
      </w:pPr>
      <w:r w:rsidRPr="00EE3523">
        <w:t>–</w:t>
      </w:r>
      <w:r>
        <w:tab/>
      </w:r>
      <w:r w:rsidR="002C59E7" w:rsidRPr="0030105A">
        <w:t>Recursos de numeración de telecomunicaciones internacionales</w:t>
      </w:r>
    </w:p>
    <w:p w14:paraId="4EB8A843" w14:textId="7B4810AF" w:rsidR="002C59E7" w:rsidRPr="0030105A" w:rsidRDefault="00EE3523" w:rsidP="00483E10">
      <w:pPr>
        <w:pStyle w:val="enumlev1"/>
        <w:rPr>
          <w:rFonts w:asciiTheme="minorHAnsi" w:hAnsiTheme="minorHAnsi" w:cstheme="minorHAnsi"/>
        </w:rPr>
      </w:pPr>
      <w:r w:rsidRPr="00EE3523">
        <w:t>–</w:t>
      </w:r>
      <w:r>
        <w:tab/>
      </w:r>
      <w:r w:rsidR="002C59E7" w:rsidRPr="0030105A">
        <w:t>Infraestructura y servicios de telecomunicaciones/TIC inclusivos y seguros</w:t>
      </w:r>
    </w:p>
    <w:p w14:paraId="1D1BE823" w14:textId="39D1EE37" w:rsidR="002C59E7" w:rsidRPr="0030105A" w:rsidRDefault="00EE3523" w:rsidP="00483E10">
      <w:pPr>
        <w:pStyle w:val="enumlev1"/>
        <w:rPr>
          <w:rFonts w:asciiTheme="minorHAnsi" w:hAnsiTheme="minorHAnsi" w:cstheme="minorHAnsi"/>
        </w:rPr>
      </w:pPr>
      <w:r w:rsidRPr="00EE3523">
        <w:t>–</w:t>
      </w:r>
      <w:r>
        <w:tab/>
      </w:r>
      <w:r w:rsidR="002C59E7" w:rsidRPr="0030105A">
        <w:t>Aplicaciones digitales</w:t>
      </w:r>
    </w:p>
    <w:p w14:paraId="52A5395E" w14:textId="38C750E1" w:rsidR="002C59E7" w:rsidRPr="0030105A" w:rsidRDefault="00EE3523" w:rsidP="00483E10">
      <w:pPr>
        <w:pStyle w:val="enumlev1"/>
        <w:rPr>
          <w:rFonts w:asciiTheme="minorHAnsi" w:hAnsiTheme="minorHAnsi" w:cstheme="minorHAnsi"/>
        </w:rPr>
      </w:pPr>
      <w:r w:rsidRPr="00EE3523">
        <w:t>–</w:t>
      </w:r>
      <w:r>
        <w:tab/>
      </w:r>
      <w:r w:rsidR="002C59E7" w:rsidRPr="0030105A">
        <w:t>Entorno propicio</w:t>
      </w:r>
      <w:r w:rsidR="00483E10">
        <w:t>.</w:t>
      </w:r>
    </w:p>
    <w:p w14:paraId="27969CE6" w14:textId="390C8959" w:rsidR="002C59E7" w:rsidRPr="0030105A" w:rsidRDefault="002C59E7" w:rsidP="002213BA">
      <w:pPr>
        <w:jc w:val="both"/>
        <w:rPr>
          <w:rFonts w:asciiTheme="minorHAnsi" w:hAnsiTheme="minorHAnsi" w:cstheme="minorHAnsi"/>
          <w:noProof/>
          <w:lang w:val="es-ES"/>
        </w:rPr>
      </w:pPr>
      <w:r w:rsidRPr="0030105A">
        <w:rPr>
          <w:noProof/>
          <w:lang w:val="es-ES"/>
        </w:rPr>
        <w:t>8.3</w:t>
      </w:r>
      <w:r w:rsidRPr="0030105A">
        <w:rPr>
          <w:noProof/>
          <w:lang w:val="es-ES"/>
        </w:rPr>
        <w:tab/>
        <w:t xml:space="preserve">El proyecto de </w:t>
      </w:r>
      <w:r w:rsidRPr="002213BA">
        <w:rPr>
          <w:noProof/>
        </w:rPr>
        <w:t>presupuesto</w:t>
      </w:r>
      <w:r w:rsidRPr="0030105A">
        <w:rPr>
          <w:noProof/>
          <w:lang w:val="es-ES"/>
        </w:rPr>
        <w:t xml:space="preserve"> bienal de la Unión para 2026-2027 incluye consignaciones para la ejecución de las dos metas estratégicas, las cinco prioridades temáticas y las 43</w:t>
      </w:r>
      <w:r w:rsidR="00EE3523">
        <w:rPr>
          <w:noProof/>
          <w:lang w:val="es-ES"/>
        </w:rPr>
        <w:t> </w:t>
      </w:r>
      <w:r w:rsidRPr="0030105A">
        <w:rPr>
          <w:noProof/>
          <w:lang w:val="es-ES"/>
        </w:rPr>
        <w:t>realizaciones del Plan estratégico. También prevé la asignación de recursos adecuados para los servicios administrativos y de apoyo tanto en las Oficinas como en la Secretaría General.</w:t>
      </w:r>
    </w:p>
    <w:p w14:paraId="580DDD8C" w14:textId="77777777" w:rsidR="002C59E7" w:rsidRDefault="002C59E7" w:rsidP="002213BA">
      <w:pPr>
        <w:jc w:val="both"/>
        <w:rPr>
          <w:noProof/>
          <w:lang w:val="es-ES"/>
        </w:rPr>
      </w:pPr>
      <w:r w:rsidRPr="0030105A">
        <w:rPr>
          <w:noProof/>
          <w:lang w:val="es-ES"/>
        </w:rPr>
        <w:t>8.4</w:t>
      </w:r>
      <w:r w:rsidRPr="0030105A">
        <w:rPr>
          <w:noProof/>
          <w:lang w:val="es-ES"/>
        </w:rPr>
        <w:tab/>
        <w:t xml:space="preserve">En el cuadro y el gráfico </w:t>
      </w:r>
      <w:r w:rsidRPr="002213BA">
        <w:rPr>
          <w:noProof/>
        </w:rPr>
        <w:t>siguientes</w:t>
      </w:r>
      <w:r w:rsidRPr="0030105A">
        <w:rPr>
          <w:noProof/>
          <w:lang w:val="es-ES"/>
        </w:rPr>
        <w:t xml:space="preserve"> se muestra la distribución presupuestaria por prioridad temática para 2026-2027. En él se desglosa la utilización real de los recursos por prioridad temática, una vez asignados los servicios administrativos y centralizados y los servicios de apoyo de las Oficinas a las prioridades temáticas y las realizaciones pertinentes.</w:t>
      </w:r>
    </w:p>
    <w:p w14:paraId="26F93454" w14:textId="095D314B" w:rsidR="002C59E7" w:rsidRPr="0030105A" w:rsidRDefault="007B2904" w:rsidP="002213BA">
      <w:pPr>
        <w:pStyle w:val="Figure"/>
        <w:rPr>
          <w:rFonts w:asciiTheme="minorHAnsi" w:hAnsiTheme="minorHAnsi" w:cstheme="minorBidi"/>
          <w:lang w:val="es-ES"/>
        </w:rPr>
      </w:pPr>
      <w:r w:rsidRPr="007B2904">
        <w:lastRenderedPageBreak/>
        <w:drawing>
          <wp:inline distT="0" distB="0" distL="0" distR="0" wp14:anchorId="077DC3C7" wp14:editId="06A26A8D">
            <wp:extent cx="5859171" cy="1828800"/>
            <wp:effectExtent l="0" t="0" r="8255" b="0"/>
            <wp:docPr id="15916862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3311" cy="1833213"/>
                    </a:xfrm>
                    <a:prstGeom prst="rect">
                      <a:avLst/>
                    </a:prstGeom>
                    <a:noFill/>
                    <a:ln>
                      <a:noFill/>
                    </a:ln>
                  </pic:spPr>
                </pic:pic>
              </a:graphicData>
            </a:graphic>
          </wp:inline>
        </w:drawing>
      </w:r>
    </w:p>
    <w:p w14:paraId="18F7F066" w14:textId="49E77111" w:rsidR="002C59E7" w:rsidRPr="0030105A" w:rsidRDefault="00FC2E0A" w:rsidP="002213BA">
      <w:pPr>
        <w:pStyle w:val="Figure"/>
        <w:rPr>
          <w:lang w:val="es-ES"/>
        </w:rPr>
      </w:pPr>
      <w:r w:rsidRPr="00FC2E0A">
        <w:rPr>
          <w:lang w:val="es-ES"/>
        </w:rPr>
        <w:drawing>
          <wp:inline distT="0" distB="0" distL="0" distR="0" wp14:anchorId="4EE97AA8" wp14:editId="2E826925">
            <wp:extent cx="5859034" cy="2481580"/>
            <wp:effectExtent l="0" t="0" r="8890" b="0"/>
            <wp:docPr id="122689776" name="Picture 1" descr="A close-up of a color pal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776" name="Picture 1" descr="A close-up of a color palette&#10;&#10;AI-generated content may be incorrect."/>
                    <pic:cNvPicPr/>
                  </pic:nvPicPr>
                  <pic:blipFill>
                    <a:blip r:embed="rId47"/>
                    <a:stretch>
                      <a:fillRect/>
                    </a:stretch>
                  </pic:blipFill>
                  <pic:spPr>
                    <a:xfrm>
                      <a:off x="0" y="0"/>
                      <a:ext cx="5901032" cy="2499368"/>
                    </a:xfrm>
                    <a:prstGeom prst="rect">
                      <a:avLst/>
                    </a:prstGeom>
                  </pic:spPr>
                </pic:pic>
              </a:graphicData>
            </a:graphic>
          </wp:inline>
        </w:drawing>
      </w:r>
    </w:p>
    <w:p w14:paraId="6F18D589" w14:textId="77777777" w:rsidR="002C59E7" w:rsidRPr="0030105A" w:rsidRDefault="002C59E7" w:rsidP="002213BA">
      <w:pPr>
        <w:jc w:val="both"/>
        <w:rPr>
          <w:rFonts w:asciiTheme="minorHAnsi" w:hAnsiTheme="minorHAnsi" w:cstheme="minorHAnsi"/>
          <w:noProof/>
          <w:lang w:val="es-ES"/>
        </w:rPr>
      </w:pPr>
      <w:r w:rsidRPr="0030105A">
        <w:rPr>
          <w:noProof/>
          <w:lang w:val="es-ES"/>
        </w:rPr>
        <w:t>8.5</w:t>
      </w:r>
      <w:r w:rsidRPr="0030105A">
        <w:rPr>
          <w:noProof/>
          <w:lang w:val="es-ES"/>
        </w:rPr>
        <w:tab/>
        <w:t>El proyecto de presupuesto bienal de la Unión para 2026-2027 incluye consignaciones para la ejecución de las 43 realizaciones clasificadas de la siguiente manera:</w:t>
      </w:r>
    </w:p>
    <w:p w14:paraId="26C4ED3F" w14:textId="4069BA00" w:rsidR="002C59E7" w:rsidRPr="0030105A" w:rsidRDefault="00EE3523" w:rsidP="002213BA">
      <w:pPr>
        <w:pStyle w:val="enumlev1"/>
        <w:rPr>
          <w:rFonts w:asciiTheme="minorHAnsi" w:hAnsiTheme="minorHAnsi"/>
        </w:rPr>
      </w:pPr>
      <w:r w:rsidRPr="00EE3523">
        <w:t>–</w:t>
      </w:r>
      <w:r>
        <w:tab/>
      </w:r>
      <w:r w:rsidR="002C59E7" w:rsidRPr="0030105A">
        <w:t>nueve realizaciones intersectoriales;</w:t>
      </w:r>
    </w:p>
    <w:p w14:paraId="6BCE42C1" w14:textId="6A0E9A03" w:rsidR="002C59E7" w:rsidRPr="0030105A" w:rsidRDefault="00EE3523" w:rsidP="002213BA">
      <w:pPr>
        <w:pStyle w:val="enumlev1"/>
        <w:rPr>
          <w:rFonts w:asciiTheme="minorHAnsi" w:hAnsiTheme="minorHAnsi"/>
        </w:rPr>
      </w:pPr>
      <w:r w:rsidRPr="00EE3523">
        <w:t>–</w:t>
      </w:r>
      <w:r>
        <w:tab/>
      </w:r>
      <w:r w:rsidR="002C59E7" w:rsidRPr="0030105A">
        <w:t>doce realizaciones del UIT-R;</w:t>
      </w:r>
    </w:p>
    <w:p w14:paraId="62E3E125" w14:textId="4D3743E0" w:rsidR="002C59E7" w:rsidRPr="0030105A" w:rsidRDefault="00EE3523" w:rsidP="002213BA">
      <w:pPr>
        <w:pStyle w:val="enumlev1"/>
        <w:rPr>
          <w:rFonts w:asciiTheme="minorHAnsi" w:hAnsiTheme="minorHAnsi"/>
        </w:rPr>
      </w:pPr>
      <w:r w:rsidRPr="00EE3523">
        <w:t>–</w:t>
      </w:r>
      <w:r>
        <w:tab/>
      </w:r>
      <w:r w:rsidR="002C59E7" w:rsidRPr="0030105A">
        <w:t>nueve realizaciones del UIT-T;</w:t>
      </w:r>
    </w:p>
    <w:p w14:paraId="5B412C2B" w14:textId="5C33B999" w:rsidR="002C59E7" w:rsidRPr="0030105A" w:rsidRDefault="00EE3523" w:rsidP="002213BA">
      <w:pPr>
        <w:pStyle w:val="enumlev1"/>
        <w:rPr>
          <w:rFonts w:asciiTheme="minorHAnsi" w:hAnsiTheme="minorHAnsi"/>
        </w:rPr>
      </w:pPr>
      <w:r w:rsidRPr="00EE3523">
        <w:t>–</w:t>
      </w:r>
      <w:r>
        <w:tab/>
      </w:r>
      <w:r w:rsidR="002C59E7" w:rsidRPr="0030105A">
        <w:t>trece realizaciones del UIT-D.</w:t>
      </w:r>
    </w:p>
    <w:p w14:paraId="6E4864C1" w14:textId="39D6135B" w:rsidR="002C59E7" w:rsidRPr="0030105A" w:rsidRDefault="002C59E7" w:rsidP="002213BA">
      <w:pPr>
        <w:jc w:val="both"/>
        <w:rPr>
          <w:rFonts w:asciiTheme="minorHAnsi" w:hAnsiTheme="minorHAnsi"/>
          <w:noProof/>
          <w:lang w:val="es-ES"/>
        </w:rPr>
      </w:pPr>
      <w:r w:rsidRPr="0030105A">
        <w:rPr>
          <w:noProof/>
          <w:lang w:val="es-ES"/>
        </w:rPr>
        <w:t xml:space="preserve">La atribución completa de los costes para cada componente de la presupuestación basada en los </w:t>
      </w:r>
      <w:r w:rsidRPr="002213BA">
        <w:rPr>
          <w:noProof/>
        </w:rPr>
        <w:t>resultados</w:t>
      </w:r>
      <w:r w:rsidRPr="0030105A">
        <w:rPr>
          <w:noProof/>
          <w:lang w:val="es-ES"/>
        </w:rPr>
        <w:t>, es decir, las prioridades temáticas y las realizaciones, se basa en la metodología de atribución de costes descrita en el Acuerdo 535 del Consejo de la UIT (C05,</w:t>
      </w:r>
      <w:r w:rsidR="005B4732">
        <w:rPr>
          <w:noProof/>
          <w:lang w:val="es-ES"/>
        </w:rPr>
        <w:t> </w:t>
      </w:r>
      <w:r w:rsidRPr="0030105A">
        <w:rPr>
          <w:noProof/>
          <w:lang w:val="es-ES"/>
        </w:rPr>
        <w:t>modificado por última vez C14).</w:t>
      </w:r>
    </w:p>
    <w:p w14:paraId="6A4E38F8" w14:textId="77777777" w:rsidR="002C59E7" w:rsidRPr="0030105A" w:rsidRDefault="002C59E7" w:rsidP="002440C0">
      <w:pPr>
        <w:keepNext/>
        <w:jc w:val="both"/>
        <w:rPr>
          <w:rFonts w:asciiTheme="minorHAnsi" w:hAnsiTheme="minorHAnsi"/>
          <w:noProof/>
          <w:lang w:val="es-ES"/>
        </w:rPr>
      </w:pPr>
      <w:r w:rsidRPr="0030105A">
        <w:rPr>
          <w:noProof/>
          <w:lang w:val="es-ES"/>
        </w:rPr>
        <w:lastRenderedPageBreak/>
        <w:t>8.6</w:t>
      </w:r>
      <w:r w:rsidRPr="0030105A">
        <w:rPr>
          <w:noProof/>
          <w:lang w:val="es-ES"/>
        </w:rPr>
        <w:tab/>
        <w:t>La estructura de costes completa es la siguiente:</w:t>
      </w:r>
    </w:p>
    <w:p w14:paraId="55EC81D8" w14:textId="6F7E7B76" w:rsidR="002C59E7" w:rsidRPr="0030105A" w:rsidRDefault="005C78E0" w:rsidP="002213BA">
      <w:pPr>
        <w:pStyle w:val="Figure"/>
        <w:rPr>
          <w:lang w:val="es-ES"/>
        </w:rPr>
      </w:pPr>
      <w:r w:rsidRPr="005C78E0">
        <w:rPr>
          <w:lang w:val="es-ES"/>
        </w:rPr>
        <w:drawing>
          <wp:inline distT="0" distB="0" distL="0" distR="0" wp14:anchorId="62533DC6" wp14:editId="459EDB62">
            <wp:extent cx="3882788" cy="2727299"/>
            <wp:effectExtent l="0" t="0" r="3810" b="0"/>
            <wp:docPr id="57868803" name="Picture 1" descr="A blue and white rectangular box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803" name="Picture 1" descr="A blue and white rectangular box with white text&#10;&#10;AI-generated content may be incorrect."/>
                    <pic:cNvPicPr/>
                  </pic:nvPicPr>
                  <pic:blipFill>
                    <a:blip r:embed="rId48"/>
                    <a:stretch>
                      <a:fillRect/>
                    </a:stretch>
                  </pic:blipFill>
                  <pic:spPr>
                    <a:xfrm>
                      <a:off x="0" y="0"/>
                      <a:ext cx="3913133" cy="2748614"/>
                    </a:xfrm>
                    <a:prstGeom prst="rect">
                      <a:avLst/>
                    </a:prstGeom>
                  </pic:spPr>
                </pic:pic>
              </a:graphicData>
            </a:graphic>
          </wp:inline>
        </w:drawing>
      </w:r>
    </w:p>
    <w:p w14:paraId="2A7145F2" w14:textId="0B6C6518" w:rsidR="002C59E7" w:rsidRDefault="002C59E7" w:rsidP="002213BA">
      <w:pPr>
        <w:jc w:val="both"/>
        <w:rPr>
          <w:noProof/>
          <w:lang w:val="es-ES"/>
        </w:rPr>
      </w:pPr>
      <w:r w:rsidRPr="0030105A">
        <w:rPr>
          <w:noProof/>
          <w:lang w:val="es-ES"/>
        </w:rPr>
        <w:t>8.7</w:t>
      </w:r>
      <w:r w:rsidRPr="0030105A">
        <w:rPr>
          <w:noProof/>
          <w:lang w:val="es-ES"/>
        </w:rPr>
        <w:tab/>
        <w:t>En el siguiente cuadro se presenta la distribución de costes planificada para 2026</w:t>
      </w:r>
      <w:r w:rsidR="005B4732">
        <w:rPr>
          <w:noProof/>
          <w:lang w:val="es-ES"/>
        </w:rPr>
        <w:noBreakHyphen/>
      </w:r>
      <w:r w:rsidRPr="0030105A">
        <w:rPr>
          <w:noProof/>
          <w:lang w:val="es-ES"/>
        </w:rPr>
        <w:t>2027, desglosada por realización.</w:t>
      </w:r>
    </w:p>
    <w:p w14:paraId="30893DD1" w14:textId="4F6D1103" w:rsidR="002C59E7" w:rsidRPr="0030105A" w:rsidRDefault="006F62DC" w:rsidP="002213BA">
      <w:pPr>
        <w:pStyle w:val="Figure"/>
        <w:rPr>
          <w:rFonts w:asciiTheme="minorHAnsi" w:hAnsiTheme="minorHAnsi"/>
          <w:lang w:val="es-ES"/>
        </w:rPr>
      </w:pPr>
      <w:r w:rsidRPr="006F62DC">
        <w:drawing>
          <wp:inline distT="0" distB="0" distL="0" distR="0" wp14:anchorId="429B0DCB" wp14:editId="7EF95858">
            <wp:extent cx="5760085" cy="5035550"/>
            <wp:effectExtent l="0" t="0" r="0" b="0"/>
            <wp:docPr id="1509423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5035550"/>
                    </a:xfrm>
                    <a:prstGeom prst="rect">
                      <a:avLst/>
                    </a:prstGeom>
                    <a:noFill/>
                    <a:ln>
                      <a:noFill/>
                    </a:ln>
                  </pic:spPr>
                </pic:pic>
              </a:graphicData>
            </a:graphic>
          </wp:inline>
        </w:drawing>
      </w:r>
    </w:p>
    <w:p w14:paraId="1C1550F2" w14:textId="77777777" w:rsidR="002C59E7" w:rsidRDefault="002C59E7" w:rsidP="002213BA">
      <w:pPr>
        <w:jc w:val="both"/>
        <w:rPr>
          <w:noProof/>
          <w:lang w:val="es-ES"/>
        </w:rPr>
      </w:pPr>
      <w:r w:rsidRPr="0030105A">
        <w:rPr>
          <w:noProof/>
          <w:lang w:val="es-ES"/>
        </w:rPr>
        <w:lastRenderedPageBreak/>
        <w:t>8.8</w:t>
      </w:r>
      <w:r w:rsidRPr="0030105A">
        <w:rPr>
          <w:noProof/>
          <w:lang w:val="es-ES"/>
        </w:rPr>
        <w:tab/>
        <w:t>En el siguiente gráfico se presenta la asignación de recursos de la presupuestación basada en los resultados de la UIT, desglosado por componente de coste, para 2026-2027.</w:t>
      </w:r>
    </w:p>
    <w:p w14:paraId="490341CF" w14:textId="445B51FB" w:rsidR="002C59E7" w:rsidRDefault="007B2904" w:rsidP="002213BA">
      <w:pPr>
        <w:pStyle w:val="Figure"/>
        <w:rPr>
          <w:lang w:val="es-ES"/>
        </w:rPr>
      </w:pPr>
      <w:r>
        <w:rPr>
          <w:lang w:val="es-ES"/>
        </w:rPr>
        <w:drawing>
          <wp:inline distT="0" distB="0" distL="0" distR="0" wp14:anchorId="4ED1ED81" wp14:editId="29EADCBC">
            <wp:extent cx="4620338" cy="2395182"/>
            <wp:effectExtent l="0" t="0" r="0" b="5715"/>
            <wp:docPr id="19483209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2491" cy="2448138"/>
                    </a:xfrm>
                    <a:prstGeom prst="rect">
                      <a:avLst/>
                    </a:prstGeom>
                    <a:noFill/>
                  </pic:spPr>
                </pic:pic>
              </a:graphicData>
            </a:graphic>
          </wp:inline>
        </w:drawing>
      </w:r>
    </w:p>
    <w:p w14:paraId="02E54D4E" w14:textId="31D36162" w:rsidR="005B4732" w:rsidRDefault="005B4732">
      <w:pPr>
        <w:tabs>
          <w:tab w:val="clear" w:pos="567"/>
          <w:tab w:val="clear" w:pos="1134"/>
          <w:tab w:val="clear" w:pos="1701"/>
          <w:tab w:val="clear" w:pos="2268"/>
          <w:tab w:val="clear" w:pos="2835"/>
        </w:tabs>
        <w:overflowPunct/>
        <w:autoSpaceDE/>
        <w:autoSpaceDN/>
        <w:adjustRightInd/>
        <w:spacing w:before="0"/>
        <w:textAlignment w:val="auto"/>
        <w:rPr>
          <w:caps/>
          <w:noProof/>
          <w:sz w:val="28"/>
          <w:lang w:val="es-ES"/>
        </w:rPr>
      </w:pPr>
      <w:bookmarkStart w:id="3" w:name="Annex_A"/>
      <w:r>
        <w:rPr>
          <w:noProof/>
          <w:lang w:val="es-ES"/>
        </w:rPr>
        <w:br w:type="page"/>
      </w:r>
    </w:p>
    <w:p w14:paraId="14572748" w14:textId="54635CA0" w:rsidR="002C59E7" w:rsidRPr="0030105A" w:rsidRDefault="002C59E7" w:rsidP="002440C0">
      <w:pPr>
        <w:pStyle w:val="AnnexNo"/>
        <w:rPr>
          <w:noProof/>
          <w:lang w:val="es-ES"/>
        </w:rPr>
      </w:pPr>
      <w:r w:rsidRPr="002440C0">
        <w:lastRenderedPageBreak/>
        <w:t>ANEXO</w:t>
      </w:r>
      <w:r w:rsidRPr="0030105A">
        <w:rPr>
          <w:noProof/>
          <w:lang w:val="es-ES"/>
        </w:rPr>
        <w:t xml:space="preserve"> A</w:t>
      </w:r>
      <w:bookmarkEnd w:id="3"/>
    </w:p>
    <w:p w14:paraId="6E8AB764" w14:textId="77777777" w:rsidR="002C59E7" w:rsidRPr="0030105A" w:rsidRDefault="002C59E7" w:rsidP="002C59E7">
      <w:pPr>
        <w:pStyle w:val="ResNo"/>
        <w:rPr>
          <w:noProof/>
          <w:lang w:val="es-ES"/>
        </w:rPr>
      </w:pPr>
      <w:r w:rsidRPr="0030105A">
        <w:rPr>
          <w:noProof/>
          <w:lang w:val="es-ES"/>
        </w:rPr>
        <w:t>Proyecto de RESOLUCIÓN […]</w:t>
      </w:r>
    </w:p>
    <w:p w14:paraId="5AAA670B" w14:textId="77777777" w:rsidR="002C59E7" w:rsidRPr="0030105A" w:rsidRDefault="002C59E7" w:rsidP="00655220">
      <w:pPr>
        <w:pStyle w:val="Restitle"/>
      </w:pPr>
      <w:r w:rsidRPr="0030105A">
        <w:t>Proyecto de presupuesto bienal de la Unión para 2026-2027</w:t>
      </w:r>
    </w:p>
    <w:p w14:paraId="56400A9B" w14:textId="77777777" w:rsidR="002C59E7" w:rsidRPr="0030105A" w:rsidRDefault="002C59E7" w:rsidP="002C59E7">
      <w:pPr>
        <w:pStyle w:val="Normalaftertitle"/>
        <w:rPr>
          <w:noProof/>
          <w:lang w:val="es-ES"/>
        </w:rPr>
      </w:pPr>
      <w:r w:rsidRPr="0030105A">
        <w:rPr>
          <w:noProof/>
          <w:lang w:val="es-ES"/>
        </w:rPr>
        <w:t>El Consejo de la UIT,</w:t>
      </w:r>
    </w:p>
    <w:p w14:paraId="71E3AE94" w14:textId="77777777" w:rsidR="002C59E7" w:rsidRPr="0030105A" w:rsidRDefault="002C59E7" w:rsidP="002440C0">
      <w:pPr>
        <w:pStyle w:val="Call"/>
        <w:rPr>
          <w:noProof/>
          <w:lang w:val="es-ES"/>
        </w:rPr>
      </w:pPr>
      <w:r w:rsidRPr="0030105A">
        <w:rPr>
          <w:noProof/>
          <w:lang w:val="es-ES"/>
        </w:rPr>
        <w:t>vistas</w:t>
      </w:r>
    </w:p>
    <w:p w14:paraId="46AD4E8A" w14:textId="77777777" w:rsidR="002C59E7" w:rsidRPr="0030105A" w:rsidRDefault="002C59E7" w:rsidP="0014063F">
      <w:pPr>
        <w:jc w:val="both"/>
        <w:rPr>
          <w:noProof/>
          <w:lang w:val="es-ES"/>
        </w:rPr>
      </w:pPr>
      <w:r w:rsidRPr="0030105A">
        <w:rPr>
          <w:noProof/>
          <w:lang w:val="es-ES"/>
        </w:rPr>
        <w:t>las disposiciones del Convenio de la UIT,</w:t>
      </w:r>
    </w:p>
    <w:p w14:paraId="01AAD7D5" w14:textId="77777777" w:rsidR="002C59E7" w:rsidRPr="0030105A" w:rsidRDefault="002C59E7" w:rsidP="002440C0">
      <w:pPr>
        <w:pStyle w:val="Call"/>
        <w:rPr>
          <w:noProof/>
          <w:lang w:val="es-ES"/>
        </w:rPr>
      </w:pPr>
      <w:r w:rsidRPr="0030105A">
        <w:rPr>
          <w:noProof/>
          <w:lang w:val="es-ES"/>
        </w:rPr>
        <w:t>teniendo presente</w:t>
      </w:r>
    </w:p>
    <w:p w14:paraId="1226B5BD" w14:textId="4EFAB445" w:rsidR="002C59E7" w:rsidRPr="0030105A" w:rsidRDefault="002C59E7" w:rsidP="005B4732">
      <w:pPr>
        <w:jc w:val="both"/>
        <w:rPr>
          <w:noProof/>
          <w:lang w:val="es-ES"/>
        </w:rPr>
      </w:pPr>
      <w:r w:rsidRPr="0030105A">
        <w:rPr>
          <w:i/>
          <w:iCs/>
          <w:noProof/>
          <w:lang w:val="es-ES"/>
        </w:rPr>
        <w:t>a)</w:t>
      </w:r>
      <w:r w:rsidRPr="0030105A">
        <w:rPr>
          <w:noProof/>
          <w:lang w:val="es-ES"/>
        </w:rPr>
        <w:tab/>
        <w:t>lo dispuesto en la Decisión</w:t>
      </w:r>
      <w:r w:rsidR="0058713E">
        <w:rPr>
          <w:noProof/>
          <w:lang w:val="es-ES"/>
        </w:rPr>
        <w:t> </w:t>
      </w:r>
      <w:r w:rsidRPr="0030105A">
        <w:rPr>
          <w:noProof/>
          <w:lang w:val="es-ES"/>
        </w:rPr>
        <w:t>5 (Rev.</w:t>
      </w:r>
      <w:r w:rsidR="0058713E">
        <w:rPr>
          <w:noProof/>
          <w:lang w:val="es-ES"/>
        </w:rPr>
        <w:t> </w:t>
      </w:r>
      <w:r w:rsidRPr="0030105A">
        <w:rPr>
          <w:noProof/>
          <w:lang w:val="es-ES"/>
        </w:rPr>
        <w:t>Bucarest, 2022) de la Conferencia de Plenipotenciarios sobre los ingresos y gastos de la Unión para el periodo 2024-2027, en la que se estipula que el importe de la unidad contributiva de los Estados Miembros para los años 2026-2027 deberá establecerse en 318</w:t>
      </w:r>
      <w:r w:rsidR="005B4732">
        <w:rPr>
          <w:noProof/>
          <w:lang w:val="es-ES"/>
        </w:rPr>
        <w:t> </w:t>
      </w:r>
      <w:r w:rsidRPr="0030105A">
        <w:rPr>
          <w:noProof/>
          <w:lang w:val="es-ES"/>
        </w:rPr>
        <w:t>000</w:t>
      </w:r>
      <w:r w:rsidR="005B4732">
        <w:rPr>
          <w:noProof/>
          <w:lang w:val="es-ES"/>
        </w:rPr>
        <w:t> </w:t>
      </w:r>
      <w:r w:rsidRPr="0030105A">
        <w:rPr>
          <w:noProof/>
          <w:lang w:val="es-ES"/>
        </w:rPr>
        <w:t>CHF;</w:t>
      </w:r>
    </w:p>
    <w:p w14:paraId="7216BF58" w14:textId="35D2A118" w:rsidR="002C59E7" w:rsidRPr="0030105A" w:rsidRDefault="002C59E7" w:rsidP="0014063F">
      <w:pPr>
        <w:jc w:val="both"/>
        <w:rPr>
          <w:noProof/>
          <w:lang w:val="es-ES"/>
        </w:rPr>
      </w:pPr>
      <w:r w:rsidRPr="0030105A">
        <w:rPr>
          <w:i/>
          <w:iCs/>
          <w:noProof/>
          <w:lang w:val="es-ES"/>
        </w:rPr>
        <w:t>b)</w:t>
      </w:r>
      <w:r w:rsidRPr="0030105A">
        <w:rPr>
          <w:noProof/>
          <w:lang w:val="es-ES"/>
        </w:rPr>
        <w:tab/>
        <w:t>las disposiciones del Artículo</w:t>
      </w:r>
      <w:r w:rsidR="0058713E">
        <w:rPr>
          <w:noProof/>
          <w:lang w:val="es-ES"/>
        </w:rPr>
        <w:t> </w:t>
      </w:r>
      <w:r w:rsidRPr="0030105A">
        <w:rPr>
          <w:noProof/>
          <w:lang w:val="es-ES"/>
        </w:rPr>
        <w:t>11 del Reglamento Financiero y las Reglas Financieras de la Unión, sobre las transferencias de consignaciones presupuestarias,</w:t>
      </w:r>
    </w:p>
    <w:p w14:paraId="6DB77FD6" w14:textId="77777777" w:rsidR="002C59E7" w:rsidRPr="0030105A" w:rsidRDefault="002C59E7" w:rsidP="002440C0">
      <w:pPr>
        <w:pStyle w:val="Call"/>
        <w:rPr>
          <w:noProof/>
          <w:lang w:val="es-ES"/>
        </w:rPr>
      </w:pPr>
      <w:r w:rsidRPr="0030105A">
        <w:rPr>
          <w:noProof/>
          <w:lang w:val="es-ES"/>
        </w:rPr>
        <w:t>resuelve aprobar</w:t>
      </w:r>
    </w:p>
    <w:p w14:paraId="33B03219" w14:textId="5150A314" w:rsidR="002C59E7" w:rsidRPr="0030105A" w:rsidRDefault="002C59E7" w:rsidP="0014063F">
      <w:pPr>
        <w:jc w:val="both"/>
        <w:rPr>
          <w:noProof/>
          <w:lang w:val="es-ES"/>
        </w:rPr>
      </w:pPr>
      <w:r w:rsidRPr="0030105A">
        <w:rPr>
          <w:noProof/>
          <w:lang w:val="es-ES"/>
        </w:rPr>
        <w:t>el presupuesto bienal de la Unión para 2026-2027, que asciende a 163</w:t>
      </w:r>
      <w:r w:rsidR="005B4732">
        <w:rPr>
          <w:noProof/>
          <w:lang w:val="es-ES"/>
        </w:rPr>
        <w:t> </w:t>
      </w:r>
      <w:r w:rsidRPr="0030105A">
        <w:rPr>
          <w:noProof/>
          <w:lang w:val="es-ES"/>
        </w:rPr>
        <w:t>126</w:t>
      </w:r>
      <w:r w:rsidR="005B4732">
        <w:rPr>
          <w:noProof/>
          <w:lang w:val="es-ES"/>
        </w:rPr>
        <w:t> </w:t>
      </w:r>
      <w:r w:rsidRPr="0030105A">
        <w:rPr>
          <w:noProof/>
          <w:lang w:val="es-ES"/>
        </w:rPr>
        <w:t>000</w:t>
      </w:r>
      <w:r w:rsidR="005B4732">
        <w:rPr>
          <w:noProof/>
          <w:lang w:val="es-ES"/>
        </w:rPr>
        <w:t> </w:t>
      </w:r>
      <w:r w:rsidRPr="0030105A">
        <w:rPr>
          <w:noProof/>
          <w:lang w:val="es-ES"/>
        </w:rPr>
        <w:t>CHF para 2026 y a 170</w:t>
      </w:r>
      <w:r w:rsidR="005B4732">
        <w:rPr>
          <w:noProof/>
          <w:lang w:val="es-ES"/>
        </w:rPr>
        <w:t> </w:t>
      </w:r>
      <w:r w:rsidRPr="0030105A">
        <w:rPr>
          <w:noProof/>
          <w:lang w:val="es-ES"/>
        </w:rPr>
        <w:t>112</w:t>
      </w:r>
      <w:r w:rsidR="005B4732">
        <w:rPr>
          <w:noProof/>
          <w:lang w:val="es-ES"/>
        </w:rPr>
        <w:t> </w:t>
      </w:r>
      <w:r w:rsidRPr="0030105A">
        <w:rPr>
          <w:noProof/>
          <w:lang w:val="es-ES"/>
        </w:rPr>
        <w:t>000</w:t>
      </w:r>
      <w:r w:rsidR="005B4732">
        <w:rPr>
          <w:noProof/>
          <w:lang w:val="es-ES"/>
        </w:rPr>
        <w:t> </w:t>
      </w:r>
      <w:r w:rsidRPr="0030105A">
        <w:rPr>
          <w:noProof/>
          <w:lang w:val="es-ES"/>
        </w:rPr>
        <w:t>CHF para 2027 o 333</w:t>
      </w:r>
      <w:r w:rsidR="005B4732">
        <w:rPr>
          <w:noProof/>
          <w:lang w:val="es-ES"/>
        </w:rPr>
        <w:t> </w:t>
      </w:r>
      <w:r w:rsidRPr="0030105A">
        <w:rPr>
          <w:noProof/>
          <w:lang w:val="es-ES"/>
        </w:rPr>
        <w:t>238</w:t>
      </w:r>
      <w:r w:rsidR="005B4732">
        <w:rPr>
          <w:noProof/>
          <w:lang w:val="es-ES"/>
        </w:rPr>
        <w:t> </w:t>
      </w:r>
      <w:r w:rsidRPr="0030105A">
        <w:rPr>
          <w:noProof/>
          <w:lang w:val="es-ES"/>
        </w:rPr>
        <w:t>000</w:t>
      </w:r>
      <w:r w:rsidR="005B4732">
        <w:rPr>
          <w:noProof/>
          <w:lang w:val="es-ES"/>
        </w:rPr>
        <w:t> </w:t>
      </w:r>
      <w:r w:rsidRPr="0030105A">
        <w:rPr>
          <w:noProof/>
          <w:lang w:val="es-ES"/>
        </w:rPr>
        <w:t>CHF para el bienio 2026-2027, desglosado como sigue:</w:t>
      </w:r>
    </w:p>
    <w:p w14:paraId="097EBE94" w14:textId="1E7486B9" w:rsidR="002C59E7" w:rsidRPr="0030105A" w:rsidRDefault="009A6DD1" w:rsidP="002C59E7">
      <w:pPr>
        <w:overflowPunct/>
        <w:autoSpaceDE/>
        <w:autoSpaceDN/>
        <w:adjustRightInd/>
        <w:snapToGrid w:val="0"/>
        <w:spacing w:before="0" w:after="360"/>
        <w:jc w:val="center"/>
        <w:textAlignment w:val="auto"/>
        <w:rPr>
          <w:noProof/>
          <w:szCs w:val="24"/>
          <w:lang w:val="es-ES"/>
        </w:rPr>
      </w:pPr>
      <w:r w:rsidRPr="009A6DD1">
        <w:rPr>
          <w:noProof/>
        </w:rPr>
        <w:drawing>
          <wp:inline distT="0" distB="0" distL="0" distR="0" wp14:anchorId="0124A68E" wp14:editId="34DD0779">
            <wp:extent cx="5563870" cy="1899920"/>
            <wp:effectExtent l="0" t="0" r="0" b="5080"/>
            <wp:docPr id="4428020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3870" cy="1899920"/>
                    </a:xfrm>
                    <a:prstGeom prst="rect">
                      <a:avLst/>
                    </a:prstGeom>
                    <a:noFill/>
                    <a:ln>
                      <a:noFill/>
                    </a:ln>
                  </pic:spPr>
                </pic:pic>
              </a:graphicData>
            </a:graphic>
          </wp:inline>
        </w:drawing>
      </w:r>
    </w:p>
    <w:p w14:paraId="5E61F0E8" w14:textId="77777777" w:rsidR="002C59E7" w:rsidRPr="0030105A" w:rsidRDefault="002C59E7" w:rsidP="002440C0">
      <w:pPr>
        <w:pStyle w:val="Call"/>
        <w:rPr>
          <w:noProof/>
          <w:lang w:val="es-ES"/>
        </w:rPr>
      </w:pPr>
      <w:r w:rsidRPr="0030105A">
        <w:rPr>
          <w:noProof/>
          <w:lang w:val="es-ES"/>
        </w:rPr>
        <w:t>resuelve además</w:t>
      </w:r>
    </w:p>
    <w:p w14:paraId="6E63D682" w14:textId="108C1ABF" w:rsidR="002C59E7" w:rsidRPr="0030105A" w:rsidRDefault="002C59E7" w:rsidP="0014063F">
      <w:pPr>
        <w:jc w:val="both"/>
        <w:rPr>
          <w:noProof/>
          <w:lang w:val="es-ES"/>
        </w:rPr>
      </w:pPr>
      <w:r w:rsidRPr="0030105A">
        <w:rPr>
          <w:noProof/>
          <w:lang w:val="es-ES"/>
        </w:rPr>
        <w:t>1</w:t>
      </w:r>
      <w:r w:rsidRPr="0030105A">
        <w:rPr>
          <w:noProof/>
          <w:lang w:val="es-ES"/>
        </w:rPr>
        <w:tab/>
        <w:t>fijar el importe de la unidad contributiva anual para 2026 y 2027 en 318</w:t>
      </w:r>
      <w:r w:rsidR="005B4732">
        <w:rPr>
          <w:noProof/>
          <w:lang w:val="es-ES"/>
        </w:rPr>
        <w:t> </w:t>
      </w:r>
      <w:r w:rsidRPr="0030105A">
        <w:rPr>
          <w:noProof/>
          <w:lang w:val="es-ES"/>
        </w:rPr>
        <w:t>000</w:t>
      </w:r>
      <w:r w:rsidR="005B4732">
        <w:rPr>
          <w:noProof/>
          <w:lang w:val="es-ES"/>
        </w:rPr>
        <w:t> </w:t>
      </w:r>
      <w:r w:rsidRPr="0030105A">
        <w:rPr>
          <w:noProof/>
          <w:lang w:val="es-ES"/>
        </w:rPr>
        <w:t>CHF, basándose en la clase de contribución elegida por los Estados Miembros con arreglo al número 160 de la Constitución de la UIT y al número 468 del Convenio, o sea en base a un total de 355</w:t>
      </w:r>
      <w:r w:rsidR="0014063F">
        <w:rPr>
          <w:noProof/>
          <w:lang w:val="es-ES"/>
        </w:rPr>
        <w:t> </w:t>
      </w:r>
      <w:r w:rsidRPr="0030105A">
        <w:rPr>
          <w:noProof/>
          <w:lang w:val="es-ES"/>
        </w:rPr>
        <w:t>23/24 unidades;</w:t>
      </w:r>
    </w:p>
    <w:p w14:paraId="07293E74" w14:textId="6A999CD7" w:rsidR="002C59E7" w:rsidRPr="0030105A" w:rsidRDefault="002C59E7" w:rsidP="0014063F">
      <w:pPr>
        <w:jc w:val="both"/>
        <w:rPr>
          <w:noProof/>
          <w:lang w:val="es-ES"/>
        </w:rPr>
      </w:pPr>
      <w:r w:rsidRPr="0030105A">
        <w:rPr>
          <w:noProof/>
          <w:lang w:val="es-ES"/>
        </w:rPr>
        <w:t>2</w:t>
      </w:r>
      <w:r w:rsidRPr="0030105A">
        <w:rPr>
          <w:noProof/>
          <w:lang w:val="es-ES"/>
        </w:rPr>
        <w:tab/>
        <w:t>establecer en 63 600</w:t>
      </w:r>
      <w:r w:rsidR="005B4732">
        <w:rPr>
          <w:noProof/>
          <w:lang w:val="es-ES"/>
        </w:rPr>
        <w:t> </w:t>
      </w:r>
      <w:r w:rsidRPr="0030105A">
        <w:rPr>
          <w:noProof/>
          <w:lang w:val="es-ES"/>
        </w:rPr>
        <w:t>CHF el valor anual de la unidad contributiva para 2026 y 2027, destinada a sufragar los gastos del Sector de Radiocomunicaciones (UIT-R), el Sector de Normalización de las Telecomunicaciones (UIT-T) y el Sector de Desarrollo de las Telecomunicaciones (UIT-D), importe abonable por los Miembros de Sector de conformidad con el número 480 del Convenio;</w:t>
      </w:r>
    </w:p>
    <w:p w14:paraId="544D9A1E" w14:textId="77777777" w:rsidR="002C59E7" w:rsidRPr="0030105A" w:rsidRDefault="002C59E7" w:rsidP="0014063F">
      <w:pPr>
        <w:overflowPunct/>
        <w:autoSpaceDE/>
        <w:autoSpaceDN/>
        <w:adjustRightInd/>
        <w:snapToGrid w:val="0"/>
        <w:jc w:val="both"/>
        <w:textAlignment w:val="auto"/>
        <w:rPr>
          <w:noProof/>
          <w:lang w:val="es-ES"/>
        </w:rPr>
      </w:pPr>
      <w:r w:rsidRPr="0030105A">
        <w:rPr>
          <w:noProof/>
          <w:lang w:val="es-ES"/>
        </w:rPr>
        <w:lastRenderedPageBreak/>
        <w:t>3</w:t>
      </w:r>
      <w:r w:rsidRPr="0030105A">
        <w:rPr>
          <w:noProof/>
          <w:lang w:val="es-ES"/>
        </w:rPr>
        <w:tab/>
        <w:t>fijar la contribución financiera de los Asociados en las cantidades siguientes:</w:t>
      </w:r>
    </w:p>
    <w:p w14:paraId="401E50A8" w14:textId="7589CE65" w:rsidR="002C59E7" w:rsidRPr="0030105A" w:rsidRDefault="002C59E7" w:rsidP="009E3DF8">
      <w:pPr>
        <w:pStyle w:val="enumlev1"/>
      </w:pPr>
      <w:r w:rsidRPr="0030105A">
        <w:rPr>
          <w:i/>
          <w:iCs/>
        </w:rPr>
        <w:t>a)</w:t>
      </w:r>
      <w:r w:rsidRPr="0030105A">
        <w:tab/>
        <w:t>10</w:t>
      </w:r>
      <w:r w:rsidR="005B4732">
        <w:t> </w:t>
      </w:r>
      <w:r w:rsidRPr="0030105A">
        <w:t>600</w:t>
      </w:r>
      <w:r w:rsidR="005B4732">
        <w:t> </w:t>
      </w:r>
      <w:r w:rsidRPr="0030105A">
        <w:t>CHF para los Asociados que participen en las actividades del UIT-T y el UIT-R;</w:t>
      </w:r>
    </w:p>
    <w:p w14:paraId="66091C1D" w14:textId="2115360F" w:rsidR="002C59E7" w:rsidRPr="0030105A" w:rsidRDefault="002C59E7" w:rsidP="009E3DF8">
      <w:pPr>
        <w:pStyle w:val="enumlev1"/>
      </w:pPr>
      <w:r w:rsidRPr="0030105A">
        <w:rPr>
          <w:i/>
          <w:iCs/>
        </w:rPr>
        <w:t>b)</w:t>
      </w:r>
      <w:r w:rsidRPr="0030105A">
        <w:tab/>
        <w:t>3</w:t>
      </w:r>
      <w:r w:rsidR="005B4732">
        <w:t> </w:t>
      </w:r>
      <w:r w:rsidRPr="0030105A">
        <w:t>975</w:t>
      </w:r>
      <w:r w:rsidR="005B4732">
        <w:t> </w:t>
      </w:r>
      <w:r w:rsidRPr="0030105A">
        <w:t>CHF para los Asociados que participen en las actividades del UIT-D;</w:t>
      </w:r>
    </w:p>
    <w:p w14:paraId="068871A2" w14:textId="1C661709" w:rsidR="002C59E7" w:rsidRPr="0030105A" w:rsidRDefault="002C59E7" w:rsidP="009E3DF8">
      <w:pPr>
        <w:pStyle w:val="enumlev1"/>
        <w:rPr>
          <w:spacing w:val="-2"/>
        </w:rPr>
      </w:pPr>
      <w:r w:rsidRPr="0030105A">
        <w:rPr>
          <w:i/>
          <w:iCs/>
        </w:rPr>
        <w:t>c)</w:t>
      </w:r>
      <w:r w:rsidRPr="0030105A">
        <w:tab/>
        <w:t>1</w:t>
      </w:r>
      <w:r w:rsidR="005B4732">
        <w:t> </w:t>
      </w:r>
      <w:r w:rsidRPr="0030105A">
        <w:t>987,50</w:t>
      </w:r>
      <w:r w:rsidR="005B4732">
        <w:t> </w:t>
      </w:r>
      <w:r w:rsidRPr="0030105A">
        <w:t>CHF para los Asociados de los países en desarrollo que participen en las actividades del UIT−D;</w:t>
      </w:r>
    </w:p>
    <w:p w14:paraId="3B7C1950" w14:textId="77777777" w:rsidR="002C59E7" w:rsidRPr="0030105A" w:rsidRDefault="002C59E7" w:rsidP="0014063F">
      <w:pPr>
        <w:jc w:val="both"/>
        <w:rPr>
          <w:noProof/>
          <w:lang w:val="es-ES"/>
        </w:rPr>
      </w:pPr>
      <w:r w:rsidRPr="0030105A">
        <w:rPr>
          <w:noProof/>
          <w:lang w:val="es-ES"/>
        </w:rPr>
        <w:t>4</w:t>
      </w:r>
      <w:r w:rsidRPr="0030105A">
        <w:rPr>
          <w:noProof/>
          <w:lang w:val="es-ES"/>
        </w:rPr>
        <w:tab/>
        <w:t>fijar el canon anual para las Instituciones Académicas, incluidas las universidades y sus organismos de investigación asociados en las cantidades siguientes:</w:t>
      </w:r>
    </w:p>
    <w:p w14:paraId="22E3D427" w14:textId="58CA4095" w:rsidR="002C59E7" w:rsidRPr="0030105A" w:rsidRDefault="002C59E7" w:rsidP="009E3DF8">
      <w:pPr>
        <w:pStyle w:val="enumlev1"/>
      </w:pPr>
      <w:r w:rsidRPr="0030105A">
        <w:rPr>
          <w:i/>
          <w:iCs/>
        </w:rPr>
        <w:t>a)</w:t>
      </w:r>
      <w:r w:rsidRPr="0030105A">
        <w:tab/>
        <w:t>3 975</w:t>
      </w:r>
      <w:r w:rsidR="005B4732">
        <w:t> </w:t>
      </w:r>
      <w:r w:rsidRPr="0030105A">
        <w:t>CHF para las Instituciones Académicas de países desarrollados que participan en los trabajos de los tres Sectores;</w:t>
      </w:r>
    </w:p>
    <w:p w14:paraId="194E9797" w14:textId="7C00833B" w:rsidR="002C59E7" w:rsidRPr="0030105A" w:rsidRDefault="002C59E7" w:rsidP="009E3DF8">
      <w:pPr>
        <w:pStyle w:val="enumlev1"/>
      </w:pPr>
      <w:r w:rsidRPr="005B4732">
        <w:rPr>
          <w:i/>
          <w:iCs/>
        </w:rPr>
        <w:t>b)</w:t>
      </w:r>
      <w:r w:rsidRPr="005B4732">
        <w:tab/>
        <w:t>1</w:t>
      </w:r>
      <w:r w:rsidR="005B4732" w:rsidRPr="005B4732">
        <w:t> </w:t>
      </w:r>
      <w:r w:rsidRPr="005B4732">
        <w:t>987,50 CHF para las Instituciones Académicas de países en desarrollo que</w:t>
      </w:r>
      <w:r w:rsidRPr="0030105A">
        <w:t xml:space="preserve"> participan en los trabajos de los tres Sectores;</w:t>
      </w:r>
    </w:p>
    <w:p w14:paraId="771A30E7" w14:textId="77777777" w:rsidR="002C59E7" w:rsidRPr="0030105A" w:rsidRDefault="002C59E7" w:rsidP="002C59E7">
      <w:pPr>
        <w:rPr>
          <w:noProof/>
          <w:lang w:val="es-ES"/>
        </w:rPr>
      </w:pPr>
      <w:r w:rsidRPr="0030105A">
        <w:rPr>
          <w:noProof/>
          <w:lang w:val="es-ES"/>
        </w:rPr>
        <w:t>5</w:t>
      </w:r>
      <w:r w:rsidRPr="0030105A">
        <w:rPr>
          <w:noProof/>
          <w:lang w:val="es-ES"/>
        </w:rPr>
        <w:tab/>
        <w:t xml:space="preserve">autorizar, durante la ejecución del presupuesto para 2026-2027, a la Secretaria General a ajustar las consignaciones de las partidas de gastos a) y b) siguientes, de conformidad con las modificaciones resultantes de la utilización de la Cuenta de Provisión, y siempre que ésta se mantenga al nivel prescrito en la Decisión 5 (Rev. Bucarest, 2022): </w:t>
      </w:r>
    </w:p>
    <w:p w14:paraId="42D2FED6" w14:textId="77777777" w:rsidR="002C59E7" w:rsidRPr="0030105A" w:rsidRDefault="002C59E7" w:rsidP="009E3DF8">
      <w:pPr>
        <w:pStyle w:val="enumlev1"/>
      </w:pPr>
      <w:r w:rsidRPr="0030105A">
        <w:rPr>
          <w:i/>
          <w:iCs/>
        </w:rPr>
        <w:t>a)</w:t>
      </w:r>
      <w:r w:rsidRPr="0030105A">
        <w:tab/>
        <w:t>los aumentos de las escalas de sueldos, las contribuciones para pensiones y los subsidios, incluidos los ajustes por lugar de destino, aplicables en Ginebra, establecidos por el régimen común de las Naciones Unidas;</w:t>
      </w:r>
    </w:p>
    <w:p w14:paraId="33872764" w14:textId="77777777" w:rsidR="002C59E7" w:rsidRPr="0030105A" w:rsidRDefault="002C59E7" w:rsidP="009E3DF8">
      <w:pPr>
        <w:pStyle w:val="enumlev1"/>
      </w:pPr>
      <w:r w:rsidRPr="0030105A">
        <w:rPr>
          <w:i/>
          <w:iCs/>
        </w:rPr>
        <w:t>b)</w:t>
      </w:r>
      <w:r w:rsidRPr="0030105A">
        <w:tab/>
        <w:t>las fluctuaciones del tipo de cambio entre el franco suizo y el dólar de Estados Unidos en la medida en que dicho tipo afecte a los costes del personal al que se aplican las escalas de sueldos de las Naciones Unidas;</w:t>
      </w:r>
    </w:p>
    <w:p w14:paraId="62FF0463" w14:textId="77777777" w:rsidR="002C59E7" w:rsidRPr="0030105A" w:rsidRDefault="002C59E7" w:rsidP="002C59E7">
      <w:pPr>
        <w:rPr>
          <w:noProof/>
          <w:lang w:val="es-ES"/>
        </w:rPr>
      </w:pPr>
      <w:r w:rsidRPr="0030105A">
        <w:rPr>
          <w:noProof/>
          <w:lang w:val="es-ES"/>
        </w:rPr>
        <w:t>6</w:t>
      </w:r>
      <w:r w:rsidRPr="0030105A">
        <w:rPr>
          <w:noProof/>
          <w:lang w:val="es-ES"/>
        </w:rPr>
        <w:tab/>
        <w:t xml:space="preserve">encargar a la Secretaria General que someta cada año al Consejo un Informe detallado con toda la documentación que justifique las medidas adoptadas, acompañada de una exposición de las consecuencias financieras del </w:t>
      </w:r>
      <w:r w:rsidRPr="0030105A">
        <w:rPr>
          <w:i/>
          <w:iCs/>
          <w:noProof/>
          <w:lang w:val="es-ES"/>
        </w:rPr>
        <w:t>resuelve además</w:t>
      </w:r>
      <w:r w:rsidRPr="0030105A">
        <w:rPr>
          <w:noProof/>
          <w:lang w:val="es-ES"/>
        </w:rPr>
        <w:t xml:space="preserve"> 5);</w:t>
      </w:r>
    </w:p>
    <w:p w14:paraId="6C583ABB" w14:textId="77777777" w:rsidR="002C59E7" w:rsidRPr="0030105A" w:rsidRDefault="002C59E7" w:rsidP="002C59E7">
      <w:pPr>
        <w:rPr>
          <w:noProof/>
          <w:lang w:val="es-ES"/>
        </w:rPr>
      </w:pPr>
      <w:r w:rsidRPr="0030105A">
        <w:rPr>
          <w:noProof/>
          <w:lang w:val="es-ES"/>
        </w:rPr>
        <w:t>7</w:t>
      </w:r>
      <w:r w:rsidRPr="0030105A">
        <w:rPr>
          <w:noProof/>
          <w:lang w:val="es-ES"/>
        </w:rPr>
        <w:tab/>
        <w:t xml:space="preserve">conceder a la Secretaria General, para el bienio 2026-2027, con respecto a la </w:t>
      </w:r>
      <w:r w:rsidRPr="0030105A">
        <w:rPr>
          <w:i/>
          <w:iCs/>
          <w:noProof/>
          <w:lang w:val="es-ES"/>
        </w:rPr>
        <w:t>Regla 6.1</w:t>
      </w:r>
      <w:r w:rsidRPr="0030105A">
        <w:rPr>
          <w:noProof/>
          <w:lang w:val="es-ES"/>
        </w:rPr>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0FD1FFF0" w14:textId="77777777" w:rsidR="002C59E7" w:rsidRPr="0030105A" w:rsidRDefault="002C59E7" w:rsidP="002C59E7">
      <w:pPr>
        <w:rPr>
          <w:noProof/>
          <w:lang w:val="es-ES"/>
        </w:rPr>
      </w:pPr>
      <w:r w:rsidRPr="0030105A">
        <w:rPr>
          <w:noProof/>
          <w:lang w:val="es-ES"/>
        </w:rPr>
        <w:t>8</w:t>
      </w:r>
      <w:r w:rsidRPr="0030105A">
        <w:rPr>
          <w:noProof/>
          <w:lang w:val="es-ES"/>
        </w:rPr>
        <w:tab/>
        <w:t>autorizar que, en caso necesario, se equilibren las cuentas de 2026-2027 con el superávit de ingresos;</w:t>
      </w:r>
    </w:p>
    <w:p w14:paraId="0654522A" w14:textId="693B8B3C" w:rsidR="002C59E7" w:rsidRPr="0030105A" w:rsidRDefault="002C59E7" w:rsidP="002C59E7">
      <w:pPr>
        <w:rPr>
          <w:noProof/>
          <w:lang w:val="es-ES"/>
        </w:rPr>
      </w:pPr>
      <w:r w:rsidRPr="0030105A">
        <w:rPr>
          <w:noProof/>
          <w:lang w:val="es-ES"/>
        </w:rPr>
        <w:t>9</w:t>
      </w:r>
      <w:r w:rsidRPr="0030105A">
        <w:rPr>
          <w:noProof/>
          <w:lang w:val="es-ES"/>
        </w:rPr>
        <w:tab/>
        <w:t>encargar a la Secretaria General que en enero de 2026 transfiera 1</w:t>
      </w:r>
      <w:r w:rsidR="0014063F">
        <w:rPr>
          <w:noProof/>
          <w:lang w:val="es-ES"/>
        </w:rPr>
        <w:t> </w:t>
      </w:r>
      <w:r w:rsidRPr="0030105A">
        <w:rPr>
          <w:noProof/>
          <w:lang w:val="es-ES"/>
        </w:rPr>
        <w:t>millón</w:t>
      </w:r>
      <w:r w:rsidR="0014063F">
        <w:rPr>
          <w:noProof/>
          <w:lang w:val="es-ES"/>
        </w:rPr>
        <w:t> </w:t>
      </w:r>
      <w:r w:rsidRPr="0030105A">
        <w:rPr>
          <w:noProof/>
          <w:lang w:val="es-ES"/>
        </w:rPr>
        <w:t>CHF de la Cuenta de Provisión al fondo del seguro médico posterior a la separación del servicio para cubrir el pasivo a largo plazo no financiado.</w:t>
      </w:r>
    </w:p>
    <w:p w14:paraId="0D5F3DA7" w14:textId="3469A962" w:rsidR="002C59E7" w:rsidRDefault="002C59E7" w:rsidP="002C59E7">
      <w:pPr>
        <w:spacing w:before="840"/>
        <w:rPr>
          <w:noProof/>
          <w:lang w:val="es-ES"/>
        </w:rPr>
      </w:pPr>
      <w:r w:rsidRPr="0030105A">
        <w:rPr>
          <w:b/>
          <w:bCs/>
          <w:noProof/>
          <w:lang w:val="es-ES"/>
        </w:rPr>
        <w:t>Anexos</w:t>
      </w:r>
      <w:r w:rsidRPr="0030105A">
        <w:rPr>
          <w:noProof/>
          <w:lang w:val="es-ES"/>
        </w:rPr>
        <w:t>: Cuadros</w:t>
      </w:r>
      <w:r>
        <w:rPr>
          <w:noProof/>
          <w:lang w:val="es-ES"/>
        </w:rPr>
        <w:t xml:space="preserve"> 1 al 12</w:t>
      </w:r>
    </w:p>
    <w:p w14:paraId="02267086" w14:textId="77777777" w:rsidR="002C59E7" w:rsidRDefault="002C59E7" w:rsidP="002C59E7">
      <w:pPr>
        <w:rPr>
          <w:lang w:val="es-ES"/>
        </w:rPr>
      </w:pPr>
    </w:p>
    <w:p w14:paraId="1A7DBD2E" w14:textId="77777777" w:rsidR="002C59E7" w:rsidRDefault="002C59E7" w:rsidP="002C59E7">
      <w:pPr>
        <w:rPr>
          <w:lang w:val="es-ES"/>
        </w:rPr>
        <w:sectPr w:rsidR="002C59E7" w:rsidSect="00C538FC">
          <w:headerReference w:type="even" r:id="rId52"/>
          <w:footerReference w:type="even" r:id="rId53"/>
          <w:footerReference w:type="default" r:id="rId54"/>
          <w:headerReference w:type="first" r:id="rId55"/>
          <w:footerReference w:type="first" r:id="rId56"/>
          <w:pgSz w:w="11907" w:h="16834"/>
          <w:pgMar w:top="1418" w:right="1418" w:bottom="1418" w:left="1418" w:header="720" w:footer="720" w:gutter="0"/>
          <w:paperSrc w:first="286" w:other="286"/>
          <w:cols w:space="720"/>
          <w:titlePg/>
        </w:sectPr>
      </w:pPr>
    </w:p>
    <w:p w14:paraId="2F0CCE78" w14:textId="00E2FD05" w:rsidR="002C59E7" w:rsidRDefault="00C63B21" w:rsidP="00655220">
      <w:pPr>
        <w:pStyle w:val="Figure"/>
        <w:rPr>
          <w:lang w:val="es-ES"/>
        </w:rPr>
      </w:pPr>
      <w:r w:rsidRPr="00C63B21">
        <w:lastRenderedPageBreak/>
        <w:drawing>
          <wp:inline distT="0" distB="0" distL="0" distR="0" wp14:anchorId="5344F71C" wp14:editId="4F65D0E8">
            <wp:extent cx="7124132" cy="2409532"/>
            <wp:effectExtent l="0" t="0" r="635" b="0"/>
            <wp:docPr id="1073804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34242" cy="2412951"/>
                    </a:xfrm>
                    <a:prstGeom prst="rect">
                      <a:avLst/>
                    </a:prstGeom>
                    <a:noFill/>
                    <a:ln>
                      <a:noFill/>
                    </a:ln>
                  </pic:spPr>
                </pic:pic>
              </a:graphicData>
            </a:graphic>
          </wp:inline>
        </w:drawing>
      </w:r>
    </w:p>
    <w:p w14:paraId="4CDEE9A8" w14:textId="14A2FF3D" w:rsidR="002C59E7" w:rsidRDefault="006F62DC" w:rsidP="00655220">
      <w:pPr>
        <w:pStyle w:val="Figure"/>
        <w:rPr>
          <w:lang w:val="es-ES"/>
        </w:rPr>
      </w:pPr>
      <w:r w:rsidRPr="006F62DC">
        <w:lastRenderedPageBreak/>
        <w:drawing>
          <wp:inline distT="0" distB="0" distL="0" distR="0" wp14:anchorId="5EF1F8BF" wp14:editId="67ED45FE">
            <wp:extent cx="7399655" cy="5760085"/>
            <wp:effectExtent l="0" t="0" r="0" b="0"/>
            <wp:docPr id="209456294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9655" cy="5760085"/>
                    </a:xfrm>
                    <a:prstGeom prst="rect">
                      <a:avLst/>
                    </a:prstGeom>
                    <a:noFill/>
                    <a:ln>
                      <a:noFill/>
                    </a:ln>
                  </pic:spPr>
                </pic:pic>
              </a:graphicData>
            </a:graphic>
          </wp:inline>
        </w:drawing>
      </w:r>
    </w:p>
    <w:p w14:paraId="66D03F6E" w14:textId="5E1E48C2" w:rsidR="00655220" w:rsidRPr="00655220" w:rsidRDefault="006F62DC" w:rsidP="00655220">
      <w:pPr>
        <w:pStyle w:val="Figure"/>
        <w:rPr>
          <w:lang w:val="es-ES"/>
        </w:rPr>
      </w:pPr>
      <w:r w:rsidRPr="006F62DC">
        <w:lastRenderedPageBreak/>
        <w:drawing>
          <wp:inline distT="0" distB="0" distL="0" distR="0" wp14:anchorId="41C35B7C" wp14:editId="24305E8B">
            <wp:extent cx="7522234" cy="4880145"/>
            <wp:effectExtent l="0" t="0" r="2540" b="0"/>
            <wp:docPr id="3376818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3282" cy="4880825"/>
                    </a:xfrm>
                    <a:prstGeom prst="rect">
                      <a:avLst/>
                    </a:prstGeom>
                    <a:noFill/>
                    <a:ln>
                      <a:noFill/>
                    </a:ln>
                  </pic:spPr>
                </pic:pic>
              </a:graphicData>
            </a:graphic>
          </wp:inline>
        </w:drawing>
      </w:r>
    </w:p>
    <w:p w14:paraId="14EA4D2B" w14:textId="368CEE7E" w:rsidR="00F24C6A" w:rsidRPr="00F24C6A" w:rsidRDefault="00330757" w:rsidP="00655220">
      <w:pPr>
        <w:pStyle w:val="Figure"/>
        <w:rPr>
          <w:szCs w:val="24"/>
          <w:lang w:val="es-ES"/>
        </w:rPr>
      </w:pPr>
      <w:r w:rsidRPr="00330757">
        <w:lastRenderedPageBreak/>
        <w:drawing>
          <wp:inline distT="0" distB="0" distL="0" distR="0" wp14:anchorId="1CD7B757" wp14:editId="301E85B7">
            <wp:extent cx="8888730" cy="3681454"/>
            <wp:effectExtent l="0" t="0" r="7620" b="0"/>
            <wp:docPr id="586261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0976" cy="3682384"/>
                    </a:xfrm>
                    <a:prstGeom prst="rect">
                      <a:avLst/>
                    </a:prstGeom>
                    <a:noFill/>
                    <a:ln>
                      <a:noFill/>
                    </a:ln>
                  </pic:spPr>
                </pic:pic>
              </a:graphicData>
            </a:graphic>
          </wp:inline>
        </w:drawing>
      </w:r>
    </w:p>
    <w:p w14:paraId="7AD52FD1" w14:textId="0245A03B" w:rsidR="006240F0" w:rsidRDefault="00330757" w:rsidP="00655220">
      <w:pPr>
        <w:pStyle w:val="Figure"/>
        <w:rPr>
          <w:lang w:val="es-ES"/>
        </w:rPr>
      </w:pPr>
      <w:r w:rsidRPr="00330757">
        <w:lastRenderedPageBreak/>
        <w:drawing>
          <wp:inline distT="0" distB="0" distL="0" distR="0" wp14:anchorId="213DC79C" wp14:editId="7FDE1EEE">
            <wp:extent cx="9176941" cy="3721211"/>
            <wp:effectExtent l="0" t="0" r="5715" b="0"/>
            <wp:docPr id="1027723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01336" cy="3731103"/>
                    </a:xfrm>
                    <a:prstGeom prst="rect">
                      <a:avLst/>
                    </a:prstGeom>
                    <a:noFill/>
                    <a:ln>
                      <a:noFill/>
                    </a:ln>
                  </pic:spPr>
                </pic:pic>
              </a:graphicData>
            </a:graphic>
          </wp:inline>
        </w:drawing>
      </w:r>
    </w:p>
    <w:p w14:paraId="1C7F3D71" w14:textId="6B907946" w:rsidR="006240F0" w:rsidRDefault="008D18CE" w:rsidP="00655220">
      <w:pPr>
        <w:pStyle w:val="Figure"/>
        <w:rPr>
          <w:lang w:val="es-ES"/>
        </w:rPr>
      </w:pPr>
      <w:r w:rsidRPr="008D18CE">
        <w:lastRenderedPageBreak/>
        <w:drawing>
          <wp:inline distT="0" distB="0" distL="0" distR="0" wp14:anchorId="3AF900A1" wp14:editId="76E7A442">
            <wp:extent cx="9209504" cy="3737113"/>
            <wp:effectExtent l="0" t="0" r="0" b="0"/>
            <wp:docPr id="984589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5075" cy="3747489"/>
                    </a:xfrm>
                    <a:prstGeom prst="rect">
                      <a:avLst/>
                    </a:prstGeom>
                    <a:noFill/>
                    <a:ln>
                      <a:noFill/>
                    </a:ln>
                  </pic:spPr>
                </pic:pic>
              </a:graphicData>
            </a:graphic>
          </wp:inline>
        </w:drawing>
      </w:r>
    </w:p>
    <w:p w14:paraId="6F6F14FB" w14:textId="20FDD7B5" w:rsidR="006240F0" w:rsidRDefault="008656BA" w:rsidP="00655220">
      <w:pPr>
        <w:pStyle w:val="Figure"/>
        <w:rPr>
          <w:lang w:val="es-ES"/>
        </w:rPr>
      </w:pPr>
      <w:r w:rsidRPr="008656BA">
        <w:lastRenderedPageBreak/>
        <w:drawing>
          <wp:inline distT="0" distB="0" distL="0" distR="0" wp14:anchorId="15C93F47" wp14:editId="296EF6C6">
            <wp:extent cx="8721090" cy="4942840"/>
            <wp:effectExtent l="0" t="0" r="3810" b="0"/>
            <wp:docPr id="10514073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21090" cy="4942840"/>
                    </a:xfrm>
                    <a:prstGeom prst="rect">
                      <a:avLst/>
                    </a:prstGeom>
                    <a:noFill/>
                    <a:ln>
                      <a:noFill/>
                    </a:ln>
                  </pic:spPr>
                </pic:pic>
              </a:graphicData>
            </a:graphic>
          </wp:inline>
        </w:drawing>
      </w:r>
    </w:p>
    <w:p w14:paraId="7838F783" w14:textId="37E399E1" w:rsidR="006240F0" w:rsidRDefault="008656BA" w:rsidP="00655220">
      <w:pPr>
        <w:pStyle w:val="Figure"/>
        <w:rPr>
          <w:lang w:val="es-ES"/>
        </w:rPr>
      </w:pPr>
      <w:r w:rsidRPr="008656BA">
        <w:lastRenderedPageBreak/>
        <w:drawing>
          <wp:inline distT="0" distB="0" distL="0" distR="0" wp14:anchorId="2C6B531F" wp14:editId="1CDAF9CD">
            <wp:extent cx="9087210" cy="4070460"/>
            <wp:effectExtent l="0" t="0" r="0" b="6350"/>
            <wp:docPr id="16432402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16749" cy="4083692"/>
                    </a:xfrm>
                    <a:prstGeom prst="rect">
                      <a:avLst/>
                    </a:prstGeom>
                    <a:noFill/>
                    <a:ln>
                      <a:noFill/>
                    </a:ln>
                  </pic:spPr>
                </pic:pic>
              </a:graphicData>
            </a:graphic>
          </wp:inline>
        </w:drawing>
      </w:r>
    </w:p>
    <w:p w14:paraId="178219E0" w14:textId="4C8C3217" w:rsidR="006240F0" w:rsidRDefault="00D24FAE" w:rsidP="00655220">
      <w:pPr>
        <w:pStyle w:val="Figure"/>
        <w:rPr>
          <w:lang w:val="es-ES"/>
        </w:rPr>
      </w:pPr>
      <w:r w:rsidRPr="00D24FAE">
        <w:lastRenderedPageBreak/>
        <w:drawing>
          <wp:inline distT="0" distB="0" distL="0" distR="0" wp14:anchorId="4152916A" wp14:editId="3C3B9F5C">
            <wp:extent cx="9271000" cy="3673503"/>
            <wp:effectExtent l="0" t="0" r="6350" b="3175"/>
            <wp:docPr id="18887459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75978" cy="3675475"/>
                    </a:xfrm>
                    <a:prstGeom prst="rect">
                      <a:avLst/>
                    </a:prstGeom>
                    <a:noFill/>
                    <a:ln>
                      <a:noFill/>
                    </a:ln>
                  </pic:spPr>
                </pic:pic>
              </a:graphicData>
            </a:graphic>
          </wp:inline>
        </w:drawing>
      </w:r>
    </w:p>
    <w:p w14:paraId="1E7CF58D" w14:textId="109928AE" w:rsidR="006240F0" w:rsidRDefault="00F975D5" w:rsidP="00655220">
      <w:pPr>
        <w:pStyle w:val="Figure"/>
        <w:rPr>
          <w:lang w:val="es-ES"/>
        </w:rPr>
      </w:pPr>
      <w:r w:rsidRPr="00F975D5">
        <w:rPr>
          <w:lang w:val="es-ES"/>
        </w:rPr>
        <w:lastRenderedPageBreak/>
        <w:drawing>
          <wp:inline distT="0" distB="0" distL="0" distR="0" wp14:anchorId="5EBA66F6" wp14:editId="5114B167">
            <wp:extent cx="8888730" cy="3951799"/>
            <wp:effectExtent l="0" t="0" r="7620" b="0"/>
            <wp:docPr id="15083861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86152" name="Picture 1" descr="A screenshot of a computer screen&#10;&#10;AI-generated content may be incorrect."/>
                    <pic:cNvPicPr/>
                  </pic:nvPicPr>
                  <pic:blipFill>
                    <a:blip r:embed="rId66"/>
                    <a:stretch>
                      <a:fillRect/>
                    </a:stretch>
                  </pic:blipFill>
                  <pic:spPr>
                    <a:xfrm>
                      <a:off x="0" y="0"/>
                      <a:ext cx="8893121" cy="3953751"/>
                    </a:xfrm>
                    <a:prstGeom prst="rect">
                      <a:avLst/>
                    </a:prstGeom>
                  </pic:spPr>
                </pic:pic>
              </a:graphicData>
            </a:graphic>
          </wp:inline>
        </w:drawing>
      </w:r>
    </w:p>
    <w:p w14:paraId="5C87ABE8" w14:textId="7029ED68" w:rsidR="006240F0" w:rsidRDefault="00F975D5" w:rsidP="00655220">
      <w:pPr>
        <w:pStyle w:val="Figure"/>
        <w:rPr>
          <w:lang w:val="es-ES"/>
        </w:rPr>
      </w:pPr>
      <w:r w:rsidRPr="00F975D5">
        <w:rPr>
          <w:lang w:val="es-ES"/>
        </w:rPr>
        <w:lastRenderedPageBreak/>
        <w:drawing>
          <wp:inline distT="0" distB="0" distL="0" distR="0" wp14:anchorId="13859489" wp14:editId="40277112">
            <wp:extent cx="8888730" cy="3601085"/>
            <wp:effectExtent l="0" t="0" r="7620" b="0"/>
            <wp:docPr id="19697556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5622" name="Picture 1" descr="A screenshot of a computer&#10;&#10;AI-generated content may be incorrect."/>
                    <pic:cNvPicPr/>
                  </pic:nvPicPr>
                  <pic:blipFill>
                    <a:blip r:embed="rId67"/>
                    <a:stretch>
                      <a:fillRect/>
                    </a:stretch>
                  </pic:blipFill>
                  <pic:spPr>
                    <a:xfrm>
                      <a:off x="0" y="0"/>
                      <a:ext cx="8888730" cy="3601085"/>
                    </a:xfrm>
                    <a:prstGeom prst="rect">
                      <a:avLst/>
                    </a:prstGeom>
                  </pic:spPr>
                </pic:pic>
              </a:graphicData>
            </a:graphic>
          </wp:inline>
        </w:drawing>
      </w:r>
    </w:p>
    <w:p w14:paraId="11EFA601" w14:textId="0C375A99" w:rsidR="006240F0" w:rsidRDefault="00322B22" w:rsidP="00655220">
      <w:pPr>
        <w:pStyle w:val="Figure"/>
        <w:rPr>
          <w:lang w:val="es-ES"/>
        </w:rPr>
      </w:pPr>
      <w:r w:rsidRPr="00322B22">
        <w:rPr>
          <w:lang w:val="es-ES"/>
        </w:rPr>
        <w:lastRenderedPageBreak/>
        <w:drawing>
          <wp:inline distT="0" distB="0" distL="0" distR="0" wp14:anchorId="429B45B9" wp14:editId="0803D9FB">
            <wp:extent cx="8611263" cy="4102735"/>
            <wp:effectExtent l="0" t="0" r="0" b="0"/>
            <wp:docPr id="101378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046" name="Picture 1" descr="A screenshot of a computer&#10;&#10;AI-generated content may be incorrect."/>
                    <pic:cNvPicPr/>
                  </pic:nvPicPr>
                  <pic:blipFill>
                    <a:blip r:embed="rId68"/>
                    <a:stretch>
                      <a:fillRect/>
                    </a:stretch>
                  </pic:blipFill>
                  <pic:spPr>
                    <a:xfrm>
                      <a:off x="0" y="0"/>
                      <a:ext cx="8621621" cy="4107670"/>
                    </a:xfrm>
                    <a:prstGeom prst="rect">
                      <a:avLst/>
                    </a:prstGeom>
                  </pic:spPr>
                </pic:pic>
              </a:graphicData>
            </a:graphic>
          </wp:inline>
        </w:drawing>
      </w:r>
    </w:p>
    <w:p w14:paraId="6A2E2E3A" w14:textId="0250FB77" w:rsidR="006240F0" w:rsidRDefault="00F15432" w:rsidP="00655220">
      <w:pPr>
        <w:pStyle w:val="Figure"/>
        <w:rPr>
          <w:lang w:val="es-ES"/>
        </w:rPr>
      </w:pPr>
      <w:r w:rsidRPr="00F15432">
        <w:rPr>
          <w:lang w:val="es-ES"/>
        </w:rPr>
        <w:lastRenderedPageBreak/>
        <w:drawing>
          <wp:inline distT="0" distB="0" distL="0" distR="0" wp14:anchorId="77CBA86B" wp14:editId="793611F8">
            <wp:extent cx="8888730" cy="4325510"/>
            <wp:effectExtent l="0" t="0" r="7620" b="0"/>
            <wp:docPr id="9165586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58661" name="Picture 1" descr="A screenshot of a computer&#10;&#10;AI-generated content may be incorrect."/>
                    <pic:cNvPicPr/>
                  </pic:nvPicPr>
                  <pic:blipFill>
                    <a:blip r:embed="rId69"/>
                    <a:stretch>
                      <a:fillRect/>
                    </a:stretch>
                  </pic:blipFill>
                  <pic:spPr>
                    <a:xfrm>
                      <a:off x="0" y="0"/>
                      <a:ext cx="8891126" cy="4326676"/>
                    </a:xfrm>
                    <a:prstGeom prst="rect">
                      <a:avLst/>
                    </a:prstGeom>
                  </pic:spPr>
                </pic:pic>
              </a:graphicData>
            </a:graphic>
          </wp:inline>
        </w:drawing>
      </w:r>
    </w:p>
    <w:p w14:paraId="51767069" w14:textId="1618C760" w:rsidR="006240F0" w:rsidRDefault="00C7703F" w:rsidP="00655220">
      <w:pPr>
        <w:pStyle w:val="Figure"/>
        <w:rPr>
          <w:lang w:val="es-ES"/>
        </w:rPr>
      </w:pPr>
      <w:r w:rsidRPr="00C7703F">
        <w:rPr>
          <w:lang w:val="es-ES"/>
        </w:rPr>
        <w:lastRenderedPageBreak/>
        <w:drawing>
          <wp:inline distT="0" distB="0" distL="0" distR="0" wp14:anchorId="4FA577D4" wp14:editId="4577217A">
            <wp:extent cx="8698727" cy="4229735"/>
            <wp:effectExtent l="0" t="0" r="7620" b="0"/>
            <wp:docPr id="515951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51015" name="Picture 1" descr="A screenshot of a computer&#10;&#10;AI-generated content may be incorrect."/>
                    <pic:cNvPicPr/>
                  </pic:nvPicPr>
                  <pic:blipFill>
                    <a:blip r:embed="rId70"/>
                    <a:stretch>
                      <a:fillRect/>
                    </a:stretch>
                  </pic:blipFill>
                  <pic:spPr>
                    <a:xfrm>
                      <a:off x="0" y="0"/>
                      <a:ext cx="8706073" cy="4233307"/>
                    </a:xfrm>
                    <a:prstGeom prst="rect">
                      <a:avLst/>
                    </a:prstGeom>
                  </pic:spPr>
                </pic:pic>
              </a:graphicData>
            </a:graphic>
          </wp:inline>
        </w:drawing>
      </w:r>
    </w:p>
    <w:p w14:paraId="26686BA7" w14:textId="0364E041" w:rsidR="006240F0" w:rsidRDefault="00C7703F" w:rsidP="00655220">
      <w:pPr>
        <w:pStyle w:val="Figure"/>
        <w:rPr>
          <w:lang w:val="es-ES"/>
        </w:rPr>
      </w:pPr>
      <w:r w:rsidRPr="00C7703F">
        <w:rPr>
          <w:lang w:val="es-ES"/>
        </w:rPr>
        <w:lastRenderedPageBreak/>
        <w:drawing>
          <wp:inline distT="0" distB="0" distL="0" distR="0" wp14:anchorId="4FFBCDA4" wp14:editId="35F23429">
            <wp:extent cx="7569620" cy="3855110"/>
            <wp:effectExtent l="0" t="0" r="0" b="0"/>
            <wp:docPr id="2310394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39432" name="Picture 1" descr="A screenshot of a computer&#10;&#10;AI-generated content may be incorrect."/>
                    <pic:cNvPicPr/>
                  </pic:nvPicPr>
                  <pic:blipFill>
                    <a:blip r:embed="rId71"/>
                    <a:stretch>
                      <a:fillRect/>
                    </a:stretch>
                  </pic:blipFill>
                  <pic:spPr>
                    <a:xfrm>
                      <a:off x="0" y="0"/>
                      <a:ext cx="7579502" cy="3860143"/>
                    </a:xfrm>
                    <a:prstGeom prst="rect">
                      <a:avLst/>
                    </a:prstGeom>
                  </pic:spPr>
                </pic:pic>
              </a:graphicData>
            </a:graphic>
          </wp:inline>
        </w:drawing>
      </w:r>
    </w:p>
    <w:p w14:paraId="2DCF5DDA" w14:textId="60D14A62" w:rsidR="006240F0" w:rsidRDefault="00C7703F" w:rsidP="00655220">
      <w:pPr>
        <w:pStyle w:val="Figure"/>
        <w:rPr>
          <w:lang w:val="es-ES"/>
        </w:rPr>
      </w:pPr>
      <w:r w:rsidRPr="00C7703F">
        <w:rPr>
          <w:lang w:val="es-ES"/>
        </w:rPr>
        <w:lastRenderedPageBreak/>
        <w:drawing>
          <wp:inline distT="0" distB="0" distL="0" distR="0" wp14:anchorId="581F6D16" wp14:editId="3DFAF4A1">
            <wp:extent cx="8888730" cy="4572000"/>
            <wp:effectExtent l="0" t="0" r="7620" b="0"/>
            <wp:docPr id="1321944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4679" name="Picture 1" descr="A screenshot of a computer&#10;&#10;AI-generated content may be incorrect."/>
                    <pic:cNvPicPr/>
                  </pic:nvPicPr>
                  <pic:blipFill>
                    <a:blip r:embed="rId72"/>
                    <a:stretch>
                      <a:fillRect/>
                    </a:stretch>
                  </pic:blipFill>
                  <pic:spPr>
                    <a:xfrm>
                      <a:off x="0" y="0"/>
                      <a:ext cx="8890246" cy="4572780"/>
                    </a:xfrm>
                    <a:prstGeom prst="rect">
                      <a:avLst/>
                    </a:prstGeom>
                  </pic:spPr>
                </pic:pic>
              </a:graphicData>
            </a:graphic>
          </wp:inline>
        </w:drawing>
      </w:r>
    </w:p>
    <w:p w14:paraId="5888FDBF" w14:textId="2CA44C5C" w:rsidR="006240F0" w:rsidRDefault="00C7703F" w:rsidP="00655220">
      <w:pPr>
        <w:pStyle w:val="Figure"/>
        <w:rPr>
          <w:lang w:val="es-ES"/>
        </w:rPr>
      </w:pPr>
      <w:r w:rsidRPr="00C7703F">
        <w:rPr>
          <w:lang w:val="es-ES"/>
        </w:rPr>
        <w:lastRenderedPageBreak/>
        <w:drawing>
          <wp:inline distT="0" distB="0" distL="0" distR="0" wp14:anchorId="36122EDA" wp14:editId="1A1B821A">
            <wp:extent cx="8888730" cy="4468633"/>
            <wp:effectExtent l="0" t="0" r="7620" b="8255"/>
            <wp:docPr id="895734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34030" name="Picture 1" descr="A screenshot of a computer&#10;&#10;AI-generated content may be incorrect."/>
                    <pic:cNvPicPr/>
                  </pic:nvPicPr>
                  <pic:blipFill>
                    <a:blip r:embed="rId73"/>
                    <a:stretch>
                      <a:fillRect/>
                    </a:stretch>
                  </pic:blipFill>
                  <pic:spPr>
                    <a:xfrm>
                      <a:off x="0" y="0"/>
                      <a:ext cx="8889281" cy="4468910"/>
                    </a:xfrm>
                    <a:prstGeom prst="rect">
                      <a:avLst/>
                    </a:prstGeom>
                  </pic:spPr>
                </pic:pic>
              </a:graphicData>
            </a:graphic>
          </wp:inline>
        </w:drawing>
      </w:r>
    </w:p>
    <w:p w14:paraId="67AB8221" w14:textId="46017733" w:rsidR="006240F0" w:rsidRDefault="00C554FD" w:rsidP="00655220">
      <w:pPr>
        <w:pStyle w:val="Figure"/>
        <w:rPr>
          <w:lang w:val="es-ES"/>
        </w:rPr>
      </w:pPr>
      <w:r w:rsidRPr="00C554FD">
        <w:rPr>
          <w:lang w:val="es-ES"/>
        </w:rPr>
        <w:lastRenderedPageBreak/>
        <w:drawing>
          <wp:inline distT="0" distB="0" distL="0" distR="0" wp14:anchorId="4146CC06" wp14:editId="62FC6258">
            <wp:extent cx="8547100" cy="4452731"/>
            <wp:effectExtent l="0" t="0" r="6350" b="5080"/>
            <wp:docPr id="55408059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80597" name="Picture 1" descr="A screenshot of a graph&#10;&#10;AI-generated content may be incorrect."/>
                    <pic:cNvPicPr/>
                  </pic:nvPicPr>
                  <pic:blipFill>
                    <a:blip r:embed="rId74"/>
                    <a:stretch>
                      <a:fillRect/>
                    </a:stretch>
                  </pic:blipFill>
                  <pic:spPr>
                    <a:xfrm>
                      <a:off x="0" y="0"/>
                      <a:ext cx="8555473" cy="4457093"/>
                    </a:xfrm>
                    <a:prstGeom prst="rect">
                      <a:avLst/>
                    </a:prstGeom>
                  </pic:spPr>
                </pic:pic>
              </a:graphicData>
            </a:graphic>
          </wp:inline>
        </w:drawing>
      </w:r>
    </w:p>
    <w:p w14:paraId="0A924428" w14:textId="36AF5458" w:rsidR="006240F0" w:rsidRDefault="00C554FD" w:rsidP="00655220">
      <w:pPr>
        <w:pStyle w:val="Figure"/>
        <w:rPr>
          <w:lang w:val="es-ES"/>
        </w:rPr>
      </w:pPr>
      <w:r w:rsidRPr="00C554FD">
        <w:rPr>
          <w:lang w:val="es-ES"/>
        </w:rPr>
        <w:lastRenderedPageBreak/>
        <w:drawing>
          <wp:inline distT="0" distB="0" distL="0" distR="0" wp14:anchorId="7F438BDB" wp14:editId="01716CF3">
            <wp:extent cx="7812633" cy="4658111"/>
            <wp:effectExtent l="0" t="0" r="0" b="9525"/>
            <wp:docPr id="2029783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83056" name="Picture 1" descr="A screenshot of a computer&#10;&#10;AI-generated content may be incorrect."/>
                    <pic:cNvPicPr/>
                  </pic:nvPicPr>
                  <pic:blipFill>
                    <a:blip r:embed="rId75"/>
                    <a:stretch>
                      <a:fillRect/>
                    </a:stretch>
                  </pic:blipFill>
                  <pic:spPr>
                    <a:xfrm>
                      <a:off x="0" y="0"/>
                      <a:ext cx="7825632" cy="4665862"/>
                    </a:xfrm>
                    <a:prstGeom prst="rect">
                      <a:avLst/>
                    </a:prstGeom>
                  </pic:spPr>
                </pic:pic>
              </a:graphicData>
            </a:graphic>
          </wp:inline>
        </w:drawing>
      </w:r>
    </w:p>
    <w:p w14:paraId="0A430261" w14:textId="3F3FCE48" w:rsidR="006240F0" w:rsidRPr="00C554FD" w:rsidRDefault="00C554FD" w:rsidP="00655220">
      <w:pPr>
        <w:pStyle w:val="Figure"/>
        <w:rPr>
          <w:b/>
          <w:bCs/>
          <w:lang w:val="es-ES"/>
        </w:rPr>
      </w:pPr>
      <w:r w:rsidRPr="00C554FD">
        <w:rPr>
          <w:b/>
          <w:bCs/>
          <w:lang w:val="es-ES"/>
        </w:rPr>
        <w:lastRenderedPageBreak/>
        <w:drawing>
          <wp:inline distT="0" distB="0" distL="0" distR="0" wp14:anchorId="0DD96625" wp14:editId="1DBFE7E0">
            <wp:extent cx="8888730" cy="5144135"/>
            <wp:effectExtent l="0" t="0" r="7620" b="0"/>
            <wp:docPr id="115110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648" name="Picture 1" descr="A screenshot of a computer&#10;&#10;AI-generated content may be incorrect."/>
                    <pic:cNvPicPr/>
                  </pic:nvPicPr>
                  <pic:blipFill>
                    <a:blip r:embed="rId76"/>
                    <a:stretch>
                      <a:fillRect/>
                    </a:stretch>
                  </pic:blipFill>
                  <pic:spPr>
                    <a:xfrm>
                      <a:off x="0" y="0"/>
                      <a:ext cx="8888730" cy="5144135"/>
                    </a:xfrm>
                    <a:prstGeom prst="rect">
                      <a:avLst/>
                    </a:prstGeom>
                  </pic:spPr>
                </pic:pic>
              </a:graphicData>
            </a:graphic>
          </wp:inline>
        </w:drawing>
      </w:r>
    </w:p>
    <w:p w14:paraId="5D345DD1" w14:textId="15C2F98D" w:rsidR="006240F0" w:rsidRDefault="00C554FD" w:rsidP="00655220">
      <w:pPr>
        <w:pStyle w:val="Figure"/>
        <w:rPr>
          <w:lang w:val="es-ES"/>
        </w:rPr>
      </w:pPr>
      <w:r w:rsidRPr="00C554FD">
        <w:rPr>
          <w:lang w:val="es-ES"/>
        </w:rPr>
        <w:lastRenderedPageBreak/>
        <w:drawing>
          <wp:inline distT="0" distB="0" distL="0" distR="0" wp14:anchorId="73EC4F17" wp14:editId="23411564">
            <wp:extent cx="8888730" cy="5210810"/>
            <wp:effectExtent l="0" t="0" r="7620" b="8890"/>
            <wp:docPr id="202708996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89962" name="Picture 1" descr="A screenshot of a document&#10;&#10;AI-generated content may be incorrect."/>
                    <pic:cNvPicPr/>
                  </pic:nvPicPr>
                  <pic:blipFill>
                    <a:blip r:embed="rId77"/>
                    <a:stretch>
                      <a:fillRect/>
                    </a:stretch>
                  </pic:blipFill>
                  <pic:spPr>
                    <a:xfrm>
                      <a:off x="0" y="0"/>
                      <a:ext cx="8888730" cy="5210810"/>
                    </a:xfrm>
                    <a:prstGeom prst="rect">
                      <a:avLst/>
                    </a:prstGeom>
                  </pic:spPr>
                </pic:pic>
              </a:graphicData>
            </a:graphic>
          </wp:inline>
        </w:drawing>
      </w:r>
    </w:p>
    <w:p w14:paraId="30F902E1" w14:textId="4BBFB6ED" w:rsidR="006240F0" w:rsidRDefault="00C554FD" w:rsidP="00655220">
      <w:pPr>
        <w:pStyle w:val="Figure"/>
        <w:rPr>
          <w:lang w:val="es-ES"/>
        </w:rPr>
      </w:pPr>
      <w:r w:rsidRPr="00C554FD">
        <w:rPr>
          <w:lang w:val="es-ES"/>
        </w:rPr>
        <w:lastRenderedPageBreak/>
        <w:drawing>
          <wp:inline distT="0" distB="0" distL="0" distR="0" wp14:anchorId="14D96FE0" wp14:editId="1DB2ED8C">
            <wp:extent cx="6407997" cy="2845558"/>
            <wp:effectExtent l="0" t="0" r="0" b="0"/>
            <wp:docPr id="1883523214" name="Picture 1" descr="A blue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23214" name="Picture 1" descr="A blue and white rectangular object with text&#10;&#10;AI-generated content may be incorrect."/>
                    <pic:cNvPicPr/>
                  </pic:nvPicPr>
                  <pic:blipFill>
                    <a:blip r:embed="rId78"/>
                    <a:stretch>
                      <a:fillRect/>
                    </a:stretch>
                  </pic:blipFill>
                  <pic:spPr>
                    <a:xfrm>
                      <a:off x="0" y="0"/>
                      <a:ext cx="6442250" cy="2860769"/>
                    </a:xfrm>
                    <a:prstGeom prst="rect">
                      <a:avLst/>
                    </a:prstGeom>
                  </pic:spPr>
                </pic:pic>
              </a:graphicData>
            </a:graphic>
          </wp:inline>
        </w:drawing>
      </w:r>
    </w:p>
    <w:p w14:paraId="20A61196" w14:textId="1DFD67DC" w:rsidR="006240F0" w:rsidRDefault="006240F0">
      <w:pPr>
        <w:tabs>
          <w:tab w:val="clear" w:pos="567"/>
          <w:tab w:val="clear" w:pos="1134"/>
          <w:tab w:val="clear" w:pos="1701"/>
          <w:tab w:val="clear" w:pos="2268"/>
          <w:tab w:val="clear" w:pos="2835"/>
        </w:tabs>
        <w:overflowPunct/>
        <w:autoSpaceDE/>
        <w:autoSpaceDN/>
        <w:adjustRightInd/>
        <w:spacing w:before="0"/>
        <w:textAlignment w:val="auto"/>
        <w:rPr>
          <w:lang w:val="es-ES"/>
        </w:rPr>
      </w:pPr>
      <w:r>
        <w:rPr>
          <w:lang w:val="es-ES"/>
        </w:rPr>
        <w:br w:type="page"/>
      </w:r>
    </w:p>
    <w:p w14:paraId="1678C1DD" w14:textId="77777777" w:rsidR="00655220" w:rsidRDefault="006240F0" w:rsidP="00FC297D">
      <w:pPr>
        <w:pStyle w:val="AnnexNo"/>
        <w:spacing w:before="0"/>
        <w:rPr>
          <w:noProof/>
          <w:lang w:val="es-ES"/>
        </w:rPr>
      </w:pPr>
      <w:r w:rsidRPr="0030105A">
        <w:rPr>
          <w:noProof/>
          <w:lang w:val="es-ES"/>
        </w:rPr>
        <w:lastRenderedPageBreak/>
        <w:t>ANEXO B</w:t>
      </w:r>
    </w:p>
    <w:p w14:paraId="64E2D53B" w14:textId="3DBE1B76" w:rsidR="006240F0" w:rsidRPr="0030105A" w:rsidRDefault="00655220" w:rsidP="00FC297D">
      <w:pPr>
        <w:pStyle w:val="Annextitle"/>
        <w:spacing w:before="0" w:after="0"/>
      </w:pPr>
      <w:r w:rsidRPr="0030105A">
        <w:t>Documentación</w:t>
      </w:r>
    </w:p>
    <w:p w14:paraId="6D1B25FA" w14:textId="7EE41B7F" w:rsidR="006240F0" w:rsidRPr="0030105A" w:rsidRDefault="00015ACB" w:rsidP="00FC297D">
      <w:pPr>
        <w:pStyle w:val="Figure"/>
        <w:spacing w:after="120"/>
        <w:rPr>
          <w:lang w:val="es-ES"/>
        </w:rPr>
      </w:pPr>
      <w:r w:rsidRPr="00015ACB">
        <w:drawing>
          <wp:inline distT="0" distB="0" distL="0" distR="0" wp14:anchorId="08FDDDF8" wp14:editId="334D6EEC">
            <wp:extent cx="6629879" cy="5220000"/>
            <wp:effectExtent l="0" t="0" r="0" b="0"/>
            <wp:docPr id="1771121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29879" cy="5220000"/>
                    </a:xfrm>
                    <a:prstGeom prst="rect">
                      <a:avLst/>
                    </a:prstGeom>
                    <a:noFill/>
                    <a:ln>
                      <a:noFill/>
                    </a:ln>
                  </pic:spPr>
                </pic:pic>
              </a:graphicData>
            </a:graphic>
          </wp:inline>
        </w:drawing>
      </w:r>
    </w:p>
    <w:p w14:paraId="510C0FC8" w14:textId="3CC66928" w:rsidR="006240F0" w:rsidRPr="00FC297D" w:rsidRDefault="00015ACB" w:rsidP="00FC297D">
      <w:pPr>
        <w:pStyle w:val="Figure"/>
      </w:pPr>
      <w:r w:rsidRPr="00015ACB">
        <w:lastRenderedPageBreak/>
        <w:drawing>
          <wp:inline distT="0" distB="0" distL="0" distR="0" wp14:anchorId="555A3688" wp14:editId="69C6AAB0">
            <wp:extent cx="7129416" cy="5599215"/>
            <wp:effectExtent l="0" t="0" r="0" b="1905"/>
            <wp:docPr id="55070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31196" cy="5600613"/>
                    </a:xfrm>
                    <a:prstGeom prst="rect">
                      <a:avLst/>
                    </a:prstGeom>
                    <a:noFill/>
                    <a:ln>
                      <a:noFill/>
                    </a:ln>
                  </pic:spPr>
                </pic:pic>
              </a:graphicData>
            </a:graphic>
          </wp:inline>
        </w:drawing>
      </w:r>
      <w:r w:rsidR="005C78E0" w:rsidRPr="00FC297D">
        <w:lastRenderedPageBreak/>
        <w:drawing>
          <wp:inline distT="0" distB="0" distL="0" distR="0" wp14:anchorId="397958B8" wp14:editId="4D26032B">
            <wp:extent cx="7582394" cy="2558340"/>
            <wp:effectExtent l="0" t="0" r="0" b="0"/>
            <wp:docPr id="109873785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37856" name="Picture 1" descr="A screenshot of a computer screen&#10;&#10;AI-generated content may be incorrect."/>
                    <pic:cNvPicPr/>
                  </pic:nvPicPr>
                  <pic:blipFill>
                    <a:blip r:embed="rId81"/>
                    <a:stretch>
                      <a:fillRect/>
                    </a:stretch>
                  </pic:blipFill>
                  <pic:spPr>
                    <a:xfrm>
                      <a:off x="0" y="0"/>
                      <a:ext cx="7598743" cy="2563856"/>
                    </a:xfrm>
                    <a:prstGeom prst="rect">
                      <a:avLst/>
                    </a:prstGeom>
                  </pic:spPr>
                </pic:pic>
              </a:graphicData>
            </a:graphic>
          </wp:inline>
        </w:drawing>
      </w:r>
    </w:p>
    <w:p w14:paraId="695E1450" w14:textId="77777777" w:rsidR="006240F0" w:rsidRPr="006240F0" w:rsidRDefault="006240F0" w:rsidP="006240F0">
      <w:pPr>
        <w:rPr>
          <w:lang w:val="es-ES"/>
        </w:rPr>
      </w:pPr>
    </w:p>
    <w:p w14:paraId="56C65468" w14:textId="77777777" w:rsidR="006240F0" w:rsidRPr="0030105A" w:rsidRDefault="006240F0" w:rsidP="006240F0">
      <w:pPr>
        <w:rPr>
          <w:noProof/>
          <w:lang w:val="es-ES"/>
        </w:rPr>
        <w:sectPr w:rsidR="006240F0" w:rsidRPr="0030105A" w:rsidSect="006240F0">
          <w:headerReference w:type="default" r:id="rId82"/>
          <w:footerReference w:type="default" r:id="rId83"/>
          <w:headerReference w:type="first" r:id="rId84"/>
          <w:footerReference w:type="first" r:id="rId85"/>
          <w:pgSz w:w="16834" w:h="11907" w:orient="landscape"/>
          <w:pgMar w:top="1418" w:right="1418" w:bottom="1418" w:left="1418" w:header="720" w:footer="720" w:gutter="0"/>
          <w:paperSrc w:first="286" w:other="286"/>
          <w:cols w:space="720"/>
          <w:titlePg/>
          <w:docGrid w:linePitch="326"/>
        </w:sectPr>
      </w:pPr>
    </w:p>
    <w:p w14:paraId="7450F701" w14:textId="77777777" w:rsidR="00FC297D" w:rsidRDefault="006240F0" w:rsidP="00FC297D">
      <w:pPr>
        <w:pStyle w:val="AnnexNo"/>
        <w:rPr>
          <w:noProof/>
          <w:lang w:val="es-ES"/>
        </w:rPr>
      </w:pPr>
      <w:bookmarkStart w:id="4" w:name="Annex_C"/>
      <w:r w:rsidRPr="00FC297D">
        <w:lastRenderedPageBreak/>
        <w:t>Anexo</w:t>
      </w:r>
      <w:r w:rsidRPr="0030105A">
        <w:rPr>
          <w:noProof/>
          <w:lang w:val="es-ES"/>
        </w:rPr>
        <w:t xml:space="preserve"> C</w:t>
      </w:r>
    </w:p>
    <w:p w14:paraId="1D861786" w14:textId="32E68CF1" w:rsidR="006240F0" w:rsidRDefault="006240F0" w:rsidP="00FC297D">
      <w:pPr>
        <w:pStyle w:val="Annextitle"/>
      </w:pPr>
      <w:r w:rsidRPr="0030105A">
        <w:t>Proyección para 2028-2029</w:t>
      </w:r>
      <w:bookmarkEnd w:id="4"/>
    </w:p>
    <w:p w14:paraId="0415830D" w14:textId="114EF1C5" w:rsidR="006240F0" w:rsidRDefault="008656BA" w:rsidP="00FC297D">
      <w:pPr>
        <w:pStyle w:val="Figure"/>
        <w:rPr>
          <w:lang w:val="es-ES"/>
        </w:rPr>
      </w:pPr>
      <w:r w:rsidRPr="008656BA">
        <w:drawing>
          <wp:inline distT="0" distB="0" distL="0" distR="0" wp14:anchorId="35AB74FE" wp14:editId="0192CC80">
            <wp:extent cx="5760085" cy="6943178"/>
            <wp:effectExtent l="0" t="0" r="0" b="0"/>
            <wp:docPr id="10787958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86">
                      <a:extLst>
                        <a:ext uri="{28A0092B-C50C-407E-A947-70E740481C1C}">
                          <a14:useLocalDpi xmlns:a14="http://schemas.microsoft.com/office/drawing/2010/main" val="0"/>
                        </a:ext>
                      </a:extLst>
                    </a:blip>
                    <a:srcRect t="3545"/>
                    <a:stretch/>
                  </pic:blipFill>
                  <pic:spPr bwMode="auto">
                    <a:xfrm>
                      <a:off x="0" y="0"/>
                      <a:ext cx="5760085" cy="6943178"/>
                    </a:xfrm>
                    <a:prstGeom prst="rect">
                      <a:avLst/>
                    </a:prstGeom>
                    <a:noFill/>
                    <a:ln>
                      <a:noFill/>
                    </a:ln>
                    <a:extLst>
                      <a:ext uri="{53640926-AAD7-44D8-BBD7-CCE9431645EC}">
                        <a14:shadowObscured xmlns:a14="http://schemas.microsoft.com/office/drawing/2010/main"/>
                      </a:ext>
                    </a:extLst>
                  </pic:spPr>
                </pic:pic>
              </a:graphicData>
            </a:graphic>
          </wp:inline>
        </w:drawing>
      </w:r>
    </w:p>
    <w:p w14:paraId="28E1FB41" w14:textId="6F5FCEEB" w:rsidR="00523EF4" w:rsidRDefault="00523EF4" w:rsidP="0016259A">
      <w:pPr>
        <w:rPr>
          <w:sz w:val="28"/>
          <w:lang w:val="es-ES"/>
        </w:rPr>
      </w:pPr>
      <w:r>
        <w:rPr>
          <w:lang w:val="es-ES"/>
        </w:rPr>
        <w:br w:type="page"/>
      </w:r>
    </w:p>
    <w:p w14:paraId="3CDBB6D6" w14:textId="77777777" w:rsidR="00FC297D" w:rsidRDefault="00523EF4" w:rsidP="00523EF4">
      <w:pPr>
        <w:pStyle w:val="AnnexNo"/>
        <w:spacing w:before="0"/>
        <w:rPr>
          <w:noProof/>
          <w:lang w:val="es-ES"/>
        </w:rPr>
      </w:pPr>
      <w:r w:rsidRPr="0030105A">
        <w:rPr>
          <w:noProof/>
          <w:lang w:val="es-ES"/>
        </w:rPr>
        <w:lastRenderedPageBreak/>
        <w:t>Anexo D</w:t>
      </w:r>
    </w:p>
    <w:p w14:paraId="31788FBA" w14:textId="12A09D26" w:rsidR="00523EF4" w:rsidRPr="0030105A" w:rsidRDefault="00523EF4" w:rsidP="00FC297D">
      <w:pPr>
        <w:pStyle w:val="Annextitle"/>
        <w:rPr>
          <w:rFonts w:asciiTheme="minorHAnsi" w:hAnsiTheme="minorHAnsi" w:cstheme="minorHAnsi"/>
        </w:rPr>
      </w:pPr>
      <w:r w:rsidRPr="0030105A">
        <w:t>Categoría de gastos</w:t>
      </w:r>
      <w:bookmarkStart w:id="5" w:name="Annex_D"/>
      <w:bookmarkEnd w:id="5"/>
    </w:p>
    <w:p w14:paraId="792E9EC5" w14:textId="77777777" w:rsidR="00523EF4" w:rsidRPr="002751BD" w:rsidRDefault="00523EF4" w:rsidP="00F8472A">
      <w:pPr>
        <w:pStyle w:val="Headingb"/>
        <w:rPr>
          <w:noProof/>
          <w:lang w:val="es-ES"/>
        </w:rPr>
      </w:pPr>
      <w:r w:rsidRPr="0030105A">
        <w:rPr>
          <w:noProof/>
          <w:lang w:val="es-ES"/>
        </w:rPr>
        <w:t xml:space="preserve">Gastos de personal (sueldos y gastos conexos, etc.) </w:t>
      </w:r>
    </w:p>
    <w:p w14:paraId="0C8DE15B" w14:textId="77777777" w:rsidR="00523EF4" w:rsidRPr="00BA5B46" w:rsidRDefault="00523EF4" w:rsidP="00BA5B46">
      <w:pPr>
        <w:jc w:val="both"/>
        <w:rPr>
          <w:noProof/>
          <w:lang w:val="es-ES"/>
        </w:rPr>
      </w:pPr>
      <w:r w:rsidRPr="0030105A">
        <w:rPr>
          <w:noProof/>
          <w:lang w:val="es-ES"/>
        </w:rPr>
        <w:t xml:space="preserve">Estos gastos incluyen todas las remuneraciones abonadas regularmente a los titulares de puestos de plantilla y al personal con contratos de corta duración, como los sueldos base, el ajuste por lugar de destino, la asignación de idiomas y la asignación de no residencia, las ayudas familiares y las horas extraordinarias. </w:t>
      </w:r>
    </w:p>
    <w:p w14:paraId="3A0B2837" w14:textId="77777777" w:rsidR="00523EF4" w:rsidRPr="0030105A" w:rsidRDefault="00523EF4" w:rsidP="00F8472A">
      <w:pPr>
        <w:pStyle w:val="Headingb"/>
        <w:rPr>
          <w:rFonts w:asciiTheme="minorHAnsi" w:hAnsiTheme="minorHAnsi" w:cstheme="minorHAnsi"/>
          <w:bCs/>
          <w:noProof/>
          <w:color w:val="002060"/>
          <w:lang w:val="es-ES"/>
        </w:rPr>
      </w:pPr>
      <w:r w:rsidRPr="0014063F">
        <w:rPr>
          <w:noProof/>
          <w:lang w:val="es-ES"/>
        </w:rPr>
        <w:t>Otros gastos de personal</w:t>
      </w:r>
      <w:r w:rsidRPr="0030105A">
        <w:rPr>
          <w:noProof/>
          <w:lang w:val="es-ES"/>
        </w:rPr>
        <w:t xml:space="preserve"> </w:t>
      </w:r>
    </w:p>
    <w:p w14:paraId="59129CBF" w14:textId="77777777" w:rsidR="00523EF4" w:rsidRPr="00BA5B46" w:rsidRDefault="00523EF4" w:rsidP="00BA5B46">
      <w:pPr>
        <w:jc w:val="both"/>
        <w:rPr>
          <w:noProof/>
          <w:lang w:val="es-ES"/>
        </w:rPr>
      </w:pPr>
      <w:r w:rsidRPr="0030105A">
        <w:rPr>
          <w:noProof/>
          <w:lang w:val="es-ES"/>
        </w:rPr>
        <w:t>Se trata de partidas como la contribución de la Unión a las pensiones y al seguro de enfermedad, el seguro de accidentes y los gastos del Comité de Pensiones, las asignaciones escolares y los gastos de viaje, los viajes con motivo de nombramientos y ceses en el servicio, los subsidios de instalación y repatriación, los viajes al país de origen, las vacaciones acumuladas pagadas, las indemnizaciones por despido y los gastos de mudanza. Se refieren tanto a los puestos de plantilla como al personal con contratos de corta duración.</w:t>
      </w:r>
    </w:p>
    <w:p w14:paraId="3A143244" w14:textId="77777777" w:rsidR="00523EF4" w:rsidRPr="00BA5B46" w:rsidRDefault="00523EF4" w:rsidP="00BA5B46">
      <w:pPr>
        <w:jc w:val="both"/>
        <w:rPr>
          <w:noProof/>
          <w:lang w:val="es-ES"/>
        </w:rPr>
      </w:pPr>
      <w:r w:rsidRPr="0030105A">
        <w:rPr>
          <w:noProof/>
          <w:lang w:val="es-ES"/>
        </w:rPr>
        <w:t xml:space="preserve">Este gasto incluye todos los pagos relacionados con el personal jubilado, como la asignación por carestía de vida, el seguro de supervivientes y el seguro médico. </w:t>
      </w:r>
    </w:p>
    <w:p w14:paraId="33D91D3E" w14:textId="77777777" w:rsidR="00523EF4" w:rsidRPr="00BA5B46" w:rsidRDefault="00523EF4" w:rsidP="00F8472A">
      <w:pPr>
        <w:pStyle w:val="Headingb"/>
        <w:rPr>
          <w:noProof/>
          <w:lang w:val="es-ES"/>
        </w:rPr>
      </w:pPr>
      <w:r w:rsidRPr="00BA5B46">
        <w:rPr>
          <w:noProof/>
          <w:lang w:val="es-ES"/>
        </w:rPr>
        <w:t>Gastos de misión</w:t>
      </w:r>
      <w:r w:rsidRPr="0030105A">
        <w:rPr>
          <w:noProof/>
          <w:lang w:val="es-ES"/>
        </w:rPr>
        <w:t xml:space="preserve"> </w:t>
      </w:r>
    </w:p>
    <w:p w14:paraId="2B439264" w14:textId="77777777" w:rsidR="00523EF4" w:rsidRPr="00BA5B46" w:rsidRDefault="00523EF4" w:rsidP="00BA5B46">
      <w:pPr>
        <w:jc w:val="both"/>
        <w:rPr>
          <w:noProof/>
          <w:lang w:val="es-ES"/>
        </w:rPr>
      </w:pPr>
      <w:r w:rsidRPr="0030105A">
        <w:rPr>
          <w:noProof/>
          <w:lang w:val="es-ES"/>
        </w:rPr>
        <w:t xml:space="preserve">Se entiende por viajes oficiales los que se realizan con el fin de trasladar a expertos y funcionarios a los lugares de realización de misiones o de celebración de conferencias y reuniones. Esta partida comprende los billetes de viaje, las dietas, los gastos terminales y el seguro. Se abonan en caso de asistencia de delegados a las reuniones del Consejo y misiones del personal de los Sectores, de la Secretaría General y de sus asesores. Los programas de becas se clasifican en esta categoría de gastos. </w:t>
      </w:r>
    </w:p>
    <w:p w14:paraId="5A53C903" w14:textId="77777777" w:rsidR="00523EF4" w:rsidRPr="00BA5B46" w:rsidRDefault="00523EF4" w:rsidP="00BA5B46">
      <w:pPr>
        <w:jc w:val="both"/>
        <w:rPr>
          <w:noProof/>
          <w:lang w:val="es-ES"/>
        </w:rPr>
      </w:pPr>
      <w:r w:rsidRPr="0030105A">
        <w:rPr>
          <w:noProof/>
          <w:lang w:val="es-ES"/>
        </w:rPr>
        <w:t>No se incluyen los viajes relacionados con la contratación de personal, las vacaciones en el país de origen y la repatriación (</w:t>
      </w:r>
      <w:r w:rsidRPr="00BA5B46">
        <w:rPr>
          <w:noProof/>
          <w:lang w:val="es-ES"/>
        </w:rPr>
        <w:t>cf.</w:t>
      </w:r>
      <w:r w:rsidRPr="0030105A">
        <w:rPr>
          <w:noProof/>
          <w:lang w:val="es-ES"/>
        </w:rPr>
        <w:t xml:space="preserve"> Otros gastos de personal). </w:t>
      </w:r>
    </w:p>
    <w:p w14:paraId="5B536B41" w14:textId="77777777" w:rsidR="00523EF4" w:rsidRPr="00BA5B46" w:rsidRDefault="00523EF4" w:rsidP="00F8472A">
      <w:pPr>
        <w:pStyle w:val="Headingb"/>
        <w:rPr>
          <w:noProof/>
          <w:lang w:val="es-ES"/>
        </w:rPr>
      </w:pPr>
      <w:r w:rsidRPr="00BA5B46">
        <w:rPr>
          <w:noProof/>
          <w:lang w:val="es-ES"/>
        </w:rPr>
        <w:t>Servicios por contrata</w:t>
      </w:r>
      <w:r w:rsidRPr="0030105A">
        <w:rPr>
          <w:noProof/>
          <w:lang w:val="es-ES"/>
        </w:rPr>
        <w:t xml:space="preserve"> </w:t>
      </w:r>
    </w:p>
    <w:p w14:paraId="2A467D6C" w14:textId="77777777" w:rsidR="00523EF4" w:rsidRPr="00BA5B46" w:rsidRDefault="00523EF4" w:rsidP="00BA5B46">
      <w:pPr>
        <w:jc w:val="both"/>
        <w:rPr>
          <w:noProof/>
          <w:lang w:val="es-ES"/>
        </w:rPr>
      </w:pPr>
      <w:r w:rsidRPr="0030105A">
        <w:rPr>
          <w:noProof/>
          <w:lang w:val="es-ES"/>
        </w:rPr>
        <w:t xml:space="preserve">Los artículos de esta categoría generalmente se relacionan con las tasas, los honorarios y los viajes hacia y desde el lugar de residencia. Se abonan a empresas de consultores por trabajos y acuerdos contractuales. También incluyen los acuerdos de servicios especiales. Esta partida cubre los gastos de formación de cursos de idiomas y cursos especializados. </w:t>
      </w:r>
    </w:p>
    <w:p w14:paraId="6D4665C8" w14:textId="77777777" w:rsidR="00523EF4" w:rsidRPr="00BA5B46" w:rsidRDefault="00523EF4" w:rsidP="00BA5B46">
      <w:pPr>
        <w:jc w:val="both"/>
        <w:rPr>
          <w:noProof/>
          <w:lang w:val="es-ES"/>
        </w:rPr>
      </w:pPr>
      <w:r w:rsidRPr="0030105A">
        <w:rPr>
          <w:noProof/>
          <w:lang w:val="es-ES"/>
        </w:rPr>
        <w:t xml:space="preserve">También se incluye el coste de los servicios prestados por terceros, como la traducción de documentos, los servicios informáticos, etc. </w:t>
      </w:r>
    </w:p>
    <w:p w14:paraId="40BBA9C9" w14:textId="77777777" w:rsidR="00523EF4" w:rsidRPr="00BA5B46" w:rsidRDefault="00523EF4" w:rsidP="00F8472A">
      <w:pPr>
        <w:pStyle w:val="Headingb"/>
        <w:rPr>
          <w:noProof/>
          <w:lang w:val="es-ES"/>
        </w:rPr>
      </w:pPr>
      <w:r w:rsidRPr="00BA5B46">
        <w:rPr>
          <w:noProof/>
          <w:lang w:val="es-ES"/>
        </w:rPr>
        <w:t>Alquiler y conservación de edificios y equipos</w:t>
      </w:r>
      <w:r w:rsidRPr="0030105A">
        <w:rPr>
          <w:noProof/>
          <w:lang w:val="es-ES"/>
        </w:rPr>
        <w:t xml:space="preserve"> </w:t>
      </w:r>
    </w:p>
    <w:p w14:paraId="7A6D4EDF" w14:textId="124D5EC0" w:rsidR="00523EF4" w:rsidRPr="0030105A" w:rsidRDefault="00523EF4" w:rsidP="00BA5B46">
      <w:pPr>
        <w:jc w:val="both"/>
        <w:rPr>
          <w:rFonts w:asciiTheme="minorHAnsi" w:hAnsiTheme="minorHAnsi" w:cstheme="minorHAnsi"/>
          <w:b/>
          <w:bCs/>
          <w:noProof/>
          <w:color w:val="002060"/>
          <w:lang w:val="es-ES"/>
        </w:rPr>
      </w:pPr>
      <w:r w:rsidRPr="00BA5B46">
        <w:rPr>
          <w:noProof/>
          <w:lang w:val="es-ES"/>
        </w:rPr>
        <w:t xml:space="preserve">Los gastos de esta categoría incluyen el alquiler de salas de reunión, plazas de estacionamiento y equipo, así como todos los gastos de mantenimiento de los edificios, terrenos, vehículos, equipos informáticos y </w:t>
      </w:r>
      <w:r w:rsidRPr="00BA5B46">
        <w:rPr>
          <w:i/>
          <w:iCs/>
          <w:noProof/>
          <w:lang w:val="es-ES"/>
        </w:rPr>
        <w:t>software</w:t>
      </w:r>
      <w:r w:rsidRPr="00BA5B46">
        <w:rPr>
          <w:noProof/>
          <w:lang w:val="es-ES"/>
        </w:rPr>
        <w:t>, así como el correspondiente seguro contra incendios, inundaciones y otros daños</w:t>
      </w:r>
      <w:r w:rsidRPr="0030105A">
        <w:rPr>
          <w:noProof/>
          <w:lang w:val="es-ES"/>
        </w:rPr>
        <w:t xml:space="preserve">. </w:t>
      </w:r>
    </w:p>
    <w:p w14:paraId="4E77AC75" w14:textId="77777777" w:rsidR="00523EF4" w:rsidRPr="0030105A" w:rsidRDefault="00523EF4" w:rsidP="00F8472A">
      <w:pPr>
        <w:pStyle w:val="Headingb"/>
        <w:rPr>
          <w:rFonts w:asciiTheme="minorHAnsi" w:hAnsiTheme="minorHAnsi" w:cstheme="minorHAnsi"/>
          <w:noProof/>
          <w:color w:val="002060"/>
          <w:lang w:val="es-ES"/>
        </w:rPr>
      </w:pPr>
      <w:r w:rsidRPr="0030105A">
        <w:rPr>
          <w:noProof/>
          <w:lang w:val="es-ES"/>
        </w:rPr>
        <w:t xml:space="preserve">Materiales y suministros </w:t>
      </w:r>
    </w:p>
    <w:p w14:paraId="601FF0A0" w14:textId="77777777" w:rsidR="00523EF4" w:rsidRPr="00BA5B46" w:rsidRDefault="00523EF4" w:rsidP="00BA5B46">
      <w:pPr>
        <w:jc w:val="both"/>
        <w:rPr>
          <w:noProof/>
          <w:lang w:val="es-ES"/>
        </w:rPr>
      </w:pPr>
      <w:r w:rsidRPr="0030105A">
        <w:rPr>
          <w:noProof/>
          <w:lang w:val="es-ES"/>
        </w:rPr>
        <w:t>Los materiales y suministros incluyen material de oficina, suministros de impresión y suministros de equipos de TI.</w:t>
      </w:r>
    </w:p>
    <w:p w14:paraId="445F0816" w14:textId="77777777" w:rsidR="00523EF4" w:rsidRPr="00851C09" w:rsidRDefault="00523EF4" w:rsidP="00F8472A">
      <w:pPr>
        <w:pStyle w:val="Headingb"/>
        <w:rPr>
          <w:noProof/>
          <w:lang w:val="es-ES"/>
        </w:rPr>
      </w:pPr>
      <w:r w:rsidRPr="00851C09">
        <w:rPr>
          <w:noProof/>
          <w:lang w:val="es-ES"/>
        </w:rPr>
        <w:lastRenderedPageBreak/>
        <w:t xml:space="preserve">Adquisición de locales, mobiliario y equipos </w:t>
      </w:r>
    </w:p>
    <w:p w14:paraId="0CC6054B" w14:textId="77777777" w:rsidR="00523EF4" w:rsidRPr="00BA5B46" w:rsidRDefault="00523EF4" w:rsidP="00BA5B46">
      <w:pPr>
        <w:jc w:val="both"/>
        <w:rPr>
          <w:noProof/>
          <w:lang w:val="es-ES"/>
        </w:rPr>
      </w:pPr>
      <w:r w:rsidRPr="0030105A">
        <w:rPr>
          <w:noProof/>
          <w:lang w:val="es-ES"/>
        </w:rPr>
        <w:t xml:space="preserve">Esta categoría de gastos corresponde principalmente a partidas de capital y abarca la adquisición de mobiliario, periféricos informáticos y otros equipos e instalaciones técnicas. </w:t>
      </w:r>
    </w:p>
    <w:p w14:paraId="23C5C4CC" w14:textId="77777777" w:rsidR="00523EF4" w:rsidRPr="00202A4E" w:rsidRDefault="00523EF4" w:rsidP="00F8472A">
      <w:pPr>
        <w:pStyle w:val="Headingb"/>
        <w:rPr>
          <w:noProof/>
          <w:lang w:val="es-ES"/>
        </w:rPr>
      </w:pPr>
      <w:r w:rsidRPr="00202A4E">
        <w:rPr>
          <w:noProof/>
          <w:lang w:val="es-ES"/>
        </w:rPr>
        <w:t xml:space="preserve">Servicios públicos e internos </w:t>
      </w:r>
    </w:p>
    <w:p w14:paraId="751B8293" w14:textId="77777777" w:rsidR="00523EF4" w:rsidRPr="00BA5B46" w:rsidRDefault="00523EF4" w:rsidP="00BA5B46">
      <w:pPr>
        <w:jc w:val="both"/>
        <w:rPr>
          <w:noProof/>
          <w:lang w:val="es-ES"/>
        </w:rPr>
      </w:pPr>
      <w:r w:rsidRPr="0030105A">
        <w:rPr>
          <w:noProof/>
          <w:lang w:val="es-ES"/>
        </w:rPr>
        <w:t xml:space="preserve">Esta categoría abarca los servicios oficiales como electricidad, gas, agua, correos, comunicaciones, calefacción, refrigeración y mantenimiento de edificios. </w:t>
      </w:r>
    </w:p>
    <w:p w14:paraId="3B6D31A5" w14:textId="77777777" w:rsidR="00523EF4" w:rsidRPr="0030105A" w:rsidRDefault="00523EF4" w:rsidP="00F8472A">
      <w:pPr>
        <w:pStyle w:val="Headingb"/>
        <w:rPr>
          <w:rFonts w:asciiTheme="minorHAnsi" w:hAnsiTheme="minorHAnsi" w:cstheme="minorHAnsi"/>
          <w:noProof/>
          <w:color w:val="002060"/>
          <w:lang w:val="es-ES"/>
        </w:rPr>
      </w:pPr>
      <w:r w:rsidRPr="0030105A">
        <w:rPr>
          <w:noProof/>
          <w:lang w:val="es-ES"/>
        </w:rPr>
        <w:t xml:space="preserve">Auditoría de cuentas, cotizaciones a otros organismos y varios </w:t>
      </w:r>
    </w:p>
    <w:p w14:paraId="671664AD" w14:textId="77777777" w:rsidR="00523EF4" w:rsidRPr="00BA5B46" w:rsidRDefault="00523EF4" w:rsidP="00FC297D">
      <w:pPr>
        <w:pStyle w:val="Headingi"/>
        <w:rPr>
          <w:noProof/>
          <w:lang w:val="es-ES"/>
        </w:rPr>
      </w:pPr>
      <w:r w:rsidRPr="00BA5B46">
        <w:rPr>
          <w:noProof/>
          <w:lang w:val="es-ES"/>
        </w:rPr>
        <w:t xml:space="preserve">Auditoría y cotizaciones a otros organismos </w:t>
      </w:r>
    </w:p>
    <w:p w14:paraId="6121239A" w14:textId="77777777" w:rsidR="00523EF4" w:rsidRPr="00BA5B46" w:rsidRDefault="00523EF4" w:rsidP="00BA5B46">
      <w:pPr>
        <w:jc w:val="both"/>
        <w:rPr>
          <w:noProof/>
          <w:lang w:val="es-ES"/>
        </w:rPr>
      </w:pPr>
      <w:r w:rsidRPr="0030105A">
        <w:rPr>
          <w:noProof/>
          <w:lang w:val="es-ES"/>
        </w:rPr>
        <w:t xml:space="preserve">Esta partida de gastos corresponde a la auditoría externa, la participación de la Unión en las juntas interinstitucionales de las Naciones Unidas, los comités y servicios como la Dependencia Común de Inspección, etc. </w:t>
      </w:r>
    </w:p>
    <w:p w14:paraId="4F5FB438" w14:textId="77777777" w:rsidR="00523EF4" w:rsidRPr="00BA5B46" w:rsidRDefault="00523EF4" w:rsidP="00FC297D">
      <w:pPr>
        <w:pStyle w:val="Headingi"/>
        <w:rPr>
          <w:noProof/>
          <w:color w:val="002060"/>
          <w:lang w:val="es-ES"/>
        </w:rPr>
      </w:pPr>
      <w:r w:rsidRPr="00BA5B46">
        <w:rPr>
          <w:noProof/>
          <w:lang w:val="es-ES"/>
        </w:rPr>
        <w:t xml:space="preserve">Varios </w:t>
      </w:r>
    </w:p>
    <w:p w14:paraId="2591AA0D" w14:textId="77777777" w:rsidR="00523EF4" w:rsidRPr="00BA5B46" w:rsidRDefault="00523EF4" w:rsidP="00FC297D">
      <w:pPr>
        <w:jc w:val="both"/>
        <w:rPr>
          <w:noProof/>
          <w:lang w:val="es-ES"/>
        </w:rPr>
      </w:pPr>
      <w:r w:rsidRPr="0030105A">
        <w:rPr>
          <w:noProof/>
          <w:lang w:val="es-ES"/>
        </w:rPr>
        <w:t>Todos los gastos se atribuirán a una de las categorías de gastos mencionadas. Sin embargo, los gastos previstos que no puedan clasificarse razonablemente en una de estas categorías deben agruparse en el epígrafe "Varios".</w:t>
      </w:r>
    </w:p>
    <w:p w14:paraId="625EC868" w14:textId="77777777" w:rsidR="00523EF4" w:rsidRDefault="00523EF4" w:rsidP="00411C49">
      <w:pPr>
        <w:pStyle w:val="Reasons"/>
      </w:pPr>
    </w:p>
    <w:p w14:paraId="693B22C8" w14:textId="77777777" w:rsidR="00523EF4" w:rsidRDefault="00523EF4">
      <w:pPr>
        <w:jc w:val="center"/>
      </w:pPr>
      <w:r>
        <w:t>______________</w:t>
      </w:r>
    </w:p>
    <w:sectPr w:rsidR="00523EF4" w:rsidSect="006240F0">
      <w:headerReference w:type="first" r:id="rId87"/>
      <w:pgSz w:w="11907" w:h="16834"/>
      <w:pgMar w:top="1418" w:right="1418" w:bottom="1418" w:left="1418" w:header="720" w:footer="720" w:gutter="0"/>
      <w:paperSrc w:first="286" w:other="28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10FA" w14:textId="77777777" w:rsidR="002C59E7" w:rsidRDefault="002C59E7">
      <w:r>
        <w:separator/>
      </w:r>
    </w:p>
  </w:endnote>
  <w:endnote w:type="continuationSeparator" w:id="0">
    <w:p w14:paraId="6B0819F5" w14:textId="77777777" w:rsidR="002C59E7" w:rsidRDefault="002C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Nxt2 W1G Medium">
    <w:altName w:val="Calibri"/>
    <w:panose1 w:val="020B0603020202020204"/>
    <w:charset w:val="00"/>
    <w:family w:val="swiss"/>
    <w:notTrueType/>
    <w:pitch w:val="variable"/>
    <w:sig w:usb0="A00002E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D6FF" w14:textId="77777777" w:rsidR="00B060DF" w:rsidRDefault="00B060DF">
    <w:pPr>
      <w:pStyle w:val="Footer"/>
    </w:pPr>
  </w:p>
  <w:p w14:paraId="0F8BEC07" w14:textId="77777777" w:rsidR="00430AC9" w:rsidRDefault="00430A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784011" w14:paraId="41FFEE28" w14:textId="77777777" w:rsidTr="00E31DCE">
      <w:trPr>
        <w:jc w:val="center"/>
      </w:trPr>
      <w:tc>
        <w:tcPr>
          <w:tcW w:w="1803" w:type="dxa"/>
          <w:vAlign w:val="center"/>
        </w:tcPr>
        <w:p w14:paraId="30FE5DD5" w14:textId="702C8401" w:rsidR="003273A4" w:rsidRDefault="002946E2" w:rsidP="003273A4">
          <w:pPr>
            <w:pStyle w:val="Header"/>
            <w:jc w:val="left"/>
            <w:rPr>
              <w:noProof/>
            </w:rPr>
          </w:pPr>
          <w:r>
            <w:rPr>
              <w:noProof/>
            </w:rPr>
            <w:t xml:space="preserve">gDoc </w:t>
          </w:r>
          <w:r w:rsidR="00F8472A">
            <w:rPr>
              <w:noProof/>
            </w:rPr>
            <w:t>2501138</w:t>
          </w:r>
        </w:p>
      </w:tc>
      <w:tc>
        <w:tcPr>
          <w:tcW w:w="8261" w:type="dxa"/>
        </w:tcPr>
        <w:p w14:paraId="29627A70" w14:textId="42B302F2" w:rsidR="003273A4" w:rsidRPr="00E06FD5" w:rsidRDefault="003273A4"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BB6FD8">
            <w:rPr>
              <w:bCs/>
            </w:rPr>
            <w:t>5</w:t>
          </w:r>
          <w:r w:rsidRPr="00623AE3">
            <w:rPr>
              <w:bCs/>
            </w:rPr>
            <w:t>/</w:t>
          </w:r>
          <w:r w:rsidR="00155C0F">
            <w:rPr>
              <w:bCs/>
            </w:rPr>
            <w:t>47</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64BDDE83" w14:textId="77777777" w:rsidR="00F8472A" w:rsidRPr="00F24B71" w:rsidRDefault="00F8472A" w:rsidP="00F847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F24B71" w:rsidRPr="00784011" w14:paraId="10D62DB0" w14:textId="77777777" w:rsidTr="00E31DCE">
      <w:trPr>
        <w:jc w:val="center"/>
      </w:trPr>
      <w:tc>
        <w:tcPr>
          <w:tcW w:w="1803" w:type="dxa"/>
          <w:vAlign w:val="center"/>
        </w:tcPr>
        <w:p w14:paraId="2B6C2883" w14:textId="77777777" w:rsidR="00F24B71" w:rsidRPr="002946E2" w:rsidRDefault="002946E2" w:rsidP="00F24B71">
          <w:pPr>
            <w:pStyle w:val="Header"/>
            <w:jc w:val="left"/>
            <w:rPr>
              <w:noProof/>
            </w:rPr>
          </w:pPr>
          <w:hyperlink r:id="rId1" w:history="1">
            <w:r w:rsidRPr="002946E2">
              <w:rPr>
                <w:rStyle w:val="Hyperlink"/>
                <w:noProof/>
                <w:color w:val="4F81BD" w:themeColor="accent1"/>
                <w:u w:val="none"/>
              </w:rPr>
              <w:t>council.itu.int/2025</w:t>
            </w:r>
          </w:hyperlink>
          <w:r w:rsidRPr="002946E2">
            <w:rPr>
              <w:noProof/>
            </w:rPr>
            <w:t xml:space="preserve"> </w:t>
          </w:r>
        </w:p>
      </w:tc>
      <w:tc>
        <w:tcPr>
          <w:tcW w:w="8261" w:type="dxa"/>
        </w:tcPr>
        <w:p w14:paraId="6F5AFE2E" w14:textId="15580B5E" w:rsidR="00F24B71" w:rsidRPr="00E06FD5" w:rsidRDefault="00F24B71"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BB6FD8">
            <w:rPr>
              <w:bCs/>
            </w:rPr>
            <w:t>5</w:t>
          </w:r>
          <w:r w:rsidRPr="00623AE3">
            <w:rPr>
              <w:bCs/>
            </w:rPr>
            <w:t>/</w:t>
          </w:r>
          <w:r w:rsidR="00155C0F">
            <w:rPr>
              <w:bCs/>
            </w:rPr>
            <w:t>47</w:t>
          </w:r>
          <w:r w:rsidRPr="00623AE3">
            <w:rPr>
              <w:bCs/>
            </w:rPr>
            <w:t>-</w:t>
          </w:r>
          <w:r w:rsidR="003273A4">
            <w:rPr>
              <w:bCs/>
            </w:rPr>
            <w:t>S</w:t>
          </w:r>
          <w:r>
            <w:rPr>
              <w:bCs/>
            </w:rPr>
            <w:tab/>
          </w:r>
          <w:r>
            <w:fldChar w:fldCharType="begin"/>
          </w:r>
          <w:r>
            <w:instrText>PAGE</w:instrText>
          </w:r>
          <w:r>
            <w:fldChar w:fldCharType="separate"/>
          </w:r>
          <w:r>
            <w:t>1</w:t>
          </w:r>
          <w:r>
            <w:rPr>
              <w:noProof/>
            </w:rPr>
            <w:fldChar w:fldCharType="end"/>
          </w:r>
        </w:p>
      </w:tc>
    </w:tr>
  </w:tbl>
  <w:p w14:paraId="03A37FE6" w14:textId="77777777" w:rsidR="00760F1C" w:rsidRPr="00F24B71" w:rsidRDefault="00760F1C" w:rsidP="00F24B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6240F0" w:rsidRPr="00784011" w14:paraId="797D51D7" w14:textId="77777777" w:rsidTr="0042469C">
      <w:trPr>
        <w:jc w:val="center"/>
      </w:trPr>
      <w:tc>
        <w:tcPr>
          <w:tcW w:w="1803" w:type="dxa"/>
          <w:vAlign w:val="center"/>
        </w:tcPr>
        <w:p w14:paraId="08C29E4C" w14:textId="07CB1718" w:rsidR="006240F0" w:rsidRDefault="006240F0" w:rsidP="00EE49E8">
          <w:pPr>
            <w:pStyle w:val="Header"/>
            <w:jc w:val="left"/>
            <w:rPr>
              <w:noProof/>
            </w:rPr>
          </w:pPr>
          <w:proofErr w:type="spellStart"/>
          <w:r>
            <w:rPr>
              <w:lang w:val="es-ES"/>
            </w:rPr>
            <w:t>gDoc</w:t>
          </w:r>
          <w:proofErr w:type="spellEnd"/>
          <w:r>
            <w:rPr>
              <w:lang w:val="es-ES"/>
            </w:rPr>
            <w:t xml:space="preserve"> </w:t>
          </w:r>
          <w:r w:rsidR="00FC297D">
            <w:rPr>
              <w:lang w:val="es-ES"/>
            </w:rPr>
            <w:t>2501138</w:t>
          </w:r>
        </w:p>
      </w:tc>
      <w:tc>
        <w:tcPr>
          <w:tcW w:w="8261" w:type="dxa"/>
        </w:tcPr>
        <w:p w14:paraId="2D3F8926" w14:textId="4EBF03C1" w:rsidR="006240F0" w:rsidRPr="00E06FD5" w:rsidRDefault="006240F0" w:rsidP="000745AB">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47</w:t>
          </w:r>
          <w:r w:rsidRPr="00623AE3">
            <w:rPr>
              <w:bCs/>
            </w:rPr>
            <w:t>-</w:t>
          </w:r>
          <w:r w:rsidR="003363B1">
            <w:rPr>
              <w:bCs/>
            </w:rPr>
            <w:t>S</w:t>
          </w:r>
          <w:r>
            <w:rPr>
              <w:bCs/>
            </w:rPr>
            <w:tab/>
          </w:r>
          <w:r>
            <w:fldChar w:fldCharType="begin"/>
          </w:r>
          <w:r>
            <w:instrText>PAGE</w:instrText>
          </w:r>
          <w:r>
            <w:fldChar w:fldCharType="separate"/>
          </w:r>
          <w:r>
            <w:t>1</w:t>
          </w:r>
          <w:r>
            <w:rPr>
              <w:noProof/>
            </w:rPr>
            <w:fldChar w:fldCharType="end"/>
          </w:r>
        </w:p>
      </w:tc>
    </w:tr>
  </w:tbl>
  <w:p w14:paraId="57B9998B" w14:textId="77777777" w:rsidR="006240F0" w:rsidRPr="00DB1936" w:rsidRDefault="006240F0" w:rsidP="00EE49E8">
    <w:pPr>
      <w:pStyle w:val="Header"/>
      <w:tabs>
        <w:tab w:val="left" w:pos="8080"/>
        <w:tab w:val="right" w:pos="9072"/>
      </w:tabs>
      <w:jc w:val="left"/>
      <w:rPr>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6240F0" w:rsidRPr="00784011" w14:paraId="7E620A85" w14:textId="77777777" w:rsidTr="00DE3969">
      <w:trPr>
        <w:jc w:val="center"/>
      </w:trPr>
      <w:tc>
        <w:tcPr>
          <w:tcW w:w="1803" w:type="dxa"/>
          <w:vAlign w:val="center"/>
        </w:tcPr>
        <w:p w14:paraId="1FBB98AB" w14:textId="77777777" w:rsidR="006240F0" w:rsidRDefault="006240F0" w:rsidP="00EA22B4">
          <w:pPr>
            <w:pStyle w:val="Header"/>
            <w:jc w:val="left"/>
            <w:rPr>
              <w:noProof/>
            </w:rPr>
          </w:pPr>
          <w:r>
            <w:rPr>
              <w:lang w:val="es-ES"/>
            </w:rPr>
            <w:t>gDoc #</w:t>
          </w:r>
        </w:p>
      </w:tc>
      <w:tc>
        <w:tcPr>
          <w:tcW w:w="8261" w:type="dxa"/>
        </w:tcPr>
        <w:p w14:paraId="7ADCA991" w14:textId="15C97525" w:rsidR="006240F0" w:rsidRPr="00E06FD5" w:rsidRDefault="006240F0" w:rsidP="00EA22B4">
          <w:pPr>
            <w:pStyle w:val="Header"/>
            <w:tabs>
              <w:tab w:val="left" w:pos="6164"/>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47</w:t>
          </w:r>
          <w:r w:rsidRPr="00623AE3">
            <w:rPr>
              <w:bCs/>
            </w:rPr>
            <w:t>-</w:t>
          </w:r>
          <w:r w:rsidR="002751BD">
            <w:rPr>
              <w:bCs/>
            </w:rPr>
            <w:t>S</w:t>
          </w:r>
          <w:r>
            <w:rPr>
              <w:bCs/>
            </w:rPr>
            <w:tab/>
          </w:r>
          <w:r>
            <w:fldChar w:fldCharType="begin"/>
          </w:r>
          <w:r>
            <w:instrText>PAGE</w:instrText>
          </w:r>
          <w:r>
            <w:fldChar w:fldCharType="separate"/>
          </w:r>
          <w:r>
            <w:t>1</w:t>
          </w:r>
          <w:r>
            <w:rPr>
              <w:noProof/>
            </w:rPr>
            <w:fldChar w:fldCharType="end"/>
          </w:r>
        </w:p>
      </w:tc>
    </w:tr>
  </w:tbl>
  <w:p w14:paraId="123A916C" w14:textId="77777777" w:rsidR="006240F0" w:rsidRPr="00623AE3" w:rsidRDefault="006240F0"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23312" w14:textId="77777777" w:rsidR="002C59E7" w:rsidRDefault="002C59E7">
      <w:r>
        <w:t>____________________</w:t>
      </w:r>
    </w:p>
  </w:footnote>
  <w:footnote w:type="continuationSeparator" w:id="0">
    <w:p w14:paraId="35CD0CFA" w14:textId="77777777" w:rsidR="002C59E7" w:rsidRDefault="002C5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1A3EB" w14:textId="77777777" w:rsidR="00B060DF" w:rsidRDefault="00B060DF">
    <w:pPr>
      <w:pStyle w:val="Header"/>
    </w:pPr>
  </w:p>
  <w:p w14:paraId="48D53806" w14:textId="77777777" w:rsidR="00430AC9" w:rsidRDefault="00430A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666D09" w:rsidRPr="00784011" w14:paraId="5FB242F0" w14:textId="77777777" w:rsidTr="00666D09">
      <w:trPr>
        <w:trHeight w:val="1104"/>
        <w:jc w:val="center"/>
      </w:trPr>
      <w:tc>
        <w:tcPr>
          <w:tcW w:w="5998" w:type="dxa"/>
          <w:vAlign w:val="center"/>
        </w:tcPr>
        <w:p w14:paraId="5E24D900" w14:textId="77777777" w:rsidR="00666D09" w:rsidRDefault="00666D09" w:rsidP="001559F5">
          <w:pPr>
            <w:pStyle w:val="Header"/>
            <w:jc w:val="left"/>
            <w:rPr>
              <w:rFonts w:ascii="Arial" w:hAnsi="Arial" w:cs="Arial"/>
              <w:b/>
              <w:bCs/>
              <w:noProof/>
              <w:color w:val="009CD6"/>
              <w:sz w:val="36"/>
              <w:szCs w:val="36"/>
            </w:rPr>
          </w:pPr>
          <w:r>
            <w:rPr>
              <w:rFonts w:ascii="Arial" w:hAnsi="Arial" w:cs="Arial"/>
              <w:b/>
              <w:bCs/>
              <w:noProof/>
              <w:color w:val="009CD6"/>
              <w:sz w:val="36"/>
              <w:szCs w:val="36"/>
            </w:rPr>
            <w:drawing>
              <wp:inline distT="0" distB="0" distL="0" distR="0" wp14:anchorId="41F09E64" wp14:editId="46F9332D">
                <wp:extent cx="3672000" cy="612867"/>
                <wp:effectExtent l="0" t="0" r="0" b="0"/>
                <wp:docPr id="127787409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3869"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672000" cy="612867"/>
                        </a:xfrm>
                        <a:prstGeom prst="rect">
                          <a:avLst/>
                        </a:prstGeom>
                      </pic:spPr>
                    </pic:pic>
                  </a:graphicData>
                </a:graphic>
              </wp:inline>
            </w:drawing>
          </w:r>
        </w:p>
      </w:tc>
      <w:tc>
        <w:tcPr>
          <w:tcW w:w="4022" w:type="dxa"/>
        </w:tcPr>
        <w:p w14:paraId="46A5BF8C" w14:textId="77777777" w:rsidR="00666D09" w:rsidRDefault="00666D09" w:rsidP="001559F5">
          <w:pPr>
            <w:pStyle w:val="Header"/>
            <w:jc w:val="right"/>
            <w:rPr>
              <w:rFonts w:ascii="Arial" w:hAnsi="Arial" w:cs="Arial"/>
              <w:b/>
              <w:bCs/>
              <w:color w:val="009CD6"/>
              <w:szCs w:val="18"/>
            </w:rPr>
          </w:pPr>
        </w:p>
      </w:tc>
    </w:tr>
  </w:tbl>
  <w:p w14:paraId="54BECC4D" w14:textId="77777777" w:rsidR="001559F5" w:rsidRDefault="001559F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612D1ECF" wp14:editId="1B03E6C2">
              <wp:simplePos x="0" y="0"/>
              <wp:positionH relativeFrom="page">
                <wp:posOffset>13005</wp:posOffset>
              </wp:positionH>
              <wp:positionV relativeFrom="topMargin">
                <wp:posOffset>659765</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2B58E" id="Rectangle 5" o:spid="_x0000_s1026" style="position:absolute;margin-left:1pt;margin-top:51.9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" fillcolor="#009cd5" stroked="f">
              <w10:wrap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57D86" w14:textId="77777777" w:rsidR="006240F0" w:rsidRDefault="006240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9D0" w14:textId="77777777" w:rsidR="006240F0" w:rsidRPr="00EA22B4" w:rsidRDefault="006240F0" w:rsidP="00EA22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02B8" w14:textId="49FE1D3D" w:rsidR="002C59E7" w:rsidRDefault="002C5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0678B"/>
    <w:multiLevelType w:val="hybridMultilevel"/>
    <w:tmpl w:val="6CD0DC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F7446"/>
    <w:multiLevelType w:val="hybridMultilevel"/>
    <w:tmpl w:val="DBEA5F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531053"/>
    <w:multiLevelType w:val="hybridMultilevel"/>
    <w:tmpl w:val="FBA23ED0"/>
    <w:lvl w:ilvl="0" w:tplc="1D3A9D5C">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4185503">
    <w:abstractNumId w:val="0"/>
  </w:num>
  <w:num w:numId="2" w16cid:durableId="1620138274">
    <w:abstractNumId w:val="1"/>
  </w:num>
  <w:num w:numId="3" w16cid:durableId="64887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E7"/>
    <w:rsid w:val="000007D1"/>
    <w:rsid w:val="0000223B"/>
    <w:rsid w:val="0000590C"/>
    <w:rsid w:val="000112F9"/>
    <w:rsid w:val="00015ACB"/>
    <w:rsid w:val="00054015"/>
    <w:rsid w:val="0006007D"/>
    <w:rsid w:val="00091805"/>
    <w:rsid w:val="00091EC1"/>
    <w:rsid w:val="00093EEB"/>
    <w:rsid w:val="000B0D00"/>
    <w:rsid w:val="000B7C15"/>
    <w:rsid w:val="000D1D0F"/>
    <w:rsid w:val="000E3F07"/>
    <w:rsid w:val="000F2A7C"/>
    <w:rsid w:val="000F5290"/>
    <w:rsid w:val="0010165C"/>
    <w:rsid w:val="0011699E"/>
    <w:rsid w:val="0014063F"/>
    <w:rsid w:val="00146BFB"/>
    <w:rsid w:val="001559F5"/>
    <w:rsid w:val="00155C0F"/>
    <w:rsid w:val="00157AC4"/>
    <w:rsid w:val="0016169C"/>
    <w:rsid w:val="0016259A"/>
    <w:rsid w:val="00163F01"/>
    <w:rsid w:val="00172286"/>
    <w:rsid w:val="001B6E2B"/>
    <w:rsid w:val="001C1C40"/>
    <w:rsid w:val="001E10C2"/>
    <w:rsid w:val="001F14A2"/>
    <w:rsid w:val="00202A4E"/>
    <w:rsid w:val="0022062B"/>
    <w:rsid w:val="002213BA"/>
    <w:rsid w:val="00225CEC"/>
    <w:rsid w:val="002261DA"/>
    <w:rsid w:val="002440C0"/>
    <w:rsid w:val="002514B4"/>
    <w:rsid w:val="002751BD"/>
    <w:rsid w:val="002801AA"/>
    <w:rsid w:val="00290DC4"/>
    <w:rsid w:val="00291B70"/>
    <w:rsid w:val="002946E2"/>
    <w:rsid w:val="002C3F32"/>
    <w:rsid w:val="002C4676"/>
    <w:rsid w:val="002C59E7"/>
    <w:rsid w:val="002C70B0"/>
    <w:rsid w:val="002F3CC4"/>
    <w:rsid w:val="003032E2"/>
    <w:rsid w:val="0031300A"/>
    <w:rsid w:val="00322B22"/>
    <w:rsid w:val="003273A4"/>
    <w:rsid w:val="00330757"/>
    <w:rsid w:val="003363B1"/>
    <w:rsid w:val="00343072"/>
    <w:rsid w:val="0034796E"/>
    <w:rsid w:val="003B205D"/>
    <w:rsid w:val="00412665"/>
    <w:rsid w:val="00430AC9"/>
    <w:rsid w:val="0045786E"/>
    <w:rsid w:val="00473962"/>
    <w:rsid w:val="00483E10"/>
    <w:rsid w:val="004B5D49"/>
    <w:rsid w:val="004C0EE9"/>
    <w:rsid w:val="004D3A3C"/>
    <w:rsid w:val="004D47A1"/>
    <w:rsid w:val="004D4AAD"/>
    <w:rsid w:val="004F7ED4"/>
    <w:rsid w:val="00513630"/>
    <w:rsid w:val="0052027A"/>
    <w:rsid w:val="00523EF4"/>
    <w:rsid w:val="00560125"/>
    <w:rsid w:val="00585553"/>
    <w:rsid w:val="0058713E"/>
    <w:rsid w:val="00594318"/>
    <w:rsid w:val="005B34D9"/>
    <w:rsid w:val="005B4732"/>
    <w:rsid w:val="005C0790"/>
    <w:rsid w:val="005C78E0"/>
    <w:rsid w:val="005D0CCF"/>
    <w:rsid w:val="005D1EF9"/>
    <w:rsid w:val="005F3AB7"/>
    <w:rsid w:val="005F3BCB"/>
    <w:rsid w:val="005F410F"/>
    <w:rsid w:val="0060149A"/>
    <w:rsid w:val="00601924"/>
    <w:rsid w:val="006240F0"/>
    <w:rsid w:val="006447EA"/>
    <w:rsid w:val="0064481D"/>
    <w:rsid w:val="0064731F"/>
    <w:rsid w:val="00650D1B"/>
    <w:rsid w:val="00651C71"/>
    <w:rsid w:val="00655220"/>
    <w:rsid w:val="00664572"/>
    <w:rsid w:val="00666D09"/>
    <w:rsid w:val="00670F18"/>
    <w:rsid w:val="006710F6"/>
    <w:rsid w:val="00677A97"/>
    <w:rsid w:val="006823DD"/>
    <w:rsid w:val="006C1B56"/>
    <w:rsid w:val="006D4761"/>
    <w:rsid w:val="006F62DC"/>
    <w:rsid w:val="00722D04"/>
    <w:rsid w:val="00726872"/>
    <w:rsid w:val="00730F84"/>
    <w:rsid w:val="00760F1C"/>
    <w:rsid w:val="007657F0"/>
    <w:rsid w:val="0077110E"/>
    <w:rsid w:val="0077252D"/>
    <w:rsid w:val="007955DA"/>
    <w:rsid w:val="007B2904"/>
    <w:rsid w:val="007E5DD3"/>
    <w:rsid w:val="007E78B7"/>
    <w:rsid w:val="007F350B"/>
    <w:rsid w:val="008007F1"/>
    <w:rsid w:val="00820BE4"/>
    <w:rsid w:val="0084020A"/>
    <w:rsid w:val="008451E8"/>
    <w:rsid w:val="00851C09"/>
    <w:rsid w:val="008656BA"/>
    <w:rsid w:val="008D18CE"/>
    <w:rsid w:val="008E15EE"/>
    <w:rsid w:val="008F6725"/>
    <w:rsid w:val="008F6ABC"/>
    <w:rsid w:val="00913B9C"/>
    <w:rsid w:val="00925DAF"/>
    <w:rsid w:val="00927F93"/>
    <w:rsid w:val="0095105A"/>
    <w:rsid w:val="00956E77"/>
    <w:rsid w:val="0096751F"/>
    <w:rsid w:val="009A338E"/>
    <w:rsid w:val="009A6DD1"/>
    <w:rsid w:val="009B1812"/>
    <w:rsid w:val="009C6884"/>
    <w:rsid w:val="009E2DE7"/>
    <w:rsid w:val="009E3DF8"/>
    <w:rsid w:val="009F4811"/>
    <w:rsid w:val="00A12015"/>
    <w:rsid w:val="00A27CB3"/>
    <w:rsid w:val="00A54B6A"/>
    <w:rsid w:val="00A73931"/>
    <w:rsid w:val="00A94438"/>
    <w:rsid w:val="00AA390C"/>
    <w:rsid w:val="00AA4C2B"/>
    <w:rsid w:val="00AB18FA"/>
    <w:rsid w:val="00AE1477"/>
    <w:rsid w:val="00AE4B35"/>
    <w:rsid w:val="00AF7322"/>
    <w:rsid w:val="00B0200A"/>
    <w:rsid w:val="00B060DF"/>
    <w:rsid w:val="00B078B7"/>
    <w:rsid w:val="00B32BA6"/>
    <w:rsid w:val="00B574DB"/>
    <w:rsid w:val="00B826C2"/>
    <w:rsid w:val="00B8298E"/>
    <w:rsid w:val="00BA5B46"/>
    <w:rsid w:val="00BB6FD8"/>
    <w:rsid w:val="00BC5BAF"/>
    <w:rsid w:val="00BD0723"/>
    <w:rsid w:val="00BD2518"/>
    <w:rsid w:val="00BF1D1C"/>
    <w:rsid w:val="00C04A77"/>
    <w:rsid w:val="00C10B01"/>
    <w:rsid w:val="00C20C59"/>
    <w:rsid w:val="00C2727F"/>
    <w:rsid w:val="00C35447"/>
    <w:rsid w:val="00C45CFA"/>
    <w:rsid w:val="00C538FC"/>
    <w:rsid w:val="00C554FD"/>
    <w:rsid w:val="00C55B1F"/>
    <w:rsid w:val="00C63B21"/>
    <w:rsid w:val="00C7703F"/>
    <w:rsid w:val="00C85694"/>
    <w:rsid w:val="00CF1A67"/>
    <w:rsid w:val="00D24FAE"/>
    <w:rsid w:val="00D2750E"/>
    <w:rsid w:val="00D375E0"/>
    <w:rsid w:val="00D50A36"/>
    <w:rsid w:val="00D62446"/>
    <w:rsid w:val="00DA4EA2"/>
    <w:rsid w:val="00DB38BC"/>
    <w:rsid w:val="00DC3D3E"/>
    <w:rsid w:val="00DC6ACA"/>
    <w:rsid w:val="00DD365C"/>
    <w:rsid w:val="00DE2C90"/>
    <w:rsid w:val="00DE3B24"/>
    <w:rsid w:val="00E06947"/>
    <w:rsid w:val="00E11319"/>
    <w:rsid w:val="00E21444"/>
    <w:rsid w:val="00E34072"/>
    <w:rsid w:val="00E3592D"/>
    <w:rsid w:val="00E4556B"/>
    <w:rsid w:val="00E50D76"/>
    <w:rsid w:val="00E8018B"/>
    <w:rsid w:val="00E92DE8"/>
    <w:rsid w:val="00EB1212"/>
    <w:rsid w:val="00ED65AB"/>
    <w:rsid w:val="00EE3523"/>
    <w:rsid w:val="00F12850"/>
    <w:rsid w:val="00F13833"/>
    <w:rsid w:val="00F15432"/>
    <w:rsid w:val="00F24B71"/>
    <w:rsid w:val="00F24C6A"/>
    <w:rsid w:val="00F33BF4"/>
    <w:rsid w:val="00F50DAB"/>
    <w:rsid w:val="00F62D22"/>
    <w:rsid w:val="00F7105E"/>
    <w:rsid w:val="00F75F57"/>
    <w:rsid w:val="00F77D6A"/>
    <w:rsid w:val="00F82FEE"/>
    <w:rsid w:val="00F8472A"/>
    <w:rsid w:val="00F92BED"/>
    <w:rsid w:val="00F975D5"/>
    <w:rsid w:val="00FB752E"/>
    <w:rsid w:val="00FC297D"/>
    <w:rsid w:val="00FC2E0A"/>
    <w:rsid w:val="00FD57D3"/>
    <w:rsid w:val="00FE3D1A"/>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EC686"/>
  <w15:docId w15:val="{90F85119-166F-4178-AB26-B73A70DAD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2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F8472A"/>
    <w:pPr>
      <w:keepNext/>
      <w:keepLines/>
      <w:spacing w:before="24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qFormat/>
    <w:rsid w:val="000B0D00"/>
    <w:pPr>
      <w:spacing w:before="720"/>
      <w:jc w:val="center"/>
    </w:pPr>
    <w:rPr>
      <w:caps/>
      <w:sz w:val="28"/>
    </w:rPr>
  </w:style>
  <w:style w:type="paragraph" w:customStyle="1" w:styleId="Annextitle">
    <w:name w:val="Annex_title"/>
    <w:basedOn w:val="Normal"/>
    <w:next w:val="Normal"/>
    <w:rsid w:val="00655220"/>
    <w:pPr>
      <w:spacing w:after="120"/>
      <w:jc w:val="center"/>
    </w:pPr>
    <w:rPr>
      <w:b/>
      <w:noProof/>
      <w:sz w:val="28"/>
      <w:lang w:val="es-ES"/>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qFormat/>
    <w:rsid w:val="009E3DF8"/>
    <w:pPr>
      <w:spacing w:before="80"/>
      <w:ind w:left="567" w:hanging="567"/>
      <w:jc w:val="both"/>
    </w:pPr>
    <w:rPr>
      <w:noProof/>
      <w:lang w:val="es-ES"/>
    </w:rPr>
  </w:style>
  <w:style w:type="paragraph" w:customStyle="1" w:styleId="enumlev2">
    <w:name w:val="enumlev2"/>
    <w:basedOn w:val="enumlev1"/>
    <w:qFormat/>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F8472A"/>
    <w:pPr>
      <w:spacing w:after="240"/>
      <w:jc w:val="center"/>
    </w:pPr>
    <w:rPr>
      <w:noProof/>
    </w:r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rsid w:val="00F50DAB"/>
    <w:rPr>
      <w:color w:val="0070C0"/>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Title1"/>
    <w:qFormat/>
    <w:rsid w:val="00F92BED"/>
    <w:pPr>
      <w:framePr w:hSpace="181" w:wrap="around" w:vAnchor="page" w:hAnchor="page" w:x="1821" w:y="2314"/>
      <w:spacing w:before="120" w:after="160"/>
      <w:jc w:val="left"/>
    </w:pPr>
    <w:rPr>
      <w:rFonts w:cstheme="minorHAnsi"/>
      <w:caps w:val="0"/>
      <w:sz w:val="32"/>
      <w:szCs w:val="32"/>
    </w:rPr>
  </w:style>
  <w:style w:type="character" w:customStyle="1" w:styleId="HeaderChar">
    <w:name w:val="Header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FD8"/>
    <w:rPr>
      <w:color w:val="666666"/>
    </w:rPr>
  </w:style>
  <w:style w:type="character" w:styleId="UnresolvedMention">
    <w:name w:val="Unresolved Mention"/>
    <w:basedOn w:val="DefaultParagraphFont"/>
    <w:uiPriority w:val="99"/>
    <w:semiHidden/>
    <w:unhideWhenUsed/>
    <w:rsid w:val="002946E2"/>
    <w:rPr>
      <w:color w:val="605E5C"/>
      <w:shd w:val="clear" w:color="auto" w:fill="E1DFDD"/>
    </w:rPr>
  </w:style>
  <w:style w:type="paragraph" w:styleId="ListParagraph">
    <w:name w:val="List Paragraph"/>
    <w:basedOn w:val="Normal"/>
    <w:uiPriority w:val="34"/>
    <w:qFormat/>
    <w:rsid w:val="002C59E7"/>
    <w:pPr>
      <w:ind w:left="720"/>
      <w:contextualSpacing/>
    </w:pPr>
    <w:rPr>
      <w:lang w:val="en-GB"/>
    </w:rPr>
  </w:style>
  <w:style w:type="paragraph" w:styleId="NormalWeb">
    <w:name w:val="Normal (Web)"/>
    <w:basedOn w:val="Normal"/>
    <w:uiPriority w:val="99"/>
    <w:unhideWhenUsed/>
    <w:rsid w:val="00523EF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paragraph" w:styleId="Title">
    <w:name w:val="Title"/>
    <w:basedOn w:val="Normal"/>
    <w:next w:val="Normal"/>
    <w:link w:val="TitleChar"/>
    <w:qFormat/>
    <w:rsid w:val="00730F84"/>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30F84"/>
    <w:rPr>
      <w:rFonts w:asciiTheme="majorHAnsi" w:eastAsiaTheme="majorEastAsia" w:hAnsiTheme="majorHAnsi" w:cstheme="majorBidi"/>
      <w:spacing w:val="-10"/>
      <w:kern w:val="28"/>
      <w:sz w:val="56"/>
      <w:szCs w:val="5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054">
      <w:bodyDiv w:val="1"/>
      <w:marLeft w:val="0"/>
      <w:marRight w:val="0"/>
      <w:marTop w:val="0"/>
      <w:marBottom w:val="0"/>
      <w:divBdr>
        <w:top w:val="none" w:sz="0" w:space="0" w:color="auto"/>
        <w:left w:val="none" w:sz="0" w:space="0" w:color="auto"/>
        <w:bottom w:val="none" w:sz="0" w:space="0" w:color="auto"/>
        <w:right w:val="none" w:sz="0" w:space="0" w:color="auto"/>
      </w:divBdr>
    </w:div>
    <w:div w:id="34161566">
      <w:bodyDiv w:val="1"/>
      <w:marLeft w:val="0"/>
      <w:marRight w:val="0"/>
      <w:marTop w:val="0"/>
      <w:marBottom w:val="0"/>
      <w:divBdr>
        <w:top w:val="none" w:sz="0" w:space="0" w:color="auto"/>
        <w:left w:val="none" w:sz="0" w:space="0" w:color="auto"/>
        <w:bottom w:val="none" w:sz="0" w:space="0" w:color="auto"/>
        <w:right w:val="none" w:sz="0" w:space="0" w:color="auto"/>
      </w:divBdr>
    </w:div>
    <w:div w:id="73865366">
      <w:bodyDiv w:val="1"/>
      <w:marLeft w:val="0"/>
      <w:marRight w:val="0"/>
      <w:marTop w:val="0"/>
      <w:marBottom w:val="0"/>
      <w:divBdr>
        <w:top w:val="none" w:sz="0" w:space="0" w:color="auto"/>
        <w:left w:val="none" w:sz="0" w:space="0" w:color="auto"/>
        <w:bottom w:val="none" w:sz="0" w:space="0" w:color="auto"/>
        <w:right w:val="none" w:sz="0" w:space="0" w:color="auto"/>
      </w:divBdr>
    </w:div>
    <w:div w:id="93212464">
      <w:bodyDiv w:val="1"/>
      <w:marLeft w:val="0"/>
      <w:marRight w:val="0"/>
      <w:marTop w:val="0"/>
      <w:marBottom w:val="0"/>
      <w:divBdr>
        <w:top w:val="none" w:sz="0" w:space="0" w:color="auto"/>
        <w:left w:val="none" w:sz="0" w:space="0" w:color="auto"/>
        <w:bottom w:val="none" w:sz="0" w:space="0" w:color="auto"/>
        <w:right w:val="none" w:sz="0" w:space="0" w:color="auto"/>
      </w:divBdr>
    </w:div>
    <w:div w:id="379018771">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65637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1.emf"/><Relationship Id="rId47" Type="http://schemas.openxmlformats.org/officeDocument/2006/relationships/image" Target="media/image26.png"/><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hyperlink" Target="https://www.itu.int/en/council/Documents/basic-texts-2023/RES-151-E.pdf" TargetMode="External"/><Relationship Id="rId11" Type="http://schemas.openxmlformats.org/officeDocument/2006/relationships/hyperlink" Target="https://www.itu.int/en/council/Documents/basic-texts-2023/Convention-E.pdf" TargetMode="External"/><Relationship Id="rId32" Type="http://schemas.openxmlformats.org/officeDocument/2006/relationships/image" Target="media/image13.png"/><Relationship Id="rId37" Type="http://schemas.openxmlformats.org/officeDocument/2006/relationships/image" Target="media/image17.emf"/><Relationship Id="rId53" Type="http://schemas.openxmlformats.org/officeDocument/2006/relationships/footer" Target="footer1.xml"/><Relationship Id="rId58" Type="http://schemas.openxmlformats.org/officeDocument/2006/relationships/image" Target="media/image33.emf"/><Relationship Id="rId74" Type="http://schemas.openxmlformats.org/officeDocument/2006/relationships/image" Target="media/image49.png"/><Relationship Id="rId79" Type="http://schemas.openxmlformats.org/officeDocument/2006/relationships/image" Target="media/image54.emf"/><Relationship Id="rId5" Type="http://schemas.openxmlformats.org/officeDocument/2006/relationships/webSettings" Target="webSettings.xml"/><Relationship Id="rId14" Type="http://schemas.openxmlformats.org/officeDocument/2006/relationships/hyperlink" Target="https://www.itu.int/en/council/Documents/basic-texts-2023/RES-071-E.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oter" Target="footer3.xml"/><Relationship Id="rId64" Type="http://schemas.openxmlformats.org/officeDocument/2006/relationships/image" Target="media/image39.emf"/><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hyperlink" Target="https://www.itu.int/md/S25-CL-C-0064/es" TargetMode="External"/><Relationship Id="rId51" Type="http://schemas.openxmlformats.org/officeDocument/2006/relationships/image" Target="media/image30.emf"/><Relationship Id="rId72" Type="http://schemas.openxmlformats.org/officeDocument/2006/relationships/image" Target="media/image47.png"/><Relationship Id="rId80" Type="http://schemas.openxmlformats.org/officeDocument/2006/relationships/image" Target="media/image55.emf"/><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www.itu.int/en/council/Documents/basic-texts-2023/DEC-005-E.pdf" TargetMode="External"/><Relationship Id="rId17" Type="http://schemas.openxmlformats.org/officeDocument/2006/relationships/hyperlink" Target="https://www.itu.int/en/council/Documents/basic-texts-2023/RES-151-E.pdf"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image" Target="media/image1.emf"/><Relationship Id="rId41" Type="http://schemas.openxmlformats.org/officeDocument/2006/relationships/image" Target="media/image20.emf"/><Relationship Id="rId54" Type="http://schemas.openxmlformats.org/officeDocument/2006/relationships/footer" Target="footer2.xml"/><Relationship Id="rId62" Type="http://schemas.openxmlformats.org/officeDocument/2006/relationships/image" Target="media/image37.emf"/><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oter" Target="foot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en/council/Documents/basic-texts-2023/RES-071-E.pdf"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s://www.itu.int/md/S25-CWGFHR20-C-0008/es" TargetMode="External"/><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hyperlink" Target="https://www.itu.int/en/council/Documents/basic-texts-2023/Convention-E.pdf." TargetMode="External"/><Relationship Id="rId31" Type="http://schemas.openxmlformats.org/officeDocument/2006/relationships/image" Target="media/image12.emf"/><Relationship Id="rId44" Type="http://schemas.openxmlformats.org/officeDocument/2006/relationships/image" Target="media/image23.emf"/><Relationship Id="rId52" Type="http://schemas.openxmlformats.org/officeDocument/2006/relationships/header" Target="header1.xml"/><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yperlink" Target="https://www.itu.int/en/council/Documents/basic-texts-2023/Constitution-E.pdf" TargetMode="External"/><Relationship Id="rId13" Type="http://schemas.openxmlformats.org/officeDocument/2006/relationships/hyperlink" Target="https://www.itu.int/en/council/Documents/basic-texts-2023/DEC-005-E.pdf" TargetMode="External"/><Relationship Id="rId18" Type="http://schemas.openxmlformats.org/officeDocument/2006/relationships/hyperlink" Target="https://www.itu.int/md/S25-CL-C-0064/en" TargetMode="External"/><Relationship Id="rId39" Type="http://schemas.openxmlformats.org/officeDocument/2006/relationships/hyperlink" Target="https://www.itu.int/md/S25-CL-C-0064/es" TargetMode="External"/><Relationship Id="rId34" Type="http://schemas.openxmlformats.org/officeDocument/2006/relationships/image" Target="media/image15.emf"/><Relationship Id="rId50" Type="http://schemas.openxmlformats.org/officeDocument/2006/relationships/image" Target="media/image29.png"/><Relationship Id="rId55" Type="http://schemas.openxmlformats.org/officeDocument/2006/relationships/header" Target="header2.xml"/><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1.png"/><Relationship Id="rId87" Type="http://schemas.openxmlformats.org/officeDocument/2006/relationships/header" Target="header5.xml"/><Relationship Id="rId61" Type="http://schemas.openxmlformats.org/officeDocument/2006/relationships/image" Target="media/image36.emf"/><Relationship Id="rId82" Type="http://schemas.openxmlformats.org/officeDocument/2006/relationships/header" Target="header3.xml"/><Relationship Id="rId19" Type="http://schemas.openxmlformats.org/officeDocument/2006/relationships/hyperlink" Target="https://www.itu.int/md/S25-CL-C-0064/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Roaming\Microsoft\Templates\POOL%20S%20-%20ITU\GS\PS_Council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751CD-6E7E-4854-ABCC-F8C8A47C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PS_Council25.dotx</Template>
  <TotalTime>0</TotalTime>
  <Pages>46</Pages>
  <Words>4408</Words>
  <Characters>23190</Characters>
  <Application>Microsoft Office Word</Application>
  <DocSecurity>0</DocSecurity>
  <Lines>459</Lines>
  <Paragraphs>158</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27483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presupuesto bienal de la Unión para 2026-2027</dc:title>
  <dc:subject>Consejo 2025 de la UIT</dc:subject>
  <cp:keywords>C2025, C25, Council-25</cp:keywords>
  <dc:description/>
  <cp:lastPrinted>2006-03-24T09:51:00Z</cp:lastPrinted>
  <dcterms:created xsi:type="dcterms:W3CDTF">2025-05-30T15:08:00Z</dcterms:created>
  <dcterms:modified xsi:type="dcterms:W3CDTF">2025-05-30T15:08:00Z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GrammarlyDocumentId">
    <vt:lpwstr>5c03a5c9b91678b956e25536f0296632c716f66cf9a10e87f22af88ff3e788b1</vt:lpwstr>
  </property>
</Properties>
</file>