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C0458D" w14:paraId="3E1C2769" w14:textId="77777777" w:rsidTr="00AD3606">
        <w:trPr>
          <w:cantSplit/>
          <w:trHeight w:val="23"/>
        </w:trPr>
        <w:tc>
          <w:tcPr>
            <w:tcW w:w="3969" w:type="dxa"/>
            <w:vMerge w:val="restart"/>
            <w:tcMar>
              <w:left w:w="0" w:type="dxa"/>
            </w:tcMar>
          </w:tcPr>
          <w:p w14:paraId="7147B863" w14:textId="0EBCECE7" w:rsidR="00AD3606" w:rsidRPr="00C0458D"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sidRPr="00C0458D">
              <w:rPr>
                <w:b/>
              </w:rPr>
              <w:t xml:space="preserve">Agenda item: </w:t>
            </w:r>
            <w:r w:rsidR="00FD6721">
              <w:rPr>
                <w:b/>
              </w:rPr>
              <w:t>ADM</w:t>
            </w:r>
            <w:r w:rsidR="008D752A">
              <w:rPr>
                <w:b/>
              </w:rPr>
              <w:t xml:space="preserve"> 1</w:t>
            </w:r>
          </w:p>
        </w:tc>
        <w:tc>
          <w:tcPr>
            <w:tcW w:w="5245" w:type="dxa"/>
          </w:tcPr>
          <w:p w14:paraId="6779937E" w14:textId="5EB8394C" w:rsidR="00AD3606" w:rsidRPr="00C0458D" w:rsidRDefault="00AD3606" w:rsidP="00472BAD">
            <w:pPr>
              <w:tabs>
                <w:tab w:val="left" w:pos="851"/>
              </w:tabs>
              <w:spacing w:before="0" w:line="240" w:lineRule="atLeast"/>
              <w:jc w:val="right"/>
              <w:rPr>
                <w:b/>
              </w:rPr>
            </w:pPr>
            <w:r w:rsidRPr="00C0458D">
              <w:rPr>
                <w:b/>
              </w:rPr>
              <w:t>Document C2</w:t>
            </w:r>
            <w:r w:rsidR="00BF1FDE" w:rsidRPr="00C0458D">
              <w:rPr>
                <w:b/>
              </w:rPr>
              <w:t>5</w:t>
            </w:r>
            <w:r w:rsidRPr="00C0458D">
              <w:rPr>
                <w:b/>
              </w:rPr>
              <w:t>/</w:t>
            </w:r>
            <w:r w:rsidR="00A71D61">
              <w:rPr>
                <w:b/>
              </w:rPr>
              <w:t>47</w:t>
            </w:r>
            <w:r w:rsidRPr="00C0458D">
              <w:rPr>
                <w:b/>
              </w:rPr>
              <w:t>-E</w:t>
            </w:r>
          </w:p>
        </w:tc>
      </w:tr>
      <w:tr w:rsidR="00AD3606" w:rsidRPr="00C0458D" w14:paraId="3E3F9DA5" w14:textId="77777777" w:rsidTr="00AD3606">
        <w:trPr>
          <w:cantSplit/>
        </w:trPr>
        <w:tc>
          <w:tcPr>
            <w:tcW w:w="3969" w:type="dxa"/>
            <w:vMerge/>
          </w:tcPr>
          <w:p w14:paraId="5920AA6E" w14:textId="77777777" w:rsidR="00AD3606" w:rsidRPr="00C0458D" w:rsidRDefault="00AD3606" w:rsidP="00AD3606">
            <w:pPr>
              <w:tabs>
                <w:tab w:val="left" w:pos="851"/>
              </w:tabs>
              <w:spacing w:line="240" w:lineRule="atLeast"/>
              <w:rPr>
                <w:b/>
              </w:rPr>
            </w:pPr>
            <w:bookmarkStart w:id="6" w:name="ddate" w:colFirst="1" w:colLast="1"/>
            <w:bookmarkEnd w:id="0"/>
            <w:bookmarkEnd w:id="1"/>
          </w:p>
        </w:tc>
        <w:tc>
          <w:tcPr>
            <w:tcW w:w="5245" w:type="dxa"/>
          </w:tcPr>
          <w:p w14:paraId="55371C25" w14:textId="0CFD21E5" w:rsidR="00AD3606" w:rsidRPr="00C0458D" w:rsidRDefault="00C46FDA" w:rsidP="00AD3606">
            <w:pPr>
              <w:tabs>
                <w:tab w:val="left" w:pos="851"/>
              </w:tabs>
              <w:spacing w:before="0"/>
              <w:jc w:val="right"/>
              <w:rPr>
                <w:b/>
              </w:rPr>
            </w:pPr>
            <w:r>
              <w:rPr>
                <w:b/>
              </w:rPr>
              <w:t>2</w:t>
            </w:r>
            <w:r w:rsidR="008C3300">
              <w:rPr>
                <w:b/>
              </w:rPr>
              <w:t>9</w:t>
            </w:r>
            <w:r w:rsidR="00FD6721">
              <w:rPr>
                <w:b/>
              </w:rPr>
              <w:t xml:space="preserve"> </w:t>
            </w:r>
            <w:r>
              <w:rPr>
                <w:b/>
              </w:rPr>
              <w:t>April</w:t>
            </w:r>
            <w:r w:rsidR="00FD6721">
              <w:rPr>
                <w:b/>
              </w:rPr>
              <w:t xml:space="preserve"> 2025</w:t>
            </w:r>
          </w:p>
        </w:tc>
      </w:tr>
      <w:tr w:rsidR="00AD3606" w:rsidRPr="00C0458D" w14:paraId="75730376" w14:textId="77777777" w:rsidTr="00AD3606">
        <w:trPr>
          <w:cantSplit/>
          <w:trHeight w:val="23"/>
        </w:trPr>
        <w:tc>
          <w:tcPr>
            <w:tcW w:w="3969" w:type="dxa"/>
            <w:vMerge/>
          </w:tcPr>
          <w:p w14:paraId="298F937E" w14:textId="77777777" w:rsidR="00AD3606" w:rsidRPr="00C0458D" w:rsidRDefault="00AD3606" w:rsidP="00AD3606">
            <w:pPr>
              <w:tabs>
                <w:tab w:val="left" w:pos="851"/>
              </w:tabs>
              <w:spacing w:line="240" w:lineRule="atLeast"/>
              <w:rPr>
                <w:b/>
              </w:rPr>
            </w:pPr>
            <w:bookmarkStart w:id="7" w:name="dorlang" w:colFirst="1" w:colLast="1"/>
            <w:bookmarkEnd w:id="6"/>
          </w:p>
        </w:tc>
        <w:tc>
          <w:tcPr>
            <w:tcW w:w="5245" w:type="dxa"/>
          </w:tcPr>
          <w:p w14:paraId="041A065E" w14:textId="77777777" w:rsidR="00AD3606" w:rsidRPr="00C0458D" w:rsidRDefault="00AD3606" w:rsidP="00AD3606">
            <w:pPr>
              <w:tabs>
                <w:tab w:val="left" w:pos="851"/>
              </w:tabs>
              <w:spacing w:before="0" w:line="240" w:lineRule="atLeast"/>
              <w:jc w:val="right"/>
              <w:rPr>
                <w:b/>
              </w:rPr>
            </w:pPr>
            <w:r w:rsidRPr="00C0458D">
              <w:rPr>
                <w:b/>
              </w:rPr>
              <w:t>Original: English</w:t>
            </w:r>
          </w:p>
        </w:tc>
      </w:tr>
      <w:tr w:rsidR="00472BAD" w:rsidRPr="00C0458D" w14:paraId="14DA91C4" w14:textId="77777777" w:rsidTr="00AD3606">
        <w:trPr>
          <w:cantSplit/>
          <w:trHeight w:val="23"/>
        </w:trPr>
        <w:tc>
          <w:tcPr>
            <w:tcW w:w="3969" w:type="dxa"/>
          </w:tcPr>
          <w:p w14:paraId="5858B25D" w14:textId="77777777" w:rsidR="00472BAD" w:rsidRPr="00C0458D" w:rsidRDefault="00472BAD" w:rsidP="00AD3606">
            <w:pPr>
              <w:tabs>
                <w:tab w:val="left" w:pos="851"/>
              </w:tabs>
              <w:spacing w:line="240" w:lineRule="atLeast"/>
              <w:rPr>
                <w:b/>
              </w:rPr>
            </w:pPr>
          </w:p>
        </w:tc>
        <w:tc>
          <w:tcPr>
            <w:tcW w:w="5245" w:type="dxa"/>
          </w:tcPr>
          <w:p w14:paraId="5DBF7439" w14:textId="77777777" w:rsidR="00472BAD" w:rsidRPr="00C0458D" w:rsidRDefault="00472BAD" w:rsidP="00AD3606">
            <w:pPr>
              <w:tabs>
                <w:tab w:val="left" w:pos="851"/>
              </w:tabs>
              <w:spacing w:before="0" w:line="240" w:lineRule="atLeast"/>
              <w:jc w:val="right"/>
              <w:rPr>
                <w:b/>
              </w:rPr>
            </w:pPr>
          </w:p>
        </w:tc>
      </w:tr>
      <w:tr w:rsidR="00AD3606" w:rsidRPr="00324DB7" w14:paraId="2481FF59" w14:textId="77777777" w:rsidTr="00AD3606">
        <w:trPr>
          <w:cantSplit/>
        </w:trPr>
        <w:tc>
          <w:tcPr>
            <w:tcW w:w="9214" w:type="dxa"/>
            <w:gridSpan w:val="2"/>
            <w:tcMar>
              <w:left w:w="0" w:type="dxa"/>
            </w:tcMar>
          </w:tcPr>
          <w:p w14:paraId="2016C4A0" w14:textId="4AD6F7DD" w:rsidR="00AD3606" w:rsidRPr="00324DB7" w:rsidRDefault="00750D93" w:rsidP="00945CC6">
            <w:pPr>
              <w:pStyle w:val="Source"/>
              <w:framePr w:hSpace="0" w:wrap="auto" w:vAnchor="margin" w:hAnchor="text" w:xAlign="left" w:yAlign="inline"/>
              <w:rPr>
                <w:lang w:val="en-US"/>
              </w:rPr>
            </w:pPr>
            <w:bookmarkStart w:id="8" w:name="dsource" w:colFirst="0" w:colLast="0"/>
            <w:bookmarkEnd w:id="7"/>
            <w:r w:rsidRPr="00324DB7">
              <w:rPr>
                <w:lang w:val="en-US"/>
              </w:rPr>
              <w:t>Report by the Secretary-General</w:t>
            </w:r>
          </w:p>
        </w:tc>
      </w:tr>
      <w:tr w:rsidR="00AD3606" w:rsidRPr="00324DB7" w14:paraId="3A759762" w14:textId="77777777" w:rsidTr="00AD3606">
        <w:trPr>
          <w:cantSplit/>
        </w:trPr>
        <w:tc>
          <w:tcPr>
            <w:tcW w:w="9214" w:type="dxa"/>
            <w:gridSpan w:val="2"/>
            <w:tcMar>
              <w:left w:w="0" w:type="dxa"/>
            </w:tcMar>
          </w:tcPr>
          <w:p w14:paraId="2A2DCF47" w14:textId="7E3C9A93" w:rsidR="00AD3606" w:rsidRPr="00324DB7" w:rsidRDefault="008D752A" w:rsidP="000F7289">
            <w:pPr>
              <w:pStyle w:val="Subtitle"/>
              <w:framePr w:hSpace="0" w:wrap="auto" w:xAlign="left" w:yAlign="inline"/>
              <w:rPr>
                <w:lang w:val="en-US"/>
              </w:rPr>
            </w:pPr>
            <w:bookmarkStart w:id="9" w:name="dtitle1" w:colFirst="0" w:colLast="0"/>
            <w:bookmarkEnd w:id="8"/>
            <w:r w:rsidRPr="00324DB7">
              <w:rPr>
                <w:lang w:val="en-US"/>
              </w:rPr>
              <w:t>DRAFT BIENNIAL BUDGET OF THE UNION FOR 2026-2027</w:t>
            </w:r>
          </w:p>
        </w:tc>
      </w:tr>
      <w:tr w:rsidR="00AD3606" w:rsidRPr="00324DB7" w14:paraId="72B25568" w14:textId="77777777" w:rsidTr="00AD3606">
        <w:trPr>
          <w:cantSplit/>
        </w:trPr>
        <w:tc>
          <w:tcPr>
            <w:tcW w:w="9214" w:type="dxa"/>
            <w:gridSpan w:val="2"/>
            <w:tcBorders>
              <w:top w:val="single" w:sz="4" w:space="0" w:color="auto"/>
              <w:bottom w:val="single" w:sz="4" w:space="0" w:color="auto"/>
            </w:tcBorders>
            <w:tcMar>
              <w:left w:w="0" w:type="dxa"/>
            </w:tcMar>
          </w:tcPr>
          <w:p w14:paraId="4C3D541B" w14:textId="602F71CA" w:rsidR="00AD3606" w:rsidRPr="00324DB7" w:rsidRDefault="00F16BAB" w:rsidP="00F16BAB">
            <w:pPr>
              <w:spacing w:before="160"/>
              <w:rPr>
                <w:b/>
                <w:bCs/>
                <w:sz w:val="26"/>
                <w:szCs w:val="26"/>
                <w:lang w:val="en-US"/>
              </w:rPr>
            </w:pPr>
            <w:r w:rsidRPr="00324DB7">
              <w:rPr>
                <w:b/>
                <w:bCs/>
                <w:sz w:val="26"/>
                <w:szCs w:val="26"/>
                <w:lang w:val="en-US"/>
              </w:rPr>
              <w:t>Purpose</w:t>
            </w:r>
          </w:p>
          <w:p w14:paraId="3651E4A7" w14:textId="25508C2F" w:rsidR="005A7798" w:rsidRPr="00324DB7" w:rsidRDefault="005A7798" w:rsidP="008D752A">
            <w:pPr>
              <w:spacing w:before="160"/>
              <w:jc w:val="both"/>
              <w:rPr>
                <w:lang w:val="en-US"/>
              </w:rPr>
            </w:pPr>
            <w:r w:rsidRPr="00324DB7">
              <w:rPr>
                <w:lang w:val="en-US"/>
              </w:rPr>
              <w:t>This document presents the draft biennial budget of the Union for 2026-2027. It is based on the strategic plan for the Union for that period and reflects the financial implications of the implementation of decisions and resolutions adopted by the Plenipotentiary Conference (Bucharest, 2022) and by the ITU Council at its previous sessions.</w:t>
            </w:r>
            <w:r w:rsidR="009A771D">
              <w:rPr>
                <w:lang w:val="en-US"/>
              </w:rPr>
              <w:t xml:space="preserve"> </w:t>
            </w:r>
            <w:r w:rsidR="005F1EA1">
              <w:rPr>
                <w:lang w:val="en-US"/>
              </w:rPr>
              <w:t xml:space="preserve">This budget also presupposes levels of recovery from Satellite Network Filings (SNF) which </w:t>
            </w:r>
            <w:r w:rsidR="00A2620A">
              <w:rPr>
                <w:lang w:val="en-US"/>
              </w:rPr>
              <w:t>is</w:t>
            </w:r>
            <w:r w:rsidR="005F1EA1">
              <w:rPr>
                <w:lang w:val="en-US"/>
              </w:rPr>
              <w:t xml:space="preserve"> based on approval of Document </w:t>
            </w:r>
            <w:hyperlink r:id="rId8" w:history="1">
              <w:r w:rsidR="005F1EA1" w:rsidRPr="008D752A">
                <w:rPr>
                  <w:rStyle w:val="Hyperlink"/>
                  <w:lang w:val="en-US"/>
                </w:rPr>
                <w:t>C25/</w:t>
              </w:r>
              <w:r w:rsidR="008D752A" w:rsidRPr="008D752A">
                <w:rPr>
                  <w:rStyle w:val="Hyperlink"/>
                  <w:lang w:val="en-US"/>
                </w:rPr>
                <w:t>64</w:t>
              </w:r>
            </w:hyperlink>
            <w:r w:rsidR="005F1EA1">
              <w:rPr>
                <w:lang w:val="en-US"/>
              </w:rPr>
              <w:t xml:space="preserve">. </w:t>
            </w:r>
            <w:r w:rsidR="009A771D">
              <w:rPr>
                <w:lang w:val="en-US"/>
              </w:rPr>
              <w:t xml:space="preserve">2028-2029 forecast are presented in </w:t>
            </w:r>
            <w:hyperlink w:anchor="Annex_C" w:history="1">
              <w:r w:rsidR="009A771D" w:rsidRPr="004B3B47">
                <w:rPr>
                  <w:rStyle w:val="Hyperlink"/>
                  <w:lang w:val="en-US"/>
                </w:rPr>
                <w:t>Annex C</w:t>
              </w:r>
            </w:hyperlink>
            <w:r w:rsidR="009A771D">
              <w:rPr>
                <w:lang w:val="en-US"/>
              </w:rPr>
              <w:t xml:space="preserve"> to this document.</w:t>
            </w:r>
          </w:p>
          <w:p w14:paraId="4288AA6F" w14:textId="77777777" w:rsidR="00AD3606" w:rsidRPr="00324DB7" w:rsidRDefault="00AD3606" w:rsidP="008D752A">
            <w:pPr>
              <w:spacing w:before="160"/>
              <w:jc w:val="both"/>
              <w:rPr>
                <w:b/>
                <w:bCs/>
                <w:sz w:val="26"/>
                <w:szCs w:val="26"/>
                <w:lang w:val="en-US"/>
              </w:rPr>
            </w:pPr>
            <w:r w:rsidRPr="00324DB7">
              <w:rPr>
                <w:b/>
                <w:bCs/>
                <w:sz w:val="26"/>
                <w:szCs w:val="26"/>
                <w:lang w:val="en-US"/>
              </w:rPr>
              <w:t>Action required</w:t>
            </w:r>
            <w:r w:rsidR="00F16BAB" w:rsidRPr="00324DB7">
              <w:rPr>
                <w:b/>
                <w:bCs/>
                <w:sz w:val="26"/>
                <w:szCs w:val="26"/>
                <w:lang w:val="en-US"/>
              </w:rPr>
              <w:t xml:space="preserve"> by the Council</w:t>
            </w:r>
          </w:p>
          <w:p w14:paraId="1AE4D54E" w14:textId="67E77CBD" w:rsidR="005A7798" w:rsidRPr="00324DB7" w:rsidRDefault="005A7798" w:rsidP="008D752A">
            <w:pPr>
              <w:jc w:val="both"/>
              <w:rPr>
                <w:lang w:val="en-US"/>
              </w:rPr>
            </w:pPr>
            <w:r w:rsidRPr="00324DB7">
              <w:rPr>
                <w:lang w:val="en-US"/>
              </w:rPr>
              <w:t xml:space="preserve">The Council is requested </w:t>
            </w:r>
            <w:r w:rsidRPr="00324DB7">
              <w:rPr>
                <w:b/>
                <w:bCs/>
                <w:lang w:val="en-US"/>
              </w:rPr>
              <w:t>to review</w:t>
            </w:r>
            <w:r w:rsidRPr="00324DB7">
              <w:rPr>
                <w:lang w:val="en-US"/>
              </w:rPr>
              <w:t xml:space="preserve"> the draft biennial budget of the Union for 2026-2027 and </w:t>
            </w:r>
            <w:r w:rsidRPr="00324DB7">
              <w:rPr>
                <w:b/>
                <w:bCs/>
                <w:lang w:val="en-US"/>
              </w:rPr>
              <w:t>to approve</w:t>
            </w:r>
            <w:r w:rsidRPr="00324DB7">
              <w:rPr>
                <w:lang w:val="en-US"/>
              </w:rPr>
              <w:t xml:space="preserve"> the draft resolution presented in </w:t>
            </w:r>
            <w:hyperlink w:anchor="Annex_A" w:history="1">
              <w:r w:rsidRPr="004B3B47">
                <w:rPr>
                  <w:rStyle w:val="Hyperlink"/>
                  <w:lang w:val="en-US"/>
                </w:rPr>
                <w:t xml:space="preserve">Annex </w:t>
              </w:r>
              <w:r w:rsidR="000D60C8" w:rsidRPr="004B3B47">
                <w:rPr>
                  <w:rStyle w:val="Hyperlink"/>
                  <w:lang w:val="en-US"/>
                </w:rPr>
                <w:t>A</w:t>
              </w:r>
            </w:hyperlink>
            <w:r w:rsidRPr="00324DB7">
              <w:rPr>
                <w:lang w:val="en-US"/>
              </w:rPr>
              <w:t xml:space="preserve"> to this document.</w:t>
            </w:r>
          </w:p>
          <w:p w14:paraId="06784D79" w14:textId="77777777" w:rsidR="005A7798" w:rsidRPr="00324DB7" w:rsidRDefault="005A7798" w:rsidP="008D752A">
            <w:pPr>
              <w:spacing w:before="160"/>
              <w:jc w:val="both"/>
              <w:rPr>
                <w:b/>
                <w:bCs/>
                <w:sz w:val="26"/>
                <w:szCs w:val="26"/>
                <w:lang w:val="en-US"/>
              </w:rPr>
            </w:pPr>
            <w:r w:rsidRPr="00324DB7">
              <w:rPr>
                <w:b/>
                <w:bCs/>
                <w:sz w:val="26"/>
                <w:szCs w:val="26"/>
                <w:lang w:val="en-US"/>
              </w:rPr>
              <w:t>Relevant link(s) with the Strategic Plan</w:t>
            </w:r>
          </w:p>
          <w:p w14:paraId="5040C032" w14:textId="77777777" w:rsidR="005A7798" w:rsidRPr="00324DB7" w:rsidRDefault="005A7798" w:rsidP="008D752A">
            <w:pPr>
              <w:jc w:val="both"/>
              <w:rPr>
                <w:lang w:val="en-US"/>
              </w:rPr>
            </w:pPr>
            <w:r w:rsidRPr="00324DB7">
              <w:rPr>
                <w:lang w:val="en-US"/>
              </w:rPr>
              <w:t>The draft biennial budget of the Union provides funding for the two goals and the five thematic priorities of the strategic plan for the Union.</w:t>
            </w:r>
          </w:p>
          <w:p w14:paraId="5F1A2291" w14:textId="77777777" w:rsidR="005A7798" w:rsidRPr="00324DB7" w:rsidRDefault="005A7798" w:rsidP="008D752A">
            <w:pPr>
              <w:spacing w:before="160"/>
              <w:jc w:val="both"/>
              <w:rPr>
                <w:b/>
                <w:bCs/>
                <w:sz w:val="26"/>
                <w:szCs w:val="26"/>
                <w:lang w:val="en-US"/>
              </w:rPr>
            </w:pPr>
            <w:r w:rsidRPr="00324DB7">
              <w:rPr>
                <w:b/>
                <w:bCs/>
                <w:sz w:val="26"/>
                <w:szCs w:val="26"/>
                <w:lang w:val="en-US"/>
              </w:rPr>
              <w:t>Financial implications</w:t>
            </w:r>
          </w:p>
          <w:p w14:paraId="08ACFDCE" w14:textId="065DC694" w:rsidR="005A7798" w:rsidRDefault="005A7798" w:rsidP="008D752A">
            <w:pPr>
              <w:spacing w:before="160"/>
              <w:jc w:val="both"/>
              <w:rPr>
                <w:szCs w:val="24"/>
                <w:lang w:val="en-US"/>
              </w:rPr>
            </w:pPr>
            <w:r w:rsidRPr="00324DB7">
              <w:rPr>
                <w:szCs w:val="24"/>
                <w:lang w:val="en-US"/>
              </w:rPr>
              <w:t xml:space="preserve">The draft biennial budget of the Union for 2026-2027 is balanced, with revenue </w:t>
            </w:r>
            <w:r w:rsidR="00324DB7" w:rsidRPr="00324DB7">
              <w:rPr>
                <w:szCs w:val="24"/>
                <w:lang w:val="en-US"/>
              </w:rPr>
              <w:t>equaling</w:t>
            </w:r>
            <w:r w:rsidRPr="00324DB7">
              <w:rPr>
                <w:szCs w:val="24"/>
                <w:lang w:val="en-US"/>
              </w:rPr>
              <w:t xml:space="preserve"> expenses.</w:t>
            </w:r>
          </w:p>
          <w:p w14:paraId="1BE2D035" w14:textId="675A4EBA" w:rsidR="008D752A" w:rsidRPr="00324DB7" w:rsidRDefault="008D752A" w:rsidP="008D752A">
            <w:pPr>
              <w:spacing w:before="160"/>
              <w:jc w:val="both"/>
              <w:rPr>
                <w:szCs w:val="24"/>
                <w:lang w:val="en-US"/>
              </w:rPr>
            </w:pPr>
            <w:r w:rsidRPr="00324DB7">
              <w:rPr>
                <w:lang w:val="en-US"/>
              </w:rPr>
              <w:t>_______________</w:t>
            </w:r>
          </w:p>
          <w:p w14:paraId="6415BEBE" w14:textId="77777777" w:rsidR="005A7798" w:rsidRPr="00324DB7" w:rsidRDefault="005A7798" w:rsidP="005A7798">
            <w:pPr>
              <w:spacing w:before="160"/>
              <w:rPr>
                <w:b/>
                <w:bCs/>
                <w:sz w:val="26"/>
                <w:szCs w:val="26"/>
                <w:lang w:val="en-US"/>
              </w:rPr>
            </w:pPr>
            <w:r w:rsidRPr="00324DB7">
              <w:rPr>
                <w:b/>
                <w:bCs/>
                <w:sz w:val="26"/>
                <w:szCs w:val="26"/>
                <w:lang w:val="en-US"/>
              </w:rPr>
              <w:t>References</w:t>
            </w:r>
          </w:p>
          <w:p w14:paraId="31436DFE" w14:textId="12D706F2" w:rsidR="005A7798" w:rsidRPr="008D752A" w:rsidRDefault="005A7798" w:rsidP="008D752A">
            <w:pPr>
              <w:snapToGrid w:val="0"/>
              <w:rPr>
                <w:sz w:val="22"/>
                <w:szCs w:val="22"/>
                <w:lang w:val="en-US"/>
              </w:rPr>
            </w:pPr>
            <w:hyperlink r:id="rId9" w:history="1">
              <w:r w:rsidRPr="008D752A">
                <w:rPr>
                  <w:rStyle w:val="Hyperlink"/>
                  <w:sz w:val="22"/>
                  <w:szCs w:val="22"/>
                  <w:lang w:val="en-US"/>
                </w:rPr>
                <w:t>CS Art. 28</w:t>
              </w:r>
            </w:hyperlink>
            <w:r w:rsidRPr="008D752A">
              <w:rPr>
                <w:sz w:val="22"/>
                <w:szCs w:val="22"/>
                <w:lang w:val="en-US"/>
              </w:rPr>
              <w:t xml:space="preserve">, </w:t>
            </w:r>
            <w:hyperlink r:id="rId10" w:history="1">
              <w:r w:rsidRPr="008D752A">
                <w:rPr>
                  <w:rStyle w:val="Hyperlink"/>
                  <w:sz w:val="22"/>
                  <w:szCs w:val="22"/>
                  <w:lang w:val="en-US"/>
                </w:rPr>
                <w:t>CV Art. 4, No. 73, CV Art. 33</w:t>
              </w:r>
            </w:hyperlink>
          </w:p>
          <w:p w14:paraId="02DF837E" w14:textId="77777777" w:rsidR="005A7798" w:rsidRPr="008D752A" w:rsidRDefault="005A7798" w:rsidP="008C3300">
            <w:pPr>
              <w:snapToGrid w:val="0"/>
              <w:spacing w:before="0"/>
              <w:rPr>
                <w:sz w:val="22"/>
                <w:szCs w:val="22"/>
                <w:lang w:val="en-US"/>
              </w:rPr>
            </w:pPr>
            <w:hyperlink r:id="rId11" w:history="1">
              <w:r w:rsidRPr="008D752A">
                <w:rPr>
                  <w:rStyle w:val="Hyperlink"/>
                  <w:sz w:val="22"/>
                  <w:szCs w:val="22"/>
                  <w:lang w:val="en-US"/>
                </w:rPr>
                <w:t>Decision 5</w:t>
              </w:r>
            </w:hyperlink>
            <w:r w:rsidRPr="008D752A">
              <w:rPr>
                <w:sz w:val="22"/>
                <w:szCs w:val="22"/>
                <w:lang w:val="en-US"/>
              </w:rPr>
              <w:t xml:space="preserve"> (Rev. Bucharest, 2022) of the Plenipotentiary Conference</w:t>
            </w:r>
          </w:p>
          <w:p w14:paraId="53C4208F" w14:textId="77777777" w:rsidR="005A7798" w:rsidRPr="008D752A" w:rsidRDefault="005A7798" w:rsidP="008C3300">
            <w:pPr>
              <w:snapToGrid w:val="0"/>
              <w:spacing w:before="0"/>
              <w:rPr>
                <w:sz w:val="22"/>
                <w:szCs w:val="22"/>
                <w:lang w:val="en-US"/>
              </w:rPr>
            </w:pPr>
            <w:hyperlink r:id="rId12" w:history="1">
              <w:r w:rsidRPr="008D752A">
                <w:rPr>
                  <w:rStyle w:val="Hyperlink"/>
                  <w:sz w:val="22"/>
                  <w:szCs w:val="22"/>
                  <w:lang w:val="en-US"/>
                </w:rPr>
                <w:t>Resolution 71</w:t>
              </w:r>
            </w:hyperlink>
            <w:r w:rsidRPr="008D752A">
              <w:rPr>
                <w:sz w:val="22"/>
                <w:szCs w:val="22"/>
                <w:lang w:val="en-US"/>
              </w:rPr>
              <w:t xml:space="preserve"> (Rev. Bucharest, 2022) of the Plenipotentiary Conference</w:t>
            </w:r>
          </w:p>
          <w:p w14:paraId="3896FBF4" w14:textId="2621F91A" w:rsidR="005A7798" w:rsidRPr="008D752A" w:rsidRDefault="005A7798" w:rsidP="008C3300">
            <w:pPr>
              <w:spacing w:before="0"/>
              <w:rPr>
                <w:sz w:val="22"/>
                <w:szCs w:val="22"/>
                <w:lang w:val="en-US"/>
              </w:rPr>
            </w:pPr>
            <w:hyperlink r:id="rId13" w:history="1">
              <w:r w:rsidRPr="008D752A">
                <w:rPr>
                  <w:rStyle w:val="Hyperlink"/>
                  <w:sz w:val="22"/>
                  <w:szCs w:val="22"/>
                  <w:lang w:val="en-US"/>
                </w:rPr>
                <w:t>Resolution 151</w:t>
              </w:r>
            </w:hyperlink>
            <w:r w:rsidRPr="008D752A">
              <w:rPr>
                <w:sz w:val="22"/>
                <w:szCs w:val="22"/>
                <w:lang w:val="en-US"/>
              </w:rPr>
              <w:t xml:space="preserve"> (Rev. Bucharest, 2022) of the Plenipotentiary Conference</w:t>
            </w:r>
          </w:p>
          <w:p w14:paraId="7089D4B7" w14:textId="0E8B2EBC" w:rsidR="00AD3606" w:rsidRPr="008D752A" w:rsidRDefault="008D752A" w:rsidP="008D752A">
            <w:pPr>
              <w:spacing w:before="0" w:after="160"/>
              <w:rPr>
                <w:lang w:val="en-US"/>
              </w:rPr>
            </w:pPr>
            <w:hyperlink r:id="rId14" w:history="1">
              <w:r w:rsidR="00A26FB4" w:rsidRPr="008D752A">
                <w:rPr>
                  <w:rStyle w:val="Hyperlink"/>
                  <w:sz w:val="22"/>
                  <w:szCs w:val="22"/>
                  <w:lang w:val="en-US"/>
                </w:rPr>
                <w:t>C25/</w:t>
              </w:r>
              <w:r w:rsidRPr="008D752A">
                <w:rPr>
                  <w:rStyle w:val="Hyperlink"/>
                  <w:sz w:val="22"/>
                  <w:szCs w:val="22"/>
                  <w:lang w:val="en-US"/>
                </w:rPr>
                <w:t>64</w:t>
              </w:r>
            </w:hyperlink>
            <w:r w:rsidR="00A26FB4" w:rsidRPr="008D752A">
              <w:rPr>
                <w:sz w:val="22"/>
                <w:szCs w:val="22"/>
                <w:lang w:val="en-US"/>
              </w:rPr>
              <w:t xml:space="preserve"> </w:t>
            </w:r>
            <w:r w:rsidR="00BB40C6" w:rsidRPr="008D752A">
              <w:rPr>
                <w:sz w:val="22"/>
                <w:szCs w:val="22"/>
                <w:lang w:val="en-US"/>
              </w:rPr>
              <w:t>–</w:t>
            </w:r>
            <w:r w:rsidR="00A26FB4" w:rsidRPr="008D752A">
              <w:rPr>
                <w:sz w:val="22"/>
                <w:szCs w:val="22"/>
                <w:lang w:val="en-US"/>
              </w:rPr>
              <w:t xml:space="preserve"> </w:t>
            </w:r>
            <w:r w:rsidR="00BB40C6" w:rsidRPr="008D752A">
              <w:rPr>
                <w:sz w:val="22"/>
                <w:szCs w:val="22"/>
                <w:lang w:val="en-US"/>
              </w:rPr>
              <w:t>Proposed Methodology for Calculation of SNF Cost Recovery</w:t>
            </w:r>
          </w:p>
        </w:tc>
      </w:tr>
    </w:tbl>
    <w:p w14:paraId="3E836A65" w14:textId="77777777" w:rsidR="00E227F3" w:rsidRPr="00324DB7" w:rsidRDefault="00E227F3">
      <w:pPr>
        <w:tabs>
          <w:tab w:val="clear" w:pos="567"/>
          <w:tab w:val="clear" w:pos="1134"/>
          <w:tab w:val="clear" w:pos="1701"/>
          <w:tab w:val="clear" w:pos="2268"/>
          <w:tab w:val="clear" w:pos="2835"/>
        </w:tabs>
        <w:overflowPunct/>
        <w:autoSpaceDE/>
        <w:autoSpaceDN/>
        <w:adjustRightInd/>
        <w:spacing w:before="0"/>
        <w:textAlignment w:val="auto"/>
        <w:rPr>
          <w:lang w:val="en-US"/>
        </w:rPr>
      </w:pPr>
      <w:bookmarkStart w:id="10" w:name="_Hlk133421428"/>
      <w:bookmarkEnd w:id="2"/>
      <w:bookmarkEnd w:id="9"/>
    </w:p>
    <w:bookmarkEnd w:id="3"/>
    <w:bookmarkEnd w:id="4"/>
    <w:p w14:paraId="52958905" w14:textId="77777777" w:rsidR="0090147A" w:rsidRPr="00324DB7" w:rsidRDefault="0090147A">
      <w:pPr>
        <w:tabs>
          <w:tab w:val="clear" w:pos="567"/>
          <w:tab w:val="clear" w:pos="1134"/>
          <w:tab w:val="clear" w:pos="1701"/>
          <w:tab w:val="clear" w:pos="2268"/>
          <w:tab w:val="clear" w:pos="2835"/>
        </w:tabs>
        <w:overflowPunct/>
        <w:autoSpaceDE/>
        <w:autoSpaceDN/>
        <w:adjustRightInd/>
        <w:spacing w:before="0"/>
        <w:textAlignment w:val="auto"/>
        <w:rPr>
          <w:b/>
          <w:lang w:val="en-US"/>
        </w:rPr>
      </w:pPr>
      <w:r w:rsidRPr="00324DB7">
        <w:rPr>
          <w:lang w:val="en-US"/>
        </w:rPr>
        <w:br w:type="page"/>
      </w:r>
    </w:p>
    <w:bookmarkEnd w:id="5"/>
    <w:bookmarkEnd w:id="10"/>
    <w:p w14:paraId="1BC47C6F" w14:textId="176DF57A" w:rsidR="00A71D61" w:rsidRPr="00324DB7" w:rsidRDefault="00A71D61" w:rsidP="00212B14">
      <w:pPr>
        <w:spacing w:after="240"/>
        <w:rPr>
          <w:b/>
          <w:bCs/>
          <w:color w:val="002060"/>
          <w:lang w:val="en-US"/>
        </w:rPr>
      </w:pPr>
      <w:r w:rsidRPr="00324DB7">
        <w:rPr>
          <w:b/>
          <w:bCs/>
          <w:color w:val="002060"/>
          <w:lang w:val="en-US"/>
        </w:rPr>
        <w:lastRenderedPageBreak/>
        <w:t>1</w:t>
      </w:r>
      <w:r w:rsidRPr="00324DB7">
        <w:rPr>
          <w:b/>
          <w:bCs/>
          <w:color w:val="002060"/>
          <w:lang w:val="en-US"/>
        </w:rPr>
        <w:tab/>
        <w:t>Synthesis</w:t>
      </w:r>
    </w:p>
    <w:p w14:paraId="6C83342D" w14:textId="011D320F" w:rsidR="00A71D61" w:rsidRPr="00324DB7" w:rsidRDefault="00A71D61" w:rsidP="008D752A">
      <w:pPr>
        <w:spacing w:before="0" w:after="240"/>
        <w:jc w:val="both"/>
        <w:rPr>
          <w:lang w:val="en-US"/>
        </w:rPr>
      </w:pPr>
      <w:r w:rsidRPr="00324DB7">
        <w:rPr>
          <w:lang w:val="en-US"/>
        </w:rPr>
        <w:t>1.1</w:t>
      </w:r>
      <w:r w:rsidRPr="00324DB7">
        <w:rPr>
          <w:lang w:val="en-US"/>
        </w:rPr>
        <w:tab/>
        <w:t>The proposed budget has been drawn up within the framework of Decision 5</w:t>
      </w:r>
      <w:r w:rsidR="00212B14">
        <w:rPr>
          <w:lang w:val="en-US"/>
        </w:rPr>
        <w:t xml:space="preserve"> </w:t>
      </w:r>
      <w:r w:rsidRPr="00324DB7">
        <w:rPr>
          <w:lang w:val="en-US"/>
        </w:rPr>
        <w:t>(Rev. Bucharest, 2022) and of the Strategic Plan for the Union 2024-2027 set forth in</w:t>
      </w:r>
      <w:r w:rsidR="00212B14">
        <w:rPr>
          <w:lang w:val="en-US"/>
        </w:rPr>
        <w:t xml:space="preserve"> </w:t>
      </w:r>
      <w:r w:rsidRPr="00324DB7">
        <w:rPr>
          <w:lang w:val="en-US"/>
        </w:rPr>
        <w:t>Resolution 71 (Rev. Bucharest, 2022), respectively.</w:t>
      </w:r>
      <w:r w:rsidR="00B463BF">
        <w:rPr>
          <w:lang w:val="en-US"/>
        </w:rPr>
        <w:t xml:space="preserve"> </w:t>
      </w:r>
      <w:r w:rsidRPr="00324DB7">
        <w:rPr>
          <w:lang w:val="en-US"/>
        </w:rPr>
        <w:t>In accordance with Decision 5 (Rev. Bucharest, 2022), the draft budget for 2026-2027</w:t>
      </w:r>
      <w:r w:rsidR="00212B14">
        <w:rPr>
          <w:lang w:val="en-US"/>
        </w:rPr>
        <w:t xml:space="preserve"> </w:t>
      </w:r>
      <w:r w:rsidRPr="00324DB7">
        <w:rPr>
          <w:lang w:val="en-US"/>
        </w:rPr>
        <w:t>reflects zero nominal growth in the amount of the contributory unit, i.e. CHF</w:t>
      </w:r>
      <w:r w:rsidR="008D752A">
        <w:rPr>
          <w:lang w:val="en-US"/>
        </w:rPr>
        <w:t> </w:t>
      </w:r>
      <w:r w:rsidRPr="00324DB7">
        <w:rPr>
          <w:lang w:val="en-US"/>
        </w:rPr>
        <w:t>318</w:t>
      </w:r>
      <w:r w:rsidR="008D752A">
        <w:rPr>
          <w:lang w:val="en-US"/>
        </w:rPr>
        <w:t> </w:t>
      </w:r>
      <w:r w:rsidRPr="00324DB7">
        <w:rPr>
          <w:lang w:val="en-US"/>
        </w:rPr>
        <w:t>000</w:t>
      </w:r>
      <w:r w:rsidR="00341552" w:rsidRPr="00324DB7">
        <w:rPr>
          <w:lang w:val="en-US"/>
        </w:rPr>
        <w:t>.</w:t>
      </w:r>
      <w:r w:rsidR="005F1EA1">
        <w:rPr>
          <w:lang w:val="en-US"/>
        </w:rPr>
        <w:t xml:space="preserve"> </w:t>
      </w:r>
    </w:p>
    <w:p w14:paraId="3742A820" w14:textId="1135E4F0" w:rsidR="00A71D61" w:rsidRPr="00324DB7" w:rsidRDefault="00A71D61" w:rsidP="008D752A">
      <w:pPr>
        <w:spacing w:before="0" w:after="240"/>
        <w:jc w:val="both"/>
        <w:rPr>
          <w:lang w:val="en-US"/>
        </w:rPr>
      </w:pPr>
      <w:r w:rsidRPr="00324DB7">
        <w:rPr>
          <w:lang w:val="en-US"/>
        </w:rPr>
        <w:t>1.</w:t>
      </w:r>
      <w:r w:rsidR="00B463BF">
        <w:rPr>
          <w:lang w:val="en-US"/>
        </w:rPr>
        <w:t>2</w:t>
      </w:r>
      <w:r w:rsidRPr="00324DB7">
        <w:rPr>
          <w:lang w:val="en-US"/>
        </w:rPr>
        <w:tab/>
        <w:t xml:space="preserve">The table below </w:t>
      </w:r>
      <w:r w:rsidR="00C5401A">
        <w:rPr>
          <w:lang w:val="en-US"/>
        </w:rPr>
        <w:t>summarizes</w:t>
      </w:r>
      <w:r w:rsidR="00EE6A50">
        <w:rPr>
          <w:lang w:val="en-US"/>
        </w:rPr>
        <w:t xml:space="preserve"> the revenue and expense estimates for 2026-2027 compared to</w:t>
      </w:r>
      <w:r w:rsidRPr="00324DB7">
        <w:rPr>
          <w:lang w:val="en-US"/>
        </w:rPr>
        <w:t xml:space="preserve"> the </w:t>
      </w:r>
      <w:r w:rsidR="00341552" w:rsidRPr="00324DB7">
        <w:rPr>
          <w:lang w:val="en-US"/>
        </w:rPr>
        <w:t>F</w:t>
      </w:r>
      <w:r w:rsidRPr="00324DB7">
        <w:rPr>
          <w:lang w:val="en-US"/>
        </w:rPr>
        <w:t xml:space="preserve">inancial </w:t>
      </w:r>
      <w:r w:rsidR="00341552" w:rsidRPr="00324DB7">
        <w:rPr>
          <w:lang w:val="en-US"/>
        </w:rPr>
        <w:t>P</w:t>
      </w:r>
      <w:r w:rsidRPr="00324DB7">
        <w:rPr>
          <w:lang w:val="en-US"/>
        </w:rPr>
        <w:t>lan</w:t>
      </w:r>
      <w:r w:rsidR="00341552" w:rsidRPr="00324DB7">
        <w:rPr>
          <w:lang w:val="en-US"/>
        </w:rPr>
        <w:t>,</w:t>
      </w:r>
      <w:r w:rsidRPr="00324DB7">
        <w:rPr>
          <w:lang w:val="en-US"/>
        </w:rPr>
        <w:t xml:space="preserve"> the 2024-2025 budget</w:t>
      </w:r>
      <w:r w:rsidR="00341552" w:rsidRPr="00324DB7">
        <w:rPr>
          <w:lang w:val="en-US"/>
        </w:rPr>
        <w:t xml:space="preserve"> and the 2024 actuals.</w:t>
      </w:r>
    </w:p>
    <w:p w14:paraId="5A310A63" w14:textId="5CB2888B" w:rsidR="00341552" w:rsidRPr="00324DB7" w:rsidRDefault="00341552" w:rsidP="009B6785">
      <w:pPr>
        <w:spacing w:before="0" w:after="240"/>
        <w:rPr>
          <w:lang w:val="en-US"/>
        </w:rPr>
      </w:pPr>
      <w:r w:rsidRPr="00324DB7">
        <w:rPr>
          <w:noProof/>
          <w:lang w:val="en-US"/>
        </w:rPr>
        <w:drawing>
          <wp:inline distT="0" distB="0" distL="0" distR="0" wp14:anchorId="482D137D" wp14:editId="10C6DC41">
            <wp:extent cx="5760085" cy="1733550"/>
            <wp:effectExtent l="0" t="0" r="5715" b="6350"/>
            <wp:docPr id="186378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87310" name=""/>
                    <pic:cNvPicPr/>
                  </pic:nvPicPr>
                  <pic:blipFill>
                    <a:blip r:embed="rId15"/>
                    <a:stretch>
                      <a:fillRect/>
                    </a:stretch>
                  </pic:blipFill>
                  <pic:spPr>
                    <a:xfrm>
                      <a:off x="0" y="0"/>
                      <a:ext cx="5760085" cy="1733550"/>
                    </a:xfrm>
                    <a:prstGeom prst="rect">
                      <a:avLst/>
                    </a:prstGeom>
                  </pic:spPr>
                </pic:pic>
              </a:graphicData>
            </a:graphic>
          </wp:inline>
        </w:drawing>
      </w:r>
    </w:p>
    <w:p w14:paraId="6124BA2D" w14:textId="129726C7" w:rsidR="009B6785" w:rsidRPr="00324DB7" w:rsidRDefault="009B6785" w:rsidP="008D752A">
      <w:pPr>
        <w:spacing w:before="0" w:after="240"/>
        <w:jc w:val="both"/>
        <w:rPr>
          <w:lang w:val="en-US"/>
        </w:rPr>
      </w:pPr>
      <w:r w:rsidRPr="00324DB7">
        <w:rPr>
          <w:lang w:val="en-US"/>
        </w:rPr>
        <w:t>1.</w:t>
      </w:r>
      <w:r w:rsidR="00B463BF">
        <w:rPr>
          <w:lang w:val="en-US"/>
        </w:rPr>
        <w:t>3</w:t>
      </w:r>
      <w:r w:rsidRPr="00324DB7">
        <w:rPr>
          <w:lang w:val="en-US"/>
        </w:rPr>
        <w:tab/>
        <w:t xml:space="preserve">The draft biennial budget of the Union for 2026-2027 is balanced with revenue equaling expenses </w:t>
      </w:r>
      <w:r>
        <w:rPr>
          <w:lang w:val="en-US"/>
        </w:rPr>
        <w:t>at</w:t>
      </w:r>
      <w:r w:rsidRPr="00324DB7">
        <w:rPr>
          <w:lang w:val="en-US"/>
        </w:rPr>
        <w:t xml:space="preserve"> KCHF</w:t>
      </w:r>
      <w:r w:rsidR="00767991">
        <w:rPr>
          <w:lang w:val="en-US"/>
        </w:rPr>
        <w:t> </w:t>
      </w:r>
      <w:r w:rsidRPr="00324DB7">
        <w:rPr>
          <w:lang w:val="en-US"/>
        </w:rPr>
        <w:t>333</w:t>
      </w:r>
      <w:r w:rsidR="00767991">
        <w:rPr>
          <w:lang w:val="en-US"/>
        </w:rPr>
        <w:t> </w:t>
      </w:r>
      <w:r w:rsidRPr="00324DB7">
        <w:rPr>
          <w:lang w:val="en-US"/>
        </w:rPr>
        <w:t>238</w:t>
      </w:r>
      <w:r>
        <w:rPr>
          <w:lang w:val="en-US"/>
        </w:rPr>
        <w:t xml:space="preserve">. The revenue and expenses for the period </w:t>
      </w:r>
      <w:proofErr w:type="gramStart"/>
      <w:r>
        <w:rPr>
          <w:lang w:val="en-US"/>
        </w:rPr>
        <w:t>exceed</w:t>
      </w:r>
      <w:proofErr w:type="gramEnd"/>
      <w:r>
        <w:rPr>
          <w:lang w:val="en-US"/>
        </w:rPr>
        <w:t xml:space="preserve"> the </w:t>
      </w:r>
      <w:r w:rsidRPr="00324DB7">
        <w:rPr>
          <w:lang w:val="en-US"/>
        </w:rPr>
        <w:t>Financial Plan of the Union for 2026-2027</w:t>
      </w:r>
      <w:r>
        <w:rPr>
          <w:lang w:val="en-US"/>
        </w:rPr>
        <w:t xml:space="preserve"> by </w:t>
      </w:r>
      <w:r w:rsidRPr="00324DB7">
        <w:rPr>
          <w:lang w:val="en-US"/>
        </w:rPr>
        <w:t>KCHF</w:t>
      </w:r>
      <w:r w:rsidR="00623E4D">
        <w:rPr>
          <w:lang w:val="en-US"/>
        </w:rPr>
        <w:t> </w:t>
      </w:r>
      <w:r w:rsidRPr="00324DB7">
        <w:rPr>
          <w:lang w:val="en-US"/>
        </w:rPr>
        <w:t>3</w:t>
      </w:r>
      <w:r w:rsidR="00623E4D">
        <w:rPr>
          <w:lang w:val="en-US"/>
        </w:rPr>
        <w:t> </w:t>
      </w:r>
      <w:r w:rsidRPr="00324DB7">
        <w:rPr>
          <w:lang w:val="en-US"/>
        </w:rPr>
        <w:t xml:space="preserve">620. Detailed information on revenue and expense variations is provided below. </w:t>
      </w:r>
      <w:hyperlink w:anchor="Annex_A" w:history="1">
        <w:r w:rsidRPr="004B3B47">
          <w:rPr>
            <w:rStyle w:val="Hyperlink"/>
            <w:lang w:val="en-US"/>
          </w:rPr>
          <w:t>Annex A</w:t>
        </w:r>
      </w:hyperlink>
      <w:r w:rsidRPr="00324DB7">
        <w:rPr>
          <w:lang w:val="en-US"/>
        </w:rPr>
        <w:t xml:space="preserve"> contains a draft resolution on the draft biennial budget of the Union for 2026-2027, including tables that detail revenue by source and expenses by section, sub-section, and category of expenses.</w:t>
      </w:r>
      <w:r>
        <w:rPr>
          <w:lang w:val="en-US"/>
        </w:rPr>
        <w:t xml:space="preserve"> </w:t>
      </w:r>
      <w:hyperlink w:anchor="Annex_D" w:history="1">
        <w:r w:rsidRPr="004B3B47">
          <w:rPr>
            <w:rStyle w:val="Hyperlink"/>
            <w:lang w:val="en-US"/>
          </w:rPr>
          <w:t>Annex D</w:t>
        </w:r>
      </w:hyperlink>
      <w:r>
        <w:rPr>
          <w:lang w:val="en-US"/>
        </w:rPr>
        <w:t xml:space="preserve"> describes the categories of expenses.</w:t>
      </w:r>
    </w:p>
    <w:p w14:paraId="394ABFFC" w14:textId="2DC21667" w:rsidR="00341552" w:rsidRPr="00324DB7" w:rsidRDefault="00341552" w:rsidP="00623E4D">
      <w:pPr>
        <w:spacing w:after="240"/>
        <w:jc w:val="both"/>
        <w:rPr>
          <w:b/>
          <w:bCs/>
          <w:color w:val="002060"/>
          <w:lang w:val="en-US"/>
        </w:rPr>
      </w:pPr>
      <w:r w:rsidRPr="00324DB7">
        <w:rPr>
          <w:b/>
          <w:bCs/>
          <w:color w:val="002060"/>
          <w:lang w:val="en-US"/>
        </w:rPr>
        <w:t>2</w:t>
      </w:r>
      <w:r w:rsidRPr="00324DB7">
        <w:rPr>
          <w:b/>
          <w:bCs/>
          <w:color w:val="002060"/>
          <w:lang w:val="en-US"/>
        </w:rPr>
        <w:tab/>
        <w:t>Bases</w:t>
      </w:r>
    </w:p>
    <w:p w14:paraId="16171580" w14:textId="5F477DE5" w:rsidR="00341552" w:rsidRDefault="00341552" w:rsidP="008D752A">
      <w:pPr>
        <w:spacing w:before="0" w:after="240"/>
        <w:jc w:val="both"/>
        <w:rPr>
          <w:lang w:val="en-US"/>
        </w:rPr>
      </w:pPr>
      <w:r w:rsidRPr="00324DB7">
        <w:rPr>
          <w:lang w:val="en-US"/>
        </w:rPr>
        <w:t>2.1</w:t>
      </w:r>
      <w:r w:rsidR="00626066">
        <w:rPr>
          <w:lang w:val="en-US"/>
        </w:rPr>
        <w:tab/>
      </w:r>
      <w:r w:rsidRPr="00324DB7">
        <w:rPr>
          <w:lang w:val="en-US"/>
        </w:rPr>
        <w:t>The draft biennial budget for 2026-2027 is based on:</w:t>
      </w:r>
    </w:p>
    <w:p w14:paraId="0EA082E7" w14:textId="6D4C2355" w:rsidR="00341552" w:rsidRPr="00324DB7" w:rsidRDefault="00893BAE" w:rsidP="008D752A">
      <w:pPr>
        <w:pStyle w:val="ListParagraph"/>
        <w:numPr>
          <w:ilvl w:val="0"/>
          <w:numId w:val="5"/>
        </w:numPr>
        <w:tabs>
          <w:tab w:val="clear" w:pos="567"/>
          <w:tab w:val="clear" w:pos="1134"/>
        </w:tabs>
        <w:spacing w:before="0"/>
        <w:ind w:left="1134"/>
        <w:jc w:val="both"/>
        <w:rPr>
          <w:lang w:val="en-US"/>
        </w:rPr>
      </w:pPr>
      <w:r>
        <w:rPr>
          <w:lang w:val="en-US"/>
        </w:rPr>
        <w:t>A</w:t>
      </w:r>
      <w:r w:rsidR="00341552" w:rsidRPr="00324DB7">
        <w:rPr>
          <w:lang w:val="en-US"/>
        </w:rPr>
        <w:t>n exchange rate of USD 1.0 = CHF</w:t>
      </w:r>
      <w:r w:rsidR="00623E4D">
        <w:rPr>
          <w:lang w:val="en-US"/>
        </w:rPr>
        <w:t> </w:t>
      </w:r>
      <w:r w:rsidR="00341552" w:rsidRPr="00324DB7">
        <w:rPr>
          <w:lang w:val="en-US"/>
        </w:rPr>
        <w:t xml:space="preserve">0.929, i.e. the rate in force </w:t>
      </w:r>
      <w:r w:rsidR="00D94808" w:rsidRPr="00324DB7">
        <w:rPr>
          <w:lang w:val="en-US"/>
        </w:rPr>
        <w:t>in</w:t>
      </w:r>
      <w:r w:rsidR="00341552" w:rsidRPr="00324DB7">
        <w:rPr>
          <w:lang w:val="en-US"/>
        </w:rPr>
        <w:t xml:space="preserve"> January </w:t>
      </w:r>
      <w:r w:rsidR="00324DB7" w:rsidRPr="00324DB7">
        <w:rPr>
          <w:lang w:val="en-US"/>
        </w:rPr>
        <w:t>2025.</w:t>
      </w:r>
    </w:p>
    <w:p w14:paraId="3ECAA29F" w14:textId="6F495F38" w:rsidR="00341552" w:rsidRPr="00324DB7" w:rsidRDefault="00055CD0" w:rsidP="008D752A">
      <w:pPr>
        <w:pStyle w:val="ListParagraph"/>
        <w:numPr>
          <w:ilvl w:val="0"/>
          <w:numId w:val="5"/>
        </w:numPr>
        <w:tabs>
          <w:tab w:val="clear" w:pos="567"/>
          <w:tab w:val="clear" w:pos="1134"/>
        </w:tabs>
        <w:spacing w:before="0" w:after="240"/>
        <w:ind w:left="1134"/>
        <w:contextualSpacing w:val="0"/>
        <w:jc w:val="both"/>
        <w:rPr>
          <w:lang w:val="en-US"/>
        </w:rPr>
      </w:pPr>
      <w:r>
        <w:rPr>
          <w:lang w:val="en-US"/>
        </w:rPr>
        <w:t>T</w:t>
      </w:r>
      <w:r w:rsidR="00341552" w:rsidRPr="00324DB7">
        <w:rPr>
          <w:lang w:val="en-US"/>
        </w:rPr>
        <w:t xml:space="preserve">he prevailing conditions of service in the United Nations common system as </w:t>
      </w:r>
      <w:r w:rsidR="00D94808" w:rsidRPr="00324DB7">
        <w:rPr>
          <w:lang w:val="en-US"/>
        </w:rPr>
        <w:t>of</w:t>
      </w:r>
      <w:r w:rsidR="00341552" w:rsidRPr="00324DB7">
        <w:rPr>
          <w:lang w:val="en-US"/>
        </w:rPr>
        <w:t xml:space="preserve"> 1</w:t>
      </w:r>
      <w:r>
        <w:rPr>
          <w:lang w:val="en-US"/>
        </w:rPr>
        <w:t> </w:t>
      </w:r>
      <w:r w:rsidR="00341552" w:rsidRPr="00324DB7">
        <w:rPr>
          <w:lang w:val="en-US"/>
        </w:rPr>
        <w:t>January</w:t>
      </w:r>
      <w:r>
        <w:rPr>
          <w:lang w:val="en-US"/>
        </w:rPr>
        <w:t> </w:t>
      </w:r>
      <w:r w:rsidR="00341552" w:rsidRPr="00324DB7">
        <w:rPr>
          <w:lang w:val="en-US"/>
        </w:rPr>
        <w:t>2025.</w:t>
      </w:r>
    </w:p>
    <w:p w14:paraId="7ECD8B45" w14:textId="0740BB5E" w:rsidR="00341552" w:rsidRPr="00324DB7" w:rsidRDefault="00341552" w:rsidP="008D752A">
      <w:pPr>
        <w:spacing w:before="0" w:after="240"/>
        <w:jc w:val="both"/>
        <w:rPr>
          <w:lang w:val="en-US"/>
        </w:rPr>
      </w:pPr>
      <w:r w:rsidRPr="00324DB7">
        <w:rPr>
          <w:lang w:val="en-US"/>
        </w:rPr>
        <w:t>2.2</w:t>
      </w:r>
      <w:r w:rsidRPr="00324DB7">
        <w:rPr>
          <w:lang w:val="en-US"/>
        </w:rPr>
        <w:tab/>
        <w:t>The draft biennial budget of the Union for 2026-2027 does not include any provision for prospective cost increases for the period from 1 January 2025 to 31 December 2027.</w:t>
      </w:r>
    </w:p>
    <w:p w14:paraId="6B261247" w14:textId="02EDDF4A" w:rsidR="00A71D61" w:rsidRDefault="00D94808" w:rsidP="008D752A">
      <w:pPr>
        <w:spacing w:before="0" w:after="240"/>
        <w:jc w:val="both"/>
        <w:rPr>
          <w:lang w:val="en-US"/>
        </w:rPr>
      </w:pPr>
      <w:r w:rsidRPr="00324DB7">
        <w:rPr>
          <w:lang w:val="en-US"/>
        </w:rPr>
        <w:t>2</w:t>
      </w:r>
      <w:r w:rsidR="00341552" w:rsidRPr="00324DB7">
        <w:rPr>
          <w:lang w:val="en-US"/>
        </w:rPr>
        <w:t>.3</w:t>
      </w:r>
      <w:r w:rsidR="00341552" w:rsidRPr="00324DB7">
        <w:rPr>
          <w:lang w:val="en-US"/>
        </w:rPr>
        <w:tab/>
        <w:t xml:space="preserve">The expenses are classified in the tables of the draft resolution in </w:t>
      </w:r>
      <w:hyperlink w:anchor="Annex_A" w:history="1">
        <w:r w:rsidR="00341552" w:rsidRPr="004B3B47">
          <w:rPr>
            <w:rStyle w:val="Hyperlink"/>
            <w:lang w:val="en-US"/>
          </w:rPr>
          <w:t xml:space="preserve">Annex </w:t>
        </w:r>
        <w:r w:rsidR="000D60C8" w:rsidRPr="004B3B47">
          <w:rPr>
            <w:rStyle w:val="Hyperlink"/>
            <w:lang w:val="en-US"/>
          </w:rPr>
          <w:t>A</w:t>
        </w:r>
      </w:hyperlink>
      <w:r w:rsidR="00341552" w:rsidRPr="00324DB7">
        <w:rPr>
          <w:lang w:val="en-US"/>
        </w:rPr>
        <w:t xml:space="preserve"> as </w:t>
      </w:r>
      <w:r w:rsidR="007D35DB">
        <w:rPr>
          <w:lang w:val="en-US"/>
        </w:rPr>
        <w:t>operating</w:t>
      </w:r>
      <w:r w:rsidR="00341552" w:rsidRPr="00324DB7">
        <w:rPr>
          <w:lang w:val="en-US"/>
        </w:rPr>
        <w:t xml:space="preserve"> or capital expenses. Capital expenses relate to items w</w:t>
      </w:r>
      <w:r w:rsidR="007420AB">
        <w:rPr>
          <w:lang w:val="en-US"/>
        </w:rPr>
        <w:t>ith</w:t>
      </w:r>
      <w:r w:rsidR="00341552" w:rsidRPr="00324DB7">
        <w:rPr>
          <w:lang w:val="en-US"/>
        </w:rPr>
        <w:t xml:space="preserve"> </w:t>
      </w:r>
      <w:r w:rsidR="00E901B0">
        <w:rPr>
          <w:lang w:val="en-US"/>
        </w:rPr>
        <w:t>more than one year of life</w:t>
      </w:r>
      <w:r w:rsidR="00341552" w:rsidRPr="00324DB7">
        <w:rPr>
          <w:lang w:val="en-US"/>
        </w:rPr>
        <w:t xml:space="preserve"> and an estimated value </w:t>
      </w:r>
      <w:r w:rsidR="007420AB">
        <w:rPr>
          <w:lang w:val="en-US"/>
        </w:rPr>
        <w:t>above</w:t>
      </w:r>
      <w:r w:rsidR="00341552" w:rsidRPr="00324DB7">
        <w:rPr>
          <w:lang w:val="en-US"/>
        </w:rPr>
        <w:t xml:space="preserve"> CHF</w:t>
      </w:r>
      <w:r w:rsidR="00623E4D">
        <w:rPr>
          <w:lang w:val="en-US"/>
        </w:rPr>
        <w:t> </w:t>
      </w:r>
      <w:r w:rsidR="00341552" w:rsidRPr="00324DB7">
        <w:rPr>
          <w:lang w:val="en-US"/>
        </w:rPr>
        <w:t>5</w:t>
      </w:r>
      <w:r w:rsidR="00623E4D">
        <w:rPr>
          <w:lang w:val="en-US"/>
        </w:rPr>
        <w:t> </w:t>
      </w:r>
      <w:r w:rsidR="00341552" w:rsidRPr="00324DB7">
        <w:rPr>
          <w:lang w:val="en-US"/>
        </w:rPr>
        <w:t>000. A total of KCHF</w:t>
      </w:r>
      <w:r w:rsidR="00623E4D">
        <w:rPr>
          <w:lang w:val="en-US"/>
        </w:rPr>
        <w:t> </w:t>
      </w:r>
      <w:r w:rsidR="000D60C8">
        <w:rPr>
          <w:lang w:val="en-US"/>
        </w:rPr>
        <w:t>842</w:t>
      </w:r>
      <w:r w:rsidR="00341552" w:rsidRPr="00324DB7">
        <w:rPr>
          <w:lang w:val="en-US"/>
        </w:rPr>
        <w:t xml:space="preserve"> in capital expenses is estimated in the draft biennial budget of the Union for</w:t>
      </w:r>
      <w:r w:rsidR="00E901B0">
        <w:rPr>
          <w:lang w:val="en-US"/>
        </w:rPr>
        <w:t xml:space="preserve"> </w:t>
      </w:r>
      <w:r w:rsidR="00341552" w:rsidRPr="00324DB7">
        <w:rPr>
          <w:lang w:val="en-US"/>
        </w:rPr>
        <w:t xml:space="preserve">2026-2027 (see </w:t>
      </w:r>
      <w:hyperlink w:anchor="Table_12" w:history="1">
        <w:r w:rsidR="00341552" w:rsidRPr="004B3B47">
          <w:rPr>
            <w:rStyle w:val="Hyperlink"/>
            <w:lang w:val="en-US"/>
          </w:rPr>
          <w:t>Table 12</w:t>
        </w:r>
      </w:hyperlink>
      <w:r w:rsidR="00341552" w:rsidRPr="00324DB7">
        <w:rPr>
          <w:lang w:val="en-US"/>
        </w:rPr>
        <w:t xml:space="preserve"> in Annex </w:t>
      </w:r>
      <w:r w:rsidR="000D60C8">
        <w:rPr>
          <w:lang w:val="en-US"/>
        </w:rPr>
        <w:t>A</w:t>
      </w:r>
      <w:r w:rsidR="00341552" w:rsidRPr="00324DB7">
        <w:rPr>
          <w:lang w:val="en-US"/>
        </w:rPr>
        <w:t>).</w:t>
      </w:r>
    </w:p>
    <w:p w14:paraId="02EE41A7" w14:textId="40A33D0C" w:rsidR="00324DB7" w:rsidRDefault="00324DB7" w:rsidP="008D752A">
      <w:pPr>
        <w:spacing w:before="0" w:after="240"/>
        <w:jc w:val="both"/>
        <w:rPr>
          <w:b/>
          <w:bCs/>
          <w:color w:val="002060"/>
          <w:lang w:val="en-US"/>
        </w:rPr>
      </w:pPr>
      <w:r>
        <w:rPr>
          <w:lang w:val="en-US"/>
        </w:rPr>
        <w:t>2.4</w:t>
      </w:r>
      <w:r>
        <w:rPr>
          <w:lang w:val="en-US"/>
        </w:rPr>
        <w:tab/>
      </w:r>
      <w:r w:rsidRPr="00324DB7">
        <w:rPr>
          <w:lang w:val="en-US"/>
        </w:rPr>
        <w:t xml:space="preserve">Staff costs for the period have been adjusted downward to account for the reduced annual costs experienced due to </w:t>
      </w:r>
      <w:r w:rsidR="005F1EA1">
        <w:rPr>
          <w:lang w:val="en-US"/>
        </w:rPr>
        <w:t xml:space="preserve">the time taken to </w:t>
      </w:r>
      <w:r w:rsidR="00C060DA">
        <w:rPr>
          <w:lang w:val="en-US"/>
        </w:rPr>
        <w:t xml:space="preserve">fill </w:t>
      </w:r>
      <w:r w:rsidR="005F1EA1">
        <w:rPr>
          <w:lang w:val="en-US"/>
        </w:rPr>
        <w:t>current vacancies</w:t>
      </w:r>
      <w:r w:rsidRPr="00324DB7">
        <w:rPr>
          <w:lang w:val="en-US"/>
        </w:rPr>
        <w:t xml:space="preserve"> and </w:t>
      </w:r>
      <w:r w:rsidR="005F1EA1">
        <w:rPr>
          <w:lang w:val="en-US"/>
        </w:rPr>
        <w:t xml:space="preserve">anticipated </w:t>
      </w:r>
      <w:r w:rsidRPr="00324DB7">
        <w:rPr>
          <w:lang w:val="en-US"/>
        </w:rPr>
        <w:t xml:space="preserve">staff turnover, based on the </w:t>
      </w:r>
      <w:r w:rsidR="00CF5C7C">
        <w:rPr>
          <w:lang w:val="en-US"/>
        </w:rPr>
        <w:t xml:space="preserve">average </w:t>
      </w:r>
      <w:r w:rsidRPr="00324DB7">
        <w:rPr>
          <w:lang w:val="en-US"/>
        </w:rPr>
        <w:t>rates experienced in 2024. Additional reductions have been introduced to align the expenses as close</w:t>
      </w:r>
      <w:r w:rsidR="0011302A">
        <w:rPr>
          <w:lang w:val="en-US"/>
        </w:rPr>
        <w:t>ly</w:t>
      </w:r>
      <w:r w:rsidRPr="00324DB7">
        <w:rPr>
          <w:lang w:val="en-US"/>
        </w:rPr>
        <w:t xml:space="preserve"> as possible to the financial </w:t>
      </w:r>
      <w:r w:rsidR="001A3131" w:rsidRPr="00324DB7">
        <w:rPr>
          <w:lang w:val="en-US"/>
        </w:rPr>
        <w:t>plan,</w:t>
      </w:r>
      <w:r w:rsidR="00CF5C7C">
        <w:rPr>
          <w:lang w:val="en-US"/>
        </w:rPr>
        <w:t xml:space="preserve"> having regard to the priorities of the Bureau</w:t>
      </w:r>
      <w:r w:rsidR="00623E4D">
        <w:rPr>
          <w:lang w:val="en-US"/>
        </w:rPr>
        <w:t>x</w:t>
      </w:r>
      <w:r w:rsidR="00CF5C7C">
        <w:rPr>
          <w:lang w:val="en-US"/>
        </w:rPr>
        <w:t xml:space="preserve"> and General Secretariat</w:t>
      </w:r>
      <w:r w:rsidRPr="00324DB7">
        <w:rPr>
          <w:lang w:val="en-US"/>
        </w:rPr>
        <w:t>.</w:t>
      </w:r>
    </w:p>
    <w:p w14:paraId="6EBE594D" w14:textId="5D155BEA" w:rsidR="00324DB7" w:rsidRPr="00324DB7" w:rsidRDefault="00324DB7" w:rsidP="008D752A">
      <w:pPr>
        <w:spacing w:after="240"/>
        <w:jc w:val="both"/>
        <w:rPr>
          <w:b/>
          <w:bCs/>
          <w:color w:val="002060"/>
          <w:lang w:val="en-US"/>
        </w:rPr>
      </w:pPr>
      <w:r>
        <w:rPr>
          <w:b/>
          <w:bCs/>
          <w:color w:val="002060"/>
          <w:lang w:val="en-US"/>
        </w:rPr>
        <w:lastRenderedPageBreak/>
        <w:t>3</w:t>
      </w:r>
      <w:r w:rsidRPr="00324DB7">
        <w:rPr>
          <w:b/>
          <w:bCs/>
          <w:color w:val="002060"/>
          <w:lang w:val="en-US"/>
        </w:rPr>
        <w:tab/>
      </w:r>
      <w:r>
        <w:rPr>
          <w:b/>
          <w:bCs/>
          <w:color w:val="002060"/>
          <w:lang w:val="en-US"/>
        </w:rPr>
        <w:t>Appropriations by sector</w:t>
      </w:r>
    </w:p>
    <w:p w14:paraId="6F0D5D39" w14:textId="740313C4" w:rsidR="00324DB7" w:rsidRDefault="00324DB7" w:rsidP="008D752A">
      <w:pPr>
        <w:spacing w:before="0" w:after="240"/>
        <w:jc w:val="both"/>
        <w:rPr>
          <w:lang w:val="en-US"/>
        </w:rPr>
      </w:pPr>
      <w:r>
        <w:rPr>
          <w:lang w:val="en-US"/>
        </w:rPr>
        <w:t>3</w:t>
      </w:r>
      <w:r w:rsidRPr="00324DB7">
        <w:rPr>
          <w:lang w:val="en-US"/>
        </w:rPr>
        <w:t>.1</w:t>
      </w:r>
      <w:r w:rsidRPr="00324DB7">
        <w:rPr>
          <w:lang w:val="en-US"/>
        </w:rPr>
        <w:tab/>
        <w:t xml:space="preserve">This chapter gives </w:t>
      </w:r>
      <w:r w:rsidR="00397160">
        <w:rPr>
          <w:lang w:val="en-US"/>
        </w:rPr>
        <w:t xml:space="preserve">additional </w:t>
      </w:r>
      <w:r w:rsidRPr="00324DB7">
        <w:rPr>
          <w:lang w:val="en-US"/>
        </w:rPr>
        <w:t xml:space="preserve">information on the </w:t>
      </w:r>
      <w:r w:rsidR="00FF4D89">
        <w:rPr>
          <w:lang w:val="en-US"/>
        </w:rPr>
        <w:t>expense</w:t>
      </w:r>
      <w:r w:rsidRPr="00324DB7">
        <w:rPr>
          <w:lang w:val="en-US"/>
        </w:rPr>
        <w:t xml:space="preserve"> estimates for 20</w:t>
      </w:r>
      <w:r w:rsidR="001E1EC3">
        <w:rPr>
          <w:lang w:val="en-US"/>
        </w:rPr>
        <w:t>26</w:t>
      </w:r>
      <w:r w:rsidRPr="00324DB7">
        <w:rPr>
          <w:lang w:val="en-US"/>
        </w:rPr>
        <w:t>-20</w:t>
      </w:r>
      <w:r w:rsidR="001E1EC3">
        <w:rPr>
          <w:lang w:val="en-US"/>
        </w:rPr>
        <w:t>27</w:t>
      </w:r>
      <w:r w:rsidRPr="00324DB7">
        <w:rPr>
          <w:lang w:val="en-US"/>
        </w:rPr>
        <w:t xml:space="preserve">. The </w:t>
      </w:r>
      <w:r>
        <w:rPr>
          <w:lang w:val="en-US"/>
        </w:rPr>
        <w:t xml:space="preserve">expenses </w:t>
      </w:r>
      <w:r w:rsidRPr="00324DB7">
        <w:rPr>
          <w:lang w:val="en-US"/>
        </w:rPr>
        <w:t>budget presents the appropriations for 20</w:t>
      </w:r>
      <w:r>
        <w:rPr>
          <w:lang w:val="en-US"/>
        </w:rPr>
        <w:t>26</w:t>
      </w:r>
      <w:r w:rsidRPr="00324DB7">
        <w:rPr>
          <w:lang w:val="en-US"/>
        </w:rPr>
        <w:t>-20</w:t>
      </w:r>
      <w:r>
        <w:rPr>
          <w:lang w:val="en-US"/>
        </w:rPr>
        <w:t>27</w:t>
      </w:r>
      <w:r w:rsidRPr="00324DB7">
        <w:rPr>
          <w:lang w:val="en-US"/>
        </w:rPr>
        <w:t xml:space="preserve"> by section</w:t>
      </w:r>
      <w:r>
        <w:rPr>
          <w:lang w:val="en-US"/>
        </w:rPr>
        <w:t xml:space="preserve"> and sub-section</w:t>
      </w:r>
      <w:r w:rsidRPr="00324DB7">
        <w:rPr>
          <w:lang w:val="en-US"/>
        </w:rPr>
        <w:t>, as defined in Article 6 of the</w:t>
      </w:r>
      <w:r>
        <w:rPr>
          <w:lang w:val="en-US"/>
        </w:rPr>
        <w:t xml:space="preserve"> </w:t>
      </w:r>
      <w:r w:rsidR="00502FB4" w:rsidRPr="00324DB7">
        <w:rPr>
          <w:lang w:val="en-US"/>
        </w:rPr>
        <w:t>financial</w:t>
      </w:r>
      <w:r w:rsidRPr="00324DB7">
        <w:rPr>
          <w:lang w:val="en-US"/>
        </w:rPr>
        <w:t xml:space="preserve"> regulations, and by category </w:t>
      </w:r>
      <w:r w:rsidR="00502FB4">
        <w:rPr>
          <w:lang w:val="en-US"/>
        </w:rPr>
        <w:t xml:space="preserve">of expense </w:t>
      </w:r>
      <w:r w:rsidRPr="00324DB7">
        <w:rPr>
          <w:lang w:val="en-US"/>
        </w:rPr>
        <w:t>as per Financial Rule 6.1 (see the draft budget</w:t>
      </w:r>
      <w:r>
        <w:rPr>
          <w:lang w:val="en-US"/>
        </w:rPr>
        <w:t xml:space="preserve"> </w:t>
      </w:r>
      <w:r w:rsidRPr="00324DB7">
        <w:rPr>
          <w:lang w:val="en-US"/>
        </w:rPr>
        <w:t xml:space="preserve">Resolution in Annex </w:t>
      </w:r>
      <w:r>
        <w:rPr>
          <w:lang w:val="en-US"/>
        </w:rPr>
        <w:t>2</w:t>
      </w:r>
      <w:r w:rsidRPr="00324DB7">
        <w:rPr>
          <w:lang w:val="en-US"/>
        </w:rPr>
        <w:t>).</w:t>
      </w:r>
      <w:r w:rsidR="00CF5C7C">
        <w:rPr>
          <w:lang w:val="en-US"/>
        </w:rPr>
        <w:t xml:space="preserve"> During the 2026-2027 period, ITU will host world conferences within the General Secretariat (Plenipotentiary Conference 2026 and World Telecommunication Policy Forum 2026) and the Radiocommunication Sector (World Radiocommunication Conference 2027), resulting in relatively higher costs for those sectors as compared to the Telecommunication Standardization Sector and the Telecommunication Development Sector.</w:t>
      </w:r>
    </w:p>
    <w:p w14:paraId="5E2D3CD8" w14:textId="21CC357B" w:rsidR="00502FB4" w:rsidRDefault="00502FB4" w:rsidP="008D752A">
      <w:pPr>
        <w:spacing w:before="0" w:after="240"/>
        <w:jc w:val="both"/>
        <w:rPr>
          <w:lang w:val="en-US"/>
        </w:rPr>
      </w:pPr>
      <w:r>
        <w:rPr>
          <w:lang w:val="en-US"/>
        </w:rPr>
        <w:t>3.2</w:t>
      </w:r>
      <w:r>
        <w:rPr>
          <w:lang w:val="en-US"/>
        </w:rPr>
        <w:tab/>
      </w:r>
      <w:r w:rsidRPr="00502FB4">
        <w:rPr>
          <w:lang w:val="en-US"/>
        </w:rPr>
        <w:t xml:space="preserve">The </w:t>
      </w:r>
      <w:r>
        <w:rPr>
          <w:lang w:val="en-US"/>
        </w:rPr>
        <w:t>table</w:t>
      </w:r>
      <w:r w:rsidRPr="00502FB4">
        <w:rPr>
          <w:lang w:val="en-US"/>
        </w:rPr>
        <w:t xml:space="preserve"> below indicates the </w:t>
      </w:r>
      <w:r>
        <w:rPr>
          <w:lang w:val="en-US"/>
        </w:rPr>
        <w:t>expenses</w:t>
      </w:r>
      <w:r w:rsidRPr="00502FB4">
        <w:rPr>
          <w:lang w:val="en-US"/>
        </w:rPr>
        <w:t xml:space="preserve"> by </w:t>
      </w:r>
      <w:r w:rsidR="00623E4D">
        <w:rPr>
          <w:lang w:val="en-US"/>
        </w:rPr>
        <w:t>S</w:t>
      </w:r>
      <w:r w:rsidRPr="00502FB4">
        <w:rPr>
          <w:lang w:val="en-US"/>
        </w:rPr>
        <w:t>ector and compares the 20</w:t>
      </w:r>
      <w:r>
        <w:rPr>
          <w:lang w:val="en-US"/>
        </w:rPr>
        <w:t>26</w:t>
      </w:r>
      <w:r w:rsidRPr="00502FB4">
        <w:rPr>
          <w:lang w:val="en-US"/>
        </w:rPr>
        <w:t>-20</w:t>
      </w:r>
      <w:r>
        <w:rPr>
          <w:lang w:val="en-US"/>
        </w:rPr>
        <w:t>2</w:t>
      </w:r>
      <w:r w:rsidR="00626066">
        <w:rPr>
          <w:lang w:val="en-US"/>
        </w:rPr>
        <w:t xml:space="preserve">7 </w:t>
      </w:r>
      <w:r w:rsidRPr="00502FB4">
        <w:rPr>
          <w:lang w:val="en-US"/>
        </w:rPr>
        <w:t>estimates with the 20</w:t>
      </w:r>
      <w:r>
        <w:rPr>
          <w:lang w:val="en-US"/>
        </w:rPr>
        <w:t>24</w:t>
      </w:r>
      <w:r w:rsidRPr="00502FB4">
        <w:rPr>
          <w:lang w:val="en-US"/>
        </w:rPr>
        <w:t>-20</w:t>
      </w:r>
      <w:r>
        <w:rPr>
          <w:lang w:val="en-US"/>
        </w:rPr>
        <w:t>25</w:t>
      </w:r>
      <w:r w:rsidRPr="00502FB4">
        <w:rPr>
          <w:lang w:val="en-US"/>
        </w:rPr>
        <w:t xml:space="preserve"> budget </w:t>
      </w:r>
      <w:r w:rsidR="00DD5BDB">
        <w:rPr>
          <w:lang w:val="en-US"/>
        </w:rPr>
        <w:t>regarding</w:t>
      </w:r>
      <w:r w:rsidRPr="00502FB4">
        <w:rPr>
          <w:lang w:val="en-US"/>
        </w:rPr>
        <w:t xml:space="preserve"> </w:t>
      </w:r>
      <w:proofErr w:type="spellStart"/>
      <w:r>
        <w:rPr>
          <w:lang w:val="en-US"/>
        </w:rPr>
        <w:t>programme</w:t>
      </w:r>
      <w:proofErr w:type="spellEnd"/>
      <w:r>
        <w:rPr>
          <w:lang w:val="en-US"/>
        </w:rPr>
        <w:t xml:space="preserve"> variation</w:t>
      </w:r>
      <w:r w:rsidR="00397160">
        <w:rPr>
          <w:lang w:val="en-US"/>
        </w:rPr>
        <w:t>,</w:t>
      </w:r>
      <w:r w:rsidRPr="00502FB4">
        <w:rPr>
          <w:lang w:val="en-US"/>
        </w:rPr>
        <w:t xml:space="preserve"> </w:t>
      </w:r>
      <w:r w:rsidR="00397160" w:rsidRPr="00502FB4">
        <w:rPr>
          <w:lang w:val="en-US"/>
        </w:rPr>
        <w:t>cost increase</w:t>
      </w:r>
      <w:r w:rsidR="00397160">
        <w:rPr>
          <w:lang w:val="en-US"/>
        </w:rPr>
        <w:t xml:space="preserve"> </w:t>
      </w:r>
      <w:r w:rsidRPr="00502FB4">
        <w:rPr>
          <w:lang w:val="en-US"/>
        </w:rPr>
        <w:t>and</w:t>
      </w:r>
      <w:r>
        <w:rPr>
          <w:lang w:val="en-US"/>
        </w:rPr>
        <w:t xml:space="preserve"> </w:t>
      </w:r>
      <w:r w:rsidRPr="00502FB4">
        <w:rPr>
          <w:lang w:val="en-US"/>
        </w:rPr>
        <w:t>real growth values</w:t>
      </w:r>
      <w:r>
        <w:rPr>
          <w:lang w:val="en-US"/>
        </w:rPr>
        <w:t>.</w:t>
      </w:r>
    </w:p>
    <w:p w14:paraId="569C578A" w14:textId="3CEAFC9B" w:rsidR="00502FB4" w:rsidRDefault="00502FB4" w:rsidP="00502FB4">
      <w:pPr>
        <w:spacing w:before="0"/>
        <w:rPr>
          <w:lang w:val="en-US"/>
        </w:rPr>
      </w:pPr>
      <w:r w:rsidRPr="00502FB4">
        <w:rPr>
          <w:noProof/>
          <w:lang w:val="en-US"/>
        </w:rPr>
        <w:drawing>
          <wp:inline distT="0" distB="0" distL="0" distR="0" wp14:anchorId="1DE998F5" wp14:editId="79BC093D">
            <wp:extent cx="5760085" cy="1511935"/>
            <wp:effectExtent l="0" t="0" r="5715" b="0"/>
            <wp:docPr id="38963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35613" name=""/>
                    <pic:cNvPicPr/>
                  </pic:nvPicPr>
                  <pic:blipFill>
                    <a:blip r:embed="rId16"/>
                    <a:stretch>
                      <a:fillRect/>
                    </a:stretch>
                  </pic:blipFill>
                  <pic:spPr>
                    <a:xfrm>
                      <a:off x="0" y="0"/>
                      <a:ext cx="5760085" cy="1511935"/>
                    </a:xfrm>
                    <a:prstGeom prst="rect">
                      <a:avLst/>
                    </a:prstGeom>
                  </pic:spPr>
                </pic:pic>
              </a:graphicData>
            </a:graphic>
          </wp:inline>
        </w:drawing>
      </w:r>
    </w:p>
    <w:p w14:paraId="6736EE70" w14:textId="41FA1848" w:rsidR="00177AA2" w:rsidRDefault="00502FB4" w:rsidP="00BC5218">
      <w:pPr>
        <w:spacing w:before="360"/>
        <w:jc w:val="both"/>
        <w:rPr>
          <w:lang w:val="en-US"/>
        </w:rPr>
      </w:pPr>
      <w:r>
        <w:rPr>
          <w:lang w:val="en-US"/>
        </w:rPr>
        <w:t>3.3</w:t>
      </w:r>
      <w:r>
        <w:rPr>
          <w:lang w:val="en-US"/>
        </w:rPr>
        <w:tab/>
      </w:r>
      <w:r w:rsidRPr="00502FB4">
        <w:rPr>
          <w:lang w:val="en-US"/>
        </w:rPr>
        <w:t xml:space="preserve">The </w:t>
      </w:r>
      <w:r>
        <w:rPr>
          <w:lang w:val="en-US"/>
        </w:rPr>
        <w:t>chart</w:t>
      </w:r>
      <w:r w:rsidRPr="00502FB4">
        <w:rPr>
          <w:lang w:val="en-US"/>
        </w:rPr>
        <w:t xml:space="preserve"> below gives the breakdown by category of the estimates for</w:t>
      </w:r>
      <w:r w:rsidR="001E1EC3">
        <w:rPr>
          <w:lang w:val="en-US"/>
        </w:rPr>
        <w:t xml:space="preserve"> </w:t>
      </w:r>
      <w:r w:rsidRPr="00502FB4">
        <w:rPr>
          <w:lang w:val="en-US"/>
        </w:rPr>
        <w:t>20</w:t>
      </w:r>
      <w:r>
        <w:rPr>
          <w:lang w:val="en-US"/>
        </w:rPr>
        <w:t>26</w:t>
      </w:r>
      <w:r w:rsidRPr="00502FB4">
        <w:rPr>
          <w:lang w:val="en-US"/>
        </w:rPr>
        <w:t>-20</w:t>
      </w:r>
      <w:r>
        <w:rPr>
          <w:lang w:val="en-US"/>
        </w:rPr>
        <w:t>27</w:t>
      </w:r>
      <w:r w:rsidRPr="00502FB4">
        <w:rPr>
          <w:lang w:val="en-US"/>
        </w:rPr>
        <w:t>. Other costs include materials &amp; supplies, acquisition of premises, public &amp; internal</w:t>
      </w:r>
      <w:r>
        <w:rPr>
          <w:lang w:val="en-US"/>
        </w:rPr>
        <w:t xml:space="preserve"> </w:t>
      </w:r>
      <w:r w:rsidRPr="00502FB4">
        <w:rPr>
          <w:lang w:val="en-US"/>
        </w:rPr>
        <w:t>services, audit and inter-agency fees</w:t>
      </w:r>
      <w:r>
        <w:rPr>
          <w:lang w:val="en-US"/>
        </w:rPr>
        <w:t xml:space="preserve"> and miscellaneous expenses</w:t>
      </w:r>
      <w:r w:rsidRPr="00502FB4">
        <w:rPr>
          <w:lang w:val="en-US"/>
        </w:rPr>
        <w:t>.</w:t>
      </w:r>
      <w:r w:rsidR="00177AA2">
        <w:rPr>
          <w:lang w:val="en-US"/>
        </w:rPr>
        <w:t xml:space="preserve"> Staff and other staff costs account for more than 81.5% of </w:t>
      </w:r>
      <w:r w:rsidR="00DD5BDB">
        <w:rPr>
          <w:lang w:val="en-US"/>
        </w:rPr>
        <w:t xml:space="preserve">the </w:t>
      </w:r>
      <w:r w:rsidR="00177AA2">
        <w:rPr>
          <w:lang w:val="en-US"/>
        </w:rPr>
        <w:t>total budget.</w:t>
      </w:r>
    </w:p>
    <w:p w14:paraId="1A7C95C1" w14:textId="76B6DEF5" w:rsidR="00502FB4" w:rsidRDefault="00177AA2" w:rsidP="00177AA2">
      <w:pPr>
        <w:spacing w:before="0"/>
        <w:jc w:val="center"/>
        <w:rPr>
          <w:lang w:val="en-US"/>
        </w:rPr>
      </w:pPr>
      <w:r>
        <w:rPr>
          <w:noProof/>
        </w:rPr>
        <w:drawing>
          <wp:inline distT="0" distB="0" distL="0" distR="0" wp14:anchorId="609456B0" wp14:editId="5A311FEE">
            <wp:extent cx="3387287" cy="2748846"/>
            <wp:effectExtent l="0" t="0" r="0" b="0"/>
            <wp:docPr id="85325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53257" name=""/>
                    <pic:cNvPicPr/>
                  </pic:nvPicPr>
                  <pic:blipFill>
                    <a:blip r:embed="rId17"/>
                    <a:stretch>
                      <a:fillRect/>
                    </a:stretch>
                  </pic:blipFill>
                  <pic:spPr>
                    <a:xfrm>
                      <a:off x="0" y="0"/>
                      <a:ext cx="3414300" cy="2770768"/>
                    </a:xfrm>
                    <a:prstGeom prst="rect">
                      <a:avLst/>
                    </a:prstGeom>
                  </pic:spPr>
                </pic:pic>
              </a:graphicData>
            </a:graphic>
          </wp:inline>
        </w:drawing>
      </w:r>
    </w:p>
    <w:p w14:paraId="1BAD847D" w14:textId="2798B6C4" w:rsidR="00502FB4" w:rsidRDefault="00502FB4" w:rsidP="00177AA2">
      <w:pPr>
        <w:spacing w:before="0"/>
        <w:jc w:val="center"/>
        <w:rPr>
          <w:lang w:val="en-US"/>
        </w:rPr>
      </w:pPr>
    </w:p>
    <w:p w14:paraId="1B801C58" w14:textId="4DE49393" w:rsidR="00177AA2" w:rsidRDefault="00177AA2" w:rsidP="008D752A">
      <w:pPr>
        <w:spacing w:before="0" w:after="240"/>
        <w:jc w:val="both"/>
        <w:rPr>
          <w:lang w:val="en-US"/>
        </w:rPr>
      </w:pPr>
      <w:r>
        <w:rPr>
          <w:lang w:val="en-US"/>
        </w:rPr>
        <w:t>3.4</w:t>
      </w:r>
      <w:r>
        <w:rPr>
          <w:lang w:val="en-US"/>
        </w:rPr>
        <w:tab/>
      </w:r>
      <w:r w:rsidRPr="00177AA2">
        <w:rPr>
          <w:lang w:val="en-US"/>
        </w:rPr>
        <w:t xml:space="preserve">The </w:t>
      </w:r>
      <w:r w:rsidR="00FF4D89">
        <w:rPr>
          <w:lang w:val="en-US"/>
        </w:rPr>
        <w:t>expense</w:t>
      </w:r>
      <w:r w:rsidRPr="00177AA2">
        <w:rPr>
          <w:lang w:val="en-US"/>
        </w:rPr>
        <w:t xml:space="preserve"> estimates are based on 1 January 20</w:t>
      </w:r>
      <w:r>
        <w:rPr>
          <w:lang w:val="en-US"/>
        </w:rPr>
        <w:t>25</w:t>
      </w:r>
      <w:r w:rsidRPr="00177AA2">
        <w:rPr>
          <w:lang w:val="en-US"/>
        </w:rPr>
        <w:t xml:space="preserve"> real</w:t>
      </w:r>
      <w:r w:rsidR="00DD5BDB">
        <w:rPr>
          <w:lang w:val="en-US"/>
        </w:rPr>
        <w:t>-</w:t>
      </w:r>
      <w:r w:rsidRPr="00177AA2">
        <w:rPr>
          <w:lang w:val="en-US"/>
        </w:rPr>
        <w:t>term values. The</w:t>
      </w:r>
      <w:r w:rsidR="00EF799F">
        <w:rPr>
          <w:lang w:val="en-US"/>
        </w:rPr>
        <w:t xml:space="preserve"> </w:t>
      </w:r>
      <w:r w:rsidRPr="00177AA2">
        <w:rPr>
          <w:lang w:val="en-US"/>
        </w:rPr>
        <w:t>conditions of service are those prevailing in the United Nations common system on</w:t>
      </w:r>
      <w:r w:rsidR="00EF799F">
        <w:rPr>
          <w:lang w:val="en-US"/>
        </w:rPr>
        <w:t xml:space="preserve"> </w:t>
      </w:r>
      <w:r w:rsidRPr="00177AA2">
        <w:rPr>
          <w:lang w:val="en-US"/>
        </w:rPr>
        <w:t>1 January 20</w:t>
      </w:r>
      <w:r>
        <w:rPr>
          <w:lang w:val="en-US"/>
        </w:rPr>
        <w:t>25</w:t>
      </w:r>
      <w:r w:rsidR="00691CDB">
        <w:rPr>
          <w:lang w:val="en-US"/>
        </w:rPr>
        <w:t>.</w:t>
      </w:r>
    </w:p>
    <w:p w14:paraId="23D62754" w14:textId="407EC218" w:rsidR="00C67DED" w:rsidRPr="00177AA2" w:rsidRDefault="00177AA2" w:rsidP="008D752A">
      <w:pPr>
        <w:spacing w:before="0" w:after="240"/>
        <w:jc w:val="both"/>
        <w:rPr>
          <w:lang w:val="en-US"/>
        </w:rPr>
      </w:pPr>
      <w:r>
        <w:rPr>
          <w:lang w:val="en-US"/>
        </w:rPr>
        <w:lastRenderedPageBreak/>
        <w:t>3.5</w:t>
      </w:r>
      <w:r>
        <w:rPr>
          <w:lang w:val="en-US"/>
        </w:rPr>
        <w:tab/>
      </w:r>
      <w:r w:rsidRPr="00177AA2">
        <w:rPr>
          <w:lang w:val="en-US"/>
        </w:rPr>
        <w:t>The cost increase between 1</w:t>
      </w:r>
      <w:r w:rsidR="00BC5218">
        <w:rPr>
          <w:lang w:val="en-US"/>
        </w:rPr>
        <w:t> </w:t>
      </w:r>
      <w:r w:rsidRPr="00177AA2">
        <w:rPr>
          <w:lang w:val="en-US"/>
        </w:rPr>
        <w:t>January</w:t>
      </w:r>
      <w:r w:rsidR="00BC5218">
        <w:rPr>
          <w:lang w:val="en-US"/>
        </w:rPr>
        <w:t> </w:t>
      </w:r>
      <w:r w:rsidRPr="00177AA2">
        <w:rPr>
          <w:lang w:val="en-US"/>
        </w:rPr>
        <w:t>20</w:t>
      </w:r>
      <w:r>
        <w:rPr>
          <w:lang w:val="en-US"/>
        </w:rPr>
        <w:t>23 (</w:t>
      </w:r>
      <w:r w:rsidR="00EA526B">
        <w:rPr>
          <w:lang w:val="en-US"/>
        </w:rPr>
        <w:t xml:space="preserve">the </w:t>
      </w:r>
      <w:r>
        <w:rPr>
          <w:lang w:val="en-US"/>
        </w:rPr>
        <w:t>basis for the 2024-2025 budget)</w:t>
      </w:r>
      <w:r w:rsidRPr="00177AA2">
        <w:rPr>
          <w:lang w:val="en-US"/>
        </w:rPr>
        <w:t xml:space="preserve"> and 1</w:t>
      </w:r>
      <w:r w:rsidR="00BC5218">
        <w:rPr>
          <w:lang w:val="en-US"/>
        </w:rPr>
        <w:t> </w:t>
      </w:r>
      <w:r w:rsidRPr="00177AA2">
        <w:rPr>
          <w:lang w:val="en-US"/>
        </w:rPr>
        <w:t>January 20</w:t>
      </w:r>
      <w:r>
        <w:rPr>
          <w:lang w:val="en-US"/>
        </w:rPr>
        <w:t>25</w:t>
      </w:r>
      <w:r w:rsidRPr="00177AA2">
        <w:rPr>
          <w:lang w:val="en-US"/>
        </w:rPr>
        <w:t>, estimated at</w:t>
      </w:r>
      <w:r>
        <w:rPr>
          <w:lang w:val="en-US"/>
        </w:rPr>
        <w:t xml:space="preserve"> M</w:t>
      </w:r>
      <w:r w:rsidRPr="00177AA2">
        <w:rPr>
          <w:lang w:val="en-US"/>
        </w:rPr>
        <w:t>CHF</w:t>
      </w:r>
      <w:r w:rsidR="00BC5218">
        <w:rPr>
          <w:lang w:val="en-US"/>
        </w:rPr>
        <w:t> </w:t>
      </w:r>
      <w:r w:rsidRPr="00177AA2">
        <w:rPr>
          <w:lang w:val="en-US"/>
        </w:rPr>
        <w:t>7.</w:t>
      </w:r>
      <w:r>
        <w:rPr>
          <w:lang w:val="en-US"/>
        </w:rPr>
        <w:t>35</w:t>
      </w:r>
      <w:r w:rsidRPr="00177AA2">
        <w:rPr>
          <w:lang w:val="en-US"/>
        </w:rPr>
        <w:t xml:space="preserve"> results mainly from the following:</w:t>
      </w:r>
    </w:p>
    <w:p w14:paraId="0C9F3C02" w14:textId="679363DC" w:rsidR="00177AA2" w:rsidRPr="00177AA2" w:rsidRDefault="00177AA2" w:rsidP="00BC5218">
      <w:pPr>
        <w:pStyle w:val="ListParagraph"/>
        <w:numPr>
          <w:ilvl w:val="0"/>
          <w:numId w:val="6"/>
        </w:numPr>
        <w:spacing w:before="0" w:after="120"/>
        <w:ind w:left="567" w:hanging="210"/>
        <w:contextualSpacing w:val="0"/>
        <w:jc w:val="both"/>
        <w:rPr>
          <w:lang w:val="en-US"/>
        </w:rPr>
      </w:pPr>
      <w:r w:rsidRPr="00177AA2">
        <w:rPr>
          <w:lang w:val="en-US"/>
        </w:rPr>
        <w:t xml:space="preserve">Increase of </w:t>
      </w:r>
      <w:r w:rsidR="00C67DED">
        <w:rPr>
          <w:lang w:val="en-US"/>
        </w:rPr>
        <w:t xml:space="preserve">3.01% </w:t>
      </w:r>
      <w:r w:rsidR="00EA526B">
        <w:rPr>
          <w:lang w:val="en-US"/>
        </w:rPr>
        <w:t xml:space="preserve">in </w:t>
      </w:r>
      <w:r w:rsidRPr="00177AA2">
        <w:rPr>
          <w:lang w:val="en-US"/>
        </w:rPr>
        <w:t xml:space="preserve">the staff </w:t>
      </w:r>
      <w:r>
        <w:rPr>
          <w:lang w:val="en-US"/>
        </w:rPr>
        <w:t xml:space="preserve">and other staff </w:t>
      </w:r>
      <w:r w:rsidRPr="00177AA2">
        <w:rPr>
          <w:lang w:val="en-US"/>
        </w:rPr>
        <w:t>costs for professional and higher categories of</w:t>
      </w:r>
      <w:r>
        <w:rPr>
          <w:lang w:val="en-US"/>
        </w:rPr>
        <w:t xml:space="preserve"> </w:t>
      </w:r>
      <w:r w:rsidR="00C67DED">
        <w:rPr>
          <w:lang w:val="en-US"/>
        </w:rPr>
        <w:t>staff</w:t>
      </w:r>
      <w:r w:rsidR="00A706FF">
        <w:rPr>
          <w:lang w:val="en-US"/>
        </w:rPr>
        <w:t>.</w:t>
      </w:r>
    </w:p>
    <w:p w14:paraId="53CDC3A9" w14:textId="4C563C74" w:rsidR="00177AA2" w:rsidRPr="00177AA2" w:rsidRDefault="00177AA2" w:rsidP="00BC5218">
      <w:pPr>
        <w:pStyle w:val="ListParagraph"/>
        <w:numPr>
          <w:ilvl w:val="0"/>
          <w:numId w:val="6"/>
        </w:numPr>
        <w:spacing w:before="0" w:after="120"/>
        <w:ind w:left="567" w:hanging="210"/>
        <w:contextualSpacing w:val="0"/>
        <w:jc w:val="both"/>
        <w:rPr>
          <w:lang w:val="en-US"/>
        </w:rPr>
      </w:pPr>
      <w:r w:rsidRPr="00177AA2">
        <w:rPr>
          <w:lang w:val="en-US"/>
        </w:rPr>
        <w:t xml:space="preserve">Increase of </w:t>
      </w:r>
      <w:r w:rsidR="00C67DED">
        <w:rPr>
          <w:lang w:val="en-US"/>
        </w:rPr>
        <w:t>1.92% of</w:t>
      </w:r>
      <w:r w:rsidRPr="00177AA2">
        <w:rPr>
          <w:lang w:val="en-US"/>
        </w:rPr>
        <w:t xml:space="preserve"> the </w:t>
      </w:r>
      <w:r>
        <w:rPr>
          <w:lang w:val="en-US"/>
        </w:rPr>
        <w:t>staff and other staff costs</w:t>
      </w:r>
      <w:r w:rsidRPr="00177AA2">
        <w:rPr>
          <w:lang w:val="en-US"/>
        </w:rPr>
        <w:t xml:space="preserve"> for </w:t>
      </w:r>
      <w:r w:rsidR="00EA526B">
        <w:rPr>
          <w:lang w:val="en-US"/>
        </w:rPr>
        <w:t xml:space="preserve">the </w:t>
      </w:r>
      <w:r w:rsidRPr="00177AA2">
        <w:rPr>
          <w:lang w:val="en-US"/>
        </w:rPr>
        <w:t xml:space="preserve">General Service </w:t>
      </w:r>
      <w:r w:rsidR="00C67DED">
        <w:rPr>
          <w:lang w:val="en-US"/>
        </w:rPr>
        <w:t>category</w:t>
      </w:r>
      <w:r w:rsidR="00A706FF">
        <w:rPr>
          <w:lang w:val="en-US"/>
        </w:rPr>
        <w:t>.</w:t>
      </w:r>
    </w:p>
    <w:p w14:paraId="2686A4FA" w14:textId="13181003" w:rsidR="00177AA2" w:rsidRPr="00177AA2" w:rsidRDefault="00C36712" w:rsidP="008D752A">
      <w:pPr>
        <w:pStyle w:val="ListParagraph"/>
        <w:numPr>
          <w:ilvl w:val="0"/>
          <w:numId w:val="6"/>
        </w:numPr>
        <w:spacing w:after="240"/>
        <w:contextualSpacing w:val="0"/>
        <w:jc w:val="both"/>
        <w:rPr>
          <w:lang w:val="en-US"/>
        </w:rPr>
      </w:pPr>
      <w:r>
        <w:rPr>
          <w:lang w:val="en-US"/>
        </w:rPr>
        <w:t>The i</w:t>
      </w:r>
      <w:r w:rsidR="00177AA2" w:rsidRPr="00177AA2">
        <w:rPr>
          <w:lang w:val="en-US"/>
        </w:rPr>
        <w:t xml:space="preserve">nflation rate </w:t>
      </w:r>
      <w:r w:rsidR="003E0423">
        <w:rPr>
          <w:lang w:val="en-US"/>
        </w:rPr>
        <w:t xml:space="preserve">for the timeframe </w:t>
      </w:r>
      <w:r w:rsidR="00820242">
        <w:rPr>
          <w:lang w:val="en-US"/>
        </w:rPr>
        <w:t>from</w:t>
      </w:r>
      <w:r w:rsidR="00C67DED">
        <w:rPr>
          <w:lang w:val="en-US"/>
        </w:rPr>
        <w:t xml:space="preserve"> January 2023 to January 2025 </w:t>
      </w:r>
      <w:r w:rsidR="00274A9A">
        <w:rPr>
          <w:lang w:val="en-US"/>
        </w:rPr>
        <w:t>w</w:t>
      </w:r>
      <w:r>
        <w:rPr>
          <w:lang w:val="en-US"/>
        </w:rPr>
        <w:t>as</w:t>
      </w:r>
      <w:r w:rsidR="00820242" w:rsidRPr="00177AA2">
        <w:rPr>
          <w:lang w:val="en-US"/>
        </w:rPr>
        <w:t xml:space="preserve"> 1.</w:t>
      </w:r>
      <w:r w:rsidR="00820242">
        <w:rPr>
          <w:lang w:val="en-US"/>
        </w:rPr>
        <w:t>2</w:t>
      </w:r>
      <w:r w:rsidR="00820242" w:rsidRPr="00177AA2">
        <w:rPr>
          <w:lang w:val="en-US"/>
        </w:rPr>
        <w:t>%</w:t>
      </w:r>
      <w:r w:rsidR="00A706FF">
        <w:rPr>
          <w:lang w:val="en-US"/>
        </w:rPr>
        <w:t>.</w:t>
      </w:r>
    </w:p>
    <w:p w14:paraId="73830252" w14:textId="56AB686C" w:rsidR="00177AA2" w:rsidRDefault="00C67DED" w:rsidP="008D752A">
      <w:pPr>
        <w:spacing w:before="0" w:after="240"/>
        <w:jc w:val="both"/>
        <w:rPr>
          <w:lang w:val="en-US"/>
        </w:rPr>
      </w:pPr>
      <w:r w:rsidRPr="00C67DED">
        <w:rPr>
          <w:lang w:val="en-US"/>
        </w:rPr>
        <w:t>3.</w:t>
      </w:r>
      <w:r>
        <w:rPr>
          <w:lang w:val="en-US"/>
        </w:rPr>
        <w:t>6</w:t>
      </w:r>
      <w:r w:rsidRPr="00C67DED">
        <w:rPr>
          <w:lang w:val="en-US"/>
        </w:rPr>
        <w:tab/>
      </w:r>
      <w:r w:rsidR="00C36712">
        <w:rPr>
          <w:lang w:val="en-US"/>
        </w:rPr>
        <w:t>T</w:t>
      </w:r>
      <w:r w:rsidRPr="00C67DED">
        <w:rPr>
          <w:lang w:val="en-US"/>
        </w:rPr>
        <w:t>o deliver the services requested by the membership and implement the</w:t>
      </w:r>
      <w:r w:rsidR="00EF799F">
        <w:rPr>
          <w:lang w:val="en-US"/>
        </w:rPr>
        <w:t xml:space="preserve"> </w:t>
      </w:r>
      <w:r>
        <w:rPr>
          <w:lang w:val="en-US"/>
        </w:rPr>
        <w:t xml:space="preserve">Strategic Plan </w:t>
      </w:r>
      <w:r w:rsidRPr="00C67DED">
        <w:rPr>
          <w:lang w:val="en-US"/>
        </w:rPr>
        <w:t>(</w:t>
      </w:r>
      <w:r>
        <w:rPr>
          <w:lang w:val="en-US"/>
        </w:rPr>
        <w:t>Bucharest</w:t>
      </w:r>
      <w:r w:rsidRPr="00C67DED">
        <w:rPr>
          <w:lang w:val="en-US"/>
        </w:rPr>
        <w:t>, 20</w:t>
      </w:r>
      <w:r>
        <w:rPr>
          <w:lang w:val="en-US"/>
        </w:rPr>
        <w:t>22</w:t>
      </w:r>
      <w:r w:rsidRPr="00C67DED">
        <w:rPr>
          <w:lang w:val="en-US"/>
        </w:rPr>
        <w:t>)</w:t>
      </w:r>
      <w:r>
        <w:rPr>
          <w:lang w:val="en-US"/>
        </w:rPr>
        <w:t xml:space="preserve"> and the major conferences of the Union</w:t>
      </w:r>
      <w:r w:rsidRPr="00C67DED">
        <w:rPr>
          <w:lang w:val="en-US"/>
        </w:rPr>
        <w:t xml:space="preserve">, the work </w:t>
      </w:r>
      <w:proofErr w:type="spellStart"/>
      <w:r w:rsidRPr="00C67DED">
        <w:rPr>
          <w:lang w:val="en-US"/>
        </w:rPr>
        <w:t>programme</w:t>
      </w:r>
      <w:proofErr w:type="spellEnd"/>
      <w:r w:rsidRPr="00C67DED">
        <w:rPr>
          <w:lang w:val="en-US"/>
        </w:rPr>
        <w:t xml:space="preserve"> to be</w:t>
      </w:r>
      <w:r>
        <w:rPr>
          <w:lang w:val="en-US"/>
        </w:rPr>
        <w:t xml:space="preserve"> </w:t>
      </w:r>
      <w:r w:rsidRPr="00C67DED">
        <w:rPr>
          <w:lang w:val="en-US"/>
        </w:rPr>
        <w:t>carried out in 20</w:t>
      </w:r>
      <w:r>
        <w:rPr>
          <w:lang w:val="en-US"/>
        </w:rPr>
        <w:t>26</w:t>
      </w:r>
      <w:r w:rsidRPr="00C67DED">
        <w:rPr>
          <w:lang w:val="en-US"/>
        </w:rPr>
        <w:t>-20</w:t>
      </w:r>
      <w:r>
        <w:rPr>
          <w:lang w:val="en-US"/>
        </w:rPr>
        <w:t>27</w:t>
      </w:r>
      <w:r w:rsidRPr="00C67DED">
        <w:rPr>
          <w:lang w:val="en-US"/>
        </w:rPr>
        <w:t xml:space="preserve"> is estimated at a net </w:t>
      </w:r>
      <w:r>
        <w:rPr>
          <w:lang w:val="en-US"/>
        </w:rPr>
        <w:t>increase</w:t>
      </w:r>
      <w:r w:rsidRPr="00C67DED">
        <w:rPr>
          <w:lang w:val="en-US"/>
        </w:rPr>
        <w:t xml:space="preserve"> of </w:t>
      </w:r>
      <w:r>
        <w:rPr>
          <w:lang w:val="en-US"/>
        </w:rPr>
        <w:t>M</w:t>
      </w:r>
      <w:r w:rsidRPr="00C67DED">
        <w:rPr>
          <w:lang w:val="en-US"/>
        </w:rPr>
        <w:t>CHF</w:t>
      </w:r>
      <w:r w:rsidR="00BC5218">
        <w:rPr>
          <w:lang w:val="en-US"/>
        </w:rPr>
        <w:t> </w:t>
      </w:r>
      <w:r w:rsidRPr="00C67DED">
        <w:rPr>
          <w:lang w:val="en-US"/>
        </w:rPr>
        <w:t>5.</w:t>
      </w:r>
      <w:r>
        <w:rPr>
          <w:lang w:val="en-US"/>
        </w:rPr>
        <w:t>6</w:t>
      </w:r>
      <w:r w:rsidRPr="00C67DED">
        <w:rPr>
          <w:lang w:val="en-US"/>
        </w:rPr>
        <w:t>, i.e. 1.</w:t>
      </w:r>
      <w:r>
        <w:rPr>
          <w:lang w:val="en-US"/>
        </w:rPr>
        <w:t>7</w:t>
      </w:r>
      <w:r w:rsidRPr="00C67DED">
        <w:rPr>
          <w:lang w:val="en-US"/>
        </w:rPr>
        <w:t>% of the</w:t>
      </w:r>
      <w:r>
        <w:rPr>
          <w:lang w:val="en-US"/>
        </w:rPr>
        <w:t xml:space="preserve"> </w:t>
      </w:r>
      <w:r w:rsidRPr="00C67DED">
        <w:rPr>
          <w:lang w:val="en-US"/>
        </w:rPr>
        <w:t>20</w:t>
      </w:r>
      <w:r>
        <w:rPr>
          <w:lang w:val="en-US"/>
        </w:rPr>
        <w:t>24</w:t>
      </w:r>
      <w:r w:rsidRPr="00C67DED">
        <w:rPr>
          <w:lang w:val="en-US"/>
        </w:rPr>
        <w:t>-20</w:t>
      </w:r>
      <w:r>
        <w:rPr>
          <w:lang w:val="en-US"/>
        </w:rPr>
        <w:t>25</w:t>
      </w:r>
      <w:r w:rsidRPr="00C67DED">
        <w:rPr>
          <w:lang w:val="en-US"/>
        </w:rPr>
        <w:t xml:space="preserve"> budget. The </w:t>
      </w:r>
      <w:r>
        <w:rPr>
          <w:lang w:val="en-US"/>
        </w:rPr>
        <w:t xml:space="preserve">main components of </w:t>
      </w:r>
      <w:proofErr w:type="spellStart"/>
      <w:r w:rsidRPr="00C67DED">
        <w:rPr>
          <w:lang w:val="en-US"/>
        </w:rPr>
        <w:t>programme</w:t>
      </w:r>
      <w:proofErr w:type="spellEnd"/>
      <w:r w:rsidRPr="00C67DED">
        <w:rPr>
          <w:lang w:val="en-US"/>
        </w:rPr>
        <w:t xml:space="preserve"> variation between 20</w:t>
      </w:r>
      <w:r>
        <w:rPr>
          <w:lang w:val="en-US"/>
        </w:rPr>
        <w:t>26</w:t>
      </w:r>
      <w:r w:rsidRPr="00C67DED">
        <w:rPr>
          <w:lang w:val="en-US"/>
        </w:rPr>
        <w:t>-20</w:t>
      </w:r>
      <w:r>
        <w:rPr>
          <w:lang w:val="en-US"/>
        </w:rPr>
        <w:t>27</w:t>
      </w:r>
      <w:r w:rsidRPr="00C67DED">
        <w:rPr>
          <w:lang w:val="en-US"/>
        </w:rPr>
        <w:t xml:space="preserve"> and 20</w:t>
      </w:r>
      <w:r>
        <w:rPr>
          <w:lang w:val="en-US"/>
        </w:rPr>
        <w:t>24</w:t>
      </w:r>
      <w:r w:rsidRPr="00C67DED">
        <w:rPr>
          <w:lang w:val="en-US"/>
        </w:rPr>
        <w:t>-20</w:t>
      </w:r>
      <w:r>
        <w:rPr>
          <w:lang w:val="en-US"/>
        </w:rPr>
        <w:t>25</w:t>
      </w:r>
      <w:r w:rsidRPr="00C67DED">
        <w:rPr>
          <w:lang w:val="en-US"/>
        </w:rPr>
        <w:t xml:space="preserve"> </w:t>
      </w:r>
      <w:r>
        <w:rPr>
          <w:lang w:val="en-US"/>
        </w:rPr>
        <w:t>are</w:t>
      </w:r>
      <w:r w:rsidRPr="00C67DED">
        <w:rPr>
          <w:lang w:val="en-US"/>
        </w:rPr>
        <w:t xml:space="preserve"> as follows:</w:t>
      </w:r>
    </w:p>
    <w:p w14:paraId="5F03624E" w14:textId="2BA422CF" w:rsidR="00177AA2" w:rsidRDefault="325A0E7A" w:rsidP="00C67DED">
      <w:pPr>
        <w:spacing w:before="0"/>
        <w:jc w:val="center"/>
        <w:rPr>
          <w:lang w:val="en-US"/>
        </w:rPr>
      </w:pPr>
      <w:r>
        <w:rPr>
          <w:noProof/>
        </w:rPr>
        <w:drawing>
          <wp:inline distT="0" distB="0" distL="0" distR="0" wp14:anchorId="65C7A742" wp14:editId="39CA4E73">
            <wp:extent cx="5760085" cy="3268345"/>
            <wp:effectExtent l="0" t="0" r="5715" b="0"/>
            <wp:docPr id="177772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60085" cy="3268345"/>
                    </a:xfrm>
                    <a:prstGeom prst="rect">
                      <a:avLst/>
                    </a:prstGeom>
                  </pic:spPr>
                </pic:pic>
              </a:graphicData>
            </a:graphic>
          </wp:inline>
        </w:drawing>
      </w:r>
    </w:p>
    <w:p w14:paraId="692112C1" w14:textId="2205AF5C" w:rsidR="00C67DED" w:rsidRDefault="006427CE" w:rsidP="00BC5218">
      <w:pPr>
        <w:spacing w:before="360"/>
        <w:jc w:val="both"/>
        <w:rPr>
          <w:lang w:val="en-US"/>
        </w:rPr>
      </w:pPr>
      <w:r>
        <w:rPr>
          <w:lang w:val="en-US"/>
        </w:rPr>
        <w:t>3.7</w:t>
      </w:r>
      <w:r>
        <w:rPr>
          <w:lang w:val="en-US"/>
        </w:rPr>
        <w:tab/>
        <w:t xml:space="preserve">The </w:t>
      </w:r>
      <w:r w:rsidR="00DC4DE4">
        <w:rPr>
          <w:lang w:val="en-US"/>
        </w:rPr>
        <w:t>“</w:t>
      </w:r>
      <w:r w:rsidR="002727FC">
        <w:rPr>
          <w:lang w:val="en-US"/>
        </w:rPr>
        <w:t>real growth</w:t>
      </w:r>
      <w:r w:rsidR="00DC4DE4">
        <w:rPr>
          <w:lang w:val="en-US"/>
        </w:rPr>
        <w:t>” in</w:t>
      </w:r>
      <w:r w:rsidR="002727FC">
        <w:rPr>
          <w:lang w:val="en-US"/>
        </w:rPr>
        <w:t xml:space="preserve"> the budget between 2024-2025, and </w:t>
      </w:r>
      <w:r w:rsidR="00DC4DE4">
        <w:rPr>
          <w:lang w:val="en-US"/>
        </w:rPr>
        <w:t xml:space="preserve">the draft budget </w:t>
      </w:r>
      <w:r w:rsidR="002727FC">
        <w:rPr>
          <w:lang w:val="en-US"/>
        </w:rPr>
        <w:t>2026-2027 periods is negative and stands at MCHF at -8.7 or -2.66%</w:t>
      </w:r>
      <w:r>
        <w:rPr>
          <w:lang w:val="en-US"/>
        </w:rPr>
        <w:t>. This</w:t>
      </w:r>
      <w:r w:rsidR="00284D70">
        <w:rPr>
          <w:lang w:val="en-US"/>
        </w:rPr>
        <w:t xml:space="preserve"> </w:t>
      </w:r>
      <w:r w:rsidR="00F830A2">
        <w:rPr>
          <w:lang w:val="en-US"/>
        </w:rPr>
        <w:t>reduction</w:t>
      </w:r>
      <w:r>
        <w:rPr>
          <w:lang w:val="en-US"/>
        </w:rPr>
        <w:t xml:space="preserve"> is </w:t>
      </w:r>
      <w:r w:rsidR="00691CDB">
        <w:rPr>
          <w:lang w:val="en-US"/>
        </w:rPr>
        <w:t xml:space="preserve">the result of various </w:t>
      </w:r>
      <w:r>
        <w:rPr>
          <w:lang w:val="en-US"/>
        </w:rPr>
        <w:t>efficiency</w:t>
      </w:r>
      <w:r w:rsidR="00DC4DE4">
        <w:rPr>
          <w:lang w:val="en-US"/>
        </w:rPr>
        <w:t xml:space="preserve"> </w:t>
      </w:r>
      <w:r>
        <w:rPr>
          <w:lang w:val="en-US"/>
        </w:rPr>
        <w:t>measures that have been introduced</w:t>
      </w:r>
      <w:r w:rsidR="00691CDB">
        <w:rPr>
          <w:lang w:val="en-US"/>
        </w:rPr>
        <w:t>, including</w:t>
      </w:r>
      <w:r>
        <w:rPr>
          <w:lang w:val="en-US"/>
        </w:rPr>
        <w:t>:</w:t>
      </w:r>
    </w:p>
    <w:p w14:paraId="7BF0FD20" w14:textId="2D552D9E" w:rsidR="006427CE" w:rsidRPr="00280D9B" w:rsidRDefault="006427CE" w:rsidP="008D752A">
      <w:pPr>
        <w:pStyle w:val="enumlev2"/>
        <w:jc w:val="both"/>
      </w:pPr>
      <w:r>
        <w:t>a)</w:t>
      </w:r>
      <w:r>
        <w:tab/>
        <w:t>B</w:t>
      </w:r>
      <w:r w:rsidRPr="00280D9B">
        <w:t>uilding energy efficiency measures</w:t>
      </w:r>
      <w:r>
        <w:t>.</w:t>
      </w:r>
    </w:p>
    <w:p w14:paraId="672BAD08" w14:textId="45970184" w:rsidR="006427CE" w:rsidRPr="00280D9B" w:rsidRDefault="006427CE" w:rsidP="008D752A">
      <w:pPr>
        <w:pStyle w:val="enumlev2"/>
        <w:jc w:val="both"/>
      </w:pPr>
      <w:r w:rsidRPr="00280D9B">
        <w:t>b</w:t>
      </w:r>
      <w:r>
        <w:t>)</w:t>
      </w:r>
      <w:r w:rsidRPr="00280D9B">
        <w:tab/>
      </w:r>
      <w:r>
        <w:t>E</w:t>
      </w:r>
      <w:r w:rsidRPr="00280D9B">
        <w:t>xpanded use of available UN system efficiency measures (e.g. CBO services)</w:t>
      </w:r>
      <w:r>
        <w:t>.</w:t>
      </w:r>
    </w:p>
    <w:p w14:paraId="119A0837" w14:textId="1DDEACD4" w:rsidR="006427CE" w:rsidRPr="00280D9B" w:rsidRDefault="006427CE" w:rsidP="008D752A">
      <w:pPr>
        <w:pStyle w:val="enumlev2"/>
        <w:jc w:val="both"/>
      </w:pPr>
      <w:r w:rsidRPr="00280D9B">
        <w:t>c</w:t>
      </w:r>
      <w:r>
        <w:t>)</w:t>
      </w:r>
      <w:r w:rsidRPr="00280D9B">
        <w:tab/>
      </w:r>
      <w:r>
        <w:t>T</w:t>
      </w:r>
      <w:r w:rsidRPr="00280D9B">
        <w:t>ravel cost reduction through effective planning and management</w:t>
      </w:r>
      <w:r>
        <w:t>.</w:t>
      </w:r>
    </w:p>
    <w:p w14:paraId="5D39E691" w14:textId="4F04B1AB" w:rsidR="006427CE" w:rsidRDefault="006427CE" w:rsidP="008D752A">
      <w:pPr>
        <w:pStyle w:val="enumlev2"/>
        <w:jc w:val="both"/>
      </w:pPr>
      <w:r w:rsidRPr="00280D9B">
        <w:t>d</w:t>
      </w:r>
      <w:r>
        <w:t>)</w:t>
      </w:r>
      <w:r w:rsidRPr="00280D9B">
        <w:tab/>
      </w:r>
      <w:r>
        <w:t>E</w:t>
      </w:r>
      <w:r w:rsidRPr="00280D9B">
        <w:t xml:space="preserve">fficiencies anticipated </w:t>
      </w:r>
      <w:proofErr w:type="gramStart"/>
      <w:r w:rsidR="00691CDB">
        <w:t>as a result</w:t>
      </w:r>
      <w:r w:rsidR="00691CDB" w:rsidRPr="00280D9B">
        <w:t xml:space="preserve"> </w:t>
      </w:r>
      <w:r w:rsidRPr="00280D9B">
        <w:t>of</w:t>
      </w:r>
      <w:proofErr w:type="gramEnd"/>
      <w:r w:rsidRPr="00280D9B">
        <w:t xml:space="preserve"> digital transformation</w:t>
      </w:r>
      <w:r>
        <w:t>.</w:t>
      </w:r>
    </w:p>
    <w:p w14:paraId="4CF9D20A" w14:textId="63920572" w:rsidR="00CF5C7C" w:rsidRDefault="006427CE" w:rsidP="008D752A">
      <w:pPr>
        <w:pStyle w:val="enumlev2"/>
        <w:jc w:val="both"/>
      </w:pPr>
      <w:r>
        <w:t>e)</w:t>
      </w:r>
      <w:r w:rsidRPr="00280D9B">
        <w:tab/>
      </w:r>
      <w:r w:rsidR="00CF5C7C">
        <w:t xml:space="preserve">Reduction of duplication </w:t>
      </w:r>
      <w:r w:rsidR="008E385B">
        <w:t>across the Bureau</w:t>
      </w:r>
      <w:r w:rsidR="00623E4D">
        <w:t>x</w:t>
      </w:r>
      <w:r w:rsidR="008E385B">
        <w:t xml:space="preserve"> and General Secretariat.</w:t>
      </w:r>
    </w:p>
    <w:p w14:paraId="4ABC5022" w14:textId="5E1322E1" w:rsidR="006427CE" w:rsidRDefault="00CF5C7C" w:rsidP="008D752A">
      <w:pPr>
        <w:pStyle w:val="enumlev2"/>
        <w:jc w:val="both"/>
      </w:pPr>
      <w:r>
        <w:t>f</w:t>
      </w:r>
      <w:r w:rsidR="006427CE">
        <w:t>)</w:t>
      </w:r>
      <w:r w:rsidR="006427CE" w:rsidRPr="00280D9B">
        <w:tab/>
      </w:r>
      <w:r w:rsidR="00824863">
        <w:t xml:space="preserve">Optimizing the use of </w:t>
      </w:r>
      <w:r w:rsidR="00DC4DE4">
        <w:t>short-term</w:t>
      </w:r>
      <w:r w:rsidR="00824863">
        <w:t xml:space="preserve"> contractual modalities</w:t>
      </w:r>
      <w:r w:rsidR="006427CE">
        <w:t>.</w:t>
      </w:r>
    </w:p>
    <w:p w14:paraId="42FB07C9" w14:textId="22B4A79F" w:rsidR="006427CE" w:rsidRDefault="008E385B" w:rsidP="008D752A">
      <w:pPr>
        <w:pStyle w:val="enumlev2"/>
        <w:jc w:val="both"/>
      </w:pPr>
      <w:r>
        <w:t>g</w:t>
      </w:r>
      <w:r w:rsidR="006427CE">
        <w:t>)</w:t>
      </w:r>
      <w:r w:rsidR="006427CE">
        <w:tab/>
      </w:r>
      <w:r w:rsidR="00691CDB">
        <w:t>Re</w:t>
      </w:r>
      <w:r w:rsidR="006427CE" w:rsidRPr="00280D9B">
        <w:t>-prioritization of activities</w:t>
      </w:r>
      <w:r w:rsidR="006427CE">
        <w:t>.</w:t>
      </w:r>
    </w:p>
    <w:p w14:paraId="02023764" w14:textId="1F43912D" w:rsidR="00F024C0" w:rsidRDefault="008E385B" w:rsidP="00BC5218">
      <w:pPr>
        <w:pStyle w:val="enumlev1"/>
        <w:tabs>
          <w:tab w:val="clear" w:pos="567"/>
        </w:tabs>
        <w:ind w:left="1134"/>
        <w:jc w:val="both"/>
        <w:rPr>
          <w:b/>
          <w:bCs/>
          <w:color w:val="002060"/>
        </w:rPr>
      </w:pPr>
      <w:r>
        <w:t>h</w:t>
      </w:r>
      <w:r w:rsidR="006427CE">
        <w:t>)</w:t>
      </w:r>
      <w:r w:rsidR="006427CE">
        <w:tab/>
      </w:r>
      <w:r w:rsidR="006427CE" w:rsidRPr="00280D9B">
        <w:t>Delayed recruitment for vacant positions in non-essential activities</w:t>
      </w:r>
      <w:r>
        <w:t>.</w:t>
      </w:r>
    </w:p>
    <w:p w14:paraId="231371C2" w14:textId="46CEAE51" w:rsidR="006427CE" w:rsidRPr="006427CE" w:rsidRDefault="006427CE" w:rsidP="00BC5218">
      <w:pPr>
        <w:pStyle w:val="enumlev1"/>
        <w:keepNext/>
        <w:keepLines/>
        <w:spacing w:after="240"/>
        <w:jc w:val="both"/>
        <w:rPr>
          <w:b/>
          <w:bCs/>
          <w:color w:val="002060"/>
        </w:rPr>
      </w:pPr>
      <w:r w:rsidRPr="006427CE">
        <w:rPr>
          <w:b/>
          <w:bCs/>
          <w:color w:val="002060"/>
        </w:rPr>
        <w:lastRenderedPageBreak/>
        <w:t>General Secretariat</w:t>
      </w:r>
    </w:p>
    <w:p w14:paraId="2B7B6848" w14:textId="77E38E51" w:rsidR="00714FDD" w:rsidRDefault="006427CE" w:rsidP="00BC5218">
      <w:pPr>
        <w:pStyle w:val="enumlev2"/>
        <w:keepNext/>
        <w:keepLines/>
        <w:spacing w:before="0" w:after="240"/>
        <w:ind w:left="0" w:firstLine="0"/>
        <w:jc w:val="both"/>
      </w:pPr>
      <w:r>
        <w:t>3.8</w:t>
      </w:r>
      <w:r>
        <w:tab/>
      </w:r>
      <w:r w:rsidR="00F024C0">
        <w:t>The following table compares the 2026-2027 budget, the Financial Plan, the 2024-2025 budget and the 2024 actuals. The 2026-2027 budget estimates are MCHF</w:t>
      </w:r>
      <w:r w:rsidR="00BC5218">
        <w:t> </w:t>
      </w:r>
      <w:r w:rsidR="00F024C0">
        <w:t>4.4 lower than the Financial Plan.</w:t>
      </w:r>
      <w:r w:rsidR="00400AA7">
        <w:t xml:space="preserve"> </w:t>
      </w:r>
    </w:p>
    <w:p w14:paraId="4D0C82C8" w14:textId="56307372" w:rsidR="00714FDD" w:rsidRDefault="00714FDD" w:rsidP="00DC4DE4">
      <w:pPr>
        <w:pStyle w:val="enumlev2"/>
        <w:spacing w:before="0" w:after="240"/>
        <w:ind w:left="0" w:firstLine="0"/>
        <w:jc w:val="both"/>
      </w:pPr>
      <w:r w:rsidRPr="00E05D71">
        <w:rPr>
          <w:noProof/>
        </w:rPr>
        <w:drawing>
          <wp:inline distT="0" distB="0" distL="0" distR="0" wp14:anchorId="1BC9AEEA" wp14:editId="62F9CE6C">
            <wp:extent cx="5760085" cy="1875790"/>
            <wp:effectExtent l="0" t="0" r="0" b="0"/>
            <wp:docPr id="35163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9934" name=""/>
                    <pic:cNvPicPr/>
                  </pic:nvPicPr>
                  <pic:blipFill>
                    <a:blip r:embed="rId19"/>
                    <a:stretch>
                      <a:fillRect/>
                    </a:stretch>
                  </pic:blipFill>
                  <pic:spPr>
                    <a:xfrm>
                      <a:off x="0" y="0"/>
                      <a:ext cx="5760085" cy="1875790"/>
                    </a:xfrm>
                    <a:prstGeom prst="rect">
                      <a:avLst/>
                    </a:prstGeom>
                  </pic:spPr>
                </pic:pic>
              </a:graphicData>
            </a:graphic>
          </wp:inline>
        </w:drawing>
      </w:r>
    </w:p>
    <w:p w14:paraId="73377BFF" w14:textId="47A9BA30" w:rsidR="006427CE" w:rsidRDefault="00714FDD" w:rsidP="00BC5218">
      <w:pPr>
        <w:pStyle w:val="enumlev2"/>
        <w:spacing w:before="360"/>
        <w:ind w:left="0" w:firstLine="0"/>
        <w:jc w:val="both"/>
      </w:pPr>
      <w:r>
        <w:t>3.9</w:t>
      </w:r>
      <w:r w:rsidR="00BC5218">
        <w:tab/>
      </w:r>
      <w:r w:rsidR="00400AA7">
        <w:t>The estimates for 2026-2027, broken down by each section of the General Secretariat, with a comparison with the 2024-2025 budget, are shown in real terms in the table below.</w:t>
      </w:r>
      <w:r w:rsidR="00400AA7" w:rsidRPr="006427CE">
        <w:t xml:space="preserve"> </w:t>
      </w:r>
      <w:r>
        <w:t>The</w:t>
      </w:r>
      <w:r w:rsidR="006427CE">
        <w:t xml:space="preserve"> negative real growth of -3.25 % demonstrates </w:t>
      </w:r>
      <w:r>
        <w:t>the</w:t>
      </w:r>
      <w:r w:rsidR="007C6C17">
        <w:t xml:space="preserve"> tight financial </w:t>
      </w:r>
      <w:r>
        <w:t xml:space="preserve">constraints under which the General Secretariat will operate </w:t>
      </w:r>
      <w:r w:rsidR="007C6C17">
        <w:t>during 2026-2027</w:t>
      </w:r>
      <w:r w:rsidR="006427CE">
        <w:t>.</w:t>
      </w:r>
    </w:p>
    <w:p w14:paraId="32F09E96" w14:textId="54EE931E" w:rsidR="00E05D71" w:rsidRDefault="00E05D71" w:rsidP="006427CE">
      <w:pPr>
        <w:pStyle w:val="enumlev2"/>
        <w:tabs>
          <w:tab w:val="clear" w:pos="1134"/>
        </w:tabs>
        <w:spacing w:before="0"/>
        <w:ind w:left="0" w:firstLine="0"/>
        <w:jc w:val="both"/>
      </w:pPr>
      <w:r w:rsidRPr="00E05D71">
        <w:rPr>
          <w:noProof/>
        </w:rPr>
        <w:drawing>
          <wp:inline distT="0" distB="0" distL="0" distR="0" wp14:anchorId="5F8EBAF1" wp14:editId="60F2350C">
            <wp:extent cx="5760085" cy="1860550"/>
            <wp:effectExtent l="0" t="0" r="5715" b="6350"/>
            <wp:docPr id="6279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583" name=""/>
                    <pic:cNvPicPr/>
                  </pic:nvPicPr>
                  <pic:blipFill>
                    <a:blip r:embed="rId20"/>
                    <a:stretch>
                      <a:fillRect/>
                    </a:stretch>
                  </pic:blipFill>
                  <pic:spPr>
                    <a:xfrm>
                      <a:off x="0" y="0"/>
                      <a:ext cx="5760085" cy="1860550"/>
                    </a:xfrm>
                    <a:prstGeom prst="rect">
                      <a:avLst/>
                    </a:prstGeom>
                  </pic:spPr>
                </pic:pic>
              </a:graphicData>
            </a:graphic>
          </wp:inline>
        </w:drawing>
      </w:r>
    </w:p>
    <w:p w14:paraId="58F0FE28" w14:textId="4A7ADD00" w:rsidR="006427CE" w:rsidRDefault="00E05D71" w:rsidP="00BC5218">
      <w:pPr>
        <w:pStyle w:val="enumlev2"/>
        <w:tabs>
          <w:tab w:val="clear" w:pos="1134"/>
        </w:tabs>
        <w:spacing w:before="360"/>
        <w:ind w:left="0" w:firstLine="0"/>
        <w:jc w:val="both"/>
      </w:pPr>
      <w:r w:rsidRPr="00E05D71">
        <w:t xml:space="preserve">The </w:t>
      </w:r>
      <w:r w:rsidR="0070032F">
        <w:t>chart</w:t>
      </w:r>
      <w:r w:rsidRPr="00E05D71">
        <w:t xml:space="preserve"> below gives the breakdown by category of the estimates for 20</w:t>
      </w:r>
      <w:r>
        <w:t>26</w:t>
      </w:r>
      <w:r w:rsidRPr="00E05D71">
        <w:t>-20</w:t>
      </w:r>
      <w:r>
        <w:t>27. Staff and other staff costs account for some 75.5%.</w:t>
      </w:r>
    </w:p>
    <w:p w14:paraId="76DB00D8" w14:textId="17594410" w:rsidR="006427CE" w:rsidRPr="00280D9B" w:rsidRDefault="00E05D71" w:rsidP="00BC5218">
      <w:pPr>
        <w:pStyle w:val="enumlev2"/>
        <w:ind w:left="0" w:firstLine="0"/>
        <w:jc w:val="center"/>
      </w:pPr>
      <w:r>
        <w:rPr>
          <w:noProof/>
        </w:rPr>
        <w:drawing>
          <wp:inline distT="0" distB="0" distL="0" distR="0" wp14:anchorId="6C250AB8" wp14:editId="094E2BFE">
            <wp:extent cx="3658205" cy="2405270"/>
            <wp:effectExtent l="0" t="0" r="0" b="0"/>
            <wp:docPr id="87733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4223" name=""/>
                    <pic:cNvPicPr/>
                  </pic:nvPicPr>
                  <pic:blipFill>
                    <a:blip r:embed="rId21"/>
                    <a:stretch>
                      <a:fillRect/>
                    </a:stretch>
                  </pic:blipFill>
                  <pic:spPr>
                    <a:xfrm>
                      <a:off x="0" y="0"/>
                      <a:ext cx="3767321" cy="2477014"/>
                    </a:xfrm>
                    <a:prstGeom prst="rect">
                      <a:avLst/>
                    </a:prstGeom>
                  </pic:spPr>
                </pic:pic>
              </a:graphicData>
            </a:graphic>
          </wp:inline>
        </w:drawing>
      </w:r>
    </w:p>
    <w:p w14:paraId="200CA4CF" w14:textId="1F5B91A6" w:rsidR="0070032F" w:rsidRPr="006427CE" w:rsidRDefault="0070032F" w:rsidP="00BC5218">
      <w:pPr>
        <w:pStyle w:val="enumlev1"/>
        <w:spacing w:after="240"/>
        <w:jc w:val="both"/>
        <w:rPr>
          <w:b/>
          <w:bCs/>
          <w:color w:val="002060"/>
        </w:rPr>
      </w:pPr>
      <w:r>
        <w:rPr>
          <w:b/>
          <w:bCs/>
          <w:color w:val="002060"/>
        </w:rPr>
        <w:lastRenderedPageBreak/>
        <w:t>Radiocommunication Sector</w:t>
      </w:r>
    </w:p>
    <w:p w14:paraId="3A6E05B5" w14:textId="45D56499" w:rsidR="00400AA7" w:rsidRDefault="0070032F" w:rsidP="00BC5218">
      <w:pPr>
        <w:pStyle w:val="enumlev2"/>
        <w:spacing w:before="0" w:after="120"/>
        <w:ind w:left="0" w:firstLine="0"/>
        <w:jc w:val="both"/>
      </w:pPr>
      <w:r>
        <w:t>3.1</w:t>
      </w:r>
      <w:r w:rsidR="009A4DBE">
        <w:t>0</w:t>
      </w:r>
      <w:r w:rsidR="00BC5218">
        <w:tab/>
      </w:r>
      <w:r w:rsidR="00400AA7">
        <w:t>The following table compares the 2026-2027 budget, the Financial Plan, the 2024-2025 budget and the 2024 actuals. Compared to the Financial Plan, the 2026-2027 budget estimates for the Radiocommunication Sector have been increased by MCHF 1.4 higher.</w:t>
      </w:r>
    </w:p>
    <w:p w14:paraId="50032885" w14:textId="0FE6EF30" w:rsidR="00400AA7" w:rsidRDefault="00400AA7" w:rsidP="0070032F">
      <w:pPr>
        <w:pStyle w:val="enumlev2"/>
        <w:spacing w:before="0"/>
        <w:ind w:left="0" w:firstLine="0"/>
        <w:jc w:val="both"/>
      </w:pPr>
      <w:r w:rsidRPr="0070032F">
        <w:rPr>
          <w:noProof/>
        </w:rPr>
        <w:drawing>
          <wp:inline distT="0" distB="0" distL="0" distR="0" wp14:anchorId="2972B238" wp14:editId="685033BF">
            <wp:extent cx="5760085" cy="1879600"/>
            <wp:effectExtent l="0" t="0" r="0" b="6350"/>
            <wp:docPr id="956224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24040" name=""/>
                    <pic:cNvPicPr/>
                  </pic:nvPicPr>
                  <pic:blipFill>
                    <a:blip r:embed="rId22"/>
                    <a:stretch>
                      <a:fillRect/>
                    </a:stretch>
                  </pic:blipFill>
                  <pic:spPr>
                    <a:xfrm>
                      <a:off x="0" y="0"/>
                      <a:ext cx="5760085" cy="1879600"/>
                    </a:xfrm>
                    <a:prstGeom prst="rect">
                      <a:avLst/>
                    </a:prstGeom>
                  </pic:spPr>
                </pic:pic>
              </a:graphicData>
            </a:graphic>
          </wp:inline>
        </w:drawing>
      </w:r>
    </w:p>
    <w:p w14:paraId="5981696C" w14:textId="6D8529ED" w:rsidR="006427CE" w:rsidRPr="006427CE" w:rsidRDefault="00400AA7" w:rsidP="00BC5218">
      <w:pPr>
        <w:pStyle w:val="enumlev2"/>
        <w:spacing w:before="240"/>
        <w:ind w:left="0" w:firstLine="0"/>
        <w:jc w:val="both"/>
      </w:pPr>
      <w:r>
        <w:t>3.1</w:t>
      </w:r>
      <w:r w:rsidR="009A4DBE">
        <w:t>1</w:t>
      </w:r>
      <w:r>
        <w:t xml:space="preserve"> </w:t>
      </w:r>
      <w:r w:rsidR="0070032F">
        <w:t xml:space="preserve">The estimates for </w:t>
      </w:r>
      <w:r>
        <w:t xml:space="preserve">the Radiocommunications Sector for </w:t>
      </w:r>
      <w:r w:rsidR="0070032F">
        <w:t>2026-2027 broken down by each section, with a comparison with the 2024-2025 budget, are shown in the table below</w:t>
      </w:r>
      <w:r w:rsidR="00671273">
        <w:t xml:space="preserve"> demonstrating the real growth</w:t>
      </w:r>
      <w:r w:rsidR="0070032F">
        <w:t>.</w:t>
      </w:r>
      <w:r w:rsidR="0070032F" w:rsidRPr="006427CE">
        <w:t xml:space="preserve"> </w:t>
      </w:r>
      <w:r w:rsidR="0070032F">
        <w:t>It indicates a negative real growth of 1.17%.</w:t>
      </w:r>
    </w:p>
    <w:p w14:paraId="13E7E6C2" w14:textId="05C64307" w:rsidR="00C67DED" w:rsidRDefault="00B51223" w:rsidP="00177AA2">
      <w:pPr>
        <w:spacing w:before="0"/>
        <w:rPr>
          <w:lang w:val="en-US"/>
        </w:rPr>
      </w:pPr>
      <w:r w:rsidRPr="00B51223">
        <w:rPr>
          <w:noProof/>
          <w:lang w:val="en-US"/>
        </w:rPr>
        <w:drawing>
          <wp:inline distT="0" distB="0" distL="0" distR="0" wp14:anchorId="2206197E" wp14:editId="157B908D">
            <wp:extent cx="5760085" cy="2218690"/>
            <wp:effectExtent l="0" t="0" r="5715" b="3810"/>
            <wp:docPr id="170779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7058" name=""/>
                    <pic:cNvPicPr/>
                  </pic:nvPicPr>
                  <pic:blipFill>
                    <a:blip r:embed="rId23"/>
                    <a:stretch>
                      <a:fillRect/>
                    </a:stretch>
                  </pic:blipFill>
                  <pic:spPr>
                    <a:xfrm>
                      <a:off x="0" y="0"/>
                      <a:ext cx="5760085" cy="2218690"/>
                    </a:xfrm>
                    <a:prstGeom prst="rect">
                      <a:avLst/>
                    </a:prstGeom>
                  </pic:spPr>
                </pic:pic>
              </a:graphicData>
            </a:graphic>
          </wp:inline>
        </w:drawing>
      </w:r>
    </w:p>
    <w:p w14:paraId="1483C498" w14:textId="77777777" w:rsidR="0070032F" w:rsidRDefault="0070032F" w:rsidP="00177AA2">
      <w:pPr>
        <w:spacing w:before="0"/>
        <w:rPr>
          <w:lang w:val="en-US"/>
        </w:rPr>
      </w:pPr>
    </w:p>
    <w:p w14:paraId="1626C89C" w14:textId="5C72F1F0" w:rsidR="0070032F" w:rsidRDefault="0070032F" w:rsidP="0070032F">
      <w:pPr>
        <w:pStyle w:val="enumlev2"/>
        <w:tabs>
          <w:tab w:val="clear" w:pos="1134"/>
        </w:tabs>
        <w:spacing w:before="0"/>
        <w:ind w:left="0" w:firstLine="0"/>
        <w:jc w:val="both"/>
      </w:pPr>
      <w:r w:rsidRPr="00E05D71">
        <w:t xml:space="preserve">The </w:t>
      </w:r>
      <w:r>
        <w:t>chart</w:t>
      </w:r>
      <w:r w:rsidRPr="00E05D71">
        <w:t xml:space="preserve"> below gives the breakdown by category of the estimates for 20</w:t>
      </w:r>
      <w:r>
        <w:t>26</w:t>
      </w:r>
      <w:r w:rsidRPr="00E05D71">
        <w:t>-20</w:t>
      </w:r>
      <w:r>
        <w:t>27. Staff and other staff costs account for some 93%.</w:t>
      </w:r>
    </w:p>
    <w:p w14:paraId="323E2BE5" w14:textId="6FD12177" w:rsidR="0070032F" w:rsidRDefault="0070032F" w:rsidP="0070032F">
      <w:pPr>
        <w:spacing w:before="0"/>
        <w:jc w:val="center"/>
        <w:rPr>
          <w:lang w:val="en-US"/>
        </w:rPr>
      </w:pPr>
      <w:r>
        <w:rPr>
          <w:noProof/>
        </w:rPr>
        <w:drawing>
          <wp:inline distT="0" distB="0" distL="0" distR="0" wp14:anchorId="44FDBDE7" wp14:editId="44EB6E8A">
            <wp:extent cx="3107112" cy="2474780"/>
            <wp:effectExtent l="0" t="0" r="0" b="0"/>
            <wp:docPr id="14479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8393" name=""/>
                    <pic:cNvPicPr/>
                  </pic:nvPicPr>
                  <pic:blipFill rotWithShape="1">
                    <a:blip r:embed="rId24"/>
                    <a:srcRect t="3389"/>
                    <a:stretch/>
                  </pic:blipFill>
                  <pic:spPr bwMode="auto">
                    <a:xfrm>
                      <a:off x="0" y="0"/>
                      <a:ext cx="3133128" cy="2495501"/>
                    </a:xfrm>
                    <a:prstGeom prst="rect">
                      <a:avLst/>
                    </a:prstGeom>
                    <a:ln>
                      <a:noFill/>
                    </a:ln>
                    <a:extLst>
                      <a:ext uri="{53640926-AAD7-44D8-BBD7-CCE9431645EC}">
                        <a14:shadowObscured xmlns:a14="http://schemas.microsoft.com/office/drawing/2010/main"/>
                      </a:ext>
                    </a:extLst>
                  </pic:spPr>
                </pic:pic>
              </a:graphicData>
            </a:graphic>
          </wp:inline>
        </w:drawing>
      </w:r>
    </w:p>
    <w:p w14:paraId="02EDBC42" w14:textId="23C15081" w:rsidR="0070032F" w:rsidRPr="006427CE" w:rsidRDefault="0070032F" w:rsidP="00BC5218">
      <w:pPr>
        <w:pStyle w:val="enumlev1"/>
        <w:spacing w:after="240"/>
        <w:jc w:val="both"/>
        <w:rPr>
          <w:b/>
          <w:bCs/>
          <w:color w:val="002060"/>
        </w:rPr>
      </w:pPr>
      <w:r>
        <w:rPr>
          <w:b/>
          <w:bCs/>
          <w:color w:val="002060"/>
        </w:rPr>
        <w:lastRenderedPageBreak/>
        <w:t>Telecommunication Standardization Sector</w:t>
      </w:r>
    </w:p>
    <w:p w14:paraId="16A90FB7" w14:textId="1ABE592B" w:rsidR="00A015B6" w:rsidRDefault="0070032F" w:rsidP="00A015B6">
      <w:pPr>
        <w:pStyle w:val="enumlev2"/>
        <w:ind w:left="0" w:firstLine="0"/>
        <w:jc w:val="both"/>
      </w:pPr>
      <w:r>
        <w:t>3.12</w:t>
      </w:r>
      <w:r>
        <w:tab/>
      </w:r>
      <w:r w:rsidR="00A015B6">
        <w:t>The following table compares the 2026-2027 budget, the Financial Plan, the 2024-2025 budget and the 2024 actuals. As compared to the Financial Plan, the 2026-2027 budget estimates for the Telecommunication Standardization Sector have increased by MCHF</w:t>
      </w:r>
      <w:r w:rsidR="00BC5218">
        <w:t> </w:t>
      </w:r>
      <w:r w:rsidR="00A015B6">
        <w:t>1.1.</w:t>
      </w:r>
    </w:p>
    <w:p w14:paraId="3B73388D" w14:textId="77777777" w:rsidR="00A015B6" w:rsidRDefault="00A015B6" w:rsidP="00A015B6">
      <w:pPr>
        <w:pStyle w:val="enumlev2"/>
        <w:ind w:left="0" w:firstLine="0"/>
        <w:jc w:val="both"/>
      </w:pPr>
      <w:r w:rsidRPr="00B51223">
        <w:rPr>
          <w:noProof/>
        </w:rPr>
        <w:drawing>
          <wp:inline distT="0" distB="0" distL="0" distR="0" wp14:anchorId="7082CC40" wp14:editId="64E2B8EC">
            <wp:extent cx="5760085" cy="1497330"/>
            <wp:effectExtent l="0" t="0" r="5715" b="1270"/>
            <wp:docPr id="884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371" name=""/>
                    <pic:cNvPicPr/>
                  </pic:nvPicPr>
                  <pic:blipFill>
                    <a:blip r:embed="rId25"/>
                    <a:stretch>
                      <a:fillRect/>
                    </a:stretch>
                  </pic:blipFill>
                  <pic:spPr>
                    <a:xfrm>
                      <a:off x="0" y="0"/>
                      <a:ext cx="5760085" cy="1497330"/>
                    </a:xfrm>
                    <a:prstGeom prst="rect">
                      <a:avLst/>
                    </a:prstGeom>
                  </pic:spPr>
                </pic:pic>
              </a:graphicData>
            </a:graphic>
          </wp:inline>
        </w:drawing>
      </w:r>
    </w:p>
    <w:p w14:paraId="1C339BD3" w14:textId="2B537B8C" w:rsidR="0070032F" w:rsidRDefault="00A015B6" w:rsidP="00BC5218">
      <w:pPr>
        <w:spacing w:before="360"/>
        <w:jc w:val="both"/>
      </w:pPr>
      <w:r>
        <w:t>3.13</w:t>
      </w:r>
      <w:r>
        <w:tab/>
      </w:r>
      <w:r w:rsidR="0070032F">
        <w:t>The estimates for 2026-2027</w:t>
      </w:r>
      <w:r w:rsidR="00EE66EF">
        <w:t>,</w:t>
      </w:r>
      <w:r w:rsidR="0070032F">
        <w:t xml:space="preserve"> broken down by each section of the Telecommunication Standardization Sector, with a comparison with the 2024-2025 budget, are shown in the</w:t>
      </w:r>
      <w:r>
        <w:t xml:space="preserve"> </w:t>
      </w:r>
      <w:r w:rsidR="0070032F">
        <w:t>table below</w:t>
      </w:r>
      <w:r>
        <w:t xml:space="preserve"> indicating </w:t>
      </w:r>
      <w:r w:rsidR="0070032F">
        <w:t xml:space="preserve">negative real growth of </w:t>
      </w:r>
      <w:r w:rsidR="00B51223">
        <w:t>2.56</w:t>
      </w:r>
      <w:r w:rsidR="0070032F">
        <w:t>%.</w:t>
      </w:r>
    </w:p>
    <w:p w14:paraId="61D6898B" w14:textId="387F8834" w:rsidR="00B51223" w:rsidRDefault="00B51223" w:rsidP="0070032F">
      <w:pPr>
        <w:spacing w:before="0"/>
      </w:pPr>
      <w:r w:rsidRPr="00B51223">
        <w:rPr>
          <w:noProof/>
        </w:rPr>
        <w:drawing>
          <wp:inline distT="0" distB="0" distL="0" distR="0" wp14:anchorId="0F991546" wp14:editId="0150475B">
            <wp:extent cx="5760085" cy="1920240"/>
            <wp:effectExtent l="0" t="0" r="5715" b="0"/>
            <wp:docPr id="15653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2095" name=""/>
                    <pic:cNvPicPr/>
                  </pic:nvPicPr>
                  <pic:blipFill>
                    <a:blip r:embed="rId26"/>
                    <a:stretch>
                      <a:fillRect/>
                    </a:stretch>
                  </pic:blipFill>
                  <pic:spPr>
                    <a:xfrm>
                      <a:off x="0" y="0"/>
                      <a:ext cx="5760085" cy="1920240"/>
                    </a:xfrm>
                    <a:prstGeom prst="rect">
                      <a:avLst/>
                    </a:prstGeom>
                  </pic:spPr>
                </pic:pic>
              </a:graphicData>
            </a:graphic>
          </wp:inline>
        </w:drawing>
      </w:r>
    </w:p>
    <w:p w14:paraId="28A3C661" w14:textId="24828954" w:rsidR="00B51223" w:rsidRDefault="00B51223" w:rsidP="00BC5218">
      <w:pPr>
        <w:pStyle w:val="enumlev2"/>
        <w:tabs>
          <w:tab w:val="clear" w:pos="1134"/>
        </w:tabs>
        <w:spacing w:before="240"/>
        <w:ind w:left="0" w:firstLine="0"/>
        <w:jc w:val="both"/>
      </w:pPr>
      <w:r w:rsidRPr="00E05D71">
        <w:t xml:space="preserve">The </w:t>
      </w:r>
      <w:r>
        <w:t>chart</w:t>
      </w:r>
      <w:r w:rsidRPr="00E05D71">
        <w:t xml:space="preserve"> below gives the breakdown by category of the estimates for 20</w:t>
      </w:r>
      <w:r>
        <w:t>26</w:t>
      </w:r>
      <w:r w:rsidRPr="00E05D71">
        <w:t>-20</w:t>
      </w:r>
      <w:r>
        <w:t>27. Staff and other staff costs account for some 90%.</w:t>
      </w:r>
    </w:p>
    <w:p w14:paraId="51E3D714" w14:textId="77777777" w:rsidR="00B51223" w:rsidRDefault="00B51223" w:rsidP="00B51223">
      <w:pPr>
        <w:pStyle w:val="enumlev2"/>
        <w:tabs>
          <w:tab w:val="clear" w:pos="1134"/>
        </w:tabs>
        <w:spacing w:before="0"/>
        <w:ind w:left="0" w:firstLine="0"/>
        <w:jc w:val="both"/>
      </w:pPr>
    </w:p>
    <w:p w14:paraId="660EE5CE" w14:textId="4C5C1A4E" w:rsidR="00B51223" w:rsidRDefault="00B51223" w:rsidP="00B51223">
      <w:pPr>
        <w:spacing w:before="0"/>
        <w:jc w:val="center"/>
      </w:pPr>
      <w:r>
        <w:rPr>
          <w:noProof/>
        </w:rPr>
        <w:drawing>
          <wp:inline distT="0" distB="0" distL="0" distR="0" wp14:anchorId="0469FE47" wp14:editId="42C1EBDE">
            <wp:extent cx="3213553" cy="2731520"/>
            <wp:effectExtent l="0" t="0" r="0" b="0"/>
            <wp:docPr id="207472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29630" name=""/>
                    <pic:cNvPicPr/>
                  </pic:nvPicPr>
                  <pic:blipFill>
                    <a:blip r:embed="rId27"/>
                    <a:stretch>
                      <a:fillRect/>
                    </a:stretch>
                  </pic:blipFill>
                  <pic:spPr>
                    <a:xfrm>
                      <a:off x="0" y="0"/>
                      <a:ext cx="3228259" cy="2744020"/>
                    </a:xfrm>
                    <a:prstGeom prst="rect">
                      <a:avLst/>
                    </a:prstGeom>
                  </pic:spPr>
                </pic:pic>
              </a:graphicData>
            </a:graphic>
          </wp:inline>
        </w:drawing>
      </w:r>
    </w:p>
    <w:p w14:paraId="422F5914" w14:textId="5964A930" w:rsidR="00B51223" w:rsidRDefault="00B51223" w:rsidP="00A015B6">
      <w:pPr>
        <w:pStyle w:val="enumlev2"/>
        <w:ind w:left="0" w:firstLine="0"/>
        <w:jc w:val="both"/>
      </w:pPr>
    </w:p>
    <w:p w14:paraId="647BE5FD" w14:textId="76DAD2C0" w:rsidR="00B51223" w:rsidRPr="006427CE" w:rsidRDefault="00B51223" w:rsidP="00BC5218">
      <w:pPr>
        <w:pStyle w:val="enumlev1"/>
        <w:keepNext/>
        <w:keepLines/>
        <w:spacing w:after="240"/>
        <w:jc w:val="both"/>
        <w:rPr>
          <w:b/>
          <w:bCs/>
          <w:color w:val="002060"/>
        </w:rPr>
      </w:pPr>
      <w:r>
        <w:rPr>
          <w:b/>
          <w:bCs/>
          <w:color w:val="002060"/>
        </w:rPr>
        <w:lastRenderedPageBreak/>
        <w:t>Telecommunication Development Sector</w:t>
      </w:r>
    </w:p>
    <w:p w14:paraId="06343CCE" w14:textId="50DF76FA" w:rsidR="00A015B6" w:rsidRDefault="00B51223" w:rsidP="00BC5218">
      <w:pPr>
        <w:pStyle w:val="enumlev2"/>
        <w:keepNext/>
        <w:keepLines/>
        <w:tabs>
          <w:tab w:val="clear" w:pos="1134"/>
          <w:tab w:val="clear" w:pos="1701"/>
          <w:tab w:val="clear" w:pos="2268"/>
          <w:tab w:val="clear" w:pos="2835"/>
        </w:tabs>
        <w:spacing w:after="240"/>
        <w:ind w:left="0" w:firstLine="0"/>
        <w:jc w:val="both"/>
      </w:pPr>
      <w:r>
        <w:t>3.1</w:t>
      </w:r>
      <w:r w:rsidR="001E1EC3">
        <w:t>4</w:t>
      </w:r>
      <w:r>
        <w:tab/>
      </w:r>
      <w:r w:rsidR="00A015B6">
        <w:t>The table below compares the 2026-2027 budget, the Financial Plan, the 2024-2025 budget and the 2024 actuals. As compared to the Financial Plan, the 2026-2027 budget estimates for the Telecommunication Development Sector have been increased by MCHF 0.8.</w:t>
      </w:r>
    </w:p>
    <w:p w14:paraId="1D0D7086" w14:textId="77777777" w:rsidR="00A015B6" w:rsidRDefault="00A015B6" w:rsidP="00A015B6">
      <w:pPr>
        <w:spacing w:before="0" w:after="240"/>
      </w:pPr>
      <w:r w:rsidRPr="001E1EC3">
        <w:rPr>
          <w:noProof/>
        </w:rPr>
        <w:drawing>
          <wp:inline distT="0" distB="0" distL="0" distR="0" wp14:anchorId="1E7B2D1F" wp14:editId="767EB46F">
            <wp:extent cx="5760085" cy="1492885"/>
            <wp:effectExtent l="0" t="0" r="5715" b="5715"/>
            <wp:docPr id="83541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3954" name=""/>
                    <pic:cNvPicPr/>
                  </pic:nvPicPr>
                  <pic:blipFill>
                    <a:blip r:embed="rId28"/>
                    <a:stretch>
                      <a:fillRect/>
                    </a:stretch>
                  </pic:blipFill>
                  <pic:spPr>
                    <a:xfrm>
                      <a:off x="0" y="0"/>
                      <a:ext cx="5760085" cy="1492885"/>
                    </a:xfrm>
                    <a:prstGeom prst="rect">
                      <a:avLst/>
                    </a:prstGeom>
                  </pic:spPr>
                </pic:pic>
              </a:graphicData>
            </a:graphic>
          </wp:inline>
        </w:drawing>
      </w:r>
    </w:p>
    <w:p w14:paraId="3DE9FB2A" w14:textId="01B663F8" w:rsidR="00B51223" w:rsidRDefault="00A015B6" w:rsidP="008D752A">
      <w:pPr>
        <w:spacing w:before="0" w:after="240"/>
        <w:jc w:val="both"/>
      </w:pPr>
      <w:r>
        <w:t>3.15</w:t>
      </w:r>
      <w:r>
        <w:tab/>
      </w:r>
      <w:r w:rsidR="00B51223">
        <w:t>The estimates for 2026-2027</w:t>
      </w:r>
      <w:r w:rsidR="00EC1DB7">
        <w:t>,</w:t>
      </w:r>
      <w:r w:rsidR="00B51223">
        <w:t xml:space="preserve"> broken down by each section of the Telecommunication Development Sector, with a comparison with the 2024-2025 budget, are shown in the table below.</w:t>
      </w:r>
      <w:r w:rsidR="00B51223" w:rsidRPr="006427CE">
        <w:t xml:space="preserve"> </w:t>
      </w:r>
      <w:r w:rsidR="00B51223">
        <w:t>It indicates a negative real growth of 2.41%.</w:t>
      </w:r>
      <w:r w:rsidR="00013A95">
        <w:t xml:space="preserve"> The </w:t>
      </w:r>
      <w:r w:rsidR="001A1059">
        <w:t>reduction is reflective of the costs decrease due to the removal of the WTDC costs from the budget for 2026-2027.</w:t>
      </w:r>
    </w:p>
    <w:p w14:paraId="6358E5FC" w14:textId="3F42CC05" w:rsidR="00B51223" w:rsidRDefault="00B51223" w:rsidP="00A015B6">
      <w:pPr>
        <w:spacing w:before="0" w:after="240"/>
      </w:pPr>
      <w:r w:rsidRPr="00B51223">
        <w:rPr>
          <w:noProof/>
        </w:rPr>
        <w:drawing>
          <wp:inline distT="0" distB="0" distL="0" distR="0" wp14:anchorId="0099C2C6" wp14:editId="0082E3C7">
            <wp:extent cx="5760085" cy="1920240"/>
            <wp:effectExtent l="0" t="0" r="5715" b="0"/>
            <wp:docPr id="49388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88440" name=""/>
                    <pic:cNvPicPr/>
                  </pic:nvPicPr>
                  <pic:blipFill>
                    <a:blip r:embed="rId29"/>
                    <a:stretch>
                      <a:fillRect/>
                    </a:stretch>
                  </pic:blipFill>
                  <pic:spPr>
                    <a:xfrm>
                      <a:off x="0" y="0"/>
                      <a:ext cx="5760085" cy="1920240"/>
                    </a:xfrm>
                    <a:prstGeom prst="rect">
                      <a:avLst/>
                    </a:prstGeom>
                  </pic:spPr>
                </pic:pic>
              </a:graphicData>
            </a:graphic>
          </wp:inline>
        </w:drawing>
      </w:r>
    </w:p>
    <w:p w14:paraId="72ABBB4A" w14:textId="00D1C1F4" w:rsidR="00B51223" w:rsidRDefault="00B51223" w:rsidP="008D752A">
      <w:pPr>
        <w:pStyle w:val="enumlev2"/>
        <w:tabs>
          <w:tab w:val="clear" w:pos="1134"/>
        </w:tabs>
        <w:spacing w:before="0" w:after="240"/>
        <w:ind w:left="0" w:firstLine="0"/>
        <w:jc w:val="both"/>
      </w:pPr>
      <w:r w:rsidRPr="00E05D71">
        <w:t xml:space="preserve">The </w:t>
      </w:r>
      <w:r>
        <w:t>chart</w:t>
      </w:r>
      <w:r w:rsidRPr="00E05D71">
        <w:t xml:space="preserve"> below gives the breakdown by category of the estimates for 20</w:t>
      </w:r>
      <w:r>
        <w:t>26</w:t>
      </w:r>
      <w:r w:rsidRPr="00E05D71">
        <w:t>-20</w:t>
      </w:r>
      <w:r>
        <w:t xml:space="preserve">27. Staff and other staff costs account for some </w:t>
      </w:r>
      <w:r w:rsidR="001E1EC3">
        <w:t>83</w:t>
      </w:r>
      <w:r>
        <w:t>%.</w:t>
      </w:r>
    </w:p>
    <w:p w14:paraId="6588B387" w14:textId="0FA52037" w:rsidR="001E1EC3" w:rsidRPr="003C71D2" w:rsidRDefault="001E1EC3" w:rsidP="003C71D2">
      <w:pPr>
        <w:spacing w:before="0" w:after="240"/>
        <w:jc w:val="center"/>
      </w:pPr>
      <w:r>
        <w:rPr>
          <w:noProof/>
        </w:rPr>
        <w:drawing>
          <wp:inline distT="0" distB="0" distL="0" distR="0" wp14:anchorId="04501E04" wp14:editId="33190327">
            <wp:extent cx="3359320" cy="2590080"/>
            <wp:effectExtent l="0" t="0" r="0" b="0"/>
            <wp:docPr id="167396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67023" name=""/>
                    <pic:cNvPicPr/>
                  </pic:nvPicPr>
                  <pic:blipFill rotWithShape="1">
                    <a:blip r:embed="rId30"/>
                    <a:srcRect t="2265"/>
                    <a:stretch/>
                  </pic:blipFill>
                  <pic:spPr bwMode="auto">
                    <a:xfrm>
                      <a:off x="0" y="0"/>
                      <a:ext cx="3359320" cy="2590080"/>
                    </a:xfrm>
                    <a:prstGeom prst="rect">
                      <a:avLst/>
                    </a:prstGeom>
                    <a:ln>
                      <a:noFill/>
                    </a:ln>
                    <a:extLst>
                      <a:ext uri="{53640926-AAD7-44D8-BBD7-CCE9431645EC}">
                        <a14:shadowObscured xmlns:a14="http://schemas.microsoft.com/office/drawing/2010/main"/>
                      </a:ext>
                    </a:extLst>
                  </pic:spPr>
                </pic:pic>
              </a:graphicData>
            </a:graphic>
          </wp:inline>
        </w:drawing>
      </w:r>
    </w:p>
    <w:p w14:paraId="06502DF5" w14:textId="231DFAB6" w:rsidR="001E1EC3" w:rsidRPr="00324DB7" w:rsidRDefault="00936F54" w:rsidP="00BC5218">
      <w:pPr>
        <w:keepNext/>
        <w:keepLines/>
        <w:spacing w:after="240"/>
        <w:rPr>
          <w:b/>
          <w:bCs/>
          <w:color w:val="002060"/>
          <w:lang w:val="en-US"/>
        </w:rPr>
      </w:pPr>
      <w:bookmarkStart w:id="11" w:name="_Hlk196840751"/>
      <w:r>
        <w:rPr>
          <w:b/>
          <w:bCs/>
          <w:color w:val="002060"/>
          <w:lang w:val="en-US"/>
        </w:rPr>
        <w:lastRenderedPageBreak/>
        <w:t>4</w:t>
      </w:r>
      <w:r w:rsidR="001E1EC3" w:rsidRPr="00324DB7">
        <w:rPr>
          <w:b/>
          <w:bCs/>
          <w:color w:val="002060"/>
          <w:lang w:val="en-US"/>
        </w:rPr>
        <w:tab/>
      </w:r>
      <w:r>
        <w:rPr>
          <w:b/>
          <w:bCs/>
          <w:color w:val="002060"/>
          <w:lang w:val="en-US"/>
        </w:rPr>
        <w:t>Revenue by source</w:t>
      </w:r>
    </w:p>
    <w:p w14:paraId="106B7ABC" w14:textId="65292D73" w:rsidR="001E1EC3" w:rsidRDefault="00936F54" w:rsidP="00BC5218">
      <w:pPr>
        <w:keepNext/>
        <w:keepLines/>
        <w:spacing w:before="0" w:after="240"/>
        <w:jc w:val="both"/>
        <w:rPr>
          <w:lang w:val="en-US"/>
        </w:rPr>
      </w:pPr>
      <w:r>
        <w:rPr>
          <w:lang w:val="en-US"/>
        </w:rPr>
        <w:t>4</w:t>
      </w:r>
      <w:r w:rsidR="001E1EC3" w:rsidRPr="00324DB7">
        <w:rPr>
          <w:lang w:val="en-US"/>
        </w:rPr>
        <w:t>.1</w:t>
      </w:r>
      <w:r w:rsidR="001E1EC3" w:rsidRPr="00324DB7">
        <w:rPr>
          <w:lang w:val="en-US"/>
        </w:rPr>
        <w:tab/>
        <w:t xml:space="preserve">This chapter gives information on the </w:t>
      </w:r>
      <w:r>
        <w:rPr>
          <w:lang w:val="en-US"/>
        </w:rPr>
        <w:t>revenue</w:t>
      </w:r>
      <w:r w:rsidR="001E1EC3" w:rsidRPr="00324DB7">
        <w:rPr>
          <w:lang w:val="en-US"/>
        </w:rPr>
        <w:t xml:space="preserve"> estimates for 20</w:t>
      </w:r>
      <w:r w:rsidR="001E1EC3">
        <w:rPr>
          <w:lang w:val="en-US"/>
        </w:rPr>
        <w:t>26</w:t>
      </w:r>
      <w:r w:rsidR="001E1EC3" w:rsidRPr="00324DB7">
        <w:rPr>
          <w:lang w:val="en-US"/>
        </w:rPr>
        <w:t>-20</w:t>
      </w:r>
      <w:r w:rsidR="001E1EC3">
        <w:rPr>
          <w:lang w:val="en-US"/>
        </w:rPr>
        <w:t>27</w:t>
      </w:r>
      <w:r w:rsidR="000B0D87">
        <w:rPr>
          <w:lang w:val="en-US"/>
        </w:rPr>
        <w:t xml:space="preserve"> </w:t>
      </w:r>
      <w:r w:rsidR="001E1EC3" w:rsidRPr="00324DB7">
        <w:rPr>
          <w:lang w:val="en-US"/>
        </w:rPr>
        <w:t xml:space="preserve">by </w:t>
      </w:r>
      <w:r>
        <w:rPr>
          <w:lang w:val="en-US"/>
        </w:rPr>
        <w:t>source</w:t>
      </w:r>
      <w:r w:rsidR="001E1EC3" w:rsidRPr="00324DB7">
        <w:rPr>
          <w:lang w:val="en-US"/>
        </w:rPr>
        <w:t xml:space="preserve">, as defined in Article </w:t>
      </w:r>
      <w:r>
        <w:rPr>
          <w:lang w:val="en-US"/>
        </w:rPr>
        <w:t>7</w:t>
      </w:r>
      <w:r w:rsidR="001E1EC3" w:rsidRPr="00324DB7">
        <w:rPr>
          <w:lang w:val="en-US"/>
        </w:rPr>
        <w:t xml:space="preserve"> of the</w:t>
      </w:r>
      <w:r w:rsidR="001E1EC3">
        <w:rPr>
          <w:lang w:val="en-US"/>
        </w:rPr>
        <w:t xml:space="preserve"> </w:t>
      </w:r>
      <w:r w:rsidR="001E1EC3" w:rsidRPr="00324DB7">
        <w:rPr>
          <w:lang w:val="en-US"/>
        </w:rPr>
        <w:t>financial regulation</w:t>
      </w:r>
      <w:r>
        <w:rPr>
          <w:lang w:val="en-US"/>
        </w:rPr>
        <w:t>s.</w:t>
      </w:r>
    </w:p>
    <w:p w14:paraId="23950145" w14:textId="2C011A21" w:rsidR="00936F54" w:rsidRDefault="00936F54" w:rsidP="008D752A">
      <w:pPr>
        <w:spacing w:before="0" w:after="240"/>
        <w:jc w:val="both"/>
      </w:pPr>
      <w:r>
        <w:rPr>
          <w:lang w:val="en-US"/>
        </w:rPr>
        <w:t>4.2</w:t>
      </w:r>
      <w:r>
        <w:rPr>
          <w:lang w:val="en-US"/>
        </w:rPr>
        <w:tab/>
        <w:t xml:space="preserve">The following table </w:t>
      </w:r>
      <w:r w:rsidRPr="007148A2">
        <w:t>provides the revenue forecast for 2026</w:t>
      </w:r>
      <w:r w:rsidR="007B7C6F">
        <w:rPr>
          <w:rFonts w:cs="Calibri"/>
        </w:rPr>
        <w:t>−</w:t>
      </w:r>
      <w:r w:rsidRPr="007148A2">
        <w:t>2027</w:t>
      </w:r>
      <w:r>
        <w:t xml:space="preserve"> </w:t>
      </w:r>
      <w:r w:rsidR="00C56A0F">
        <w:t>compared</w:t>
      </w:r>
      <w:r>
        <w:t xml:space="preserve"> with the Financial Plan, the 2024</w:t>
      </w:r>
      <w:r w:rsidR="007B7C6F">
        <w:rPr>
          <w:rFonts w:cs="Calibri"/>
        </w:rPr>
        <w:t>−</w:t>
      </w:r>
      <w:r>
        <w:t>2025 budget and the 2024 actual</w:t>
      </w:r>
      <w:r w:rsidR="000B0D87">
        <w:t xml:space="preserve"> revenues</w:t>
      </w:r>
      <w:r>
        <w:t>.</w:t>
      </w:r>
      <w:r w:rsidRPr="007148A2">
        <w:t xml:space="preserve"> Anticipated revenues for </w:t>
      </w:r>
      <w:r w:rsidRPr="00280D9B">
        <w:t>2026</w:t>
      </w:r>
      <w:r w:rsidR="00170B4B">
        <w:rPr>
          <w:rFonts w:cs="Calibri"/>
        </w:rPr>
        <w:t>−</w:t>
      </w:r>
      <w:r w:rsidRPr="00280D9B">
        <w:t>2027 are MCHF</w:t>
      </w:r>
      <w:r w:rsidR="00BC5218">
        <w:t> </w:t>
      </w:r>
      <w:r>
        <w:t>3.6</w:t>
      </w:r>
      <w:r w:rsidRPr="00280D9B">
        <w:t xml:space="preserve"> </w:t>
      </w:r>
      <w:r>
        <w:t xml:space="preserve">above </w:t>
      </w:r>
      <w:r w:rsidRPr="00280D9B">
        <w:t>the anticipated revenue foreseen by the Plenipotentiary Conference when the 2024-2027 Financial Plan was approved</w:t>
      </w:r>
      <w:r>
        <w:t>.</w:t>
      </w:r>
      <w:r w:rsidR="003D50FB">
        <w:t xml:space="preserve"> The difference</w:t>
      </w:r>
      <w:r w:rsidR="003C71D2">
        <w:t>s</w:t>
      </w:r>
      <w:r w:rsidR="003D50FB">
        <w:t xml:space="preserve"> between 2026 and 2027 </w:t>
      </w:r>
      <w:r w:rsidR="003C71D2">
        <w:t>are</w:t>
      </w:r>
      <w:r w:rsidR="003D50FB">
        <w:t xml:space="preserve"> </w:t>
      </w:r>
      <w:r w:rsidR="003476EA">
        <w:t xml:space="preserve">mainly </w:t>
      </w:r>
      <w:r w:rsidR="003D50FB">
        <w:t xml:space="preserve">on account of the programme variation (PP in 2026 and WRC, RA and CPM in 2027). </w:t>
      </w:r>
      <w:r w:rsidR="008C12CD">
        <w:t>MCHF</w:t>
      </w:r>
      <w:r w:rsidR="00BC5218">
        <w:t> </w:t>
      </w:r>
      <w:r w:rsidR="008C12CD">
        <w:t>2.8 is foreseen to be paid into the reserve account in 2026 and withdrawn in 2027</w:t>
      </w:r>
      <w:r w:rsidR="003C71D2">
        <w:t xml:space="preserve"> to </w:t>
      </w:r>
      <w:r w:rsidR="00C770BD">
        <w:t>compensate for</w:t>
      </w:r>
      <w:r w:rsidR="003C71D2">
        <w:t xml:space="preserve"> the expense variation between the two years in the biennium</w:t>
      </w:r>
      <w:r w:rsidR="008C12CD">
        <w:t>.</w:t>
      </w:r>
      <w:r w:rsidR="00633C1E">
        <w:t xml:space="preserve"> </w:t>
      </w:r>
      <w:r w:rsidR="00633C1E" w:rsidRPr="00626066">
        <w:t xml:space="preserve">The payment into the building maintenance fund </w:t>
      </w:r>
      <w:r w:rsidR="005070D9" w:rsidRPr="005070D9">
        <w:t>is less than the MCHF</w:t>
      </w:r>
      <w:r w:rsidR="005070D9">
        <w:t> </w:t>
      </w:r>
      <w:r w:rsidR="005070D9" w:rsidRPr="005070D9">
        <w:t xml:space="preserve">2 annual estimated capital maintenance requirement for the Tower and </w:t>
      </w:r>
      <w:proofErr w:type="spellStart"/>
      <w:r w:rsidR="005070D9" w:rsidRPr="005070D9">
        <w:t>Montbrillant</w:t>
      </w:r>
      <w:proofErr w:type="spellEnd"/>
      <w:r w:rsidR="005070D9" w:rsidRPr="005070D9">
        <w:t xml:space="preserve"> buildings recommended by the </w:t>
      </w:r>
      <w:r w:rsidR="005070D9">
        <w:t>s</w:t>
      </w:r>
      <w:r w:rsidR="005070D9" w:rsidRPr="005070D9">
        <w:t>ecretariat to CWG-FHR at its February 2025 session (</w:t>
      </w:r>
      <w:hyperlink r:id="rId31" w:history="1">
        <w:r w:rsidR="005070D9" w:rsidRPr="005070D9">
          <w:rPr>
            <w:rStyle w:val="Hyperlink"/>
          </w:rPr>
          <w:t>CWG-FHR 20/8</w:t>
        </w:r>
      </w:hyperlink>
      <w:r w:rsidR="005070D9" w:rsidRPr="005070D9">
        <w:t>),</w:t>
      </w:r>
      <w:r w:rsidR="00BB40C6">
        <w:t xml:space="preserve"> </w:t>
      </w:r>
      <w:r w:rsidR="00C770BD">
        <w:t>however at this time it is impossible to allocate</w:t>
      </w:r>
      <w:r w:rsidR="00633C1E" w:rsidRPr="00626066">
        <w:t xml:space="preserve"> more due to budgetary limitations.</w:t>
      </w:r>
      <w:bookmarkEnd w:id="11"/>
    </w:p>
    <w:p w14:paraId="2012FBA9" w14:textId="77777777" w:rsidR="00936F54" w:rsidRDefault="00936F54" w:rsidP="001E1EC3">
      <w:pPr>
        <w:spacing w:before="0"/>
      </w:pPr>
    </w:p>
    <w:p w14:paraId="1911E465" w14:textId="0BC66531" w:rsidR="00936F54" w:rsidRDefault="007C4615" w:rsidP="001E1EC3">
      <w:pPr>
        <w:spacing w:before="0"/>
      </w:pPr>
      <w:r w:rsidRPr="007C4615">
        <w:rPr>
          <w:noProof/>
        </w:rPr>
        <w:drawing>
          <wp:inline distT="0" distB="0" distL="0" distR="0" wp14:anchorId="5524B395" wp14:editId="49D47F7A">
            <wp:extent cx="5760085" cy="1515110"/>
            <wp:effectExtent l="0" t="0" r="5715" b="0"/>
            <wp:docPr id="182127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72146" name=""/>
                    <pic:cNvPicPr/>
                  </pic:nvPicPr>
                  <pic:blipFill>
                    <a:blip r:embed="rId32"/>
                    <a:stretch>
                      <a:fillRect/>
                    </a:stretch>
                  </pic:blipFill>
                  <pic:spPr>
                    <a:xfrm>
                      <a:off x="0" y="0"/>
                      <a:ext cx="5760085" cy="1515110"/>
                    </a:xfrm>
                    <a:prstGeom prst="rect">
                      <a:avLst/>
                    </a:prstGeom>
                  </pic:spPr>
                </pic:pic>
              </a:graphicData>
            </a:graphic>
          </wp:inline>
        </w:drawing>
      </w:r>
    </w:p>
    <w:p w14:paraId="0D5CAB8D" w14:textId="005D9E2D" w:rsidR="00936F54" w:rsidRDefault="00936F54" w:rsidP="00C770BD">
      <w:pPr>
        <w:spacing w:after="240"/>
        <w:jc w:val="both"/>
      </w:pPr>
      <w:r>
        <w:t>4.3</w:t>
      </w:r>
      <w:r w:rsidRPr="00280D9B">
        <w:tab/>
        <w:t>Assessed contributions increase</w:t>
      </w:r>
      <w:r w:rsidR="00A54C18">
        <w:t>d</w:t>
      </w:r>
      <w:r w:rsidRPr="00280D9B">
        <w:t xml:space="preserve"> marginally by </w:t>
      </w:r>
      <w:r>
        <w:t>K</w:t>
      </w:r>
      <w:r w:rsidRPr="00280D9B">
        <w:t>CHF</w:t>
      </w:r>
      <w:r w:rsidR="00ED1EAE">
        <w:t> </w:t>
      </w:r>
      <w:r>
        <w:t xml:space="preserve">580, </w:t>
      </w:r>
      <w:r w:rsidRPr="00280D9B">
        <w:t>although the value of the contributory unit has been maintained at CHF</w:t>
      </w:r>
      <w:r w:rsidR="00ED1EAE">
        <w:t> </w:t>
      </w:r>
      <w:r w:rsidRPr="00280D9B">
        <w:t>318</w:t>
      </w:r>
      <w:r>
        <w:t> </w:t>
      </w:r>
      <w:r w:rsidRPr="00280D9B">
        <w:t>000 in accordance with Decision</w:t>
      </w:r>
      <w:r w:rsidR="00ED1EAE">
        <w:t> </w:t>
      </w:r>
      <w:r w:rsidRPr="00280D9B">
        <w:t>5 (Rev.</w:t>
      </w:r>
      <w:r>
        <w:t> </w:t>
      </w:r>
      <w:r w:rsidRPr="00280D9B">
        <w:t xml:space="preserve">Bucharest, 2022). As presented in </w:t>
      </w:r>
      <w:r>
        <w:t xml:space="preserve">the </w:t>
      </w:r>
      <w:r w:rsidR="000B34D9">
        <w:t>following</w:t>
      </w:r>
      <w:r>
        <w:t xml:space="preserve"> table</w:t>
      </w:r>
      <w:r w:rsidRPr="00280D9B">
        <w:t xml:space="preserve">, the anticipated increase in assessed contributions </w:t>
      </w:r>
      <w:r w:rsidR="00F40AFF">
        <w:t>compared with the financial plan is mainly because</w:t>
      </w:r>
      <w:r w:rsidRPr="00280D9B">
        <w:t xml:space="preserve"> of the increase in Associate members, with smaller increases also expected from additional Sector Members, Academia and </w:t>
      </w:r>
      <w:r w:rsidR="000250E2">
        <w:t>joining</w:t>
      </w:r>
      <w:r w:rsidRPr="00280D9B">
        <w:t xml:space="preserve"> a new Member State</w:t>
      </w:r>
      <w:r w:rsidR="001740F5">
        <w:t xml:space="preserve"> to the ITU</w:t>
      </w:r>
      <w:r w:rsidRPr="00280D9B">
        <w:t xml:space="preserve">. </w:t>
      </w:r>
    </w:p>
    <w:p w14:paraId="3788E121" w14:textId="32C9A0AF" w:rsidR="00936F54" w:rsidRDefault="00AB1EC0" w:rsidP="00C770BD">
      <w:pPr>
        <w:spacing w:before="0" w:after="240"/>
      </w:pPr>
      <w:r w:rsidRPr="00AB1EC0">
        <w:rPr>
          <w:noProof/>
        </w:rPr>
        <w:drawing>
          <wp:inline distT="0" distB="0" distL="0" distR="0" wp14:anchorId="7C263AE7" wp14:editId="7E7988C7">
            <wp:extent cx="5760085" cy="2312670"/>
            <wp:effectExtent l="0" t="0" r="5715" b="0"/>
            <wp:docPr id="169806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67891" name=""/>
                    <pic:cNvPicPr/>
                  </pic:nvPicPr>
                  <pic:blipFill>
                    <a:blip r:embed="rId33"/>
                    <a:stretch>
                      <a:fillRect/>
                    </a:stretch>
                  </pic:blipFill>
                  <pic:spPr>
                    <a:xfrm>
                      <a:off x="0" y="0"/>
                      <a:ext cx="5760085" cy="2312670"/>
                    </a:xfrm>
                    <a:prstGeom prst="rect">
                      <a:avLst/>
                    </a:prstGeom>
                  </pic:spPr>
                </pic:pic>
              </a:graphicData>
            </a:graphic>
          </wp:inline>
        </w:drawing>
      </w:r>
    </w:p>
    <w:p w14:paraId="4CC77779" w14:textId="77777777" w:rsidR="00095A4A" w:rsidRDefault="00AB1EC0" w:rsidP="008D752A">
      <w:pPr>
        <w:spacing w:before="0" w:after="240"/>
        <w:jc w:val="both"/>
      </w:pPr>
      <w:r>
        <w:lastRenderedPageBreak/>
        <w:t>4.4</w:t>
      </w:r>
      <w:r w:rsidRPr="00280D9B">
        <w:tab/>
      </w:r>
      <w:r w:rsidR="00C770BD">
        <w:t>A</w:t>
      </w:r>
      <w:r>
        <w:t xml:space="preserve"> limited reduction </w:t>
      </w:r>
      <w:r w:rsidR="00C770BD">
        <w:t>in cost recovery revenues for sales of publications is expected in 2026-</w:t>
      </w:r>
      <w:r w:rsidR="00401E20">
        <w:t>2</w:t>
      </w:r>
      <w:r w:rsidR="00C770BD">
        <w:t xml:space="preserve">027 as </w:t>
      </w:r>
      <w:r>
        <w:t xml:space="preserve">compared with the Financial Plan </w:t>
      </w:r>
      <w:r w:rsidR="00CE3EAD">
        <w:t>because</w:t>
      </w:r>
      <w:r>
        <w:t xml:space="preserve"> of the publication programme for this timeframe</w:t>
      </w:r>
      <w:r w:rsidR="00401E20">
        <w:t xml:space="preserve"> which will include a WRC</w:t>
      </w:r>
      <w:r>
        <w:t xml:space="preserve">. </w:t>
      </w:r>
    </w:p>
    <w:p w14:paraId="3BB75B98" w14:textId="0575CBEE" w:rsidR="00095A4A" w:rsidRDefault="00095A4A" w:rsidP="008D752A">
      <w:pPr>
        <w:spacing w:before="0" w:after="240"/>
        <w:jc w:val="both"/>
      </w:pPr>
      <w:r>
        <w:t>4.5</w:t>
      </w:r>
      <w:r>
        <w:tab/>
      </w:r>
      <w:r w:rsidR="000B0D87">
        <w:t>F</w:t>
      </w:r>
      <w:r w:rsidR="00AB1EC0">
        <w:t xml:space="preserve">or </w:t>
      </w:r>
      <w:r w:rsidR="00401E20">
        <w:t>Satellite Network Filing (SNF) cost recovery</w:t>
      </w:r>
      <w:r w:rsidR="00AB1EC0">
        <w:t xml:space="preserve">, the annual full costs </w:t>
      </w:r>
      <w:r w:rsidR="00401E20">
        <w:t xml:space="preserve">of ITU’s work in this area </w:t>
      </w:r>
      <w:r w:rsidR="00AB1EC0">
        <w:t>are estimated at MCHF</w:t>
      </w:r>
      <w:r w:rsidR="00ED1EAE">
        <w:t> </w:t>
      </w:r>
      <w:r w:rsidR="00AB1EC0">
        <w:t>22.</w:t>
      </w:r>
      <w:r w:rsidR="00401E20">
        <w:t>8 however</w:t>
      </w:r>
      <w:r w:rsidR="00AB1EC0">
        <w:t xml:space="preserve"> only MCHF</w:t>
      </w:r>
      <w:r w:rsidR="00ED1EAE">
        <w:t> </w:t>
      </w:r>
      <w:r w:rsidR="00AB1EC0">
        <w:t>1</w:t>
      </w:r>
      <w:r w:rsidR="007C4615">
        <w:t>8</w:t>
      </w:r>
      <w:r w:rsidR="00AB1EC0">
        <w:t xml:space="preserve"> </w:t>
      </w:r>
      <w:r w:rsidR="00401E20">
        <w:t>has</w:t>
      </w:r>
      <w:r w:rsidR="00AB1EC0">
        <w:t xml:space="preserve"> been included in the 2026-2027 estimates</w:t>
      </w:r>
      <w:r w:rsidR="00401E20">
        <w:t>. This estimate is</w:t>
      </w:r>
      <w:r w:rsidR="00AB1EC0">
        <w:t xml:space="preserve"> based on </w:t>
      </w:r>
      <w:r w:rsidR="00401E20">
        <w:t xml:space="preserve">proposal by the </w:t>
      </w:r>
      <w:r w:rsidR="00623E4D">
        <w:t>s</w:t>
      </w:r>
      <w:r w:rsidR="00401E20">
        <w:t xml:space="preserve">ecretariat </w:t>
      </w:r>
      <w:r w:rsidR="00AA52C7">
        <w:t>for modified</w:t>
      </w:r>
      <w:r w:rsidR="00AB1EC0">
        <w:t xml:space="preserve"> </w:t>
      </w:r>
      <w:r w:rsidR="00401E20">
        <w:t>implement</w:t>
      </w:r>
      <w:r w:rsidR="00AA52C7">
        <w:t>ation of</w:t>
      </w:r>
      <w:r w:rsidR="00401E20">
        <w:t xml:space="preserve"> the</w:t>
      </w:r>
      <w:r w:rsidR="00AB1EC0">
        <w:t xml:space="preserve"> </w:t>
      </w:r>
      <w:r w:rsidR="00401E20">
        <w:t>recommendations of EG</w:t>
      </w:r>
      <w:r w:rsidR="00ED1EAE">
        <w:t>-DEC</w:t>
      </w:r>
      <w:r w:rsidR="00AB1EC0">
        <w:t xml:space="preserve">482 </w:t>
      </w:r>
      <w:r w:rsidR="00BB40C6">
        <w:t xml:space="preserve">which will be presented to </w:t>
      </w:r>
      <w:r w:rsidR="00AB1EC0">
        <w:t xml:space="preserve">Council 2025. </w:t>
      </w:r>
      <w:r w:rsidR="00FA02A4">
        <w:t xml:space="preserve">This proposal recognizes the </w:t>
      </w:r>
      <w:r w:rsidR="00DB7EAF">
        <w:t xml:space="preserve">practical </w:t>
      </w:r>
      <w:r w:rsidR="00FA02A4">
        <w:t xml:space="preserve">challenges with </w:t>
      </w:r>
      <w:r w:rsidR="00DB7EAF">
        <w:t xml:space="preserve">recovering the full costs identified by the </w:t>
      </w:r>
      <w:proofErr w:type="gramStart"/>
      <w:r w:rsidR="00623E4D">
        <w:t>s</w:t>
      </w:r>
      <w:r w:rsidR="00DB7EAF">
        <w:t>ecretariat, and</w:t>
      </w:r>
      <w:proofErr w:type="gramEnd"/>
      <w:r w:rsidR="00DB7EAF">
        <w:t xml:space="preserve"> </w:t>
      </w:r>
      <w:r>
        <w:t xml:space="preserve">proposes the application of </w:t>
      </w:r>
      <w:r w:rsidR="0004468C">
        <w:t>benchmark</w:t>
      </w:r>
      <w:r w:rsidR="004A287C">
        <w:t>ed limits</w:t>
      </w:r>
      <w:r w:rsidR="0004468C">
        <w:t>.</w:t>
      </w:r>
      <w:r w:rsidR="00AB1EC0">
        <w:t xml:space="preserve"> </w:t>
      </w:r>
      <w:r>
        <w:t>In addition to the benchmarked full cost estimate, it is proposed to allocate an additional M</w:t>
      </w:r>
      <w:r w:rsidR="00ED1EAE">
        <w:t>CH</w:t>
      </w:r>
      <w:r>
        <w:t>F</w:t>
      </w:r>
      <w:r w:rsidR="00ED1EAE">
        <w:t> </w:t>
      </w:r>
      <w:r>
        <w:t xml:space="preserve">1 per year, to be paid into the ICT Fund, to offset the cost of the BR software improvement programme which is needed to facilitate SNF efforts. The </w:t>
      </w:r>
      <w:r w:rsidR="00623E4D">
        <w:t>s</w:t>
      </w:r>
      <w:r>
        <w:t xml:space="preserve">ecretariat has proposed in document </w:t>
      </w:r>
      <w:hyperlink r:id="rId34" w:history="1">
        <w:r w:rsidRPr="008D752A">
          <w:rPr>
            <w:rStyle w:val="Hyperlink"/>
          </w:rPr>
          <w:t>C25/</w:t>
        </w:r>
        <w:r w:rsidR="008D752A" w:rsidRPr="008D752A">
          <w:rPr>
            <w:rStyle w:val="Hyperlink"/>
          </w:rPr>
          <w:t>64</w:t>
        </w:r>
      </w:hyperlink>
      <w:r>
        <w:t xml:space="preserve"> that this be collected from SNF fees. If the additional revenues are not approved this provision will be deleted.</w:t>
      </w:r>
    </w:p>
    <w:p w14:paraId="6D5DD11A" w14:textId="3F64A2DC" w:rsidR="00AB1EC0" w:rsidRDefault="00095A4A" w:rsidP="008D752A">
      <w:pPr>
        <w:spacing w:before="0" w:after="240"/>
        <w:jc w:val="both"/>
      </w:pPr>
      <w:r>
        <w:t>4.6</w:t>
      </w:r>
      <w:r>
        <w:tab/>
      </w:r>
      <w:r w:rsidR="00AB1EC0">
        <w:t>Project support cost revenue is expected to continue rising</w:t>
      </w:r>
      <w:r w:rsidR="005702D0">
        <w:t>,</w:t>
      </w:r>
      <w:r w:rsidR="00AB1EC0">
        <w:t xml:space="preserve"> as </w:t>
      </w:r>
      <w:r w:rsidR="009823E7">
        <w:t>has been the case in</w:t>
      </w:r>
      <w:r w:rsidR="00AB1EC0">
        <w:t xml:space="preserve"> recent years.</w:t>
      </w:r>
      <w:r w:rsidR="008D513F">
        <w:t xml:space="preserve"> </w:t>
      </w:r>
      <w:r w:rsidR="00801E19">
        <w:t xml:space="preserve">The excess above the </w:t>
      </w:r>
      <w:r w:rsidR="001138FC">
        <w:t>financial plan estimate will be paid into the ICT Development Fund.</w:t>
      </w:r>
    </w:p>
    <w:p w14:paraId="7C5D3177" w14:textId="38B5F828" w:rsidR="00AB1EC0" w:rsidRDefault="007C4615" w:rsidP="00C770BD">
      <w:pPr>
        <w:spacing w:before="0" w:after="240"/>
      </w:pPr>
      <w:r w:rsidRPr="007C4615">
        <w:rPr>
          <w:noProof/>
        </w:rPr>
        <w:drawing>
          <wp:inline distT="0" distB="0" distL="0" distR="0" wp14:anchorId="37FDF71D" wp14:editId="237EC689">
            <wp:extent cx="5760085" cy="1731010"/>
            <wp:effectExtent l="0" t="0" r="5715" b="0"/>
            <wp:docPr id="12520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2706" name=""/>
                    <pic:cNvPicPr/>
                  </pic:nvPicPr>
                  <pic:blipFill>
                    <a:blip r:embed="rId35"/>
                    <a:stretch>
                      <a:fillRect/>
                    </a:stretch>
                  </pic:blipFill>
                  <pic:spPr>
                    <a:xfrm>
                      <a:off x="0" y="0"/>
                      <a:ext cx="5760085" cy="1731010"/>
                    </a:xfrm>
                    <a:prstGeom prst="rect">
                      <a:avLst/>
                    </a:prstGeom>
                  </pic:spPr>
                </pic:pic>
              </a:graphicData>
            </a:graphic>
          </wp:inline>
        </w:drawing>
      </w:r>
    </w:p>
    <w:p w14:paraId="789EF093" w14:textId="6E22D3B8" w:rsidR="00AB1EC0" w:rsidRDefault="00AB1EC0" w:rsidP="00C770BD">
      <w:pPr>
        <w:spacing w:after="240"/>
        <w:jc w:val="both"/>
      </w:pPr>
      <w:r>
        <w:t>4.</w:t>
      </w:r>
      <w:r w:rsidR="00095A4A">
        <w:t>7</w:t>
      </w:r>
      <w:r w:rsidRPr="00280D9B">
        <w:tab/>
        <w:t xml:space="preserve">As presented in </w:t>
      </w:r>
      <w:r>
        <w:t>the table</w:t>
      </w:r>
      <w:r w:rsidRPr="00280D9B">
        <w:rPr>
          <w:b/>
          <w:bCs/>
        </w:rPr>
        <w:t xml:space="preserve"> </w:t>
      </w:r>
      <w:r w:rsidRPr="00280D9B">
        <w:t xml:space="preserve">below, anticipated interest and other revenue have been adjusted based on the results achieved in recent years. </w:t>
      </w:r>
      <w:r w:rsidR="00DA25B1">
        <w:t>R</w:t>
      </w:r>
      <w:r w:rsidR="00CE2A86" w:rsidRPr="00280D9B">
        <w:t>evenue</w:t>
      </w:r>
      <w:r w:rsidRPr="00280D9B">
        <w:t xml:space="preserve"> from interest is estimated to increase by MCHF</w:t>
      </w:r>
      <w:r w:rsidR="00ED1EAE">
        <w:t> </w:t>
      </w:r>
      <w:r w:rsidR="00D71D73">
        <w:t>3.6</w:t>
      </w:r>
      <w:r w:rsidR="00D71D73" w:rsidRPr="00280D9B">
        <w:t>,</w:t>
      </w:r>
      <w:r w:rsidRPr="00280D9B">
        <w:t xml:space="preserve"> while other revenue is anticipated to increase by MCHF</w:t>
      </w:r>
      <w:r>
        <w:t> </w:t>
      </w:r>
      <w:r w:rsidRPr="00280D9B">
        <w:t>0.</w:t>
      </w:r>
      <w:r>
        <w:t>5</w:t>
      </w:r>
      <w:r w:rsidRPr="00280D9B">
        <w:t xml:space="preserve">. </w:t>
      </w:r>
    </w:p>
    <w:p w14:paraId="1EBAA028" w14:textId="128F6CB3" w:rsidR="00AB1EC0" w:rsidRDefault="00D71D73" w:rsidP="00C770BD">
      <w:pPr>
        <w:spacing w:before="0" w:after="240"/>
      </w:pPr>
      <w:r w:rsidRPr="00D71D73">
        <w:rPr>
          <w:noProof/>
        </w:rPr>
        <w:drawing>
          <wp:inline distT="0" distB="0" distL="0" distR="0" wp14:anchorId="2349C65D" wp14:editId="6FDF6D21">
            <wp:extent cx="5760085" cy="1226185"/>
            <wp:effectExtent l="0" t="0" r="5715" b="5715"/>
            <wp:docPr id="27379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8017" name=""/>
                    <pic:cNvPicPr/>
                  </pic:nvPicPr>
                  <pic:blipFill>
                    <a:blip r:embed="rId36"/>
                    <a:stretch>
                      <a:fillRect/>
                    </a:stretch>
                  </pic:blipFill>
                  <pic:spPr>
                    <a:xfrm>
                      <a:off x="0" y="0"/>
                      <a:ext cx="5760085" cy="1226185"/>
                    </a:xfrm>
                    <a:prstGeom prst="rect">
                      <a:avLst/>
                    </a:prstGeom>
                  </pic:spPr>
                </pic:pic>
              </a:graphicData>
            </a:graphic>
          </wp:inline>
        </w:drawing>
      </w:r>
    </w:p>
    <w:p w14:paraId="36C1101B" w14:textId="77777777" w:rsidR="00D71D73" w:rsidRDefault="00D71D73" w:rsidP="00C770BD">
      <w:pPr>
        <w:spacing w:before="0" w:after="240"/>
      </w:pPr>
    </w:p>
    <w:p w14:paraId="628406B6" w14:textId="4246E72F" w:rsidR="00D71D73" w:rsidRPr="00324DB7" w:rsidRDefault="00D71D73" w:rsidP="00ED1EAE">
      <w:pPr>
        <w:keepNext/>
        <w:keepLines/>
        <w:spacing w:after="240"/>
        <w:rPr>
          <w:b/>
          <w:bCs/>
          <w:color w:val="002060"/>
          <w:lang w:val="en-US"/>
        </w:rPr>
      </w:pPr>
      <w:r>
        <w:rPr>
          <w:b/>
          <w:bCs/>
          <w:color w:val="002060"/>
          <w:lang w:val="en-US"/>
        </w:rPr>
        <w:lastRenderedPageBreak/>
        <w:t>5</w:t>
      </w:r>
      <w:r w:rsidRPr="00324DB7">
        <w:rPr>
          <w:b/>
          <w:bCs/>
          <w:color w:val="002060"/>
          <w:lang w:val="en-US"/>
        </w:rPr>
        <w:tab/>
      </w:r>
      <w:r>
        <w:rPr>
          <w:b/>
          <w:bCs/>
          <w:color w:val="002060"/>
          <w:lang w:val="en-US"/>
        </w:rPr>
        <w:t>Language services</w:t>
      </w:r>
    </w:p>
    <w:p w14:paraId="04ABF8EB" w14:textId="736D6530" w:rsidR="00D71D73" w:rsidRDefault="00D71D73" w:rsidP="00ED1EAE">
      <w:pPr>
        <w:keepNext/>
        <w:keepLines/>
        <w:snapToGrid w:val="0"/>
        <w:spacing w:after="240"/>
        <w:jc w:val="both"/>
        <w:rPr>
          <w:rFonts w:asciiTheme="minorHAnsi" w:hAnsiTheme="minorHAnsi"/>
        </w:rPr>
      </w:pPr>
      <w:r>
        <w:rPr>
          <w:lang w:val="en-US"/>
        </w:rPr>
        <w:t>5</w:t>
      </w:r>
      <w:r w:rsidRPr="00324DB7">
        <w:rPr>
          <w:lang w:val="en-US"/>
        </w:rPr>
        <w:t>.1</w:t>
      </w:r>
      <w:r w:rsidRPr="00324DB7">
        <w:rPr>
          <w:lang w:val="en-US"/>
        </w:rPr>
        <w:tab/>
      </w:r>
      <w:r w:rsidRPr="002E20FD">
        <w:rPr>
          <w:rFonts w:asciiTheme="minorHAnsi" w:hAnsiTheme="minorHAnsi"/>
        </w:rPr>
        <w:t xml:space="preserve">Under </w:t>
      </w:r>
      <w:proofErr w:type="gramStart"/>
      <w:r w:rsidRPr="00FA5E69">
        <w:rPr>
          <w:rFonts w:asciiTheme="minorHAnsi" w:hAnsiTheme="minorHAnsi"/>
          <w:i/>
          <w:iCs/>
        </w:rPr>
        <w:t>decides</w:t>
      </w:r>
      <w:proofErr w:type="gramEnd"/>
      <w:r w:rsidRPr="002E20FD">
        <w:rPr>
          <w:rFonts w:asciiTheme="minorHAnsi" w:hAnsiTheme="minorHAnsi"/>
        </w:rPr>
        <w:t xml:space="preserve"> 1.2 of Decision 5 (Rev. </w:t>
      </w:r>
      <w:r>
        <w:rPr>
          <w:rFonts w:asciiTheme="minorHAnsi" w:hAnsiTheme="minorHAnsi"/>
        </w:rPr>
        <w:t>Bucharest</w:t>
      </w:r>
      <w:r w:rsidRPr="002E20FD">
        <w:rPr>
          <w:rFonts w:asciiTheme="minorHAnsi" w:hAnsiTheme="minorHAnsi"/>
        </w:rPr>
        <w:t>, 20</w:t>
      </w:r>
      <w:r>
        <w:rPr>
          <w:rFonts w:asciiTheme="minorHAnsi" w:hAnsiTheme="minorHAnsi"/>
        </w:rPr>
        <w:t>22</w:t>
      </w:r>
      <w:r w:rsidRPr="002E20FD">
        <w:rPr>
          <w:rFonts w:asciiTheme="minorHAnsi" w:hAnsiTheme="minorHAnsi"/>
        </w:rPr>
        <w:t>)</w:t>
      </w:r>
      <w:r>
        <w:rPr>
          <w:rFonts w:asciiTheme="minorHAnsi" w:hAnsiTheme="minorHAnsi"/>
        </w:rPr>
        <w:t>,</w:t>
      </w:r>
      <w:r w:rsidRPr="002E20FD">
        <w:rPr>
          <w:rFonts w:asciiTheme="minorHAnsi" w:hAnsiTheme="minorHAnsi"/>
        </w:rPr>
        <w:t xml:space="preserve"> the expenses for</w:t>
      </w:r>
      <w:r w:rsidR="003534F0">
        <w:rPr>
          <w:rFonts w:asciiTheme="minorHAnsi" w:hAnsiTheme="minorHAnsi"/>
        </w:rPr>
        <w:t xml:space="preserve"> </w:t>
      </w:r>
      <w:r w:rsidRPr="002E20FD">
        <w:rPr>
          <w:rFonts w:asciiTheme="minorHAnsi" w:hAnsiTheme="minorHAnsi"/>
        </w:rPr>
        <w:t>interpretation, translation</w:t>
      </w:r>
      <w:r w:rsidR="006F7D73">
        <w:rPr>
          <w:rFonts w:asciiTheme="minorHAnsi" w:hAnsiTheme="minorHAnsi"/>
        </w:rPr>
        <w:t>,</w:t>
      </w:r>
      <w:r w:rsidRPr="002E20FD">
        <w:rPr>
          <w:rFonts w:asciiTheme="minorHAnsi" w:hAnsiTheme="minorHAnsi"/>
        </w:rPr>
        <w:t xml:space="preserve"> and text processing in respect of the official languages of the Union shall not exceed CHF</w:t>
      </w:r>
      <w:r>
        <w:rPr>
          <w:rFonts w:asciiTheme="minorHAnsi" w:hAnsiTheme="minorHAnsi"/>
        </w:rPr>
        <w:t> </w:t>
      </w:r>
      <w:r w:rsidRPr="002E20FD">
        <w:rPr>
          <w:rFonts w:asciiTheme="minorHAnsi" w:hAnsiTheme="minorHAnsi"/>
        </w:rPr>
        <w:t>85 million for the period 20</w:t>
      </w:r>
      <w:r>
        <w:rPr>
          <w:rFonts w:asciiTheme="minorHAnsi" w:hAnsiTheme="minorHAnsi"/>
        </w:rPr>
        <w:t>24-2027</w:t>
      </w:r>
      <w:r w:rsidRPr="002E20FD">
        <w:rPr>
          <w:rFonts w:asciiTheme="minorHAnsi" w:hAnsiTheme="minorHAnsi"/>
        </w:rPr>
        <w:t>.</w:t>
      </w:r>
    </w:p>
    <w:p w14:paraId="4AC171B7" w14:textId="3505986B" w:rsidR="00D71D73" w:rsidRDefault="00D71D73" w:rsidP="008D752A">
      <w:pPr>
        <w:snapToGrid w:val="0"/>
        <w:spacing w:after="240"/>
        <w:jc w:val="both"/>
        <w:rPr>
          <w:rFonts w:asciiTheme="minorHAnsi" w:hAnsiTheme="minorHAnsi"/>
        </w:rPr>
      </w:pPr>
      <w:r>
        <w:rPr>
          <w:rFonts w:asciiTheme="minorHAnsi" w:hAnsiTheme="minorHAnsi"/>
        </w:rPr>
        <w:t>5.2</w:t>
      </w:r>
      <w:r>
        <w:rPr>
          <w:rFonts w:asciiTheme="minorHAnsi" w:hAnsiTheme="minorHAnsi"/>
        </w:rPr>
        <w:tab/>
        <w:t xml:space="preserve">The following table </w:t>
      </w:r>
      <w:r w:rsidRPr="002E20FD">
        <w:rPr>
          <w:rFonts w:asciiTheme="minorHAnsi" w:hAnsiTheme="minorHAnsi"/>
        </w:rPr>
        <w:t xml:space="preserve">reflects the estimated expenses of </w:t>
      </w:r>
      <w:r>
        <w:rPr>
          <w:rFonts w:asciiTheme="minorHAnsi" w:hAnsiTheme="minorHAnsi"/>
        </w:rPr>
        <w:t>language-related services</w:t>
      </w:r>
      <w:r w:rsidRPr="002E20FD">
        <w:rPr>
          <w:rFonts w:asciiTheme="minorHAnsi" w:hAnsiTheme="minorHAnsi"/>
        </w:rPr>
        <w:t xml:space="preserve"> for 20</w:t>
      </w:r>
      <w:r>
        <w:rPr>
          <w:rFonts w:asciiTheme="minorHAnsi" w:hAnsiTheme="minorHAnsi"/>
        </w:rPr>
        <w:t>26</w:t>
      </w:r>
      <w:r w:rsidRPr="002E20FD">
        <w:rPr>
          <w:rFonts w:asciiTheme="minorHAnsi" w:hAnsiTheme="minorHAnsi"/>
        </w:rPr>
        <w:t>-20</w:t>
      </w:r>
      <w:r>
        <w:rPr>
          <w:rFonts w:asciiTheme="minorHAnsi" w:hAnsiTheme="minorHAnsi"/>
        </w:rPr>
        <w:t>27</w:t>
      </w:r>
      <w:r w:rsidRPr="002E20FD">
        <w:rPr>
          <w:rFonts w:asciiTheme="minorHAnsi" w:hAnsiTheme="minorHAnsi"/>
        </w:rPr>
        <w:t xml:space="preserve"> compared to </w:t>
      </w:r>
      <w:r>
        <w:rPr>
          <w:rFonts w:asciiTheme="minorHAnsi" w:hAnsiTheme="minorHAnsi"/>
        </w:rPr>
        <w:t>2024-2025</w:t>
      </w:r>
      <w:r w:rsidR="008C340C">
        <w:rPr>
          <w:rFonts w:asciiTheme="minorHAnsi" w:hAnsiTheme="minorHAnsi"/>
        </w:rPr>
        <w:t xml:space="preserve">, which are significantly below the </w:t>
      </w:r>
      <w:r w:rsidR="002B5BD3">
        <w:rPr>
          <w:rFonts w:asciiTheme="minorHAnsi" w:hAnsiTheme="minorHAnsi"/>
        </w:rPr>
        <w:t xml:space="preserve">mandated maximum amount, and expected to continue to decrease </w:t>
      </w:r>
      <w:r w:rsidR="003B1AB5">
        <w:rPr>
          <w:rFonts w:asciiTheme="minorHAnsi" w:hAnsiTheme="minorHAnsi"/>
        </w:rPr>
        <w:t>over time</w:t>
      </w:r>
      <w:r>
        <w:rPr>
          <w:rFonts w:asciiTheme="minorHAnsi" w:hAnsiTheme="minorHAnsi"/>
        </w:rPr>
        <w:t>. The decrease in the cost of translation despite an increased volume (WRC</w:t>
      </w:r>
      <w:r w:rsidR="00ED1EAE">
        <w:rPr>
          <w:rFonts w:asciiTheme="minorHAnsi" w:hAnsiTheme="minorHAnsi"/>
        </w:rPr>
        <w:t>-</w:t>
      </w:r>
      <w:r>
        <w:rPr>
          <w:rFonts w:asciiTheme="minorHAnsi" w:hAnsiTheme="minorHAnsi"/>
        </w:rPr>
        <w:t>27, PP</w:t>
      </w:r>
      <w:r w:rsidR="00ED1EAE">
        <w:rPr>
          <w:rFonts w:asciiTheme="minorHAnsi" w:hAnsiTheme="minorHAnsi"/>
        </w:rPr>
        <w:t>-</w:t>
      </w:r>
      <w:r>
        <w:rPr>
          <w:rFonts w:asciiTheme="minorHAnsi" w:hAnsiTheme="minorHAnsi"/>
        </w:rPr>
        <w:t>26) is mainly due to the adjustment of an optimal fixed/variable capacity distribution in translation activities a</w:t>
      </w:r>
      <w:r w:rsidR="00162ADF">
        <w:rPr>
          <w:rFonts w:asciiTheme="minorHAnsi" w:hAnsiTheme="minorHAnsi"/>
        </w:rPr>
        <w:t>nd</w:t>
      </w:r>
      <w:r>
        <w:rPr>
          <w:rFonts w:asciiTheme="minorHAnsi" w:hAnsiTheme="minorHAnsi"/>
        </w:rPr>
        <w:t xml:space="preserve"> increased productivity. </w:t>
      </w:r>
      <w:r w:rsidR="00BB6F1A">
        <w:rPr>
          <w:rFonts w:asciiTheme="minorHAnsi" w:hAnsiTheme="minorHAnsi"/>
        </w:rPr>
        <w:t>The increase in text processing is due to the higher volume. Finally, the in</w:t>
      </w:r>
      <w:r w:rsidR="002A777D">
        <w:rPr>
          <w:rFonts w:asciiTheme="minorHAnsi" w:hAnsiTheme="minorHAnsi"/>
        </w:rPr>
        <w:t>crease in interpretation</w:t>
      </w:r>
      <w:r w:rsidR="0004697C">
        <w:rPr>
          <w:rFonts w:asciiTheme="minorHAnsi" w:hAnsiTheme="minorHAnsi"/>
        </w:rPr>
        <w:t xml:space="preserve"> is due to</w:t>
      </w:r>
      <w:r w:rsidR="00BB6F1A">
        <w:rPr>
          <w:rFonts w:asciiTheme="minorHAnsi" w:hAnsiTheme="minorHAnsi"/>
        </w:rPr>
        <w:t xml:space="preserve"> the conference programme with the </w:t>
      </w:r>
      <w:r w:rsidR="00162ADF">
        <w:rPr>
          <w:rFonts w:asciiTheme="minorHAnsi" w:hAnsiTheme="minorHAnsi"/>
        </w:rPr>
        <w:t>two</w:t>
      </w:r>
      <w:r w:rsidR="00BB6F1A">
        <w:rPr>
          <w:rFonts w:asciiTheme="minorHAnsi" w:hAnsiTheme="minorHAnsi"/>
        </w:rPr>
        <w:t xml:space="preserve"> </w:t>
      </w:r>
      <w:r w:rsidR="0004697C">
        <w:rPr>
          <w:rFonts w:asciiTheme="minorHAnsi" w:hAnsiTheme="minorHAnsi"/>
        </w:rPr>
        <w:t>most significan</w:t>
      </w:r>
      <w:r w:rsidR="00BB6F1A">
        <w:rPr>
          <w:rFonts w:asciiTheme="minorHAnsi" w:hAnsiTheme="minorHAnsi"/>
        </w:rPr>
        <w:t>t events of the Union (PP</w:t>
      </w:r>
      <w:r w:rsidR="00ED1EAE">
        <w:rPr>
          <w:rFonts w:asciiTheme="minorHAnsi" w:hAnsiTheme="minorHAnsi"/>
        </w:rPr>
        <w:t>-</w:t>
      </w:r>
      <w:r w:rsidR="00BB6F1A">
        <w:rPr>
          <w:rFonts w:asciiTheme="minorHAnsi" w:hAnsiTheme="minorHAnsi"/>
        </w:rPr>
        <w:t>26 and WRC</w:t>
      </w:r>
      <w:r w:rsidR="00ED1EAE">
        <w:rPr>
          <w:rFonts w:asciiTheme="minorHAnsi" w:hAnsiTheme="minorHAnsi"/>
        </w:rPr>
        <w:t>-</w:t>
      </w:r>
      <w:r w:rsidR="00BB6F1A">
        <w:rPr>
          <w:rFonts w:asciiTheme="minorHAnsi" w:hAnsiTheme="minorHAnsi"/>
        </w:rPr>
        <w:t>27).</w:t>
      </w:r>
    </w:p>
    <w:p w14:paraId="7A475C41" w14:textId="288BB3D5" w:rsidR="006F7D73" w:rsidRDefault="00E96D06" w:rsidP="00095A4A">
      <w:pPr>
        <w:spacing w:before="0" w:after="240"/>
        <w:jc w:val="center"/>
        <w:rPr>
          <w:rFonts w:asciiTheme="minorHAnsi" w:hAnsiTheme="minorHAnsi"/>
        </w:rPr>
      </w:pPr>
      <w:r w:rsidRPr="00BB6F1A">
        <w:rPr>
          <w:noProof/>
        </w:rPr>
        <w:drawing>
          <wp:inline distT="0" distB="0" distL="0" distR="0" wp14:anchorId="127EC780" wp14:editId="24B83A2A">
            <wp:extent cx="3731019" cy="1774951"/>
            <wp:effectExtent l="0" t="0" r="3175" b="3175"/>
            <wp:docPr id="198774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47894" name=""/>
                    <pic:cNvPicPr/>
                  </pic:nvPicPr>
                  <pic:blipFill>
                    <a:blip r:embed="rId37"/>
                    <a:stretch>
                      <a:fillRect/>
                    </a:stretch>
                  </pic:blipFill>
                  <pic:spPr>
                    <a:xfrm>
                      <a:off x="0" y="0"/>
                      <a:ext cx="3734462" cy="1776589"/>
                    </a:xfrm>
                    <a:prstGeom prst="rect">
                      <a:avLst/>
                    </a:prstGeom>
                  </pic:spPr>
                </pic:pic>
              </a:graphicData>
            </a:graphic>
          </wp:inline>
        </w:drawing>
      </w:r>
    </w:p>
    <w:p w14:paraId="49EEBFEF" w14:textId="39853E31" w:rsidR="00E177D6" w:rsidRDefault="004B3B47" w:rsidP="008D752A">
      <w:pPr>
        <w:keepNext/>
        <w:keepLines/>
        <w:spacing w:before="0" w:after="240"/>
        <w:jc w:val="both"/>
        <w:rPr>
          <w:rFonts w:asciiTheme="minorHAnsi" w:hAnsiTheme="minorHAnsi"/>
        </w:rPr>
      </w:pPr>
      <w:hyperlink w:anchor="Annex_B" w:history="1">
        <w:r w:rsidR="00E177D6" w:rsidRPr="004B3B47">
          <w:rPr>
            <w:rStyle w:val="Hyperlink"/>
            <w:rFonts w:asciiTheme="minorHAnsi" w:hAnsiTheme="minorHAnsi"/>
          </w:rPr>
          <w:t>Annex B</w:t>
        </w:r>
      </w:hyperlink>
      <w:r w:rsidR="00E177D6">
        <w:rPr>
          <w:rFonts w:asciiTheme="minorHAnsi" w:hAnsiTheme="minorHAnsi"/>
        </w:rPr>
        <w:t xml:space="preserve"> provides the breakdown of the documentation volume for 2026-2027</w:t>
      </w:r>
      <w:r w:rsidR="00E03A90">
        <w:rPr>
          <w:rFonts w:asciiTheme="minorHAnsi" w:hAnsiTheme="minorHAnsi"/>
        </w:rPr>
        <w:t xml:space="preserve"> and</w:t>
      </w:r>
      <w:r w:rsidR="00E177D6">
        <w:rPr>
          <w:rFonts w:asciiTheme="minorHAnsi" w:hAnsiTheme="minorHAnsi"/>
        </w:rPr>
        <w:t xml:space="preserve"> the evolution of the unit costs for translation and text processing since 2012.</w:t>
      </w:r>
    </w:p>
    <w:p w14:paraId="7A18D4AA" w14:textId="6545A0B2" w:rsidR="00BB6F1A" w:rsidRPr="00324DB7" w:rsidRDefault="00BB6F1A" w:rsidP="008D752A">
      <w:pPr>
        <w:spacing w:after="240"/>
        <w:jc w:val="both"/>
        <w:rPr>
          <w:b/>
          <w:bCs/>
          <w:color w:val="002060"/>
          <w:lang w:val="en-US"/>
        </w:rPr>
      </w:pPr>
      <w:bookmarkStart w:id="12" w:name="OLE_LINK1"/>
      <w:r>
        <w:rPr>
          <w:b/>
          <w:bCs/>
          <w:color w:val="002060"/>
          <w:lang w:val="en-US"/>
        </w:rPr>
        <w:t>6</w:t>
      </w:r>
      <w:r w:rsidRPr="00324DB7">
        <w:rPr>
          <w:b/>
          <w:bCs/>
          <w:color w:val="002060"/>
          <w:lang w:val="en-US"/>
        </w:rPr>
        <w:tab/>
      </w:r>
      <w:r>
        <w:rPr>
          <w:b/>
          <w:bCs/>
          <w:color w:val="002060"/>
          <w:lang w:val="en-US"/>
        </w:rPr>
        <w:t>Fellowships</w:t>
      </w:r>
    </w:p>
    <w:p w14:paraId="22556716" w14:textId="419C2661" w:rsidR="00BB6F1A" w:rsidRDefault="00BB6F1A" w:rsidP="008D752A">
      <w:pPr>
        <w:snapToGrid w:val="0"/>
        <w:spacing w:after="240"/>
        <w:jc w:val="both"/>
        <w:rPr>
          <w:rFonts w:asciiTheme="minorHAnsi" w:hAnsiTheme="minorHAnsi"/>
        </w:rPr>
      </w:pPr>
      <w:r>
        <w:rPr>
          <w:rFonts w:asciiTheme="minorHAnsi" w:hAnsiTheme="minorHAnsi"/>
        </w:rPr>
        <w:t>6.1</w:t>
      </w:r>
      <w:r>
        <w:rPr>
          <w:rFonts w:asciiTheme="minorHAnsi" w:hAnsiTheme="minorHAnsi"/>
        </w:rPr>
        <w:tab/>
      </w:r>
      <w:r w:rsidRPr="008B1B50">
        <w:rPr>
          <w:rFonts w:asciiTheme="minorHAnsi" w:hAnsiTheme="minorHAnsi"/>
        </w:rPr>
        <w:t xml:space="preserve">Planned expenses relating to fellowships </w:t>
      </w:r>
      <w:r>
        <w:rPr>
          <w:rFonts w:asciiTheme="minorHAnsi" w:hAnsiTheme="minorHAnsi"/>
        </w:rPr>
        <w:t>amount to KCHF</w:t>
      </w:r>
      <w:r w:rsidR="00ED1EAE">
        <w:rPr>
          <w:rFonts w:asciiTheme="minorHAnsi" w:hAnsiTheme="minorHAnsi"/>
        </w:rPr>
        <w:t> </w:t>
      </w:r>
      <w:r>
        <w:rPr>
          <w:rFonts w:asciiTheme="minorHAnsi" w:hAnsiTheme="minorHAnsi"/>
        </w:rPr>
        <w:t>1</w:t>
      </w:r>
      <w:r w:rsidR="00ED1EAE">
        <w:rPr>
          <w:rFonts w:asciiTheme="minorHAnsi" w:hAnsiTheme="minorHAnsi"/>
        </w:rPr>
        <w:t> </w:t>
      </w:r>
      <w:r>
        <w:rPr>
          <w:rFonts w:asciiTheme="minorHAnsi" w:hAnsiTheme="minorHAnsi"/>
        </w:rPr>
        <w:t xml:space="preserve">818 for the draft biennial </w:t>
      </w:r>
      <w:bookmarkEnd w:id="12"/>
      <w:r>
        <w:rPr>
          <w:rFonts w:asciiTheme="minorHAnsi" w:hAnsiTheme="minorHAnsi"/>
        </w:rPr>
        <w:t>budget of the Union for 2026-2027, compared to KCHF </w:t>
      </w:r>
      <w:r w:rsidR="00933662">
        <w:rPr>
          <w:rFonts w:asciiTheme="minorHAnsi" w:hAnsiTheme="minorHAnsi"/>
        </w:rPr>
        <w:t>2</w:t>
      </w:r>
      <w:r w:rsidR="00ED1EAE">
        <w:rPr>
          <w:rFonts w:asciiTheme="minorHAnsi" w:hAnsiTheme="minorHAnsi"/>
        </w:rPr>
        <w:t> </w:t>
      </w:r>
      <w:r w:rsidR="00933662">
        <w:rPr>
          <w:rFonts w:asciiTheme="minorHAnsi" w:hAnsiTheme="minorHAnsi"/>
        </w:rPr>
        <w:t>361</w:t>
      </w:r>
      <w:r>
        <w:rPr>
          <w:rFonts w:asciiTheme="minorHAnsi" w:hAnsiTheme="minorHAnsi"/>
        </w:rPr>
        <w:t xml:space="preserve"> for the budget of the Union for 202</w:t>
      </w:r>
      <w:r w:rsidR="00933662">
        <w:rPr>
          <w:rFonts w:asciiTheme="minorHAnsi" w:hAnsiTheme="minorHAnsi"/>
        </w:rPr>
        <w:t>4</w:t>
      </w:r>
      <w:r>
        <w:rPr>
          <w:rFonts w:asciiTheme="minorHAnsi" w:hAnsiTheme="minorHAnsi"/>
        </w:rPr>
        <w:noBreakHyphen/>
        <w:t>202</w:t>
      </w:r>
      <w:r w:rsidR="00933662">
        <w:rPr>
          <w:rFonts w:asciiTheme="minorHAnsi" w:hAnsiTheme="minorHAnsi"/>
        </w:rPr>
        <w:t>5</w:t>
      </w:r>
      <w:r>
        <w:rPr>
          <w:rFonts w:asciiTheme="minorHAnsi" w:hAnsiTheme="minorHAnsi"/>
        </w:rPr>
        <w:t xml:space="preserve">, with a Sector breakdown as indicated in </w:t>
      </w:r>
      <w:r w:rsidR="00327C76">
        <w:rPr>
          <w:rFonts w:asciiTheme="minorHAnsi" w:hAnsiTheme="minorHAnsi"/>
        </w:rPr>
        <w:t xml:space="preserve">the </w:t>
      </w:r>
      <w:r>
        <w:rPr>
          <w:rFonts w:asciiTheme="minorHAnsi" w:hAnsiTheme="minorHAnsi"/>
        </w:rPr>
        <w:t>table below.</w:t>
      </w:r>
      <w:r w:rsidR="00933662">
        <w:rPr>
          <w:rFonts w:asciiTheme="minorHAnsi" w:hAnsiTheme="minorHAnsi"/>
        </w:rPr>
        <w:t xml:space="preserve"> The </w:t>
      </w:r>
      <w:r w:rsidR="000F1627">
        <w:rPr>
          <w:rFonts w:asciiTheme="minorHAnsi" w:hAnsiTheme="minorHAnsi"/>
        </w:rPr>
        <w:t>significant</w:t>
      </w:r>
      <w:r w:rsidR="00933662">
        <w:rPr>
          <w:rFonts w:asciiTheme="minorHAnsi" w:hAnsiTheme="minorHAnsi"/>
        </w:rPr>
        <w:t xml:space="preserve"> decrease </w:t>
      </w:r>
      <w:r w:rsidR="009B7944">
        <w:rPr>
          <w:rFonts w:asciiTheme="minorHAnsi" w:hAnsiTheme="minorHAnsi"/>
        </w:rPr>
        <w:t xml:space="preserve">is attributable </w:t>
      </w:r>
      <w:r w:rsidR="00FF4D89">
        <w:rPr>
          <w:rFonts w:asciiTheme="minorHAnsi" w:hAnsiTheme="minorHAnsi"/>
        </w:rPr>
        <w:t xml:space="preserve">mainly </w:t>
      </w:r>
      <w:r w:rsidR="006663E5">
        <w:rPr>
          <w:rFonts w:asciiTheme="minorHAnsi" w:hAnsiTheme="minorHAnsi"/>
        </w:rPr>
        <w:t xml:space="preserve">to </w:t>
      </w:r>
      <w:r w:rsidR="00933662">
        <w:rPr>
          <w:rFonts w:asciiTheme="minorHAnsi" w:hAnsiTheme="minorHAnsi"/>
        </w:rPr>
        <w:t>the D</w:t>
      </w:r>
      <w:r w:rsidR="006663E5">
        <w:rPr>
          <w:rFonts w:asciiTheme="minorHAnsi" w:hAnsiTheme="minorHAnsi"/>
        </w:rPr>
        <w:t>evelopment</w:t>
      </w:r>
      <w:r w:rsidR="00933662">
        <w:rPr>
          <w:rFonts w:asciiTheme="minorHAnsi" w:hAnsiTheme="minorHAnsi"/>
        </w:rPr>
        <w:t xml:space="preserve"> Sector </w:t>
      </w:r>
      <w:r w:rsidR="009B7944">
        <w:rPr>
          <w:rFonts w:asciiTheme="minorHAnsi" w:hAnsiTheme="minorHAnsi"/>
        </w:rPr>
        <w:t xml:space="preserve">hosting of </w:t>
      </w:r>
      <w:r w:rsidR="00933662">
        <w:rPr>
          <w:rFonts w:asciiTheme="minorHAnsi" w:hAnsiTheme="minorHAnsi"/>
        </w:rPr>
        <w:t>WTDC in 2025</w:t>
      </w:r>
      <w:r w:rsidR="00404F61">
        <w:rPr>
          <w:rFonts w:asciiTheme="minorHAnsi" w:hAnsiTheme="minorHAnsi"/>
        </w:rPr>
        <w:t xml:space="preserve"> which include</w:t>
      </w:r>
      <w:r w:rsidR="003D50BF">
        <w:rPr>
          <w:rFonts w:asciiTheme="minorHAnsi" w:hAnsiTheme="minorHAnsi"/>
        </w:rPr>
        <w:t>d</w:t>
      </w:r>
      <w:r w:rsidR="00404F61">
        <w:rPr>
          <w:rFonts w:asciiTheme="minorHAnsi" w:hAnsiTheme="minorHAnsi"/>
        </w:rPr>
        <w:t xml:space="preserve"> significant provision</w:t>
      </w:r>
      <w:r w:rsidR="003D50BF">
        <w:rPr>
          <w:rFonts w:asciiTheme="minorHAnsi" w:hAnsiTheme="minorHAnsi"/>
        </w:rPr>
        <w:t>s</w:t>
      </w:r>
      <w:r w:rsidR="00404F61">
        <w:rPr>
          <w:rFonts w:asciiTheme="minorHAnsi" w:hAnsiTheme="minorHAnsi"/>
        </w:rPr>
        <w:t xml:space="preserve"> for fellowships</w:t>
      </w:r>
      <w:r w:rsidR="00933662">
        <w:rPr>
          <w:rFonts w:asciiTheme="minorHAnsi" w:hAnsiTheme="minorHAnsi"/>
        </w:rPr>
        <w:t>.</w:t>
      </w:r>
    </w:p>
    <w:p w14:paraId="64632E18" w14:textId="753B60D9" w:rsidR="00933662" w:rsidRDefault="00933662" w:rsidP="00095A4A">
      <w:pPr>
        <w:spacing w:before="0" w:after="240"/>
        <w:jc w:val="center"/>
      </w:pPr>
      <w:r w:rsidRPr="00933662">
        <w:rPr>
          <w:noProof/>
        </w:rPr>
        <w:drawing>
          <wp:inline distT="0" distB="0" distL="0" distR="0" wp14:anchorId="01FF6E08" wp14:editId="3F2CCC7F">
            <wp:extent cx="3924300" cy="1866900"/>
            <wp:effectExtent l="0" t="0" r="0" b="0"/>
            <wp:docPr id="55408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88722" name=""/>
                    <pic:cNvPicPr/>
                  </pic:nvPicPr>
                  <pic:blipFill>
                    <a:blip r:embed="rId38"/>
                    <a:stretch>
                      <a:fillRect/>
                    </a:stretch>
                  </pic:blipFill>
                  <pic:spPr>
                    <a:xfrm>
                      <a:off x="0" y="0"/>
                      <a:ext cx="3924300" cy="1866900"/>
                    </a:xfrm>
                    <a:prstGeom prst="rect">
                      <a:avLst/>
                    </a:prstGeom>
                  </pic:spPr>
                </pic:pic>
              </a:graphicData>
            </a:graphic>
          </wp:inline>
        </w:drawing>
      </w:r>
    </w:p>
    <w:p w14:paraId="5EB3ECF5" w14:textId="0E0F25FE" w:rsidR="00933662" w:rsidRPr="00324DB7" w:rsidRDefault="00933662" w:rsidP="00ED1EAE">
      <w:pPr>
        <w:keepNext/>
        <w:keepLines/>
        <w:spacing w:after="240"/>
        <w:rPr>
          <w:b/>
          <w:bCs/>
          <w:color w:val="002060"/>
          <w:lang w:val="en-US"/>
        </w:rPr>
      </w:pPr>
      <w:r>
        <w:rPr>
          <w:b/>
          <w:bCs/>
          <w:color w:val="002060"/>
          <w:lang w:val="en-US"/>
        </w:rPr>
        <w:lastRenderedPageBreak/>
        <w:t>7</w:t>
      </w:r>
      <w:r w:rsidRPr="00324DB7">
        <w:rPr>
          <w:b/>
          <w:bCs/>
          <w:color w:val="002060"/>
          <w:lang w:val="en-US"/>
        </w:rPr>
        <w:tab/>
      </w:r>
      <w:r>
        <w:rPr>
          <w:b/>
          <w:bCs/>
          <w:color w:val="002060"/>
          <w:lang w:val="en-US"/>
        </w:rPr>
        <w:t>Budgeted posts</w:t>
      </w:r>
    </w:p>
    <w:p w14:paraId="09FE1C02" w14:textId="2FCA03C4" w:rsidR="008C33B7" w:rsidRDefault="00933662" w:rsidP="0084425D">
      <w:pPr>
        <w:keepNext/>
        <w:keepLines/>
        <w:spacing w:before="0" w:after="120"/>
        <w:jc w:val="both"/>
        <w:rPr>
          <w:rFonts w:asciiTheme="minorHAnsi" w:hAnsiTheme="minorHAnsi"/>
        </w:rPr>
      </w:pPr>
      <w:r>
        <w:rPr>
          <w:rFonts w:asciiTheme="minorHAnsi" w:hAnsiTheme="minorHAnsi"/>
        </w:rPr>
        <w:t>7.1</w:t>
      </w:r>
      <w:r>
        <w:rPr>
          <w:rFonts w:asciiTheme="minorHAnsi" w:hAnsiTheme="minorHAnsi"/>
        </w:rPr>
        <w:tab/>
      </w:r>
      <w:r w:rsidR="00605A1E">
        <w:rPr>
          <w:rFonts w:asciiTheme="minorHAnsi" w:hAnsiTheme="minorHAnsi"/>
        </w:rPr>
        <w:t>Provision for a</w:t>
      </w:r>
      <w:r w:rsidR="00420171">
        <w:rPr>
          <w:rFonts w:asciiTheme="minorHAnsi" w:hAnsiTheme="minorHAnsi"/>
        </w:rPr>
        <w:t xml:space="preserve"> total of</w:t>
      </w:r>
      <w:r>
        <w:rPr>
          <w:rFonts w:asciiTheme="minorHAnsi" w:hAnsiTheme="minorHAnsi"/>
        </w:rPr>
        <w:t xml:space="preserve"> 747 </w:t>
      </w:r>
      <w:r w:rsidRPr="00AC2058">
        <w:rPr>
          <w:rFonts w:asciiTheme="minorHAnsi" w:hAnsiTheme="minorHAnsi"/>
        </w:rPr>
        <w:t xml:space="preserve">posts </w:t>
      </w:r>
      <w:r w:rsidR="00420171">
        <w:rPr>
          <w:rFonts w:asciiTheme="minorHAnsi" w:hAnsiTheme="minorHAnsi"/>
        </w:rPr>
        <w:t xml:space="preserve">have been included in the regular budget </w:t>
      </w:r>
      <w:r w:rsidRPr="00AC2058">
        <w:rPr>
          <w:rFonts w:asciiTheme="minorHAnsi" w:hAnsiTheme="minorHAnsi"/>
        </w:rPr>
        <w:t>for 20</w:t>
      </w:r>
      <w:r>
        <w:rPr>
          <w:rFonts w:asciiTheme="minorHAnsi" w:hAnsiTheme="minorHAnsi"/>
        </w:rPr>
        <w:t>26</w:t>
      </w:r>
      <w:r w:rsidRPr="00AC2058">
        <w:rPr>
          <w:rFonts w:asciiTheme="minorHAnsi" w:hAnsiTheme="minorHAnsi"/>
        </w:rPr>
        <w:t>-202</w:t>
      </w:r>
      <w:r>
        <w:rPr>
          <w:rFonts w:asciiTheme="minorHAnsi" w:hAnsiTheme="minorHAnsi"/>
        </w:rPr>
        <w:t>7</w:t>
      </w:r>
      <w:r w:rsidRPr="00AC2058">
        <w:rPr>
          <w:rFonts w:asciiTheme="minorHAnsi" w:hAnsiTheme="minorHAnsi"/>
        </w:rPr>
        <w:t xml:space="preserve">, </w:t>
      </w:r>
      <w:r>
        <w:rPr>
          <w:rFonts w:asciiTheme="minorHAnsi" w:hAnsiTheme="minorHAnsi"/>
        </w:rPr>
        <w:t xml:space="preserve">a decrease of 14 </w:t>
      </w:r>
      <w:r w:rsidR="00404F61">
        <w:rPr>
          <w:rFonts w:asciiTheme="minorHAnsi" w:hAnsiTheme="minorHAnsi"/>
        </w:rPr>
        <w:t xml:space="preserve">as compared to </w:t>
      </w:r>
      <w:r>
        <w:rPr>
          <w:rFonts w:asciiTheme="minorHAnsi" w:hAnsiTheme="minorHAnsi"/>
        </w:rPr>
        <w:t xml:space="preserve">the budget </w:t>
      </w:r>
      <w:r w:rsidR="003D50BF">
        <w:rPr>
          <w:rFonts w:asciiTheme="minorHAnsi" w:hAnsiTheme="minorHAnsi"/>
        </w:rPr>
        <w:t xml:space="preserve">posts during </w:t>
      </w:r>
      <w:r w:rsidRPr="00AC2058">
        <w:rPr>
          <w:rFonts w:asciiTheme="minorHAnsi" w:hAnsiTheme="minorHAnsi"/>
        </w:rPr>
        <w:t>20</w:t>
      </w:r>
      <w:r>
        <w:rPr>
          <w:rFonts w:asciiTheme="minorHAnsi" w:hAnsiTheme="minorHAnsi"/>
        </w:rPr>
        <w:t>24</w:t>
      </w:r>
      <w:r w:rsidRPr="00AC2058">
        <w:rPr>
          <w:rFonts w:asciiTheme="minorHAnsi" w:hAnsiTheme="minorHAnsi"/>
        </w:rPr>
        <w:t>-20</w:t>
      </w:r>
      <w:r>
        <w:rPr>
          <w:rFonts w:asciiTheme="minorHAnsi" w:hAnsiTheme="minorHAnsi"/>
        </w:rPr>
        <w:t>25</w:t>
      </w:r>
      <w:r w:rsidR="00AB3E2A">
        <w:rPr>
          <w:rFonts w:asciiTheme="minorHAnsi" w:hAnsiTheme="minorHAnsi"/>
        </w:rPr>
        <w:t xml:space="preserve">, </w:t>
      </w:r>
      <w:r w:rsidR="003D50BF">
        <w:rPr>
          <w:rFonts w:asciiTheme="minorHAnsi" w:hAnsiTheme="minorHAnsi"/>
        </w:rPr>
        <w:t xml:space="preserve">and consistent with a steadily decreasing trend </w:t>
      </w:r>
      <w:r w:rsidR="00420171">
        <w:rPr>
          <w:rFonts w:asciiTheme="minorHAnsi" w:hAnsiTheme="minorHAnsi"/>
        </w:rPr>
        <w:t xml:space="preserve">since 2006 </w:t>
      </w:r>
      <w:r w:rsidR="003D50BF">
        <w:rPr>
          <w:rFonts w:asciiTheme="minorHAnsi" w:hAnsiTheme="minorHAnsi"/>
        </w:rPr>
        <w:t xml:space="preserve">as shown in </w:t>
      </w:r>
      <w:r w:rsidR="00A706FF">
        <w:rPr>
          <w:rFonts w:asciiTheme="minorHAnsi" w:hAnsiTheme="minorHAnsi"/>
        </w:rPr>
        <w:t xml:space="preserve">the table </w:t>
      </w:r>
      <w:r w:rsidR="003D50BF">
        <w:rPr>
          <w:rFonts w:asciiTheme="minorHAnsi" w:hAnsiTheme="minorHAnsi"/>
        </w:rPr>
        <w:t>below</w:t>
      </w:r>
      <w:r w:rsidRPr="00AC2058">
        <w:rPr>
          <w:rFonts w:asciiTheme="minorHAnsi" w:hAnsiTheme="minorHAnsi"/>
        </w:rPr>
        <w:t>.</w:t>
      </w:r>
      <w:r>
        <w:rPr>
          <w:rFonts w:asciiTheme="minorHAnsi" w:hAnsiTheme="minorHAnsi"/>
        </w:rPr>
        <w:t xml:space="preserve"> </w:t>
      </w:r>
    </w:p>
    <w:p w14:paraId="08397824" w14:textId="769D19F5" w:rsidR="008C33B7" w:rsidRDefault="008C33B7" w:rsidP="008F7E76">
      <w:pPr>
        <w:spacing w:before="0" w:after="240"/>
        <w:rPr>
          <w:rFonts w:asciiTheme="minorHAnsi" w:hAnsiTheme="minorHAnsi"/>
        </w:rPr>
      </w:pPr>
      <w:r>
        <w:rPr>
          <w:noProof/>
        </w:rPr>
        <w:drawing>
          <wp:inline distT="0" distB="0" distL="0" distR="0" wp14:anchorId="093AAC24" wp14:editId="1C83F9B4">
            <wp:extent cx="5536224" cy="2691517"/>
            <wp:effectExtent l="0" t="0" r="7620" b="0"/>
            <wp:docPr id="62410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8096" name=""/>
                    <pic:cNvPicPr/>
                  </pic:nvPicPr>
                  <pic:blipFill>
                    <a:blip r:embed="rId39"/>
                    <a:stretch>
                      <a:fillRect/>
                    </a:stretch>
                  </pic:blipFill>
                  <pic:spPr>
                    <a:xfrm>
                      <a:off x="0" y="0"/>
                      <a:ext cx="5550830" cy="2698618"/>
                    </a:xfrm>
                    <a:prstGeom prst="rect">
                      <a:avLst/>
                    </a:prstGeom>
                  </pic:spPr>
                </pic:pic>
              </a:graphicData>
            </a:graphic>
          </wp:inline>
        </w:drawing>
      </w:r>
    </w:p>
    <w:p w14:paraId="6F3BA849" w14:textId="70D21442" w:rsidR="00933662" w:rsidRDefault="00420171" w:rsidP="0084425D">
      <w:pPr>
        <w:spacing w:before="0" w:after="120"/>
        <w:jc w:val="both"/>
        <w:rPr>
          <w:rFonts w:asciiTheme="minorHAnsi" w:hAnsiTheme="minorHAnsi"/>
        </w:rPr>
      </w:pPr>
      <w:r>
        <w:rPr>
          <w:rFonts w:asciiTheme="minorHAnsi" w:hAnsiTheme="minorHAnsi"/>
        </w:rPr>
        <w:t>7.2</w:t>
      </w:r>
      <w:r>
        <w:rPr>
          <w:rFonts w:asciiTheme="minorHAnsi" w:hAnsiTheme="minorHAnsi"/>
        </w:rPr>
        <w:tab/>
      </w:r>
      <w:r w:rsidR="008C33B7">
        <w:rPr>
          <w:rFonts w:asciiTheme="minorHAnsi" w:hAnsiTheme="minorHAnsi"/>
        </w:rPr>
        <w:t>T</w:t>
      </w:r>
      <w:r>
        <w:rPr>
          <w:rFonts w:asciiTheme="minorHAnsi" w:hAnsiTheme="minorHAnsi"/>
        </w:rPr>
        <w:t>he t</w:t>
      </w:r>
      <w:r w:rsidR="00933662">
        <w:rPr>
          <w:rFonts w:asciiTheme="minorHAnsi" w:hAnsiTheme="minorHAnsi"/>
        </w:rPr>
        <w:t>able below provides a breakdown of budgeted posts by department of the General Secretariat and the Bureaux</w:t>
      </w:r>
      <w:r w:rsidR="00395F57">
        <w:rPr>
          <w:rFonts w:asciiTheme="minorHAnsi" w:hAnsiTheme="minorHAnsi"/>
        </w:rPr>
        <w:t xml:space="preserve"> for 2026-2027</w:t>
      </w:r>
      <w:r w:rsidR="00933662">
        <w:rPr>
          <w:rFonts w:asciiTheme="minorHAnsi" w:hAnsiTheme="minorHAnsi"/>
        </w:rPr>
        <w:t xml:space="preserve">, </w:t>
      </w:r>
      <w:r w:rsidR="008C33B7">
        <w:rPr>
          <w:rFonts w:asciiTheme="minorHAnsi" w:hAnsiTheme="minorHAnsi"/>
        </w:rPr>
        <w:t>against</w:t>
      </w:r>
      <w:r w:rsidR="00933662">
        <w:rPr>
          <w:rFonts w:asciiTheme="minorHAnsi" w:hAnsiTheme="minorHAnsi"/>
        </w:rPr>
        <w:t xml:space="preserve"> budgeted posts </w:t>
      </w:r>
      <w:r w:rsidR="008C33B7">
        <w:rPr>
          <w:rFonts w:asciiTheme="minorHAnsi" w:hAnsiTheme="minorHAnsi"/>
        </w:rPr>
        <w:t>during the</w:t>
      </w:r>
      <w:r w:rsidR="00933662">
        <w:rPr>
          <w:rFonts w:asciiTheme="minorHAnsi" w:hAnsiTheme="minorHAnsi"/>
        </w:rPr>
        <w:t xml:space="preserve"> 2024-2025</w:t>
      </w:r>
      <w:r w:rsidR="008C33B7">
        <w:rPr>
          <w:rFonts w:asciiTheme="minorHAnsi" w:hAnsiTheme="minorHAnsi"/>
        </w:rPr>
        <w:t xml:space="preserve"> </w:t>
      </w:r>
      <w:r w:rsidR="00F5503F">
        <w:rPr>
          <w:rFonts w:asciiTheme="minorHAnsi" w:hAnsiTheme="minorHAnsi"/>
        </w:rPr>
        <w:t>biennium</w:t>
      </w:r>
      <w:r w:rsidR="00933662">
        <w:rPr>
          <w:rFonts w:asciiTheme="minorHAnsi" w:hAnsiTheme="minorHAnsi"/>
        </w:rPr>
        <w:t>.</w:t>
      </w:r>
    </w:p>
    <w:p w14:paraId="2A37147C" w14:textId="46601299" w:rsidR="00933662" w:rsidRDefault="00420171" w:rsidP="00933662">
      <w:pPr>
        <w:spacing w:before="0"/>
      </w:pPr>
      <w:r w:rsidRPr="00933662">
        <w:rPr>
          <w:noProof/>
        </w:rPr>
        <w:drawing>
          <wp:inline distT="0" distB="0" distL="0" distR="0" wp14:anchorId="78EF5B4A" wp14:editId="2163C96D">
            <wp:extent cx="4766807" cy="2867652"/>
            <wp:effectExtent l="0" t="0" r="0" b="9525"/>
            <wp:docPr id="35966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8374" name=""/>
                    <pic:cNvPicPr/>
                  </pic:nvPicPr>
                  <pic:blipFill>
                    <a:blip r:embed="rId40"/>
                    <a:stretch>
                      <a:fillRect/>
                    </a:stretch>
                  </pic:blipFill>
                  <pic:spPr>
                    <a:xfrm>
                      <a:off x="0" y="0"/>
                      <a:ext cx="4794097" cy="2884070"/>
                    </a:xfrm>
                    <a:prstGeom prst="rect">
                      <a:avLst/>
                    </a:prstGeom>
                  </pic:spPr>
                </pic:pic>
              </a:graphicData>
            </a:graphic>
          </wp:inline>
        </w:drawing>
      </w:r>
    </w:p>
    <w:p w14:paraId="16CAE25F" w14:textId="02DD52CA" w:rsidR="00933662" w:rsidRDefault="00933662" w:rsidP="0084425D">
      <w:pPr>
        <w:spacing w:before="240" w:after="120"/>
        <w:rPr>
          <w:b/>
          <w:bCs/>
          <w:color w:val="002060"/>
          <w:lang w:val="en-US"/>
        </w:rPr>
      </w:pPr>
      <w:r w:rsidRPr="00933662">
        <w:rPr>
          <w:b/>
          <w:bCs/>
          <w:color w:val="002060"/>
          <w:lang w:val="en-US"/>
        </w:rPr>
        <w:t>8</w:t>
      </w:r>
      <w:r w:rsidRPr="00933662">
        <w:rPr>
          <w:b/>
          <w:bCs/>
          <w:color w:val="002060"/>
          <w:lang w:val="en-US"/>
        </w:rPr>
        <w:tab/>
        <w:t>Linkage with the Strategic Plan</w:t>
      </w:r>
    </w:p>
    <w:p w14:paraId="0A2295C7" w14:textId="27852601" w:rsidR="002478E8" w:rsidRDefault="00100FCF" w:rsidP="008D752A">
      <w:pPr>
        <w:tabs>
          <w:tab w:val="clear" w:pos="567"/>
          <w:tab w:val="clear" w:pos="1134"/>
          <w:tab w:val="clear" w:pos="1701"/>
          <w:tab w:val="clear" w:pos="2268"/>
          <w:tab w:val="clear" w:pos="2835"/>
        </w:tabs>
        <w:overflowPunct/>
        <w:autoSpaceDE/>
        <w:autoSpaceDN/>
        <w:adjustRightInd/>
        <w:spacing w:before="0" w:after="240"/>
        <w:jc w:val="both"/>
        <w:textAlignment w:val="auto"/>
        <w:rPr>
          <w:rFonts w:asciiTheme="minorHAnsi" w:hAnsiTheme="minorHAnsi" w:cstheme="minorHAnsi"/>
        </w:rPr>
      </w:pPr>
      <w:r>
        <w:rPr>
          <w:rFonts w:asciiTheme="minorHAnsi" w:hAnsiTheme="minorHAnsi" w:cstheme="minorHAnsi"/>
        </w:rPr>
        <w:t>8.1</w:t>
      </w:r>
      <w:r>
        <w:rPr>
          <w:rFonts w:asciiTheme="minorHAnsi" w:hAnsiTheme="minorHAnsi" w:cstheme="minorHAnsi"/>
        </w:rPr>
        <w:tab/>
      </w:r>
      <w:r w:rsidR="00933662" w:rsidRPr="0084425D">
        <w:rPr>
          <w:rFonts w:asciiTheme="minorHAnsi" w:hAnsiTheme="minorHAnsi" w:cstheme="minorHAnsi"/>
        </w:rPr>
        <w:t xml:space="preserve">The </w:t>
      </w:r>
      <w:r w:rsidR="002478E8" w:rsidRPr="0084425D">
        <w:rPr>
          <w:rFonts w:asciiTheme="minorHAnsi" w:hAnsiTheme="minorHAnsi" w:cstheme="minorHAnsi"/>
        </w:rPr>
        <w:t>Strategic P</w:t>
      </w:r>
      <w:r w:rsidR="00933662" w:rsidRPr="0084425D">
        <w:rPr>
          <w:rFonts w:asciiTheme="minorHAnsi" w:hAnsiTheme="minorHAnsi" w:cstheme="minorHAnsi"/>
        </w:rPr>
        <w:t>lan of the Union for 2024-2027 (Resolution 71, Rev. Bucharest, 2022)</w:t>
      </w:r>
      <w:r w:rsidR="002478E8" w:rsidRPr="0084425D">
        <w:rPr>
          <w:rFonts w:asciiTheme="minorHAnsi" w:hAnsiTheme="minorHAnsi" w:cstheme="minorHAnsi"/>
        </w:rPr>
        <w:t xml:space="preserve"> </w:t>
      </w:r>
      <w:r w:rsidR="00933662" w:rsidRPr="0084425D">
        <w:rPr>
          <w:rFonts w:asciiTheme="minorHAnsi" w:hAnsiTheme="minorHAnsi" w:cstheme="minorHAnsi"/>
        </w:rPr>
        <w:t>sets two strategic goals and five Thematic priorities for the achievement of ITU</w:t>
      </w:r>
      <w:r w:rsidR="004A4A91" w:rsidRPr="0084425D">
        <w:rPr>
          <w:rFonts w:asciiTheme="minorHAnsi" w:hAnsiTheme="minorHAnsi" w:cstheme="minorHAnsi"/>
        </w:rPr>
        <w:t>'s</w:t>
      </w:r>
      <w:r w:rsidR="00933662" w:rsidRPr="0084425D">
        <w:rPr>
          <w:rFonts w:asciiTheme="minorHAnsi" w:hAnsiTheme="minorHAnsi" w:cstheme="minorHAnsi"/>
        </w:rPr>
        <w:t xml:space="preserve"> overall mission </w:t>
      </w:r>
      <w:r w:rsidRPr="0084425D">
        <w:rPr>
          <w:rFonts w:asciiTheme="minorHAnsi" w:hAnsiTheme="minorHAnsi" w:cstheme="minorHAnsi"/>
        </w:rPr>
        <w:t>to</w:t>
      </w:r>
      <w:r w:rsidR="00933662" w:rsidRPr="0084425D">
        <w:rPr>
          <w:rFonts w:asciiTheme="minorHAnsi" w:hAnsiTheme="minorHAnsi" w:cstheme="minorHAnsi"/>
        </w:rPr>
        <w:t xml:space="preserve"> </w:t>
      </w:r>
      <w:r w:rsidRPr="0084425D">
        <w:rPr>
          <w:rFonts w:asciiTheme="minorHAnsi" w:hAnsiTheme="minorHAnsi" w:cstheme="minorHAnsi"/>
        </w:rPr>
        <w:t xml:space="preserve">promote, facilitate and foster affordable and universal access to telecommunication/information and communication technology networks, services and applications and their use for social, economic and </w:t>
      </w:r>
      <w:r w:rsidR="006652AB" w:rsidRPr="0084425D">
        <w:rPr>
          <w:rFonts w:asciiTheme="minorHAnsi" w:hAnsiTheme="minorHAnsi" w:cstheme="minorHAnsi"/>
        </w:rPr>
        <w:t>environmentally</w:t>
      </w:r>
      <w:r w:rsidRPr="0084425D">
        <w:rPr>
          <w:rFonts w:asciiTheme="minorHAnsi" w:hAnsiTheme="minorHAnsi" w:cstheme="minorHAnsi"/>
        </w:rPr>
        <w:t xml:space="preserve"> sustainable growth and development.</w:t>
      </w:r>
    </w:p>
    <w:p w14:paraId="2C530D68" w14:textId="237271F9" w:rsidR="00100FCF" w:rsidRDefault="00100FCF" w:rsidP="008D752A">
      <w:pPr>
        <w:tabs>
          <w:tab w:val="clear" w:pos="567"/>
          <w:tab w:val="clear" w:pos="1134"/>
          <w:tab w:val="clear" w:pos="1701"/>
          <w:tab w:val="clear" w:pos="2268"/>
          <w:tab w:val="clear" w:pos="2835"/>
        </w:tabs>
        <w:overflowPunct/>
        <w:autoSpaceDE/>
        <w:autoSpaceDN/>
        <w:adjustRightInd/>
        <w:spacing w:before="100" w:beforeAutospacing="1" w:after="240"/>
        <w:jc w:val="both"/>
        <w:textAlignment w:val="auto"/>
        <w:rPr>
          <w:rFonts w:asciiTheme="minorHAnsi" w:hAnsiTheme="minorHAnsi" w:cstheme="minorHAnsi"/>
        </w:rPr>
      </w:pPr>
      <w:r>
        <w:rPr>
          <w:rFonts w:asciiTheme="minorHAnsi" w:hAnsiTheme="minorHAnsi" w:cstheme="minorHAnsi"/>
        </w:rPr>
        <w:lastRenderedPageBreak/>
        <w:t>8.2</w:t>
      </w:r>
      <w:r>
        <w:rPr>
          <w:rFonts w:asciiTheme="minorHAnsi" w:hAnsiTheme="minorHAnsi" w:cstheme="minorHAnsi"/>
        </w:rPr>
        <w:tab/>
        <w:t xml:space="preserve">The five thematic priorities are </w:t>
      </w:r>
      <w:r w:rsidR="002478E8">
        <w:rPr>
          <w:rFonts w:asciiTheme="minorHAnsi" w:hAnsiTheme="minorHAnsi" w:cstheme="minorHAnsi"/>
        </w:rPr>
        <w:t xml:space="preserve">as </w:t>
      </w:r>
      <w:r>
        <w:rPr>
          <w:rFonts w:asciiTheme="minorHAnsi" w:hAnsiTheme="minorHAnsi" w:cstheme="minorHAnsi"/>
        </w:rPr>
        <w:t>follow</w:t>
      </w:r>
      <w:r w:rsidR="002478E8">
        <w:rPr>
          <w:rFonts w:asciiTheme="minorHAnsi" w:hAnsiTheme="minorHAnsi" w:cstheme="minorHAnsi"/>
        </w:rPr>
        <w:t>s</w:t>
      </w:r>
      <w:r>
        <w:rPr>
          <w:rFonts w:asciiTheme="minorHAnsi" w:hAnsiTheme="minorHAnsi" w:cstheme="minorHAnsi"/>
        </w:rPr>
        <w:t>:</w:t>
      </w:r>
    </w:p>
    <w:p w14:paraId="06941482" w14:textId="11E6B800" w:rsidR="00100FCF" w:rsidRDefault="00100FCF" w:rsidP="008D752A">
      <w:pPr>
        <w:pStyle w:val="ListParagraph"/>
        <w:numPr>
          <w:ilvl w:val="0"/>
          <w:numId w:val="6"/>
        </w:numPr>
        <w:tabs>
          <w:tab w:val="clear" w:pos="567"/>
          <w:tab w:val="clear" w:pos="1134"/>
          <w:tab w:val="clear" w:pos="1701"/>
          <w:tab w:val="clear" w:pos="2268"/>
          <w:tab w:val="clear" w:pos="2835"/>
        </w:tabs>
        <w:overflowPunct/>
        <w:autoSpaceDE/>
        <w:autoSpaceDN/>
        <w:adjustRightInd/>
        <w:spacing w:before="100" w:beforeAutospacing="1"/>
        <w:ind w:left="918" w:hanging="561"/>
        <w:contextualSpacing w:val="0"/>
        <w:jc w:val="both"/>
        <w:textAlignment w:val="auto"/>
        <w:rPr>
          <w:rFonts w:asciiTheme="minorHAnsi" w:hAnsiTheme="minorHAnsi" w:cstheme="minorHAnsi"/>
        </w:rPr>
      </w:pPr>
      <w:r w:rsidRPr="00100FCF">
        <w:rPr>
          <w:rFonts w:asciiTheme="minorHAnsi" w:hAnsiTheme="minorHAnsi" w:cstheme="minorHAnsi"/>
        </w:rPr>
        <w:t>Spectrum use for space and terrestrial services</w:t>
      </w:r>
    </w:p>
    <w:p w14:paraId="7BF68861" w14:textId="69EE2022" w:rsidR="00100FCF" w:rsidRDefault="00100FCF" w:rsidP="008D752A">
      <w:pPr>
        <w:pStyle w:val="ListParagraph"/>
        <w:numPr>
          <w:ilvl w:val="0"/>
          <w:numId w:val="6"/>
        </w:numPr>
        <w:tabs>
          <w:tab w:val="clear" w:pos="567"/>
          <w:tab w:val="clear" w:pos="1134"/>
          <w:tab w:val="clear" w:pos="1701"/>
          <w:tab w:val="clear" w:pos="2268"/>
          <w:tab w:val="clear" w:pos="2835"/>
        </w:tabs>
        <w:overflowPunct/>
        <w:autoSpaceDE/>
        <w:autoSpaceDN/>
        <w:adjustRightInd/>
        <w:spacing w:before="100" w:beforeAutospacing="1"/>
        <w:ind w:left="918" w:hanging="561"/>
        <w:contextualSpacing w:val="0"/>
        <w:jc w:val="both"/>
        <w:textAlignment w:val="auto"/>
        <w:rPr>
          <w:rFonts w:asciiTheme="minorHAnsi" w:hAnsiTheme="minorHAnsi" w:cstheme="minorHAnsi"/>
        </w:rPr>
      </w:pPr>
      <w:r w:rsidRPr="00100FCF">
        <w:rPr>
          <w:rFonts w:asciiTheme="minorHAnsi" w:hAnsiTheme="minorHAnsi" w:cstheme="minorHAnsi"/>
        </w:rPr>
        <w:t>International telecommunication numbering resources</w:t>
      </w:r>
    </w:p>
    <w:p w14:paraId="77524E7B" w14:textId="04CA8517" w:rsidR="00100FCF" w:rsidRDefault="00100FCF" w:rsidP="008D752A">
      <w:pPr>
        <w:pStyle w:val="ListParagraph"/>
        <w:numPr>
          <w:ilvl w:val="0"/>
          <w:numId w:val="6"/>
        </w:numPr>
        <w:tabs>
          <w:tab w:val="clear" w:pos="567"/>
          <w:tab w:val="clear" w:pos="1134"/>
          <w:tab w:val="clear" w:pos="1701"/>
          <w:tab w:val="clear" w:pos="2268"/>
          <w:tab w:val="clear" w:pos="2835"/>
        </w:tabs>
        <w:overflowPunct/>
        <w:autoSpaceDE/>
        <w:autoSpaceDN/>
        <w:adjustRightInd/>
        <w:spacing w:before="100" w:beforeAutospacing="1"/>
        <w:ind w:left="918" w:hanging="561"/>
        <w:contextualSpacing w:val="0"/>
        <w:jc w:val="both"/>
        <w:textAlignment w:val="auto"/>
        <w:rPr>
          <w:rFonts w:asciiTheme="minorHAnsi" w:hAnsiTheme="minorHAnsi" w:cstheme="minorHAnsi"/>
        </w:rPr>
      </w:pPr>
      <w:r w:rsidRPr="00100FCF">
        <w:rPr>
          <w:rFonts w:asciiTheme="minorHAnsi" w:hAnsiTheme="minorHAnsi" w:cstheme="minorHAnsi"/>
        </w:rPr>
        <w:t>Inclusive and secure telecommunication/ICT infrastructure and services</w:t>
      </w:r>
    </w:p>
    <w:p w14:paraId="55F56F7C" w14:textId="5CC6BE07" w:rsidR="00100FCF" w:rsidRDefault="00100FCF" w:rsidP="008D752A">
      <w:pPr>
        <w:pStyle w:val="ListParagraph"/>
        <w:numPr>
          <w:ilvl w:val="0"/>
          <w:numId w:val="6"/>
        </w:numPr>
        <w:tabs>
          <w:tab w:val="clear" w:pos="567"/>
          <w:tab w:val="clear" w:pos="1134"/>
          <w:tab w:val="clear" w:pos="1701"/>
          <w:tab w:val="clear" w:pos="2268"/>
          <w:tab w:val="clear" w:pos="2835"/>
        </w:tabs>
        <w:overflowPunct/>
        <w:autoSpaceDE/>
        <w:autoSpaceDN/>
        <w:adjustRightInd/>
        <w:spacing w:before="100" w:beforeAutospacing="1"/>
        <w:ind w:left="918" w:hanging="561"/>
        <w:contextualSpacing w:val="0"/>
        <w:jc w:val="both"/>
        <w:textAlignment w:val="auto"/>
        <w:rPr>
          <w:rFonts w:asciiTheme="minorHAnsi" w:hAnsiTheme="minorHAnsi" w:cstheme="minorHAnsi"/>
        </w:rPr>
      </w:pPr>
      <w:r w:rsidRPr="00100FCF">
        <w:rPr>
          <w:rFonts w:asciiTheme="minorHAnsi" w:hAnsiTheme="minorHAnsi" w:cstheme="minorHAnsi"/>
        </w:rPr>
        <w:t>Digital applications</w:t>
      </w:r>
    </w:p>
    <w:p w14:paraId="1CB3E4DF" w14:textId="5FE53791" w:rsidR="00100FCF" w:rsidRPr="00626066" w:rsidRDefault="00100FCF" w:rsidP="008D752A">
      <w:pPr>
        <w:pStyle w:val="ListParagraph"/>
        <w:numPr>
          <w:ilvl w:val="0"/>
          <w:numId w:val="6"/>
        </w:numPr>
        <w:tabs>
          <w:tab w:val="clear" w:pos="567"/>
          <w:tab w:val="clear" w:pos="1134"/>
          <w:tab w:val="clear" w:pos="1701"/>
          <w:tab w:val="clear" w:pos="2268"/>
          <w:tab w:val="clear" w:pos="2835"/>
        </w:tabs>
        <w:overflowPunct/>
        <w:autoSpaceDE/>
        <w:autoSpaceDN/>
        <w:adjustRightInd/>
        <w:spacing w:before="100" w:beforeAutospacing="1"/>
        <w:ind w:left="918" w:hanging="561"/>
        <w:contextualSpacing w:val="0"/>
        <w:jc w:val="both"/>
        <w:textAlignment w:val="auto"/>
        <w:rPr>
          <w:rFonts w:asciiTheme="minorHAnsi" w:hAnsiTheme="minorHAnsi" w:cstheme="minorHAnsi"/>
        </w:rPr>
      </w:pPr>
      <w:r w:rsidRPr="00100FCF">
        <w:rPr>
          <w:rFonts w:asciiTheme="minorHAnsi" w:hAnsiTheme="minorHAnsi" w:cstheme="minorHAnsi"/>
        </w:rPr>
        <w:t>Enabling environment</w:t>
      </w:r>
    </w:p>
    <w:p w14:paraId="3C601002" w14:textId="2EA5372E" w:rsidR="00100FCF" w:rsidRDefault="00100FCF" w:rsidP="008D752A">
      <w:pPr>
        <w:tabs>
          <w:tab w:val="clear" w:pos="567"/>
          <w:tab w:val="clear" w:pos="1134"/>
          <w:tab w:val="clear" w:pos="1701"/>
          <w:tab w:val="clear" w:pos="2268"/>
          <w:tab w:val="clear" w:pos="2835"/>
        </w:tabs>
        <w:overflowPunct/>
        <w:autoSpaceDE/>
        <w:autoSpaceDN/>
        <w:snapToGrid w:val="0"/>
        <w:spacing w:before="240" w:after="240"/>
        <w:jc w:val="both"/>
        <w:textAlignment w:val="auto"/>
        <w:rPr>
          <w:rFonts w:asciiTheme="minorHAnsi" w:hAnsiTheme="minorHAnsi" w:cstheme="minorHAnsi"/>
        </w:rPr>
      </w:pPr>
      <w:r>
        <w:rPr>
          <w:rFonts w:asciiTheme="minorHAnsi" w:hAnsiTheme="minorHAnsi" w:cstheme="minorHAnsi"/>
        </w:rPr>
        <w:t>8.3</w:t>
      </w:r>
      <w:r>
        <w:rPr>
          <w:rFonts w:asciiTheme="minorHAnsi" w:hAnsiTheme="minorHAnsi" w:cstheme="minorHAnsi"/>
        </w:rPr>
        <w:tab/>
      </w:r>
      <w:r w:rsidRPr="00195FA0">
        <w:rPr>
          <w:rFonts w:asciiTheme="minorHAnsi" w:hAnsiTheme="minorHAnsi" w:cstheme="minorHAnsi"/>
        </w:rPr>
        <w:t xml:space="preserve">The draft </w:t>
      </w:r>
      <w:r>
        <w:rPr>
          <w:rFonts w:asciiTheme="minorHAnsi" w:hAnsiTheme="minorHAnsi" w:cstheme="minorHAnsi"/>
        </w:rPr>
        <w:t>biennial b</w:t>
      </w:r>
      <w:r w:rsidRPr="00195FA0">
        <w:rPr>
          <w:rFonts w:asciiTheme="minorHAnsi" w:hAnsiTheme="minorHAnsi" w:cstheme="minorHAnsi"/>
        </w:rPr>
        <w:t xml:space="preserve">udget </w:t>
      </w:r>
      <w:r>
        <w:rPr>
          <w:rFonts w:asciiTheme="minorHAnsi" w:hAnsiTheme="minorHAnsi" w:cstheme="minorHAnsi"/>
        </w:rPr>
        <w:t xml:space="preserve">of the Union </w:t>
      </w:r>
      <w:r w:rsidRPr="00195FA0">
        <w:rPr>
          <w:rFonts w:asciiTheme="minorHAnsi" w:hAnsiTheme="minorHAnsi" w:cstheme="minorHAnsi"/>
        </w:rPr>
        <w:t>for 20</w:t>
      </w:r>
      <w:r>
        <w:rPr>
          <w:rFonts w:asciiTheme="minorHAnsi" w:hAnsiTheme="minorHAnsi" w:cstheme="minorHAnsi"/>
        </w:rPr>
        <w:t>26</w:t>
      </w:r>
      <w:r w:rsidRPr="00195FA0">
        <w:rPr>
          <w:rFonts w:asciiTheme="minorHAnsi" w:hAnsiTheme="minorHAnsi" w:cstheme="minorHAnsi"/>
        </w:rPr>
        <w:t>-202</w:t>
      </w:r>
      <w:r>
        <w:rPr>
          <w:rFonts w:asciiTheme="minorHAnsi" w:hAnsiTheme="minorHAnsi" w:cstheme="minorHAnsi"/>
        </w:rPr>
        <w:t>7</w:t>
      </w:r>
      <w:r w:rsidRPr="00195FA0">
        <w:rPr>
          <w:rFonts w:asciiTheme="minorHAnsi" w:hAnsiTheme="minorHAnsi" w:cstheme="minorHAnsi"/>
        </w:rPr>
        <w:t xml:space="preserve"> includes appropriations for the implementation of </w:t>
      </w:r>
      <w:r>
        <w:rPr>
          <w:rFonts w:asciiTheme="minorHAnsi" w:hAnsiTheme="minorHAnsi" w:cstheme="minorHAnsi"/>
        </w:rPr>
        <w:t>the two</w:t>
      </w:r>
      <w:r w:rsidRPr="00195FA0">
        <w:rPr>
          <w:rFonts w:asciiTheme="minorHAnsi" w:hAnsiTheme="minorHAnsi" w:cstheme="minorHAnsi"/>
        </w:rPr>
        <w:t xml:space="preserve"> strategic goals, </w:t>
      </w:r>
      <w:r>
        <w:rPr>
          <w:rFonts w:asciiTheme="minorHAnsi" w:hAnsiTheme="minorHAnsi" w:cstheme="minorHAnsi"/>
        </w:rPr>
        <w:t>five thematic priorities</w:t>
      </w:r>
      <w:r w:rsidRPr="00195FA0">
        <w:rPr>
          <w:rFonts w:asciiTheme="minorHAnsi" w:hAnsiTheme="minorHAnsi" w:cstheme="minorHAnsi"/>
        </w:rPr>
        <w:t xml:space="preserve"> and </w:t>
      </w:r>
      <w:r>
        <w:rPr>
          <w:rFonts w:asciiTheme="minorHAnsi" w:hAnsiTheme="minorHAnsi" w:cstheme="minorHAnsi"/>
        </w:rPr>
        <w:t>43</w:t>
      </w:r>
      <w:r w:rsidRPr="00195FA0">
        <w:rPr>
          <w:rFonts w:asciiTheme="minorHAnsi" w:hAnsiTheme="minorHAnsi" w:cstheme="minorHAnsi"/>
        </w:rPr>
        <w:t xml:space="preserve"> outputs</w:t>
      </w:r>
      <w:r>
        <w:rPr>
          <w:rFonts w:asciiTheme="minorHAnsi" w:hAnsiTheme="minorHAnsi" w:cstheme="minorHAnsi"/>
        </w:rPr>
        <w:t xml:space="preserve"> of the strategic plan</w:t>
      </w:r>
      <w:r w:rsidRPr="00195FA0">
        <w:rPr>
          <w:rFonts w:asciiTheme="minorHAnsi" w:hAnsiTheme="minorHAnsi" w:cstheme="minorHAnsi"/>
        </w:rPr>
        <w:t>. It also foresees the allocation of a</w:t>
      </w:r>
      <w:r w:rsidR="00D661FE">
        <w:rPr>
          <w:rFonts w:asciiTheme="minorHAnsi" w:hAnsiTheme="minorHAnsi" w:cstheme="minorHAnsi"/>
        </w:rPr>
        <w:t>ppropriate resources for the administrative and support services</w:t>
      </w:r>
      <w:r w:rsidRPr="00195FA0">
        <w:rPr>
          <w:rFonts w:asciiTheme="minorHAnsi" w:hAnsiTheme="minorHAnsi" w:cstheme="minorHAnsi"/>
        </w:rPr>
        <w:t xml:space="preserve"> in both the Bureaux and the General Secretariat.</w:t>
      </w:r>
    </w:p>
    <w:p w14:paraId="60C9DE49" w14:textId="502CDB7C" w:rsidR="00100FCF" w:rsidRDefault="00100FCF" w:rsidP="008D752A">
      <w:pPr>
        <w:tabs>
          <w:tab w:val="clear" w:pos="567"/>
          <w:tab w:val="clear" w:pos="1134"/>
          <w:tab w:val="clear" w:pos="1701"/>
          <w:tab w:val="clear" w:pos="2268"/>
          <w:tab w:val="clear" w:pos="2835"/>
        </w:tabs>
        <w:overflowPunct/>
        <w:autoSpaceDE/>
        <w:autoSpaceDN/>
        <w:snapToGrid w:val="0"/>
        <w:spacing w:before="240" w:after="240"/>
        <w:jc w:val="both"/>
        <w:textAlignment w:val="auto"/>
        <w:rPr>
          <w:rFonts w:asciiTheme="minorHAnsi" w:hAnsiTheme="minorHAnsi" w:cstheme="minorHAnsi"/>
        </w:rPr>
      </w:pPr>
      <w:r>
        <w:rPr>
          <w:rFonts w:asciiTheme="minorHAnsi" w:hAnsiTheme="minorHAnsi" w:cstheme="minorHAnsi"/>
        </w:rPr>
        <w:t>8.4</w:t>
      </w:r>
      <w:r w:rsidRPr="00626066">
        <w:tab/>
      </w:r>
      <w:r>
        <w:rPr>
          <w:rFonts w:asciiTheme="minorHAnsi" w:hAnsiTheme="minorHAnsi" w:cstheme="minorHAnsi"/>
        </w:rPr>
        <w:t>The following table and chart show the budget distribution by thematic priority for 2026-2027.</w:t>
      </w:r>
      <w:r w:rsidRPr="00A961BE">
        <w:t xml:space="preserve"> </w:t>
      </w:r>
      <w:r>
        <w:rPr>
          <w:rFonts w:asciiTheme="minorHAnsi" w:hAnsiTheme="minorHAnsi" w:cstheme="minorHAnsi"/>
        </w:rPr>
        <w:t>It</w:t>
      </w:r>
      <w:r w:rsidRPr="00A961BE">
        <w:rPr>
          <w:rFonts w:asciiTheme="minorHAnsi" w:hAnsiTheme="minorHAnsi" w:cstheme="minorHAnsi"/>
        </w:rPr>
        <w:t xml:space="preserve"> </w:t>
      </w:r>
      <w:r>
        <w:rPr>
          <w:rFonts w:asciiTheme="minorHAnsi" w:hAnsiTheme="minorHAnsi" w:cstheme="minorHAnsi"/>
        </w:rPr>
        <w:t>breaks down real</w:t>
      </w:r>
      <w:r w:rsidRPr="00A961BE">
        <w:rPr>
          <w:rFonts w:asciiTheme="minorHAnsi" w:hAnsiTheme="minorHAnsi" w:cstheme="minorHAnsi"/>
        </w:rPr>
        <w:t xml:space="preserve"> resource</w:t>
      </w:r>
      <w:r>
        <w:rPr>
          <w:rFonts w:asciiTheme="minorHAnsi" w:hAnsiTheme="minorHAnsi" w:cstheme="minorHAnsi"/>
        </w:rPr>
        <w:t xml:space="preserve"> u</w:t>
      </w:r>
      <w:r w:rsidRPr="00A961BE">
        <w:rPr>
          <w:rFonts w:asciiTheme="minorHAnsi" w:hAnsiTheme="minorHAnsi" w:cstheme="minorHAnsi"/>
        </w:rPr>
        <w:t>s</w:t>
      </w:r>
      <w:r>
        <w:rPr>
          <w:rFonts w:asciiTheme="minorHAnsi" w:hAnsiTheme="minorHAnsi" w:cstheme="minorHAnsi"/>
        </w:rPr>
        <w:t>e</w:t>
      </w:r>
      <w:r w:rsidRPr="00A961BE">
        <w:rPr>
          <w:rFonts w:asciiTheme="minorHAnsi" w:hAnsiTheme="minorHAnsi" w:cstheme="minorHAnsi"/>
        </w:rPr>
        <w:t xml:space="preserve"> by </w:t>
      </w:r>
      <w:r>
        <w:rPr>
          <w:rFonts w:asciiTheme="minorHAnsi" w:hAnsiTheme="minorHAnsi" w:cstheme="minorHAnsi"/>
        </w:rPr>
        <w:t>thematic priority</w:t>
      </w:r>
      <w:r w:rsidRPr="00A961BE">
        <w:rPr>
          <w:rFonts w:asciiTheme="minorHAnsi" w:hAnsiTheme="minorHAnsi" w:cstheme="minorHAnsi"/>
        </w:rPr>
        <w:t xml:space="preserve"> after allocati</w:t>
      </w:r>
      <w:r w:rsidR="00D03E24">
        <w:rPr>
          <w:rFonts w:asciiTheme="minorHAnsi" w:hAnsiTheme="minorHAnsi" w:cstheme="minorHAnsi"/>
        </w:rPr>
        <w:t>ng administrative and centralized services and Bureaux support services</w:t>
      </w:r>
      <w:r w:rsidRPr="00A961BE">
        <w:rPr>
          <w:rFonts w:asciiTheme="minorHAnsi" w:hAnsiTheme="minorHAnsi" w:cstheme="minorHAnsi"/>
        </w:rPr>
        <w:t xml:space="preserve"> to the relevant </w:t>
      </w:r>
      <w:r>
        <w:rPr>
          <w:rFonts w:asciiTheme="minorHAnsi" w:hAnsiTheme="minorHAnsi" w:cstheme="minorHAnsi"/>
        </w:rPr>
        <w:t>thematic priorities and outputs.</w:t>
      </w:r>
    </w:p>
    <w:p w14:paraId="64B26700" w14:textId="77777777" w:rsidR="00100FCF" w:rsidRPr="00100FCF" w:rsidRDefault="7A9A28BD" w:rsidP="00C3742F">
      <w:pPr>
        <w:tabs>
          <w:tab w:val="clear" w:pos="567"/>
          <w:tab w:val="clear" w:pos="1134"/>
          <w:tab w:val="clear" w:pos="1701"/>
          <w:tab w:val="clear" w:pos="2268"/>
          <w:tab w:val="clear" w:pos="2835"/>
        </w:tabs>
        <w:overflowPunct/>
        <w:autoSpaceDE/>
        <w:autoSpaceDN/>
        <w:snapToGrid w:val="0"/>
        <w:textAlignment w:val="auto"/>
        <w:rPr>
          <w:rFonts w:asciiTheme="minorHAnsi" w:hAnsiTheme="minorHAnsi" w:cstheme="minorBidi"/>
        </w:rPr>
      </w:pPr>
      <w:r>
        <w:rPr>
          <w:noProof/>
        </w:rPr>
        <w:drawing>
          <wp:inline distT="0" distB="0" distL="0" distR="0" wp14:anchorId="3D4990BD" wp14:editId="1FAE5F03">
            <wp:extent cx="5768243" cy="1793020"/>
            <wp:effectExtent l="0" t="0" r="4445" b="0"/>
            <wp:docPr id="143747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801940" cy="1803494"/>
                    </a:xfrm>
                    <a:prstGeom prst="rect">
                      <a:avLst/>
                    </a:prstGeom>
                  </pic:spPr>
                </pic:pic>
              </a:graphicData>
            </a:graphic>
          </wp:inline>
        </w:drawing>
      </w:r>
    </w:p>
    <w:p w14:paraId="72E143DB" w14:textId="778A1A19" w:rsidR="00100FCF" w:rsidRDefault="00100FCF" w:rsidP="00100FC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Bidi"/>
        </w:rPr>
      </w:pPr>
    </w:p>
    <w:p w14:paraId="3EA5E113" w14:textId="77777777" w:rsidR="00633192" w:rsidRDefault="00633192" w:rsidP="0093366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p>
    <w:p w14:paraId="6FEF56ED" w14:textId="78D79DE0" w:rsidR="00100FCF" w:rsidRDefault="00633192" w:rsidP="0093366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noProof/>
        </w:rPr>
        <w:drawing>
          <wp:inline distT="0" distB="0" distL="0" distR="0" wp14:anchorId="02D09B55" wp14:editId="22118D41">
            <wp:extent cx="5821312" cy="2588149"/>
            <wp:effectExtent l="0" t="0" r="8255" b="3175"/>
            <wp:docPr id="15500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276" name=""/>
                    <pic:cNvPicPr/>
                  </pic:nvPicPr>
                  <pic:blipFill>
                    <a:blip r:embed="rId42"/>
                    <a:stretch>
                      <a:fillRect/>
                    </a:stretch>
                  </pic:blipFill>
                  <pic:spPr>
                    <a:xfrm>
                      <a:off x="0" y="0"/>
                      <a:ext cx="5868548" cy="2609150"/>
                    </a:xfrm>
                    <a:prstGeom prst="rect">
                      <a:avLst/>
                    </a:prstGeom>
                  </pic:spPr>
                </pic:pic>
              </a:graphicData>
            </a:graphic>
          </wp:inline>
        </w:drawing>
      </w:r>
    </w:p>
    <w:p w14:paraId="02A0991B" w14:textId="77777777" w:rsidR="00D65245" w:rsidRDefault="00D65245" w:rsidP="0093366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p>
    <w:p w14:paraId="609D2F57" w14:textId="1E47C116" w:rsidR="00633192" w:rsidRPr="00A961BE" w:rsidRDefault="00633192" w:rsidP="008D752A">
      <w:pPr>
        <w:keepNext/>
        <w:tabs>
          <w:tab w:val="clear" w:pos="1134"/>
          <w:tab w:val="clear" w:pos="1701"/>
          <w:tab w:val="clear" w:pos="2268"/>
          <w:tab w:val="clear" w:pos="2835"/>
        </w:tabs>
        <w:overflowPunct/>
        <w:autoSpaceDE/>
        <w:autoSpaceDN/>
        <w:snapToGrid w:val="0"/>
        <w:spacing w:before="0" w:after="240"/>
        <w:jc w:val="both"/>
        <w:textAlignment w:val="auto"/>
        <w:rPr>
          <w:rFonts w:asciiTheme="minorHAnsi" w:hAnsiTheme="minorHAnsi" w:cstheme="minorHAnsi"/>
        </w:rPr>
      </w:pPr>
      <w:r>
        <w:rPr>
          <w:rFonts w:asciiTheme="minorHAnsi" w:hAnsiTheme="minorHAnsi"/>
        </w:rPr>
        <w:lastRenderedPageBreak/>
        <w:t>8.5</w:t>
      </w:r>
      <w:r>
        <w:rPr>
          <w:rFonts w:asciiTheme="minorHAnsi" w:hAnsiTheme="minorHAnsi"/>
        </w:rPr>
        <w:tab/>
      </w:r>
      <w:r w:rsidRPr="00063A60">
        <w:rPr>
          <w:rFonts w:asciiTheme="minorHAnsi" w:hAnsiTheme="minorHAnsi"/>
        </w:rPr>
        <w:t xml:space="preserve">The draft </w:t>
      </w:r>
      <w:r>
        <w:rPr>
          <w:rFonts w:asciiTheme="minorHAnsi" w:hAnsiTheme="minorHAnsi"/>
        </w:rPr>
        <w:t>biennial b</w:t>
      </w:r>
      <w:r w:rsidRPr="00063A60">
        <w:rPr>
          <w:rFonts w:asciiTheme="minorHAnsi" w:hAnsiTheme="minorHAnsi"/>
        </w:rPr>
        <w:t xml:space="preserve">udget </w:t>
      </w:r>
      <w:r>
        <w:rPr>
          <w:rFonts w:asciiTheme="minorHAnsi" w:hAnsiTheme="minorHAnsi"/>
        </w:rPr>
        <w:t xml:space="preserve">of the Union </w:t>
      </w:r>
      <w:r w:rsidRPr="00063A60">
        <w:rPr>
          <w:rFonts w:asciiTheme="minorHAnsi" w:hAnsiTheme="minorHAnsi"/>
        </w:rPr>
        <w:t>for 20</w:t>
      </w:r>
      <w:r w:rsidR="00FF4D89">
        <w:rPr>
          <w:rFonts w:asciiTheme="minorHAnsi" w:hAnsiTheme="minorHAnsi"/>
        </w:rPr>
        <w:t>26</w:t>
      </w:r>
      <w:r w:rsidRPr="00063A60">
        <w:rPr>
          <w:rFonts w:asciiTheme="minorHAnsi" w:hAnsiTheme="minorHAnsi"/>
        </w:rPr>
        <w:t>-20</w:t>
      </w:r>
      <w:r>
        <w:rPr>
          <w:rFonts w:asciiTheme="minorHAnsi" w:hAnsiTheme="minorHAnsi"/>
        </w:rPr>
        <w:t>2</w:t>
      </w:r>
      <w:r w:rsidR="00FF4D89">
        <w:rPr>
          <w:rFonts w:asciiTheme="minorHAnsi" w:hAnsiTheme="minorHAnsi"/>
        </w:rPr>
        <w:t>7</w:t>
      </w:r>
      <w:r w:rsidRPr="00063A60">
        <w:rPr>
          <w:rFonts w:asciiTheme="minorHAnsi" w:hAnsiTheme="minorHAnsi"/>
        </w:rPr>
        <w:t xml:space="preserve"> includes appropriations for the implementation of</w:t>
      </w:r>
      <w:r>
        <w:rPr>
          <w:rFonts w:asciiTheme="minorHAnsi" w:hAnsiTheme="minorHAnsi"/>
        </w:rPr>
        <w:t xml:space="preserve"> the 43 outputs categorized as follows:</w:t>
      </w:r>
    </w:p>
    <w:p w14:paraId="092E0A3B" w14:textId="77777777" w:rsidR="00633192" w:rsidRPr="00A961BE" w:rsidRDefault="00633192" w:rsidP="008D752A">
      <w:pPr>
        <w:pStyle w:val="ListParagraph"/>
        <w:keepNext/>
        <w:numPr>
          <w:ilvl w:val="0"/>
          <w:numId w:val="9"/>
        </w:numPr>
        <w:tabs>
          <w:tab w:val="clear" w:pos="567"/>
          <w:tab w:val="clear" w:pos="1134"/>
          <w:tab w:val="clear" w:pos="1701"/>
          <w:tab w:val="clear" w:pos="2268"/>
          <w:tab w:val="clear" w:pos="2835"/>
        </w:tabs>
        <w:overflowPunct/>
        <w:autoSpaceDE/>
        <w:autoSpaceDN/>
        <w:adjustRightInd/>
        <w:snapToGrid w:val="0"/>
        <w:spacing w:before="0"/>
        <w:ind w:left="851" w:hanging="284"/>
        <w:contextualSpacing w:val="0"/>
        <w:jc w:val="both"/>
        <w:textAlignment w:val="auto"/>
        <w:rPr>
          <w:rFonts w:asciiTheme="minorHAnsi" w:hAnsiTheme="minorHAnsi"/>
        </w:rPr>
      </w:pPr>
      <w:r w:rsidRPr="00A961BE">
        <w:rPr>
          <w:rFonts w:asciiTheme="minorHAnsi" w:hAnsiTheme="minorHAnsi"/>
        </w:rPr>
        <w:t xml:space="preserve">9 </w:t>
      </w:r>
      <w:r>
        <w:rPr>
          <w:rFonts w:asciiTheme="minorHAnsi" w:hAnsiTheme="minorHAnsi"/>
        </w:rPr>
        <w:t>i</w:t>
      </w:r>
      <w:r w:rsidRPr="00A961BE">
        <w:rPr>
          <w:rFonts w:asciiTheme="minorHAnsi" w:hAnsiTheme="minorHAnsi"/>
        </w:rPr>
        <w:t>nter</w:t>
      </w:r>
      <w:r>
        <w:rPr>
          <w:rFonts w:asciiTheme="minorHAnsi" w:hAnsiTheme="minorHAnsi"/>
        </w:rPr>
        <w:t>-</w:t>
      </w:r>
      <w:r w:rsidRPr="00A961BE">
        <w:rPr>
          <w:rFonts w:asciiTheme="minorHAnsi" w:hAnsiTheme="minorHAnsi"/>
        </w:rPr>
        <w:t>Sectoral outputs</w:t>
      </w:r>
    </w:p>
    <w:p w14:paraId="464B22F2" w14:textId="77777777" w:rsidR="00633192" w:rsidRPr="00A961BE" w:rsidRDefault="00633192" w:rsidP="008D752A">
      <w:pPr>
        <w:pStyle w:val="ListParagraph"/>
        <w:keepNext/>
        <w:numPr>
          <w:ilvl w:val="0"/>
          <w:numId w:val="9"/>
        </w:numPr>
        <w:tabs>
          <w:tab w:val="clear" w:pos="567"/>
          <w:tab w:val="clear" w:pos="1134"/>
          <w:tab w:val="clear" w:pos="1701"/>
          <w:tab w:val="clear" w:pos="2268"/>
          <w:tab w:val="clear" w:pos="2835"/>
        </w:tabs>
        <w:overflowPunct/>
        <w:autoSpaceDE/>
        <w:autoSpaceDN/>
        <w:adjustRightInd/>
        <w:snapToGrid w:val="0"/>
        <w:spacing w:before="0"/>
        <w:ind w:left="851" w:hanging="284"/>
        <w:contextualSpacing w:val="0"/>
        <w:jc w:val="both"/>
        <w:textAlignment w:val="auto"/>
        <w:rPr>
          <w:rFonts w:asciiTheme="minorHAnsi" w:hAnsiTheme="minorHAnsi"/>
        </w:rPr>
      </w:pPr>
      <w:r w:rsidRPr="00A961BE">
        <w:rPr>
          <w:rFonts w:asciiTheme="minorHAnsi" w:hAnsiTheme="minorHAnsi"/>
        </w:rPr>
        <w:t xml:space="preserve">12 </w:t>
      </w:r>
      <w:r>
        <w:rPr>
          <w:rFonts w:asciiTheme="minorHAnsi" w:hAnsiTheme="minorHAnsi"/>
        </w:rPr>
        <w:t>ITU-R</w:t>
      </w:r>
      <w:r w:rsidRPr="00A961BE">
        <w:rPr>
          <w:rFonts w:asciiTheme="minorHAnsi" w:hAnsiTheme="minorHAnsi"/>
        </w:rPr>
        <w:t xml:space="preserve"> outputs</w:t>
      </w:r>
    </w:p>
    <w:p w14:paraId="4B886984" w14:textId="77777777" w:rsidR="00633192" w:rsidRPr="00A961BE" w:rsidRDefault="00633192" w:rsidP="008D752A">
      <w:pPr>
        <w:pStyle w:val="ListParagraph"/>
        <w:keepNext/>
        <w:numPr>
          <w:ilvl w:val="0"/>
          <w:numId w:val="9"/>
        </w:numPr>
        <w:tabs>
          <w:tab w:val="clear" w:pos="567"/>
          <w:tab w:val="clear" w:pos="1134"/>
          <w:tab w:val="clear" w:pos="1701"/>
          <w:tab w:val="clear" w:pos="2268"/>
          <w:tab w:val="clear" w:pos="2835"/>
        </w:tabs>
        <w:overflowPunct/>
        <w:autoSpaceDE/>
        <w:autoSpaceDN/>
        <w:adjustRightInd/>
        <w:snapToGrid w:val="0"/>
        <w:spacing w:before="0"/>
        <w:ind w:left="851" w:hanging="284"/>
        <w:contextualSpacing w:val="0"/>
        <w:jc w:val="both"/>
        <w:textAlignment w:val="auto"/>
        <w:rPr>
          <w:rFonts w:asciiTheme="minorHAnsi" w:hAnsiTheme="minorHAnsi"/>
        </w:rPr>
      </w:pPr>
      <w:r w:rsidRPr="00A961BE">
        <w:rPr>
          <w:rFonts w:asciiTheme="minorHAnsi" w:hAnsiTheme="minorHAnsi"/>
        </w:rPr>
        <w:t xml:space="preserve">9 </w:t>
      </w:r>
      <w:r>
        <w:rPr>
          <w:rFonts w:asciiTheme="minorHAnsi" w:hAnsiTheme="minorHAnsi"/>
        </w:rPr>
        <w:t>ITU-T</w:t>
      </w:r>
      <w:r w:rsidRPr="00A961BE">
        <w:rPr>
          <w:rFonts w:asciiTheme="minorHAnsi" w:hAnsiTheme="minorHAnsi"/>
        </w:rPr>
        <w:t xml:space="preserve"> outputs</w:t>
      </w:r>
    </w:p>
    <w:p w14:paraId="4B44D15B" w14:textId="77777777" w:rsidR="00633192" w:rsidRDefault="00633192" w:rsidP="008D752A">
      <w:pPr>
        <w:pStyle w:val="ListParagraph"/>
        <w:numPr>
          <w:ilvl w:val="0"/>
          <w:numId w:val="9"/>
        </w:numPr>
        <w:tabs>
          <w:tab w:val="clear" w:pos="567"/>
          <w:tab w:val="clear" w:pos="1134"/>
          <w:tab w:val="clear" w:pos="1701"/>
          <w:tab w:val="clear" w:pos="2268"/>
          <w:tab w:val="clear" w:pos="2835"/>
        </w:tabs>
        <w:overflowPunct/>
        <w:autoSpaceDE/>
        <w:autoSpaceDN/>
        <w:adjustRightInd/>
        <w:snapToGrid w:val="0"/>
        <w:spacing w:before="0" w:after="240"/>
        <w:ind w:left="851" w:hanging="284"/>
        <w:contextualSpacing w:val="0"/>
        <w:jc w:val="both"/>
        <w:textAlignment w:val="auto"/>
        <w:rPr>
          <w:rFonts w:asciiTheme="minorHAnsi" w:hAnsiTheme="minorHAnsi"/>
        </w:rPr>
      </w:pPr>
      <w:r w:rsidRPr="00A961BE">
        <w:rPr>
          <w:rFonts w:asciiTheme="minorHAnsi" w:hAnsiTheme="minorHAnsi"/>
        </w:rPr>
        <w:t xml:space="preserve">13 </w:t>
      </w:r>
      <w:r>
        <w:rPr>
          <w:rFonts w:asciiTheme="minorHAnsi" w:hAnsiTheme="minorHAnsi"/>
        </w:rPr>
        <w:t>ITU-D</w:t>
      </w:r>
      <w:r w:rsidRPr="00A961BE">
        <w:rPr>
          <w:rFonts w:asciiTheme="minorHAnsi" w:hAnsiTheme="minorHAnsi"/>
        </w:rPr>
        <w:t xml:space="preserve"> outputs</w:t>
      </w:r>
      <w:r>
        <w:rPr>
          <w:rFonts w:asciiTheme="minorHAnsi" w:hAnsiTheme="minorHAnsi"/>
        </w:rPr>
        <w:t>.</w:t>
      </w:r>
    </w:p>
    <w:p w14:paraId="2A20792F" w14:textId="0233C815" w:rsidR="00633192" w:rsidRDefault="00633192" w:rsidP="008D752A">
      <w:pPr>
        <w:pStyle w:val="ListParagraph"/>
        <w:tabs>
          <w:tab w:val="clear" w:pos="567"/>
          <w:tab w:val="left" w:pos="709"/>
        </w:tabs>
        <w:snapToGrid w:val="0"/>
        <w:spacing w:before="0" w:after="240"/>
        <w:ind w:left="0"/>
        <w:contextualSpacing w:val="0"/>
        <w:jc w:val="both"/>
        <w:rPr>
          <w:rFonts w:asciiTheme="minorHAnsi" w:hAnsiTheme="minorHAnsi"/>
        </w:rPr>
      </w:pPr>
      <w:r>
        <w:rPr>
          <w:rFonts w:asciiTheme="minorHAnsi" w:hAnsiTheme="minorHAnsi"/>
        </w:rPr>
        <w:t>8.5</w:t>
      </w:r>
      <w:r>
        <w:rPr>
          <w:rFonts w:asciiTheme="minorHAnsi" w:hAnsiTheme="minorHAnsi"/>
        </w:rPr>
        <w:tab/>
      </w:r>
      <w:r w:rsidRPr="00A961BE">
        <w:rPr>
          <w:rFonts w:asciiTheme="minorHAnsi" w:hAnsiTheme="minorHAnsi"/>
        </w:rPr>
        <w:t xml:space="preserve">The full cost allocation </w:t>
      </w:r>
      <w:r>
        <w:rPr>
          <w:rFonts w:asciiTheme="minorHAnsi" w:hAnsiTheme="minorHAnsi"/>
        </w:rPr>
        <w:t>for</w:t>
      </w:r>
      <w:r w:rsidRPr="00A961BE">
        <w:rPr>
          <w:rFonts w:asciiTheme="minorHAnsi" w:hAnsiTheme="minorHAnsi"/>
        </w:rPr>
        <w:t xml:space="preserve"> each </w:t>
      </w:r>
      <w:r>
        <w:rPr>
          <w:rFonts w:asciiTheme="minorHAnsi" w:hAnsiTheme="minorHAnsi"/>
        </w:rPr>
        <w:t>r</w:t>
      </w:r>
      <w:r w:rsidRPr="00A961BE">
        <w:rPr>
          <w:rFonts w:asciiTheme="minorHAnsi" w:hAnsiTheme="minorHAnsi"/>
        </w:rPr>
        <w:t>esults-</w:t>
      </w:r>
      <w:r>
        <w:rPr>
          <w:rFonts w:asciiTheme="minorHAnsi" w:hAnsiTheme="minorHAnsi"/>
        </w:rPr>
        <w:t>b</w:t>
      </w:r>
      <w:r w:rsidRPr="00A961BE">
        <w:rPr>
          <w:rFonts w:asciiTheme="minorHAnsi" w:hAnsiTheme="minorHAnsi"/>
        </w:rPr>
        <w:t xml:space="preserve">ased </w:t>
      </w:r>
      <w:r>
        <w:rPr>
          <w:rFonts w:asciiTheme="minorHAnsi" w:hAnsiTheme="minorHAnsi"/>
        </w:rPr>
        <w:t>b</w:t>
      </w:r>
      <w:r w:rsidRPr="00A961BE">
        <w:rPr>
          <w:rFonts w:asciiTheme="minorHAnsi" w:hAnsiTheme="minorHAnsi"/>
        </w:rPr>
        <w:t>udget</w:t>
      </w:r>
      <w:r>
        <w:rPr>
          <w:rFonts w:asciiTheme="minorHAnsi" w:hAnsiTheme="minorHAnsi"/>
        </w:rPr>
        <w:t>ing (RBB)</w:t>
      </w:r>
      <w:r w:rsidRPr="00A961BE">
        <w:rPr>
          <w:rFonts w:asciiTheme="minorHAnsi" w:hAnsiTheme="minorHAnsi"/>
        </w:rPr>
        <w:t xml:space="preserve"> component</w:t>
      </w:r>
      <w:r>
        <w:rPr>
          <w:rFonts w:asciiTheme="minorHAnsi" w:hAnsiTheme="minorHAnsi"/>
        </w:rPr>
        <w:t>,</w:t>
      </w:r>
      <w:r w:rsidRPr="00A961BE">
        <w:rPr>
          <w:rFonts w:asciiTheme="minorHAnsi" w:hAnsiTheme="minorHAnsi"/>
        </w:rPr>
        <w:t xml:space="preserve"> i.e. the thematic priorities and outputs</w:t>
      </w:r>
      <w:r>
        <w:rPr>
          <w:rFonts w:asciiTheme="minorHAnsi" w:hAnsiTheme="minorHAnsi"/>
        </w:rPr>
        <w:t>,</w:t>
      </w:r>
      <w:r w:rsidRPr="00A961BE">
        <w:rPr>
          <w:rFonts w:asciiTheme="minorHAnsi" w:hAnsiTheme="minorHAnsi"/>
        </w:rPr>
        <w:t xml:space="preserve"> is based on the cost allocation methodology described in </w:t>
      </w:r>
      <w:r>
        <w:rPr>
          <w:rFonts w:asciiTheme="minorHAnsi" w:hAnsiTheme="minorHAnsi"/>
        </w:rPr>
        <w:t xml:space="preserve">ITU Council </w:t>
      </w:r>
      <w:r w:rsidRPr="00A961BE">
        <w:rPr>
          <w:rFonts w:asciiTheme="minorHAnsi" w:hAnsiTheme="minorHAnsi"/>
        </w:rPr>
        <w:t>Decision 535</w:t>
      </w:r>
      <w:r>
        <w:rPr>
          <w:rFonts w:asciiTheme="minorHAnsi" w:hAnsiTheme="minorHAnsi"/>
        </w:rPr>
        <w:t xml:space="preserve"> (C05, last amended C14)</w:t>
      </w:r>
      <w:r w:rsidRPr="00A961BE">
        <w:rPr>
          <w:rFonts w:asciiTheme="minorHAnsi" w:hAnsiTheme="minorHAnsi"/>
        </w:rPr>
        <w:t>.</w:t>
      </w:r>
    </w:p>
    <w:p w14:paraId="72F908AD" w14:textId="1EECE553" w:rsidR="00633192" w:rsidRDefault="00633192" w:rsidP="008D752A">
      <w:pPr>
        <w:pStyle w:val="ListParagraph"/>
        <w:keepNext/>
        <w:keepLines/>
        <w:tabs>
          <w:tab w:val="clear" w:pos="567"/>
          <w:tab w:val="left" w:pos="709"/>
        </w:tabs>
        <w:snapToGrid w:val="0"/>
        <w:spacing w:before="0" w:after="240"/>
        <w:ind w:left="0"/>
        <w:contextualSpacing w:val="0"/>
        <w:jc w:val="both"/>
        <w:rPr>
          <w:rFonts w:asciiTheme="minorHAnsi" w:hAnsiTheme="minorHAnsi"/>
        </w:rPr>
      </w:pPr>
      <w:r>
        <w:rPr>
          <w:rFonts w:asciiTheme="minorHAnsi" w:hAnsiTheme="minorHAnsi"/>
        </w:rPr>
        <w:t>8.6</w:t>
      </w:r>
      <w:r>
        <w:rPr>
          <w:rFonts w:asciiTheme="minorHAnsi" w:hAnsiTheme="minorHAnsi"/>
        </w:rPr>
        <w:tab/>
        <w:t xml:space="preserve">The </w:t>
      </w:r>
      <w:r w:rsidR="00AF287D">
        <w:rPr>
          <w:rFonts w:asciiTheme="minorHAnsi" w:hAnsiTheme="minorHAnsi"/>
        </w:rPr>
        <w:t>whole</w:t>
      </w:r>
      <w:r>
        <w:rPr>
          <w:rFonts w:asciiTheme="minorHAnsi" w:hAnsiTheme="minorHAnsi"/>
        </w:rPr>
        <w:t xml:space="preserve"> cost structure is as follows:</w:t>
      </w:r>
    </w:p>
    <w:p w14:paraId="56CEC9F6" w14:textId="77777777" w:rsidR="00633192" w:rsidRPr="00A961BE" w:rsidRDefault="00633192" w:rsidP="00D048AD">
      <w:pPr>
        <w:pStyle w:val="ListParagraph"/>
        <w:keepNext/>
        <w:keepLines/>
        <w:rPr>
          <w:rFonts w:asciiTheme="minorHAnsi" w:hAnsiTheme="minorHAnsi"/>
        </w:rPr>
      </w:pPr>
    </w:p>
    <w:p w14:paraId="5626B89C" w14:textId="77777777" w:rsidR="00633192" w:rsidRDefault="00633192" w:rsidP="00633192">
      <w:pPr>
        <w:pStyle w:val="ListParagraph"/>
        <w:tabs>
          <w:tab w:val="clear" w:pos="567"/>
          <w:tab w:val="left" w:pos="709"/>
        </w:tabs>
        <w:snapToGrid w:val="0"/>
        <w:ind w:left="0"/>
        <w:jc w:val="center"/>
        <w:rPr>
          <w:rFonts w:asciiTheme="minorHAnsi" w:hAnsiTheme="minorHAnsi"/>
        </w:rPr>
      </w:pPr>
      <w:r w:rsidRPr="00D767C0">
        <w:rPr>
          <w:rFonts w:asciiTheme="minorHAnsi" w:hAnsiTheme="minorHAnsi"/>
          <w:noProof/>
        </w:rPr>
        <w:drawing>
          <wp:inline distT="0" distB="0" distL="0" distR="0" wp14:anchorId="5A8898BC" wp14:editId="78998687">
            <wp:extent cx="3272139" cy="2533271"/>
            <wp:effectExtent l="0" t="0" r="5080" b="0"/>
            <wp:docPr id="122396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7087" name=""/>
                    <pic:cNvPicPr/>
                  </pic:nvPicPr>
                  <pic:blipFill>
                    <a:blip r:embed="rId43"/>
                    <a:stretch>
                      <a:fillRect/>
                    </a:stretch>
                  </pic:blipFill>
                  <pic:spPr>
                    <a:xfrm>
                      <a:off x="0" y="0"/>
                      <a:ext cx="3333045" cy="2580424"/>
                    </a:xfrm>
                    <a:prstGeom prst="rect">
                      <a:avLst/>
                    </a:prstGeom>
                  </pic:spPr>
                </pic:pic>
              </a:graphicData>
            </a:graphic>
          </wp:inline>
        </w:drawing>
      </w:r>
    </w:p>
    <w:p w14:paraId="396CFA0C" w14:textId="77777777" w:rsidR="00633192" w:rsidRDefault="00633192" w:rsidP="00633192">
      <w:pPr>
        <w:pStyle w:val="ListParagraph"/>
        <w:tabs>
          <w:tab w:val="clear" w:pos="567"/>
          <w:tab w:val="left" w:pos="709"/>
        </w:tabs>
        <w:snapToGrid w:val="0"/>
        <w:ind w:left="0"/>
        <w:rPr>
          <w:rFonts w:asciiTheme="minorHAnsi" w:hAnsiTheme="minorHAnsi"/>
        </w:rPr>
      </w:pPr>
    </w:p>
    <w:p w14:paraId="33E80739" w14:textId="32C9233F" w:rsidR="00633192" w:rsidRDefault="00633192" w:rsidP="00633192">
      <w:pPr>
        <w:pStyle w:val="ListParagraph"/>
        <w:tabs>
          <w:tab w:val="clear" w:pos="567"/>
          <w:tab w:val="left" w:pos="709"/>
        </w:tabs>
        <w:snapToGrid w:val="0"/>
        <w:ind w:left="0"/>
        <w:rPr>
          <w:rFonts w:asciiTheme="minorHAnsi" w:hAnsiTheme="minorHAnsi"/>
        </w:rPr>
      </w:pPr>
      <w:r>
        <w:rPr>
          <w:rFonts w:asciiTheme="minorHAnsi" w:hAnsiTheme="minorHAnsi"/>
        </w:rPr>
        <w:t>8.7</w:t>
      </w:r>
      <w:r>
        <w:rPr>
          <w:rFonts w:asciiTheme="minorHAnsi" w:hAnsiTheme="minorHAnsi"/>
        </w:rPr>
        <w:tab/>
        <w:t>T</w:t>
      </w:r>
      <w:r w:rsidR="00D1410C">
        <w:rPr>
          <w:rFonts w:asciiTheme="minorHAnsi" w:hAnsiTheme="minorHAnsi"/>
        </w:rPr>
        <w:t>he t</w:t>
      </w:r>
      <w:r>
        <w:rPr>
          <w:rFonts w:asciiTheme="minorHAnsi" w:hAnsiTheme="minorHAnsi"/>
        </w:rPr>
        <w:t xml:space="preserve">able below </w:t>
      </w:r>
      <w:r w:rsidRPr="00633192">
        <w:rPr>
          <w:rFonts w:asciiTheme="minorHAnsi" w:hAnsiTheme="minorHAnsi"/>
        </w:rPr>
        <w:t>provide</w:t>
      </w:r>
      <w:r>
        <w:rPr>
          <w:rFonts w:asciiTheme="minorHAnsi" w:hAnsiTheme="minorHAnsi"/>
        </w:rPr>
        <w:t>s</w:t>
      </w:r>
      <w:r w:rsidRPr="00633192">
        <w:rPr>
          <w:rFonts w:asciiTheme="minorHAnsi" w:hAnsiTheme="minorHAnsi"/>
        </w:rPr>
        <w:t xml:space="preserve"> the planned cost distribution by output for 20</w:t>
      </w:r>
      <w:r>
        <w:rPr>
          <w:rFonts w:asciiTheme="minorHAnsi" w:hAnsiTheme="minorHAnsi"/>
        </w:rPr>
        <w:t>26</w:t>
      </w:r>
      <w:r w:rsidRPr="00633192">
        <w:rPr>
          <w:rFonts w:asciiTheme="minorHAnsi" w:hAnsiTheme="minorHAnsi"/>
        </w:rPr>
        <w:t>-202</w:t>
      </w:r>
      <w:r>
        <w:rPr>
          <w:rFonts w:asciiTheme="minorHAnsi" w:hAnsiTheme="minorHAnsi"/>
        </w:rPr>
        <w:t>7.</w:t>
      </w:r>
    </w:p>
    <w:p w14:paraId="354E639F" w14:textId="77777777" w:rsidR="000D60C8" w:rsidRPr="00A961BE" w:rsidRDefault="000D60C8" w:rsidP="00633192">
      <w:pPr>
        <w:pStyle w:val="ListParagraph"/>
        <w:tabs>
          <w:tab w:val="clear" w:pos="567"/>
          <w:tab w:val="left" w:pos="709"/>
        </w:tabs>
        <w:snapToGrid w:val="0"/>
        <w:ind w:left="0"/>
        <w:rPr>
          <w:rFonts w:asciiTheme="minorHAnsi" w:hAnsiTheme="minorHAnsi"/>
        </w:rPr>
      </w:pPr>
    </w:p>
    <w:p w14:paraId="16CD41D5" w14:textId="6CC67BBD" w:rsidR="00633192" w:rsidRDefault="000D60C8" w:rsidP="3DAC9B65">
      <w:pPr>
        <w:pStyle w:val="ListParagraph"/>
        <w:tabs>
          <w:tab w:val="clear" w:pos="567"/>
          <w:tab w:val="left" w:pos="709"/>
        </w:tabs>
        <w:snapToGrid w:val="0"/>
        <w:spacing w:after="120"/>
        <w:ind w:left="0"/>
        <w:jc w:val="center"/>
        <w:rPr>
          <w:rFonts w:asciiTheme="minorHAnsi" w:hAnsiTheme="minorHAnsi"/>
        </w:rPr>
      </w:pPr>
      <w:r w:rsidRPr="000D60C8">
        <w:rPr>
          <w:rFonts w:asciiTheme="minorHAnsi" w:hAnsiTheme="minorHAnsi"/>
          <w:noProof/>
        </w:rPr>
        <w:lastRenderedPageBreak/>
        <w:drawing>
          <wp:inline distT="0" distB="0" distL="0" distR="0" wp14:anchorId="52404A91" wp14:editId="1585FBDF">
            <wp:extent cx="5084222" cy="5223783"/>
            <wp:effectExtent l="0" t="0" r="0" b="0"/>
            <wp:docPr id="208731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18790" name=""/>
                    <pic:cNvPicPr/>
                  </pic:nvPicPr>
                  <pic:blipFill>
                    <a:blip r:embed="rId44"/>
                    <a:stretch>
                      <a:fillRect/>
                    </a:stretch>
                  </pic:blipFill>
                  <pic:spPr>
                    <a:xfrm>
                      <a:off x="0" y="0"/>
                      <a:ext cx="5099016" cy="5238983"/>
                    </a:xfrm>
                    <a:prstGeom prst="rect">
                      <a:avLst/>
                    </a:prstGeom>
                  </pic:spPr>
                </pic:pic>
              </a:graphicData>
            </a:graphic>
          </wp:inline>
        </w:drawing>
      </w:r>
    </w:p>
    <w:p w14:paraId="4F57BE25" w14:textId="37B35930" w:rsidR="000D60C8" w:rsidRDefault="000D60C8" w:rsidP="0084425D">
      <w:pPr>
        <w:pStyle w:val="ListParagraph"/>
        <w:tabs>
          <w:tab w:val="clear" w:pos="567"/>
          <w:tab w:val="left" w:pos="709"/>
        </w:tabs>
        <w:snapToGrid w:val="0"/>
        <w:spacing w:before="360" w:after="240"/>
        <w:ind w:left="0"/>
        <w:contextualSpacing w:val="0"/>
        <w:rPr>
          <w:rFonts w:asciiTheme="minorHAnsi" w:hAnsiTheme="minorHAnsi"/>
        </w:rPr>
      </w:pPr>
      <w:r>
        <w:rPr>
          <w:rFonts w:asciiTheme="minorHAnsi" w:hAnsiTheme="minorHAnsi"/>
        </w:rPr>
        <w:t>8.8</w:t>
      </w:r>
      <w:r>
        <w:rPr>
          <w:rFonts w:asciiTheme="minorHAnsi" w:hAnsiTheme="minorHAnsi"/>
        </w:rPr>
        <w:tab/>
        <w:t>The following chart presents</w:t>
      </w:r>
      <w:r w:rsidRPr="000D60C8">
        <w:t xml:space="preserve"> </w:t>
      </w:r>
      <w:r w:rsidR="00A1276B">
        <w:t xml:space="preserve">the </w:t>
      </w:r>
      <w:r w:rsidRPr="000D60C8">
        <w:rPr>
          <w:rFonts w:asciiTheme="minorHAnsi" w:hAnsiTheme="minorHAnsi"/>
        </w:rPr>
        <w:t>RBB resource allocation for ITU by cost component for 20</w:t>
      </w:r>
      <w:r>
        <w:rPr>
          <w:rFonts w:asciiTheme="minorHAnsi" w:hAnsiTheme="minorHAnsi"/>
        </w:rPr>
        <w:t>26</w:t>
      </w:r>
      <w:r w:rsidRPr="000D60C8">
        <w:rPr>
          <w:rFonts w:asciiTheme="minorHAnsi" w:hAnsiTheme="minorHAnsi"/>
        </w:rPr>
        <w:t>-202</w:t>
      </w:r>
      <w:r>
        <w:rPr>
          <w:rFonts w:asciiTheme="minorHAnsi" w:hAnsiTheme="minorHAnsi"/>
        </w:rPr>
        <w:t>7</w:t>
      </w:r>
      <w:r w:rsidRPr="000D60C8">
        <w:rPr>
          <w:rFonts w:asciiTheme="minorHAnsi" w:hAnsiTheme="minorHAnsi"/>
        </w:rPr>
        <w:t>.</w:t>
      </w:r>
    </w:p>
    <w:p w14:paraId="4D32BEA0" w14:textId="3FAC1C3A" w:rsidR="006351FE" w:rsidRPr="0084425D" w:rsidRDefault="7535ACD2" w:rsidP="0084425D">
      <w:pPr>
        <w:pStyle w:val="ListParagraph"/>
        <w:tabs>
          <w:tab w:val="clear" w:pos="567"/>
          <w:tab w:val="left" w:pos="709"/>
        </w:tabs>
        <w:snapToGrid w:val="0"/>
        <w:spacing w:after="120"/>
        <w:ind w:left="0"/>
        <w:rPr>
          <w:caps/>
          <w:sz w:val="16"/>
          <w:szCs w:val="16"/>
        </w:rPr>
      </w:pPr>
      <w:r>
        <w:rPr>
          <w:noProof/>
        </w:rPr>
        <w:drawing>
          <wp:inline distT="0" distB="0" distL="0" distR="0" wp14:anchorId="6E050FE3" wp14:editId="30E2AF28">
            <wp:extent cx="5671820" cy="2965194"/>
            <wp:effectExtent l="0" t="0" r="5080" b="6985"/>
            <wp:docPr id="137940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45">
                      <a:extLst>
                        <a:ext uri="{28A0092B-C50C-407E-A947-70E740481C1C}">
                          <a14:useLocalDpi xmlns:a14="http://schemas.microsoft.com/office/drawing/2010/main" val="0"/>
                        </a:ext>
                      </a:extLst>
                    </a:blip>
                    <a:srcRect b="2241"/>
                    <a:stretch/>
                  </pic:blipFill>
                  <pic:spPr bwMode="auto">
                    <a:xfrm>
                      <a:off x="0" y="0"/>
                      <a:ext cx="5694741" cy="2977177"/>
                    </a:xfrm>
                    <a:prstGeom prst="rect">
                      <a:avLst/>
                    </a:prstGeom>
                    <a:ln>
                      <a:noFill/>
                    </a:ln>
                    <a:extLst>
                      <a:ext uri="{53640926-AAD7-44D8-BBD7-CCE9431645EC}">
                        <a14:shadowObscured xmlns:a14="http://schemas.microsoft.com/office/drawing/2010/main"/>
                      </a:ext>
                    </a:extLst>
                  </pic:spPr>
                </pic:pic>
              </a:graphicData>
            </a:graphic>
          </wp:inline>
        </w:drawing>
      </w:r>
      <w:r w:rsidR="006351FE" w:rsidRPr="0084425D">
        <w:rPr>
          <w:sz w:val="16"/>
          <w:szCs w:val="16"/>
        </w:rPr>
        <w:br w:type="page"/>
      </w:r>
    </w:p>
    <w:p w14:paraId="5AA2362A" w14:textId="3C34B5E4" w:rsidR="000D60C8" w:rsidRDefault="000D60C8" w:rsidP="000D60C8">
      <w:pPr>
        <w:pStyle w:val="AnnexNo"/>
      </w:pPr>
      <w:bookmarkStart w:id="13" w:name="Annex_A"/>
      <w:r w:rsidRPr="002D425F">
        <w:lastRenderedPageBreak/>
        <w:t>ANNEX</w:t>
      </w:r>
      <w:r>
        <w:t xml:space="preserve"> A</w:t>
      </w:r>
      <w:bookmarkEnd w:id="13"/>
    </w:p>
    <w:p w14:paraId="1C04D502" w14:textId="7C736769" w:rsidR="000D60C8" w:rsidRDefault="000D60C8" w:rsidP="000D60C8">
      <w:pPr>
        <w:pStyle w:val="ResNo"/>
      </w:pPr>
      <w:r>
        <w:t xml:space="preserve">Draft </w:t>
      </w:r>
      <w:r w:rsidRPr="008E4E05">
        <w:t xml:space="preserve">RESOLUTION </w:t>
      </w:r>
      <w:r w:rsidR="0084425D">
        <w:t>[…]</w:t>
      </w:r>
    </w:p>
    <w:p w14:paraId="006C68D9" w14:textId="27059FC2" w:rsidR="000D60C8" w:rsidRPr="008E4E05" w:rsidRDefault="000D60C8" w:rsidP="000D60C8">
      <w:pPr>
        <w:pStyle w:val="Restitle"/>
      </w:pPr>
      <w:r>
        <w:t>Biennial budget</w:t>
      </w:r>
      <w:r w:rsidRPr="008E4E05">
        <w:t xml:space="preserve"> of the </w:t>
      </w:r>
      <w:r w:rsidRPr="002D425F">
        <w:t>Union</w:t>
      </w:r>
      <w:r w:rsidRPr="008E4E05">
        <w:t xml:space="preserve"> for 20</w:t>
      </w:r>
      <w:r>
        <w:t>26</w:t>
      </w:r>
      <w:r w:rsidRPr="008E4E05">
        <w:t>-20</w:t>
      </w:r>
      <w:r>
        <w:t>27</w:t>
      </w:r>
    </w:p>
    <w:p w14:paraId="59FF0C5F" w14:textId="77777777" w:rsidR="000D60C8" w:rsidRPr="0041356C" w:rsidRDefault="000D60C8" w:rsidP="000D60C8">
      <w:pPr>
        <w:pStyle w:val="Normalaftertitle"/>
      </w:pPr>
      <w:r w:rsidRPr="0041356C">
        <w:t>The ITU Council,</w:t>
      </w:r>
    </w:p>
    <w:p w14:paraId="288A738D" w14:textId="77777777" w:rsidR="000D60C8" w:rsidRPr="0041356C" w:rsidRDefault="000D60C8" w:rsidP="000D60C8">
      <w:pPr>
        <w:pStyle w:val="call0"/>
      </w:pPr>
      <w:r w:rsidRPr="0041356C">
        <w:t>in view of</w:t>
      </w:r>
    </w:p>
    <w:p w14:paraId="627FC1C3" w14:textId="77777777" w:rsidR="000D60C8" w:rsidRPr="0041356C" w:rsidRDefault="000D60C8" w:rsidP="0084425D">
      <w:r w:rsidRPr="0041356C">
        <w:t xml:space="preserve">the provisions of the </w:t>
      </w:r>
      <w:r>
        <w:t xml:space="preserve">ITU </w:t>
      </w:r>
      <w:r w:rsidRPr="0041356C">
        <w:t>Convention,</w:t>
      </w:r>
    </w:p>
    <w:p w14:paraId="5A393200" w14:textId="77777777" w:rsidR="000D60C8" w:rsidRPr="0041356C" w:rsidRDefault="000D60C8" w:rsidP="000D60C8">
      <w:pPr>
        <w:pStyle w:val="call0"/>
      </w:pPr>
      <w:r w:rsidRPr="0041356C">
        <w:t>bearing in mind</w:t>
      </w:r>
    </w:p>
    <w:p w14:paraId="5F4013DF" w14:textId="337F9B8B" w:rsidR="000D60C8" w:rsidRPr="0041356C" w:rsidRDefault="000D60C8" w:rsidP="000D60C8">
      <w:r w:rsidRPr="0041356C">
        <w:rPr>
          <w:i/>
          <w:iCs/>
        </w:rPr>
        <w:t>a)</w:t>
      </w:r>
      <w:r w:rsidRPr="0041356C">
        <w:tab/>
        <w:t xml:space="preserve">the provisions of Decision 5 (Rev. </w:t>
      </w:r>
      <w:r>
        <w:t>Bucharest</w:t>
      </w:r>
      <w:r w:rsidRPr="0041356C">
        <w:t>, 20</w:t>
      </w:r>
      <w:r>
        <w:t>22</w:t>
      </w:r>
      <w:r w:rsidRPr="0041356C">
        <w:t xml:space="preserve">) of the Plenipotentiary Conference on </w:t>
      </w:r>
      <w:r>
        <w:t>r</w:t>
      </w:r>
      <w:r w:rsidRPr="0041356C">
        <w:t xml:space="preserve">evenue and </w:t>
      </w:r>
      <w:r>
        <w:t>e</w:t>
      </w:r>
      <w:r w:rsidRPr="0041356C">
        <w:t>xpenses f</w:t>
      </w:r>
      <w:r>
        <w:t>or</w:t>
      </w:r>
      <w:r w:rsidRPr="0041356C">
        <w:t xml:space="preserve"> the Union for the period 202</w:t>
      </w:r>
      <w:r>
        <w:t>4</w:t>
      </w:r>
      <w:r w:rsidRPr="0041356C">
        <w:t>-202</w:t>
      </w:r>
      <w:r>
        <w:t>7</w:t>
      </w:r>
      <w:r w:rsidRPr="0041356C">
        <w:t xml:space="preserve">, </w:t>
      </w:r>
      <w:r w:rsidRPr="0041356C">
        <w:rPr>
          <w:snapToGrid w:val="0"/>
          <w:spacing w:val="-4"/>
        </w:rPr>
        <w:t xml:space="preserve">which specifies that the contributory unit for </w:t>
      </w:r>
      <w:r w:rsidR="003074D7">
        <w:rPr>
          <w:snapToGrid w:val="0"/>
          <w:spacing w:val="-4"/>
        </w:rPr>
        <w:t xml:space="preserve">the </w:t>
      </w:r>
      <w:r w:rsidRPr="0041356C">
        <w:rPr>
          <w:snapToGrid w:val="0"/>
          <w:spacing w:val="-4"/>
        </w:rPr>
        <w:t>Member States for the years 202</w:t>
      </w:r>
      <w:r>
        <w:rPr>
          <w:snapToGrid w:val="0"/>
          <w:spacing w:val="-4"/>
        </w:rPr>
        <w:t>6-</w:t>
      </w:r>
      <w:r w:rsidRPr="0041356C">
        <w:rPr>
          <w:snapToGrid w:val="0"/>
          <w:spacing w:val="-4"/>
        </w:rPr>
        <w:t>202</w:t>
      </w:r>
      <w:r>
        <w:rPr>
          <w:snapToGrid w:val="0"/>
          <w:spacing w:val="-4"/>
        </w:rPr>
        <w:t>7</w:t>
      </w:r>
      <w:r w:rsidRPr="0041356C">
        <w:t xml:space="preserve"> </w:t>
      </w:r>
      <w:r>
        <w:t xml:space="preserve">shall be set at </w:t>
      </w:r>
      <w:r w:rsidRPr="0041356C">
        <w:t>CHF</w:t>
      </w:r>
      <w:r>
        <w:t> </w:t>
      </w:r>
      <w:proofErr w:type="gramStart"/>
      <w:r w:rsidR="00834723" w:rsidRPr="0041356C">
        <w:t>318</w:t>
      </w:r>
      <w:r w:rsidR="00335B42">
        <w:t> </w:t>
      </w:r>
      <w:r w:rsidR="00834723">
        <w:t>000</w:t>
      </w:r>
      <w:r w:rsidR="00335B42">
        <w:t>;</w:t>
      </w:r>
      <w:proofErr w:type="gramEnd"/>
    </w:p>
    <w:p w14:paraId="3847451A" w14:textId="72A7BA9C" w:rsidR="000D60C8" w:rsidRPr="0041356C" w:rsidRDefault="000D60C8" w:rsidP="000D60C8">
      <w:r w:rsidRPr="0041356C">
        <w:rPr>
          <w:i/>
          <w:iCs/>
        </w:rPr>
        <w:t>b)</w:t>
      </w:r>
      <w:r w:rsidRPr="0041356C">
        <w:tab/>
        <w:t xml:space="preserve">the provisions of Article 11 of the Financial Regulations and Financial Rules of the Union </w:t>
      </w:r>
      <w:r>
        <w:t>on</w:t>
      </w:r>
      <w:r w:rsidRPr="0041356C">
        <w:t xml:space="preserve"> transfers of appropriations</w:t>
      </w:r>
      <w:r>
        <w:t>,</w:t>
      </w:r>
    </w:p>
    <w:p w14:paraId="2132D049" w14:textId="77777777" w:rsidR="000D60C8" w:rsidRPr="0041356C" w:rsidRDefault="000D60C8" w:rsidP="000D60C8">
      <w:pPr>
        <w:pStyle w:val="call0"/>
      </w:pPr>
      <w:r w:rsidRPr="0041356C">
        <w:t>resolves to approve</w:t>
      </w:r>
    </w:p>
    <w:p w14:paraId="356D5231" w14:textId="543B0A52" w:rsidR="000D60C8" w:rsidRPr="0041356C" w:rsidRDefault="000D60C8" w:rsidP="000D60C8">
      <w:r w:rsidRPr="0041356C">
        <w:t>the biennial budget of the Union for 20</w:t>
      </w:r>
      <w:r>
        <w:t>26</w:t>
      </w:r>
      <w:r w:rsidRPr="0041356C">
        <w:t>-202</w:t>
      </w:r>
      <w:r>
        <w:t>7</w:t>
      </w:r>
      <w:r w:rsidRPr="0041356C">
        <w:t xml:space="preserve">, amounting to </w:t>
      </w:r>
      <w:r>
        <w:t>K</w:t>
      </w:r>
      <w:r w:rsidRPr="0041356C">
        <w:t>CHF </w:t>
      </w:r>
      <w:r>
        <w:t>16</w:t>
      </w:r>
      <w:r w:rsidR="00E16006">
        <w:t>3</w:t>
      </w:r>
      <w:r w:rsidR="0084425D">
        <w:t> </w:t>
      </w:r>
      <w:r w:rsidR="00E16006">
        <w:t>126</w:t>
      </w:r>
      <w:r w:rsidRPr="0041356C">
        <w:t xml:space="preserve"> for 202</w:t>
      </w:r>
      <w:r>
        <w:t>6</w:t>
      </w:r>
      <w:r w:rsidRPr="0041356C">
        <w:t xml:space="preserve"> and to </w:t>
      </w:r>
      <w:r>
        <w:t>K</w:t>
      </w:r>
      <w:r w:rsidRPr="0041356C">
        <w:t>CHF </w:t>
      </w:r>
      <w:r>
        <w:t>1</w:t>
      </w:r>
      <w:r w:rsidR="00E16006">
        <w:t>70</w:t>
      </w:r>
      <w:r w:rsidR="0084425D">
        <w:t> </w:t>
      </w:r>
      <w:r w:rsidR="00E16006">
        <w:t>112</w:t>
      </w:r>
      <w:r w:rsidRPr="0041356C">
        <w:t xml:space="preserve"> for 202</w:t>
      </w:r>
      <w:r>
        <w:t>7</w:t>
      </w:r>
      <w:r w:rsidRPr="0041356C">
        <w:t xml:space="preserve">, or </w:t>
      </w:r>
      <w:r>
        <w:t>K</w:t>
      </w:r>
      <w:r w:rsidRPr="0041356C">
        <w:t>CHF </w:t>
      </w:r>
      <w:r>
        <w:t>3</w:t>
      </w:r>
      <w:r w:rsidR="00E16006">
        <w:t>33</w:t>
      </w:r>
      <w:r w:rsidR="0084425D">
        <w:t> </w:t>
      </w:r>
      <w:r w:rsidR="00E16006">
        <w:t>238</w:t>
      </w:r>
      <w:r w:rsidRPr="0041356C">
        <w:t xml:space="preserve"> for the biennium 202</w:t>
      </w:r>
      <w:r>
        <w:t>6</w:t>
      </w:r>
      <w:r w:rsidRPr="0041356C">
        <w:t>-202</w:t>
      </w:r>
      <w:r>
        <w:t>7</w:t>
      </w:r>
      <w:r w:rsidRPr="0041356C">
        <w:t>, appropriated as follows:</w:t>
      </w:r>
    </w:p>
    <w:p w14:paraId="3DF6FB31" w14:textId="51429596" w:rsidR="000D60C8" w:rsidRPr="00655E8C" w:rsidRDefault="00E16006" w:rsidP="000D60C8">
      <w:pPr>
        <w:overflowPunct/>
        <w:autoSpaceDE/>
        <w:autoSpaceDN/>
        <w:adjustRightInd/>
        <w:snapToGrid w:val="0"/>
        <w:spacing w:before="0" w:after="360"/>
        <w:jc w:val="center"/>
        <w:textAlignment w:val="auto"/>
        <w:rPr>
          <w:szCs w:val="24"/>
        </w:rPr>
      </w:pPr>
      <w:r w:rsidRPr="00E16006">
        <w:rPr>
          <w:noProof/>
          <w:szCs w:val="24"/>
        </w:rPr>
        <w:drawing>
          <wp:inline distT="0" distB="0" distL="0" distR="0" wp14:anchorId="0271769D" wp14:editId="4773B4D2">
            <wp:extent cx="5760085" cy="1815465"/>
            <wp:effectExtent l="0" t="0" r="5715" b="635"/>
            <wp:docPr id="1381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71" name=""/>
                    <pic:cNvPicPr/>
                  </pic:nvPicPr>
                  <pic:blipFill>
                    <a:blip r:embed="rId46"/>
                    <a:stretch>
                      <a:fillRect/>
                    </a:stretch>
                  </pic:blipFill>
                  <pic:spPr>
                    <a:xfrm>
                      <a:off x="0" y="0"/>
                      <a:ext cx="5760085" cy="1815465"/>
                    </a:xfrm>
                    <a:prstGeom prst="rect">
                      <a:avLst/>
                    </a:prstGeom>
                  </pic:spPr>
                </pic:pic>
              </a:graphicData>
            </a:graphic>
          </wp:inline>
        </w:drawing>
      </w:r>
    </w:p>
    <w:p w14:paraId="470F5507" w14:textId="77777777" w:rsidR="000D60C8" w:rsidRPr="00655E8C" w:rsidRDefault="000D60C8" w:rsidP="000D60C8">
      <w:pPr>
        <w:pStyle w:val="call0"/>
      </w:pPr>
      <w:r w:rsidRPr="00655E8C">
        <w:t>further resolves</w:t>
      </w:r>
    </w:p>
    <w:p w14:paraId="323DB94C" w14:textId="3B9C4E06" w:rsidR="000D60C8" w:rsidRPr="00655E8C" w:rsidRDefault="000D60C8" w:rsidP="000D60C8">
      <w:r w:rsidRPr="00655E8C">
        <w:t>1</w:t>
      </w:r>
      <w:r w:rsidRPr="00655E8C">
        <w:tab/>
        <w:t>to set the amount of the annual contributory unit for 202</w:t>
      </w:r>
      <w:r>
        <w:t>6</w:t>
      </w:r>
      <w:r w:rsidRPr="00655E8C">
        <w:t xml:space="preserve"> and 202</w:t>
      </w:r>
      <w:r>
        <w:t>7</w:t>
      </w:r>
      <w:r w:rsidRPr="00655E8C">
        <w:t xml:space="preserve"> at CHF 318</w:t>
      </w:r>
      <w:r>
        <w:t> </w:t>
      </w:r>
      <w:r w:rsidRPr="00655E8C">
        <w:t xml:space="preserve">000 based on the class of contribution chosen by Member States under No. 160 of the </w:t>
      </w:r>
      <w:r>
        <w:t xml:space="preserve">ITU </w:t>
      </w:r>
      <w:r w:rsidRPr="00655E8C">
        <w:t>Constitution and No. 468 of the Convention</w:t>
      </w:r>
      <w:r>
        <w:t>,</w:t>
      </w:r>
      <w:r w:rsidRPr="00655E8C">
        <w:t xml:space="preserve"> i.e. </w:t>
      </w:r>
      <w:proofErr w:type="gramStart"/>
      <w:r w:rsidRPr="00655E8C">
        <w:t>on the basis of</w:t>
      </w:r>
      <w:proofErr w:type="gramEnd"/>
      <w:r w:rsidRPr="00655E8C">
        <w:t xml:space="preserve"> a total of 3</w:t>
      </w:r>
      <w:r>
        <w:t>55 </w:t>
      </w:r>
      <w:r w:rsidR="00E16006">
        <w:t>23/24</w:t>
      </w:r>
      <w:r w:rsidRPr="00655E8C">
        <w:t xml:space="preserve"> </w:t>
      </w:r>
      <w:proofErr w:type="gramStart"/>
      <w:r w:rsidR="00834723" w:rsidRPr="00655E8C">
        <w:t>units</w:t>
      </w:r>
      <w:r w:rsidR="00335B42">
        <w:t>;</w:t>
      </w:r>
      <w:proofErr w:type="gramEnd"/>
    </w:p>
    <w:p w14:paraId="04FA6497" w14:textId="5E90D2D9" w:rsidR="000D60C8" w:rsidRDefault="000D60C8" w:rsidP="000D60C8">
      <w:r w:rsidRPr="00655E8C">
        <w:t>2</w:t>
      </w:r>
      <w:r w:rsidRPr="00655E8C">
        <w:tab/>
        <w:t>to set at CHF</w:t>
      </w:r>
      <w:r>
        <w:t> </w:t>
      </w:r>
      <w:r w:rsidRPr="00655E8C">
        <w:t>63</w:t>
      </w:r>
      <w:r>
        <w:t> </w:t>
      </w:r>
      <w:r w:rsidRPr="00655E8C">
        <w:t>600 the annual value of the contributory unit for 202</w:t>
      </w:r>
      <w:r>
        <w:t>6</w:t>
      </w:r>
      <w:r w:rsidRPr="00655E8C">
        <w:t xml:space="preserve"> and 202</w:t>
      </w:r>
      <w:r>
        <w:t>7</w:t>
      </w:r>
      <w:r w:rsidRPr="00655E8C">
        <w:t xml:space="preserve"> for defraying the expenses of the Radiocommunication Sector (ITU-R), the Telecommunication Standardization Sector (ITU-T) and the Telecommunication Development Sector (ITU-D) payable by Sector Members, in accordance with No. 480 of the </w:t>
      </w:r>
      <w:proofErr w:type="gramStart"/>
      <w:r w:rsidR="00834723" w:rsidRPr="00655E8C">
        <w:t>Convention</w:t>
      </w:r>
      <w:r w:rsidR="00335B42">
        <w:t>;</w:t>
      </w:r>
      <w:proofErr w:type="gramEnd"/>
    </w:p>
    <w:p w14:paraId="14F1AF61" w14:textId="77777777" w:rsidR="000D60C8" w:rsidRPr="00655E8C" w:rsidRDefault="000D60C8" w:rsidP="000D60C8">
      <w:pPr>
        <w:overflowPunct/>
        <w:autoSpaceDE/>
        <w:autoSpaceDN/>
        <w:adjustRightInd/>
        <w:snapToGrid w:val="0"/>
        <w:textAlignment w:val="auto"/>
      </w:pPr>
      <w:r>
        <w:t>3</w:t>
      </w:r>
      <w:r>
        <w:tab/>
      </w:r>
      <w:r w:rsidRPr="00655E8C">
        <w:t>to set the financial contribution for Associates as follows:</w:t>
      </w:r>
    </w:p>
    <w:p w14:paraId="16E1CA66" w14:textId="13D26C6E" w:rsidR="000D60C8" w:rsidRPr="00655E8C" w:rsidRDefault="0084425D" w:rsidP="0084425D">
      <w:pPr>
        <w:pStyle w:val="enumlev2"/>
      </w:pPr>
      <w:r>
        <w:t>a)</w:t>
      </w:r>
      <w:r>
        <w:tab/>
      </w:r>
      <w:r w:rsidR="000D60C8" w:rsidRPr="00655E8C">
        <w:t>CHF</w:t>
      </w:r>
      <w:r w:rsidR="000D60C8">
        <w:t> </w:t>
      </w:r>
      <w:r w:rsidR="000D60C8" w:rsidRPr="00655E8C">
        <w:t>10</w:t>
      </w:r>
      <w:r w:rsidR="000D60C8">
        <w:t> </w:t>
      </w:r>
      <w:r w:rsidR="000D60C8" w:rsidRPr="00655E8C">
        <w:t>600 for Associates participating in the work of ITU-T and ITU-</w:t>
      </w:r>
      <w:proofErr w:type="gramStart"/>
      <w:r w:rsidR="000D60C8" w:rsidRPr="00655E8C">
        <w:t>R</w:t>
      </w:r>
      <w:r w:rsidR="00335B42">
        <w:t>;</w:t>
      </w:r>
      <w:proofErr w:type="gramEnd"/>
    </w:p>
    <w:p w14:paraId="6F1E5A55" w14:textId="47C6F7CF" w:rsidR="000D60C8" w:rsidRPr="00655E8C" w:rsidRDefault="0084425D" w:rsidP="0084425D">
      <w:pPr>
        <w:pStyle w:val="enumlev2"/>
      </w:pPr>
      <w:r>
        <w:t>b)</w:t>
      </w:r>
      <w:r>
        <w:tab/>
      </w:r>
      <w:r w:rsidR="000D60C8" w:rsidRPr="00655E8C">
        <w:t>CHF</w:t>
      </w:r>
      <w:r w:rsidR="000D60C8">
        <w:t> </w:t>
      </w:r>
      <w:r w:rsidR="000D60C8" w:rsidRPr="00655E8C">
        <w:t>3</w:t>
      </w:r>
      <w:r w:rsidR="000D60C8">
        <w:t> </w:t>
      </w:r>
      <w:r w:rsidR="000D60C8" w:rsidRPr="00655E8C">
        <w:t>975</w:t>
      </w:r>
      <w:r w:rsidR="000D60C8">
        <w:t xml:space="preserve"> </w:t>
      </w:r>
      <w:r w:rsidR="000D60C8" w:rsidRPr="00655E8C">
        <w:t>for Associates participating in the work of ITU-</w:t>
      </w:r>
      <w:proofErr w:type="gramStart"/>
      <w:r w:rsidR="000D60C8" w:rsidRPr="00655E8C">
        <w:t>D</w:t>
      </w:r>
      <w:r w:rsidR="00335B42">
        <w:t>;</w:t>
      </w:r>
      <w:proofErr w:type="gramEnd"/>
    </w:p>
    <w:p w14:paraId="7A7C6051" w14:textId="03F0973A" w:rsidR="000D60C8" w:rsidRPr="0084425D" w:rsidRDefault="0084425D" w:rsidP="0084425D">
      <w:pPr>
        <w:pStyle w:val="enumlev2"/>
        <w:tabs>
          <w:tab w:val="clear" w:pos="1134"/>
        </w:tabs>
        <w:rPr>
          <w:spacing w:val="-2"/>
        </w:rPr>
      </w:pPr>
      <w:r>
        <w:rPr>
          <w:spacing w:val="-2"/>
        </w:rPr>
        <w:lastRenderedPageBreak/>
        <w:t>c)</w:t>
      </w:r>
      <w:r>
        <w:rPr>
          <w:spacing w:val="-2"/>
        </w:rPr>
        <w:tab/>
      </w:r>
      <w:r w:rsidR="000D60C8" w:rsidRPr="0084425D">
        <w:rPr>
          <w:spacing w:val="-2"/>
        </w:rPr>
        <w:t>CHF 1 987.50 for Associates from developing countries participating in the work of ITU</w:t>
      </w:r>
      <w:r>
        <w:rPr>
          <w:spacing w:val="-2"/>
        </w:rPr>
        <w:t>-</w:t>
      </w:r>
      <w:proofErr w:type="gramStart"/>
      <w:r w:rsidR="000D60C8" w:rsidRPr="0084425D">
        <w:rPr>
          <w:spacing w:val="-2"/>
        </w:rPr>
        <w:t>D</w:t>
      </w:r>
      <w:r w:rsidR="00335B42">
        <w:rPr>
          <w:spacing w:val="-2"/>
        </w:rPr>
        <w:t>;</w:t>
      </w:r>
      <w:proofErr w:type="gramEnd"/>
    </w:p>
    <w:p w14:paraId="108803C8" w14:textId="77777777" w:rsidR="000D60C8" w:rsidRPr="00C145EA" w:rsidRDefault="000D60C8" w:rsidP="000D60C8">
      <w:r>
        <w:t>4</w:t>
      </w:r>
      <w:r>
        <w:tab/>
      </w:r>
      <w:r w:rsidRPr="00C145EA">
        <w:t xml:space="preserve">to set the annual fee for </w:t>
      </w:r>
      <w:r>
        <w:t>A</w:t>
      </w:r>
      <w:r w:rsidRPr="00C145EA">
        <w:t xml:space="preserve">cademia, </w:t>
      </w:r>
      <w:r>
        <w:t xml:space="preserve">including </w:t>
      </w:r>
      <w:r w:rsidRPr="00C145EA">
        <w:t>universities and their associated research establishments</w:t>
      </w:r>
      <w:r>
        <w:t>,</w:t>
      </w:r>
      <w:r w:rsidRPr="00C145EA">
        <w:t xml:space="preserve"> as follows:</w:t>
      </w:r>
    </w:p>
    <w:p w14:paraId="4D05C8FA" w14:textId="7C6ECE91" w:rsidR="000D60C8" w:rsidRPr="00655E8C" w:rsidRDefault="0084425D" w:rsidP="0084425D">
      <w:pPr>
        <w:pStyle w:val="enumlev2"/>
      </w:pPr>
      <w:r>
        <w:t>a)</w:t>
      </w:r>
      <w:r>
        <w:tab/>
      </w:r>
      <w:r w:rsidR="000D60C8" w:rsidRPr="00655E8C">
        <w:t>CHF</w:t>
      </w:r>
      <w:r w:rsidR="000D60C8">
        <w:t> </w:t>
      </w:r>
      <w:r w:rsidR="000D60C8" w:rsidRPr="00655E8C">
        <w:t>3</w:t>
      </w:r>
      <w:r w:rsidR="000D60C8">
        <w:t> </w:t>
      </w:r>
      <w:r w:rsidR="000D60C8" w:rsidRPr="00655E8C">
        <w:t xml:space="preserve">975 for </w:t>
      </w:r>
      <w:r w:rsidR="000D60C8">
        <w:t>A</w:t>
      </w:r>
      <w:r w:rsidR="000D60C8" w:rsidRPr="00C145EA">
        <w:t>cademia</w:t>
      </w:r>
      <w:r w:rsidR="000D60C8" w:rsidRPr="00655E8C">
        <w:t xml:space="preserve"> from developed countries participating in the work of the three </w:t>
      </w:r>
      <w:proofErr w:type="gramStart"/>
      <w:r w:rsidR="000D60C8" w:rsidRPr="00655E8C">
        <w:t>Sectors</w:t>
      </w:r>
      <w:r w:rsidR="00335B42">
        <w:t>;</w:t>
      </w:r>
      <w:proofErr w:type="gramEnd"/>
    </w:p>
    <w:p w14:paraId="71FBF6EF" w14:textId="502AA8BF" w:rsidR="000D60C8" w:rsidRPr="00655E8C" w:rsidRDefault="0084425D" w:rsidP="0084425D">
      <w:pPr>
        <w:pStyle w:val="enumlev2"/>
      </w:pPr>
      <w:r>
        <w:t>b)</w:t>
      </w:r>
      <w:r>
        <w:tab/>
      </w:r>
      <w:r w:rsidR="000D60C8" w:rsidRPr="00655E8C">
        <w:t>CHF</w:t>
      </w:r>
      <w:r w:rsidR="000D60C8">
        <w:t> </w:t>
      </w:r>
      <w:r w:rsidR="000D60C8" w:rsidRPr="00655E8C">
        <w:t>1</w:t>
      </w:r>
      <w:r w:rsidR="000D60C8">
        <w:t> </w:t>
      </w:r>
      <w:r w:rsidR="000D60C8" w:rsidRPr="00655E8C">
        <w:t xml:space="preserve">987.50 for </w:t>
      </w:r>
      <w:r w:rsidR="000D60C8">
        <w:t>A</w:t>
      </w:r>
      <w:r w:rsidR="000D60C8" w:rsidRPr="00C145EA">
        <w:t>cademia</w:t>
      </w:r>
      <w:r w:rsidR="000D60C8" w:rsidRPr="00655E8C">
        <w:t xml:space="preserve"> from developing countries participating in the work of the three </w:t>
      </w:r>
      <w:proofErr w:type="gramStart"/>
      <w:r w:rsidR="000D60C8" w:rsidRPr="00655E8C">
        <w:t>Sectors</w:t>
      </w:r>
      <w:r w:rsidR="00335B42">
        <w:t>;</w:t>
      </w:r>
      <w:proofErr w:type="gramEnd"/>
    </w:p>
    <w:p w14:paraId="6A3D200A" w14:textId="2AEF7E68" w:rsidR="000D60C8" w:rsidRPr="00C145EA" w:rsidRDefault="000D60C8" w:rsidP="000D60C8">
      <w:r>
        <w:t>5</w:t>
      </w:r>
      <w:r>
        <w:tab/>
      </w:r>
      <w:r w:rsidRPr="00C145EA">
        <w:t>to authorize</w:t>
      </w:r>
      <w:r>
        <w:t>, during the implementation of the budget for 2026-2027,</w:t>
      </w:r>
      <w:r w:rsidRPr="00C145EA">
        <w:t xml:space="preserve"> the Secretary-General to adjust the appropriations in relation to the items of expenses in a) and b) below</w:t>
      </w:r>
      <w:r>
        <w:t>,</w:t>
      </w:r>
      <w:r w:rsidRPr="00C145EA">
        <w:t xml:space="preserve"> in accordance with changes incurred</w:t>
      </w:r>
      <w:r>
        <w:t>,</w:t>
      </w:r>
      <w:r w:rsidRPr="00C145EA">
        <w:t xml:space="preserve"> </w:t>
      </w:r>
      <w:proofErr w:type="gramStart"/>
      <w:r w:rsidRPr="00C145EA">
        <w:t>through the use of</w:t>
      </w:r>
      <w:proofErr w:type="gramEnd"/>
      <w:r w:rsidRPr="00C145EA">
        <w:t xml:space="preserve"> the Reserve Account, provided that the Reserve Account is kept at the level prescribed in Decision 5 (Rev. </w:t>
      </w:r>
      <w:r>
        <w:t>Bucharest</w:t>
      </w:r>
      <w:r w:rsidRPr="00C145EA">
        <w:t>, 20</w:t>
      </w:r>
      <w:r>
        <w:t>22</w:t>
      </w:r>
      <w:r w:rsidRPr="00C145EA">
        <w:t xml:space="preserve">): </w:t>
      </w:r>
    </w:p>
    <w:p w14:paraId="46030B28" w14:textId="47808DF1" w:rsidR="000D60C8" w:rsidRPr="00655E8C" w:rsidRDefault="0037019E" w:rsidP="0037019E">
      <w:pPr>
        <w:pStyle w:val="enumlev2"/>
      </w:pPr>
      <w:r>
        <w:t>a)</w:t>
      </w:r>
      <w:r>
        <w:tab/>
      </w:r>
      <w:r w:rsidR="006E6911">
        <w:t>I</w:t>
      </w:r>
      <w:r w:rsidR="000D60C8" w:rsidRPr="00655E8C">
        <w:t>ncreases in salary scales, pension contributions</w:t>
      </w:r>
      <w:r w:rsidR="006E6911">
        <w:t>, and allowances, including post adjustments, are</w:t>
      </w:r>
      <w:r w:rsidR="000D60C8" w:rsidRPr="00655E8C">
        <w:t xml:space="preserve"> applicable to Geneva, as adopted by the United Nations common </w:t>
      </w:r>
      <w:proofErr w:type="gramStart"/>
      <w:r w:rsidR="00834723" w:rsidRPr="00655E8C">
        <w:t>system</w:t>
      </w:r>
      <w:r w:rsidR="00335B42">
        <w:t>;</w:t>
      </w:r>
      <w:proofErr w:type="gramEnd"/>
    </w:p>
    <w:p w14:paraId="7DCFCA1B" w14:textId="7F1BA38F" w:rsidR="000D60C8" w:rsidRDefault="0037019E" w:rsidP="0037019E">
      <w:pPr>
        <w:pStyle w:val="enumlev2"/>
      </w:pPr>
      <w:r>
        <w:t>b)</w:t>
      </w:r>
      <w:r>
        <w:tab/>
      </w:r>
      <w:r w:rsidR="00D77BB0">
        <w:t>F</w:t>
      </w:r>
      <w:r w:rsidR="000D60C8" w:rsidRPr="00655E8C">
        <w:t xml:space="preserve">luctuations in the exchange rate between the </w:t>
      </w:r>
      <w:r w:rsidR="000D60C8">
        <w:t>United States</w:t>
      </w:r>
      <w:r w:rsidR="000D60C8" w:rsidRPr="00655E8C">
        <w:t xml:space="preserve"> dollar and the Swiss franc in so far as this affects the staff costs for those staff members on United Nations</w:t>
      </w:r>
      <w:r w:rsidR="000D60C8">
        <w:t xml:space="preserve"> salary</w:t>
      </w:r>
      <w:r w:rsidR="000D60C8" w:rsidRPr="00655E8C">
        <w:t xml:space="preserve"> </w:t>
      </w:r>
      <w:proofErr w:type="gramStart"/>
      <w:r w:rsidR="00834723" w:rsidRPr="00655E8C">
        <w:t>scales</w:t>
      </w:r>
      <w:r w:rsidR="00335B42">
        <w:t>;</w:t>
      </w:r>
      <w:proofErr w:type="gramEnd"/>
    </w:p>
    <w:p w14:paraId="27896013" w14:textId="61B0D4FC" w:rsidR="000D60C8" w:rsidRDefault="000D60C8" w:rsidP="000D60C8">
      <w:r>
        <w:t>6</w:t>
      </w:r>
      <w:r>
        <w:tab/>
      </w:r>
      <w:r w:rsidRPr="00655E8C">
        <w:t xml:space="preserve">to </w:t>
      </w:r>
      <w:r>
        <w:t xml:space="preserve">instruct </w:t>
      </w:r>
      <w:r w:rsidRPr="00655E8C">
        <w:t xml:space="preserve">the Secretary-General </w:t>
      </w:r>
      <w:r>
        <w:t>to submit annually to the Council a full report</w:t>
      </w:r>
      <w:r w:rsidR="00AF1AF3">
        <w:t>,</w:t>
      </w:r>
      <w:r>
        <w:t xml:space="preserve"> including all documentation justifying the actions taken and a statement of the financial consequences of </w:t>
      </w:r>
      <w:r>
        <w:rPr>
          <w:i/>
          <w:iCs/>
        </w:rPr>
        <w:t xml:space="preserve">further </w:t>
      </w:r>
      <w:r w:rsidRPr="00E1742D">
        <w:rPr>
          <w:i/>
          <w:iCs/>
        </w:rPr>
        <w:t>resolves</w:t>
      </w:r>
      <w:r>
        <w:t xml:space="preserve"> </w:t>
      </w:r>
      <w:r w:rsidRPr="00E1742D">
        <w:t>5</w:t>
      </w:r>
      <w:r>
        <w:t xml:space="preserve">) </w:t>
      </w:r>
      <w:proofErr w:type="gramStart"/>
      <w:r w:rsidR="00834723">
        <w:t>above</w:t>
      </w:r>
      <w:r w:rsidR="00335B42">
        <w:t>;</w:t>
      </w:r>
      <w:proofErr w:type="gramEnd"/>
    </w:p>
    <w:p w14:paraId="5C3792E4" w14:textId="6BD3C863" w:rsidR="000D60C8" w:rsidRPr="00655E8C" w:rsidRDefault="000D60C8" w:rsidP="000D60C8">
      <w:r>
        <w:t>7</w:t>
      </w:r>
      <w:r>
        <w:tab/>
      </w:r>
      <w:r w:rsidRPr="00655E8C">
        <w:t>to grant the Secretary-General for the 202</w:t>
      </w:r>
      <w:r>
        <w:t>6</w:t>
      </w:r>
      <w:r w:rsidRPr="00655E8C">
        <w:t>-202</w:t>
      </w:r>
      <w:r>
        <w:t>7</w:t>
      </w:r>
      <w:r w:rsidRPr="00655E8C">
        <w:t xml:space="preserve"> biennium, with respect to </w:t>
      </w:r>
      <w:r w:rsidRPr="00372F05">
        <w:rPr>
          <w:i/>
          <w:iCs/>
        </w:rPr>
        <w:t>Rule 6.1</w:t>
      </w:r>
      <w:r w:rsidRPr="00655E8C">
        <w:t xml:space="preserve"> of the Financial Regulations and Financial Rules, the necessary flexibility to compensate overspend</w:t>
      </w:r>
      <w:r w:rsidR="001878CB">
        <w:t>ing</w:t>
      </w:r>
      <w:r w:rsidRPr="00655E8C">
        <w:t xml:space="preserve"> on categories 1 and 2 (</w:t>
      </w:r>
      <w:r>
        <w:t>s</w:t>
      </w:r>
      <w:r w:rsidRPr="00655E8C">
        <w:t xml:space="preserve">taff costs) </w:t>
      </w:r>
      <w:r>
        <w:t>with</w:t>
      </w:r>
      <w:r w:rsidRPr="00655E8C">
        <w:t xml:space="preserve"> savings on categories 3</w:t>
      </w:r>
      <w:r>
        <w:t>-</w:t>
      </w:r>
      <w:r w:rsidRPr="00655E8C">
        <w:t xml:space="preserve">9 (non-staff costs) and </w:t>
      </w:r>
      <w:r>
        <w:t xml:space="preserve">to </w:t>
      </w:r>
      <w:r w:rsidRPr="00655E8C">
        <w:t xml:space="preserve">make the </w:t>
      </w:r>
      <w:r w:rsidR="00920C01">
        <w:t>required</w:t>
      </w:r>
      <w:r w:rsidRPr="00655E8C">
        <w:t xml:space="preserve"> transfers if </w:t>
      </w:r>
      <w:proofErr w:type="gramStart"/>
      <w:r w:rsidR="00834723" w:rsidRPr="00655E8C">
        <w:t>needed</w:t>
      </w:r>
      <w:r w:rsidR="00335B42">
        <w:t>;</w:t>
      </w:r>
      <w:proofErr w:type="gramEnd"/>
    </w:p>
    <w:p w14:paraId="5B0B146F" w14:textId="4CBCA4A7" w:rsidR="000D60C8" w:rsidRPr="00655E8C" w:rsidRDefault="000D60C8" w:rsidP="000D60C8">
      <w:r>
        <w:t>8</w:t>
      </w:r>
      <w:r>
        <w:tab/>
      </w:r>
      <w:r w:rsidRPr="00655E8C">
        <w:t>to authorize to balance the 202</w:t>
      </w:r>
      <w:r>
        <w:t>6</w:t>
      </w:r>
      <w:r w:rsidRPr="00655E8C">
        <w:t>-202</w:t>
      </w:r>
      <w:r>
        <w:t>7</w:t>
      </w:r>
      <w:r w:rsidRPr="00655E8C">
        <w:t xml:space="preserve"> accounts, should the need arise, </w:t>
      </w:r>
      <w:r>
        <w:t>with</w:t>
      </w:r>
      <w:r w:rsidRPr="00655E8C">
        <w:t xml:space="preserve"> surplus </w:t>
      </w:r>
      <w:proofErr w:type="gramStart"/>
      <w:r w:rsidR="00834723" w:rsidRPr="00655E8C">
        <w:t>revenue</w:t>
      </w:r>
      <w:r w:rsidR="00335B42">
        <w:t>;</w:t>
      </w:r>
      <w:proofErr w:type="gramEnd"/>
    </w:p>
    <w:p w14:paraId="531BDDD6" w14:textId="492D17FB" w:rsidR="000D60C8" w:rsidRDefault="000D60C8" w:rsidP="000D60C8">
      <w:r>
        <w:t>9</w:t>
      </w:r>
      <w:r>
        <w:tab/>
      </w:r>
      <w:r w:rsidRPr="00655E8C">
        <w:t>to instruct the Secretary-General to transfer CHF 1</w:t>
      </w:r>
      <w:r>
        <w:t> million</w:t>
      </w:r>
      <w:r w:rsidRPr="00655E8C">
        <w:t xml:space="preserve"> from the Reserve Account in January</w:t>
      </w:r>
      <w:r>
        <w:t> </w:t>
      </w:r>
      <w:r w:rsidRPr="00655E8C">
        <w:t>202</w:t>
      </w:r>
      <w:r>
        <w:t>6</w:t>
      </w:r>
      <w:r w:rsidRPr="00655E8C">
        <w:t xml:space="preserve"> to the </w:t>
      </w:r>
      <w:r w:rsidRPr="0059659B">
        <w:t xml:space="preserve">after-service health insurance </w:t>
      </w:r>
      <w:r>
        <w:t>(</w:t>
      </w:r>
      <w:r w:rsidRPr="00655E8C">
        <w:t>ASHI</w:t>
      </w:r>
      <w:r>
        <w:t>)</w:t>
      </w:r>
      <w:r w:rsidRPr="00655E8C">
        <w:t xml:space="preserve"> fund to address unfunded long-term liabilities.</w:t>
      </w:r>
    </w:p>
    <w:p w14:paraId="52E59909" w14:textId="71B56ABA" w:rsidR="00834723" w:rsidRDefault="00834723" w:rsidP="00335B42">
      <w:pPr>
        <w:keepNext/>
        <w:keepLines/>
        <w:spacing w:before="1440"/>
      </w:pPr>
      <w:r w:rsidRPr="00335B42">
        <w:rPr>
          <w:b/>
          <w:bCs/>
        </w:rPr>
        <w:t>Annexes:</w:t>
      </w:r>
      <w:r>
        <w:t xml:space="preserve"> Tables 1 to 12</w:t>
      </w:r>
    </w:p>
    <w:p w14:paraId="1A393AC0" w14:textId="77777777" w:rsidR="00834723" w:rsidRDefault="00834723" w:rsidP="000D60C8">
      <w:pPr>
        <w:sectPr w:rsidR="00834723" w:rsidSect="00AD3606">
          <w:footerReference w:type="default" r:id="rId47"/>
          <w:headerReference w:type="first" r:id="rId48"/>
          <w:footerReference w:type="first" r:id="rId49"/>
          <w:pgSz w:w="11907" w:h="16834"/>
          <w:pgMar w:top="1418" w:right="1418" w:bottom="1418" w:left="1418" w:header="720" w:footer="720" w:gutter="0"/>
          <w:paperSrc w:first="286" w:other="286"/>
          <w:cols w:space="720"/>
          <w:titlePg/>
        </w:sectPr>
      </w:pPr>
    </w:p>
    <w:p w14:paraId="53CA7D64" w14:textId="77777777" w:rsidR="00834723" w:rsidRPr="00655E8C" w:rsidRDefault="00834723" w:rsidP="000D60C8"/>
    <w:p w14:paraId="54B8AA77" w14:textId="747F99F0" w:rsidR="00633192" w:rsidRDefault="00D5596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D55966">
        <w:rPr>
          <w:rFonts w:asciiTheme="minorHAnsi" w:hAnsiTheme="minorHAnsi" w:cstheme="minorHAnsi"/>
          <w:noProof/>
        </w:rPr>
        <w:drawing>
          <wp:inline distT="0" distB="0" distL="0" distR="0" wp14:anchorId="5E4191A2" wp14:editId="147CE106">
            <wp:extent cx="7848600" cy="2476500"/>
            <wp:effectExtent l="0" t="0" r="0" b="0"/>
            <wp:docPr id="56021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14253" name=""/>
                    <pic:cNvPicPr/>
                  </pic:nvPicPr>
                  <pic:blipFill>
                    <a:blip r:embed="rId50"/>
                    <a:stretch>
                      <a:fillRect/>
                    </a:stretch>
                  </pic:blipFill>
                  <pic:spPr>
                    <a:xfrm>
                      <a:off x="0" y="0"/>
                      <a:ext cx="7848600" cy="2476500"/>
                    </a:xfrm>
                    <a:prstGeom prst="rect">
                      <a:avLst/>
                    </a:prstGeom>
                  </pic:spPr>
                </pic:pic>
              </a:graphicData>
            </a:graphic>
          </wp:inline>
        </w:drawing>
      </w:r>
    </w:p>
    <w:p w14:paraId="44433C3C" w14:textId="626A9AA5" w:rsidR="00E16006" w:rsidRDefault="00E1600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2EBB8568" w14:textId="37ED8DBF" w:rsidR="00D55966" w:rsidRDefault="00D5596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D55966">
        <w:rPr>
          <w:rFonts w:asciiTheme="minorHAnsi" w:hAnsiTheme="minorHAnsi" w:cstheme="minorHAnsi"/>
          <w:noProof/>
        </w:rPr>
        <w:lastRenderedPageBreak/>
        <w:drawing>
          <wp:inline distT="0" distB="0" distL="0" distR="0" wp14:anchorId="40A81F2F" wp14:editId="0CC12F1C">
            <wp:extent cx="6926580" cy="5760085"/>
            <wp:effectExtent l="0" t="0" r="0" b="5715"/>
            <wp:docPr id="26488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5625" name=""/>
                    <pic:cNvPicPr/>
                  </pic:nvPicPr>
                  <pic:blipFill>
                    <a:blip r:embed="rId51"/>
                    <a:stretch>
                      <a:fillRect/>
                    </a:stretch>
                  </pic:blipFill>
                  <pic:spPr>
                    <a:xfrm>
                      <a:off x="0" y="0"/>
                      <a:ext cx="6926580" cy="5760085"/>
                    </a:xfrm>
                    <a:prstGeom prst="rect">
                      <a:avLst/>
                    </a:prstGeom>
                  </pic:spPr>
                </pic:pic>
              </a:graphicData>
            </a:graphic>
          </wp:inline>
        </w:drawing>
      </w:r>
    </w:p>
    <w:p w14:paraId="2F63A27E" w14:textId="038A2D70" w:rsidR="00D55966" w:rsidRDefault="00D55966" w:rsidP="00D5596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D55966">
        <w:rPr>
          <w:rFonts w:asciiTheme="minorHAnsi" w:hAnsiTheme="minorHAnsi" w:cstheme="minorHAnsi"/>
          <w:noProof/>
        </w:rPr>
        <w:lastRenderedPageBreak/>
        <w:drawing>
          <wp:inline distT="0" distB="0" distL="0" distR="0" wp14:anchorId="66FDDC0E" wp14:editId="33EFF208">
            <wp:extent cx="8414385" cy="5760085"/>
            <wp:effectExtent l="0" t="0" r="5715" b="5715"/>
            <wp:docPr id="29113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5301" name=""/>
                    <pic:cNvPicPr/>
                  </pic:nvPicPr>
                  <pic:blipFill>
                    <a:blip r:embed="rId52"/>
                    <a:stretch>
                      <a:fillRect/>
                    </a:stretch>
                  </pic:blipFill>
                  <pic:spPr>
                    <a:xfrm>
                      <a:off x="0" y="0"/>
                      <a:ext cx="8414385" cy="5760085"/>
                    </a:xfrm>
                    <a:prstGeom prst="rect">
                      <a:avLst/>
                    </a:prstGeom>
                  </pic:spPr>
                </pic:pic>
              </a:graphicData>
            </a:graphic>
          </wp:inline>
        </w:drawing>
      </w:r>
      <w:r>
        <w:rPr>
          <w:rFonts w:asciiTheme="minorHAnsi" w:hAnsiTheme="minorHAnsi" w:cstheme="minorHAnsi"/>
        </w:rPr>
        <w:br w:type="page"/>
      </w:r>
    </w:p>
    <w:p w14:paraId="5541D863" w14:textId="77777777" w:rsidR="00D55966" w:rsidRDefault="00D5596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p>
    <w:p w14:paraId="15FA8239" w14:textId="77777777" w:rsidR="00D55966" w:rsidRDefault="00D55966" w:rsidP="00D5596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p>
    <w:p w14:paraId="38703514" w14:textId="6E9330AB" w:rsidR="00E16006" w:rsidRDefault="00E16006" w:rsidP="00E1600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E16006">
        <w:rPr>
          <w:rFonts w:asciiTheme="minorHAnsi" w:hAnsiTheme="minorHAnsi" w:cstheme="minorHAnsi"/>
          <w:noProof/>
        </w:rPr>
        <w:drawing>
          <wp:inline distT="0" distB="0" distL="0" distR="0" wp14:anchorId="1FBEF1D4" wp14:editId="2210A6ED">
            <wp:extent cx="8888730" cy="3667760"/>
            <wp:effectExtent l="0" t="0" r="1270" b="2540"/>
            <wp:docPr id="96915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55416" name=""/>
                    <pic:cNvPicPr/>
                  </pic:nvPicPr>
                  <pic:blipFill>
                    <a:blip r:embed="rId53"/>
                    <a:stretch>
                      <a:fillRect/>
                    </a:stretch>
                  </pic:blipFill>
                  <pic:spPr>
                    <a:xfrm>
                      <a:off x="0" y="0"/>
                      <a:ext cx="8888730" cy="3667760"/>
                    </a:xfrm>
                    <a:prstGeom prst="rect">
                      <a:avLst/>
                    </a:prstGeom>
                  </pic:spPr>
                </pic:pic>
              </a:graphicData>
            </a:graphic>
          </wp:inline>
        </w:drawing>
      </w:r>
    </w:p>
    <w:p w14:paraId="1DE9B0F8" w14:textId="77777777" w:rsidR="00E16006" w:rsidRDefault="00E1600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p>
    <w:p w14:paraId="093A3584" w14:textId="1923B8FC" w:rsidR="00E16006" w:rsidRDefault="00E1600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0A7C5F96" w14:textId="5BAC203F" w:rsidR="00E16006" w:rsidRDefault="00E1600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E16006">
        <w:rPr>
          <w:rFonts w:asciiTheme="minorHAnsi" w:hAnsiTheme="minorHAnsi" w:cstheme="minorHAnsi"/>
          <w:noProof/>
        </w:rPr>
        <w:lastRenderedPageBreak/>
        <w:drawing>
          <wp:inline distT="0" distB="0" distL="0" distR="0" wp14:anchorId="755DF5F6" wp14:editId="2E060F2B">
            <wp:extent cx="8888730" cy="3690620"/>
            <wp:effectExtent l="0" t="0" r="1270" b="5080"/>
            <wp:docPr id="81581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11877" name=""/>
                    <pic:cNvPicPr/>
                  </pic:nvPicPr>
                  <pic:blipFill>
                    <a:blip r:embed="rId54"/>
                    <a:stretch>
                      <a:fillRect/>
                    </a:stretch>
                  </pic:blipFill>
                  <pic:spPr>
                    <a:xfrm>
                      <a:off x="0" y="0"/>
                      <a:ext cx="8888730" cy="3690620"/>
                    </a:xfrm>
                    <a:prstGeom prst="rect">
                      <a:avLst/>
                    </a:prstGeom>
                  </pic:spPr>
                </pic:pic>
              </a:graphicData>
            </a:graphic>
          </wp:inline>
        </w:drawing>
      </w:r>
    </w:p>
    <w:p w14:paraId="18432722" w14:textId="6340F913" w:rsidR="00E16006" w:rsidRDefault="00E1600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4EA030CF" w14:textId="5DF9A870" w:rsidR="00E16006" w:rsidRDefault="00E1600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E16006">
        <w:rPr>
          <w:rFonts w:asciiTheme="minorHAnsi" w:hAnsiTheme="minorHAnsi" w:cstheme="minorHAnsi"/>
          <w:noProof/>
        </w:rPr>
        <w:lastRenderedPageBreak/>
        <w:drawing>
          <wp:inline distT="0" distB="0" distL="0" distR="0" wp14:anchorId="4DBFBE3B" wp14:editId="28D8B461">
            <wp:extent cx="8888730" cy="3485515"/>
            <wp:effectExtent l="0" t="0" r="1270" b="0"/>
            <wp:docPr id="21969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95641" name=""/>
                    <pic:cNvPicPr/>
                  </pic:nvPicPr>
                  <pic:blipFill>
                    <a:blip r:embed="rId55"/>
                    <a:stretch>
                      <a:fillRect/>
                    </a:stretch>
                  </pic:blipFill>
                  <pic:spPr>
                    <a:xfrm>
                      <a:off x="0" y="0"/>
                      <a:ext cx="8888730" cy="3485515"/>
                    </a:xfrm>
                    <a:prstGeom prst="rect">
                      <a:avLst/>
                    </a:prstGeom>
                  </pic:spPr>
                </pic:pic>
              </a:graphicData>
            </a:graphic>
          </wp:inline>
        </w:drawing>
      </w:r>
    </w:p>
    <w:p w14:paraId="5FE37A41" w14:textId="34D60028" w:rsidR="00E16006" w:rsidRDefault="00E1600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10D0D1A1" w14:textId="3E8122DF" w:rsidR="00E16006" w:rsidRDefault="00D5596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D55966">
        <w:rPr>
          <w:rFonts w:asciiTheme="minorHAnsi" w:hAnsiTheme="minorHAnsi" w:cstheme="minorHAnsi"/>
          <w:noProof/>
        </w:rPr>
        <w:lastRenderedPageBreak/>
        <w:drawing>
          <wp:inline distT="0" distB="0" distL="0" distR="0" wp14:anchorId="7B23A178" wp14:editId="417192C1">
            <wp:extent cx="8888730" cy="4774565"/>
            <wp:effectExtent l="0" t="0" r="1270" b="635"/>
            <wp:docPr id="186617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74066" name=""/>
                    <pic:cNvPicPr/>
                  </pic:nvPicPr>
                  <pic:blipFill>
                    <a:blip r:embed="rId56"/>
                    <a:stretch>
                      <a:fillRect/>
                    </a:stretch>
                  </pic:blipFill>
                  <pic:spPr>
                    <a:xfrm>
                      <a:off x="0" y="0"/>
                      <a:ext cx="8888730" cy="4774565"/>
                    </a:xfrm>
                    <a:prstGeom prst="rect">
                      <a:avLst/>
                    </a:prstGeom>
                  </pic:spPr>
                </pic:pic>
              </a:graphicData>
            </a:graphic>
          </wp:inline>
        </w:drawing>
      </w:r>
    </w:p>
    <w:p w14:paraId="4238BBA4" w14:textId="158354DA" w:rsidR="00E16006" w:rsidRDefault="00E1600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A5AF39A" w14:textId="362A54DC" w:rsidR="00E16006" w:rsidRDefault="00B73854"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B73854">
        <w:rPr>
          <w:rFonts w:asciiTheme="minorHAnsi" w:hAnsiTheme="minorHAnsi" w:cstheme="minorHAnsi"/>
          <w:noProof/>
        </w:rPr>
        <w:lastRenderedPageBreak/>
        <w:drawing>
          <wp:inline distT="0" distB="0" distL="0" distR="0" wp14:anchorId="11065A2F" wp14:editId="444FFA03">
            <wp:extent cx="8888730" cy="3921760"/>
            <wp:effectExtent l="0" t="0" r="1270" b="2540"/>
            <wp:docPr id="23342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28254" name=""/>
                    <pic:cNvPicPr/>
                  </pic:nvPicPr>
                  <pic:blipFill>
                    <a:blip r:embed="rId57"/>
                    <a:stretch>
                      <a:fillRect/>
                    </a:stretch>
                  </pic:blipFill>
                  <pic:spPr>
                    <a:xfrm>
                      <a:off x="0" y="0"/>
                      <a:ext cx="8888730" cy="3921760"/>
                    </a:xfrm>
                    <a:prstGeom prst="rect">
                      <a:avLst/>
                    </a:prstGeom>
                  </pic:spPr>
                </pic:pic>
              </a:graphicData>
            </a:graphic>
          </wp:inline>
        </w:drawing>
      </w:r>
    </w:p>
    <w:p w14:paraId="1D0C1DBD" w14:textId="74DD9C05" w:rsidR="00B73854" w:rsidRDefault="00B7385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74B76D24" w14:textId="1C4C09EC" w:rsidR="00B73854" w:rsidRDefault="00B73854"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B73854">
        <w:rPr>
          <w:rFonts w:asciiTheme="minorHAnsi" w:hAnsiTheme="minorHAnsi" w:cstheme="minorHAnsi"/>
          <w:noProof/>
        </w:rPr>
        <w:lastRenderedPageBreak/>
        <w:drawing>
          <wp:inline distT="0" distB="0" distL="0" distR="0" wp14:anchorId="2C2572FC" wp14:editId="0F54C913">
            <wp:extent cx="8888730" cy="3815080"/>
            <wp:effectExtent l="0" t="0" r="1270" b="0"/>
            <wp:docPr id="78634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1053" name=""/>
                    <pic:cNvPicPr/>
                  </pic:nvPicPr>
                  <pic:blipFill>
                    <a:blip r:embed="rId58"/>
                    <a:stretch>
                      <a:fillRect/>
                    </a:stretch>
                  </pic:blipFill>
                  <pic:spPr>
                    <a:xfrm>
                      <a:off x="0" y="0"/>
                      <a:ext cx="8888730" cy="3815080"/>
                    </a:xfrm>
                    <a:prstGeom prst="rect">
                      <a:avLst/>
                    </a:prstGeom>
                  </pic:spPr>
                </pic:pic>
              </a:graphicData>
            </a:graphic>
          </wp:inline>
        </w:drawing>
      </w:r>
    </w:p>
    <w:p w14:paraId="571E4C4E" w14:textId="40623EC0" w:rsidR="00B73854" w:rsidRDefault="00B7385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140E339B" w14:textId="5C205CB8" w:rsidR="00B73854"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6091E425" wp14:editId="5A920FB3">
            <wp:extent cx="8888730" cy="3853180"/>
            <wp:effectExtent l="0" t="0" r="1270" b="0"/>
            <wp:docPr id="55585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7332" name=""/>
                    <pic:cNvPicPr/>
                  </pic:nvPicPr>
                  <pic:blipFill>
                    <a:blip r:embed="rId59"/>
                    <a:stretch>
                      <a:fillRect/>
                    </a:stretch>
                  </pic:blipFill>
                  <pic:spPr>
                    <a:xfrm>
                      <a:off x="0" y="0"/>
                      <a:ext cx="8888730" cy="3853180"/>
                    </a:xfrm>
                    <a:prstGeom prst="rect">
                      <a:avLst/>
                    </a:prstGeom>
                  </pic:spPr>
                </pic:pic>
              </a:graphicData>
            </a:graphic>
          </wp:inline>
        </w:drawing>
      </w:r>
    </w:p>
    <w:p w14:paraId="02A62DDF" w14:textId="3C3A7371"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296B8F12" w14:textId="393066D9" w:rsidR="00261755" w:rsidRDefault="00D55966"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D55966">
        <w:rPr>
          <w:rFonts w:asciiTheme="minorHAnsi" w:hAnsiTheme="minorHAnsi" w:cstheme="minorHAnsi"/>
          <w:noProof/>
        </w:rPr>
        <w:lastRenderedPageBreak/>
        <w:drawing>
          <wp:inline distT="0" distB="0" distL="0" distR="0" wp14:anchorId="10E65FDD" wp14:editId="67163D9F">
            <wp:extent cx="8888730" cy="3707130"/>
            <wp:effectExtent l="0" t="0" r="1270" b="1270"/>
            <wp:docPr id="125033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35352" name=""/>
                    <pic:cNvPicPr/>
                  </pic:nvPicPr>
                  <pic:blipFill>
                    <a:blip r:embed="rId60"/>
                    <a:stretch>
                      <a:fillRect/>
                    </a:stretch>
                  </pic:blipFill>
                  <pic:spPr>
                    <a:xfrm>
                      <a:off x="0" y="0"/>
                      <a:ext cx="8888730" cy="3707130"/>
                    </a:xfrm>
                    <a:prstGeom prst="rect">
                      <a:avLst/>
                    </a:prstGeom>
                  </pic:spPr>
                </pic:pic>
              </a:graphicData>
            </a:graphic>
          </wp:inline>
        </w:drawing>
      </w:r>
    </w:p>
    <w:p w14:paraId="2082E505" w14:textId="5898BAD8"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7644DBFD" w14:textId="57407D3A"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60110A29" wp14:editId="302E7EED">
            <wp:extent cx="8888730" cy="4483100"/>
            <wp:effectExtent l="0" t="0" r="1270" b="0"/>
            <wp:docPr id="96007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72368" name=""/>
                    <pic:cNvPicPr/>
                  </pic:nvPicPr>
                  <pic:blipFill>
                    <a:blip r:embed="rId61"/>
                    <a:stretch>
                      <a:fillRect/>
                    </a:stretch>
                  </pic:blipFill>
                  <pic:spPr>
                    <a:xfrm>
                      <a:off x="0" y="0"/>
                      <a:ext cx="8888730" cy="4483100"/>
                    </a:xfrm>
                    <a:prstGeom prst="rect">
                      <a:avLst/>
                    </a:prstGeom>
                  </pic:spPr>
                </pic:pic>
              </a:graphicData>
            </a:graphic>
          </wp:inline>
        </w:drawing>
      </w:r>
    </w:p>
    <w:p w14:paraId="5148B4AE" w14:textId="06B8E012"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7D78B5D4" w14:textId="1BA885CB"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2B217611" wp14:editId="28A1188E">
            <wp:extent cx="8888730" cy="4431665"/>
            <wp:effectExtent l="0" t="0" r="1270" b="635"/>
            <wp:docPr id="40033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33775" name=""/>
                    <pic:cNvPicPr/>
                  </pic:nvPicPr>
                  <pic:blipFill>
                    <a:blip r:embed="rId62"/>
                    <a:stretch>
                      <a:fillRect/>
                    </a:stretch>
                  </pic:blipFill>
                  <pic:spPr>
                    <a:xfrm>
                      <a:off x="0" y="0"/>
                      <a:ext cx="8888730" cy="4431665"/>
                    </a:xfrm>
                    <a:prstGeom prst="rect">
                      <a:avLst/>
                    </a:prstGeom>
                  </pic:spPr>
                </pic:pic>
              </a:graphicData>
            </a:graphic>
          </wp:inline>
        </w:drawing>
      </w:r>
    </w:p>
    <w:p w14:paraId="3FDD12FA" w14:textId="1F2DC4B5"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39E01CF6" w14:textId="51FCC1D6"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68A50475" wp14:editId="0CC2D2F7">
            <wp:extent cx="8888730" cy="4401185"/>
            <wp:effectExtent l="0" t="0" r="1270" b="5715"/>
            <wp:docPr id="67550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5854" name=""/>
                    <pic:cNvPicPr/>
                  </pic:nvPicPr>
                  <pic:blipFill>
                    <a:blip r:embed="rId63"/>
                    <a:stretch>
                      <a:fillRect/>
                    </a:stretch>
                  </pic:blipFill>
                  <pic:spPr>
                    <a:xfrm>
                      <a:off x="0" y="0"/>
                      <a:ext cx="8888730" cy="4401185"/>
                    </a:xfrm>
                    <a:prstGeom prst="rect">
                      <a:avLst/>
                    </a:prstGeom>
                  </pic:spPr>
                </pic:pic>
              </a:graphicData>
            </a:graphic>
          </wp:inline>
        </w:drawing>
      </w:r>
    </w:p>
    <w:p w14:paraId="092E69B0" w14:textId="3B300E33" w:rsidR="00261755" w:rsidRDefault="00261755" w:rsidP="00913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r w:rsidR="00D55966" w:rsidRPr="00D55966">
        <w:rPr>
          <w:rFonts w:asciiTheme="minorHAnsi" w:hAnsiTheme="minorHAnsi" w:cstheme="minorHAnsi"/>
          <w:noProof/>
        </w:rPr>
        <w:lastRenderedPageBreak/>
        <w:drawing>
          <wp:inline distT="0" distB="0" distL="0" distR="0" wp14:anchorId="0FD113C5" wp14:editId="34E6521D">
            <wp:extent cx="8888730" cy="4314190"/>
            <wp:effectExtent l="0" t="0" r="1270" b="3810"/>
            <wp:docPr id="176605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51326" name=""/>
                    <pic:cNvPicPr/>
                  </pic:nvPicPr>
                  <pic:blipFill>
                    <a:blip r:embed="rId64"/>
                    <a:stretch>
                      <a:fillRect/>
                    </a:stretch>
                  </pic:blipFill>
                  <pic:spPr>
                    <a:xfrm>
                      <a:off x="0" y="0"/>
                      <a:ext cx="8888730" cy="4314190"/>
                    </a:xfrm>
                    <a:prstGeom prst="rect">
                      <a:avLst/>
                    </a:prstGeom>
                  </pic:spPr>
                </pic:pic>
              </a:graphicData>
            </a:graphic>
          </wp:inline>
        </w:drawing>
      </w:r>
    </w:p>
    <w:p w14:paraId="13F978FC" w14:textId="24E3E5BA"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55F0E47D" wp14:editId="7E7ED581">
            <wp:extent cx="8664345" cy="4595854"/>
            <wp:effectExtent l="0" t="0" r="3810" b="0"/>
            <wp:docPr id="195526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7628" name=""/>
                    <pic:cNvPicPr/>
                  </pic:nvPicPr>
                  <pic:blipFill>
                    <a:blip r:embed="rId65"/>
                    <a:stretch>
                      <a:fillRect/>
                    </a:stretch>
                  </pic:blipFill>
                  <pic:spPr>
                    <a:xfrm>
                      <a:off x="0" y="0"/>
                      <a:ext cx="8675982" cy="4602026"/>
                    </a:xfrm>
                    <a:prstGeom prst="rect">
                      <a:avLst/>
                    </a:prstGeom>
                  </pic:spPr>
                </pic:pic>
              </a:graphicData>
            </a:graphic>
          </wp:inline>
        </w:drawing>
      </w:r>
    </w:p>
    <w:p w14:paraId="1AB37219" w14:textId="712CDE6E"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15E0863" w14:textId="76A7B2E8"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1A876AD1" wp14:editId="1A957F63">
            <wp:extent cx="8888730" cy="4387215"/>
            <wp:effectExtent l="0" t="0" r="1270" b="0"/>
            <wp:docPr id="27389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7110" name=""/>
                    <pic:cNvPicPr/>
                  </pic:nvPicPr>
                  <pic:blipFill>
                    <a:blip r:embed="rId66"/>
                    <a:stretch>
                      <a:fillRect/>
                    </a:stretch>
                  </pic:blipFill>
                  <pic:spPr>
                    <a:xfrm>
                      <a:off x="0" y="0"/>
                      <a:ext cx="8888730" cy="4387215"/>
                    </a:xfrm>
                    <a:prstGeom prst="rect">
                      <a:avLst/>
                    </a:prstGeom>
                  </pic:spPr>
                </pic:pic>
              </a:graphicData>
            </a:graphic>
          </wp:inline>
        </w:drawing>
      </w:r>
    </w:p>
    <w:p w14:paraId="0E246859" w14:textId="25C3E464" w:rsidR="00261755" w:rsidRDefault="0026175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71DA3CC" w14:textId="5E6D50C7" w:rsidR="00261755" w:rsidRDefault="00261755"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261755">
        <w:rPr>
          <w:rFonts w:asciiTheme="minorHAnsi" w:hAnsiTheme="minorHAnsi" w:cstheme="minorHAnsi"/>
          <w:noProof/>
        </w:rPr>
        <w:lastRenderedPageBreak/>
        <w:drawing>
          <wp:inline distT="0" distB="0" distL="0" distR="0" wp14:anchorId="22C0CAD2" wp14:editId="035A5226">
            <wp:extent cx="8888730" cy="4352290"/>
            <wp:effectExtent l="0" t="0" r="1270" b="3810"/>
            <wp:docPr id="198771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4003" name=""/>
                    <pic:cNvPicPr/>
                  </pic:nvPicPr>
                  <pic:blipFill>
                    <a:blip r:embed="rId67"/>
                    <a:stretch>
                      <a:fillRect/>
                    </a:stretch>
                  </pic:blipFill>
                  <pic:spPr>
                    <a:xfrm>
                      <a:off x="0" y="0"/>
                      <a:ext cx="8888730" cy="4352290"/>
                    </a:xfrm>
                    <a:prstGeom prst="rect">
                      <a:avLst/>
                    </a:prstGeom>
                  </pic:spPr>
                </pic:pic>
              </a:graphicData>
            </a:graphic>
          </wp:inline>
        </w:drawing>
      </w:r>
    </w:p>
    <w:p w14:paraId="28CE7F20" w14:textId="1A560A44" w:rsidR="00CA2A8A" w:rsidRDefault="00CA2A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71D4886D" w14:textId="2770AED3" w:rsidR="00261755" w:rsidRDefault="00CA2A8A"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CA2A8A">
        <w:rPr>
          <w:rFonts w:asciiTheme="minorHAnsi" w:hAnsiTheme="minorHAnsi" w:cstheme="minorHAnsi"/>
          <w:noProof/>
        </w:rPr>
        <w:lastRenderedPageBreak/>
        <w:drawing>
          <wp:inline distT="0" distB="0" distL="0" distR="0" wp14:anchorId="28EFACD8" wp14:editId="263F47B7">
            <wp:extent cx="8888730" cy="5552440"/>
            <wp:effectExtent l="0" t="0" r="1270" b="0"/>
            <wp:docPr id="373210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0715" name=""/>
                    <pic:cNvPicPr/>
                  </pic:nvPicPr>
                  <pic:blipFill>
                    <a:blip r:embed="rId68"/>
                    <a:stretch>
                      <a:fillRect/>
                    </a:stretch>
                  </pic:blipFill>
                  <pic:spPr>
                    <a:xfrm>
                      <a:off x="0" y="0"/>
                      <a:ext cx="8888730" cy="5552440"/>
                    </a:xfrm>
                    <a:prstGeom prst="rect">
                      <a:avLst/>
                    </a:prstGeom>
                  </pic:spPr>
                </pic:pic>
              </a:graphicData>
            </a:graphic>
          </wp:inline>
        </w:drawing>
      </w:r>
    </w:p>
    <w:p w14:paraId="2619836F" w14:textId="3BD4121D" w:rsidR="00CA2A8A" w:rsidRDefault="00CA2A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51C7C5BD" w14:textId="4B947C9E" w:rsidR="00CA2A8A" w:rsidRDefault="00CA2A8A"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CA2A8A">
        <w:rPr>
          <w:rFonts w:asciiTheme="minorHAnsi" w:hAnsiTheme="minorHAnsi" w:cstheme="minorHAnsi"/>
          <w:noProof/>
        </w:rPr>
        <w:lastRenderedPageBreak/>
        <w:drawing>
          <wp:inline distT="0" distB="0" distL="0" distR="0" wp14:anchorId="1A7D9D5B" wp14:editId="5A2158D8">
            <wp:extent cx="8888730" cy="5542915"/>
            <wp:effectExtent l="0" t="0" r="1270" b="0"/>
            <wp:docPr id="16168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378" name=""/>
                    <pic:cNvPicPr/>
                  </pic:nvPicPr>
                  <pic:blipFill>
                    <a:blip r:embed="rId69"/>
                    <a:stretch>
                      <a:fillRect/>
                    </a:stretch>
                  </pic:blipFill>
                  <pic:spPr>
                    <a:xfrm>
                      <a:off x="0" y="0"/>
                      <a:ext cx="8888730" cy="5542915"/>
                    </a:xfrm>
                    <a:prstGeom prst="rect">
                      <a:avLst/>
                    </a:prstGeom>
                  </pic:spPr>
                </pic:pic>
              </a:graphicData>
            </a:graphic>
          </wp:inline>
        </w:drawing>
      </w:r>
    </w:p>
    <w:p w14:paraId="3F714507" w14:textId="7772047E" w:rsidR="00CA2A8A" w:rsidRDefault="00CA2A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C2345A4" w14:textId="48F1F133" w:rsidR="00CA2A8A" w:rsidRDefault="00CA2A8A"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CA2A8A">
        <w:rPr>
          <w:rFonts w:asciiTheme="minorHAnsi" w:hAnsiTheme="minorHAnsi" w:cstheme="minorHAnsi"/>
          <w:noProof/>
        </w:rPr>
        <w:lastRenderedPageBreak/>
        <w:drawing>
          <wp:inline distT="0" distB="0" distL="0" distR="0" wp14:anchorId="04BF0FDE" wp14:editId="1E6E316B">
            <wp:extent cx="8888730" cy="5542915"/>
            <wp:effectExtent l="0" t="0" r="1270" b="0"/>
            <wp:docPr id="47474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40877" name=""/>
                    <pic:cNvPicPr/>
                  </pic:nvPicPr>
                  <pic:blipFill>
                    <a:blip r:embed="rId70"/>
                    <a:stretch>
                      <a:fillRect/>
                    </a:stretch>
                  </pic:blipFill>
                  <pic:spPr>
                    <a:xfrm>
                      <a:off x="0" y="0"/>
                      <a:ext cx="8888730" cy="5542915"/>
                    </a:xfrm>
                    <a:prstGeom prst="rect">
                      <a:avLst/>
                    </a:prstGeom>
                  </pic:spPr>
                </pic:pic>
              </a:graphicData>
            </a:graphic>
          </wp:inline>
        </w:drawing>
      </w:r>
    </w:p>
    <w:p w14:paraId="06CAA582" w14:textId="273C166A" w:rsidR="00CA2A8A" w:rsidRDefault="00CA2A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47349E19" w14:textId="2F3593E6" w:rsidR="00CA2A8A" w:rsidRDefault="00CA2A8A" w:rsidP="000D60C8">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bookmarkStart w:id="14" w:name="Table_12"/>
      <w:r w:rsidRPr="00CA2A8A">
        <w:rPr>
          <w:rFonts w:asciiTheme="minorHAnsi" w:hAnsiTheme="minorHAnsi" w:cstheme="minorHAnsi"/>
          <w:noProof/>
        </w:rPr>
        <w:lastRenderedPageBreak/>
        <w:drawing>
          <wp:inline distT="0" distB="0" distL="0" distR="0" wp14:anchorId="35779926" wp14:editId="483B224B">
            <wp:extent cx="7734300" cy="2857500"/>
            <wp:effectExtent l="0" t="0" r="0" b="0"/>
            <wp:docPr id="96700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03198" name=""/>
                    <pic:cNvPicPr/>
                  </pic:nvPicPr>
                  <pic:blipFill>
                    <a:blip r:embed="rId71"/>
                    <a:stretch>
                      <a:fillRect/>
                    </a:stretch>
                  </pic:blipFill>
                  <pic:spPr>
                    <a:xfrm>
                      <a:off x="0" y="0"/>
                      <a:ext cx="7734300" cy="2857500"/>
                    </a:xfrm>
                    <a:prstGeom prst="rect">
                      <a:avLst/>
                    </a:prstGeom>
                  </pic:spPr>
                </pic:pic>
              </a:graphicData>
            </a:graphic>
          </wp:inline>
        </w:drawing>
      </w:r>
      <w:bookmarkEnd w:id="14"/>
    </w:p>
    <w:p w14:paraId="41831905" w14:textId="5D63AB48" w:rsidR="00CA2A8A" w:rsidRDefault="00CA2A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2C1D809F" w14:textId="61B2D72F" w:rsidR="00CA2A8A" w:rsidRDefault="00CA2A8A" w:rsidP="00CA2A8A">
      <w:pPr>
        <w:pStyle w:val="AnnexNo"/>
      </w:pPr>
      <w:bookmarkStart w:id="15" w:name="Annex_B"/>
      <w:r w:rsidRPr="00CA2A8A">
        <w:lastRenderedPageBreak/>
        <w:t>Annex B</w:t>
      </w:r>
      <w:r>
        <w:t xml:space="preserve"> </w:t>
      </w:r>
      <w:bookmarkEnd w:id="15"/>
      <w:r>
        <w:t xml:space="preserve">- </w:t>
      </w:r>
      <w:r w:rsidRPr="00CA2A8A">
        <w:t>Documentation</w:t>
      </w:r>
    </w:p>
    <w:p w14:paraId="05F444A8" w14:textId="20BF2810" w:rsidR="00CA2A8A" w:rsidRDefault="00CA2A8A" w:rsidP="00CA2A8A">
      <w:pPr>
        <w:pStyle w:val="Annexref"/>
      </w:pPr>
      <w:r w:rsidRPr="00CA2A8A">
        <w:rPr>
          <w:noProof/>
        </w:rPr>
        <w:drawing>
          <wp:inline distT="0" distB="0" distL="0" distR="0" wp14:anchorId="6070B059" wp14:editId="6D017FEA">
            <wp:extent cx="6408219" cy="5406339"/>
            <wp:effectExtent l="0" t="0" r="5715" b="4445"/>
            <wp:docPr id="77391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14231" name=""/>
                    <pic:cNvPicPr/>
                  </pic:nvPicPr>
                  <pic:blipFill>
                    <a:blip r:embed="rId72"/>
                    <a:stretch>
                      <a:fillRect/>
                    </a:stretch>
                  </pic:blipFill>
                  <pic:spPr>
                    <a:xfrm>
                      <a:off x="0" y="0"/>
                      <a:ext cx="6414651" cy="5411766"/>
                    </a:xfrm>
                    <a:prstGeom prst="rect">
                      <a:avLst/>
                    </a:prstGeom>
                  </pic:spPr>
                </pic:pic>
              </a:graphicData>
            </a:graphic>
          </wp:inline>
        </w:drawing>
      </w:r>
    </w:p>
    <w:p w14:paraId="7D195B72" w14:textId="3D9FBC3E" w:rsidR="00CA2A8A" w:rsidRDefault="00CA2A8A" w:rsidP="00CA2A8A">
      <w:pPr>
        <w:pStyle w:val="Annextitle"/>
      </w:pPr>
      <w:r w:rsidRPr="00CA2A8A">
        <w:rPr>
          <w:noProof/>
        </w:rPr>
        <w:lastRenderedPageBreak/>
        <w:drawing>
          <wp:inline distT="0" distB="0" distL="0" distR="0" wp14:anchorId="35F333B6" wp14:editId="4E13A229">
            <wp:extent cx="6827520" cy="5760085"/>
            <wp:effectExtent l="0" t="0" r="5080" b="5715"/>
            <wp:docPr id="57562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27574" name=""/>
                    <pic:cNvPicPr/>
                  </pic:nvPicPr>
                  <pic:blipFill>
                    <a:blip r:embed="rId73"/>
                    <a:stretch>
                      <a:fillRect/>
                    </a:stretch>
                  </pic:blipFill>
                  <pic:spPr>
                    <a:xfrm>
                      <a:off x="0" y="0"/>
                      <a:ext cx="6827520" cy="5760085"/>
                    </a:xfrm>
                    <a:prstGeom prst="rect">
                      <a:avLst/>
                    </a:prstGeom>
                  </pic:spPr>
                </pic:pic>
              </a:graphicData>
            </a:graphic>
          </wp:inline>
        </w:drawing>
      </w:r>
    </w:p>
    <w:p w14:paraId="1C7B63E7" w14:textId="77777777" w:rsidR="00E217E4" w:rsidRDefault="00E217E4" w:rsidP="00EA22B4">
      <w:pPr>
        <w:tabs>
          <w:tab w:val="clear" w:pos="567"/>
          <w:tab w:val="clear" w:pos="1134"/>
          <w:tab w:val="clear" w:pos="1701"/>
          <w:tab w:val="clear" w:pos="2268"/>
          <w:tab w:val="clear" w:pos="2835"/>
        </w:tabs>
        <w:overflowPunct/>
        <w:autoSpaceDE/>
        <w:autoSpaceDN/>
        <w:adjustRightInd/>
        <w:spacing w:before="0" w:after="720"/>
        <w:textAlignment w:val="auto"/>
        <w:rPr>
          <w:b/>
          <w:sz w:val="28"/>
        </w:rPr>
      </w:pPr>
    </w:p>
    <w:p w14:paraId="340576E2" w14:textId="1BD02DD7" w:rsidR="00CA2A8A" w:rsidRDefault="00E217E4" w:rsidP="00E217E4">
      <w:pPr>
        <w:tabs>
          <w:tab w:val="clear" w:pos="567"/>
          <w:tab w:val="clear" w:pos="1134"/>
          <w:tab w:val="clear" w:pos="1701"/>
          <w:tab w:val="clear" w:pos="2268"/>
          <w:tab w:val="clear" w:pos="2835"/>
        </w:tabs>
        <w:overflowPunct/>
        <w:autoSpaceDE/>
        <w:autoSpaceDN/>
        <w:adjustRightInd/>
        <w:spacing w:before="0"/>
        <w:textAlignment w:val="auto"/>
        <w:rPr>
          <w:b/>
          <w:sz w:val="28"/>
        </w:rPr>
      </w:pPr>
      <w:r w:rsidRPr="00E217E4">
        <w:rPr>
          <w:b/>
          <w:noProof/>
          <w:sz w:val="28"/>
        </w:rPr>
        <w:drawing>
          <wp:inline distT="0" distB="0" distL="0" distR="0" wp14:anchorId="47B9069A" wp14:editId="1BCB2257">
            <wp:extent cx="8888730" cy="3035935"/>
            <wp:effectExtent l="0" t="0" r="1270" b="0"/>
            <wp:docPr id="195772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9753" name=""/>
                    <pic:cNvPicPr/>
                  </pic:nvPicPr>
                  <pic:blipFill>
                    <a:blip r:embed="rId74"/>
                    <a:stretch>
                      <a:fillRect/>
                    </a:stretch>
                  </pic:blipFill>
                  <pic:spPr>
                    <a:xfrm>
                      <a:off x="0" y="0"/>
                      <a:ext cx="8888730" cy="3035935"/>
                    </a:xfrm>
                    <a:prstGeom prst="rect">
                      <a:avLst/>
                    </a:prstGeom>
                  </pic:spPr>
                </pic:pic>
              </a:graphicData>
            </a:graphic>
          </wp:inline>
        </w:drawing>
      </w:r>
    </w:p>
    <w:p w14:paraId="34BDE622" w14:textId="77777777" w:rsidR="00CA2A8A" w:rsidRDefault="00CA2A8A" w:rsidP="00CA2A8A">
      <w:pPr>
        <w:pStyle w:val="Annextitle"/>
      </w:pPr>
    </w:p>
    <w:p w14:paraId="31A90E8B" w14:textId="77777777" w:rsidR="00CA2A8A" w:rsidRPr="00CA2A8A" w:rsidRDefault="00CA2A8A" w:rsidP="00CA2A8A">
      <w:pPr>
        <w:sectPr w:rsidR="00CA2A8A" w:rsidRPr="00CA2A8A" w:rsidSect="00834723">
          <w:headerReference w:type="default" r:id="rId75"/>
          <w:footerReference w:type="default" r:id="rId76"/>
          <w:headerReference w:type="first" r:id="rId77"/>
          <w:footerReference w:type="first" r:id="rId78"/>
          <w:pgSz w:w="16834" w:h="11907" w:orient="landscape"/>
          <w:pgMar w:top="1418" w:right="1418" w:bottom="1418" w:left="1418" w:header="720" w:footer="720" w:gutter="0"/>
          <w:paperSrc w:first="286" w:other="286"/>
          <w:cols w:space="720"/>
          <w:titlePg/>
          <w:docGrid w:linePitch="326"/>
        </w:sectPr>
      </w:pPr>
    </w:p>
    <w:p w14:paraId="0C85B575" w14:textId="3A872F54" w:rsidR="00CA2A8A" w:rsidRDefault="00CA2A8A" w:rsidP="00E217E4">
      <w:pPr>
        <w:pStyle w:val="AnnexNo"/>
      </w:pPr>
      <w:bookmarkStart w:id="16" w:name="Annex_C"/>
      <w:r w:rsidRPr="00CA2A8A">
        <w:lastRenderedPageBreak/>
        <w:t xml:space="preserve">Annex </w:t>
      </w:r>
      <w:r>
        <w:t xml:space="preserve">c </w:t>
      </w:r>
      <w:bookmarkEnd w:id="16"/>
      <w:r w:rsidR="00E217E4">
        <w:t>–</w:t>
      </w:r>
      <w:r>
        <w:t xml:space="preserve"> </w:t>
      </w:r>
      <w:r w:rsidR="00E217E4">
        <w:t>forecast 2028-2029</w:t>
      </w:r>
    </w:p>
    <w:p w14:paraId="0928D5C4" w14:textId="262B6143" w:rsidR="00E217E4" w:rsidRDefault="00DB26F1" w:rsidP="00E217E4">
      <w:pPr>
        <w:pStyle w:val="Annexref"/>
      </w:pPr>
      <w:r w:rsidRPr="00DB26F1">
        <w:rPr>
          <w:noProof/>
        </w:rPr>
        <w:drawing>
          <wp:inline distT="0" distB="0" distL="0" distR="0" wp14:anchorId="693F168A" wp14:editId="6EFA3EF1">
            <wp:extent cx="5427976" cy="7963345"/>
            <wp:effectExtent l="0" t="0" r="0" b="0"/>
            <wp:docPr id="9309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04270" name=""/>
                    <pic:cNvPicPr/>
                  </pic:nvPicPr>
                  <pic:blipFill>
                    <a:blip r:embed="rId79"/>
                    <a:stretch>
                      <a:fillRect/>
                    </a:stretch>
                  </pic:blipFill>
                  <pic:spPr>
                    <a:xfrm>
                      <a:off x="0" y="0"/>
                      <a:ext cx="5435200" cy="7973943"/>
                    </a:xfrm>
                    <a:prstGeom prst="rect">
                      <a:avLst/>
                    </a:prstGeom>
                  </pic:spPr>
                </pic:pic>
              </a:graphicData>
            </a:graphic>
          </wp:inline>
        </w:drawing>
      </w:r>
    </w:p>
    <w:p w14:paraId="01740D75" w14:textId="78FDFE38" w:rsidR="008F2119" w:rsidRPr="004755BA" w:rsidRDefault="00E217E4" w:rsidP="00EA22B4">
      <w:pPr>
        <w:pStyle w:val="AnnexNo"/>
        <w:spacing w:before="0"/>
        <w:rPr>
          <w:rFonts w:asciiTheme="minorHAnsi" w:hAnsiTheme="minorHAnsi" w:cstheme="minorHAnsi"/>
        </w:rPr>
      </w:pPr>
      <w:r>
        <w:br w:type="page"/>
      </w:r>
      <w:bookmarkStart w:id="17" w:name="Annex_D"/>
      <w:r w:rsidR="008F2119" w:rsidRPr="004755BA">
        <w:rPr>
          <w:rFonts w:asciiTheme="minorHAnsi" w:hAnsiTheme="minorHAnsi" w:cstheme="minorHAnsi"/>
        </w:rPr>
        <w:lastRenderedPageBreak/>
        <w:t xml:space="preserve">Annex d </w:t>
      </w:r>
      <w:bookmarkEnd w:id="17"/>
      <w:r w:rsidR="008F2119" w:rsidRPr="004755BA">
        <w:rPr>
          <w:rFonts w:asciiTheme="minorHAnsi" w:hAnsiTheme="minorHAnsi" w:cstheme="minorHAnsi"/>
        </w:rPr>
        <w:t>– category of expenses</w:t>
      </w:r>
    </w:p>
    <w:p w14:paraId="119754A7"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Staff costs (salaries and allowances, etc.) </w:t>
      </w:r>
    </w:p>
    <w:p w14:paraId="75973719" w14:textId="29F3BE2C"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These cover all remuneration paid </w:t>
      </w:r>
      <w:r w:rsidR="00456515" w:rsidRPr="004755BA">
        <w:rPr>
          <w:rFonts w:asciiTheme="minorHAnsi" w:hAnsiTheme="minorHAnsi" w:cstheme="minorHAnsi"/>
        </w:rPr>
        <w:t>regularly</w:t>
      </w:r>
      <w:r w:rsidRPr="004755BA">
        <w:rPr>
          <w:rFonts w:asciiTheme="minorHAnsi" w:hAnsiTheme="minorHAnsi" w:cstheme="minorHAnsi"/>
        </w:rPr>
        <w:t xml:space="preserve"> to incumbents of established posts and short-term staff, such as base salaries, posts adjustment, language and non-resident allowance, family allowance and overtime. </w:t>
      </w:r>
    </w:p>
    <w:p w14:paraId="4529AF45"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Other staff costs </w:t>
      </w:r>
    </w:p>
    <w:p w14:paraId="6B35C733" w14:textId="30EC99D7"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These include items such as the Union's contribution to pension and health insurance, the accident insurance and expenses of the pension committee, education grant and travel, travel on appointment and separation, installation and repatriation allowances, travel on home leave, accumulated leave, termination indemnities and removal expenses. They </w:t>
      </w:r>
      <w:r w:rsidR="00925691" w:rsidRPr="004755BA">
        <w:rPr>
          <w:rFonts w:asciiTheme="minorHAnsi" w:hAnsiTheme="minorHAnsi" w:cstheme="minorHAnsi"/>
        </w:rPr>
        <w:t>are concerned with</w:t>
      </w:r>
      <w:r w:rsidRPr="004755BA">
        <w:rPr>
          <w:rFonts w:asciiTheme="minorHAnsi" w:hAnsiTheme="minorHAnsi" w:cstheme="minorHAnsi"/>
        </w:rPr>
        <w:t xml:space="preserve"> both established posts and short-term staff.</w:t>
      </w:r>
    </w:p>
    <w:p w14:paraId="0927E744" w14:textId="39A23A09"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This expense includes all payments </w:t>
      </w:r>
      <w:r w:rsidR="00944511" w:rsidRPr="004755BA">
        <w:rPr>
          <w:rFonts w:asciiTheme="minorHAnsi" w:hAnsiTheme="minorHAnsi" w:cstheme="minorHAnsi"/>
        </w:rPr>
        <w:t>concerning</w:t>
      </w:r>
      <w:r w:rsidRPr="004755BA">
        <w:rPr>
          <w:rFonts w:asciiTheme="minorHAnsi" w:hAnsiTheme="minorHAnsi" w:cstheme="minorHAnsi"/>
        </w:rPr>
        <w:t xml:space="preserve"> retired staff, such as cost-of-living allowance, survivors' insurance, </w:t>
      </w:r>
      <w:r w:rsidR="00944511" w:rsidRPr="004755BA">
        <w:rPr>
          <w:rFonts w:asciiTheme="minorHAnsi" w:hAnsiTheme="minorHAnsi" w:cstheme="minorHAnsi"/>
        </w:rPr>
        <w:t xml:space="preserve">and </w:t>
      </w:r>
      <w:r w:rsidRPr="004755BA">
        <w:rPr>
          <w:rFonts w:asciiTheme="minorHAnsi" w:hAnsiTheme="minorHAnsi" w:cstheme="minorHAnsi"/>
        </w:rPr>
        <w:t xml:space="preserve">health insurance. </w:t>
      </w:r>
    </w:p>
    <w:p w14:paraId="5ADFD938"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Travel on duty </w:t>
      </w:r>
    </w:p>
    <w:p w14:paraId="589D180D" w14:textId="4162F081"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Official travel refers to journeys made for the purpose of conveying experts and officials to places of missions, conferences, </w:t>
      </w:r>
      <w:r w:rsidR="00556BEA" w:rsidRPr="004755BA">
        <w:rPr>
          <w:rFonts w:asciiTheme="minorHAnsi" w:hAnsiTheme="minorHAnsi" w:cstheme="minorHAnsi"/>
        </w:rPr>
        <w:t xml:space="preserve">and </w:t>
      </w:r>
      <w:r w:rsidRPr="004755BA">
        <w:rPr>
          <w:rFonts w:asciiTheme="minorHAnsi" w:hAnsiTheme="minorHAnsi" w:cstheme="minorHAnsi"/>
        </w:rPr>
        <w:t xml:space="preserve">meetings. </w:t>
      </w:r>
      <w:r w:rsidR="00556BEA" w:rsidRPr="004755BA">
        <w:rPr>
          <w:rFonts w:asciiTheme="minorHAnsi" w:hAnsiTheme="minorHAnsi" w:cstheme="minorHAnsi"/>
        </w:rPr>
        <w:t>This item includes</w:t>
      </w:r>
      <w:r w:rsidRPr="004755BA">
        <w:rPr>
          <w:rFonts w:asciiTheme="minorHAnsi" w:hAnsiTheme="minorHAnsi" w:cstheme="minorHAnsi"/>
        </w:rPr>
        <w:t xml:space="preserve"> travel tickets, daily subsistence allowance (DSA), terminal expenses and insurance. They are paid for the attendance of delegates at Council sessions</w:t>
      </w:r>
      <w:r w:rsidR="00817831" w:rsidRPr="004755BA">
        <w:rPr>
          <w:rFonts w:asciiTheme="minorHAnsi" w:hAnsiTheme="minorHAnsi" w:cstheme="minorHAnsi"/>
        </w:rPr>
        <w:t xml:space="preserve"> and missions of the staff of the Sectors, the GS,</w:t>
      </w:r>
      <w:r w:rsidRPr="004755BA">
        <w:rPr>
          <w:rFonts w:asciiTheme="minorHAnsi" w:hAnsiTheme="minorHAnsi" w:cstheme="minorHAnsi"/>
        </w:rPr>
        <w:t xml:space="preserve"> and their consultants. Fellowship programmes are classified under this category of </w:t>
      </w:r>
      <w:r w:rsidR="00FF4D89" w:rsidRPr="004755BA">
        <w:rPr>
          <w:rFonts w:asciiTheme="minorHAnsi" w:hAnsiTheme="minorHAnsi" w:cstheme="minorHAnsi"/>
        </w:rPr>
        <w:t>expenses</w:t>
      </w:r>
      <w:r w:rsidRPr="004755BA">
        <w:rPr>
          <w:rFonts w:asciiTheme="minorHAnsi" w:hAnsiTheme="minorHAnsi" w:cstheme="minorHAnsi"/>
        </w:rPr>
        <w:t xml:space="preserve">. </w:t>
      </w:r>
    </w:p>
    <w:p w14:paraId="1DB09B58" w14:textId="2BCD9F01" w:rsidR="008F2119" w:rsidRPr="004755BA" w:rsidRDefault="008F2119" w:rsidP="00EA22B4">
      <w:pPr>
        <w:pStyle w:val="NormalWeb"/>
        <w:rPr>
          <w:rFonts w:asciiTheme="minorHAnsi" w:hAnsiTheme="minorHAnsi" w:cstheme="minorHAnsi"/>
        </w:rPr>
      </w:pPr>
      <w:r w:rsidRPr="004755BA">
        <w:rPr>
          <w:rFonts w:asciiTheme="minorHAnsi" w:hAnsiTheme="minorHAnsi" w:cstheme="minorHAnsi"/>
        </w:rPr>
        <w:t>Not included are</w:t>
      </w:r>
      <w:r w:rsidR="00E20040" w:rsidRPr="004755BA">
        <w:rPr>
          <w:rFonts w:asciiTheme="minorHAnsi" w:hAnsiTheme="minorHAnsi" w:cstheme="minorHAnsi"/>
        </w:rPr>
        <w:t xml:space="preserve"> travel related to recruitment of staff, home leave,</w:t>
      </w:r>
      <w:r w:rsidRPr="004755BA">
        <w:rPr>
          <w:rFonts w:asciiTheme="minorHAnsi" w:hAnsiTheme="minorHAnsi" w:cstheme="minorHAnsi"/>
        </w:rPr>
        <w:t xml:space="preserve"> and repatriation (c.f. </w:t>
      </w:r>
      <w:proofErr w:type="gramStart"/>
      <w:r w:rsidRPr="004755BA">
        <w:rPr>
          <w:rFonts w:asciiTheme="minorHAnsi" w:hAnsiTheme="minorHAnsi" w:cstheme="minorHAnsi"/>
        </w:rPr>
        <w:t>Other</w:t>
      </w:r>
      <w:proofErr w:type="gramEnd"/>
      <w:r w:rsidRPr="004755BA">
        <w:rPr>
          <w:rFonts w:asciiTheme="minorHAnsi" w:hAnsiTheme="minorHAnsi" w:cstheme="minorHAnsi"/>
        </w:rPr>
        <w:t xml:space="preserve"> staff costs). </w:t>
      </w:r>
    </w:p>
    <w:p w14:paraId="1B4432AC"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Contractual services </w:t>
      </w:r>
    </w:p>
    <w:p w14:paraId="2258B0B3" w14:textId="1F1926E5"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Items included in this category generally relate to all fees, honorariums, </w:t>
      </w:r>
      <w:r w:rsidR="0035296E" w:rsidRPr="004755BA">
        <w:rPr>
          <w:rFonts w:asciiTheme="minorHAnsi" w:hAnsiTheme="minorHAnsi" w:cstheme="minorHAnsi"/>
        </w:rPr>
        <w:t xml:space="preserve">and </w:t>
      </w:r>
      <w:r w:rsidRPr="004755BA">
        <w:rPr>
          <w:rFonts w:asciiTheme="minorHAnsi" w:hAnsiTheme="minorHAnsi" w:cstheme="minorHAnsi"/>
        </w:rPr>
        <w:t>travel to and from the place of residence. They are paid to firms of consultants for contractual work and arrangements. It also includes special service agreements. T</w:t>
      </w:r>
      <w:r w:rsidR="00542BC9" w:rsidRPr="004755BA">
        <w:rPr>
          <w:rFonts w:asciiTheme="minorHAnsi" w:hAnsiTheme="minorHAnsi" w:cstheme="minorHAnsi"/>
        </w:rPr>
        <w:t xml:space="preserve">his item covers training costs </w:t>
      </w:r>
      <w:r w:rsidR="0062793F" w:rsidRPr="004755BA">
        <w:rPr>
          <w:rFonts w:asciiTheme="minorHAnsi" w:hAnsiTheme="minorHAnsi" w:cstheme="minorHAnsi"/>
        </w:rPr>
        <w:t>for</w:t>
      </w:r>
      <w:r w:rsidR="00542BC9" w:rsidRPr="004755BA">
        <w:rPr>
          <w:rFonts w:asciiTheme="minorHAnsi" w:hAnsiTheme="minorHAnsi" w:cstheme="minorHAnsi"/>
        </w:rPr>
        <w:t xml:space="preserve"> language courses and specialized courses</w:t>
      </w:r>
      <w:r w:rsidRPr="004755BA">
        <w:rPr>
          <w:rFonts w:asciiTheme="minorHAnsi" w:hAnsiTheme="minorHAnsi" w:cstheme="minorHAnsi"/>
        </w:rPr>
        <w:t xml:space="preserve">. </w:t>
      </w:r>
    </w:p>
    <w:p w14:paraId="3F7F900E" w14:textId="6C70FDDD"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Also included are the cost of services bought from outside</w:t>
      </w:r>
      <w:r w:rsidR="0062793F" w:rsidRPr="004755BA">
        <w:rPr>
          <w:rFonts w:asciiTheme="minorHAnsi" w:hAnsiTheme="minorHAnsi" w:cstheme="minorHAnsi"/>
        </w:rPr>
        <w:t>,</w:t>
      </w:r>
      <w:r w:rsidRPr="004755BA">
        <w:rPr>
          <w:rFonts w:asciiTheme="minorHAnsi" w:hAnsiTheme="minorHAnsi" w:cstheme="minorHAnsi"/>
        </w:rPr>
        <w:t xml:space="preserve"> such as translating document</w:t>
      </w:r>
      <w:r w:rsidR="00CB3EF5" w:rsidRPr="004755BA">
        <w:rPr>
          <w:rFonts w:asciiTheme="minorHAnsi" w:hAnsiTheme="minorHAnsi" w:cstheme="minorHAnsi"/>
        </w:rPr>
        <w:t>s</w:t>
      </w:r>
      <w:r w:rsidRPr="004755BA">
        <w:rPr>
          <w:rFonts w:asciiTheme="minorHAnsi" w:hAnsiTheme="minorHAnsi" w:cstheme="minorHAnsi"/>
        </w:rPr>
        <w:t xml:space="preserve"> and computer services, etc. </w:t>
      </w:r>
    </w:p>
    <w:p w14:paraId="1BC63870"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Rental and maintenance of premises and equipment </w:t>
      </w:r>
    </w:p>
    <w:p w14:paraId="1E6FE1E1" w14:textId="1D9CAFD5"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Expenses in this category include the rental of meeting rooms, parking places, </w:t>
      </w:r>
      <w:r w:rsidR="00CB3EF5" w:rsidRPr="004755BA">
        <w:rPr>
          <w:rFonts w:asciiTheme="minorHAnsi" w:hAnsiTheme="minorHAnsi" w:cstheme="minorHAnsi"/>
        </w:rPr>
        <w:t xml:space="preserve">and </w:t>
      </w:r>
      <w:r w:rsidRPr="004755BA">
        <w:rPr>
          <w:rFonts w:asciiTheme="minorHAnsi" w:hAnsiTheme="minorHAnsi" w:cstheme="minorHAnsi"/>
        </w:rPr>
        <w:t xml:space="preserve">equipment, as well as all expenses for the maintenance of buildings, grounds, vehicles, technical and computer equipment and software and the related insurance against fire, flood and other damage. </w:t>
      </w:r>
    </w:p>
    <w:p w14:paraId="06929E57" w14:textId="77777777" w:rsidR="008F2119" w:rsidRPr="004755BA" w:rsidRDefault="008F211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2060"/>
          <w:szCs w:val="24"/>
          <w:lang w:eastAsia="en-GB"/>
        </w:rPr>
      </w:pPr>
      <w:r w:rsidRPr="004755BA">
        <w:rPr>
          <w:rFonts w:asciiTheme="minorHAnsi" w:hAnsiTheme="minorHAnsi" w:cstheme="minorHAnsi"/>
          <w:b/>
          <w:bCs/>
          <w:color w:val="002060"/>
        </w:rPr>
        <w:br w:type="page"/>
      </w:r>
    </w:p>
    <w:p w14:paraId="45392943" w14:textId="503118D6"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lastRenderedPageBreak/>
        <w:t xml:space="preserve">Materials and supplies </w:t>
      </w:r>
    </w:p>
    <w:p w14:paraId="3CF0D5D8" w14:textId="216F197A"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Materials and supplies include office stationery, printing supplies, </w:t>
      </w:r>
      <w:r w:rsidR="0007347F" w:rsidRPr="004755BA">
        <w:rPr>
          <w:rFonts w:asciiTheme="minorHAnsi" w:hAnsiTheme="minorHAnsi" w:cstheme="minorHAnsi"/>
        </w:rPr>
        <w:t xml:space="preserve">and </w:t>
      </w:r>
      <w:r w:rsidRPr="004755BA">
        <w:rPr>
          <w:rFonts w:asciiTheme="minorHAnsi" w:hAnsiTheme="minorHAnsi" w:cstheme="minorHAnsi"/>
        </w:rPr>
        <w:t>IT equipment supplies</w:t>
      </w:r>
      <w:r w:rsidR="001076BD" w:rsidRPr="004755BA">
        <w:rPr>
          <w:rFonts w:asciiTheme="minorHAnsi" w:hAnsiTheme="minorHAnsi" w:cstheme="minorHAnsi"/>
        </w:rPr>
        <w:t>.</w:t>
      </w:r>
    </w:p>
    <w:p w14:paraId="7E488586"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Acquisition of premises, furniture and equipment </w:t>
      </w:r>
    </w:p>
    <w:p w14:paraId="3F375F83" w14:textId="4FBAE417"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This category of expenses mainly relates to items of a capital nature and covers the purchase of furniture, IT peripherals and other technical equipment and installations. </w:t>
      </w:r>
    </w:p>
    <w:p w14:paraId="4A580BC4"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Public and internal service utilities </w:t>
      </w:r>
    </w:p>
    <w:p w14:paraId="2EC83C9D" w14:textId="4FCD2AE9"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This category covers official services such as electricity, gas, water, postal, communications, heating, cooling and servicing of buildings. </w:t>
      </w:r>
    </w:p>
    <w:p w14:paraId="52CA27C7" w14:textId="77777777" w:rsidR="008F2119" w:rsidRPr="004755BA" w:rsidRDefault="008F2119" w:rsidP="008F2119">
      <w:pPr>
        <w:pStyle w:val="NormalWeb"/>
        <w:rPr>
          <w:rFonts w:asciiTheme="minorHAnsi" w:hAnsiTheme="minorHAnsi" w:cstheme="minorHAnsi"/>
          <w:b/>
          <w:bCs/>
          <w:color w:val="002060"/>
        </w:rPr>
      </w:pPr>
      <w:r w:rsidRPr="004755BA">
        <w:rPr>
          <w:rFonts w:asciiTheme="minorHAnsi" w:hAnsiTheme="minorHAnsi" w:cstheme="minorHAnsi"/>
          <w:b/>
          <w:bCs/>
          <w:color w:val="002060"/>
        </w:rPr>
        <w:t xml:space="preserve">Audit and inter-agency fees and miscellaneous </w:t>
      </w:r>
    </w:p>
    <w:p w14:paraId="3064E7D8" w14:textId="77777777" w:rsidR="008F2119" w:rsidRPr="004755BA" w:rsidRDefault="008F2119" w:rsidP="008F2119">
      <w:pPr>
        <w:pStyle w:val="NormalWeb"/>
        <w:rPr>
          <w:rFonts w:asciiTheme="minorHAnsi" w:hAnsiTheme="minorHAnsi" w:cstheme="minorHAnsi"/>
          <w:color w:val="002060"/>
        </w:rPr>
      </w:pPr>
      <w:r w:rsidRPr="004755BA">
        <w:rPr>
          <w:rFonts w:asciiTheme="minorHAnsi" w:hAnsiTheme="minorHAnsi" w:cstheme="minorHAnsi"/>
          <w:color w:val="002060"/>
        </w:rPr>
        <w:t xml:space="preserve">Audit and inter-agency fees </w:t>
      </w:r>
    </w:p>
    <w:p w14:paraId="2A1F082F" w14:textId="77777777"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This expense relates to the External Audit, the Union's participation in United Nations inter-agency boards, Committees and services such as the Joint Inspection Unit, etc. </w:t>
      </w:r>
    </w:p>
    <w:p w14:paraId="0389CE31" w14:textId="77777777" w:rsidR="008F2119" w:rsidRPr="004755BA" w:rsidRDefault="008F2119" w:rsidP="008F2119">
      <w:pPr>
        <w:pStyle w:val="NormalWeb"/>
        <w:rPr>
          <w:rFonts w:asciiTheme="minorHAnsi" w:hAnsiTheme="minorHAnsi" w:cstheme="minorHAnsi"/>
          <w:color w:val="002060"/>
        </w:rPr>
      </w:pPr>
      <w:r w:rsidRPr="004755BA">
        <w:rPr>
          <w:rFonts w:asciiTheme="minorHAnsi" w:hAnsiTheme="minorHAnsi" w:cstheme="minorHAnsi"/>
          <w:color w:val="002060"/>
        </w:rPr>
        <w:t xml:space="preserve">Miscellaneous </w:t>
      </w:r>
    </w:p>
    <w:p w14:paraId="58B7DC7B" w14:textId="416B043D" w:rsidR="008F2119" w:rsidRPr="004755BA" w:rsidRDefault="008F2119" w:rsidP="008F2119">
      <w:pPr>
        <w:pStyle w:val="NormalWeb"/>
        <w:rPr>
          <w:rFonts w:asciiTheme="minorHAnsi" w:hAnsiTheme="minorHAnsi" w:cstheme="minorHAnsi"/>
        </w:rPr>
      </w:pPr>
      <w:r w:rsidRPr="004755BA">
        <w:rPr>
          <w:rFonts w:asciiTheme="minorHAnsi" w:hAnsiTheme="minorHAnsi" w:cstheme="minorHAnsi"/>
        </w:rPr>
        <w:t xml:space="preserve">All </w:t>
      </w:r>
      <w:r w:rsidR="00FF4D89" w:rsidRPr="004755BA">
        <w:rPr>
          <w:rFonts w:asciiTheme="minorHAnsi" w:hAnsiTheme="minorHAnsi" w:cstheme="minorHAnsi"/>
        </w:rPr>
        <w:t>expenses</w:t>
      </w:r>
      <w:r w:rsidRPr="004755BA">
        <w:rPr>
          <w:rFonts w:asciiTheme="minorHAnsi" w:hAnsiTheme="minorHAnsi" w:cstheme="minorHAnsi"/>
        </w:rPr>
        <w:t xml:space="preserve"> shall be attributed to one of the above categor</w:t>
      </w:r>
      <w:r w:rsidR="0007347F" w:rsidRPr="004755BA">
        <w:rPr>
          <w:rFonts w:asciiTheme="minorHAnsi" w:hAnsiTheme="minorHAnsi" w:cstheme="minorHAnsi"/>
        </w:rPr>
        <w:t>ies</w:t>
      </w:r>
      <w:r w:rsidRPr="004755BA">
        <w:rPr>
          <w:rFonts w:asciiTheme="minorHAnsi" w:hAnsiTheme="minorHAnsi" w:cstheme="minorHAnsi"/>
        </w:rPr>
        <w:t xml:space="preserve"> of expense. However, expense</w:t>
      </w:r>
      <w:r w:rsidR="000A1527" w:rsidRPr="004755BA">
        <w:rPr>
          <w:rFonts w:asciiTheme="minorHAnsi" w:hAnsiTheme="minorHAnsi" w:cstheme="minorHAnsi"/>
        </w:rPr>
        <w:t>s that are foreseen and cannot reasonably be classified into one of these categories have</w:t>
      </w:r>
      <w:r w:rsidRPr="004755BA">
        <w:rPr>
          <w:rFonts w:asciiTheme="minorHAnsi" w:hAnsiTheme="minorHAnsi" w:cstheme="minorHAnsi"/>
        </w:rPr>
        <w:t xml:space="preserve"> to be brought together under "Miscellaneous".</w:t>
      </w:r>
    </w:p>
    <w:p w14:paraId="3EB146F7" w14:textId="244A2EC0" w:rsidR="00E217E4" w:rsidRPr="00E217E4" w:rsidRDefault="00EA22B4" w:rsidP="00EA22B4">
      <w:pPr>
        <w:tabs>
          <w:tab w:val="clear" w:pos="567"/>
          <w:tab w:val="clear" w:pos="1134"/>
          <w:tab w:val="clear" w:pos="1701"/>
          <w:tab w:val="clear" w:pos="2268"/>
          <w:tab w:val="clear" w:pos="2835"/>
        </w:tabs>
        <w:overflowPunct/>
        <w:autoSpaceDE/>
        <w:autoSpaceDN/>
        <w:adjustRightInd/>
        <w:spacing w:before="840"/>
        <w:jc w:val="center"/>
        <w:textAlignment w:val="auto"/>
      </w:pPr>
      <w:r>
        <w:t>__________________</w:t>
      </w:r>
    </w:p>
    <w:sectPr w:rsidR="00E217E4" w:rsidRPr="00E217E4" w:rsidSect="00CA2A8A">
      <w:headerReference w:type="first" r:id="rId80"/>
      <w:footerReference w:type="first" r:id="rId81"/>
      <w:pgSz w:w="11907" w:h="16834"/>
      <w:pgMar w:top="1418" w:right="1418" w:bottom="1418" w:left="1418" w:header="720" w:footer="720" w:gutter="0"/>
      <w:paperSrc w:first="286" w:other="28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E7F30" w14:textId="77777777" w:rsidR="00933616" w:rsidRDefault="00933616">
      <w:r>
        <w:separator/>
      </w:r>
    </w:p>
  </w:endnote>
  <w:endnote w:type="continuationSeparator" w:id="0">
    <w:p w14:paraId="4F812257" w14:textId="77777777" w:rsidR="00933616" w:rsidRDefault="00933616">
      <w:r>
        <w:continuationSeparator/>
      </w:r>
    </w:p>
  </w:endnote>
  <w:endnote w:type="continuationNotice" w:id="1">
    <w:p w14:paraId="6DD457A4" w14:textId="77777777" w:rsidR="00933616" w:rsidRDefault="0093361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7F9D2920" w14:textId="77777777" w:rsidTr="0042469C">
      <w:trPr>
        <w:jc w:val="center"/>
      </w:trPr>
      <w:tc>
        <w:tcPr>
          <w:tcW w:w="1803" w:type="dxa"/>
          <w:vAlign w:val="center"/>
        </w:tcPr>
        <w:p w14:paraId="5B3DDD9A" w14:textId="77777777" w:rsidR="00EE49E8" w:rsidRDefault="00C6520B" w:rsidP="00EE49E8">
          <w:pPr>
            <w:pStyle w:val="Header"/>
            <w:jc w:val="left"/>
            <w:rPr>
              <w:noProof/>
            </w:rPr>
          </w:pPr>
          <w:r w:rsidRPr="009C2F51">
            <w:rPr>
              <w:noProof/>
              <w:color w:val="D9D9D9" w:themeColor="background1" w:themeShade="D9"/>
            </w:rPr>
            <w:t>gDoc #</w:t>
          </w:r>
        </w:p>
      </w:tc>
      <w:tc>
        <w:tcPr>
          <w:tcW w:w="8261" w:type="dxa"/>
        </w:tcPr>
        <w:p w14:paraId="6F6B3A01" w14:textId="5454968E" w:rsidR="00EE49E8" w:rsidRPr="00E06FD5" w:rsidRDefault="00EE49E8" w:rsidP="000745AB">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w:t>
          </w:r>
          <w:r w:rsidR="00C6520B">
            <w:rPr>
              <w:bCs/>
            </w:rPr>
            <w:t>5</w:t>
          </w:r>
          <w:r w:rsidRPr="00623AE3">
            <w:rPr>
              <w:bCs/>
            </w:rPr>
            <w:t>/</w:t>
          </w:r>
          <w:r w:rsidR="00A71D61">
            <w:rPr>
              <w:bCs/>
            </w:rPr>
            <w:t>47</w:t>
          </w:r>
          <w:r w:rsidRPr="00623AE3">
            <w:rPr>
              <w:bCs/>
            </w:rPr>
            <w:t>-E</w:t>
          </w:r>
          <w:r>
            <w:rPr>
              <w:bCs/>
            </w:rPr>
            <w:tab/>
          </w:r>
          <w:r>
            <w:fldChar w:fldCharType="begin"/>
          </w:r>
          <w:r>
            <w:instrText>PAGE</w:instrText>
          </w:r>
          <w:r>
            <w:fldChar w:fldCharType="separate"/>
          </w:r>
          <w:r>
            <w:t>1</w:t>
          </w:r>
          <w:r>
            <w:rPr>
              <w:noProof/>
            </w:rPr>
            <w:fldChar w:fldCharType="end"/>
          </w:r>
        </w:p>
      </w:tc>
    </w:tr>
  </w:tbl>
  <w:p w14:paraId="4B3FBF10" w14:textId="77777777" w:rsidR="00EE49E8" w:rsidRPr="00DB1936"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EE49E8" w:rsidRPr="00784011" w14:paraId="10B15790" w14:textId="77777777" w:rsidTr="006B77F1">
      <w:trPr>
        <w:jc w:val="center"/>
      </w:trPr>
      <w:tc>
        <w:tcPr>
          <w:tcW w:w="1803" w:type="dxa"/>
          <w:vAlign w:val="center"/>
        </w:tcPr>
        <w:p w14:paraId="1D4130C1" w14:textId="77777777" w:rsidR="00EE49E8" w:rsidRPr="006B77F1" w:rsidRDefault="00BF1FDE" w:rsidP="00EE49E8">
          <w:pPr>
            <w:pStyle w:val="Header"/>
            <w:jc w:val="left"/>
            <w:rPr>
              <w:noProof/>
            </w:rPr>
          </w:pPr>
          <w:hyperlink r:id="rId1" w:history="1">
            <w:r w:rsidRPr="006B77F1">
              <w:rPr>
                <w:rStyle w:val="Hyperlink"/>
                <w:u w:val="none"/>
              </w:rPr>
              <w:t>council.itu.int/2025</w:t>
            </w:r>
          </w:hyperlink>
        </w:p>
      </w:tc>
      <w:tc>
        <w:tcPr>
          <w:tcW w:w="8261" w:type="dxa"/>
        </w:tcPr>
        <w:p w14:paraId="68F817AE" w14:textId="7FEEF038" w:rsidR="00EE49E8" w:rsidRPr="00E06FD5" w:rsidRDefault="00EE49E8" w:rsidP="000745AB">
          <w:pPr>
            <w:pStyle w:val="Header"/>
            <w:tabs>
              <w:tab w:val="left" w:pos="6448"/>
              <w:tab w:val="right" w:pos="8505"/>
              <w:tab w:val="right" w:pos="9639"/>
            </w:tabs>
            <w:jc w:val="left"/>
            <w:rPr>
              <w:rFonts w:ascii="Arial" w:hAnsi="Arial" w:cs="Arial"/>
              <w:b/>
              <w:bCs/>
              <w:szCs w:val="18"/>
            </w:rPr>
          </w:pPr>
          <w:r>
            <w:rPr>
              <w:bCs/>
            </w:rPr>
            <w:tab/>
          </w:r>
          <w:r w:rsidRPr="00623AE3">
            <w:rPr>
              <w:bCs/>
            </w:rPr>
            <w:t>C</w:t>
          </w:r>
          <w:r>
            <w:rPr>
              <w:bCs/>
            </w:rPr>
            <w:t>2</w:t>
          </w:r>
          <w:r w:rsidR="00BF1FDE">
            <w:rPr>
              <w:bCs/>
            </w:rPr>
            <w:t>5</w:t>
          </w:r>
          <w:r w:rsidRPr="00623AE3">
            <w:rPr>
              <w:bCs/>
            </w:rPr>
            <w:t>/</w:t>
          </w:r>
          <w:r w:rsidR="00A71D61">
            <w:rPr>
              <w:bCs/>
            </w:rPr>
            <w:t>47</w:t>
          </w:r>
          <w:r w:rsidRPr="00623AE3">
            <w:rPr>
              <w:bCs/>
            </w:rPr>
            <w:t>-E</w:t>
          </w:r>
          <w:r>
            <w:rPr>
              <w:bCs/>
            </w:rPr>
            <w:tab/>
          </w:r>
          <w:r>
            <w:fldChar w:fldCharType="begin"/>
          </w:r>
          <w:r>
            <w:instrText>PAGE</w:instrText>
          </w:r>
          <w:r>
            <w:fldChar w:fldCharType="separate"/>
          </w:r>
          <w:r>
            <w:t>1</w:t>
          </w:r>
          <w:r>
            <w:rPr>
              <w:noProof/>
            </w:rPr>
            <w:fldChar w:fldCharType="end"/>
          </w:r>
        </w:p>
      </w:tc>
    </w:tr>
  </w:tbl>
  <w:p w14:paraId="7E78F19F" w14:textId="77777777" w:rsidR="00A514A4" w:rsidRPr="00623AE3" w:rsidRDefault="00A514A4"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35B42" w:rsidRPr="00784011" w14:paraId="15C814DC" w14:textId="77777777" w:rsidTr="0042469C">
      <w:trPr>
        <w:jc w:val="center"/>
      </w:trPr>
      <w:tc>
        <w:tcPr>
          <w:tcW w:w="1803" w:type="dxa"/>
          <w:vAlign w:val="center"/>
        </w:tcPr>
        <w:p w14:paraId="05C91895" w14:textId="77777777" w:rsidR="00335B42" w:rsidRDefault="00335B42" w:rsidP="00EE49E8">
          <w:pPr>
            <w:pStyle w:val="Header"/>
            <w:jc w:val="left"/>
            <w:rPr>
              <w:noProof/>
            </w:rPr>
          </w:pPr>
          <w:r>
            <w:rPr>
              <w:noProof/>
            </w:rPr>
            <w:t>gDoc #</w:t>
          </w:r>
        </w:p>
      </w:tc>
      <w:tc>
        <w:tcPr>
          <w:tcW w:w="8261" w:type="dxa"/>
        </w:tcPr>
        <w:p w14:paraId="0EC0CEBE" w14:textId="77777777" w:rsidR="00335B42" w:rsidRPr="00E06FD5" w:rsidRDefault="00335B42" w:rsidP="000745AB">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47</w:t>
          </w:r>
          <w:r w:rsidRPr="00623AE3">
            <w:rPr>
              <w:bCs/>
            </w:rPr>
            <w:t>-E</w:t>
          </w:r>
          <w:r>
            <w:rPr>
              <w:bCs/>
            </w:rPr>
            <w:tab/>
          </w:r>
          <w:r>
            <w:fldChar w:fldCharType="begin"/>
          </w:r>
          <w:r>
            <w:instrText>PAGE</w:instrText>
          </w:r>
          <w:r>
            <w:fldChar w:fldCharType="separate"/>
          </w:r>
          <w:r>
            <w:t>1</w:t>
          </w:r>
          <w:r>
            <w:rPr>
              <w:noProof/>
            </w:rPr>
            <w:fldChar w:fldCharType="end"/>
          </w:r>
        </w:p>
      </w:tc>
    </w:tr>
  </w:tbl>
  <w:p w14:paraId="37D4FA7D" w14:textId="77777777" w:rsidR="00335B42" w:rsidRPr="00DB1936" w:rsidRDefault="00335B42" w:rsidP="00EE49E8">
    <w:pPr>
      <w:pStyle w:val="Header"/>
      <w:tabs>
        <w:tab w:val="left" w:pos="8080"/>
        <w:tab w:val="right" w:pos="9072"/>
      </w:tabs>
      <w:jc w:val="left"/>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A22B4" w:rsidRPr="00784011" w14:paraId="69282282" w14:textId="77777777" w:rsidTr="00DE3969">
      <w:trPr>
        <w:jc w:val="center"/>
      </w:trPr>
      <w:tc>
        <w:tcPr>
          <w:tcW w:w="1803" w:type="dxa"/>
          <w:vAlign w:val="center"/>
        </w:tcPr>
        <w:p w14:paraId="303AF0CE" w14:textId="77777777" w:rsidR="00EA22B4" w:rsidRDefault="00EA22B4" w:rsidP="00EA22B4">
          <w:pPr>
            <w:pStyle w:val="Header"/>
            <w:jc w:val="left"/>
            <w:rPr>
              <w:noProof/>
            </w:rPr>
          </w:pPr>
          <w:r>
            <w:rPr>
              <w:noProof/>
            </w:rPr>
            <w:t>gDoc #</w:t>
          </w:r>
        </w:p>
      </w:tc>
      <w:tc>
        <w:tcPr>
          <w:tcW w:w="8261" w:type="dxa"/>
        </w:tcPr>
        <w:p w14:paraId="6034EAFF" w14:textId="77777777" w:rsidR="00EA22B4" w:rsidRPr="00E06FD5" w:rsidRDefault="00EA22B4" w:rsidP="00EA22B4">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47</w:t>
          </w:r>
          <w:r w:rsidRPr="00623AE3">
            <w:rPr>
              <w:bCs/>
            </w:rPr>
            <w:t>-E</w:t>
          </w:r>
          <w:r>
            <w:rPr>
              <w:bCs/>
            </w:rPr>
            <w:tab/>
          </w:r>
          <w:r>
            <w:fldChar w:fldCharType="begin"/>
          </w:r>
          <w:r>
            <w:instrText>PAGE</w:instrText>
          </w:r>
          <w:r>
            <w:fldChar w:fldCharType="separate"/>
          </w:r>
          <w:r>
            <w:t>1</w:t>
          </w:r>
          <w:r>
            <w:rPr>
              <w:noProof/>
            </w:rPr>
            <w:fldChar w:fldCharType="end"/>
          </w:r>
        </w:p>
      </w:tc>
    </w:tr>
  </w:tbl>
  <w:p w14:paraId="10181E34" w14:textId="77777777" w:rsidR="00335B42" w:rsidRPr="00623AE3" w:rsidRDefault="00335B42" w:rsidP="00EE49E8">
    <w:pPr>
      <w:pStyle w:val="Header"/>
      <w:tabs>
        <w:tab w:val="left" w:pos="8080"/>
        <w:tab w:val="right" w:pos="9072"/>
      </w:tabs>
      <w:jc w:val="right"/>
      <w:rPr>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A22B4" w:rsidRPr="00784011" w14:paraId="202E8344" w14:textId="77777777" w:rsidTr="00DE3969">
      <w:trPr>
        <w:jc w:val="center"/>
      </w:trPr>
      <w:tc>
        <w:tcPr>
          <w:tcW w:w="1803" w:type="dxa"/>
          <w:vAlign w:val="center"/>
        </w:tcPr>
        <w:p w14:paraId="55D1A544" w14:textId="77777777" w:rsidR="00EA22B4" w:rsidRDefault="00EA22B4" w:rsidP="00EA22B4">
          <w:pPr>
            <w:pStyle w:val="Header"/>
            <w:jc w:val="left"/>
            <w:rPr>
              <w:noProof/>
            </w:rPr>
          </w:pPr>
          <w:r>
            <w:rPr>
              <w:noProof/>
            </w:rPr>
            <w:t>gDoc #</w:t>
          </w:r>
        </w:p>
      </w:tc>
      <w:tc>
        <w:tcPr>
          <w:tcW w:w="8261" w:type="dxa"/>
        </w:tcPr>
        <w:p w14:paraId="66BDF35F" w14:textId="77777777" w:rsidR="00EA22B4" w:rsidRPr="00E06FD5" w:rsidRDefault="00EA22B4" w:rsidP="00EA22B4">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47</w:t>
          </w:r>
          <w:r w:rsidRPr="00623AE3">
            <w:rPr>
              <w:bCs/>
            </w:rPr>
            <w:t>-E</w:t>
          </w:r>
          <w:r>
            <w:rPr>
              <w:bCs/>
            </w:rPr>
            <w:tab/>
          </w:r>
          <w:r>
            <w:fldChar w:fldCharType="begin"/>
          </w:r>
          <w:r>
            <w:instrText>PAGE</w:instrText>
          </w:r>
          <w:r>
            <w:fldChar w:fldCharType="separate"/>
          </w:r>
          <w:r>
            <w:t>1</w:t>
          </w:r>
          <w:r>
            <w:rPr>
              <w:noProof/>
            </w:rPr>
            <w:fldChar w:fldCharType="end"/>
          </w:r>
        </w:p>
      </w:tc>
    </w:tr>
  </w:tbl>
  <w:p w14:paraId="14BF5990" w14:textId="77777777" w:rsidR="00EA22B4" w:rsidRPr="00623AE3" w:rsidRDefault="00EA22B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3EF51" w14:textId="77777777" w:rsidR="00933616" w:rsidRDefault="00933616">
      <w:r>
        <w:t>____________________</w:t>
      </w:r>
    </w:p>
  </w:footnote>
  <w:footnote w:type="continuationSeparator" w:id="0">
    <w:p w14:paraId="0D0AA50F" w14:textId="77777777" w:rsidR="00933616" w:rsidRDefault="00933616">
      <w:r>
        <w:continuationSeparator/>
      </w:r>
    </w:p>
  </w:footnote>
  <w:footnote w:type="continuationNotice" w:id="1">
    <w:p w14:paraId="5B46B1D0" w14:textId="77777777" w:rsidR="00933616" w:rsidRDefault="0093361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9141" w14:textId="4A9421A0" w:rsidR="008D5991" w:rsidRPr="008D5991" w:rsidRDefault="008D5991" w:rsidP="008D5991">
    <w:pPr>
      <w:pStyle w:val="Header"/>
      <w:jc w:val="left"/>
      <w:rPr>
        <w:lang w:val="fr-CH"/>
      </w:rPr>
    </w:pPr>
    <w:r>
      <w:rPr>
        <w:noProof/>
        <w:lang w:val="fr-CH"/>
      </w:rPr>
      <w:drawing>
        <wp:inline distT="0" distB="0" distL="0" distR="0" wp14:anchorId="3B0B434D" wp14:editId="5D9C2714">
          <wp:extent cx="3670300" cy="609600"/>
          <wp:effectExtent l="0" t="0" r="0" b="0"/>
          <wp:docPr id="448690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0300" cy="6096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3E50" w14:textId="77777777" w:rsidR="00335B42" w:rsidRDefault="00335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80F6" w14:textId="40793F92" w:rsidR="00335B42" w:rsidRPr="00EA22B4" w:rsidRDefault="00335B42" w:rsidP="00EA22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7E00" w14:textId="43C0C851" w:rsidR="00EA22B4" w:rsidRPr="00EA22B4" w:rsidRDefault="00EA22B4" w:rsidP="00EA2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10678B"/>
    <w:multiLevelType w:val="hybridMultilevel"/>
    <w:tmpl w:val="6CD0DC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F7446"/>
    <w:multiLevelType w:val="hybridMultilevel"/>
    <w:tmpl w:val="DBEA5F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46919"/>
    <w:multiLevelType w:val="hybridMultilevel"/>
    <w:tmpl w:val="55027E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3B2D5BB5"/>
    <w:multiLevelType w:val="hybridMultilevel"/>
    <w:tmpl w:val="0D3642C0"/>
    <w:lvl w:ilvl="0" w:tplc="7E30572E">
      <w:start w:val="1"/>
      <w:numFmt w:val="low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513B0759"/>
    <w:multiLevelType w:val="hybridMultilevel"/>
    <w:tmpl w:val="106A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66D26"/>
    <w:multiLevelType w:val="hybridMultilevel"/>
    <w:tmpl w:val="3120F988"/>
    <w:lvl w:ilvl="0" w:tplc="7E30572E">
      <w:start w:val="1"/>
      <w:numFmt w:val="low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8" w15:restartNumberingAfterBreak="0">
    <w:nsid w:val="5A651894"/>
    <w:multiLevelType w:val="multilevel"/>
    <w:tmpl w:val="6CFC717C"/>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1041" w:hanging="615"/>
      </w:pPr>
      <w:rPr>
        <w:rFonts w:cs="Times New Roman" w:hint="default"/>
        <w:b w:val="0"/>
        <w:bCs w:val="0"/>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9" w15:restartNumberingAfterBreak="0">
    <w:nsid w:val="5FA51622"/>
    <w:multiLevelType w:val="hybridMultilevel"/>
    <w:tmpl w:val="870C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531053"/>
    <w:multiLevelType w:val="hybridMultilevel"/>
    <w:tmpl w:val="FBA23ED0"/>
    <w:lvl w:ilvl="0" w:tplc="1D3A9D5C">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3D0B61"/>
    <w:multiLevelType w:val="hybridMultilevel"/>
    <w:tmpl w:val="6614AB62"/>
    <w:lvl w:ilvl="0" w:tplc="6FE41CE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16267">
    <w:abstractNumId w:val="0"/>
  </w:num>
  <w:num w:numId="2" w16cid:durableId="1950425125">
    <w:abstractNumId w:val="6"/>
  </w:num>
  <w:num w:numId="3" w16cid:durableId="424151608">
    <w:abstractNumId w:val="11"/>
  </w:num>
  <w:num w:numId="4" w16cid:durableId="508064420">
    <w:abstractNumId w:val="9"/>
  </w:num>
  <w:num w:numId="5" w16cid:durableId="1675842533">
    <w:abstractNumId w:val="1"/>
  </w:num>
  <w:num w:numId="6" w16cid:durableId="1641109520">
    <w:abstractNumId w:val="2"/>
  </w:num>
  <w:num w:numId="7" w16cid:durableId="1989438808">
    <w:abstractNumId w:val="3"/>
  </w:num>
  <w:num w:numId="8" w16cid:durableId="296762178">
    <w:abstractNumId w:val="8"/>
  </w:num>
  <w:num w:numId="9" w16cid:durableId="818619002">
    <w:abstractNumId w:val="10"/>
  </w:num>
  <w:num w:numId="10" w16cid:durableId="526023012">
    <w:abstractNumId w:val="4"/>
  </w:num>
  <w:num w:numId="11" w16cid:durableId="1299650887">
    <w:abstractNumId w:val="7"/>
  </w:num>
  <w:num w:numId="12" w16cid:durableId="1757432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Q0NTEwtjQ1MjQxNrJQ0lEKTi0uzszPAykwrAUAgV5XoCwAAAA="/>
  </w:docVars>
  <w:rsids>
    <w:rsidRoot w:val="004811F8"/>
    <w:rsid w:val="00013A95"/>
    <w:rsid w:val="000210D4"/>
    <w:rsid w:val="000250E2"/>
    <w:rsid w:val="00037711"/>
    <w:rsid w:val="00041F57"/>
    <w:rsid w:val="0004468C"/>
    <w:rsid w:val="0004697C"/>
    <w:rsid w:val="0005032D"/>
    <w:rsid w:val="00053A8E"/>
    <w:rsid w:val="00055CD0"/>
    <w:rsid w:val="0006007D"/>
    <w:rsid w:val="000615D9"/>
    <w:rsid w:val="00063016"/>
    <w:rsid w:val="00066795"/>
    <w:rsid w:val="0007347F"/>
    <w:rsid w:val="000745AB"/>
    <w:rsid w:val="00076AF6"/>
    <w:rsid w:val="00076C76"/>
    <w:rsid w:val="00085CF2"/>
    <w:rsid w:val="00095A4A"/>
    <w:rsid w:val="000A1527"/>
    <w:rsid w:val="000B0D87"/>
    <w:rsid w:val="000B1705"/>
    <w:rsid w:val="000B34D9"/>
    <w:rsid w:val="000B63EF"/>
    <w:rsid w:val="000C1EDF"/>
    <w:rsid w:val="000C6A3F"/>
    <w:rsid w:val="000D60C8"/>
    <w:rsid w:val="000D75B2"/>
    <w:rsid w:val="000F1627"/>
    <w:rsid w:val="000F1942"/>
    <w:rsid w:val="000F5DDB"/>
    <w:rsid w:val="000F7289"/>
    <w:rsid w:val="00100FCF"/>
    <w:rsid w:val="00105D6E"/>
    <w:rsid w:val="001076BD"/>
    <w:rsid w:val="001121F5"/>
    <w:rsid w:val="0011302A"/>
    <w:rsid w:val="001138FC"/>
    <w:rsid w:val="001140B4"/>
    <w:rsid w:val="001266D3"/>
    <w:rsid w:val="001400DC"/>
    <w:rsid w:val="00140966"/>
    <w:rsid w:val="00140CE1"/>
    <w:rsid w:val="00150168"/>
    <w:rsid w:val="00152D73"/>
    <w:rsid w:val="001540E0"/>
    <w:rsid w:val="00156DC9"/>
    <w:rsid w:val="00162214"/>
    <w:rsid w:val="00162ADF"/>
    <w:rsid w:val="001633EF"/>
    <w:rsid w:val="00170B4B"/>
    <w:rsid w:val="001740F5"/>
    <w:rsid w:val="0017539C"/>
    <w:rsid w:val="00175AC2"/>
    <w:rsid w:val="0017609F"/>
    <w:rsid w:val="00177AA2"/>
    <w:rsid w:val="001878CB"/>
    <w:rsid w:val="001A1059"/>
    <w:rsid w:val="001A105F"/>
    <w:rsid w:val="001A3131"/>
    <w:rsid w:val="001A3154"/>
    <w:rsid w:val="001A7D1D"/>
    <w:rsid w:val="001B5066"/>
    <w:rsid w:val="001B51DD"/>
    <w:rsid w:val="001C0FC7"/>
    <w:rsid w:val="001C54A5"/>
    <w:rsid w:val="001C628E"/>
    <w:rsid w:val="001D70F8"/>
    <w:rsid w:val="001E0F7B"/>
    <w:rsid w:val="001E1EC3"/>
    <w:rsid w:val="001E6364"/>
    <w:rsid w:val="001F5569"/>
    <w:rsid w:val="0020049A"/>
    <w:rsid w:val="002119FD"/>
    <w:rsid w:val="00212B14"/>
    <w:rsid w:val="002130E0"/>
    <w:rsid w:val="00221F46"/>
    <w:rsid w:val="00242449"/>
    <w:rsid w:val="002478E8"/>
    <w:rsid w:val="00247C5F"/>
    <w:rsid w:val="00261755"/>
    <w:rsid w:val="00264425"/>
    <w:rsid w:val="00265875"/>
    <w:rsid w:val="0026646A"/>
    <w:rsid w:val="002727FC"/>
    <w:rsid w:val="0027303B"/>
    <w:rsid w:val="00274A9A"/>
    <w:rsid w:val="0028109B"/>
    <w:rsid w:val="00284D70"/>
    <w:rsid w:val="002A2188"/>
    <w:rsid w:val="002A777D"/>
    <w:rsid w:val="002B0116"/>
    <w:rsid w:val="002B1F58"/>
    <w:rsid w:val="002B4F04"/>
    <w:rsid w:val="002B5BD3"/>
    <w:rsid w:val="002B6B60"/>
    <w:rsid w:val="002C1C7A"/>
    <w:rsid w:val="002C54E2"/>
    <w:rsid w:val="002E63AE"/>
    <w:rsid w:val="002E773C"/>
    <w:rsid w:val="002F47D5"/>
    <w:rsid w:val="0030160F"/>
    <w:rsid w:val="003030CF"/>
    <w:rsid w:val="003074D7"/>
    <w:rsid w:val="00316EC4"/>
    <w:rsid w:val="00320223"/>
    <w:rsid w:val="00322D0D"/>
    <w:rsid w:val="00324DB7"/>
    <w:rsid w:val="00326479"/>
    <w:rsid w:val="00327C76"/>
    <w:rsid w:val="00335B42"/>
    <w:rsid w:val="00341552"/>
    <w:rsid w:val="003476EA"/>
    <w:rsid w:val="0035296E"/>
    <w:rsid w:val="003534F0"/>
    <w:rsid w:val="00361465"/>
    <w:rsid w:val="0037019E"/>
    <w:rsid w:val="00381955"/>
    <w:rsid w:val="003877F5"/>
    <w:rsid w:val="003936D3"/>
    <w:rsid w:val="003942D4"/>
    <w:rsid w:val="00394DFC"/>
    <w:rsid w:val="003958A8"/>
    <w:rsid w:val="00395F57"/>
    <w:rsid w:val="00397160"/>
    <w:rsid w:val="003B1AB5"/>
    <w:rsid w:val="003B29C2"/>
    <w:rsid w:val="003C2533"/>
    <w:rsid w:val="003C71D2"/>
    <w:rsid w:val="003D4238"/>
    <w:rsid w:val="003D50BF"/>
    <w:rsid w:val="003D50FB"/>
    <w:rsid w:val="003D5A7F"/>
    <w:rsid w:val="003E0423"/>
    <w:rsid w:val="003E6C51"/>
    <w:rsid w:val="00400AA7"/>
    <w:rsid w:val="00401E20"/>
    <w:rsid w:val="0040435A"/>
    <w:rsid w:val="00404F61"/>
    <w:rsid w:val="00416A24"/>
    <w:rsid w:val="00420171"/>
    <w:rsid w:val="00427BFF"/>
    <w:rsid w:val="00431D9E"/>
    <w:rsid w:val="00433CE8"/>
    <w:rsid w:val="00434A5C"/>
    <w:rsid w:val="00445A82"/>
    <w:rsid w:val="00453079"/>
    <w:rsid w:val="004544D9"/>
    <w:rsid w:val="00456515"/>
    <w:rsid w:val="00471CAA"/>
    <w:rsid w:val="00472BAD"/>
    <w:rsid w:val="004755BA"/>
    <w:rsid w:val="004811F8"/>
    <w:rsid w:val="00484009"/>
    <w:rsid w:val="00490E72"/>
    <w:rsid w:val="00491157"/>
    <w:rsid w:val="00491BA9"/>
    <w:rsid w:val="004921C8"/>
    <w:rsid w:val="00495B0B"/>
    <w:rsid w:val="004A1B8B"/>
    <w:rsid w:val="004A287C"/>
    <w:rsid w:val="004A3FCC"/>
    <w:rsid w:val="004A4A91"/>
    <w:rsid w:val="004B0A25"/>
    <w:rsid w:val="004B25A1"/>
    <w:rsid w:val="004B3B47"/>
    <w:rsid w:val="004B7BA9"/>
    <w:rsid w:val="004D03EE"/>
    <w:rsid w:val="004D1851"/>
    <w:rsid w:val="004D599D"/>
    <w:rsid w:val="004E2EA5"/>
    <w:rsid w:val="004E3AEB"/>
    <w:rsid w:val="004E4E7B"/>
    <w:rsid w:val="004F0240"/>
    <w:rsid w:val="0050223C"/>
    <w:rsid w:val="00502FB4"/>
    <w:rsid w:val="0050609E"/>
    <w:rsid w:val="005070D9"/>
    <w:rsid w:val="005243FF"/>
    <w:rsid w:val="0052739A"/>
    <w:rsid w:val="005370EC"/>
    <w:rsid w:val="00540711"/>
    <w:rsid w:val="00542BC9"/>
    <w:rsid w:val="00545714"/>
    <w:rsid w:val="00550341"/>
    <w:rsid w:val="00554590"/>
    <w:rsid w:val="00555040"/>
    <w:rsid w:val="00555C48"/>
    <w:rsid w:val="00556316"/>
    <w:rsid w:val="00556687"/>
    <w:rsid w:val="00556BEA"/>
    <w:rsid w:val="005634E0"/>
    <w:rsid w:val="00564FBC"/>
    <w:rsid w:val="00566D8D"/>
    <w:rsid w:val="005702D0"/>
    <w:rsid w:val="005800BC"/>
    <w:rsid w:val="00582442"/>
    <w:rsid w:val="0058393A"/>
    <w:rsid w:val="005A5FDE"/>
    <w:rsid w:val="005A7798"/>
    <w:rsid w:val="005B7949"/>
    <w:rsid w:val="005F1EA1"/>
    <w:rsid w:val="005F3269"/>
    <w:rsid w:val="005F701B"/>
    <w:rsid w:val="00602D78"/>
    <w:rsid w:val="00605A1E"/>
    <w:rsid w:val="0061731C"/>
    <w:rsid w:val="006174A5"/>
    <w:rsid w:val="00623AE3"/>
    <w:rsid w:val="00623E4D"/>
    <w:rsid w:val="00626066"/>
    <w:rsid w:val="0062793F"/>
    <w:rsid w:val="00630C4D"/>
    <w:rsid w:val="00633192"/>
    <w:rsid w:val="00633C1E"/>
    <w:rsid w:val="006351FE"/>
    <w:rsid w:val="00635226"/>
    <w:rsid w:val="00637D10"/>
    <w:rsid w:val="006427CE"/>
    <w:rsid w:val="00644EC6"/>
    <w:rsid w:val="0064737F"/>
    <w:rsid w:val="006512C4"/>
    <w:rsid w:val="006535F1"/>
    <w:rsid w:val="0065557D"/>
    <w:rsid w:val="00660D50"/>
    <w:rsid w:val="00662984"/>
    <w:rsid w:val="006652AB"/>
    <w:rsid w:val="0066624B"/>
    <w:rsid w:val="006663E5"/>
    <w:rsid w:val="00671273"/>
    <w:rsid w:val="006715A8"/>
    <w:rsid w:val="006716BB"/>
    <w:rsid w:val="006719E5"/>
    <w:rsid w:val="00691CDB"/>
    <w:rsid w:val="006A7E85"/>
    <w:rsid w:val="006B1859"/>
    <w:rsid w:val="006B491B"/>
    <w:rsid w:val="006B4A22"/>
    <w:rsid w:val="006B6680"/>
    <w:rsid w:val="006B6DCC"/>
    <w:rsid w:val="006B77F1"/>
    <w:rsid w:val="006C218B"/>
    <w:rsid w:val="006C5ECF"/>
    <w:rsid w:val="006D705B"/>
    <w:rsid w:val="006E6911"/>
    <w:rsid w:val="006F7D73"/>
    <w:rsid w:val="0070032F"/>
    <w:rsid w:val="00702DEF"/>
    <w:rsid w:val="00704286"/>
    <w:rsid w:val="00706861"/>
    <w:rsid w:val="00714FDD"/>
    <w:rsid w:val="00722551"/>
    <w:rsid w:val="00723E8F"/>
    <w:rsid w:val="007249F0"/>
    <w:rsid w:val="007420AB"/>
    <w:rsid w:val="0075051B"/>
    <w:rsid w:val="00750D93"/>
    <w:rsid w:val="00754F74"/>
    <w:rsid w:val="00767991"/>
    <w:rsid w:val="00770CCC"/>
    <w:rsid w:val="0077110E"/>
    <w:rsid w:val="00793188"/>
    <w:rsid w:val="00794D34"/>
    <w:rsid w:val="007A3FCD"/>
    <w:rsid w:val="007B19CF"/>
    <w:rsid w:val="007B5897"/>
    <w:rsid w:val="007B7C6F"/>
    <w:rsid w:val="007C4615"/>
    <w:rsid w:val="007C6C17"/>
    <w:rsid w:val="007D01AF"/>
    <w:rsid w:val="007D35DB"/>
    <w:rsid w:val="007E2FF1"/>
    <w:rsid w:val="007E34FE"/>
    <w:rsid w:val="007E47BE"/>
    <w:rsid w:val="007E5481"/>
    <w:rsid w:val="007E7766"/>
    <w:rsid w:val="00801E19"/>
    <w:rsid w:val="00813769"/>
    <w:rsid w:val="00813E5E"/>
    <w:rsid w:val="00817831"/>
    <w:rsid w:val="00820242"/>
    <w:rsid w:val="00824863"/>
    <w:rsid w:val="00834723"/>
    <w:rsid w:val="0083581B"/>
    <w:rsid w:val="0084159F"/>
    <w:rsid w:val="0084425D"/>
    <w:rsid w:val="008508E6"/>
    <w:rsid w:val="00861909"/>
    <w:rsid w:val="00863874"/>
    <w:rsid w:val="00864AFF"/>
    <w:rsid w:val="00865925"/>
    <w:rsid w:val="008723AB"/>
    <w:rsid w:val="00893BAE"/>
    <w:rsid w:val="00895AC3"/>
    <w:rsid w:val="008B4A6A"/>
    <w:rsid w:val="008C12CD"/>
    <w:rsid w:val="008C3300"/>
    <w:rsid w:val="008C33B7"/>
    <w:rsid w:val="008C340C"/>
    <w:rsid w:val="008C7E27"/>
    <w:rsid w:val="008D513F"/>
    <w:rsid w:val="008D5991"/>
    <w:rsid w:val="008D752A"/>
    <w:rsid w:val="008E385B"/>
    <w:rsid w:val="008E5705"/>
    <w:rsid w:val="008F2119"/>
    <w:rsid w:val="008F7448"/>
    <w:rsid w:val="008F7E76"/>
    <w:rsid w:val="00900CE1"/>
    <w:rsid w:val="0090147A"/>
    <w:rsid w:val="00903B9C"/>
    <w:rsid w:val="00913B40"/>
    <w:rsid w:val="009173EF"/>
    <w:rsid w:val="00920C01"/>
    <w:rsid w:val="00921311"/>
    <w:rsid w:val="00925691"/>
    <w:rsid w:val="00932906"/>
    <w:rsid w:val="00933616"/>
    <w:rsid w:val="00933662"/>
    <w:rsid w:val="00935405"/>
    <w:rsid w:val="00936F54"/>
    <w:rsid w:val="00941002"/>
    <w:rsid w:val="00944511"/>
    <w:rsid w:val="00945CC6"/>
    <w:rsid w:val="00951507"/>
    <w:rsid w:val="00961B0B"/>
    <w:rsid w:val="00962D33"/>
    <w:rsid w:val="009823E7"/>
    <w:rsid w:val="009A491E"/>
    <w:rsid w:val="009A4DBE"/>
    <w:rsid w:val="009A771D"/>
    <w:rsid w:val="009B38C3"/>
    <w:rsid w:val="009B6785"/>
    <w:rsid w:val="009B7944"/>
    <w:rsid w:val="009C2F51"/>
    <w:rsid w:val="009C3336"/>
    <w:rsid w:val="009E17BD"/>
    <w:rsid w:val="009E485A"/>
    <w:rsid w:val="009E58F8"/>
    <w:rsid w:val="009F217B"/>
    <w:rsid w:val="009F4F6E"/>
    <w:rsid w:val="00A015B6"/>
    <w:rsid w:val="00A04CEC"/>
    <w:rsid w:val="00A10B94"/>
    <w:rsid w:val="00A11315"/>
    <w:rsid w:val="00A1149B"/>
    <w:rsid w:val="00A1276B"/>
    <w:rsid w:val="00A147E6"/>
    <w:rsid w:val="00A17B3F"/>
    <w:rsid w:val="00A21144"/>
    <w:rsid w:val="00A2620A"/>
    <w:rsid w:val="00A26FB4"/>
    <w:rsid w:val="00A27F92"/>
    <w:rsid w:val="00A32257"/>
    <w:rsid w:val="00A36D20"/>
    <w:rsid w:val="00A44328"/>
    <w:rsid w:val="00A514A4"/>
    <w:rsid w:val="00A54C18"/>
    <w:rsid w:val="00A55622"/>
    <w:rsid w:val="00A706FF"/>
    <w:rsid w:val="00A71D61"/>
    <w:rsid w:val="00A778B4"/>
    <w:rsid w:val="00A83502"/>
    <w:rsid w:val="00A854BA"/>
    <w:rsid w:val="00A94BAB"/>
    <w:rsid w:val="00AA52C7"/>
    <w:rsid w:val="00AB1EC0"/>
    <w:rsid w:val="00AB3E2A"/>
    <w:rsid w:val="00AC388F"/>
    <w:rsid w:val="00AC3AE8"/>
    <w:rsid w:val="00AC7949"/>
    <w:rsid w:val="00AD15B3"/>
    <w:rsid w:val="00AD3606"/>
    <w:rsid w:val="00AD4A3D"/>
    <w:rsid w:val="00AD677D"/>
    <w:rsid w:val="00AE2E7E"/>
    <w:rsid w:val="00AF1AF3"/>
    <w:rsid w:val="00AF287D"/>
    <w:rsid w:val="00AF6E49"/>
    <w:rsid w:val="00B04A67"/>
    <w:rsid w:val="00B0583C"/>
    <w:rsid w:val="00B1038A"/>
    <w:rsid w:val="00B26BC8"/>
    <w:rsid w:val="00B31B36"/>
    <w:rsid w:val="00B35DDA"/>
    <w:rsid w:val="00B40A81"/>
    <w:rsid w:val="00B44910"/>
    <w:rsid w:val="00B463BF"/>
    <w:rsid w:val="00B51223"/>
    <w:rsid w:val="00B518E3"/>
    <w:rsid w:val="00B53D40"/>
    <w:rsid w:val="00B56DEF"/>
    <w:rsid w:val="00B63F2E"/>
    <w:rsid w:val="00B72267"/>
    <w:rsid w:val="00B73854"/>
    <w:rsid w:val="00B760C5"/>
    <w:rsid w:val="00B76EB6"/>
    <w:rsid w:val="00B7737B"/>
    <w:rsid w:val="00B816CF"/>
    <w:rsid w:val="00B824C8"/>
    <w:rsid w:val="00B84B9D"/>
    <w:rsid w:val="00B9131F"/>
    <w:rsid w:val="00BB0646"/>
    <w:rsid w:val="00BB1917"/>
    <w:rsid w:val="00BB40C6"/>
    <w:rsid w:val="00BB6F1A"/>
    <w:rsid w:val="00BC1422"/>
    <w:rsid w:val="00BC251A"/>
    <w:rsid w:val="00BC2A4D"/>
    <w:rsid w:val="00BC5218"/>
    <w:rsid w:val="00BD032B"/>
    <w:rsid w:val="00BE01C6"/>
    <w:rsid w:val="00BE15FA"/>
    <w:rsid w:val="00BE2640"/>
    <w:rsid w:val="00BE7F6B"/>
    <w:rsid w:val="00BF1FDE"/>
    <w:rsid w:val="00BF4682"/>
    <w:rsid w:val="00C01189"/>
    <w:rsid w:val="00C0458D"/>
    <w:rsid w:val="00C046E2"/>
    <w:rsid w:val="00C060DA"/>
    <w:rsid w:val="00C21DFD"/>
    <w:rsid w:val="00C22F3B"/>
    <w:rsid w:val="00C36712"/>
    <w:rsid w:val="00C3742F"/>
    <w:rsid w:val="00C374DE"/>
    <w:rsid w:val="00C46FDA"/>
    <w:rsid w:val="00C47AD4"/>
    <w:rsid w:val="00C52D81"/>
    <w:rsid w:val="00C5401A"/>
    <w:rsid w:val="00C55198"/>
    <w:rsid w:val="00C56A0F"/>
    <w:rsid w:val="00C6520B"/>
    <w:rsid w:val="00C67DED"/>
    <w:rsid w:val="00C770BD"/>
    <w:rsid w:val="00C80572"/>
    <w:rsid w:val="00C8219F"/>
    <w:rsid w:val="00C87A7D"/>
    <w:rsid w:val="00C9181C"/>
    <w:rsid w:val="00CA2A8A"/>
    <w:rsid w:val="00CA6393"/>
    <w:rsid w:val="00CA7995"/>
    <w:rsid w:val="00CB18FF"/>
    <w:rsid w:val="00CB3EF5"/>
    <w:rsid w:val="00CB4F60"/>
    <w:rsid w:val="00CD0C08"/>
    <w:rsid w:val="00CE03FB"/>
    <w:rsid w:val="00CE2A86"/>
    <w:rsid w:val="00CE3EAD"/>
    <w:rsid w:val="00CE433C"/>
    <w:rsid w:val="00CE5A56"/>
    <w:rsid w:val="00CF0161"/>
    <w:rsid w:val="00CF33F3"/>
    <w:rsid w:val="00CF37AE"/>
    <w:rsid w:val="00CF4A2B"/>
    <w:rsid w:val="00CF5C7C"/>
    <w:rsid w:val="00D024CA"/>
    <w:rsid w:val="00D03E24"/>
    <w:rsid w:val="00D048AD"/>
    <w:rsid w:val="00D06183"/>
    <w:rsid w:val="00D1410C"/>
    <w:rsid w:val="00D2143D"/>
    <w:rsid w:val="00D22C42"/>
    <w:rsid w:val="00D55966"/>
    <w:rsid w:val="00D625B4"/>
    <w:rsid w:val="00D62C99"/>
    <w:rsid w:val="00D65041"/>
    <w:rsid w:val="00D65245"/>
    <w:rsid w:val="00D661FE"/>
    <w:rsid w:val="00D71D73"/>
    <w:rsid w:val="00D77BB0"/>
    <w:rsid w:val="00D807F1"/>
    <w:rsid w:val="00D94808"/>
    <w:rsid w:val="00D94C01"/>
    <w:rsid w:val="00DA03C2"/>
    <w:rsid w:val="00DA1959"/>
    <w:rsid w:val="00DA25B1"/>
    <w:rsid w:val="00DA7A0D"/>
    <w:rsid w:val="00DB1936"/>
    <w:rsid w:val="00DB26F1"/>
    <w:rsid w:val="00DB384B"/>
    <w:rsid w:val="00DB7EAF"/>
    <w:rsid w:val="00DC4DE4"/>
    <w:rsid w:val="00DD11ED"/>
    <w:rsid w:val="00DD5BDB"/>
    <w:rsid w:val="00DF0189"/>
    <w:rsid w:val="00DF0562"/>
    <w:rsid w:val="00DF26C9"/>
    <w:rsid w:val="00E002CA"/>
    <w:rsid w:val="00E02904"/>
    <w:rsid w:val="00E03A90"/>
    <w:rsid w:val="00E05D71"/>
    <w:rsid w:val="00E06825"/>
    <w:rsid w:val="00E06FD5"/>
    <w:rsid w:val="00E10E80"/>
    <w:rsid w:val="00E124F0"/>
    <w:rsid w:val="00E16006"/>
    <w:rsid w:val="00E16A4B"/>
    <w:rsid w:val="00E177D6"/>
    <w:rsid w:val="00E20040"/>
    <w:rsid w:val="00E217E4"/>
    <w:rsid w:val="00E227F3"/>
    <w:rsid w:val="00E34B06"/>
    <w:rsid w:val="00E34D27"/>
    <w:rsid w:val="00E34E57"/>
    <w:rsid w:val="00E3531D"/>
    <w:rsid w:val="00E35791"/>
    <w:rsid w:val="00E545C6"/>
    <w:rsid w:val="00E60F04"/>
    <w:rsid w:val="00E6397D"/>
    <w:rsid w:val="00E65B24"/>
    <w:rsid w:val="00E8141D"/>
    <w:rsid w:val="00E854E4"/>
    <w:rsid w:val="00E86DBF"/>
    <w:rsid w:val="00E901B0"/>
    <w:rsid w:val="00E969AF"/>
    <w:rsid w:val="00E96D06"/>
    <w:rsid w:val="00EA22B4"/>
    <w:rsid w:val="00EA526B"/>
    <w:rsid w:val="00EB0D6F"/>
    <w:rsid w:val="00EB2232"/>
    <w:rsid w:val="00EC1DB7"/>
    <w:rsid w:val="00EC5337"/>
    <w:rsid w:val="00ED04E1"/>
    <w:rsid w:val="00ED1EAE"/>
    <w:rsid w:val="00ED3A6A"/>
    <w:rsid w:val="00ED6297"/>
    <w:rsid w:val="00EE49E8"/>
    <w:rsid w:val="00EE66EF"/>
    <w:rsid w:val="00EE6A50"/>
    <w:rsid w:val="00EF799F"/>
    <w:rsid w:val="00F024C0"/>
    <w:rsid w:val="00F050C1"/>
    <w:rsid w:val="00F058D6"/>
    <w:rsid w:val="00F072E4"/>
    <w:rsid w:val="00F16BAB"/>
    <w:rsid w:val="00F2150A"/>
    <w:rsid w:val="00F231D8"/>
    <w:rsid w:val="00F36770"/>
    <w:rsid w:val="00F40AFF"/>
    <w:rsid w:val="00F41209"/>
    <w:rsid w:val="00F44C00"/>
    <w:rsid w:val="00F45D2C"/>
    <w:rsid w:val="00F46C5F"/>
    <w:rsid w:val="00F5503F"/>
    <w:rsid w:val="00F55C08"/>
    <w:rsid w:val="00F632C0"/>
    <w:rsid w:val="00F641E1"/>
    <w:rsid w:val="00F65EAC"/>
    <w:rsid w:val="00F758A7"/>
    <w:rsid w:val="00F81BE2"/>
    <w:rsid w:val="00F830A2"/>
    <w:rsid w:val="00F922BB"/>
    <w:rsid w:val="00F94A63"/>
    <w:rsid w:val="00FA02A4"/>
    <w:rsid w:val="00FA1C28"/>
    <w:rsid w:val="00FA1D22"/>
    <w:rsid w:val="00FB1279"/>
    <w:rsid w:val="00FB6B76"/>
    <w:rsid w:val="00FB7596"/>
    <w:rsid w:val="00FC7EC9"/>
    <w:rsid w:val="00FD6721"/>
    <w:rsid w:val="00FE4077"/>
    <w:rsid w:val="00FE500D"/>
    <w:rsid w:val="00FE77D2"/>
    <w:rsid w:val="00FF0032"/>
    <w:rsid w:val="00FF39B1"/>
    <w:rsid w:val="00FF4D89"/>
    <w:rsid w:val="325A0E7A"/>
    <w:rsid w:val="37DADF15"/>
    <w:rsid w:val="3AFC65D2"/>
    <w:rsid w:val="3DAC9B65"/>
    <w:rsid w:val="42F3EEB7"/>
    <w:rsid w:val="43FFC1EA"/>
    <w:rsid w:val="46235518"/>
    <w:rsid w:val="6650962A"/>
    <w:rsid w:val="7535ACD2"/>
    <w:rsid w:val="7A9A28BD"/>
    <w:rsid w:val="7C8ECE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048E5"/>
  <w15:docId w15:val="{095992CB-951E-46F8-828A-E2188A25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B9131F"/>
    <w:pPr>
      <w:keepNext/>
      <w:keepLines/>
      <w:spacing w:before="360"/>
      <w:ind w:left="567" w:hanging="567"/>
      <w:outlineLvl w:val="0"/>
    </w:pPr>
    <w:rPr>
      <w:b/>
      <w:sz w:val="28"/>
    </w:rPr>
  </w:style>
  <w:style w:type="paragraph" w:styleId="Heading2">
    <w:name w:val="heading 2"/>
    <w:basedOn w:val="Heading1"/>
    <w:next w:val="Normal"/>
    <w:qFormat/>
    <w:rsid w:val="00B9131F"/>
    <w:pPr>
      <w:spacing w:before="240"/>
      <w:outlineLvl w:val="1"/>
    </w:pPr>
    <w:rPr>
      <w:sz w:val="24"/>
    </w:rPr>
  </w:style>
  <w:style w:type="paragraph" w:styleId="Heading3">
    <w:name w:val="heading 3"/>
    <w:basedOn w:val="Heading1"/>
    <w:next w:val="Normal"/>
    <w:qFormat/>
    <w:rsid w:val="00B9131F"/>
    <w:pPr>
      <w:spacing w:before="200"/>
      <w:outlineLvl w:val="2"/>
    </w:pPr>
    <w:rPr>
      <w:sz w:val="24"/>
    </w:rPr>
  </w:style>
  <w:style w:type="paragraph" w:styleId="Heading4">
    <w:name w:val="heading 4"/>
    <w:basedOn w:val="Heading3"/>
    <w:next w:val="Normal"/>
    <w:qFormat/>
    <w:rsid w:val="00B9131F"/>
    <w:pPr>
      <w:ind w:left="1134" w:hanging="1134"/>
      <w:outlineLvl w:val="3"/>
    </w:pPr>
  </w:style>
  <w:style w:type="paragraph" w:styleId="Heading5">
    <w:name w:val="heading 5"/>
    <w:basedOn w:val="Heading4"/>
    <w:next w:val="Normal"/>
    <w:qFormat/>
    <w:rsid w:val="00B9131F"/>
    <w:pPr>
      <w:outlineLvl w:val="4"/>
    </w:pPr>
  </w:style>
  <w:style w:type="paragraph" w:styleId="Heading6">
    <w:name w:val="heading 6"/>
    <w:basedOn w:val="Heading4"/>
    <w:next w:val="Normal"/>
    <w:qFormat/>
    <w:rsid w:val="00B9131F"/>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B9131F"/>
    <w:pPr>
      <w:ind w:left="1701" w:hanging="1701"/>
      <w:outlineLvl w:val="7"/>
    </w:pPr>
  </w:style>
  <w:style w:type="paragraph" w:styleId="Heading9">
    <w:name w:val="heading 9"/>
    <w:basedOn w:val="Heading4"/>
    <w:next w:val="Normal"/>
    <w:qFormat/>
    <w:rsid w:val="00B9131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0F7289"/>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qFormat/>
    <w:rsid w:val="00F641E1"/>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iPriority w:val="99"/>
    <w:semiHidden/>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paragraph" w:styleId="ListParagraph">
    <w:name w:val="List Paragraph"/>
    <w:basedOn w:val="Normal"/>
    <w:uiPriority w:val="34"/>
    <w:qFormat/>
    <w:rsid w:val="00556687"/>
    <w:pPr>
      <w:ind w:left="720"/>
      <w:contextualSpacing/>
    </w:pPr>
  </w:style>
  <w:style w:type="paragraph" w:customStyle="1" w:styleId="call0">
    <w:name w:val="call"/>
    <w:basedOn w:val="Normal"/>
    <w:next w:val="Normal"/>
    <w:rsid w:val="000D60C8"/>
    <w:pPr>
      <w:keepNext/>
      <w:keepLines/>
      <w:spacing w:before="160"/>
      <w:ind w:left="794" w:hanging="357"/>
    </w:pPr>
    <w:rPr>
      <w:i/>
    </w:rPr>
  </w:style>
  <w:style w:type="paragraph" w:styleId="NormalWeb">
    <w:name w:val="Normal (Web)"/>
    <w:basedOn w:val="Normal"/>
    <w:uiPriority w:val="99"/>
    <w:semiHidden/>
    <w:unhideWhenUsed/>
    <w:rsid w:val="008F211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CommentReference">
    <w:name w:val="annotation reference"/>
    <w:basedOn w:val="DefaultParagraphFont"/>
    <w:semiHidden/>
    <w:unhideWhenUsed/>
    <w:rsid w:val="00861909"/>
    <w:rPr>
      <w:sz w:val="16"/>
      <w:szCs w:val="16"/>
    </w:rPr>
  </w:style>
  <w:style w:type="paragraph" w:styleId="CommentText">
    <w:name w:val="annotation text"/>
    <w:basedOn w:val="Normal"/>
    <w:link w:val="CommentTextChar"/>
    <w:unhideWhenUsed/>
    <w:rsid w:val="00861909"/>
    <w:rPr>
      <w:sz w:val="20"/>
    </w:rPr>
  </w:style>
  <w:style w:type="character" w:customStyle="1" w:styleId="CommentTextChar">
    <w:name w:val="Comment Text Char"/>
    <w:basedOn w:val="DefaultParagraphFont"/>
    <w:link w:val="CommentText"/>
    <w:rsid w:val="00861909"/>
    <w:rPr>
      <w:rFonts w:ascii="Calibri" w:hAnsi="Calibri"/>
      <w:lang w:val="en-GB" w:eastAsia="en-US"/>
    </w:rPr>
  </w:style>
  <w:style w:type="paragraph" w:styleId="CommentSubject">
    <w:name w:val="annotation subject"/>
    <w:basedOn w:val="CommentText"/>
    <w:next w:val="CommentText"/>
    <w:link w:val="CommentSubjectChar"/>
    <w:semiHidden/>
    <w:unhideWhenUsed/>
    <w:rsid w:val="00861909"/>
    <w:rPr>
      <w:b/>
      <w:bCs/>
    </w:rPr>
  </w:style>
  <w:style w:type="character" w:customStyle="1" w:styleId="CommentSubjectChar">
    <w:name w:val="Comment Subject Char"/>
    <w:basedOn w:val="CommentTextChar"/>
    <w:link w:val="CommentSubject"/>
    <w:semiHidden/>
    <w:rsid w:val="00861909"/>
    <w:rPr>
      <w:rFonts w:ascii="Calibri" w:hAnsi="Calibri"/>
      <w:b/>
      <w:bCs/>
      <w:lang w:val="en-GB" w:eastAsia="en-US"/>
    </w:rPr>
  </w:style>
  <w:style w:type="paragraph" w:styleId="Revision">
    <w:name w:val="Revision"/>
    <w:hidden/>
    <w:uiPriority w:val="99"/>
    <w:semiHidden/>
    <w:rsid w:val="00691CDB"/>
    <w:rPr>
      <w:rFonts w:ascii="Calibri" w:hAnsi="Calibri"/>
      <w:sz w:val="24"/>
      <w:lang w:val="en-GB" w:eastAsia="en-US"/>
    </w:rPr>
  </w:style>
  <w:style w:type="character" w:styleId="Mention">
    <w:name w:val="Mention"/>
    <w:basedOn w:val="DefaultParagraphFont"/>
    <w:uiPriority w:val="99"/>
    <w:unhideWhenUsed/>
    <w:rsid w:val="00ED04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191764">
      <w:bodyDiv w:val="1"/>
      <w:marLeft w:val="0"/>
      <w:marRight w:val="0"/>
      <w:marTop w:val="0"/>
      <w:marBottom w:val="0"/>
      <w:divBdr>
        <w:top w:val="none" w:sz="0" w:space="0" w:color="auto"/>
        <w:left w:val="none" w:sz="0" w:space="0" w:color="auto"/>
        <w:bottom w:val="none" w:sz="0" w:space="0" w:color="auto"/>
        <w:right w:val="none" w:sz="0" w:space="0" w:color="auto"/>
      </w:divBdr>
    </w:div>
    <w:div w:id="1977173859">
      <w:bodyDiv w:val="1"/>
      <w:marLeft w:val="0"/>
      <w:marRight w:val="0"/>
      <w:marTop w:val="0"/>
      <w:marBottom w:val="0"/>
      <w:divBdr>
        <w:top w:val="none" w:sz="0" w:space="0" w:color="auto"/>
        <w:left w:val="none" w:sz="0" w:space="0" w:color="auto"/>
        <w:bottom w:val="none" w:sz="0" w:space="0" w:color="auto"/>
        <w:right w:val="none" w:sz="0" w:space="0" w:color="auto"/>
      </w:divBdr>
    </w:div>
    <w:div w:id="212109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6.emf"/><Relationship Id="rId47" Type="http://schemas.openxmlformats.org/officeDocument/2006/relationships/footer" Target="footer1.xml"/><Relationship Id="rId63" Type="http://schemas.openxmlformats.org/officeDocument/2006/relationships/image" Target="media/image45.emf"/><Relationship Id="rId68" Type="http://schemas.openxmlformats.org/officeDocument/2006/relationships/image" Target="media/image50.emf"/><Relationship Id="rId16" Type="http://schemas.openxmlformats.org/officeDocument/2006/relationships/image" Target="media/image2.emf"/><Relationship Id="rId11" Type="http://schemas.openxmlformats.org/officeDocument/2006/relationships/hyperlink" Target="https://www.itu.int/en/council/Documents/basic-texts-2023/DEC-005-E.pdf" TargetMode="External"/><Relationship Id="rId32" Type="http://schemas.openxmlformats.org/officeDocument/2006/relationships/image" Target="media/image17.emf"/><Relationship Id="rId37" Type="http://schemas.openxmlformats.org/officeDocument/2006/relationships/image" Target="media/image21.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yperlink" Target="https://www.itu.int/md/S25-CL-C-0064/en"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header" Target="header1.xml"/><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header" Target="header3.xml"/><Relationship Id="rId8" Type="http://schemas.openxmlformats.org/officeDocument/2006/relationships/hyperlink" Target="https://www.itu.int/md/S25-CL-C-0064/en" TargetMode="Externa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itu.int/en/council/Documents/basic-texts-2023/RES-071-E.pdf"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6.emf"/><Relationship Id="rId41" Type="http://schemas.openxmlformats.org/officeDocument/2006/relationships/image" Target="media/image25.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header" Target="head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footer" Target="footer2.xml"/><Relationship Id="rId57" Type="http://schemas.openxmlformats.org/officeDocument/2006/relationships/image" Target="media/image39.emf"/><Relationship Id="rId10" Type="http://schemas.openxmlformats.org/officeDocument/2006/relationships/hyperlink" Target="https://www.itu.int/en/council/Documents/basic-texts-2023/Convention-E.pdf" TargetMode="External"/><Relationship Id="rId31" Type="http://schemas.openxmlformats.org/officeDocument/2006/relationships/hyperlink" Target="https://www.itu.int/md/S25-CWGFHR20-C-0008/en" TargetMode="External"/><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footer" Target="footer4.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itu.int/en/council/Documents/basic-texts-2023/Constitution-E.pdf" TargetMode="External"/><Relationship Id="rId13" Type="http://schemas.openxmlformats.org/officeDocument/2006/relationships/hyperlink" Target="https://www.itu.int/en/council/Documents/basic-texts-2023/RES-151-E.pdf" TargetMode="External"/><Relationship Id="rId18" Type="http://schemas.openxmlformats.org/officeDocument/2006/relationships/image" Target="media/image4.emf"/><Relationship Id="rId39" Type="http://schemas.openxmlformats.org/officeDocument/2006/relationships/image" Target="media/image23.emf"/><Relationship Id="rId34" Type="http://schemas.openxmlformats.org/officeDocument/2006/relationships/hyperlink" Target="https://www.itu.int/md/S25-CL-C-0064/en" TargetMode="External"/><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47</Pages>
  <Words>3725</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Council 2025</vt:lpstr>
    </vt:vector>
  </TitlesOfParts>
  <Manager>General Secretariat</Manager>
  <Company>International Telecommunication Union (ITU)</Company>
  <LinksUpToDate>false</LinksUpToDate>
  <CharactersWithSpaces>24638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biennial budget of the Union for 2026-2027</dc:title>
  <dc:subject>Council 2025</dc:subject>
  <dc:creator>LRT</dc:creator>
  <cp:keywords>C25; C2025; Council 2025; ITU160</cp:keywords>
  <dc:description/>
  <cp:lastModifiedBy>GBS</cp:lastModifiedBy>
  <cp:revision>5</cp:revision>
  <cp:lastPrinted>2000-07-18T19:30:00Z</cp:lastPrinted>
  <dcterms:created xsi:type="dcterms:W3CDTF">2025-04-29T15:14:00Z</dcterms:created>
  <dcterms:modified xsi:type="dcterms:W3CDTF">2025-04-29T18:33:00Z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ies>
</file>