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769D338D" w:rsidR="00AD3606" w:rsidRPr="00C0458D" w:rsidRDefault="000F104D"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sidR="0084288C">
              <w:rPr>
                <w:b/>
                <w:bCs/>
                <w:color w:val="000000"/>
                <w:lang w:val="zh-CN"/>
              </w:rPr>
              <w:t>ADM</w:t>
            </w:r>
            <w:r w:rsidR="003446A7">
              <w:rPr>
                <w:b/>
                <w:bCs/>
                <w:color w:val="000000"/>
                <w:lang w:val="en-US"/>
              </w:rPr>
              <w:t xml:space="preserve"> </w:t>
            </w:r>
            <w:r w:rsidR="0084288C">
              <w:rPr>
                <w:b/>
                <w:bCs/>
                <w:color w:val="000000"/>
                <w:lang w:val="zh-CN"/>
              </w:rPr>
              <w:t>1</w:t>
            </w:r>
          </w:p>
        </w:tc>
        <w:tc>
          <w:tcPr>
            <w:tcW w:w="5245" w:type="dxa"/>
          </w:tcPr>
          <w:p w14:paraId="6779937E" w14:textId="40FF377D" w:rsidR="00AD3606" w:rsidRPr="00C0458D" w:rsidRDefault="00791B97" w:rsidP="00472BAD">
            <w:pPr>
              <w:tabs>
                <w:tab w:val="left" w:pos="851"/>
              </w:tabs>
              <w:spacing w:before="0" w:line="240" w:lineRule="atLeast"/>
              <w:jc w:val="right"/>
              <w:rPr>
                <w:b/>
                <w:lang w:eastAsia="zh-CN"/>
              </w:rPr>
            </w:pPr>
            <w:r>
              <w:rPr>
                <w:rFonts w:hint="eastAsia"/>
                <w:b/>
                <w:lang w:eastAsia="zh-CN"/>
              </w:rPr>
              <w:t>文件</w:t>
            </w:r>
            <w:r w:rsidR="003446A7">
              <w:rPr>
                <w:b/>
                <w:lang w:eastAsia="zh-CN"/>
              </w:rPr>
              <w:t xml:space="preserve"> </w:t>
            </w:r>
            <w:r w:rsidR="00AD3606" w:rsidRPr="00C0458D">
              <w:rPr>
                <w:b/>
              </w:rPr>
              <w:t>C2</w:t>
            </w:r>
            <w:r w:rsidR="00BF1FDE" w:rsidRPr="00C0458D">
              <w:rPr>
                <w:b/>
              </w:rPr>
              <w:t>5</w:t>
            </w:r>
            <w:r w:rsidR="00AD3606" w:rsidRPr="00C0458D">
              <w:rPr>
                <w:b/>
              </w:rPr>
              <w:t>/</w:t>
            </w:r>
            <w:r w:rsidR="0084288C">
              <w:rPr>
                <w:b/>
              </w:rPr>
              <w:t>47</w:t>
            </w:r>
            <w:r w:rsidR="00AD3606" w:rsidRPr="00C0458D">
              <w:rPr>
                <w:b/>
              </w:rPr>
              <w:t>-</w:t>
            </w:r>
            <w:r>
              <w:rPr>
                <w:rFonts w:hint="eastAsia"/>
                <w:b/>
                <w:lang w:eastAsia="zh-CN"/>
              </w:rPr>
              <w:t>C</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6A01F32D" w:rsidR="00AD3606" w:rsidRPr="00C0458D" w:rsidRDefault="00007948" w:rsidP="00AD3606">
            <w:pPr>
              <w:tabs>
                <w:tab w:val="left" w:pos="851"/>
              </w:tabs>
              <w:spacing w:before="0"/>
              <w:jc w:val="right"/>
              <w:rPr>
                <w:b/>
              </w:rPr>
            </w:pPr>
            <w:r>
              <w:rPr>
                <w:b/>
              </w:rPr>
              <w:t>2025</w:t>
            </w:r>
            <w:r w:rsidR="00791B97">
              <w:rPr>
                <w:rFonts w:hint="eastAsia"/>
                <w:b/>
                <w:lang w:eastAsia="zh-CN"/>
              </w:rPr>
              <w:t>年</w:t>
            </w:r>
            <w:r w:rsidR="0084288C">
              <w:rPr>
                <w:b/>
                <w:lang w:eastAsia="zh-CN"/>
              </w:rPr>
              <w:t>4</w:t>
            </w:r>
            <w:r w:rsidR="00791B97">
              <w:rPr>
                <w:rFonts w:hint="eastAsia"/>
                <w:b/>
                <w:lang w:eastAsia="zh-CN"/>
              </w:rPr>
              <w:t>月</w:t>
            </w:r>
            <w:r w:rsidR="0084288C">
              <w:rPr>
                <w:rFonts w:hint="eastAsia"/>
                <w:b/>
                <w:lang w:eastAsia="zh-CN"/>
              </w:rPr>
              <w:t>2</w:t>
            </w:r>
            <w:r w:rsidR="0084288C">
              <w:rPr>
                <w:b/>
                <w:lang w:eastAsia="zh-CN"/>
              </w:rPr>
              <w:t>9</w:t>
            </w:r>
            <w:r w:rsidR="00791B97">
              <w:rPr>
                <w:rFonts w:hint="eastAsia"/>
                <w:b/>
                <w:lang w:eastAsia="zh-CN"/>
              </w:rPr>
              <w:t>日</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1773AF56" w:rsidR="00AD3606" w:rsidRPr="00C0458D" w:rsidRDefault="00791B97" w:rsidP="00AD3606">
            <w:pPr>
              <w:tabs>
                <w:tab w:val="left" w:pos="851"/>
              </w:tabs>
              <w:spacing w:before="0" w:line="240" w:lineRule="atLeast"/>
              <w:jc w:val="right"/>
              <w:rPr>
                <w:b/>
                <w:lang w:eastAsia="zh-CN"/>
              </w:rPr>
            </w:pPr>
            <w:r>
              <w:rPr>
                <w:rFonts w:hint="eastAsia"/>
                <w:b/>
                <w:lang w:eastAsia="zh-CN"/>
              </w:rPr>
              <w:t>原文：英文</w:t>
            </w:r>
          </w:p>
        </w:tc>
      </w:tr>
      <w:tr w:rsidR="00472BAD" w:rsidRPr="00C0458D" w14:paraId="14DA91C4" w14:textId="77777777" w:rsidTr="00AD3606">
        <w:trPr>
          <w:cantSplit/>
          <w:trHeight w:val="23"/>
        </w:trPr>
        <w:tc>
          <w:tcPr>
            <w:tcW w:w="3969" w:type="dxa"/>
          </w:tcPr>
          <w:p w14:paraId="5858B25D" w14:textId="29F7EE76"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2818C62C" w:rsidR="00AD3606" w:rsidRPr="000F7289" w:rsidRDefault="00791B97" w:rsidP="000F7289">
            <w:pPr>
              <w:pStyle w:val="Source"/>
              <w:framePr w:hSpace="0" w:wrap="auto" w:vAnchor="margin" w:hAnchor="text" w:xAlign="left" w:yAlign="inline"/>
            </w:pPr>
            <w:bookmarkStart w:id="8" w:name="dsource" w:colFirst="0" w:colLast="0"/>
            <w:bookmarkEnd w:id="7"/>
            <w:r>
              <w:rPr>
                <w:rFonts w:hint="eastAsia"/>
                <w:lang w:eastAsia="zh-CN"/>
              </w:rPr>
              <w:t>秘书长的报告</w:t>
            </w:r>
          </w:p>
        </w:tc>
      </w:tr>
      <w:tr w:rsidR="00AD3606" w:rsidRPr="00C0458D" w14:paraId="3A759762" w14:textId="77777777" w:rsidTr="00AD3606">
        <w:trPr>
          <w:cantSplit/>
        </w:trPr>
        <w:tc>
          <w:tcPr>
            <w:tcW w:w="9214" w:type="dxa"/>
            <w:gridSpan w:val="2"/>
            <w:tcMar>
              <w:left w:w="0" w:type="dxa"/>
            </w:tcMar>
          </w:tcPr>
          <w:p w14:paraId="2A2DCF47" w14:textId="2CAFDEFA" w:rsidR="00AD3606" w:rsidRPr="000F7289" w:rsidRDefault="0084288C" w:rsidP="000F7289">
            <w:pPr>
              <w:pStyle w:val="Subtitle"/>
              <w:framePr w:hSpace="0" w:wrap="auto" w:xAlign="left" w:yAlign="inline"/>
              <w:rPr>
                <w:lang w:eastAsia="zh-CN"/>
              </w:rPr>
            </w:pPr>
            <w:bookmarkStart w:id="9" w:name="dtitle1" w:colFirst="0" w:colLast="0"/>
            <w:bookmarkEnd w:id="8"/>
            <w:r>
              <w:rPr>
                <w:color w:val="000000"/>
                <w:lang w:val="zh-CN" w:eastAsia="zh-CN"/>
              </w:rPr>
              <w:t>国际电联</w:t>
            </w:r>
            <w:r>
              <w:rPr>
                <w:color w:val="000000"/>
                <w:lang w:val="zh-CN" w:eastAsia="zh-CN"/>
              </w:rPr>
              <w:t>2026-2027</w:t>
            </w:r>
            <w:r>
              <w:rPr>
                <w:color w:val="000000"/>
                <w:lang w:val="zh-CN" w:eastAsia="zh-CN"/>
              </w:rPr>
              <w:t>年双年度预算草案</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5D39699" w:rsidR="00AD3606" w:rsidRPr="00C0458D" w:rsidRDefault="00791B97" w:rsidP="00F16BAB">
            <w:pPr>
              <w:spacing w:before="160"/>
              <w:rPr>
                <w:b/>
                <w:bCs/>
                <w:sz w:val="26"/>
                <w:szCs w:val="26"/>
                <w:lang w:eastAsia="zh-CN"/>
              </w:rPr>
            </w:pPr>
            <w:r>
              <w:rPr>
                <w:rFonts w:hint="eastAsia"/>
                <w:b/>
                <w:bCs/>
                <w:sz w:val="26"/>
                <w:szCs w:val="26"/>
                <w:lang w:eastAsia="zh-CN"/>
              </w:rPr>
              <w:t>目的</w:t>
            </w:r>
          </w:p>
          <w:p w14:paraId="67D070EA" w14:textId="0F4EDA7F" w:rsidR="00AD3606" w:rsidRPr="00C0458D" w:rsidRDefault="0084288C" w:rsidP="00235FC4">
            <w:pPr>
              <w:ind w:firstLineChars="200" w:firstLine="480"/>
              <w:rPr>
                <w:lang w:eastAsia="zh-CN"/>
              </w:rPr>
            </w:pPr>
            <w:r>
              <w:rPr>
                <w:color w:val="000000"/>
                <w:lang w:val="zh-CN" w:eastAsia="zh-CN"/>
              </w:rPr>
              <w:t>本文件介绍了国际电联</w:t>
            </w:r>
            <w:r>
              <w:rPr>
                <w:color w:val="000000"/>
                <w:lang w:val="zh-CN" w:eastAsia="zh-CN"/>
              </w:rPr>
              <w:t>2026-2027</w:t>
            </w:r>
            <w:r>
              <w:rPr>
                <w:color w:val="000000"/>
                <w:lang w:val="zh-CN" w:eastAsia="zh-CN"/>
              </w:rPr>
              <w:t>年双年度预算草案。它以该期间的国际电联战略规划为基础，反映了执行全权代表大会（</w:t>
            </w:r>
            <w:r>
              <w:rPr>
                <w:color w:val="000000"/>
                <w:lang w:val="zh-CN" w:eastAsia="zh-CN"/>
              </w:rPr>
              <w:t>2022</w:t>
            </w:r>
            <w:r>
              <w:rPr>
                <w:color w:val="000000"/>
                <w:lang w:val="zh-CN" w:eastAsia="zh-CN"/>
              </w:rPr>
              <w:t>年，布加勒斯特）和国际电联理事会以往会议通过的各项决定和决议的财务影响。该预算还以</w:t>
            </w:r>
            <w:r w:rsidR="00BC284D">
              <w:rPr>
                <w:color w:val="000000"/>
                <w:lang w:val="zh-CN" w:eastAsia="zh-CN"/>
              </w:rPr>
              <w:t>批准</w:t>
            </w:r>
            <w:hyperlink r:id="rId11" w:history="1">
              <w:proofErr w:type="spellStart"/>
              <w:r w:rsidR="00BC284D">
                <w:rPr>
                  <w:rStyle w:val="Hyperlink"/>
                  <w:lang w:val="en-US" w:eastAsia="zh-CN"/>
                </w:rPr>
                <w:t>C25</w:t>
              </w:r>
              <w:proofErr w:type="spellEnd"/>
              <w:r w:rsidR="00BC284D">
                <w:rPr>
                  <w:rStyle w:val="Hyperlink"/>
                  <w:lang w:val="en-US" w:eastAsia="zh-CN"/>
                </w:rPr>
                <w:t>/64</w:t>
              </w:r>
            </w:hyperlink>
            <w:r>
              <w:rPr>
                <w:color w:val="000000"/>
                <w:lang w:val="zh-CN" w:eastAsia="zh-CN"/>
              </w:rPr>
              <w:t>号文件</w:t>
            </w:r>
            <w:r w:rsidR="00BC284D">
              <w:rPr>
                <w:rFonts w:hint="eastAsia"/>
                <w:color w:val="000000"/>
                <w:lang w:val="zh-CN" w:eastAsia="zh-CN"/>
              </w:rPr>
              <w:t>中</w:t>
            </w:r>
            <w:r>
              <w:rPr>
                <w:color w:val="000000"/>
                <w:lang w:val="zh-CN" w:eastAsia="zh-CN"/>
              </w:rPr>
              <w:t>的卫星网络申报</w:t>
            </w:r>
            <w:r w:rsidR="00BC284D">
              <w:rPr>
                <w:rFonts w:hint="eastAsia"/>
                <w:color w:val="000000"/>
                <w:lang w:val="zh-CN" w:eastAsia="zh-CN"/>
              </w:rPr>
              <w:t>资料</w:t>
            </w:r>
            <w:r>
              <w:rPr>
                <w:color w:val="000000"/>
                <w:lang w:val="zh-CN" w:eastAsia="zh-CN"/>
              </w:rPr>
              <w:t>（</w:t>
            </w:r>
            <w:r>
              <w:rPr>
                <w:color w:val="000000"/>
                <w:lang w:val="zh-CN" w:eastAsia="zh-CN"/>
              </w:rPr>
              <w:t>SNF</w:t>
            </w:r>
            <w:r>
              <w:rPr>
                <w:color w:val="000000"/>
                <w:lang w:val="zh-CN" w:eastAsia="zh-CN"/>
              </w:rPr>
              <w:t>）的</w:t>
            </w:r>
            <w:r w:rsidR="00BC284D">
              <w:rPr>
                <w:rFonts w:hint="eastAsia"/>
                <w:color w:val="000000"/>
                <w:lang w:val="zh-CN" w:eastAsia="zh-CN"/>
              </w:rPr>
              <w:t>成本</w:t>
            </w:r>
            <w:r>
              <w:rPr>
                <w:color w:val="000000"/>
                <w:lang w:val="zh-CN" w:eastAsia="zh-CN"/>
              </w:rPr>
              <w:t>回收水平为前提。</w:t>
            </w:r>
            <w:r>
              <w:rPr>
                <w:color w:val="000000"/>
                <w:lang w:val="zh-CN" w:eastAsia="zh-CN"/>
              </w:rPr>
              <w:t>2028-2029</w:t>
            </w:r>
            <w:r>
              <w:rPr>
                <w:color w:val="000000"/>
                <w:lang w:val="zh-CN" w:eastAsia="zh-CN"/>
              </w:rPr>
              <w:t>年的预测见本文件</w:t>
            </w:r>
            <w:hyperlink w:anchor="Annex_C" w:history="1">
              <w:r w:rsidR="00BC284D">
                <w:rPr>
                  <w:rStyle w:val="Hyperlink"/>
                  <w:lang w:val="en-US" w:eastAsia="zh-CN"/>
                </w:rPr>
                <w:t>附件</w:t>
              </w:r>
              <w:r w:rsidR="00BC284D">
                <w:rPr>
                  <w:rStyle w:val="Hyperlink"/>
                  <w:lang w:val="en-US" w:eastAsia="zh-CN"/>
                </w:rPr>
                <w:t>C</w:t>
              </w:r>
            </w:hyperlink>
            <w:r>
              <w:rPr>
                <w:color w:val="000000"/>
                <w:lang w:val="zh-CN" w:eastAsia="zh-CN"/>
              </w:rPr>
              <w:t>。</w:t>
            </w:r>
          </w:p>
          <w:p w14:paraId="4288AA6F" w14:textId="0BCE77A9" w:rsidR="00AD3606" w:rsidRDefault="00791B97" w:rsidP="00F16BAB">
            <w:pPr>
              <w:spacing w:before="160"/>
              <w:rPr>
                <w:b/>
                <w:bCs/>
                <w:sz w:val="26"/>
                <w:szCs w:val="26"/>
                <w:lang w:eastAsia="zh-CN"/>
              </w:rPr>
            </w:pPr>
            <w:r w:rsidRPr="00791B97">
              <w:rPr>
                <w:rFonts w:hint="eastAsia"/>
                <w:b/>
                <w:bCs/>
                <w:sz w:val="26"/>
                <w:szCs w:val="26"/>
                <w:lang w:eastAsia="zh-CN"/>
              </w:rPr>
              <w:t>理事会需采取的行动</w:t>
            </w:r>
          </w:p>
          <w:p w14:paraId="0FFF2D9B" w14:textId="6FADA0B5" w:rsidR="00722551" w:rsidRDefault="0084288C" w:rsidP="000F104D">
            <w:pPr>
              <w:ind w:firstLineChars="200" w:firstLine="480"/>
              <w:rPr>
                <w:lang w:val="en-US" w:eastAsia="zh-CN"/>
              </w:rPr>
            </w:pPr>
            <w:r>
              <w:rPr>
                <w:color w:val="000000"/>
                <w:lang w:val="zh-CN" w:eastAsia="zh-CN"/>
              </w:rPr>
              <w:t>请理事会</w:t>
            </w:r>
            <w:r w:rsidRPr="00BC284D">
              <w:rPr>
                <w:b/>
                <w:bCs/>
                <w:color w:val="000000"/>
                <w:lang w:val="zh-CN" w:eastAsia="zh-CN"/>
              </w:rPr>
              <w:t>审议</w:t>
            </w:r>
            <w:r>
              <w:rPr>
                <w:color w:val="000000"/>
                <w:lang w:val="zh-CN" w:eastAsia="zh-CN"/>
              </w:rPr>
              <w:t>国际电联</w:t>
            </w:r>
            <w:r>
              <w:rPr>
                <w:color w:val="000000"/>
                <w:lang w:val="zh-CN" w:eastAsia="zh-CN"/>
              </w:rPr>
              <w:t>2026-2027</w:t>
            </w:r>
            <w:r>
              <w:rPr>
                <w:color w:val="000000"/>
                <w:lang w:val="zh-CN" w:eastAsia="zh-CN"/>
              </w:rPr>
              <w:t>双年度预算草案，并批准本文件</w:t>
            </w:r>
            <w:hyperlink w:anchor="Annex_A" w:history="1">
              <w:r w:rsidR="00BC284D">
                <w:rPr>
                  <w:rStyle w:val="Hyperlink"/>
                  <w:lang w:val="en-US" w:eastAsia="zh-CN"/>
                </w:rPr>
                <w:t>附件</w:t>
              </w:r>
              <w:r w:rsidR="00BC284D">
                <w:rPr>
                  <w:rStyle w:val="Hyperlink"/>
                  <w:lang w:val="en-US" w:eastAsia="zh-CN"/>
                </w:rPr>
                <w:t>A</w:t>
              </w:r>
            </w:hyperlink>
            <w:r>
              <w:rPr>
                <w:color w:val="000000"/>
                <w:lang w:val="zh-CN" w:eastAsia="zh-CN"/>
              </w:rPr>
              <w:t>中的决议草案。</w:t>
            </w:r>
          </w:p>
          <w:p w14:paraId="7BB41EC2" w14:textId="77777777" w:rsidR="000F104D" w:rsidRDefault="000F104D" w:rsidP="000F104D">
            <w:pPr>
              <w:spacing w:before="160"/>
              <w:rPr>
                <w:b/>
                <w:bCs/>
                <w:sz w:val="26"/>
                <w:szCs w:val="26"/>
                <w:lang w:eastAsia="zh-CN"/>
              </w:rPr>
            </w:pPr>
            <w:r w:rsidRPr="00A12D70">
              <w:rPr>
                <w:rFonts w:hint="eastAsia"/>
                <w:b/>
                <w:bCs/>
                <w:sz w:val="26"/>
                <w:szCs w:val="26"/>
                <w:lang w:eastAsia="zh-CN"/>
              </w:rPr>
              <w:t>与《战略规划》的关联</w:t>
            </w:r>
          </w:p>
          <w:p w14:paraId="480CE100" w14:textId="06648ADD" w:rsidR="000F104D" w:rsidRPr="00F16BAB" w:rsidRDefault="0084288C" w:rsidP="000F104D">
            <w:pPr>
              <w:ind w:firstLineChars="200" w:firstLine="480"/>
              <w:rPr>
                <w:lang w:eastAsia="zh-CN"/>
              </w:rPr>
            </w:pPr>
            <w:r>
              <w:rPr>
                <w:color w:val="000000"/>
                <w:lang w:val="zh-CN" w:eastAsia="zh-CN"/>
              </w:rPr>
              <w:t>国际</w:t>
            </w:r>
            <w:proofErr w:type="gramStart"/>
            <w:r>
              <w:rPr>
                <w:color w:val="000000"/>
                <w:lang w:val="zh-CN" w:eastAsia="zh-CN"/>
              </w:rPr>
              <w:t>电联双年度</w:t>
            </w:r>
            <w:proofErr w:type="gramEnd"/>
            <w:r>
              <w:rPr>
                <w:color w:val="000000"/>
                <w:lang w:val="zh-CN" w:eastAsia="zh-CN"/>
              </w:rPr>
              <w:t>预算草案为国际电联战略规划的两项总体目标和五</w:t>
            </w:r>
            <w:r w:rsidR="00BC284D">
              <w:rPr>
                <w:rFonts w:hint="eastAsia"/>
                <w:color w:val="000000"/>
                <w:lang w:val="zh-CN" w:eastAsia="zh-CN"/>
              </w:rPr>
              <w:t>项</w:t>
            </w:r>
            <w:r w:rsidR="00CC0735">
              <w:rPr>
                <w:rFonts w:hint="eastAsia"/>
                <w:color w:val="000000"/>
                <w:lang w:val="zh-CN" w:eastAsia="zh-CN"/>
              </w:rPr>
              <w:t>重点</w:t>
            </w:r>
            <w:r w:rsidR="00BC284D">
              <w:rPr>
                <w:rFonts w:hint="eastAsia"/>
                <w:color w:val="000000"/>
                <w:lang w:val="zh-CN" w:eastAsia="zh-CN"/>
              </w:rPr>
              <w:t>工作</w:t>
            </w:r>
            <w:r>
              <w:rPr>
                <w:color w:val="000000"/>
                <w:lang w:val="zh-CN" w:eastAsia="zh-CN"/>
              </w:rPr>
              <w:t>提供资金。</w:t>
            </w:r>
          </w:p>
          <w:p w14:paraId="3120A5D3" w14:textId="77777777" w:rsidR="000F104D" w:rsidRDefault="000F104D" w:rsidP="000F104D">
            <w:pPr>
              <w:spacing w:before="160"/>
              <w:rPr>
                <w:b/>
                <w:bCs/>
                <w:sz w:val="26"/>
                <w:szCs w:val="26"/>
                <w:lang w:eastAsia="zh-CN"/>
              </w:rPr>
            </w:pPr>
            <w:r>
              <w:rPr>
                <w:rFonts w:hint="eastAsia"/>
                <w:b/>
                <w:bCs/>
                <w:sz w:val="26"/>
                <w:szCs w:val="26"/>
                <w:lang w:eastAsia="zh-CN"/>
              </w:rPr>
              <w:t>财务影响</w:t>
            </w:r>
          </w:p>
          <w:p w14:paraId="4C866DE9" w14:textId="30BA7DDE" w:rsidR="000F104D" w:rsidRPr="00453079" w:rsidRDefault="0084288C" w:rsidP="000F104D">
            <w:pPr>
              <w:spacing w:before="160"/>
              <w:ind w:firstLineChars="200" w:firstLine="480"/>
              <w:rPr>
                <w:szCs w:val="24"/>
                <w:lang w:eastAsia="zh-CN"/>
              </w:rPr>
            </w:pPr>
            <w:r>
              <w:rPr>
                <w:color w:val="000000"/>
                <w:lang w:val="zh-CN" w:eastAsia="zh-CN"/>
              </w:rPr>
              <w:t>国际电联</w:t>
            </w:r>
            <w:r>
              <w:rPr>
                <w:color w:val="000000"/>
                <w:lang w:val="zh-CN" w:eastAsia="zh-CN"/>
              </w:rPr>
              <w:t>2026-2027</w:t>
            </w:r>
            <w:r>
              <w:rPr>
                <w:color w:val="000000"/>
                <w:lang w:val="zh-CN" w:eastAsia="zh-CN"/>
              </w:rPr>
              <w:t>年双年度预算草案</w:t>
            </w:r>
            <w:r w:rsidR="00231948">
              <w:rPr>
                <w:rFonts w:hint="eastAsia"/>
                <w:color w:val="000000"/>
                <w:lang w:val="zh-CN" w:eastAsia="zh-CN"/>
              </w:rPr>
              <w:t>收支</w:t>
            </w:r>
            <w:r>
              <w:rPr>
                <w:color w:val="000000"/>
                <w:lang w:val="zh-CN" w:eastAsia="zh-CN"/>
              </w:rPr>
              <w:t>平衡</w:t>
            </w:r>
            <w:r w:rsidR="000F104D">
              <w:rPr>
                <w:rFonts w:hint="eastAsia"/>
                <w:szCs w:val="24"/>
                <w:lang w:eastAsia="zh-CN"/>
              </w:rPr>
              <w:t>。</w:t>
            </w:r>
          </w:p>
          <w:p w14:paraId="08939791" w14:textId="77777777" w:rsidR="00C0458D" w:rsidRDefault="00C0458D">
            <w:pPr>
              <w:rPr>
                <w:lang w:eastAsia="zh-CN"/>
              </w:rPr>
            </w:pPr>
            <w:r>
              <w:rPr>
                <w:lang w:eastAsia="zh-CN"/>
              </w:rPr>
              <w:t>_______________</w:t>
            </w:r>
          </w:p>
          <w:p w14:paraId="212A584A" w14:textId="0026C8C6" w:rsidR="00AD3606" w:rsidRPr="00C0458D" w:rsidRDefault="00791B97" w:rsidP="00F16BAB">
            <w:pPr>
              <w:spacing w:before="160"/>
              <w:rPr>
                <w:b/>
                <w:bCs/>
                <w:sz w:val="26"/>
                <w:szCs w:val="26"/>
                <w:lang w:eastAsia="zh-CN"/>
              </w:rPr>
            </w:pPr>
            <w:r>
              <w:rPr>
                <w:rFonts w:hint="eastAsia"/>
                <w:b/>
                <w:bCs/>
                <w:sz w:val="26"/>
                <w:szCs w:val="26"/>
                <w:lang w:eastAsia="zh-CN"/>
              </w:rPr>
              <w:t>参考资料</w:t>
            </w:r>
          </w:p>
          <w:p w14:paraId="1B222B79" w14:textId="55C6A39F" w:rsidR="0084288C" w:rsidRPr="00CE3E2A" w:rsidRDefault="0084288C" w:rsidP="0084288C">
            <w:pPr>
              <w:spacing w:before="160"/>
              <w:rPr>
                <w:rFonts w:asciiTheme="minorHAnsi" w:eastAsia="STKaiti" w:hAnsiTheme="minorHAnsi" w:cstheme="minorHAnsi"/>
                <w:szCs w:val="24"/>
                <w:lang w:eastAsia="zh-CN"/>
              </w:rPr>
            </w:pPr>
            <w:hyperlink r:id="rId12" w:history="1">
              <w:r w:rsidRPr="00CE3E2A">
                <w:rPr>
                  <w:rStyle w:val="Hyperlink"/>
                  <w:rFonts w:asciiTheme="minorHAnsi" w:eastAsia="STKaiti" w:hAnsiTheme="minorHAnsi" w:cstheme="minorHAnsi"/>
                  <w:szCs w:val="24"/>
                  <w:lang w:eastAsia="zh-CN"/>
                </w:rPr>
                <w:t>《组织法》第</w:t>
              </w:r>
              <w:r w:rsidRPr="00CE3E2A">
                <w:rPr>
                  <w:rStyle w:val="Hyperlink"/>
                  <w:rFonts w:asciiTheme="minorHAnsi" w:eastAsia="STKaiti" w:hAnsiTheme="minorHAnsi" w:cstheme="minorHAnsi"/>
                  <w:szCs w:val="24"/>
                  <w:lang w:eastAsia="zh-CN"/>
                </w:rPr>
                <w:t>28</w:t>
              </w:r>
              <w:r w:rsidRPr="00CE3E2A">
                <w:rPr>
                  <w:rStyle w:val="Hyperlink"/>
                  <w:rFonts w:asciiTheme="minorHAnsi" w:eastAsia="STKaiti" w:hAnsiTheme="minorHAnsi" w:cstheme="minorHAnsi"/>
                  <w:szCs w:val="24"/>
                  <w:lang w:eastAsia="zh-CN"/>
                </w:rPr>
                <w:t>条</w:t>
              </w:r>
            </w:hyperlink>
            <w:r w:rsidRPr="00CE3E2A">
              <w:rPr>
                <w:rFonts w:asciiTheme="minorHAnsi" w:eastAsia="STKaiti" w:hAnsiTheme="minorHAnsi" w:cstheme="minorHAnsi"/>
                <w:szCs w:val="24"/>
                <w:lang w:eastAsia="zh-CN"/>
              </w:rPr>
              <w:t>、</w:t>
            </w:r>
            <w:hyperlink r:id="rId13" w:history="1">
              <w:r w:rsidRPr="00CE3E2A">
                <w:rPr>
                  <w:rStyle w:val="Hyperlink"/>
                  <w:rFonts w:asciiTheme="minorHAnsi" w:eastAsia="STKaiti" w:hAnsiTheme="minorHAnsi" w:cstheme="minorHAnsi"/>
                  <w:szCs w:val="24"/>
                  <w:lang w:eastAsia="zh-CN"/>
                </w:rPr>
                <w:t>《公约》第</w:t>
              </w:r>
              <w:r w:rsidRPr="00CE3E2A">
                <w:rPr>
                  <w:rStyle w:val="Hyperlink"/>
                  <w:rFonts w:asciiTheme="minorHAnsi" w:eastAsia="STKaiti" w:hAnsiTheme="minorHAnsi" w:cstheme="minorHAnsi"/>
                  <w:szCs w:val="24"/>
                  <w:lang w:eastAsia="zh-CN"/>
                </w:rPr>
                <w:t>4</w:t>
              </w:r>
              <w:r w:rsidRPr="00CE3E2A">
                <w:rPr>
                  <w:rStyle w:val="Hyperlink"/>
                  <w:rFonts w:asciiTheme="minorHAnsi" w:eastAsia="STKaiti" w:hAnsiTheme="minorHAnsi" w:cstheme="minorHAnsi"/>
                  <w:szCs w:val="24"/>
                  <w:lang w:eastAsia="zh-CN"/>
                </w:rPr>
                <w:t>条、第</w:t>
              </w:r>
              <w:r w:rsidRPr="00CE3E2A">
                <w:rPr>
                  <w:rStyle w:val="Hyperlink"/>
                  <w:rFonts w:asciiTheme="minorHAnsi" w:eastAsia="STKaiti" w:hAnsiTheme="minorHAnsi" w:cstheme="minorHAnsi"/>
                  <w:szCs w:val="24"/>
                  <w:lang w:eastAsia="zh-CN"/>
                </w:rPr>
                <w:t>73</w:t>
              </w:r>
              <w:r w:rsidRPr="00CE3E2A">
                <w:rPr>
                  <w:rStyle w:val="Hyperlink"/>
                  <w:rFonts w:asciiTheme="minorHAnsi" w:eastAsia="STKaiti" w:hAnsiTheme="minorHAnsi" w:cstheme="minorHAnsi"/>
                  <w:szCs w:val="24"/>
                  <w:lang w:eastAsia="zh-CN"/>
                </w:rPr>
                <w:t>款、《公约》第</w:t>
              </w:r>
              <w:r w:rsidRPr="00CE3E2A">
                <w:rPr>
                  <w:rStyle w:val="Hyperlink"/>
                  <w:rFonts w:asciiTheme="minorHAnsi" w:eastAsia="STKaiti" w:hAnsiTheme="minorHAnsi" w:cstheme="minorHAnsi"/>
                  <w:szCs w:val="24"/>
                  <w:lang w:eastAsia="zh-CN"/>
                </w:rPr>
                <w:t>33</w:t>
              </w:r>
              <w:r w:rsidRPr="00CE3E2A">
                <w:rPr>
                  <w:rStyle w:val="Hyperlink"/>
                  <w:rFonts w:asciiTheme="minorHAnsi" w:eastAsia="STKaiti" w:hAnsiTheme="minorHAnsi" w:cstheme="minorHAnsi"/>
                  <w:szCs w:val="24"/>
                  <w:lang w:eastAsia="zh-CN"/>
                </w:rPr>
                <w:t>条</w:t>
              </w:r>
            </w:hyperlink>
          </w:p>
          <w:p w14:paraId="08EA7722" w14:textId="79A706CD" w:rsidR="0084288C" w:rsidRPr="00CE3E2A" w:rsidRDefault="0084288C" w:rsidP="00CE3E2A">
            <w:pPr>
              <w:spacing w:before="40" w:after="40"/>
              <w:rPr>
                <w:rFonts w:asciiTheme="minorHAnsi" w:eastAsia="STKaiti" w:hAnsiTheme="minorHAnsi" w:cstheme="minorHAnsi"/>
                <w:szCs w:val="24"/>
                <w:lang w:eastAsia="zh-CN"/>
              </w:rPr>
            </w:pPr>
            <w:r w:rsidRPr="00CE3E2A">
              <w:rPr>
                <w:rFonts w:asciiTheme="minorHAnsi" w:eastAsia="STKaiti" w:hAnsiTheme="minorHAnsi" w:cstheme="minorHAnsi"/>
                <w:szCs w:val="24"/>
                <w:lang w:eastAsia="zh-CN"/>
              </w:rPr>
              <w:t>全权代表大会</w:t>
            </w:r>
            <w:r>
              <w:fldChar w:fldCharType="begin"/>
            </w:r>
            <w:r>
              <w:rPr>
                <w:lang w:eastAsia="zh-CN"/>
              </w:rPr>
              <w:instrText>HYPERLINK "https://www.itu.int/en/council/Documents/basic-texts-2023/DEC-005-C.pdf"</w:instrText>
            </w:r>
            <w:r>
              <w:fldChar w:fldCharType="separate"/>
            </w:r>
            <w:r w:rsidRPr="00CE3E2A">
              <w:rPr>
                <w:rStyle w:val="Hyperlink"/>
                <w:rFonts w:asciiTheme="minorHAnsi" w:eastAsia="STKaiti" w:hAnsiTheme="minorHAnsi" w:cstheme="minorHAnsi"/>
                <w:szCs w:val="24"/>
                <w:lang w:eastAsia="zh-CN"/>
              </w:rPr>
              <w:t>第</w:t>
            </w:r>
            <w:r w:rsidRPr="00CE3E2A">
              <w:rPr>
                <w:rStyle w:val="Hyperlink"/>
                <w:rFonts w:asciiTheme="minorHAnsi" w:eastAsia="STKaiti" w:hAnsiTheme="minorHAnsi" w:cstheme="minorHAnsi"/>
                <w:szCs w:val="24"/>
                <w:lang w:eastAsia="zh-CN"/>
              </w:rPr>
              <w:t>5</w:t>
            </w:r>
            <w:r w:rsidRPr="00CE3E2A">
              <w:rPr>
                <w:rStyle w:val="Hyperlink"/>
                <w:rFonts w:asciiTheme="minorHAnsi" w:eastAsia="STKaiti" w:hAnsiTheme="minorHAnsi" w:cstheme="minorHAnsi"/>
                <w:szCs w:val="24"/>
                <w:lang w:eastAsia="zh-CN"/>
              </w:rPr>
              <w:t>号决定</w:t>
            </w:r>
            <w:r>
              <w:fldChar w:fldCharType="end"/>
            </w:r>
            <w:r w:rsidRPr="00CE3E2A">
              <w:rPr>
                <w:rFonts w:asciiTheme="minorHAnsi" w:eastAsia="STKaiti" w:hAnsiTheme="minorHAnsi" w:cstheme="minorHAnsi"/>
                <w:szCs w:val="24"/>
                <w:lang w:eastAsia="zh-CN"/>
              </w:rPr>
              <w:t>（</w:t>
            </w:r>
            <w:r w:rsidRPr="00CE3E2A">
              <w:rPr>
                <w:rFonts w:asciiTheme="minorHAnsi" w:eastAsia="STKaiti" w:hAnsiTheme="minorHAnsi" w:cstheme="minorHAnsi"/>
                <w:szCs w:val="24"/>
                <w:lang w:eastAsia="zh-CN"/>
              </w:rPr>
              <w:t>2022</w:t>
            </w:r>
            <w:r w:rsidRPr="00CE3E2A">
              <w:rPr>
                <w:rFonts w:asciiTheme="minorHAnsi" w:eastAsia="STKaiti" w:hAnsiTheme="minorHAnsi" w:cstheme="minorHAnsi"/>
                <w:szCs w:val="24"/>
                <w:lang w:eastAsia="zh-CN"/>
              </w:rPr>
              <w:t>年，布加勒斯特，修订版）</w:t>
            </w:r>
          </w:p>
          <w:p w14:paraId="25E91358" w14:textId="61A65783" w:rsidR="0084288C" w:rsidRPr="00CE3E2A" w:rsidRDefault="0084288C" w:rsidP="00CE3E2A">
            <w:pPr>
              <w:spacing w:before="40" w:after="40"/>
              <w:rPr>
                <w:rFonts w:asciiTheme="minorHAnsi" w:eastAsia="STKaiti" w:hAnsiTheme="minorHAnsi" w:cstheme="minorHAnsi"/>
                <w:szCs w:val="24"/>
                <w:lang w:eastAsia="zh-CN"/>
              </w:rPr>
            </w:pPr>
            <w:r w:rsidRPr="00CE3E2A">
              <w:rPr>
                <w:rFonts w:asciiTheme="minorHAnsi" w:eastAsia="STKaiti" w:hAnsiTheme="minorHAnsi" w:cstheme="minorHAnsi"/>
                <w:szCs w:val="24"/>
                <w:lang w:eastAsia="zh-CN"/>
              </w:rPr>
              <w:t>全权代表大会</w:t>
            </w:r>
            <w:r>
              <w:fldChar w:fldCharType="begin"/>
            </w:r>
            <w:r>
              <w:rPr>
                <w:lang w:eastAsia="zh-CN"/>
              </w:rPr>
              <w:instrText>HYPERLINK "https://www.itu.int/en/council/Documents/basic-texts-2023/RES-071-C.pdf"</w:instrText>
            </w:r>
            <w:r>
              <w:fldChar w:fldCharType="separate"/>
            </w:r>
            <w:r w:rsidRPr="00CE3E2A">
              <w:rPr>
                <w:rStyle w:val="Hyperlink"/>
                <w:rFonts w:asciiTheme="minorHAnsi" w:eastAsia="STKaiti" w:hAnsiTheme="minorHAnsi" w:cstheme="minorHAnsi"/>
                <w:szCs w:val="24"/>
                <w:lang w:eastAsia="zh-CN"/>
              </w:rPr>
              <w:t>第</w:t>
            </w:r>
            <w:r w:rsidRPr="00CE3E2A">
              <w:rPr>
                <w:rStyle w:val="Hyperlink"/>
                <w:rFonts w:asciiTheme="minorHAnsi" w:eastAsia="STKaiti" w:hAnsiTheme="minorHAnsi" w:cstheme="minorHAnsi"/>
                <w:szCs w:val="24"/>
                <w:lang w:eastAsia="zh-CN"/>
              </w:rPr>
              <w:t>71</w:t>
            </w:r>
            <w:r w:rsidRPr="00CE3E2A">
              <w:rPr>
                <w:rStyle w:val="Hyperlink"/>
                <w:rFonts w:asciiTheme="minorHAnsi" w:eastAsia="STKaiti" w:hAnsiTheme="minorHAnsi" w:cstheme="minorHAnsi"/>
                <w:szCs w:val="24"/>
                <w:lang w:eastAsia="zh-CN"/>
              </w:rPr>
              <w:t>号决议</w:t>
            </w:r>
            <w:r>
              <w:fldChar w:fldCharType="end"/>
            </w:r>
            <w:r w:rsidRPr="00CE3E2A">
              <w:rPr>
                <w:rFonts w:asciiTheme="minorHAnsi" w:eastAsia="STKaiti" w:hAnsiTheme="minorHAnsi" w:cstheme="minorHAnsi"/>
                <w:szCs w:val="24"/>
                <w:lang w:eastAsia="zh-CN"/>
              </w:rPr>
              <w:t>（</w:t>
            </w:r>
            <w:r w:rsidRPr="00CE3E2A">
              <w:rPr>
                <w:rFonts w:asciiTheme="minorHAnsi" w:eastAsia="STKaiti" w:hAnsiTheme="minorHAnsi" w:cstheme="minorHAnsi"/>
                <w:szCs w:val="24"/>
                <w:lang w:eastAsia="zh-CN"/>
              </w:rPr>
              <w:t>2022</w:t>
            </w:r>
            <w:r w:rsidRPr="00CE3E2A">
              <w:rPr>
                <w:rFonts w:asciiTheme="minorHAnsi" w:eastAsia="STKaiti" w:hAnsiTheme="minorHAnsi" w:cstheme="minorHAnsi"/>
                <w:szCs w:val="24"/>
                <w:lang w:eastAsia="zh-CN"/>
              </w:rPr>
              <w:t>年，布加勒斯特，修订版）</w:t>
            </w:r>
          </w:p>
          <w:p w14:paraId="7997CF16" w14:textId="35361A66" w:rsidR="0084288C" w:rsidRPr="00CE3E2A" w:rsidRDefault="0084288C" w:rsidP="00CE3E2A">
            <w:pPr>
              <w:spacing w:before="40" w:after="40"/>
              <w:rPr>
                <w:rFonts w:asciiTheme="minorHAnsi" w:eastAsia="STKaiti" w:hAnsiTheme="minorHAnsi" w:cstheme="minorHAnsi"/>
                <w:szCs w:val="24"/>
                <w:lang w:eastAsia="zh-CN"/>
              </w:rPr>
            </w:pPr>
            <w:r w:rsidRPr="00CE3E2A">
              <w:rPr>
                <w:rFonts w:asciiTheme="minorHAnsi" w:eastAsia="STKaiti" w:hAnsiTheme="minorHAnsi" w:cstheme="minorHAnsi"/>
                <w:szCs w:val="24"/>
                <w:lang w:eastAsia="zh-CN"/>
              </w:rPr>
              <w:t>全权代表大会</w:t>
            </w:r>
            <w:r>
              <w:fldChar w:fldCharType="begin"/>
            </w:r>
            <w:r>
              <w:rPr>
                <w:lang w:eastAsia="zh-CN"/>
              </w:rPr>
              <w:instrText>HYPERLINK "https://www.itu.int/en/council/Documents/basic-texts-2023/RES-151-C.pdf"</w:instrText>
            </w:r>
            <w:r>
              <w:fldChar w:fldCharType="separate"/>
            </w:r>
            <w:r w:rsidRPr="00CE3E2A">
              <w:rPr>
                <w:rStyle w:val="Hyperlink"/>
                <w:rFonts w:asciiTheme="minorHAnsi" w:eastAsia="STKaiti" w:hAnsiTheme="minorHAnsi" w:cstheme="minorHAnsi"/>
                <w:szCs w:val="24"/>
                <w:lang w:eastAsia="zh-CN"/>
              </w:rPr>
              <w:t>第</w:t>
            </w:r>
            <w:r w:rsidRPr="00CE3E2A">
              <w:rPr>
                <w:rStyle w:val="Hyperlink"/>
                <w:rFonts w:asciiTheme="minorHAnsi" w:eastAsia="STKaiti" w:hAnsiTheme="minorHAnsi" w:cstheme="minorHAnsi"/>
                <w:szCs w:val="24"/>
                <w:lang w:eastAsia="zh-CN"/>
              </w:rPr>
              <w:t>151</w:t>
            </w:r>
            <w:r w:rsidRPr="00CE3E2A">
              <w:rPr>
                <w:rStyle w:val="Hyperlink"/>
                <w:rFonts w:asciiTheme="minorHAnsi" w:eastAsia="STKaiti" w:hAnsiTheme="minorHAnsi" w:cstheme="minorHAnsi"/>
                <w:szCs w:val="24"/>
                <w:lang w:eastAsia="zh-CN"/>
              </w:rPr>
              <w:t>号决议</w:t>
            </w:r>
            <w:r>
              <w:fldChar w:fldCharType="end"/>
            </w:r>
            <w:r w:rsidRPr="00CE3E2A">
              <w:rPr>
                <w:rFonts w:asciiTheme="minorHAnsi" w:eastAsia="STKaiti" w:hAnsiTheme="minorHAnsi" w:cstheme="minorHAnsi"/>
                <w:szCs w:val="24"/>
                <w:lang w:eastAsia="zh-CN"/>
              </w:rPr>
              <w:t>（</w:t>
            </w:r>
            <w:r w:rsidRPr="00CE3E2A">
              <w:rPr>
                <w:rFonts w:asciiTheme="minorHAnsi" w:eastAsia="STKaiti" w:hAnsiTheme="minorHAnsi" w:cstheme="minorHAnsi"/>
                <w:szCs w:val="24"/>
                <w:lang w:eastAsia="zh-CN"/>
              </w:rPr>
              <w:t>2022</w:t>
            </w:r>
            <w:r w:rsidRPr="00CE3E2A">
              <w:rPr>
                <w:rFonts w:asciiTheme="minorHAnsi" w:eastAsia="STKaiti" w:hAnsiTheme="minorHAnsi" w:cstheme="minorHAnsi"/>
                <w:szCs w:val="24"/>
                <w:lang w:eastAsia="zh-CN"/>
              </w:rPr>
              <w:t>年，布加勒斯特，修订版）</w:t>
            </w:r>
          </w:p>
          <w:p w14:paraId="7089D4B7" w14:textId="7C5B06ED" w:rsidR="00AD3606" w:rsidRPr="00791B97" w:rsidRDefault="00BC284D" w:rsidP="00CE3E2A">
            <w:pPr>
              <w:spacing w:before="40" w:after="40"/>
              <w:rPr>
                <w:rFonts w:eastAsia="STKaiti"/>
                <w:sz w:val="22"/>
                <w:szCs w:val="22"/>
                <w:lang w:eastAsia="zh-CN"/>
              </w:rPr>
            </w:pPr>
            <w:hyperlink r:id="rId14" w:history="1">
              <w:proofErr w:type="spellStart"/>
              <w:r w:rsidRPr="00CE3E2A">
                <w:rPr>
                  <w:rStyle w:val="Hyperlink"/>
                  <w:rFonts w:asciiTheme="minorHAnsi" w:hAnsiTheme="minorHAnsi" w:cstheme="minorHAnsi"/>
                  <w:szCs w:val="24"/>
                  <w:lang w:val="en-US" w:eastAsia="zh-CN"/>
                </w:rPr>
                <w:t>C25</w:t>
              </w:r>
              <w:proofErr w:type="spellEnd"/>
              <w:r w:rsidRPr="00CE3E2A">
                <w:rPr>
                  <w:rStyle w:val="Hyperlink"/>
                  <w:rFonts w:asciiTheme="minorHAnsi" w:hAnsiTheme="minorHAnsi" w:cstheme="minorHAnsi"/>
                  <w:szCs w:val="24"/>
                  <w:lang w:val="en-US" w:eastAsia="zh-CN"/>
                </w:rPr>
                <w:t>/64</w:t>
              </w:r>
            </w:hyperlink>
            <w:r w:rsidRPr="00CE3E2A">
              <w:rPr>
                <w:rFonts w:asciiTheme="minorHAnsi" w:eastAsia="STKaiti" w:hAnsiTheme="minorHAnsi" w:cstheme="minorHAnsi"/>
                <w:szCs w:val="24"/>
                <w:lang w:eastAsia="zh-CN"/>
              </w:rPr>
              <w:t>号文件</w:t>
            </w:r>
            <w:r w:rsidR="003446A7">
              <w:rPr>
                <w:rFonts w:asciiTheme="minorHAnsi" w:eastAsia="STKaiti" w:hAnsiTheme="minorHAnsi" w:cstheme="minorHAnsi"/>
                <w:szCs w:val="24"/>
                <w:lang w:eastAsia="zh-CN"/>
              </w:rPr>
              <w:t xml:space="preserve"> </w:t>
            </w:r>
            <w:r w:rsidR="0084288C" w:rsidRPr="00CE3E2A">
              <w:rPr>
                <w:rFonts w:asciiTheme="minorHAnsi" w:eastAsia="STKaiti" w:hAnsiTheme="minorHAnsi" w:cstheme="minorHAnsi"/>
                <w:szCs w:val="24"/>
                <w:lang w:eastAsia="zh-CN"/>
              </w:rPr>
              <w:t>–</w:t>
            </w:r>
            <w:r w:rsidR="003446A7">
              <w:rPr>
                <w:rFonts w:asciiTheme="minorHAnsi" w:eastAsia="STKaiti" w:hAnsiTheme="minorHAnsi" w:cstheme="minorHAnsi"/>
                <w:szCs w:val="24"/>
                <w:lang w:eastAsia="zh-CN"/>
              </w:rPr>
              <w:t xml:space="preserve"> </w:t>
            </w:r>
            <w:r w:rsidRPr="00CE3E2A">
              <w:rPr>
                <w:rFonts w:asciiTheme="minorHAnsi" w:eastAsia="STKaiti" w:hAnsiTheme="minorHAnsi" w:cstheme="minorHAnsi"/>
                <w:szCs w:val="24"/>
                <w:lang w:eastAsia="zh-CN"/>
              </w:rPr>
              <w:t>计算</w:t>
            </w:r>
            <w:r w:rsidR="0084288C" w:rsidRPr="00CE3E2A">
              <w:rPr>
                <w:rFonts w:asciiTheme="minorHAnsi" w:eastAsia="STKaiti" w:hAnsiTheme="minorHAnsi" w:cstheme="minorHAnsi"/>
                <w:szCs w:val="24"/>
                <w:lang w:eastAsia="zh-CN"/>
              </w:rPr>
              <w:t>SNF</w:t>
            </w:r>
            <w:r w:rsidR="0084288C" w:rsidRPr="00CE3E2A">
              <w:rPr>
                <w:rFonts w:asciiTheme="minorHAnsi" w:eastAsia="STKaiti" w:hAnsiTheme="minorHAnsi" w:cstheme="minorHAnsi"/>
                <w:szCs w:val="24"/>
                <w:lang w:eastAsia="zh-CN"/>
              </w:rPr>
              <w:t>成本回收</w:t>
            </w:r>
            <w:r w:rsidRPr="00CE3E2A">
              <w:rPr>
                <w:rFonts w:asciiTheme="minorHAnsi" w:eastAsia="STKaiti" w:hAnsiTheme="minorHAnsi" w:cstheme="minorHAnsi"/>
                <w:szCs w:val="24"/>
                <w:lang w:eastAsia="zh-CN"/>
              </w:rPr>
              <w:t>的拟议</w:t>
            </w:r>
            <w:r w:rsidR="0084288C" w:rsidRPr="00CE3E2A">
              <w:rPr>
                <w:rFonts w:asciiTheme="minorHAnsi" w:eastAsia="STKaiti" w:hAnsiTheme="minorHAnsi" w:cstheme="minorHAnsi"/>
                <w:szCs w:val="24"/>
                <w:lang w:eastAsia="zh-CN"/>
              </w:rPr>
              <w:t>方法</w:t>
            </w:r>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C0458D">
        <w:rPr>
          <w:lang w:eastAsia="zh-CN"/>
        </w:rPr>
        <w:br w:type="page"/>
      </w:r>
    </w:p>
    <w:bookmarkEnd w:id="5"/>
    <w:bookmarkEnd w:id="10"/>
    <w:p w14:paraId="1749DF20" w14:textId="228E55CE" w:rsidR="0084288C" w:rsidRPr="00324DB7" w:rsidRDefault="0084288C" w:rsidP="0084288C">
      <w:pPr>
        <w:spacing w:after="240"/>
        <w:rPr>
          <w:b/>
          <w:bCs/>
          <w:color w:val="002060"/>
          <w:lang w:eastAsia="zh-CN"/>
        </w:rPr>
      </w:pPr>
      <w:r w:rsidRPr="003446A7">
        <w:rPr>
          <w:b/>
          <w:bCs/>
          <w:color w:val="002060"/>
          <w:lang w:eastAsia="zh-CN"/>
        </w:rPr>
        <w:lastRenderedPageBreak/>
        <w:t>1</w:t>
      </w:r>
      <w:r w:rsidR="00BC284D" w:rsidRPr="003446A7">
        <w:rPr>
          <w:b/>
          <w:bCs/>
          <w:color w:val="002060"/>
          <w:lang w:eastAsia="zh-CN"/>
        </w:rPr>
        <w:tab/>
      </w:r>
      <w:r w:rsidR="00BC284D" w:rsidRPr="003446A7">
        <w:rPr>
          <w:rFonts w:hint="eastAsia"/>
          <w:b/>
          <w:bCs/>
          <w:color w:val="002060"/>
          <w:lang w:eastAsia="zh-CN"/>
        </w:rPr>
        <w:t>综述</w:t>
      </w:r>
    </w:p>
    <w:p w14:paraId="080184F4" w14:textId="43B89366" w:rsidR="0084288C" w:rsidRPr="00324DB7" w:rsidRDefault="0084288C" w:rsidP="006D3301">
      <w:pPr>
        <w:spacing w:before="0" w:after="240"/>
        <w:jc w:val="both"/>
        <w:rPr>
          <w:lang w:eastAsia="zh-CN"/>
        </w:rPr>
      </w:pPr>
      <w:r>
        <w:rPr>
          <w:lang w:val="zh-CN" w:eastAsia="zh-CN"/>
        </w:rPr>
        <w:t>1.1</w:t>
      </w:r>
      <w:r>
        <w:rPr>
          <w:lang w:val="zh-CN" w:eastAsia="zh-CN"/>
        </w:rPr>
        <w:tab/>
      </w:r>
      <w:r>
        <w:rPr>
          <w:lang w:val="zh-CN" w:eastAsia="zh-CN"/>
        </w:rPr>
        <w:t>拟议预算是在第</w:t>
      </w:r>
      <w:r>
        <w:rPr>
          <w:lang w:val="zh-CN" w:eastAsia="zh-CN"/>
        </w:rPr>
        <w:t>5</w:t>
      </w:r>
      <w:r>
        <w:rPr>
          <w:lang w:val="zh-CN" w:eastAsia="zh-CN"/>
        </w:rPr>
        <w:t>号决定（</w:t>
      </w:r>
      <w:r>
        <w:rPr>
          <w:lang w:val="zh-CN" w:eastAsia="zh-CN"/>
        </w:rPr>
        <w:t>2022</w:t>
      </w:r>
      <w:r>
        <w:rPr>
          <w:lang w:val="zh-CN" w:eastAsia="zh-CN"/>
        </w:rPr>
        <w:t>年，布加勒斯特，修订版）和第</w:t>
      </w:r>
      <w:r>
        <w:rPr>
          <w:lang w:val="zh-CN" w:eastAsia="zh-CN"/>
        </w:rPr>
        <w:t>71</w:t>
      </w:r>
      <w:r>
        <w:rPr>
          <w:lang w:val="zh-CN" w:eastAsia="zh-CN"/>
        </w:rPr>
        <w:t>号决议（</w:t>
      </w:r>
      <w:r>
        <w:rPr>
          <w:lang w:val="zh-CN" w:eastAsia="zh-CN"/>
        </w:rPr>
        <w:t>2022</w:t>
      </w:r>
      <w:r>
        <w:rPr>
          <w:lang w:val="zh-CN" w:eastAsia="zh-CN"/>
        </w:rPr>
        <w:t>年，布加勒斯特，修订版）</w:t>
      </w:r>
      <w:r w:rsidR="00384265">
        <w:rPr>
          <w:rFonts w:hint="eastAsia"/>
          <w:lang w:val="zh-CN" w:eastAsia="zh-CN"/>
        </w:rPr>
        <w:t>中</w:t>
      </w:r>
      <w:r w:rsidR="00384265">
        <w:rPr>
          <w:lang w:val="zh-CN" w:eastAsia="zh-CN"/>
        </w:rPr>
        <w:t>国际电联</w:t>
      </w:r>
      <w:r w:rsidR="00384265">
        <w:rPr>
          <w:lang w:val="zh-CN" w:eastAsia="zh-CN"/>
        </w:rPr>
        <w:t>2024-2027</w:t>
      </w:r>
      <w:r w:rsidR="00384265">
        <w:rPr>
          <w:lang w:val="zh-CN" w:eastAsia="zh-CN"/>
        </w:rPr>
        <w:t>年战略规划</w:t>
      </w:r>
      <w:r>
        <w:rPr>
          <w:lang w:val="zh-CN" w:eastAsia="zh-CN"/>
        </w:rPr>
        <w:t>分别规定的框架内制定的。根据第</w:t>
      </w:r>
      <w:r>
        <w:rPr>
          <w:lang w:val="zh-CN" w:eastAsia="zh-CN"/>
        </w:rPr>
        <w:t>5</w:t>
      </w:r>
      <w:r>
        <w:rPr>
          <w:lang w:val="zh-CN" w:eastAsia="zh-CN"/>
        </w:rPr>
        <w:t>号决定（</w:t>
      </w:r>
      <w:r>
        <w:rPr>
          <w:lang w:val="zh-CN" w:eastAsia="zh-CN"/>
        </w:rPr>
        <w:t>2022</w:t>
      </w:r>
      <w:r>
        <w:rPr>
          <w:lang w:val="zh-CN" w:eastAsia="zh-CN"/>
        </w:rPr>
        <w:t>年，布加勒斯特，修订版），</w:t>
      </w:r>
      <w:r>
        <w:rPr>
          <w:lang w:val="zh-CN" w:eastAsia="zh-CN"/>
        </w:rPr>
        <w:t>2026-2027</w:t>
      </w:r>
      <w:r>
        <w:rPr>
          <w:lang w:val="zh-CN" w:eastAsia="zh-CN"/>
        </w:rPr>
        <w:t>年预算草案反映出会费单位金额的名义零增长，即</w:t>
      </w:r>
      <w:r>
        <w:rPr>
          <w:lang w:val="zh-CN" w:eastAsia="zh-CN"/>
        </w:rPr>
        <w:t>318</w:t>
      </w:r>
      <w:r w:rsidR="003446A7">
        <w:rPr>
          <w:lang w:val="zh-CN" w:eastAsia="zh-CN"/>
        </w:rPr>
        <w:t> </w:t>
      </w:r>
      <w:r>
        <w:rPr>
          <w:lang w:val="zh-CN" w:eastAsia="zh-CN"/>
        </w:rPr>
        <w:t>000</w:t>
      </w:r>
      <w:r>
        <w:rPr>
          <w:lang w:val="zh-CN" w:eastAsia="zh-CN"/>
        </w:rPr>
        <w:t>瑞郎。</w:t>
      </w:r>
    </w:p>
    <w:p w14:paraId="3D562C34" w14:textId="3A6025D9" w:rsidR="0084288C" w:rsidRPr="00324DB7" w:rsidRDefault="0084288C" w:rsidP="006D3301">
      <w:pPr>
        <w:spacing w:before="0" w:after="240"/>
        <w:jc w:val="both"/>
        <w:rPr>
          <w:lang w:eastAsia="zh-CN"/>
        </w:rPr>
      </w:pPr>
      <w:r>
        <w:rPr>
          <w:lang w:val="zh-CN" w:eastAsia="zh-CN"/>
        </w:rPr>
        <w:t>1.2</w:t>
      </w:r>
      <w:r>
        <w:rPr>
          <w:lang w:val="zh-CN" w:eastAsia="zh-CN"/>
        </w:rPr>
        <w:tab/>
      </w:r>
      <w:r>
        <w:rPr>
          <w:lang w:val="zh-CN" w:eastAsia="zh-CN"/>
        </w:rPr>
        <w:t>下表总结了与</w:t>
      </w:r>
      <w:r w:rsidR="00384265">
        <w:rPr>
          <w:rFonts w:hint="eastAsia"/>
          <w:lang w:val="zh-CN" w:eastAsia="zh-CN"/>
        </w:rPr>
        <w:t>《</w:t>
      </w:r>
      <w:r>
        <w:rPr>
          <w:lang w:val="zh-CN" w:eastAsia="zh-CN"/>
        </w:rPr>
        <w:t>财务规划</w:t>
      </w:r>
      <w:r w:rsidR="00384265">
        <w:rPr>
          <w:rFonts w:hint="eastAsia"/>
          <w:lang w:val="zh-CN" w:eastAsia="zh-CN"/>
        </w:rPr>
        <w:t>》</w:t>
      </w:r>
      <w:r>
        <w:rPr>
          <w:lang w:val="zh-CN" w:eastAsia="zh-CN"/>
        </w:rPr>
        <w:t>、</w:t>
      </w:r>
      <w:r>
        <w:rPr>
          <w:lang w:val="zh-CN" w:eastAsia="zh-CN"/>
        </w:rPr>
        <w:t>2024-2025</w:t>
      </w:r>
      <w:r>
        <w:rPr>
          <w:lang w:val="zh-CN" w:eastAsia="zh-CN"/>
        </w:rPr>
        <w:t>年预算和</w:t>
      </w:r>
      <w:r>
        <w:rPr>
          <w:lang w:val="zh-CN" w:eastAsia="zh-CN"/>
        </w:rPr>
        <w:t>2024</w:t>
      </w:r>
      <w:r>
        <w:rPr>
          <w:lang w:val="zh-CN" w:eastAsia="zh-CN"/>
        </w:rPr>
        <w:t>年实际情况相比的</w:t>
      </w:r>
      <w:r>
        <w:rPr>
          <w:lang w:val="zh-CN" w:eastAsia="zh-CN"/>
        </w:rPr>
        <w:t>2026-2027</w:t>
      </w:r>
      <w:r>
        <w:rPr>
          <w:lang w:val="zh-CN" w:eastAsia="zh-CN"/>
        </w:rPr>
        <w:t>年收支估算。</w:t>
      </w:r>
    </w:p>
    <w:p w14:paraId="2DEA9D22" w14:textId="21241B39" w:rsidR="0084288C" w:rsidRPr="00324DB7" w:rsidRDefault="00861D8E" w:rsidP="0084288C">
      <w:pPr>
        <w:spacing w:before="0" w:after="240"/>
        <w:rPr>
          <w:lang w:eastAsia="zh-CN"/>
        </w:rPr>
      </w:pPr>
      <w:r w:rsidRPr="00861D8E">
        <w:rPr>
          <w:noProof/>
        </w:rPr>
        <w:drawing>
          <wp:inline distT="0" distB="0" distL="0" distR="0" wp14:anchorId="05F73F9D" wp14:editId="27E6588A">
            <wp:extent cx="5760085" cy="1867535"/>
            <wp:effectExtent l="0" t="0" r="0" b="0"/>
            <wp:docPr id="1409614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1867535"/>
                    </a:xfrm>
                    <a:prstGeom prst="rect">
                      <a:avLst/>
                    </a:prstGeom>
                    <a:noFill/>
                    <a:ln>
                      <a:noFill/>
                    </a:ln>
                  </pic:spPr>
                </pic:pic>
              </a:graphicData>
            </a:graphic>
          </wp:inline>
        </w:drawing>
      </w:r>
    </w:p>
    <w:p w14:paraId="1C9AFDD1" w14:textId="578F45B8" w:rsidR="0084288C" w:rsidRPr="00324DB7" w:rsidRDefault="0084288C" w:rsidP="006D3301">
      <w:pPr>
        <w:spacing w:before="0" w:after="240"/>
        <w:jc w:val="both"/>
        <w:rPr>
          <w:lang w:eastAsia="zh-CN"/>
        </w:rPr>
      </w:pPr>
      <w:r>
        <w:rPr>
          <w:lang w:val="zh-CN" w:eastAsia="zh-CN"/>
        </w:rPr>
        <w:t>1.3</w:t>
      </w:r>
      <w:r>
        <w:rPr>
          <w:lang w:val="zh-CN" w:eastAsia="zh-CN"/>
        </w:rPr>
        <w:tab/>
      </w:r>
      <w:r>
        <w:rPr>
          <w:lang w:val="zh-CN" w:eastAsia="zh-CN"/>
        </w:rPr>
        <w:t>国际电联</w:t>
      </w:r>
      <w:r>
        <w:rPr>
          <w:lang w:val="zh-CN" w:eastAsia="zh-CN"/>
        </w:rPr>
        <w:t>2026-2027</w:t>
      </w:r>
      <w:r>
        <w:rPr>
          <w:lang w:val="zh-CN" w:eastAsia="zh-CN"/>
        </w:rPr>
        <w:t>年双年度预算草案收支平衡，收支相抵，为</w:t>
      </w:r>
      <w:r>
        <w:rPr>
          <w:lang w:val="zh-CN" w:eastAsia="zh-CN"/>
        </w:rPr>
        <w:t>333</w:t>
      </w:r>
      <w:r w:rsidR="003446A7">
        <w:rPr>
          <w:lang w:val="zh-CN" w:eastAsia="zh-CN"/>
        </w:rPr>
        <w:t> </w:t>
      </w:r>
      <w:r>
        <w:rPr>
          <w:lang w:val="zh-CN" w:eastAsia="zh-CN"/>
        </w:rPr>
        <w:t>238</w:t>
      </w:r>
      <w:r w:rsidR="003446A7">
        <w:rPr>
          <w:lang w:val="zh-CN" w:eastAsia="zh-CN"/>
        </w:rPr>
        <w:t> </w:t>
      </w:r>
      <w:r>
        <w:rPr>
          <w:lang w:val="zh-CN" w:eastAsia="zh-CN"/>
        </w:rPr>
        <w:t>000</w:t>
      </w:r>
      <w:r>
        <w:rPr>
          <w:lang w:val="zh-CN" w:eastAsia="zh-CN"/>
        </w:rPr>
        <w:t>瑞郎。该期间的收入和支出超出国际电联</w:t>
      </w:r>
      <w:r>
        <w:rPr>
          <w:lang w:val="zh-CN" w:eastAsia="zh-CN"/>
        </w:rPr>
        <w:t>2026-2027</w:t>
      </w:r>
      <w:r>
        <w:rPr>
          <w:lang w:val="zh-CN" w:eastAsia="zh-CN"/>
        </w:rPr>
        <w:t>年</w:t>
      </w:r>
      <w:r w:rsidR="00815BDD">
        <w:rPr>
          <w:rFonts w:hint="eastAsia"/>
          <w:lang w:val="zh-CN" w:eastAsia="zh-CN"/>
        </w:rPr>
        <w:t>《</w:t>
      </w:r>
      <w:r>
        <w:rPr>
          <w:lang w:val="zh-CN" w:eastAsia="zh-CN"/>
        </w:rPr>
        <w:t>财务规划</w:t>
      </w:r>
      <w:r w:rsidR="00815BDD">
        <w:rPr>
          <w:rFonts w:hint="eastAsia"/>
          <w:lang w:val="zh-CN" w:eastAsia="zh-CN"/>
        </w:rPr>
        <w:t>》</w:t>
      </w:r>
      <w:r>
        <w:rPr>
          <w:lang w:val="zh-CN" w:eastAsia="zh-CN"/>
        </w:rPr>
        <w:t>362</w:t>
      </w:r>
      <w:proofErr w:type="gramStart"/>
      <w:r>
        <w:rPr>
          <w:lang w:val="zh-CN" w:eastAsia="zh-CN"/>
        </w:rPr>
        <w:t>万瑞</w:t>
      </w:r>
      <w:proofErr w:type="gramEnd"/>
      <w:r>
        <w:rPr>
          <w:lang w:val="zh-CN" w:eastAsia="zh-CN"/>
        </w:rPr>
        <w:t>郎。有关收入和支出变化的详细信息见下文。</w:t>
      </w:r>
      <w:hyperlink w:anchor="Annex_A" w:history="1">
        <w:r w:rsidR="00815BDD">
          <w:rPr>
            <w:rStyle w:val="Hyperlink"/>
            <w:lang w:val="en-US" w:eastAsia="zh-CN"/>
          </w:rPr>
          <w:t>附件</w:t>
        </w:r>
        <w:r w:rsidR="00815BDD">
          <w:rPr>
            <w:rStyle w:val="Hyperlink"/>
            <w:lang w:val="en-US" w:eastAsia="zh-CN"/>
          </w:rPr>
          <w:t>A</w:t>
        </w:r>
      </w:hyperlink>
      <w:r>
        <w:rPr>
          <w:lang w:val="zh-CN" w:eastAsia="zh-CN"/>
        </w:rPr>
        <w:t>载有一份关于国际电联</w:t>
      </w:r>
      <w:r>
        <w:rPr>
          <w:lang w:val="zh-CN" w:eastAsia="zh-CN"/>
        </w:rPr>
        <w:t>2026-2027</w:t>
      </w:r>
      <w:r>
        <w:rPr>
          <w:lang w:val="zh-CN" w:eastAsia="zh-CN"/>
        </w:rPr>
        <w:t>双年度预算草案的决议草案，</w:t>
      </w:r>
      <w:r w:rsidR="00815BDD" w:rsidRPr="00815BDD">
        <w:rPr>
          <w:rFonts w:hint="eastAsia"/>
          <w:lang w:val="zh-CN" w:eastAsia="zh-CN"/>
        </w:rPr>
        <w:t>其中包括按来源详细列出的收入和按项、分项和支出类别分列的支出表格</w:t>
      </w:r>
      <w:r>
        <w:rPr>
          <w:lang w:val="zh-CN" w:eastAsia="zh-CN"/>
        </w:rPr>
        <w:t>。</w:t>
      </w:r>
      <w:hyperlink w:anchor="Annex_D" w:history="1">
        <w:r w:rsidR="00815BDD">
          <w:rPr>
            <w:rStyle w:val="Hyperlink"/>
            <w:lang w:val="en-US" w:eastAsia="zh-CN"/>
          </w:rPr>
          <w:t>附件</w:t>
        </w:r>
        <w:r w:rsidR="00815BDD">
          <w:rPr>
            <w:rStyle w:val="Hyperlink"/>
            <w:lang w:val="en-US" w:eastAsia="zh-CN"/>
          </w:rPr>
          <w:t>D</w:t>
        </w:r>
      </w:hyperlink>
      <w:r>
        <w:rPr>
          <w:lang w:val="zh-CN" w:eastAsia="zh-CN"/>
        </w:rPr>
        <w:t>说明了支出类别。</w:t>
      </w:r>
    </w:p>
    <w:p w14:paraId="0107F3F3" w14:textId="51775FB3" w:rsidR="0084288C" w:rsidRPr="00324DB7" w:rsidRDefault="0084288C" w:rsidP="0084288C">
      <w:pPr>
        <w:spacing w:after="240"/>
        <w:rPr>
          <w:b/>
          <w:bCs/>
          <w:color w:val="002060"/>
          <w:lang w:eastAsia="zh-CN"/>
        </w:rPr>
      </w:pPr>
      <w:r w:rsidRPr="003446A7">
        <w:rPr>
          <w:b/>
          <w:bCs/>
          <w:color w:val="002060"/>
          <w:lang w:eastAsia="zh-CN"/>
        </w:rPr>
        <w:t>2</w:t>
      </w:r>
      <w:r w:rsidR="00815BDD" w:rsidRPr="003446A7">
        <w:rPr>
          <w:b/>
          <w:bCs/>
          <w:color w:val="002060"/>
          <w:lang w:eastAsia="zh-CN"/>
        </w:rPr>
        <w:tab/>
      </w:r>
      <w:r w:rsidR="00815BDD" w:rsidRPr="003446A7">
        <w:rPr>
          <w:rFonts w:hint="eastAsia"/>
          <w:b/>
          <w:bCs/>
          <w:color w:val="002060"/>
          <w:lang w:eastAsia="zh-CN"/>
        </w:rPr>
        <w:t>依据</w:t>
      </w:r>
    </w:p>
    <w:p w14:paraId="29266D85" w14:textId="77777777" w:rsidR="0084288C" w:rsidRDefault="0084288C" w:rsidP="003446A7">
      <w:pPr>
        <w:spacing w:before="0" w:after="120"/>
        <w:rPr>
          <w:lang w:eastAsia="zh-CN"/>
        </w:rPr>
      </w:pPr>
      <w:r>
        <w:rPr>
          <w:lang w:val="zh-CN" w:eastAsia="zh-CN"/>
        </w:rPr>
        <w:t>2.1</w:t>
      </w:r>
      <w:r>
        <w:rPr>
          <w:lang w:val="zh-CN" w:eastAsia="zh-CN"/>
        </w:rPr>
        <w:tab/>
        <w:t>2026-2027</w:t>
      </w:r>
      <w:r>
        <w:rPr>
          <w:lang w:val="zh-CN" w:eastAsia="zh-CN"/>
        </w:rPr>
        <w:t>年双年度预算草案基于：</w:t>
      </w:r>
    </w:p>
    <w:p w14:paraId="424462A8" w14:textId="5D3360C8" w:rsidR="0084288C" w:rsidRPr="00324DB7" w:rsidRDefault="00BA2109" w:rsidP="00BA2109">
      <w:pPr>
        <w:pStyle w:val="enumlev1"/>
        <w:rPr>
          <w:lang w:eastAsia="zh-CN"/>
        </w:rPr>
      </w:pPr>
      <w:r w:rsidRPr="00BA2109">
        <w:rPr>
          <w:lang w:val="zh-CN" w:eastAsia="zh-CN"/>
        </w:rPr>
        <w:t>–</w:t>
      </w:r>
      <w:r>
        <w:rPr>
          <w:lang w:val="zh-CN" w:eastAsia="zh-CN"/>
        </w:rPr>
        <w:tab/>
      </w:r>
      <w:r w:rsidR="0084288C">
        <w:rPr>
          <w:lang w:val="zh-CN" w:eastAsia="zh-CN"/>
        </w:rPr>
        <w:t>1</w:t>
      </w:r>
      <w:r w:rsidR="0084288C">
        <w:rPr>
          <w:lang w:val="zh-CN" w:eastAsia="zh-CN"/>
        </w:rPr>
        <w:t>美元</w:t>
      </w:r>
      <w:r w:rsidR="003446A7">
        <w:rPr>
          <w:lang w:val="en-US" w:eastAsia="zh-CN"/>
        </w:rPr>
        <w:t xml:space="preserve"> </w:t>
      </w:r>
      <w:r w:rsidR="0084288C">
        <w:rPr>
          <w:lang w:val="zh-CN" w:eastAsia="zh-CN"/>
        </w:rPr>
        <w:t>=</w:t>
      </w:r>
      <w:r w:rsidR="003446A7">
        <w:rPr>
          <w:lang w:val="en-US" w:eastAsia="zh-CN"/>
        </w:rPr>
        <w:t xml:space="preserve"> </w:t>
      </w:r>
      <w:r w:rsidR="0084288C">
        <w:rPr>
          <w:lang w:val="zh-CN" w:eastAsia="zh-CN"/>
        </w:rPr>
        <w:t>0</w:t>
      </w:r>
      <w:r w:rsidR="00DD1A6E">
        <w:rPr>
          <w:lang w:val="zh-CN" w:eastAsia="zh-CN"/>
        </w:rPr>
        <w:t>.</w:t>
      </w:r>
      <w:r w:rsidR="0084288C">
        <w:rPr>
          <w:lang w:val="zh-CN" w:eastAsia="zh-CN"/>
        </w:rPr>
        <w:t>929</w:t>
      </w:r>
      <w:r w:rsidR="0084288C">
        <w:rPr>
          <w:lang w:val="zh-CN" w:eastAsia="zh-CN"/>
        </w:rPr>
        <w:t>瑞郎的兑换率，即</w:t>
      </w:r>
      <w:r w:rsidR="0084288C">
        <w:rPr>
          <w:lang w:val="zh-CN" w:eastAsia="zh-CN"/>
        </w:rPr>
        <w:t>2025</w:t>
      </w:r>
      <w:r w:rsidR="0084288C">
        <w:rPr>
          <w:lang w:val="zh-CN" w:eastAsia="zh-CN"/>
        </w:rPr>
        <w:t>年</w:t>
      </w:r>
      <w:r w:rsidR="0084288C">
        <w:rPr>
          <w:lang w:val="zh-CN" w:eastAsia="zh-CN"/>
        </w:rPr>
        <w:t>1</w:t>
      </w:r>
      <w:r w:rsidR="0084288C">
        <w:rPr>
          <w:lang w:val="zh-CN" w:eastAsia="zh-CN"/>
        </w:rPr>
        <w:t>月的执行汇率。</w:t>
      </w:r>
    </w:p>
    <w:p w14:paraId="5489961E" w14:textId="7B0466FF" w:rsidR="0084288C" w:rsidRPr="00324DB7" w:rsidRDefault="00BA2109" w:rsidP="003446A7">
      <w:pPr>
        <w:pStyle w:val="enumlev1"/>
        <w:spacing w:after="240"/>
        <w:rPr>
          <w:lang w:eastAsia="zh-CN"/>
        </w:rPr>
      </w:pPr>
      <w:r w:rsidRPr="00BA2109">
        <w:rPr>
          <w:lang w:val="zh-CN" w:eastAsia="zh-CN"/>
        </w:rPr>
        <w:t>–</w:t>
      </w:r>
      <w:r>
        <w:rPr>
          <w:lang w:val="zh-CN" w:eastAsia="zh-CN"/>
        </w:rPr>
        <w:tab/>
      </w:r>
      <w:r w:rsidR="0084288C">
        <w:rPr>
          <w:lang w:val="zh-CN" w:eastAsia="zh-CN"/>
        </w:rPr>
        <w:t>截至</w:t>
      </w:r>
      <w:r w:rsidR="0084288C">
        <w:rPr>
          <w:lang w:val="zh-CN" w:eastAsia="zh-CN"/>
        </w:rPr>
        <w:t>2025</w:t>
      </w:r>
      <w:r w:rsidR="0084288C">
        <w:rPr>
          <w:lang w:val="zh-CN" w:eastAsia="zh-CN"/>
        </w:rPr>
        <w:t>年</w:t>
      </w:r>
      <w:r w:rsidR="0084288C">
        <w:rPr>
          <w:lang w:val="zh-CN" w:eastAsia="zh-CN"/>
        </w:rPr>
        <w:t>1</w:t>
      </w:r>
      <w:r w:rsidR="0084288C">
        <w:rPr>
          <w:lang w:val="zh-CN" w:eastAsia="zh-CN"/>
        </w:rPr>
        <w:t>月</w:t>
      </w:r>
      <w:r w:rsidR="0084288C">
        <w:rPr>
          <w:lang w:val="zh-CN" w:eastAsia="zh-CN"/>
        </w:rPr>
        <w:t>1</w:t>
      </w:r>
      <w:r w:rsidR="0084288C">
        <w:rPr>
          <w:lang w:val="zh-CN" w:eastAsia="zh-CN"/>
        </w:rPr>
        <w:t>日联合国共同制度</w:t>
      </w:r>
      <w:r w:rsidR="00DD1A6E">
        <w:rPr>
          <w:rFonts w:hint="eastAsia"/>
          <w:lang w:val="zh-CN" w:eastAsia="zh-CN"/>
        </w:rPr>
        <w:t>采用</w:t>
      </w:r>
      <w:r w:rsidR="0084288C">
        <w:rPr>
          <w:lang w:val="zh-CN" w:eastAsia="zh-CN"/>
        </w:rPr>
        <w:t>的</w:t>
      </w:r>
      <w:r w:rsidR="00100E86">
        <w:rPr>
          <w:rFonts w:hint="eastAsia"/>
          <w:lang w:val="zh-CN" w:eastAsia="zh-CN"/>
        </w:rPr>
        <w:t>现行</w:t>
      </w:r>
      <w:r w:rsidR="0084288C">
        <w:rPr>
          <w:lang w:val="zh-CN" w:eastAsia="zh-CN"/>
        </w:rPr>
        <w:t>服务条件。</w:t>
      </w:r>
    </w:p>
    <w:p w14:paraId="3D50DF34" w14:textId="77777777" w:rsidR="0084288C" w:rsidRPr="00324DB7" w:rsidRDefault="0084288C" w:rsidP="0084288C">
      <w:pPr>
        <w:spacing w:before="0" w:after="240"/>
        <w:rPr>
          <w:lang w:eastAsia="zh-CN"/>
        </w:rPr>
      </w:pPr>
      <w:r>
        <w:rPr>
          <w:lang w:val="zh-CN" w:eastAsia="zh-CN"/>
        </w:rPr>
        <w:t>2.2</w:t>
      </w:r>
      <w:r>
        <w:rPr>
          <w:lang w:val="zh-CN" w:eastAsia="zh-CN"/>
        </w:rPr>
        <w:tab/>
      </w:r>
      <w:r>
        <w:rPr>
          <w:lang w:val="zh-CN" w:eastAsia="zh-CN"/>
        </w:rPr>
        <w:t>国际电联</w:t>
      </w:r>
      <w:r>
        <w:rPr>
          <w:lang w:val="zh-CN" w:eastAsia="zh-CN"/>
        </w:rPr>
        <w:t>2026-2027</w:t>
      </w:r>
      <w:r>
        <w:rPr>
          <w:lang w:val="zh-CN" w:eastAsia="zh-CN"/>
        </w:rPr>
        <w:t>双年度预算草案不包括为</w:t>
      </w:r>
      <w:r>
        <w:rPr>
          <w:lang w:val="zh-CN" w:eastAsia="zh-CN"/>
        </w:rPr>
        <w:t>2025</w:t>
      </w:r>
      <w:r>
        <w:rPr>
          <w:lang w:val="zh-CN" w:eastAsia="zh-CN"/>
        </w:rPr>
        <w:t>年</w:t>
      </w:r>
      <w:r>
        <w:rPr>
          <w:lang w:val="zh-CN" w:eastAsia="zh-CN"/>
        </w:rPr>
        <w:t>1</w:t>
      </w:r>
      <w:r>
        <w:rPr>
          <w:lang w:val="zh-CN" w:eastAsia="zh-CN"/>
        </w:rPr>
        <w:t>月</w:t>
      </w:r>
      <w:r>
        <w:rPr>
          <w:lang w:val="zh-CN" w:eastAsia="zh-CN"/>
        </w:rPr>
        <w:t>1</w:t>
      </w:r>
      <w:r>
        <w:rPr>
          <w:lang w:val="zh-CN" w:eastAsia="zh-CN"/>
        </w:rPr>
        <w:t>日至</w:t>
      </w:r>
      <w:r>
        <w:rPr>
          <w:lang w:val="zh-CN" w:eastAsia="zh-CN"/>
        </w:rPr>
        <w:t>2027</w:t>
      </w:r>
      <w:r>
        <w:rPr>
          <w:lang w:val="zh-CN" w:eastAsia="zh-CN"/>
        </w:rPr>
        <w:t>年</w:t>
      </w:r>
      <w:r>
        <w:rPr>
          <w:lang w:val="zh-CN" w:eastAsia="zh-CN"/>
        </w:rPr>
        <w:t>12</w:t>
      </w:r>
      <w:r>
        <w:rPr>
          <w:lang w:val="zh-CN" w:eastAsia="zh-CN"/>
        </w:rPr>
        <w:t>月</w:t>
      </w:r>
      <w:r>
        <w:rPr>
          <w:lang w:val="zh-CN" w:eastAsia="zh-CN"/>
        </w:rPr>
        <w:t>31</w:t>
      </w:r>
      <w:r>
        <w:rPr>
          <w:lang w:val="zh-CN" w:eastAsia="zh-CN"/>
        </w:rPr>
        <w:t>日期间任何预期成本增加提供的准备金。</w:t>
      </w:r>
    </w:p>
    <w:p w14:paraId="628FB3B7" w14:textId="25415BAC" w:rsidR="0084288C" w:rsidRDefault="0084288C" w:rsidP="0084288C">
      <w:pPr>
        <w:spacing w:before="0" w:after="240"/>
        <w:rPr>
          <w:lang w:eastAsia="zh-CN"/>
        </w:rPr>
      </w:pPr>
      <w:r>
        <w:rPr>
          <w:lang w:val="zh-CN" w:eastAsia="zh-CN"/>
        </w:rPr>
        <w:t>2.3</w:t>
      </w:r>
      <w:r>
        <w:rPr>
          <w:lang w:val="zh-CN" w:eastAsia="zh-CN"/>
        </w:rPr>
        <w:tab/>
      </w:r>
      <w:r>
        <w:rPr>
          <w:lang w:val="zh-CN" w:eastAsia="zh-CN"/>
        </w:rPr>
        <w:t>这些支出在</w:t>
      </w:r>
      <w:hyperlink w:anchor="Annex_A" w:history="1">
        <w:r w:rsidR="00CC0735">
          <w:rPr>
            <w:rStyle w:val="Hyperlink"/>
            <w:lang w:val="en-US" w:eastAsia="zh-CN"/>
          </w:rPr>
          <w:t>附件</w:t>
        </w:r>
        <w:r w:rsidR="00CC0735">
          <w:rPr>
            <w:rStyle w:val="Hyperlink"/>
            <w:lang w:val="en-US" w:eastAsia="zh-CN"/>
          </w:rPr>
          <w:t>A</w:t>
        </w:r>
      </w:hyperlink>
      <w:r>
        <w:rPr>
          <w:lang w:val="zh-CN" w:eastAsia="zh-CN"/>
        </w:rPr>
        <w:t>的决议草案表格中归类为运营或资本支出。资本支出涉及寿命超过一年、估算价值超过</w:t>
      </w:r>
      <w:r>
        <w:rPr>
          <w:lang w:val="zh-CN" w:eastAsia="zh-CN"/>
        </w:rPr>
        <w:t>5</w:t>
      </w:r>
      <w:r w:rsidR="003446A7">
        <w:rPr>
          <w:lang w:val="zh-CN" w:eastAsia="zh-CN"/>
        </w:rPr>
        <w:t> </w:t>
      </w:r>
      <w:r>
        <w:rPr>
          <w:lang w:val="zh-CN" w:eastAsia="zh-CN"/>
        </w:rPr>
        <w:t>000</w:t>
      </w:r>
      <w:r>
        <w:rPr>
          <w:lang w:val="zh-CN" w:eastAsia="zh-CN"/>
        </w:rPr>
        <w:t>瑞郎的项目。国际电联</w:t>
      </w:r>
      <w:r>
        <w:rPr>
          <w:lang w:val="zh-CN" w:eastAsia="zh-CN"/>
        </w:rPr>
        <w:t>2026-2027</w:t>
      </w:r>
      <w:r>
        <w:rPr>
          <w:lang w:val="zh-CN" w:eastAsia="zh-CN"/>
        </w:rPr>
        <w:t>年双年度预算草案估计的资本支出总额为</w:t>
      </w:r>
      <w:r>
        <w:rPr>
          <w:lang w:val="zh-CN" w:eastAsia="zh-CN"/>
        </w:rPr>
        <w:t>84</w:t>
      </w:r>
      <w:r w:rsidR="00CC0735">
        <w:rPr>
          <w:lang w:val="zh-CN" w:eastAsia="zh-CN"/>
        </w:rPr>
        <w:t>.</w:t>
      </w:r>
      <w:r>
        <w:rPr>
          <w:lang w:val="zh-CN" w:eastAsia="zh-CN"/>
        </w:rPr>
        <w:t>2</w:t>
      </w:r>
      <w:proofErr w:type="gramStart"/>
      <w:r>
        <w:rPr>
          <w:lang w:val="zh-CN" w:eastAsia="zh-CN"/>
        </w:rPr>
        <w:t>万瑞</w:t>
      </w:r>
      <w:proofErr w:type="gramEnd"/>
      <w:r>
        <w:rPr>
          <w:lang w:val="zh-CN" w:eastAsia="zh-CN"/>
        </w:rPr>
        <w:t>郎（见附件</w:t>
      </w:r>
      <w:r>
        <w:rPr>
          <w:lang w:val="zh-CN" w:eastAsia="zh-CN"/>
        </w:rPr>
        <w:t>A</w:t>
      </w:r>
      <w:hyperlink w:anchor="table12" w:history="1">
        <w:r w:rsidR="00CC0735" w:rsidRPr="002E46E6">
          <w:rPr>
            <w:rStyle w:val="Hyperlink"/>
            <w:lang w:val="en-US" w:eastAsia="zh-CN"/>
          </w:rPr>
          <w:t>表</w:t>
        </w:r>
        <w:r w:rsidR="00CC0735" w:rsidRPr="002E46E6">
          <w:rPr>
            <w:rStyle w:val="Hyperlink"/>
            <w:lang w:val="en-US" w:eastAsia="zh-CN"/>
          </w:rPr>
          <w:t>12</w:t>
        </w:r>
      </w:hyperlink>
      <w:r>
        <w:rPr>
          <w:lang w:val="zh-CN" w:eastAsia="zh-CN"/>
        </w:rPr>
        <w:t>）。</w:t>
      </w:r>
    </w:p>
    <w:p w14:paraId="3DEE6DEA" w14:textId="32C0CEF0" w:rsidR="0084288C" w:rsidRDefault="0084288C" w:rsidP="0084288C">
      <w:pPr>
        <w:spacing w:before="0" w:after="240"/>
        <w:rPr>
          <w:b/>
          <w:bCs/>
          <w:color w:val="002060"/>
          <w:lang w:eastAsia="zh-CN"/>
        </w:rPr>
      </w:pPr>
      <w:r>
        <w:rPr>
          <w:lang w:val="zh-CN" w:eastAsia="zh-CN"/>
        </w:rPr>
        <w:t>2.4</w:t>
      </w:r>
      <w:r>
        <w:rPr>
          <w:lang w:val="zh-CN" w:eastAsia="zh-CN"/>
        </w:rPr>
        <w:tab/>
      </w:r>
      <w:r>
        <w:rPr>
          <w:lang w:val="zh-CN" w:eastAsia="zh-CN"/>
        </w:rPr>
        <w:t>这一期间的人员费用已下调，以考虑到因填补当前空缺和预期人员更替所花费时间（基于</w:t>
      </w:r>
      <w:r>
        <w:rPr>
          <w:lang w:val="zh-CN" w:eastAsia="zh-CN"/>
        </w:rPr>
        <w:t>2024</w:t>
      </w:r>
      <w:r>
        <w:rPr>
          <w:lang w:val="zh-CN" w:eastAsia="zh-CN"/>
        </w:rPr>
        <w:t>年的平均比率）而导致的年度费用减少。为使支出尽可能与财务规划保持一致，还进行了更多削减，同时考虑到各局和总秘书处的</w:t>
      </w:r>
      <w:r w:rsidR="00CC0735">
        <w:rPr>
          <w:lang w:val="zh-CN" w:eastAsia="zh-CN"/>
        </w:rPr>
        <w:t>重点</w:t>
      </w:r>
      <w:r>
        <w:rPr>
          <w:lang w:val="zh-CN" w:eastAsia="zh-CN"/>
        </w:rPr>
        <w:t>工作。</w:t>
      </w:r>
    </w:p>
    <w:p w14:paraId="7EFB7C33" w14:textId="29CFA9E0" w:rsidR="0084288C" w:rsidRPr="00324DB7" w:rsidRDefault="0084288C" w:rsidP="00BA2109">
      <w:pPr>
        <w:keepNext/>
        <w:keepLines/>
        <w:spacing w:after="240"/>
        <w:rPr>
          <w:b/>
          <w:bCs/>
          <w:color w:val="002060"/>
          <w:lang w:eastAsia="zh-CN"/>
        </w:rPr>
      </w:pPr>
      <w:r w:rsidRPr="003446A7">
        <w:rPr>
          <w:b/>
          <w:bCs/>
          <w:color w:val="002060"/>
          <w:lang w:eastAsia="zh-CN"/>
        </w:rPr>
        <w:lastRenderedPageBreak/>
        <w:t>3</w:t>
      </w:r>
      <w:r w:rsidR="00CC0735" w:rsidRPr="003446A7">
        <w:rPr>
          <w:b/>
          <w:bCs/>
          <w:color w:val="002060"/>
          <w:lang w:eastAsia="zh-CN"/>
        </w:rPr>
        <w:tab/>
      </w:r>
      <w:r w:rsidRPr="003446A7">
        <w:rPr>
          <w:b/>
          <w:bCs/>
          <w:color w:val="002060"/>
          <w:lang w:eastAsia="zh-CN"/>
        </w:rPr>
        <w:t>按部门分列的拨款</w:t>
      </w:r>
    </w:p>
    <w:p w14:paraId="10D8BAB3" w14:textId="732AB3DA" w:rsidR="0084288C" w:rsidRDefault="0084288C" w:rsidP="0084288C">
      <w:pPr>
        <w:spacing w:before="0" w:after="240"/>
        <w:rPr>
          <w:lang w:eastAsia="zh-CN"/>
        </w:rPr>
      </w:pPr>
      <w:r>
        <w:rPr>
          <w:lang w:val="zh-CN" w:eastAsia="zh-CN"/>
        </w:rPr>
        <w:t>3.1</w:t>
      </w:r>
      <w:r>
        <w:rPr>
          <w:lang w:val="zh-CN" w:eastAsia="zh-CN"/>
        </w:rPr>
        <w:tab/>
      </w:r>
      <w:r>
        <w:rPr>
          <w:lang w:val="zh-CN" w:eastAsia="zh-CN"/>
        </w:rPr>
        <w:t>本章提供了有关</w:t>
      </w:r>
      <w:r>
        <w:rPr>
          <w:lang w:val="zh-CN" w:eastAsia="zh-CN"/>
        </w:rPr>
        <w:t>2026-2027</w:t>
      </w:r>
      <w:r>
        <w:rPr>
          <w:lang w:val="zh-CN" w:eastAsia="zh-CN"/>
        </w:rPr>
        <w:t>年费用估算的更多信息。支出预算按《财务规则》第</w:t>
      </w:r>
      <w:r>
        <w:rPr>
          <w:lang w:val="zh-CN" w:eastAsia="zh-CN"/>
        </w:rPr>
        <w:t>6</w:t>
      </w:r>
      <w:r>
        <w:rPr>
          <w:lang w:val="zh-CN" w:eastAsia="zh-CN"/>
        </w:rPr>
        <w:t>条规定的项和分项列出了</w:t>
      </w:r>
      <w:r>
        <w:rPr>
          <w:lang w:val="zh-CN" w:eastAsia="zh-CN"/>
        </w:rPr>
        <w:t>2026-2027</w:t>
      </w:r>
      <w:r>
        <w:rPr>
          <w:lang w:val="zh-CN" w:eastAsia="zh-CN"/>
        </w:rPr>
        <w:t>年的拨款，并根据《财务规则》第</w:t>
      </w:r>
      <w:r>
        <w:rPr>
          <w:lang w:val="zh-CN" w:eastAsia="zh-CN"/>
        </w:rPr>
        <w:t>6</w:t>
      </w:r>
      <w:r w:rsidR="00CC0735">
        <w:rPr>
          <w:lang w:val="zh-CN" w:eastAsia="zh-CN"/>
        </w:rPr>
        <w:t>.</w:t>
      </w:r>
      <w:r>
        <w:rPr>
          <w:lang w:val="zh-CN" w:eastAsia="zh-CN"/>
        </w:rPr>
        <w:t>1</w:t>
      </w:r>
      <w:r>
        <w:rPr>
          <w:lang w:val="zh-CN" w:eastAsia="zh-CN"/>
        </w:rPr>
        <w:t>条按支出类别列出了拨款（见附件</w:t>
      </w:r>
      <w:r>
        <w:rPr>
          <w:lang w:val="zh-CN" w:eastAsia="zh-CN"/>
        </w:rPr>
        <w:t>2</w:t>
      </w:r>
      <w:r>
        <w:rPr>
          <w:lang w:val="zh-CN" w:eastAsia="zh-CN"/>
        </w:rPr>
        <w:t>中的预算决议草案）。在</w:t>
      </w:r>
      <w:r>
        <w:rPr>
          <w:lang w:val="zh-CN" w:eastAsia="zh-CN"/>
        </w:rPr>
        <w:t>2026-2027</w:t>
      </w:r>
      <w:r>
        <w:rPr>
          <w:lang w:val="zh-CN" w:eastAsia="zh-CN"/>
        </w:rPr>
        <w:t>年期间，国际电联将在总秘书处（</w:t>
      </w:r>
      <w:r>
        <w:rPr>
          <w:lang w:val="zh-CN" w:eastAsia="zh-CN"/>
        </w:rPr>
        <w:t>2026</w:t>
      </w:r>
      <w:r>
        <w:rPr>
          <w:lang w:val="zh-CN" w:eastAsia="zh-CN"/>
        </w:rPr>
        <w:t>年全权代表大会和</w:t>
      </w:r>
      <w:r>
        <w:rPr>
          <w:lang w:val="zh-CN" w:eastAsia="zh-CN"/>
        </w:rPr>
        <w:t>2026</w:t>
      </w:r>
      <w:r>
        <w:rPr>
          <w:lang w:val="zh-CN" w:eastAsia="zh-CN"/>
        </w:rPr>
        <w:t>年世界电信政策论坛）和无线电通信部门（</w:t>
      </w:r>
      <w:r>
        <w:rPr>
          <w:lang w:val="zh-CN" w:eastAsia="zh-CN"/>
        </w:rPr>
        <w:t>2027</w:t>
      </w:r>
      <w:r>
        <w:rPr>
          <w:lang w:val="zh-CN" w:eastAsia="zh-CN"/>
        </w:rPr>
        <w:t>年世界无线电通信大会）内举办世界大会，导致这些部门的</w:t>
      </w:r>
      <w:r w:rsidR="00CC0735">
        <w:rPr>
          <w:rFonts w:hint="eastAsia"/>
          <w:lang w:val="zh-CN" w:eastAsia="zh-CN"/>
        </w:rPr>
        <w:t>费用与</w:t>
      </w:r>
      <w:r>
        <w:rPr>
          <w:lang w:val="zh-CN" w:eastAsia="zh-CN"/>
        </w:rPr>
        <w:t>电信标准化部门和电信发展部门</w:t>
      </w:r>
      <w:r w:rsidR="00CC0735">
        <w:rPr>
          <w:rFonts w:hint="eastAsia"/>
          <w:lang w:val="zh-CN" w:eastAsia="zh-CN"/>
        </w:rPr>
        <w:t>相比</w:t>
      </w:r>
      <w:r>
        <w:rPr>
          <w:lang w:val="zh-CN" w:eastAsia="zh-CN"/>
        </w:rPr>
        <w:t>相对较高。</w:t>
      </w:r>
    </w:p>
    <w:p w14:paraId="657F1667" w14:textId="112A0E71" w:rsidR="0084288C" w:rsidRDefault="0084288C" w:rsidP="0084288C">
      <w:pPr>
        <w:spacing w:before="0" w:after="240"/>
        <w:rPr>
          <w:lang w:eastAsia="zh-CN"/>
        </w:rPr>
      </w:pPr>
      <w:r>
        <w:rPr>
          <w:lang w:val="zh-CN" w:eastAsia="zh-CN"/>
        </w:rPr>
        <w:t>3.2</w:t>
      </w:r>
      <w:r>
        <w:rPr>
          <w:lang w:val="zh-CN" w:eastAsia="zh-CN"/>
        </w:rPr>
        <w:tab/>
      </w:r>
      <w:r>
        <w:rPr>
          <w:lang w:val="zh-CN" w:eastAsia="zh-CN"/>
        </w:rPr>
        <w:t>下表显示了各部门的支出，并将</w:t>
      </w:r>
      <w:r>
        <w:rPr>
          <w:lang w:val="zh-CN" w:eastAsia="zh-CN"/>
        </w:rPr>
        <w:t>2026-2027</w:t>
      </w:r>
      <w:r>
        <w:rPr>
          <w:lang w:val="zh-CN" w:eastAsia="zh-CN"/>
        </w:rPr>
        <w:t>年的估算数与</w:t>
      </w:r>
      <w:r>
        <w:rPr>
          <w:lang w:val="zh-CN" w:eastAsia="zh-CN"/>
        </w:rPr>
        <w:t>2024-2025</w:t>
      </w:r>
      <w:r>
        <w:rPr>
          <w:lang w:val="zh-CN" w:eastAsia="zh-CN"/>
        </w:rPr>
        <w:t>年的预算在</w:t>
      </w:r>
      <w:r w:rsidR="00CC0735">
        <w:rPr>
          <w:rFonts w:hint="eastAsia"/>
          <w:lang w:val="zh-CN" w:eastAsia="zh-CN"/>
        </w:rPr>
        <w:t>项目</w:t>
      </w:r>
      <w:r>
        <w:rPr>
          <w:lang w:val="zh-CN" w:eastAsia="zh-CN"/>
        </w:rPr>
        <w:t>变化、</w:t>
      </w:r>
      <w:r w:rsidR="00100E86">
        <w:rPr>
          <w:rFonts w:hint="eastAsia"/>
          <w:lang w:val="zh-CN" w:eastAsia="zh-CN"/>
        </w:rPr>
        <w:t>费用</w:t>
      </w:r>
      <w:r>
        <w:rPr>
          <w:lang w:val="zh-CN" w:eastAsia="zh-CN"/>
        </w:rPr>
        <w:t>增加和实际增长</w:t>
      </w:r>
      <w:proofErr w:type="gramStart"/>
      <w:r>
        <w:rPr>
          <w:lang w:val="zh-CN" w:eastAsia="zh-CN"/>
        </w:rPr>
        <w:t>值方面</w:t>
      </w:r>
      <w:proofErr w:type="gramEnd"/>
      <w:r>
        <w:rPr>
          <w:lang w:val="zh-CN" w:eastAsia="zh-CN"/>
        </w:rPr>
        <w:t>进行了比较。</w:t>
      </w:r>
    </w:p>
    <w:p w14:paraId="578B6228" w14:textId="2C27F435" w:rsidR="0084288C" w:rsidRDefault="003241A0" w:rsidP="006D3301">
      <w:pPr>
        <w:pStyle w:val="Figure"/>
        <w:rPr>
          <w:lang w:eastAsia="zh-CN"/>
        </w:rPr>
      </w:pPr>
      <w:r w:rsidRPr="003241A0">
        <w:rPr>
          <w:noProof/>
        </w:rPr>
        <w:drawing>
          <wp:inline distT="0" distB="0" distL="0" distR="0" wp14:anchorId="5F890465" wp14:editId="43AF7584">
            <wp:extent cx="5760085" cy="1463675"/>
            <wp:effectExtent l="0" t="0" r="0" b="3175"/>
            <wp:docPr id="2142166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1463675"/>
                    </a:xfrm>
                    <a:prstGeom prst="rect">
                      <a:avLst/>
                    </a:prstGeom>
                    <a:noFill/>
                    <a:ln>
                      <a:noFill/>
                    </a:ln>
                  </pic:spPr>
                </pic:pic>
              </a:graphicData>
            </a:graphic>
          </wp:inline>
        </w:drawing>
      </w:r>
    </w:p>
    <w:p w14:paraId="19417239" w14:textId="6FF73B1A" w:rsidR="0084288C" w:rsidRDefault="0084288C" w:rsidP="0084288C">
      <w:pPr>
        <w:spacing w:before="360"/>
        <w:rPr>
          <w:lang w:eastAsia="zh-CN"/>
        </w:rPr>
      </w:pPr>
      <w:r>
        <w:rPr>
          <w:lang w:val="zh-CN" w:eastAsia="zh-CN"/>
        </w:rPr>
        <w:t>3.3</w:t>
      </w:r>
      <w:r>
        <w:rPr>
          <w:lang w:val="zh-CN" w:eastAsia="zh-CN"/>
        </w:rPr>
        <w:tab/>
      </w:r>
      <w:r>
        <w:rPr>
          <w:lang w:val="zh-CN" w:eastAsia="zh-CN"/>
        </w:rPr>
        <w:t>下图按类别列出了</w:t>
      </w:r>
      <w:r>
        <w:rPr>
          <w:lang w:val="zh-CN" w:eastAsia="zh-CN"/>
        </w:rPr>
        <w:t>2026-2027</w:t>
      </w:r>
      <w:r>
        <w:rPr>
          <w:lang w:val="zh-CN" w:eastAsia="zh-CN"/>
        </w:rPr>
        <w:t>年的估算数。其他</w:t>
      </w:r>
      <w:r w:rsidR="00100E86">
        <w:rPr>
          <w:rFonts w:hint="eastAsia"/>
          <w:lang w:val="zh-CN" w:eastAsia="zh-CN"/>
        </w:rPr>
        <w:t>费用</w:t>
      </w:r>
      <w:r>
        <w:rPr>
          <w:lang w:val="zh-CN" w:eastAsia="zh-CN"/>
        </w:rPr>
        <w:t>包括材料和用品、场地购置、公共和内部服务、审计和机构</w:t>
      </w:r>
      <w:proofErr w:type="gramStart"/>
      <w:r>
        <w:rPr>
          <w:lang w:val="zh-CN" w:eastAsia="zh-CN"/>
        </w:rPr>
        <w:t>间费用</w:t>
      </w:r>
      <w:proofErr w:type="gramEnd"/>
      <w:r>
        <w:rPr>
          <w:lang w:val="zh-CN" w:eastAsia="zh-CN"/>
        </w:rPr>
        <w:t>以及杂项费用。人员和其他人员费用占总预算的</w:t>
      </w:r>
      <w:r>
        <w:rPr>
          <w:lang w:val="zh-CN" w:eastAsia="zh-CN"/>
        </w:rPr>
        <w:t>81</w:t>
      </w:r>
      <w:r w:rsidR="00100E86">
        <w:rPr>
          <w:lang w:val="zh-CN" w:eastAsia="zh-CN"/>
        </w:rPr>
        <w:t>.</w:t>
      </w:r>
      <w:r>
        <w:rPr>
          <w:lang w:val="zh-CN" w:eastAsia="zh-CN"/>
        </w:rPr>
        <w:t>5%</w:t>
      </w:r>
      <w:r>
        <w:rPr>
          <w:lang w:val="zh-CN" w:eastAsia="zh-CN"/>
        </w:rPr>
        <w:t>以上。</w:t>
      </w:r>
    </w:p>
    <w:p w14:paraId="7EC7B870" w14:textId="2565BE23" w:rsidR="0084288C" w:rsidRDefault="00E10E79" w:rsidP="006D3301">
      <w:pPr>
        <w:pStyle w:val="Figure"/>
        <w:rPr>
          <w:lang w:eastAsia="zh-CN"/>
        </w:rPr>
      </w:pPr>
      <w:r>
        <w:rPr>
          <w:noProof/>
          <w:lang w:eastAsia="zh-CN"/>
        </w:rPr>
        <w:drawing>
          <wp:inline distT="0" distB="0" distL="0" distR="0" wp14:anchorId="05D8D85A" wp14:editId="064C42BA">
            <wp:extent cx="3540369" cy="27083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1519" cy="2716896"/>
                    </a:xfrm>
                    <a:prstGeom prst="rect">
                      <a:avLst/>
                    </a:prstGeom>
                    <a:noFill/>
                  </pic:spPr>
                </pic:pic>
              </a:graphicData>
            </a:graphic>
          </wp:inline>
        </w:drawing>
      </w:r>
    </w:p>
    <w:p w14:paraId="4EFBA8AF" w14:textId="77777777" w:rsidR="0084288C" w:rsidRDefault="0084288C" w:rsidP="0084288C">
      <w:pPr>
        <w:spacing w:before="0"/>
        <w:jc w:val="center"/>
        <w:rPr>
          <w:lang w:eastAsia="zh-CN"/>
        </w:rPr>
      </w:pPr>
    </w:p>
    <w:p w14:paraId="27830F20" w14:textId="77777777" w:rsidR="0084288C" w:rsidRDefault="0084288C" w:rsidP="0084288C">
      <w:pPr>
        <w:spacing w:before="0" w:after="240"/>
        <w:rPr>
          <w:lang w:eastAsia="zh-CN"/>
        </w:rPr>
      </w:pPr>
      <w:r>
        <w:rPr>
          <w:lang w:val="zh-CN" w:eastAsia="zh-CN"/>
        </w:rPr>
        <w:t>3.4</w:t>
      </w:r>
      <w:r>
        <w:rPr>
          <w:lang w:val="zh-CN" w:eastAsia="zh-CN"/>
        </w:rPr>
        <w:tab/>
      </w:r>
      <w:r>
        <w:rPr>
          <w:lang w:val="zh-CN" w:eastAsia="zh-CN"/>
        </w:rPr>
        <w:t>费用估算基于</w:t>
      </w:r>
      <w:r>
        <w:rPr>
          <w:lang w:val="zh-CN" w:eastAsia="zh-CN"/>
        </w:rPr>
        <w:t>2025</w:t>
      </w:r>
      <w:r>
        <w:rPr>
          <w:lang w:val="zh-CN" w:eastAsia="zh-CN"/>
        </w:rPr>
        <w:t>年</w:t>
      </w:r>
      <w:r>
        <w:rPr>
          <w:lang w:val="zh-CN" w:eastAsia="zh-CN"/>
        </w:rPr>
        <w:t>1</w:t>
      </w:r>
      <w:r>
        <w:rPr>
          <w:lang w:val="zh-CN" w:eastAsia="zh-CN"/>
        </w:rPr>
        <w:t>月</w:t>
      </w:r>
      <w:r>
        <w:rPr>
          <w:lang w:val="zh-CN" w:eastAsia="zh-CN"/>
        </w:rPr>
        <w:t>1</w:t>
      </w:r>
      <w:r>
        <w:rPr>
          <w:lang w:val="zh-CN" w:eastAsia="zh-CN"/>
        </w:rPr>
        <w:t>日的真实价值。服务条件是截至</w:t>
      </w:r>
      <w:r>
        <w:rPr>
          <w:lang w:val="zh-CN" w:eastAsia="zh-CN"/>
        </w:rPr>
        <w:t>2025</w:t>
      </w:r>
      <w:r>
        <w:rPr>
          <w:lang w:val="zh-CN" w:eastAsia="zh-CN"/>
        </w:rPr>
        <w:t>年</w:t>
      </w:r>
      <w:r>
        <w:rPr>
          <w:lang w:val="zh-CN" w:eastAsia="zh-CN"/>
        </w:rPr>
        <w:t>1</w:t>
      </w:r>
      <w:r>
        <w:rPr>
          <w:lang w:val="zh-CN" w:eastAsia="zh-CN"/>
        </w:rPr>
        <w:t>月</w:t>
      </w:r>
      <w:r>
        <w:rPr>
          <w:lang w:val="zh-CN" w:eastAsia="zh-CN"/>
        </w:rPr>
        <w:t>1</w:t>
      </w:r>
      <w:r>
        <w:rPr>
          <w:lang w:val="zh-CN" w:eastAsia="zh-CN"/>
        </w:rPr>
        <w:t>日联合国共同制度的现行条件。</w:t>
      </w:r>
    </w:p>
    <w:p w14:paraId="69E81863" w14:textId="77777777" w:rsidR="0084288C" w:rsidRPr="00177AA2" w:rsidRDefault="0084288C" w:rsidP="006679D9">
      <w:pPr>
        <w:keepNext/>
        <w:keepLines/>
        <w:spacing w:before="0" w:after="120"/>
        <w:rPr>
          <w:lang w:eastAsia="zh-CN"/>
        </w:rPr>
      </w:pPr>
      <w:r>
        <w:rPr>
          <w:lang w:val="zh-CN" w:eastAsia="zh-CN"/>
        </w:rPr>
        <w:lastRenderedPageBreak/>
        <w:t>3.5</w:t>
      </w:r>
      <w:r>
        <w:rPr>
          <w:lang w:val="zh-CN" w:eastAsia="zh-CN"/>
        </w:rPr>
        <w:tab/>
        <w:t>2023</w:t>
      </w:r>
      <w:r>
        <w:rPr>
          <w:lang w:val="zh-CN" w:eastAsia="zh-CN"/>
        </w:rPr>
        <w:t>年</w:t>
      </w:r>
      <w:r>
        <w:rPr>
          <w:lang w:val="zh-CN" w:eastAsia="zh-CN"/>
        </w:rPr>
        <w:t>1</w:t>
      </w:r>
      <w:r>
        <w:rPr>
          <w:lang w:val="zh-CN" w:eastAsia="zh-CN"/>
        </w:rPr>
        <w:t>月</w:t>
      </w:r>
      <w:r>
        <w:rPr>
          <w:lang w:val="zh-CN" w:eastAsia="zh-CN"/>
        </w:rPr>
        <w:t>1</w:t>
      </w:r>
      <w:r>
        <w:rPr>
          <w:lang w:val="zh-CN" w:eastAsia="zh-CN"/>
        </w:rPr>
        <w:t>日（</w:t>
      </w:r>
      <w:r>
        <w:rPr>
          <w:lang w:val="zh-CN" w:eastAsia="zh-CN"/>
        </w:rPr>
        <w:t>2024-2025</w:t>
      </w:r>
      <w:r>
        <w:rPr>
          <w:lang w:val="zh-CN" w:eastAsia="zh-CN"/>
        </w:rPr>
        <w:t>年预算的基础）与</w:t>
      </w:r>
      <w:r>
        <w:rPr>
          <w:lang w:val="zh-CN" w:eastAsia="zh-CN"/>
        </w:rPr>
        <w:t>2025</w:t>
      </w:r>
      <w:r>
        <w:rPr>
          <w:lang w:val="zh-CN" w:eastAsia="zh-CN"/>
        </w:rPr>
        <w:t>年</w:t>
      </w:r>
      <w:r>
        <w:rPr>
          <w:lang w:val="zh-CN" w:eastAsia="zh-CN"/>
        </w:rPr>
        <w:t>1</w:t>
      </w:r>
      <w:r>
        <w:rPr>
          <w:lang w:val="zh-CN" w:eastAsia="zh-CN"/>
        </w:rPr>
        <w:t>月</w:t>
      </w:r>
      <w:r>
        <w:rPr>
          <w:lang w:val="zh-CN" w:eastAsia="zh-CN"/>
        </w:rPr>
        <w:t>1</w:t>
      </w:r>
      <w:r>
        <w:rPr>
          <w:lang w:val="zh-CN" w:eastAsia="zh-CN"/>
        </w:rPr>
        <w:t>日之间的费用增长估计为</w:t>
      </w:r>
      <w:r>
        <w:rPr>
          <w:lang w:val="zh-CN" w:eastAsia="zh-CN"/>
        </w:rPr>
        <w:t>735</w:t>
      </w:r>
      <w:proofErr w:type="gramStart"/>
      <w:r>
        <w:rPr>
          <w:lang w:val="zh-CN" w:eastAsia="zh-CN"/>
        </w:rPr>
        <w:t>万瑞</w:t>
      </w:r>
      <w:proofErr w:type="gramEnd"/>
      <w:r>
        <w:rPr>
          <w:lang w:val="zh-CN" w:eastAsia="zh-CN"/>
        </w:rPr>
        <w:t>郎，主要原因是：</w:t>
      </w:r>
    </w:p>
    <w:p w14:paraId="07FC7F09" w14:textId="7120B78E" w:rsidR="0084288C" w:rsidRPr="00177AA2" w:rsidRDefault="003241A0" w:rsidP="006679D9">
      <w:pPr>
        <w:pStyle w:val="enumlev1"/>
        <w:keepNext/>
        <w:keepLines/>
        <w:rPr>
          <w:lang w:eastAsia="zh-CN"/>
        </w:rPr>
      </w:pPr>
      <w:r w:rsidRPr="003241A0">
        <w:rPr>
          <w:lang w:val="zh-CN" w:eastAsia="zh-CN"/>
        </w:rPr>
        <w:t>–</w:t>
      </w:r>
      <w:r>
        <w:rPr>
          <w:lang w:val="zh-CN" w:eastAsia="zh-CN"/>
        </w:rPr>
        <w:tab/>
      </w:r>
      <w:r w:rsidR="0084288C">
        <w:rPr>
          <w:lang w:val="zh-CN" w:eastAsia="zh-CN"/>
        </w:rPr>
        <w:t>专业及以上职类</w:t>
      </w:r>
      <w:r w:rsidR="00E610AD">
        <w:rPr>
          <w:rFonts w:hint="eastAsia"/>
          <w:lang w:val="zh-CN" w:eastAsia="zh-CN"/>
        </w:rPr>
        <w:t>职员</w:t>
      </w:r>
      <w:r w:rsidR="0084288C">
        <w:rPr>
          <w:lang w:val="zh-CN" w:eastAsia="zh-CN"/>
        </w:rPr>
        <w:t>的人员和其他人员费用增加</w:t>
      </w:r>
      <w:r w:rsidR="0084288C">
        <w:rPr>
          <w:lang w:val="zh-CN" w:eastAsia="zh-CN"/>
        </w:rPr>
        <w:t>3</w:t>
      </w:r>
      <w:r w:rsidR="00E610AD">
        <w:rPr>
          <w:lang w:val="zh-CN" w:eastAsia="zh-CN"/>
        </w:rPr>
        <w:t>.</w:t>
      </w:r>
      <w:r w:rsidR="0084288C">
        <w:rPr>
          <w:lang w:val="zh-CN" w:eastAsia="zh-CN"/>
        </w:rPr>
        <w:t>01%</w:t>
      </w:r>
      <w:r w:rsidR="0084288C">
        <w:rPr>
          <w:lang w:val="zh-CN" w:eastAsia="zh-CN"/>
        </w:rPr>
        <w:t>。</w:t>
      </w:r>
    </w:p>
    <w:p w14:paraId="7CA2336A" w14:textId="0CB4D695" w:rsidR="0084288C" w:rsidRPr="00177AA2" w:rsidRDefault="003241A0" w:rsidP="006679D9">
      <w:pPr>
        <w:pStyle w:val="enumlev1"/>
        <w:keepNext/>
        <w:keepLines/>
        <w:rPr>
          <w:lang w:eastAsia="zh-CN"/>
        </w:rPr>
      </w:pPr>
      <w:r w:rsidRPr="003241A0">
        <w:rPr>
          <w:lang w:val="zh-CN" w:eastAsia="zh-CN"/>
        </w:rPr>
        <w:t>–</w:t>
      </w:r>
      <w:r>
        <w:rPr>
          <w:lang w:val="zh-CN" w:eastAsia="zh-CN"/>
        </w:rPr>
        <w:tab/>
      </w:r>
      <w:r w:rsidR="0084288C">
        <w:rPr>
          <w:lang w:val="zh-CN" w:eastAsia="zh-CN"/>
        </w:rPr>
        <w:t>一般事务职类</w:t>
      </w:r>
      <w:r w:rsidR="00E610AD">
        <w:rPr>
          <w:rFonts w:hint="eastAsia"/>
          <w:lang w:val="zh-CN" w:eastAsia="zh-CN"/>
        </w:rPr>
        <w:t>的</w:t>
      </w:r>
      <w:r w:rsidR="0084288C">
        <w:rPr>
          <w:lang w:val="zh-CN" w:eastAsia="zh-CN"/>
        </w:rPr>
        <w:t>人员和其他人员费用增加</w:t>
      </w:r>
      <w:r w:rsidR="0084288C">
        <w:rPr>
          <w:lang w:val="zh-CN" w:eastAsia="zh-CN"/>
        </w:rPr>
        <w:t>1</w:t>
      </w:r>
      <w:r w:rsidR="00E610AD">
        <w:rPr>
          <w:lang w:val="zh-CN" w:eastAsia="zh-CN"/>
        </w:rPr>
        <w:t>.</w:t>
      </w:r>
      <w:r w:rsidR="0084288C">
        <w:rPr>
          <w:lang w:val="zh-CN" w:eastAsia="zh-CN"/>
        </w:rPr>
        <w:t>92%</w:t>
      </w:r>
      <w:r w:rsidR="0084288C">
        <w:rPr>
          <w:lang w:val="zh-CN" w:eastAsia="zh-CN"/>
        </w:rPr>
        <w:t>。</w:t>
      </w:r>
    </w:p>
    <w:p w14:paraId="759B5DB8" w14:textId="1098D4D1" w:rsidR="0084288C" w:rsidRPr="00177AA2" w:rsidRDefault="003241A0" w:rsidP="003241A0">
      <w:pPr>
        <w:pStyle w:val="enumlev1"/>
        <w:spacing w:after="120"/>
        <w:rPr>
          <w:lang w:eastAsia="zh-CN"/>
        </w:rPr>
      </w:pPr>
      <w:r w:rsidRPr="003241A0">
        <w:rPr>
          <w:lang w:val="zh-CN" w:eastAsia="zh-CN"/>
        </w:rPr>
        <w:t>–</w:t>
      </w:r>
      <w:r>
        <w:rPr>
          <w:lang w:val="zh-CN" w:eastAsia="zh-CN"/>
        </w:rPr>
        <w:tab/>
      </w:r>
      <w:r w:rsidR="0084288C">
        <w:rPr>
          <w:lang w:val="zh-CN" w:eastAsia="zh-CN"/>
        </w:rPr>
        <w:t>2023</w:t>
      </w:r>
      <w:r w:rsidR="0084288C">
        <w:rPr>
          <w:lang w:val="zh-CN" w:eastAsia="zh-CN"/>
        </w:rPr>
        <w:t>年</w:t>
      </w:r>
      <w:r w:rsidR="0084288C">
        <w:rPr>
          <w:lang w:val="zh-CN" w:eastAsia="zh-CN"/>
        </w:rPr>
        <w:t>1</w:t>
      </w:r>
      <w:r w:rsidR="0084288C">
        <w:rPr>
          <w:lang w:val="zh-CN" w:eastAsia="zh-CN"/>
        </w:rPr>
        <w:t>月至</w:t>
      </w:r>
      <w:r w:rsidR="0084288C">
        <w:rPr>
          <w:lang w:val="zh-CN" w:eastAsia="zh-CN"/>
        </w:rPr>
        <w:t>2025</w:t>
      </w:r>
      <w:r w:rsidR="0084288C">
        <w:rPr>
          <w:lang w:val="zh-CN" w:eastAsia="zh-CN"/>
        </w:rPr>
        <w:t>年</w:t>
      </w:r>
      <w:r w:rsidR="0084288C">
        <w:rPr>
          <w:lang w:val="zh-CN" w:eastAsia="zh-CN"/>
        </w:rPr>
        <w:t>1</w:t>
      </w:r>
      <w:r w:rsidR="0084288C">
        <w:rPr>
          <w:lang w:val="zh-CN" w:eastAsia="zh-CN"/>
        </w:rPr>
        <w:t>月期间的通货膨胀率为</w:t>
      </w:r>
      <w:r w:rsidR="0084288C">
        <w:rPr>
          <w:lang w:val="zh-CN" w:eastAsia="zh-CN"/>
        </w:rPr>
        <w:t>1</w:t>
      </w:r>
      <w:r w:rsidR="00E610AD">
        <w:rPr>
          <w:lang w:val="zh-CN" w:eastAsia="zh-CN"/>
        </w:rPr>
        <w:t>.</w:t>
      </w:r>
      <w:r w:rsidR="0084288C">
        <w:rPr>
          <w:lang w:val="zh-CN" w:eastAsia="zh-CN"/>
        </w:rPr>
        <w:t>2%</w:t>
      </w:r>
      <w:r w:rsidR="0084288C">
        <w:rPr>
          <w:lang w:val="zh-CN" w:eastAsia="zh-CN"/>
        </w:rPr>
        <w:t>。</w:t>
      </w:r>
    </w:p>
    <w:p w14:paraId="6467518E" w14:textId="0EC83C9D" w:rsidR="0084288C" w:rsidRDefault="0084288C" w:rsidP="0084288C">
      <w:pPr>
        <w:spacing w:before="0" w:after="240"/>
        <w:rPr>
          <w:lang w:eastAsia="zh-CN"/>
        </w:rPr>
      </w:pPr>
      <w:r>
        <w:rPr>
          <w:lang w:val="zh-CN" w:eastAsia="zh-CN"/>
        </w:rPr>
        <w:t>3.6</w:t>
      </w:r>
      <w:r>
        <w:rPr>
          <w:lang w:val="zh-CN" w:eastAsia="zh-CN"/>
        </w:rPr>
        <w:tab/>
      </w:r>
      <w:r>
        <w:rPr>
          <w:lang w:val="zh-CN" w:eastAsia="zh-CN"/>
        </w:rPr>
        <w:t>为提供成员所要求的服务并实施战略规划（</w:t>
      </w:r>
      <w:r>
        <w:rPr>
          <w:lang w:val="zh-CN" w:eastAsia="zh-CN"/>
        </w:rPr>
        <w:t>2022</w:t>
      </w:r>
      <w:r>
        <w:rPr>
          <w:lang w:val="zh-CN" w:eastAsia="zh-CN"/>
        </w:rPr>
        <w:t>年，布加勒斯特）和国际电联的主要大会，拟在</w:t>
      </w:r>
      <w:r>
        <w:rPr>
          <w:lang w:val="zh-CN" w:eastAsia="zh-CN"/>
        </w:rPr>
        <w:t>2026-2027</w:t>
      </w:r>
      <w:r>
        <w:rPr>
          <w:lang w:val="zh-CN" w:eastAsia="zh-CN"/>
        </w:rPr>
        <w:t>年开展的工作项目估计净增</w:t>
      </w:r>
      <w:r>
        <w:rPr>
          <w:lang w:val="zh-CN" w:eastAsia="zh-CN"/>
        </w:rPr>
        <w:t>560</w:t>
      </w:r>
      <w:proofErr w:type="gramStart"/>
      <w:r>
        <w:rPr>
          <w:lang w:val="zh-CN" w:eastAsia="zh-CN"/>
        </w:rPr>
        <w:t>万瑞</w:t>
      </w:r>
      <w:proofErr w:type="gramEnd"/>
      <w:r>
        <w:rPr>
          <w:lang w:val="zh-CN" w:eastAsia="zh-CN"/>
        </w:rPr>
        <w:t>郎，即</w:t>
      </w:r>
      <w:r>
        <w:rPr>
          <w:lang w:val="zh-CN" w:eastAsia="zh-CN"/>
        </w:rPr>
        <w:t>2024-2025</w:t>
      </w:r>
      <w:r>
        <w:rPr>
          <w:lang w:val="zh-CN" w:eastAsia="zh-CN"/>
        </w:rPr>
        <w:t>年预算的</w:t>
      </w:r>
      <w:r>
        <w:rPr>
          <w:lang w:val="zh-CN" w:eastAsia="zh-CN"/>
        </w:rPr>
        <w:t>1</w:t>
      </w:r>
      <w:r w:rsidR="00E610AD">
        <w:rPr>
          <w:lang w:val="zh-CN" w:eastAsia="zh-CN"/>
        </w:rPr>
        <w:t>.</w:t>
      </w:r>
      <w:r>
        <w:rPr>
          <w:lang w:val="zh-CN" w:eastAsia="zh-CN"/>
        </w:rPr>
        <w:t>7%</w:t>
      </w:r>
      <w:r>
        <w:rPr>
          <w:lang w:val="zh-CN" w:eastAsia="zh-CN"/>
        </w:rPr>
        <w:t>。</w:t>
      </w:r>
      <w:r>
        <w:rPr>
          <w:lang w:val="zh-CN" w:eastAsia="zh-CN"/>
        </w:rPr>
        <w:t>2026-2027</w:t>
      </w:r>
      <w:r>
        <w:rPr>
          <w:lang w:val="zh-CN" w:eastAsia="zh-CN"/>
        </w:rPr>
        <w:t>年和</w:t>
      </w:r>
      <w:r>
        <w:rPr>
          <w:lang w:val="zh-CN" w:eastAsia="zh-CN"/>
        </w:rPr>
        <w:t>2024-2025</w:t>
      </w:r>
      <w:r>
        <w:rPr>
          <w:lang w:val="zh-CN" w:eastAsia="zh-CN"/>
        </w:rPr>
        <w:t>年期间</w:t>
      </w:r>
      <w:r w:rsidR="00E610AD">
        <w:rPr>
          <w:rFonts w:hint="eastAsia"/>
          <w:lang w:val="zh-CN" w:eastAsia="zh-CN"/>
        </w:rPr>
        <w:t>项目</w:t>
      </w:r>
      <w:r>
        <w:rPr>
          <w:lang w:val="zh-CN" w:eastAsia="zh-CN"/>
        </w:rPr>
        <w:t>变化的主要组成部分如下：</w:t>
      </w:r>
    </w:p>
    <w:p w14:paraId="6AB09C36" w14:textId="61269402" w:rsidR="0084288C" w:rsidRDefault="003241A0" w:rsidP="006D3301">
      <w:pPr>
        <w:pStyle w:val="Figure"/>
        <w:rPr>
          <w:lang w:eastAsia="zh-CN"/>
        </w:rPr>
      </w:pPr>
      <w:r w:rsidRPr="003241A0">
        <w:rPr>
          <w:noProof/>
        </w:rPr>
        <w:drawing>
          <wp:inline distT="0" distB="0" distL="0" distR="0" wp14:anchorId="669BEEBD" wp14:editId="283D53B1">
            <wp:extent cx="5760085" cy="3108960"/>
            <wp:effectExtent l="0" t="0" r="0" b="0"/>
            <wp:docPr id="15722628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3108960"/>
                    </a:xfrm>
                    <a:prstGeom prst="rect">
                      <a:avLst/>
                    </a:prstGeom>
                    <a:noFill/>
                    <a:ln>
                      <a:noFill/>
                    </a:ln>
                  </pic:spPr>
                </pic:pic>
              </a:graphicData>
            </a:graphic>
          </wp:inline>
        </w:drawing>
      </w:r>
    </w:p>
    <w:p w14:paraId="1465A57A" w14:textId="2B0C814E" w:rsidR="0084288C" w:rsidRDefault="0084288C" w:rsidP="0084288C">
      <w:pPr>
        <w:spacing w:before="360"/>
        <w:rPr>
          <w:lang w:eastAsia="zh-CN"/>
        </w:rPr>
      </w:pPr>
      <w:r>
        <w:rPr>
          <w:lang w:val="zh-CN" w:eastAsia="zh-CN"/>
        </w:rPr>
        <w:t>3.7</w:t>
      </w:r>
      <w:r>
        <w:rPr>
          <w:lang w:val="zh-CN" w:eastAsia="zh-CN"/>
        </w:rPr>
        <w:tab/>
        <w:t>2024-2025</w:t>
      </w:r>
      <w:r>
        <w:rPr>
          <w:lang w:val="zh-CN" w:eastAsia="zh-CN"/>
        </w:rPr>
        <w:t>年预算和</w:t>
      </w:r>
      <w:r>
        <w:rPr>
          <w:lang w:val="zh-CN" w:eastAsia="zh-CN"/>
        </w:rPr>
        <w:t>2026-2027</w:t>
      </w:r>
      <w:r>
        <w:rPr>
          <w:lang w:val="zh-CN" w:eastAsia="zh-CN"/>
        </w:rPr>
        <w:t>年预算草案期间的</w:t>
      </w:r>
      <w:r w:rsidR="0017750B">
        <w:rPr>
          <w:rFonts w:hint="eastAsia"/>
          <w:lang w:val="zh-CN" w:eastAsia="zh-CN"/>
        </w:rPr>
        <w:t>“</w:t>
      </w:r>
      <w:r>
        <w:rPr>
          <w:lang w:val="zh-CN" w:eastAsia="zh-CN"/>
        </w:rPr>
        <w:t>实际增长</w:t>
      </w:r>
      <w:r w:rsidR="0017750B">
        <w:rPr>
          <w:rFonts w:hint="eastAsia"/>
          <w:lang w:val="zh-CN" w:eastAsia="zh-CN"/>
        </w:rPr>
        <w:t>”</w:t>
      </w:r>
      <w:r>
        <w:rPr>
          <w:lang w:val="zh-CN" w:eastAsia="zh-CN"/>
        </w:rPr>
        <w:t>为负数，为</w:t>
      </w:r>
      <w:r>
        <w:rPr>
          <w:lang w:val="zh-CN" w:eastAsia="zh-CN"/>
        </w:rPr>
        <w:t>-87</w:t>
      </w:r>
      <w:r w:rsidR="003C0B3B">
        <w:rPr>
          <w:lang w:val="zh-CN" w:eastAsia="zh-CN"/>
        </w:rPr>
        <w:t>0</w:t>
      </w:r>
      <w:proofErr w:type="gramStart"/>
      <w:r w:rsidR="003C0B3B">
        <w:rPr>
          <w:rFonts w:hint="eastAsia"/>
          <w:lang w:val="zh-CN" w:eastAsia="zh-CN"/>
        </w:rPr>
        <w:t>万瑞</w:t>
      </w:r>
      <w:proofErr w:type="gramEnd"/>
      <w:r w:rsidR="003C0B3B">
        <w:rPr>
          <w:rFonts w:hint="eastAsia"/>
          <w:lang w:val="zh-CN" w:eastAsia="zh-CN"/>
        </w:rPr>
        <w:t>郎</w:t>
      </w:r>
      <w:r>
        <w:rPr>
          <w:lang w:val="zh-CN" w:eastAsia="zh-CN"/>
        </w:rPr>
        <w:t>或</w:t>
      </w:r>
      <w:r>
        <w:rPr>
          <w:lang w:val="zh-CN" w:eastAsia="zh-CN"/>
        </w:rPr>
        <w:t>-2</w:t>
      </w:r>
      <w:r w:rsidR="003C0B3B">
        <w:rPr>
          <w:lang w:val="zh-CN" w:eastAsia="zh-CN"/>
        </w:rPr>
        <w:t>.</w:t>
      </w:r>
      <w:r>
        <w:rPr>
          <w:lang w:val="zh-CN" w:eastAsia="zh-CN"/>
        </w:rPr>
        <w:t>66%</w:t>
      </w:r>
      <w:r>
        <w:rPr>
          <w:lang w:val="zh-CN" w:eastAsia="zh-CN"/>
        </w:rPr>
        <w:t>。这一减少是已采取的各种增效措施的结果，其中包括：</w:t>
      </w:r>
    </w:p>
    <w:p w14:paraId="1A89F557" w14:textId="19C9630E" w:rsidR="0084288C" w:rsidRPr="00280D9B" w:rsidRDefault="0084288C" w:rsidP="0084288C">
      <w:pPr>
        <w:pStyle w:val="enumlev2"/>
        <w:rPr>
          <w:lang w:eastAsia="zh-CN"/>
        </w:rPr>
      </w:pPr>
      <w:r>
        <w:rPr>
          <w:lang w:val="zh-CN" w:eastAsia="zh-CN"/>
        </w:rPr>
        <w:t>a)</w:t>
      </w:r>
      <w:r w:rsidR="003C0B3B">
        <w:rPr>
          <w:lang w:val="zh-CN" w:eastAsia="zh-CN"/>
        </w:rPr>
        <w:tab/>
      </w:r>
      <w:r>
        <w:rPr>
          <w:lang w:val="zh-CN" w:eastAsia="zh-CN"/>
        </w:rPr>
        <w:t>建筑节能措施。</w:t>
      </w:r>
    </w:p>
    <w:p w14:paraId="3995D10A" w14:textId="5DE9E222" w:rsidR="0084288C" w:rsidRPr="00280D9B" w:rsidRDefault="0084288C" w:rsidP="0084288C">
      <w:pPr>
        <w:pStyle w:val="enumlev2"/>
        <w:rPr>
          <w:lang w:eastAsia="zh-CN"/>
        </w:rPr>
      </w:pPr>
      <w:r>
        <w:rPr>
          <w:lang w:val="zh-CN" w:eastAsia="zh-CN"/>
        </w:rPr>
        <w:t>b)</w:t>
      </w:r>
      <w:r w:rsidR="003C0B3B">
        <w:rPr>
          <w:lang w:val="zh-CN" w:eastAsia="zh-CN"/>
        </w:rPr>
        <w:tab/>
      </w:r>
      <w:r>
        <w:rPr>
          <w:lang w:val="zh-CN" w:eastAsia="zh-CN"/>
        </w:rPr>
        <w:t>扩大使用可用的联合国系统增效措施（如，</w:t>
      </w:r>
      <w:r>
        <w:rPr>
          <w:lang w:val="zh-CN" w:eastAsia="zh-CN"/>
        </w:rPr>
        <w:t>CBO</w:t>
      </w:r>
      <w:r>
        <w:rPr>
          <w:lang w:val="zh-CN" w:eastAsia="zh-CN"/>
        </w:rPr>
        <w:t>服务）。</w:t>
      </w:r>
    </w:p>
    <w:p w14:paraId="43813C95" w14:textId="70950837" w:rsidR="0084288C" w:rsidRPr="00280D9B" w:rsidRDefault="0084288C" w:rsidP="0084288C">
      <w:pPr>
        <w:pStyle w:val="enumlev2"/>
        <w:rPr>
          <w:lang w:eastAsia="zh-CN"/>
        </w:rPr>
      </w:pPr>
      <w:r>
        <w:rPr>
          <w:lang w:val="zh-CN" w:eastAsia="zh-CN"/>
        </w:rPr>
        <w:t>c)</w:t>
      </w:r>
      <w:r w:rsidR="003C0B3B">
        <w:rPr>
          <w:lang w:val="zh-CN" w:eastAsia="zh-CN"/>
        </w:rPr>
        <w:tab/>
      </w:r>
      <w:r>
        <w:rPr>
          <w:lang w:val="zh-CN" w:eastAsia="zh-CN"/>
        </w:rPr>
        <w:t>通过有效的规划和管理减少差旅费用。</w:t>
      </w:r>
    </w:p>
    <w:p w14:paraId="4FFDF2B3" w14:textId="20692C54" w:rsidR="0084288C" w:rsidRDefault="0084288C" w:rsidP="0084288C">
      <w:pPr>
        <w:pStyle w:val="enumlev2"/>
        <w:rPr>
          <w:lang w:eastAsia="zh-CN"/>
        </w:rPr>
      </w:pPr>
      <w:r>
        <w:rPr>
          <w:lang w:val="zh-CN" w:eastAsia="zh-CN"/>
        </w:rPr>
        <w:t>d)</w:t>
      </w:r>
      <w:r w:rsidR="003C0B3B">
        <w:rPr>
          <w:lang w:val="zh-CN" w:eastAsia="zh-CN"/>
        </w:rPr>
        <w:tab/>
      </w:r>
      <w:r>
        <w:rPr>
          <w:lang w:val="zh-CN" w:eastAsia="zh-CN"/>
        </w:rPr>
        <w:t>数字化转型带来的预期效率。</w:t>
      </w:r>
    </w:p>
    <w:p w14:paraId="5C549D4F" w14:textId="7DD66036" w:rsidR="0084288C" w:rsidRDefault="0084288C" w:rsidP="0084288C">
      <w:pPr>
        <w:pStyle w:val="enumlev2"/>
        <w:rPr>
          <w:lang w:eastAsia="zh-CN"/>
        </w:rPr>
      </w:pPr>
      <w:r>
        <w:rPr>
          <w:lang w:val="zh-CN" w:eastAsia="zh-CN"/>
        </w:rPr>
        <w:t>e)</w:t>
      </w:r>
      <w:r w:rsidR="003C0B3B">
        <w:rPr>
          <w:lang w:val="zh-CN" w:eastAsia="zh-CN"/>
        </w:rPr>
        <w:tab/>
      </w:r>
      <w:r>
        <w:rPr>
          <w:lang w:val="zh-CN" w:eastAsia="zh-CN"/>
        </w:rPr>
        <w:t>减少各局和总秘书处之间的重复工作。</w:t>
      </w:r>
    </w:p>
    <w:p w14:paraId="3523C933" w14:textId="243605AF" w:rsidR="0084288C" w:rsidRDefault="0084288C" w:rsidP="0084288C">
      <w:pPr>
        <w:pStyle w:val="enumlev2"/>
        <w:rPr>
          <w:lang w:eastAsia="zh-CN"/>
        </w:rPr>
      </w:pPr>
      <w:r w:rsidRPr="00971186">
        <w:rPr>
          <w:lang w:val="en-US" w:eastAsia="zh-CN"/>
        </w:rPr>
        <w:t>f)</w:t>
      </w:r>
      <w:r w:rsidR="003C0B3B">
        <w:rPr>
          <w:lang w:val="en-US" w:eastAsia="zh-CN"/>
        </w:rPr>
        <w:tab/>
      </w:r>
      <w:r>
        <w:rPr>
          <w:lang w:val="zh-CN" w:eastAsia="zh-CN"/>
        </w:rPr>
        <w:t>优化短期合同模式的使用。</w:t>
      </w:r>
    </w:p>
    <w:p w14:paraId="38EA79C7" w14:textId="4784CD09" w:rsidR="0084288C" w:rsidRDefault="0084288C" w:rsidP="0084288C">
      <w:pPr>
        <w:pStyle w:val="enumlev2"/>
        <w:rPr>
          <w:lang w:eastAsia="zh-CN"/>
        </w:rPr>
      </w:pPr>
      <w:r>
        <w:rPr>
          <w:lang w:val="zh-CN" w:eastAsia="zh-CN"/>
        </w:rPr>
        <w:t>g)</w:t>
      </w:r>
      <w:r w:rsidR="003C0B3B">
        <w:rPr>
          <w:lang w:val="zh-CN" w:eastAsia="zh-CN"/>
        </w:rPr>
        <w:tab/>
      </w:r>
      <w:r>
        <w:rPr>
          <w:lang w:val="zh-CN" w:eastAsia="zh-CN"/>
        </w:rPr>
        <w:t>重新确定活动的轻重缓急。</w:t>
      </w:r>
    </w:p>
    <w:p w14:paraId="164E8F60" w14:textId="4CBAB087" w:rsidR="0084288C" w:rsidRDefault="0084288C" w:rsidP="0084288C">
      <w:pPr>
        <w:pStyle w:val="enumlev1"/>
        <w:tabs>
          <w:tab w:val="clear" w:pos="567"/>
        </w:tabs>
        <w:ind w:left="1134"/>
        <w:rPr>
          <w:b/>
          <w:bCs/>
          <w:color w:val="002060"/>
          <w:lang w:eastAsia="zh-CN"/>
        </w:rPr>
      </w:pPr>
      <w:r>
        <w:rPr>
          <w:lang w:val="zh-CN" w:eastAsia="zh-CN"/>
        </w:rPr>
        <w:t>h)</w:t>
      </w:r>
      <w:r w:rsidR="003C0B3B">
        <w:rPr>
          <w:lang w:val="zh-CN" w:eastAsia="zh-CN"/>
        </w:rPr>
        <w:tab/>
      </w:r>
      <w:r>
        <w:rPr>
          <w:lang w:val="zh-CN" w:eastAsia="zh-CN"/>
        </w:rPr>
        <w:t>延迟招聘非必要活动的空缺职位。</w:t>
      </w:r>
    </w:p>
    <w:p w14:paraId="5EDF25AC" w14:textId="77777777" w:rsidR="0084288C" w:rsidRPr="003C0B3B" w:rsidRDefault="0084288C" w:rsidP="0084288C">
      <w:pPr>
        <w:pStyle w:val="enumlev1"/>
        <w:keepNext/>
        <w:keepLines/>
        <w:spacing w:after="240"/>
        <w:rPr>
          <w:b/>
          <w:bCs/>
          <w:color w:val="002060"/>
          <w:lang w:eastAsia="zh-CN"/>
        </w:rPr>
      </w:pPr>
      <w:r w:rsidRPr="003446A7">
        <w:rPr>
          <w:b/>
          <w:bCs/>
          <w:color w:val="002060"/>
          <w:lang w:eastAsia="zh-CN"/>
        </w:rPr>
        <w:lastRenderedPageBreak/>
        <w:t>总秘书处</w:t>
      </w:r>
    </w:p>
    <w:p w14:paraId="31B5227C" w14:textId="1A6F7DAB" w:rsidR="0084288C" w:rsidRDefault="0084288C" w:rsidP="0084288C">
      <w:pPr>
        <w:pStyle w:val="enumlev2"/>
        <w:keepNext/>
        <w:keepLines/>
        <w:spacing w:before="0" w:after="240"/>
        <w:ind w:left="0" w:firstLine="0"/>
        <w:rPr>
          <w:lang w:eastAsia="zh-CN"/>
        </w:rPr>
      </w:pPr>
      <w:r>
        <w:rPr>
          <w:lang w:val="zh-CN" w:eastAsia="zh-CN"/>
        </w:rPr>
        <w:t>3.8</w:t>
      </w:r>
      <w:r>
        <w:rPr>
          <w:lang w:val="zh-CN" w:eastAsia="zh-CN"/>
        </w:rPr>
        <w:tab/>
      </w:r>
      <w:r>
        <w:rPr>
          <w:lang w:val="zh-CN" w:eastAsia="zh-CN"/>
        </w:rPr>
        <w:t>下表比较了</w:t>
      </w:r>
      <w:r>
        <w:rPr>
          <w:lang w:val="zh-CN" w:eastAsia="zh-CN"/>
        </w:rPr>
        <w:t>2026-2027</w:t>
      </w:r>
      <w:r>
        <w:rPr>
          <w:lang w:val="zh-CN" w:eastAsia="zh-CN"/>
        </w:rPr>
        <w:t>年预算、财务规划、</w:t>
      </w:r>
      <w:r>
        <w:rPr>
          <w:lang w:val="zh-CN" w:eastAsia="zh-CN"/>
        </w:rPr>
        <w:t>2024-2025</w:t>
      </w:r>
      <w:r>
        <w:rPr>
          <w:lang w:val="zh-CN" w:eastAsia="zh-CN"/>
        </w:rPr>
        <w:t>年预算和</w:t>
      </w:r>
      <w:r>
        <w:rPr>
          <w:lang w:val="zh-CN" w:eastAsia="zh-CN"/>
        </w:rPr>
        <w:t>2024</w:t>
      </w:r>
      <w:r>
        <w:rPr>
          <w:lang w:val="zh-CN" w:eastAsia="zh-CN"/>
        </w:rPr>
        <w:t>年实际</w:t>
      </w:r>
      <w:r w:rsidR="003C0B3B">
        <w:rPr>
          <w:rFonts w:hint="eastAsia"/>
          <w:lang w:val="zh-CN" w:eastAsia="zh-CN"/>
        </w:rPr>
        <w:t>金额</w:t>
      </w:r>
      <w:r>
        <w:rPr>
          <w:lang w:val="zh-CN" w:eastAsia="zh-CN"/>
        </w:rPr>
        <w:t>。</w:t>
      </w:r>
      <w:r>
        <w:rPr>
          <w:lang w:val="zh-CN" w:eastAsia="zh-CN"/>
        </w:rPr>
        <w:t>2026-2027</w:t>
      </w:r>
      <w:r>
        <w:rPr>
          <w:lang w:val="zh-CN" w:eastAsia="zh-CN"/>
        </w:rPr>
        <w:t>年预算估</w:t>
      </w:r>
      <w:r w:rsidR="003C0B3B">
        <w:rPr>
          <w:rFonts w:hint="eastAsia"/>
          <w:lang w:val="zh-CN" w:eastAsia="zh-CN"/>
        </w:rPr>
        <w:t>算</w:t>
      </w:r>
      <w:r>
        <w:rPr>
          <w:lang w:val="zh-CN" w:eastAsia="zh-CN"/>
        </w:rPr>
        <w:t>数比</w:t>
      </w:r>
      <w:r w:rsidR="003C0B3B">
        <w:rPr>
          <w:rFonts w:hint="eastAsia"/>
          <w:lang w:val="zh-CN" w:eastAsia="zh-CN"/>
        </w:rPr>
        <w:t>《</w:t>
      </w:r>
      <w:r>
        <w:rPr>
          <w:lang w:val="zh-CN" w:eastAsia="zh-CN"/>
        </w:rPr>
        <w:t>财务规划</w:t>
      </w:r>
      <w:r w:rsidR="003C0B3B">
        <w:rPr>
          <w:rFonts w:hint="eastAsia"/>
          <w:lang w:val="zh-CN" w:eastAsia="zh-CN"/>
        </w:rPr>
        <w:t>》</w:t>
      </w:r>
      <w:r>
        <w:rPr>
          <w:lang w:val="zh-CN" w:eastAsia="zh-CN"/>
        </w:rPr>
        <w:t>低</w:t>
      </w:r>
      <w:r>
        <w:rPr>
          <w:lang w:val="zh-CN" w:eastAsia="zh-CN"/>
        </w:rPr>
        <w:t>440</w:t>
      </w:r>
      <w:proofErr w:type="gramStart"/>
      <w:r>
        <w:rPr>
          <w:lang w:val="zh-CN" w:eastAsia="zh-CN"/>
        </w:rPr>
        <w:t>万瑞</w:t>
      </w:r>
      <w:proofErr w:type="gramEnd"/>
      <w:r>
        <w:rPr>
          <w:lang w:val="zh-CN" w:eastAsia="zh-CN"/>
        </w:rPr>
        <w:t>郎。</w:t>
      </w:r>
    </w:p>
    <w:p w14:paraId="0CF8B136" w14:textId="7058CFF1" w:rsidR="0084288C" w:rsidRDefault="00FB0519" w:rsidP="006D3301">
      <w:pPr>
        <w:pStyle w:val="Figure"/>
        <w:rPr>
          <w:lang w:eastAsia="zh-CN"/>
        </w:rPr>
      </w:pPr>
      <w:r w:rsidRPr="00FB0519">
        <w:rPr>
          <w:noProof/>
        </w:rPr>
        <w:drawing>
          <wp:inline distT="0" distB="0" distL="0" distR="0" wp14:anchorId="5BBCE789" wp14:editId="0D279D63">
            <wp:extent cx="5760085" cy="2025650"/>
            <wp:effectExtent l="0" t="0" r="0" b="0"/>
            <wp:docPr id="169270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2025650"/>
                    </a:xfrm>
                    <a:prstGeom prst="rect">
                      <a:avLst/>
                    </a:prstGeom>
                    <a:noFill/>
                    <a:ln>
                      <a:noFill/>
                    </a:ln>
                  </pic:spPr>
                </pic:pic>
              </a:graphicData>
            </a:graphic>
          </wp:inline>
        </w:drawing>
      </w:r>
    </w:p>
    <w:p w14:paraId="3BB32701" w14:textId="29883770" w:rsidR="0084288C" w:rsidRDefault="0084288C" w:rsidP="0084288C">
      <w:pPr>
        <w:pStyle w:val="enumlev2"/>
        <w:spacing w:before="360"/>
        <w:ind w:left="0" w:firstLine="0"/>
        <w:rPr>
          <w:lang w:eastAsia="zh-CN"/>
        </w:rPr>
      </w:pPr>
      <w:r>
        <w:rPr>
          <w:lang w:val="zh-CN" w:eastAsia="zh-CN"/>
        </w:rPr>
        <w:t>3.9</w:t>
      </w:r>
      <w:r>
        <w:rPr>
          <w:lang w:val="zh-CN" w:eastAsia="zh-CN"/>
        </w:rPr>
        <w:tab/>
      </w:r>
      <w:r w:rsidR="00CC12CC">
        <w:rPr>
          <w:lang w:val="zh-CN" w:eastAsia="zh-CN"/>
        </w:rPr>
        <w:t>2</w:t>
      </w:r>
      <w:r w:rsidR="00CC12CC" w:rsidRPr="00CC12CC">
        <w:rPr>
          <w:rFonts w:hint="eastAsia"/>
          <w:lang w:val="zh-CN" w:eastAsia="zh-CN"/>
        </w:rPr>
        <w:t>026-2027</w:t>
      </w:r>
      <w:r w:rsidR="00CC12CC" w:rsidRPr="00CC12CC">
        <w:rPr>
          <w:rFonts w:hint="eastAsia"/>
          <w:lang w:val="zh-CN" w:eastAsia="zh-CN"/>
        </w:rPr>
        <w:t>年的估算按总秘书处各部门细分并与</w:t>
      </w:r>
      <w:r w:rsidR="00CC12CC" w:rsidRPr="00CC12CC">
        <w:rPr>
          <w:rFonts w:hint="eastAsia"/>
          <w:lang w:val="zh-CN" w:eastAsia="zh-CN"/>
        </w:rPr>
        <w:t>2024-2025</w:t>
      </w:r>
      <w:r w:rsidR="00CC12CC" w:rsidRPr="00CC12CC">
        <w:rPr>
          <w:rFonts w:hint="eastAsia"/>
          <w:lang w:val="zh-CN" w:eastAsia="zh-CN"/>
        </w:rPr>
        <w:t>年预算进行比较，实际估计数见下表</w:t>
      </w:r>
      <w:r>
        <w:rPr>
          <w:lang w:val="zh-CN" w:eastAsia="zh-CN"/>
        </w:rPr>
        <w:t>。</w:t>
      </w:r>
      <w:r>
        <w:rPr>
          <w:lang w:val="zh-CN" w:eastAsia="zh-CN"/>
        </w:rPr>
        <w:t>-3</w:t>
      </w:r>
      <w:r w:rsidR="00CC12CC">
        <w:rPr>
          <w:lang w:val="zh-CN" w:eastAsia="zh-CN"/>
        </w:rPr>
        <w:t>.</w:t>
      </w:r>
      <w:r>
        <w:rPr>
          <w:lang w:val="zh-CN" w:eastAsia="zh-CN"/>
        </w:rPr>
        <w:t>25%</w:t>
      </w:r>
      <w:r>
        <w:rPr>
          <w:lang w:val="zh-CN" w:eastAsia="zh-CN"/>
        </w:rPr>
        <w:t>的实际负增长表明总秘书处在</w:t>
      </w:r>
      <w:r>
        <w:rPr>
          <w:lang w:val="zh-CN" w:eastAsia="zh-CN"/>
        </w:rPr>
        <w:t>2026-2027</w:t>
      </w:r>
      <w:r>
        <w:rPr>
          <w:lang w:val="zh-CN" w:eastAsia="zh-CN"/>
        </w:rPr>
        <w:t>年期间将面临严格的财务限制。</w:t>
      </w:r>
    </w:p>
    <w:p w14:paraId="62EC28A7" w14:textId="1D9EAEFC" w:rsidR="0084288C" w:rsidRDefault="00FB0519" w:rsidP="006D3301">
      <w:pPr>
        <w:pStyle w:val="Figure"/>
        <w:rPr>
          <w:lang w:eastAsia="zh-CN"/>
        </w:rPr>
      </w:pPr>
      <w:r w:rsidRPr="00FB0519">
        <w:rPr>
          <w:noProof/>
        </w:rPr>
        <w:drawing>
          <wp:inline distT="0" distB="0" distL="0" distR="0" wp14:anchorId="04D519F8" wp14:editId="0642E741">
            <wp:extent cx="5760085" cy="1810385"/>
            <wp:effectExtent l="0" t="0" r="0" b="0"/>
            <wp:docPr id="1643662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810385"/>
                    </a:xfrm>
                    <a:prstGeom prst="rect">
                      <a:avLst/>
                    </a:prstGeom>
                    <a:noFill/>
                    <a:ln>
                      <a:noFill/>
                    </a:ln>
                  </pic:spPr>
                </pic:pic>
              </a:graphicData>
            </a:graphic>
          </wp:inline>
        </w:drawing>
      </w:r>
    </w:p>
    <w:p w14:paraId="18E07FF6" w14:textId="0B718FEA" w:rsidR="0084288C" w:rsidRDefault="0084288C" w:rsidP="00A038E4">
      <w:pPr>
        <w:pStyle w:val="enumlev2"/>
        <w:keepNext/>
        <w:keepLines/>
        <w:tabs>
          <w:tab w:val="clear" w:pos="1134"/>
        </w:tabs>
        <w:spacing w:before="120"/>
        <w:ind w:left="0" w:firstLineChars="200" w:firstLine="480"/>
        <w:rPr>
          <w:lang w:eastAsia="zh-CN"/>
        </w:rPr>
      </w:pPr>
      <w:r>
        <w:rPr>
          <w:lang w:val="zh-CN" w:eastAsia="zh-CN"/>
        </w:rPr>
        <w:t>下图按类别列出了</w:t>
      </w:r>
      <w:r>
        <w:rPr>
          <w:lang w:val="zh-CN" w:eastAsia="zh-CN"/>
        </w:rPr>
        <w:t>2026-2027</w:t>
      </w:r>
      <w:r>
        <w:rPr>
          <w:lang w:val="zh-CN" w:eastAsia="zh-CN"/>
        </w:rPr>
        <w:t>年的估算数。人员和其他人员费用约占</w:t>
      </w:r>
      <w:r>
        <w:rPr>
          <w:lang w:val="zh-CN" w:eastAsia="zh-CN"/>
        </w:rPr>
        <w:t>75</w:t>
      </w:r>
      <w:r w:rsidR="00CC12CC">
        <w:rPr>
          <w:lang w:val="zh-CN" w:eastAsia="zh-CN"/>
        </w:rPr>
        <w:t>.</w:t>
      </w:r>
      <w:r>
        <w:rPr>
          <w:lang w:val="zh-CN" w:eastAsia="zh-CN"/>
        </w:rPr>
        <w:t>5%</w:t>
      </w:r>
      <w:r>
        <w:rPr>
          <w:lang w:val="zh-CN" w:eastAsia="zh-CN"/>
        </w:rPr>
        <w:t>。</w:t>
      </w:r>
    </w:p>
    <w:p w14:paraId="7799CC6B" w14:textId="0C3FB0EF" w:rsidR="0084288C" w:rsidRPr="00280D9B" w:rsidRDefault="00E10E79" w:rsidP="006D3301">
      <w:pPr>
        <w:pStyle w:val="Figure"/>
        <w:rPr>
          <w:lang w:eastAsia="zh-CN"/>
        </w:rPr>
      </w:pPr>
      <w:r>
        <w:rPr>
          <w:noProof/>
          <w:lang w:eastAsia="zh-CN"/>
        </w:rPr>
        <w:drawing>
          <wp:inline distT="0" distB="0" distL="0" distR="0" wp14:anchorId="12A342CB" wp14:editId="3B83E613">
            <wp:extent cx="4442460" cy="27626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7241" cy="2765617"/>
                    </a:xfrm>
                    <a:prstGeom prst="rect">
                      <a:avLst/>
                    </a:prstGeom>
                    <a:noFill/>
                  </pic:spPr>
                </pic:pic>
              </a:graphicData>
            </a:graphic>
          </wp:inline>
        </w:drawing>
      </w:r>
    </w:p>
    <w:p w14:paraId="62440CB8" w14:textId="7F929AC7" w:rsidR="0084288C" w:rsidRPr="006427CE" w:rsidRDefault="00E76FCC" w:rsidP="0084288C">
      <w:pPr>
        <w:pStyle w:val="enumlev1"/>
        <w:spacing w:after="240"/>
        <w:rPr>
          <w:b/>
          <w:bCs/>
          <w:color w:val="002060"/>
          <w:lang w:eastAsia="zh-CN"/>
        </w:rPr>
      </w:pPr>
      <w:r>
        <w:rPr>
          <w:rFonts w:hint="eastAsia"/>
          <w:b/>
          <w:bCs/>
          <w:color w:val="002060"/>
          <w:lang w:eastAsia="zh-CN"/>
        </w:rPr>
        <w:lastRenderedPageBreak/>
        <w:t>无线电通信部门</w:t>
      </w:r>
    </w:p>
    <w:p w14:paraId="67A8E5C1" w14:textId="767DB409" w:rsidR="0084288C" w:rsidRDefault="0084288C" w:rsidP="0084288C">
      <w:pPr>
        <w:pStyle w:val="enumlev2"/>
        <w:spacing w:before="0"/>
        <w:ind w:left="0" w:firstLine="0"/>
        <w:rPr>
          <w:lang w:eastAsia="zh-CN"/>
        </w:rPr>
      </w:pPr>
      <w:r w:rsidRPr="00971186">
        <w:rPr>
          <w:lang w:val="en-US" w:eastAsia="zh-CN"/>
        </w:rPr>
        <w:t>3.10</w:t>
      </w:r>
      <w:r w:rsidRPr="00971186">
        <w:rPr>
          <w:lang w:val="en-US" w:eastAsia="zh-CN"/>
        </w:rPr>
        <w:tab/>
      </w:r>
      <w:r>
        <w:rPr>
          <w:lang w:val="zh-CN" w:eastAsia="zh-CN"/>
        </w:rPr>
        <w:t>下表比较了</w:t>
      </w:r>
      <w:r w:rsidRPr="00971186">
        <w:rPr>
          <w:lang w:val="en-US" w:eastAsia="zh-CN"/>
        </w:rPr>
        <w:t>2026-2027</w:t>
      </w:r>
      <w:r>
        <w:rPr>
          <w:lang w:val="zh-CN" w:eastAsia="zh-CN"/>
        </w:rPr>
        <w:t>年预算、</w:t>
      </w:r>
      <w:r w:rsidR="0053208B">
        <w:rPr>
          <w:rFonts w:hint="eastAsia"/>
          <w:lang w:val="zh-CN" w:eastAsia="zh-CN"/>
        </w:rPr>
        <w:t>《</w:t>
      </w:r>
      <w:r>
        <w:rPr>
          <w:lang w:val="zh-CN" w:eastAsia="zh-CN"/>
        </w:rPr>
        <w:t>财务规划</w:t>
      </w:r>
      <w:r w:rsidR="0053208B">
        <w:rPr>
          <w:rFonts w:hint="eastAsia"/>
          <w:lang w:val="zh-CN" w:eastAsia="zh-CN"/>
        </w:rPr>
        <w:t>》</w:t>
      </w:r>
      <w:r>
        <w:rPr>
          <w:lang w:val="zh-CN" w:eastAsia="zh-CN"/>
        </w:rPr>
        <w:t>、</w:t>
      </w:r>
      <w:r w:rsidRPr="00971186">
        <w:rPr>
          <w:lang w:val="en-US" w:eastAsia="zh-CN"/>
        </w:rPr>
        <w:t>2024-2025</w:t>
      </w:r>
      <w:r>
        <w:rPr>
          <w:lang w:val="zh-CN" w:eastAsia="zh-CN"/>
        </w:rPr>
        <w:t>年预算和</w:t>
      </w:r>
      <w:r w:rsidRPr="00971186">
        <w:rPr>
          <w:lang w:val="en-US" w:eastAsia="zh-CN"/>
        </w:rPr>
        <w:t>2024</w:t>
      </w:r>
      <w:r>
        <w:rPr>
          <w:lang w:val="zh-CN" w:eastAsia="zh-CN"/>
        </w:rPr>
        <w:t>年实际</w:t>
      </w:r>
      <w:r w:rsidR="0053208B">
        <w:rPr>
          <w:rFonts w:hint="eastAsia"/>
          <w:lang w:val="zh-CN" w:eastAsia="zh-CN"/>
        </w:rPr>
        <w:t>金额</w:t>
      </w:r>
      <w:r>
        <w:rPr>
          <w:lang w:val="zh-CN" w:eastAsia="zh-CN"/>
        </w:rPr>
        <w:t>。与</w:t>
      </w:r>
      <w:r w:rsidR="0053208B">
        <w:rPr>
          <w:rFonts w:hint="eastAsia"/>
          <w:lang w:val="zh-CN" w:eastAsia="zh-CN"/>
        </w:rPr>
        <w:t>《</w:t>
      </w:r>
      <w:r>
        <w:rPr>
          <w:lang w:val="zh-CN" w:eastAsia="zh-CN"/>
        </w:rPr>
        <w:t>财务规划</w:t>
      </w:r>
      <w:r w:rsidR="0053208B">
        <w:rPr>
          <w:rFonts w:hint="eastAsia"/>
          <w:lang w:val="zh-CN" w:eastAsia="zh-CN"/>
        </w:rPr>
        <w:t>》</w:t>
      </w:r>
      <w:r>
        <w:rPr>
          <w:lang w:val="zh-CN" w:eastAsia="zh-CN"/>
        </w:rPr>
        <w:t>相比</w:t>
      </w:r>
      <w:r w:rsidRPr="00971186">
        <w:rPr>
          <w:lang w:val="en-US" w:eastAsia="zh-CN"/>
        </w:rPr>
        <w:t>，</w:t>
      </w:r>
      <w:r>
        <w:rPr>
          <w:lang w:val="zh-CN" w:eastAsia="zh-CN"/>
        </w:rPr>
        <w:t>无线电通信部门</w:t>
      </w:r>
      <w:r w:rsidRPr="00971186">
        <w:rPr>
          <w:lang w:val="en-US" w:eastAsia="zh-CN"/>
        </w:rPr>
        <w:t>2026-2027</w:t>
      </w:r>
      <w:r>
        <w:rPr>
          <w:lang w:val="zh-CN" w:eastAsia="zh-CN"/>
        </w:rPr>
        <w:t>年预算估算高出</w:t>
      </w:r>
      <w:r w:rsidRPr="00971186">
        <w:rPr>
          <w:lang w:val="en-US" w:eastAsia="zh-CN"/>
        </w:rPr>
        <w:t>140</w:t>
      </w:r>
      <w:r>
        <w:rPr>
          <w:lang w:val="zh-CN" w:eastAsia="zh-CN"/>
        </w:rPr>
        <w:t>万瑞郎。</w:t>
      </w:r>
    </w:p>
    <w:p w14:paraId="55830111" w14:textId="34A9533E" w:rsidR="0084288C" w:rsidRDefault="003241A0" w:rsidP="006D3301">
      <w:pPr>
        <w:pStyle w:val="Figure"/>
        <w:rPr>
          <w:lang w:eastAsia="zh-CN"/>
        </w:rPr>
      </w:pPr>
      <w:r w:rsidRPr="003241A0">
        <w:rPr>
          <w:noProof/>
        </w:rPr>
        <w:drawing>
          <wp:inline distT="0" distB="0" distL="0" distR="0" wp14:anchorId="23F066D7" wp14:editId="26D083AF">
            <wp:extent cx="5760085" cy="2045335"/>
            <wp:effectExtent l="0" t="0" r="0" b="0"/>
            <wp:docPr id="1200752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2045335"/>
                    </a:xfrm>
                    <a:prstGeom prst="rect">
                      <a:avLst/>
                    </a:prstGeom>
                    <a:noFill/>
                    <a:ln>
                      <a:noFill/>
                    </a:ln>
                  </pic:spPr>
                </pic:pic>
              </a:graphicData>
            </a:graphic>
          </wp:inline>
        </w:drawing>
      </w:r>
    </w:p>
    <w:p w14:paraId="55286DB1" w14:textId="2B6C5000" w:rsidR="0084288C" w:rsidRDefault="0084288C" w:rsidP="003446A7">
      <w:pPr>
        <w:pStyle w:val="enumlev2"/>
        <w:spacing w:before="240" w:after="120"/>
        <w:ind w:left="0" w:firstLine="0"/>
        <w:rPr>
          <w:lang w:eastAsia="zh-CN"/>
        </w:rPr>
      </w:pPr>
      <w:r>
        <w:rPr>
          <w:lang w:val="zh-CN" w:eastAsia="zh-CN"/>
        </w:rPr>
        <w:t>3.11</w:t>
      </w:r>
      <w:r w:rsidR="006679D9">
        <w:rPr>
          <w:lang w:val="zh-CN" w:eastAsia="zh-CN"/>
        </w:rPr>
        <w:tab/>
      </w:r>
      <w:r>
        <w:rPr>
          <w:lang w:val="zh-CN" w:eastAsia="zh-CN"/>
        </w:rPr>
        <w:t>下表显示了无线电通信部门</w:t>
      </w:r>
      <w:r>
        <w:rPr>
          <w:lang w:val="zh-CN" w:eastAsia="zh-CN"/>
        </w:rPr>
        <w:t>2026-2027</w:t>
      </w:r>
      <w:r>
        <w:rPr>
          <w:lang w:val="zh-CN" w:eastAsia="zh-CN"/>
        </w:rPr>
        <w:t>年期间按每</w:t>
      </w:r>
      <w:r w:rsidR="0053208B">
        <w:rPr>
          <w:rFonts w:hint="eastAsia"/>
          <w:lang w:val="zh-CN" w:eastAsia="zh-CN"/>
        </w:rPr>
        <w:t>项</w:t>
      </w:r>
      <w:r>
        <w:rPr>
          <w:lang w:val="zh-CN" w:eastAsia="zh-CN"/>
        </w:rPr>
        <w:t>细分的估算，并与</w:t>
      </w:r>
      <w:r>
        <w:rPr>
          <w:lang w:val="zh-CN" w:eastAsia="zh-CN"/>
        </w:rPr>
        <w:t>2024-2025</w:t>
      </w:r>
      <w:r>
        <w:rPr>
          <w:lang w:val="zh-CN" w:eastAsia="zh-CN"/>
        </w:rPr>
        <w:t>年预算进行了比较，显示了真正的增长。该数据显示实际增长率为</w:t>
      </w:r>
      <w:r w:rsidR="0053208B">
        <w:rPr>
          <w:lang w:val="zh-CN" w:eastAsia="zh-CN"/>
        </w:rPr>
        <w:t>负</w:t>
      </w:r>
      <w:r>
        <w:rPr>
          <w:lang w:val="zh-CN" w:eastAsia="zh-CN"/>
        </w:rPr>
        <w:t>1</w:t>
      </w:r>
      <w:r w:rsidR="0053208B">
        <w:rPr>
          <w:lang w:val="zh-CN" w:eastAsia="zh-CN"/>
        </w:rPr>
        <w:t>.</w:t>
      </w:r>
      <w:r>
        <w:rPr>
          <w:lang w:val="zh-CN" w:eastAsia="zh-CN"/>
        </w:rPr>
        <w:t>17%</w:t>
      </w:r>
      <w:r>
        <w:rPr>
          <w:lang w:val="zh-CN" w:eastAsia="zh-CN"/>
        </w:rPr>
        <w:t>。</w:t>
      </w:r>
    </w:p>
    <w:p w14:paraId="0B04F9BE" w14:textId="55D1B4CB" w:rsidR="0084288C" w:rsidRDefault="00FB0519" w:rsidP="006D3301">
      <w:pPr>
        <w:pStyle w:val="Figure"/>
        <w:rPr>
          <w:lang w:eastAsia="zh-CN"/>
        </w:rPr>
      </w:pPr>
      <w:r w:rsidRPr="00FB0519">
        <w:rPr>
          <w:noProof/>
        </w:rPr>
        <w:drawing>
          <wp:inline distT="0" distB="0" distL="0" distR="0" wp14:anchorId="52AF5576" wp14:editId="617E056A">
            <wp:extent cx="5760085" cy="2132965"/>
            <wp:effectExtent l="0" t="0" r="0" b="635"/>
            <wp:docPr id="16455445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2132965"/>
                    </a:xfrm>
                    <a:prstGeom prst="rect">
                      <a:avLst/>
                    </a:prstGeom>
                    <a:noFill/>
                    <a:ln>
                      <a:noFill/>
                    </a:ln>
                  </pic:spPr>
                </pic:pic>
              </a:graphicData>
            </a:graphic>
          </wp:inline>
        </w:drawing>
      </w:r>
    </w:p>
    <w:p w14:paraId="58EDAAB7" w14:textId="77777777" w:rsidR="0084288C" w:rsidRDefault="0084288C" w:rsidP="00A038E4">
      <w:pPr>
        <w:pStyle w:val="enumlev2"/>
        <w:tabs>
          <w:tab w:val="clear" w:pos="1134"/>
        </w:tabs>
        <w:spacing w:before="120"/>
        <w:ind w:left="0" w:firstLineChars="200" w:firstLine="480"/>
        <w:rPr>
          <w:lang w:eastAsia="zh-CN"/>
        </w:rPr>
      </w:pPr>
      <w:r>
        <w:rPr>
          <w:lang w:val="zh-CN" w:eastAsia="zh-CN"/>
        </w:rPr>
        <w:t>下图按类别列出了</w:t>
      </w:r>
      <w:r>
        <w:rPr>
          <w:lang w:val="zh-CN" w:eastAsia="zh-CN"/>
        </w:rPr>
        <w:t>2026-2027</w:t>
      </w:r>
      <w:r>
        <w:rPr>
          <w:lang w:val="zh-CN" w:eastAsia="zh-CN"/>
        </w:rPr>
        <w:t>年的估算数。人员和其他人员费用约占</w:t>
      </w:r>
      <w:r>
        <w:rPr>
          <w:lang w:val="zh-CN" w:eastAsia="zh-CN"/>
        </w:rPr>
        <w:t>93%</w:t>
      </w:r>
      <w:r>
        <w:rPr>
          <w:lang w:val="zh-CN" w:eastAsia="zh-CN"/>
        </w:rPr>
        <w:t>。</w:t>
      </w:r>
    </w:p>
    <w:p w14:paraId="30BB0D44" w14:textId="5CF2EAF8" w:rsidR="0084288C" w:rsidRDefault="002857A2" w:rsidP="006D3301">
      <w:pPr>
        <w:pStyle w:val="Figure"/>
        <w:rPr>
          <w:lang w:eastAsia="zh-CN"/>
        </w:rPr>
      </w:pPr>
      <w:r>
        <w:rPr>
          <w:noProof/>
          <w:lang w:eastAsia="zh-CN"/>
        </w:rPr>
        <w:drawing>
          <wp:inline distT="0" distB="0" distL="0" distR="0" wp14:anchorId="5215A4FA" wp14:editId="2800FB95">
            <wp:extent cx="3550920" cy="277365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9663" cy="2780483"/>
                    </a:xfrm>
                    <a:prstGeom prst="rect">
                      <a:avLst/>
                    </a:prstGeom>
                    <a:noFill/>
                  </pic:spPr>
                </pic:pic>
              </a:graphicData>
            </a:graphic>
          </wp:inline>
        </w:drawing>
      </w:r>
    </w:p>
    <w:p w14:paraId="12F8BAEE" w14:textId="77777777" w:rsidR="0084288C" w:rsidRPr="006427CE" w:rsidRDefault="0084288C" w:rsidP="003446A7">
      <w:pPr>
        <w:pStyle w:val="enumlev1"/>
        <w:keepNext/>
        <w:keepLines/>
        <w:spacing w:after="240"/>
        <w:rPr>
          <w:b/>
          <w:bCs/>
          <w:color w:val="002060"/>
          <w:lang w:eastAsia="zh-CN"/>
        </w:rPr>
      </w:pPr>
      <w:r w:rsidRPr="003446A7">
        <w:rPr>
          <w:b/>
          <w:bCs/>
          <w:color w:val="002060"/>
          <w:lang w:eastAsia="zh-CN"/>
        </w:rPr>
        <w:lastRenderedPageBreak/>
        <w:t>电信标准化部门</w:t>
      </w:r>
    </w:p>
    <w:p w14:paraId="6B27EC0A" w14:textId="2CDEEB2B" w:rsidR="0084288C" w:rsidRDefault="0084288C" w:rsidP="0084288C">
      <w:pPr>
        <w:pStyle w:val="enumlev2"/>
        <w:ind w:left="0" w:firstLine="0"/>
        <w:rPr>
          <w:lang w:eastAsia="zh-CN"/>
        </w:rPr>
      </w:pPr>
      <w:r>
        <w:rPr>
          <w:lang w:val="zh-CN" w:eastAsia="zh-CN"/>
        </w:rPr>
        <w:t>3.12</w:t>
      </w:r>
      <w:r>
        <w:rPr>
          <w:lang w:val="zh-CN" w:eastAsia="zh-CN"/>
        </w:rPr>
        <w:tab/>
      </w:r>
      <w:r>
        <w:rPr>
          <w:lang w:val="zh-CN" w:eastAsia="zh-CN"/>
        </w:rPr>
        <w:t>下表比较了</w:t>
      </w:r>
      <w:r>
        <w:rPr>
          <w:lang w:val="zh-CN" w:eastAsia="zh-CN"/>
        </w:rPr>
        <w:t>2026-2027</w:t>
      </w:r>
      <w:r>
        <w:rPr>
          <w:lang w:val="zh-CN" w:eastAsia="zh-CN"/>
        </w:rPr>
        <w:t>年预算、</w:t>
      </w:r>
      <w:r w:rsidR="0053208B">
        <w:rPr>
          <w:rFonts w:hint="eastAsia"/>
          <w:lang w:val="zh-CN" w:eastAsia="zh-CN"/>
        </w:rPr>
        <w:t>《</w:t>
      </w:r>
      <w:r>
        <w:rPr>
          <w:lang w:val="zh-CN" w:eastAsia="zh-CN"/>
        </w:rPr>
        <w:t>财务规划</w:t>
      </w:r>
      <w:r w:rsidR="0053208B">
        <w:rPr>
          <w:rFonts w:hint="eastAsia"/>
          <w:lang w:val="zh-CN" w:eastAsia="zh-CN"/>
        </w:rPr>
        <w:t>》</w:t>
      </w:r>
      <w:r>
        <w:rPr>
          <w:lang w:val="zh-CN" w:eastAsia="zh-CN"/>
        </w:rPr>
        <w:t>、</w:t>
      </w:r>
      <w:r>
        <w:rPr>
          <w:lang w:val="zh-CN" w:eastAsia="zh-CN"/>
        </w:rPr>
        <w:t>2024-2025</w:t>
      </w:r>
      <w:r>
        <w:rPr>
          <w:lang w:val="zh-CN" w:eastAsia="zh-CN"/>
        </w:rPr>
        <w:t>年预算和</w:t>
      </w:r>
      <w:r>
        <w:rPr>
          <w:lang w:val="zh-CN" w:eastAsia="zh-CN"/>
        </w:rPr>
        <w:t>2024</w:t>
      </w:r>
      <w:r>
        <w:rPr>
          <w:lang w:val="zh-CN" w:eastAsia="zh-CN"/>
        </w:rPr>
        <w:t>年实际</w:t>
      </w:r>
      <w:r w:rsidR="0053208B">
        <w:rPr>
          <w:rFonts w:hint="eastAsia"/>
          <w:lang w:val="zh-CN" w:eastAsia="zh-CN"/>
        </w:rPr>
        <w:t>金额</w:t>
      </w:r>
      <w:r>
        <w:rPr>
          <w:lang w:val="zh-CN" w:eastAsia="zh-CN"/>
        </w:rPr>
        <w:t>。与</w:t>
      </w:r>
      <w:r w:rsidR="0053208B">
        <w:rPr>
          <w:rFonts w:hint="eastAsia"/>
          <w:lang w:val="zh-CN" w:eastAsia="zh-CN"/>
        </w:rPr>
        <w:t>《</w:t>
      </w:r>
      <w:r>
        <w:rPr>
          <w:lang w:val="zh-CN" w:eastAsia="zh-CN"/>
        </w:rPr>
        <w:t>财务规划</w:t>
      </w:r>
      <w:r w:rsidR="0053208B">
        <w:rPr>
          <w:rFonts w:hint="eastAsia"/>
          <w:lang w:val="zh-CN" w:eastAsia="zh-CN"/>
        </w:rPr>
        <w:t>》</w:t>
      </w:r>
      <w:r>
        <w:rPr>
          <w:lang w:val="zh-CN" w:eastAsia="zh-CN"/>
        </w:rPr>
        <w:t>相比，电信标准化部门</w:t>
      </w:r>
      <w:r>
        <w:rPr>
          <w:lang w:val="zh-CN" w:eastAsia="zh-CN"/>
        </w:rPr>
        <w:t>2026-2027</w:t>
      </w:r>
      <w:r>
        <w:rPr>
          <w:lang w:val="zh-CN" w:eastAsia="zh-CN"/>
        </w:rPr>
        <w:t>年预算估算增加了</w:t>
      </w:r>
      <w:r>
        <w:rPr>
          <w:lang w:val="zh-CN" w:eastAsia="zh-CN"/>
        </w:rPr>
        <w:t>110</w:t>
      </w:r>
      <w:proofErr w:type="gramStart"/>
      <w:r>
        <w:rPr>
          <w:lang w:val="zh-CN" w:eastAsia="zh-CN"/>
        </w:rPr>
        <w:t>万瑞</w:t>
      </w:r>
      <w:proofErr w:type="gramEnd"/>
      <w:r>
        <w:rPr>
          <w:lang w:val="zh-CN" w:eastAsia="zh-CN"/>
        </w:rPr>
        <w:t>郎。</w:t>
      </w:r>
    </w:p>
    <w:p w14:paraId="75972295" w14:textId="7E0A3E2F" w:rsidR="0084288C" w:rsidRDefault="003241A0" w:rsidP="006D3301">
      <w:pPr>
        <w:pStyle w:val="Figure"/>
        <w:rPr>
          <w:lang w:eastAsia="zh-CN"/>
        </w:rPr>
      </w:pPr>
      <w:r w:rsidRPr="003241A0">
        <w:rPr>
          <w:noProof/>
        </w:rPr>
        <w:drawing>
          <wp:inline distT="0" distB="0" distL="0" distR="0" wp14:anchorId="7ABA3C7C" wp14:editId="130EB23A">
            <wp:extent cx="5760085" cy="1599565"/>
            <wp:effectExtent l="0" t="0" r="0" b="635"/>
            <wp:docPr id="15663884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599565"/>
                    </a:xfrm>
                    <a:prstGeom prst="rect">
                      <a:avLst/>
                    </a:prstGeom>
                    <a:noFill/>
                    <a:ln>
                      <a:noFill/>
                    </a:ln>
                  </pic:spPr>
                </pic:pic>
              </a:graphicData>
            </a:graphic>
          </wp:inline>
        </w:drawing>
      </w:r>
    </w:p>
    <w:p w14:paraId="42169E26" w14:textId="3FE6346B" w:rsidR="0084288C" w:rsidRDefault="0084288C" w:rsidP="006679D9">
      <w:pPr>
        <w:keepNext/>
        <w:keepLines/>
        <w:spacing w:before="360"/>
        <w:rPr>
          <w:lang w:eastAsia="zh-CN"/>
        </w:rPr>
      </w:pPr>
      <w:r>
        <w:rPr>
          <w:lang w:val="zh-CN" w:eastAsia="zh-CN"/>
        </w:rPr>
        <w:t>3.13</w:t>
      </w:r>
      <w:r>
        <w:rPr>
          <w:lang w:val="zh-CN" w:eastAsia="zh-CN"/>
        </w:rPr>
        <w:tab/>
      </w:r>
      <w:r>
        <w:rPr>
          <w:lang w:val="zh-CN" w:eastAsia="zh-CN"/>
        </w:rPr>
        <w:t>下表显示了按电信标准化部门每个</w:t>
      </w:r>
      <w:r w:rsidR="003B68CC">
        <w:rPr>
          <w:rFonts w:hint="eastAsia"/>
          <w:lang w:val="zh-CN" w:eastAsia="zh-CN"/>
        </w:rPr>
        <w:t>项</w:t>
      </w:r>
      <w:r>
        <w:rPr>
          <w:lang w:val="zh-CN" w:eastAsia="zh-CN"/>
        </w:rPr>
        <w:t>细分并与</w:t>
      </w:r>
      <w:r>
        <w:rPr>
          <w:lang w:val="zh-CN" w:eastAsia="zh-CN"/>
        </w:rPr>
        <w:t>2024-2025</w:t>
      </w:r>
      <w:r>
        <w:rPr>
          <w:lang w:val="zh-CN" w:eastAsia="zh-CN"/>
        </w:rPr>
        <w:t>年预算相比的</w:t>
      </w:r>
      <w:r>
        <w:rPr>
          <w:lang w:val="zh-CN" w:eastAsia="zh-CN"/>
        </w:rPr>
        <w:t>2026-2027</w:t>
      </w:r>
      <w:r>
        <w:rPr>
          <w:lang w:val="zh-CN" w:eastAsia="zh-CN"/>
        </w:rPr>
        <w:t>年的估算，表明实际负增长</w:t>
      </w:r>
      <w:r>
        <w:rPr>
          <w:lang w:val="zh-CN" w:eastAsia="zh-CN"/>
        </w:rPr>
        <w:t>2</w:t>
      </w:r>
      <w:r w:rsidR="003B68CC">
        <w:rPr>
          <w:lang w:val="zh-CN" w:eastAsia="zh-CN"/>
        </w:rPr>
        <w:t>.</w:t>
      </w:r>
      <w:r>
        <w:rPr>
          <w:lang w:val="zh-CN" w:eastAsia="zh-CN"/>
        </w:rPr>
        <w:t>56%</w:t>
      </w:r>
      <w:r>
        <w:rPr>
          <w:lang w:val="zh-CN" w:eastAsia="zh-CN"/>
        </w:rPr>
        <w:t>。</w:t>
      </w:r>
    </w:p>
    <w:p w14:paraId="78BDE08F" w14:textId="142C6C37" w:rsidR="0084288C" w:rsidRDefault="00FB0519" w:rsidP="006D3301">
      <w:pPr>
        <w:pStyle w:val="Figure"/>
        <w:rPr>
          <w:lang w:eastAsia="zh-CN"/>
        </w:rPr>
      </w:pPr>
      <w:r w:rsidRPr="00FB0519">
        <w:rPr>
          <w:noProof/>
        </w:rPr>
        <w:drawing>
          <wp:inline distT="0" distB="0" distL="0" distR="0" wp14:anchorId="4DA7EED4" wp14:editId="3F2873A3">
            <wp:extent cx="5760085" cy="1840230"/>
            <wp:effectExtent l="0" t="0" r="0" b="7620"/>
            <wp:docPr id="10762323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1840230"/>
                    </a:xfrm>
                    <a:prstGeom prst="rect">
                      <a:avLst/>
                    </a:prstGeom>
                    <a:noFill/>
                    <a:ln>
                      <a:noFill/>
                    </a:ln>
                  </pic:spPr>
                </pic:pic>
              </a:graphicData>
            </a:graphic>
          </wp:inline>
        </w:drawing>
      </w:r>
    </w:p>
    <w:p w14:paraId="275CB61A" w14:textId="77777777" w:rsidR="0084288C" w:rsidRDefault="0084288C" w:rsidP="00A038E4">
      <w:pPr>
        <w:pStyle w:val="enumlev2"/>
        <w:tabs>
          <w:tab w:val="clear" w:pos="1134"/>
        </w:tabs>
        <w:spacing w:before="240"/>
        <w:ind w:left="0" w:firstLineChars="200" w:firstLine="480"/>
        <w:rPr>
          <w:lang w:eastAsia="zh-CN"/>
        </w:rPr>
      </w:pPr>
      <w:r>
        <w:rPr>
          <w:lang w:val="zh-CN" w:eastAsia="zh-CN"/>
        </w:rPr>
        <w:t>下图按类别列出了</w:t>
      </w:r>
      <w:r>
        <w:rPr>
          <w:lang w:val="zh-CN" w:eastAsia="zh-CN"/>
        </w:rPr>
        <w:t>2026-2027</w:t>
      </w:r>
      <w:r>
        <w:rPr>
          <w:lang w:val="zh-CN" w:eastAsia="zh-CN"/>
        </w:rPr>
        <w:t>年的估算数。人员和其他人员费用约占</w:t>
      </w:r>
      <w:r>
        <w:rPr>
          <w:lang w:val="zh-CN" w:eastAsia="zh-CN"/>
        </w:rPr>
        <w:t>90%</w:t>
      </w:r>
      <w:r>
        <w:rPr>
          <w:lang w:val="zh-CN" w:eastAsia="zh-CN"/>
        </w:rPr>
        <w:t>。</w:t>
      </w:r>
    </w:p>
    <w:p w14:paraId="2AC2C981" w14:textId="5F9C196F" w:rsidR="0084288C" w:rsidRDefault="002857A2" w:rsidP="006D3301">
      <w:pPr>
        <w:pStyle w:val="Figure"/>
        <w:rPr>
          <w:lang w:eastAsia="zh-CN"/>
        </w:rPr>
      </w:pPr>
      <w:r>
        <w:rPr>
          <w:noProof/>
          <w:lang w:eastAsia="zh-CN"/>
        </w:rPr>
        <w:drawing>
          <wp:inline distT="0" distB="0" distL="0" distR="0" wp14:anchorId="7312F613" wp14:editId="3E0A7C80">
            <wp:extent cx="3556359" cy="2857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0615" cy="2860920"/>
                    </a:xfrm>
                    <a:prstGeom prst="rect">
                      <a:avLst/>
                    </a:prstGeom>
                    <a:noFill/>
                  </pic:spPr>
                </pic:pic>
              </a:graphicData>
            </a:graphic>
          </wp:inline>
        </w:drawing>
      </w:r>
    </w:p>
    <w:p w14:paraId="5154E07F" w14:textId="77777777" w:rsidR="0084288C" w:rsidRPr="006427CE" w:rsidRDefault="0084288C" w:rsidP="003241A0">
      <w:pPr>
        <w:pStyle w:val="enumlev1"/>
        <w:keepNext/>
        <w:keepLines/>
        <w:pageBreakBefore/>
        <w:spacing w:after="240"/>
        <w:rPr>
          <w:b/>
          <w:bCs/>
          <w:color w:val="002060"/>
          <w:lang w:eastAsia="zh-CN"/>
        </w:rPr>
      </w:pPr>
      <w:r w:rsidRPr="00926287">
        <w:rPr>
          <w:b/>
          <w:bCs/>
          <w:color w:val="002060"/>
          <w:lang w:eastAsia="zh-CN"/>
        </w:rPr>
        <w:lastRenderedPageBreak/>
        <w:t>电信发展部门</w:t>
      </w:r>
    </w:p>
    <w:p w14:paraId="40353CE2" w14:textId="30634230" w:rsidR="0084288C" w:rsidRDefault="0084288C" w:rsidP="0084288C">
      <w:pPr>
        <w:pStyle w:val="enumlev2"/>
        <w:keepNext/>
        <w:keepLines/>
        <w:tabs>
          <w:tab w:val="clear" w:pos="1134"/>
          <w:tab w:val="clear" w:pos="1701"/>
          <w:tab w:val="clear" w:pos="2268"/>
          <w:tab w:val="clear" w:pos="2835"/>
        </w:tabs>
        <w:spacing w:after="240"/>
        <w:ind w:left="0" w:firstLine="0"/>
        <w:rPr>
          <w:lang w:eastAsia="zh-CN"/>
        </w:rPr>
      </w:pPr>
      <w:r>
        <w:rPr>
          <w:lang w:val="zh-CN" w:eastAsia="zh-CN"/>
        </w:rPr>
        <w:t>3.14</w:t>
      </w:r>
      <w:r>
        <w:rPr>
          <w:lang w:val="zh-CN" w:eastAsia="zh-CN"/>
        </w:rPr>
        <w:tab/>
      </w:r>
      <w:r>
        <w:rPr>
          <w:lang w:val="zh-CN" w:eastAsia="zh-CN"/>
        </w:rPr>
        <w:t>下表比较了</w:t>
      </w:r>
      <w:r>
        <w:rPr>
          <w:lang w:val="zh-CN" w:eastAsia="zh-CN"/>
        </w:rPr>
        <w:t>2026-2027</w:t>
      </w:r>
      <w:r>
        <w:rPr>
          <w:lang w:val="zh-CN" w:eastAsia="zh-CN"/>
        </w:rPr>
        <w:t>年预算、</w:t>
      </w:r>
      <w:r w:rsidR="002857A2">
        <w:rPr>
          <w:rFonts w:hint="eastAsia"/>
          <w:lang w:val="zh-CN" w:eastAsia="zh-CN"/>
        </w:rPr>
        <w:t>《</w:t>
      </w:r>
      <w:r>
        <w:rPr>
          <w:lang w:val="zh-CN" w:eastAsia="zh-CN"/>
        </w:rPr>
        <w:t>财务规划</w:t>
      </w:r>
      <w:r w:rsidR="002857A2">
        <w:rPr>
          <w:rFonts w:hint="eastAsia"/>
          <w:lang w:val="zh-CN" w:eastAsia="zh-CN"/>
        </w:rPr>
        <w:t>》</w:t>
      </w:r>
      <w:r>
        <w:rPr>
          <w:lang w:val="zh-CN" w:eastAsia="zh-CN"/>
        </w:rPr>
        <w:t>、</w:t>
      </w:r>
      <w:r>
        <w:rPr>
          <w:lang w:val="zh-CN" w:eastAsia="zh-CN"/>
        </w:rPr>
        <w:t>2024-2025</w:t>
      </w:r>
      <w:r>
        <w:rPr>
          <w:lang w:val="zh-CN" w:eastAsia="zh-CN"/>
        </w:rPr>
        <w:t>年预算和</w:t>
      </w:r>
      <w:r>
        <w:rPr>
          <w:lang w:val="zh-CN" w:eastAsia="zh-CN"/>
        </w:rPr>
        <w:t>2024</w:t>
      </w:r>
      <w:r>
        <w:rPr>
          <w:lang w:val="zh-CN" w:eastAsia="zh-CN"/>
        </w:rPr>
        <w:t>年实际</w:t>
      </w:r>
      <w:r w:rsidR="002857A2">
        <w:rPr>
          <w:rFonts w:hint="eastAsia"/>
          <w:lang w:val="zh-CN" w:eastAsia="zh-CN"/>
        </w:rPr>
        <w:t>金额</w:t>
      </w:r>
      <w:r>
        <w:rPr>
          <w:lang w:val="zh-CN" w:eastAsia="zh-CN"/>
        </w:rPr>
        <w:t>。与</w:t>
      </w:r>
      <w:r w:rsidR="002857A2">
        <w:rPr>
          <w:rFonts w:hint="eastAsia"/>
          <w:lang w:val="zh-CN" w:eastAsia="zh-CN"/>
        </w:rPr>
        <w:t>《</w:t>
      </w:r>
      <w:r>
        <w:rPr>
          <w:lang w:val="zh-CN" w:eastAsia="zh-CN"/>
        </w:rPr>
        <w:t>财务规划</w:t>
      </w:r>
      <w:r w:rsidR="002857A2">
        <w:rPr>
          <w:rFonts w:hint="eastAsia"/>
          <w:lang w:val="zh-CN" w:eastAsia="zh-CN"/>
        </w:rPr>
        <w:t>》</w:t>
      </w:r>
      <w:r>
        <w:rPr>
          <w:lang w:val="zh-CN" w:eastAsia="zh-CN"/>
        </w:rPr>
        <w:t>相比，电信发展部门</w:t>
      </w:r>
      <w:r>
        <w:rPr>
          <w:lang w:val="zh-CN" w:eastAsia="zh-CN"/>
        </w:rPr>
        <w:t>2026-2027</w:t>
      </w:r>
      <w:r>
        <w:rPr>
          <w:lang w:val="zh-CN" w:eastAsia="zh-CN"/>
        </w:rPr>
        <w:t>年预算估算增加了</w:t>
      </w:r>
      <w:r>
        <w:rPr>
          <w:lang w:val="zh-CN" w:eastAsia="zh-CN"/>
        </w:rPr>
        <w:t>80</w:t>
      </w:r>
      <w:proofErr w:type="gramStart"/>
      <w:r>
        <w:rPr>
          <w:lang w:val="zh-CN" w:eastAsia="zh-CN"/>
        </w:rPr>
        <w:t>万瑞</w:t>
      </w:r>
      <w:proofErr w:type="gramEnd"/>
      <w:r>
        <w:rPr>
          <w:lang w:val="zh-CN" w:eastAsia="zh-CN"/>
        </w:rPr>
        <w:t>郎。</w:t>
      </w:r>
    </w:p>
    <w:p w14:paraId="556D6E49" w14:textId="4B6E7600" w:rsidR="0084288C" w:rsidRDefault="003241A0" w:rsidP="006D3301">
      <w:pPr>
        <w:pStyle w:val="Figure"/>
        <w:rPr>
          <w:lang w:eastAsia="zh-CN"/>
        </w:rPr>
      </w:pPr>
      <w:r w:rsidRPr="003241A0">
        <w:rPr>
          <w:noProof/>
        </w:rPr>
        <w:drawing>
          <wp:inline distT="0" distB="0" distL="0" distR="0" wp14:anchorId="44EE5D66" wp14:editId="31BC1E7C">
            <wp:extent cx="5760085" cy="1611630"/>
            <wp:effectExtent l="0" t="0" r="0" b="7620"/>
            <wp:docPr id="2677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85" cy="1611630"/>
                    </a:xfrm>
                    <a:prstGeom prst="rect">
                      <a:avLst/>
                    </a:prstGeom>
                    <a:noFill/>
                    <a:ln>
                      <a:noFill/>
                    </a:ln>
                  </pic:spPr>
                </pic:pic>
              </a:graphicData>
            </a:graphic>
          </wp:inline>
        </w:drawing>
      </w:r>
    </w:p>
    <w:p w14:paraId="622CCB99" w14:textId="3BC96831" w:rsidR="0084288C" w:rsidRDefault="0084288C" w:rsidP="0084288C">
      <w:pPr>
        <w:spacing w:before="0" w:after="240"/>
        <w:rPr>
          <w:lang w:eastAsia="zh-CN"/>
        </w:rPr>
      </w:pPr>
      <w:r>
        <w:rPr>
          <w:lang w:val="zh-CN" w:eastAsia="zh-CN"/>
        </w:rPr>
        <w:t>3.15</w:t>
      </w:r>
      <w:r>
        <w:rPr>
          <w:lang w:val="zh-CN" w:eastAsia="zh-CN"/>
        </w:rPr>
        <w:tab/>
      </w:r>
      <w:r>
        <w:rPr>
          <w:lang w:val="zh-CN" w:eastAsia="zh-CN"/>
        </w:rPr>
        <w:t>下表列出了按电信发展部门各项细分的</w:t>
      </w:r>
      <w:r>
        <w:rPr>
          <w:lang w:val="zh-CN" w:eastAsia="zh-CN"/>
        </w:rPr>
        <w:t>2026-2027</w:t>
      </w:r>
      <w:r>
        <w:rPr>
          <w:lang w:val="zh-CN" w:eastAsia="zh-CN"/>
        </w:rPr>
        <w:t>年的估算数，</w:t>
      </w:r>
      <w:r w:rsidR="002857A2">
        <w:rPr>
          <w:rFonts w:hint="eastAsia"/>
          <w:lang w:val="zh-CN" w:eastAsia="zh-CN"/>
        </w:rPr>
        <w:t>以及</w:t>
      </w:r>
      <w:r>
        <w:rPr>
          <w:lang w:val="zh-CN" w:eastAsia="zh-CN"/>
        </w:rPr>
        <w:t>与</w:t>
      </w:r>
      <w:r>
        <w:rPr>
          <w:lang w:val="zh-CN" w:eastAsia="zh-CN"/>
        </w:rPr>
        <w:t>2024-2025</w:t>
      </w:r>
      <w:r>
        <w:rPr>
          <w:lang w:val="zh-CN" w:eastAsia="zh-CN"/>
        </w:rPr>
        <w:t>年预算的比较。它表明实际增长为负</w:t>
      </w:r>
      <w:r>
        <w:rPr>
          <w:lang w:val="zh-CN" w:eastAsia="zh-CN"/>
        </w:rPr>
        <w:t>2</w:t>
      </w:r>
      <w:r w:rsidR="004515B4">
        <w:rPr>
          <w:lang w:val="zh-CN" w:eastAsia="zh-CN"/>
        </w:rPr>
        <w:t>.</w:t>
      </w:r>
      <w:r>
        <w:rPr>
          <w:lang w:val="zh-CN" w:eastAsia="zh-CN"/>
        </w:rPr>
        <w:t>41%</w:t>
      </w:r>
      <w:r>
        <w:rPr>
          <w:lang w:val="zh-CN" w:eastAsia="zh-CN"/>
        </w:rPr>
        <w:t>。减少反映了从</w:t>
      </w:r>
      <w:r>
        <w:rPr>
          <w:lang w:val="zh-CN" w:eastAsia="zh-CN"/>
        </w:rPr>
        <w:t>2026-2027</w:t>
      </w:r>
      <w:r>
        <w:rPr>
          <w:lang w:val="zh-CN" w:eastAsia="zh-CN"/>
        </w:rPr>
        <w:t>年预算中取消</w:t>
      </w:r>
      <w:r>
        <w:rPr>
          <w:lang w:val="zh-CN" w:eastAsia="zh-CN"/>
        </w:rPr>
        <w:t>WTDC</w:t>
      </w:r>
      <w:r w:rsidR="004515B4">
        <w:rPr>
          <w:rFonts w:hint="eastAsia"/>
          <w:lang w:val="zh-CN" w:eastAsia="zh-CN"/>
        </w:rPr>
        <w:t>费用</w:t>
      </w:r>
      <w:r>
        <w:rPr>
          <w:lang w:val="zh-CN" w:eastAsia="zh-CN"/>
        </w:rPr>
        <w:t>导致的</w:t>
      </w:r>
      <w:r w:rsidR="004515B4">
        <w:rPr>
          <w:rFonts w:hint="eastAsia"/>
          <w:lang w:val="zh-CN" w:eastAsia="zh-CN"/>
        </w:rPr>
        <w:t>费用降低</w:t>
      </w:r>
      <w:r>
        <w:rPr>
          <w:lang w:val="zh-CN" w:eastAsia="zh-CN"/>
        </w:rPr>
        <w:t>。</w:t>
      </w:r>
    </w:p>
    <w:p w14:paraId="6B8B87B1" w14:textId="3184CFF3" w:rsidR="0084288C" w:rsidRDefault="00FB0519" w:rsidP="006D3301">
      <w:pPr>
        <w:pStyle w:val="Figure"/>
        <w:rPr>
          <w:lang w:eastAsia="zh-CN"/>
        </w:rPr>
      </w:pPr>
      <w:r w:rsidRPr="00FB0519">
        <w:rPr>
          <w:noProof/>
        </w:rPr>
        <w:drawing>
          <wp:inline distT="0" distB="0" distL="0" distR="0" wp14:anchorId="0BD54A6C" wp14:editId="2C312B7D">
            <wp:extent cx="5760085" cy="1840230"/>
            <wp:effectExtent l="0" t="0" r="0" b="7620"/>
            <wp:docPr id="19579012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85" cy="1840230"/>
                    </a:xfrm>
                    <a:prstGeom prst="rect">
                      <a:avLst/>
                    </a:prstGeom>
                    <a:noFill/>
                    <a:ln>
                      <a:noFill/>
                    </a:ln>
                  </pic:spPr>
                </pic:pic>
              </a:graphicData>
            </a:graphic>
          </wp:inline>
        </w:drawing>
      </w:r>
    </w:p>
    <w:p w14:paraId="62E18CB5" w14:textId="77777777" w:rsidR="0084288C" w:rsidRDefault="0084288C" w:rsidP="00926287">
      <w:pPr>
        <w:pStyle w:val="enumlev2"/>
        <w:keepNext/>
        <w:keepLines/>
        <w:tabs>
          <w:tab w:val="clear" w:pos="1134"/>
        </w:tabs>
        <w:spacing w:before="0" w:after="240"/>
        <w:ind w:left="0" w:firstLineChars="200" w:firstLine="480"/>
        <w:rPr>
          <w:lang w:eastAsia="zh-CN"/>
        </w:rPr>
      </w:pPr>
      <w:r>
        <w:rPr>
          <w:lang w:val="zh-CN" w:eastAsia="zh-CN"/>
        </w:rPr>
        <w:t>下图按类别列出了</w:t>
      </w:r>
      <w:r>
        <w:rPr>
          <w:lang w:val="zh-CN" w:eastAsia="zh-CN"/>
        </w:rPr>
        <w:t>2026-2027</w:t>
      </w:r>
      <w:r>
        <w:rPr>
          <w:lang w:val="zh-CN" w:eastAsia="zh-CN"/>
        </w:rPr>
        <w:t>年的估算数。人员和其他人员费用约占</w:t>
      </w:r>
      <w:r>
        <w:rPr>
          <w:lang w:val="zh-CN" w:eastAsia="zh-CN"/>
        </w:rPr>
        <w:t>83%</w:t>
      </w:r>
      <w:r>
        <w:rPr>
          <w:lang w:val="zh-CN" w:eastAsia="zh-CN"/>
        </w:rPr>
        <w:t>。</w:t>
      </w:r>
    </w:p>
    <w:p w14:paraId="01DFDBE4" w14:textId="046A95B9" w:rsidR="0084288C" w:rsidRPr="003C71D2" w:rsidRDefault="002857A2" w:rsidP="006D3301">
      <w:pPr>
        <w:pStyle w:val="Figure"/>
        <w:rPr>
          <w:lang w:eastAsia="zh-CN"/>
        </w:rPr>
      </w:pPr>
      <w:r>
        <w:rPr>
          <w:noProof/>
          <w:lang w:eastAsia="zh-CN"/>
        </w:rPr>
        <w:drawing>
          <wp:inline distT="0" distB="0" distL="0" distR="0" wp14:anchorId="651A03C3" wp14:editId="04444CE8">
            <wp:extent cx="3543300" cy="26491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5391" cy="2658226"/>
                    </a:xfrm>
                    <a:prstGeom prst="rect">
                      <a:avLst/>
                    </a:prstGeom>
                    <a:noFill/>
                  </pic:spPr>
                </pic:pic>
              </a:graphicData>
            </a:graphic>
          </wp:inline>
        </w:drawing>
      </w:r>
    </w:p>
    <w:p w14:paraId="04036F08" w14:textId="38AEFAEA" w:rsidR="0084288C" w:rsidRPr="00324DB7" w:rsidRDefault="0084288C" w:rsidP="0084288C">
      <w:pPr>
        <w:keepNext/>
        <w:keepLines/>
        <w:spacing w:after="240"/>
        <w:rPr>
          <w:b/>
          <w:bCs/>
          <w:color w:val="002060"/>
          <w:lang w:eastAsia="zh-CN"/>
        </w:rPr>
      </w:pPr>
      <w:bookmarkStart w:id="11" w:name="_Hlk196840751"/>
      <w:r w:rsidRPr="00926287">
        <w:rPr>
          <w:b/>
          <w:bCs/>
          <w:color w:val="002060"/>
          <w:lang w:eastAsia="zh-CN"/>
        </w:rPr>
        <w:lastRenderedPageBreak/>
        <w:t>4</w:t>
      </w:r>
      <w:r w:rsidR="004515B4" w:rsidRPr="00926287">
        <w:rPr>
          <w:b/>
          <w:bCs/>
          <w:color w:val="002060"/>
          <w:lang w:eastAsia="zh-CN"/>
        </w:rPr>
        <w:tab/>
      </w:r>
      <w:r w:rsidRPr="00926287">
        <w:rPr>
          <w:b/>
          <w:bCs/>
          <w:color w:val="002060"/>
          <w:lang w:eastAsia="zh-CN"/>
        </w:rPr>
        <w:t>按来源分列的收入</w:t>
      </w:r>
    </w:p>
    <w:p w14:paraId="12C7380A" w14:textId="77777777" w:rsidR="0084288C" w:rsidRDefault="0084288C" w:rsidP="0084288C">
      <w:pPr>
        <w:keepNext/>
        <w:keepLines/>
        <w:spacing w:before="0" w:after="240"/>
        <w:rPr>
          <w:lang w:eastAsia="zh-CN"/>
        </w:rPr>
      </w:pPr>
      <w:r>
        <w:rPr>
          <w:lang w:val="zh-CN" w:eastAsia="zh-CN"/>
        </w:rPr>
        <w:t>4.1</w:t>
      </w:r>
      <w:r>
        <w:rPr>
          <w:lang w:val="zh-CN" w:eastAsia="zh-CN"/>
        </w:rPr>
        <w:tab/>
      </w:r>
      <w:r>
        <w:rPr>
          <w:lang w:val="zh-CN" w:eastAsia="zh-CN"/>
        </w:rPr>
        <w:t>本章提供了《财务规则》第</w:t>
      </w:r>
      <w:r>
        <w:rPr>
          <w:lang w:val="zh-CN" w:eastAsia="zh-CN"/>
        </w:rPr>
        <w:t>7</w:t>
      </w:r>
      <w:r>
        <w:rPr>
          <w:lang w:val="zh-CN" w:eastAsia="zh-CN"/>
        </w:rPr>
        <w:t>条中定义的按来源分列的</w:t>
      </w:r>
      <w:r>
        <w:rPr>
          <w:lang w:val="zh-CN" w:eastAsia="zh-CN"/>
        </w:rPr>
        <w:t>2026-2027</w:t>
      </w:r>
      <w:r>
        <w:rPr>
          <w:lang w:val="zh-CN" w:eastAsia="zh-CN"/>
        </w:rPr>
        <w:t>年收入估算信息。</w:t>
      </w:r>
    </w:p>
    <w:p w14:paraId="7FBD8F97" w14:textId="1A30F54C" w:rsidR="0084288C" w:rsidRDefault="0084288C" w:rsidP="0084288C">
      <w:pPr>
        <w:spacing w:before="0" w:after="240"/>
        <w:rPr>
          <w:lang w:eastAsia="zh-CN"/>
        </w:rPr>
      </w:pPr>
      <w:r>
        <w:rPr>
          <w:lang w:val="zh-CN" w:eastAsia="zh-CN"/>
        </w:rPr>
        <w:t>4.2</w:t>
      </w:r>
      <w:r>
        <w:rPr>
          <w:lang w:val="zh-CN" w:eastAsia="zh-CN"/>
        </w:rPr>
        <w:tab/>
      </w:r>
      <w:r>
        <w:rPr>
          <w:lang w:val="zh-CN" w:eastAsia="zh-CN"/>
        </w:rPr>
        <w:t>下表提供了</w:t>
      </w:r>
      <w:r>
        <w:rPr>
          <w:lang w:val="zh-CN" w:eastAsia="zh-CN"/>
        </w:rPr>
        <w:t>2026-2027</w:t>
      </w:r>
      <w:r>
        <w:rPr>
          <w:lang w:val="zh-CN" w:eastAsia="zh-CN"/>
        </w:rPr>
        <w:t>年的收入预测，并与</w:t>
      </w:r>
      <w:r w:rsidR="00DC24CD">
        <w:rPr>
          <w:lang w:val="zh-CN" w:eastAsia="zh-CN"/>
        </w:rPr>
        <w:t>《财务规划》</w:t>
      </w:r>
      <w:r>
        <w:rPr>
          <w:lang w:val="zh-CN" w:eastAsia="zh-CN"/>
        </w:rPr>
        <w:t>、</w:t>
      </w:r>
      <w:r>
        <w:rPr>
          <w:lang w:val="zh-CN" w:eastAsia="zh-CN"/>
        </w:rPr>
        <w:t>2024-2025</w:t>
      </w:r>
      <w:r>
        <w:rPr>
          <w:lang w:val="zh-CN" w:eastAsia="zh-CN"/>
        </w:rPr>
        <w:t>年预算和</w:t>
      </w:r>
      <w:r>
        <w:rPr>
          <w:lang w:val="zh-CN" w:eastAsia="zh-CN"/>
        </w:rPr>
        <w:t>2024</w:t>
      </w:r>
      <w:r>
        <w:rPr>
          <w:lang w:val="zh-CN" w:eastAsia="zh-CN"/>
        </w:rPr>
        <w:t>年实际收入进行了比较。</w:t>
      </w:r>
      <w:r>
        <w:rPr>
          <w:lang w:val="zh-CN" w:eastAsia="zh-CN"/>
        </w:rPr>
        <w:t>2026−2027</w:t>
      </w:r>
      <w:r>
        <w:rPr>
          <w:lang w:val="zh-CN" w:eastAsia="zh-CN"/>
        </w:rPr>
        <w:t>年的预期收入比全权代表大会在批准</w:t>
      </w:r>
      <w:r>
        <w:rPr>
          <w:lang w:val="zh-CN" w:eastAsia="zh-CN"/>
        </w:rPr>
        <w:t>2024-2027</w:t>
      </w:r>
      <w:r>
        <w:rPr>
          <w:lang w:val="zh-CN" w:eastAsia="zh-CN"/>
        </w:rPr>
        <w:t>年</w:t>
      </w:r>
      <w:r w:rsidR="00DC24CD">
        <w:rPr>
          <w:lang w:val="zh-CN" w:eastAsia="zh-CN"/>
        </w:rPr>
        <w:t>《财务规划》</w:t>
      </w:r>
      <w:r>
        <w:rPr>
          <w:lang w:val="zh-CN" w:eastAsia="zh-CN"/>
        </w:rPr>
        <w:t>时预测的多</w:t>
      </w:r>
      <w:r>
        <w:rPr>
          <w:lang w:val="zh-CN" w:eastAsia="zh-CN"/>
        </w:rPr>
        <w:t>360</w:t>
      </w:r>
      <w:proofErr w:type="gramStart"/>
      <w:r>
        <w:rPr>
          <w:lang w:val="zh-CN" w:eastAsia="zh-CN"/>
        </w:rPr>
        <w:t>万瑞</w:t>
      </w:r>
      <w:proofErr w:type="gramEnd"/>
      <w:r>
        <w:rPr>
          <w:lang w:val="zh-CN" w:eastAsia="zh-CN"/>
        </w:rPr>
        <w:t>郎。</w:t>
      </w:r>
      <w:r>
        <w:rPr>
          <w:lang w:val="zh-CN" w:eastAsia="zh-CN"/>
        </w:rPr>
        <w:t>2026</w:t>
      </w:r>
      <w:r>
        <w:rPr>
          <w:lang w:val="zh-CN" w:eastAsia="zh-CN"/>
        </w:rPr>
        <w:t>年和</w:t>
      </w:r>
      <w:r>
        <w:rPr>
          <w:lang w:val="zh-CN" w:eastAsia="zh-CN"/>
        </w:rPr>
        <w:t>2027</w:t>
      </w:r>
      <w:r>
        <w:rPr>
          <w:lang w:val="zh-CN" w:eastAsia="zh-CN"/>
        </w:rPr>
        <w:t>年之间的差异主要是由于日程的变化（</w:t>
      </w:r>
      <w:r>
        <w:rPr>
          <w:lang w:val="zh-CN" w:eastAsia="zh-CN"/>
        </w:rPr>
        <w:t>2026</w:t>
      </w:r>
      <w:r>
        <w:rPr>
          <w:lang w:val="zh-CN" w:eastAsia="zh-CN"/>
        </w:rPr>
        <w:t>年</w:t>
      </w:r>
      <w:r w:rsidR="00DC24CD">
        <w:rPr>
          <w:rFonts w:hint="eastAsia"/>
          <w:lang w:val="zh-CN" w:eastAsia="zh-CN"/>
        </w:rPr>
        <w:t>召开</w:t>
      </w:r>
      <w:r>
        <w:rPr>
          <w:lang w:val="zh-CN" w:eastAsia="zh-CN"/>
        </w:rPr>
        <w:t>PP</w:t>
      </w:r>
      <w:r>
        <w:rPr>
          <w:lang w:val="zh-CN" w:eastAsia="zh-CN"/>
        </w:rPr>
        <w:t>，</w:t>
      </w:r>
      <w:r>
        <w:rPr>
          <w:lang w:val="zh-CN" w:eastAsia="zh-CN"/>
        </w:rPr>
        <w:t>2027</w:t>
      </w:r>
      <w:r>
        <w:rPr>
          <w:lang w:val="zh-CN" w:eastAsia="zh-CN"/>
        </w:rPr>
        <w:t>年</w:t>
      </w:r>
      <w:r w:rsidR="00DC24CD">
        <w:rPr>
          <w:rFonts w:hint="eastAsia"/>
          <w:lang w:val="zh-CN" w:eastAsia="zh-CN"/>
        </w:rPr>
        <w:t>召开</w:t>
      </w:r>
      <w:r>
        <w:rPr>
          <w:lang w:val="zh-CN" w:eastAsia="zh-CN"/>
        </w:rPr>
        <w:t>WRC</w:t>
      </w:r>
      <w:r>
        <w:rPr>
          <w:lang w:val="zh-CN" w:eastAsia="zh-CN"/>
        </w:rPr>
        <w:t>、</w:t>
      </w:r>
      <w:r>
        <w:rPr>
          <w:lang w:val="zh-CN" w:eastAsia="zh-CN"/>
        </w:rPr>
        <w:t>RA</w:t>
      </w:r>
      <w:r>
        <w:rPr>
          <w:lang w:val="zh-CN" w:eastAsia="zh-CN"/>
        </w:rPr>
        <w:t>和</w:t>
      </w:r>
      <w:r>
        <w:rPr>
          <w:lang w:val="zh-CN" w:eastAsia="zh-CN"/>
        </w:rPr>
        <w:t>CPM</w:t>
      </w:r>
      <w:r>
        <w:rPr>
          <w:lang w:val="zh-CN" w:eastAsia="zh-CN"/>
        </w:rPr>
        <w:t>）。预计</w:t>
      </w:r>
      <w:r>
        <w:rPr>
          <w:lang w:val="zh-CN" w:eastAsia="zh-CN"/>
        </w:rPr>
        <w:t>280</w:t>
      </w:r>
      <w:proofErr w:type="gramStart"/>
      <w:r>
        <w:rPr>
          <w:lang w:val="zh-CN" w:eastAsia="zh-CN"/>
        </w:rPr>
        <w:t>万瑞</w:t>
      </w:r>
      <w:proofErr w:type="gramEnd"/>
      <w:r>
        <w:rPr>
          <w:lang w:val="zh-CN" w:eastAsia="zh-CN"/>
        </w:rPr>
        <w:t>郎将于</w:t>
      </w:r>
      <w:r>
        <w:rPr>
          <w:lang w:val="zh-CN" w:eastAsia="zh-CN"/>
        </w:rPr>
        <w:t>2026</w:t>
      </w:r>
      <w:r>
        <w:rPr>
          <w:lang w:val="zh-CN" w:eastAsia="zh-CN"/>
        </w:rPr>
        <w:t>年存入储备金账户并于</w:t>
      </w:r>
      <w:r>
        <w:rPr>
          <w:lang w:val="zh-CN" w:eastAsia="zh-CN"/>
        </w:rPr>
        <w:t>2027</w:t>
      </w:r>
      <w:r>
        <w:rPr>
          <w:lang w:val="zh-CN" w:eastAsia="zh-CN"/>
        </w:rPr>
        <w:t>年提取，以补偿双年度中两年间的支出差异。支付给办公楼维护基金的款项低于秘书处在</w:t>
      </w:r>
      <w:r>
        <w:rPr>
          <w:lang w:val="zh-CN" w:eastAsia="zh-CN"/>
        </w:rPr>
        <w:t>2025</w:t>
      </w:r>
      <w:r>
        <w:rPr>
          <w:lang w:val="zh-CN" w:eastAsia="zh-CN"/>
        </w:rPr>
        <w:t>年</w:t>
      </w:r>
      <w:r>
        <w:rPr>
          <w:lang w:val="zh-CN" w:eastAsia="zh-CN"/>
        </w:rPr>
        <w:t>2</w:t>
      </w:r>
      <w:r>
        <w:rPr>
          <w:lang w:val="zh-CN" w:eastAsia="zh-CN"/>
        </w:rPr>
        <w:t>月会议上向</w:t>
      </w:r>
      <w:r>
        <w:rPr>
          <w:lang w:val="zh-CN" w:eastAsia="zh-CN"/>
        </w:rPr>
        <w:t>CWG-FHR</w:t>
      </w:r>
      <w:r>
        <w:rPr>
          <w:lang w:val="zh-CN" w:eastAsia="zh-CN"/>
        </w:rPr>
        <w:t>会议（</w:t>
      </w:r>
      <w:hyperlink r:id="rId31" w:history="1">
        <w:r w:rsidR="00DC24CD">
          <w:rPr>
            <w:rStyle w:val="Hyperlink"/>
            <w:lang w:eastAsia="zh-CN"/>
          </w:rPr>
          <w:t>CWG-FHR</w:t>
        </w:r>
        <w:r w:rsidR="00926287">
          <w:rPr>
            <w:rStyle w:val="Hyperlink"/>
            <w:lang w:eastAsia="zh-CN"/>
          </w:rPr>
          <w:t xml:space="preserve"> </w:t>
        </w:r>
        <w:r w:rsidR="00DC24CD">
          <w:rPr>
            <w:rStyle w:val="Hyperlink"/>
            <w:lang w:eastAsia="zh-CN"/>
          </w:rPr>
          <w:t>20/8</w:t>
        </w:r>
      </w:hyperlink>
      <w:r w:rsidR="00DC24CD">
        <w:rPr>
          <w:rFonts w:hint="eastAsia"/>
          <w:lang w:val="zh-CN" w:eastAsia="zh-CN"/>
        </w:rPr>
        <w:t>号文件</w:t>
      </w:r>
      <w:r>
        <w:rPr>
          <w:lang w:val="zh-CN" w:eastAsia="zh-CN"/>
        </w:rPr>
        <w:t>）建议的塔楼和</w:t>
      </w:r>
      <w:r>
        <w:rPr>
          <w:lang w:val="zh-CN" w:eastAsia="zh-CN"/>
        </w:rPr>
        <w:t>Montbrillant</w:t>
      </w:r>
      <w:r>
        <w:rPr>
          <w:lang w:val="zh-CN" w:eastAsia="zh-CN"/>
        </w:rPr>
        <w:t>办公楼的</w:t>
      </w:r>
      <w:r>
        <w:rPr>
          <w:lang w:val="zh-CN" w:eastAsia="zh-CN"/>
        </w:rPr>
        <w:t>200</w:t>
      </w:r>
      <w:proofErr w:type="gramStart"/>
      <w:r>
        <w:rPr>
          <w:lang w:val="zh-CN" w:eastAsia="zh-CN"/>
        </w:rPr>
        <w:t>万瑞</w:t>
      </w:r>
      <w:proofErr w:type="gramEnd"/>
      <w:r>
        <w:rPr>
          <w:lang w:val="zh-CN" w:eastAsia="zh-CN"/>
        </w:rPr>
        <w:t>郎的年度估算资本维护要求，但由于预算限制，目前不可能划拨更多资金。</w:t>
      </w:r>
      <w:bookmarkEnd w:id="11"/>
    </w:p>
    <w:p w14:paraId="263A9F1D" w14:textId="323368D4" w:rsidR="0084288C" w:rsidRDefault="00FA4B16" w:rsidP="006D3301">
      <w:pPr>
        <w:pStyle w:val="Figure"/>
        <w:rPr>
          <w:lang w:eastAsia="zh-CN"/>
        </w:rPr>
      </w:pPr>
      <w:r w:rsidRPr="00FA4B16">
        <w:rPr>
          <w:noProof/>
        </w:rPr>
        <w:drawing>
          <wp:inline distT="0" distB="0" distL="0" distR="0" wp14:anchorId="0EFA03F9" wp14:editId="28E6499F">
            <wp:extent cx="5760085" cy="1639570"/>
            <wp:effectExtent l="0" t="0" r="0" b="0"/>
            <wp:docPr id="10115375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1639570"/>
                    </a:xfrm>
                    <a:prstGeom prst="rect">
                      <a:avLst/>
                    </a:prstGeom>
                    <a:noFill/>
                    <a:ln>
                      <a:noFill/>
                    </a:ln>
                  </pic:spPr>
                </pic:pic>
              </a:graphicData>
            </a:graphic>
          </wp:inline>
        </w:drawing>
      </w:r>
    </w:p>
    <w:p w14:paraId="64E93254" w14:textId="7FA24781" w:rsidR="0084288C" w:rsidRDefault="0084288C" w:rsidP="006679D9">
      <w:pPr>
        <w:keepNext/>
        <w:keepLines/>
        <w:spacing w:after="240"/>
        <w:rPr>
          <w:lang w:eastAsia="zh-CN"/>
        </w:rPr>
      </w:pPr>
      <w:r>
        <w:rPr>
          <w:lang w:val="zh-CN" w:eastAsia="zh-CN"/>
        </w:rPr>
        <w:t>4.3</w:t>
      </w:r>
      <w:r>
        <w:rPr>
          <w:lang w:val="zh-CN" w:eastAsia="zh-CN"/>
        </w:rPr>
        <w:tab/>
      </w:r>
      <w:r w:rsidR="006941E4">
        <w:rPr>
          <w:rFonts w:hint="eastAsia"/>
          <w:lang w:val="zh-CN" w:eastAsia="zh-CN"/>
        </w:rPr>
        <w:t>尽管</w:t>
      </w:r>
      <w:r>
        <w:rPr>
          <w:lang w:val="zh-CN" w:eastAsia="zh-CN"/>
        </w:rPr>
        <w:t>根据第</w:t>
      </w:r>
      <w:r>
        <w:rPr>
          <w:lang w:val="zh-CN" w:eastAsia="zh-CN"/>
        </w:rPr>
        <w:t>5</w:t>
      </w:r>
      <w:r>
        <w:rPr>
          <w:lang w:val="zh-CN" w:eastAsia="zh-CN"/>
        </w:rPr>
        <w:t>号决定（</w:t>
      </w:r>
      <w:r>
        <w:rPr>
          <w:lang w:val="zh-CN" w:eastAsia="zh-CN"/>
        </w:rPr>
        <w:t>2022</w:t>
      </w:r>
      <w:r>
        <w:rPr>
          <w:lang w:val="zh-CN" w:eastAsia="zh-CN"/>
        </w:rPr>
        <w:t>年，布加勒斯特，修订版），会费单位金额维持在</w:t>
      </w:r>
      <w:r>
        <w:rPr>
          <w:lang w:val="zh-CN" w:eastAsia="zh-CN"/>
        </w:rPr>
        <w:t>318</w:t>
      </w:r>
      <w:r w:rsidR="003446A7">
        <w:rPr>
          <w:lang w:val="zh-CN" w:eastAsia="zh-CN"/>
        </w:rPr>
        <w:t> </w:t>
      </w:r>
      <w:r>
        <w:rPr>
          <w:lang w:val="zh-CN" w:eastAsia="zh-CN"/>
        </w:rPr>
        <w:t>000</w:t>
      </w:r>
      <w:r>
        <w:rPr>
          <w:lang w:val="zh-CN" w:eastAsia="zh-CN"/>
        </w:rPr>
        <w:t>瑞郎</w:t>
      </w:r>
      <w:r w:rsidR="006941E4">
        <w:rPr>
          <w:rFonts w:hint="eastAsia"/>
          <w:lang w:val="zh-CN" w:eastAsia="zh-CN"/>
        </w:rPr>
        <w:t>，但</w:t>
      </w:r>
      <w:r w:rsidR="006941E4">
        <w:rPr>
          <w:lang w:val="zh-CN" w:eastAsia="zh-CN"/>
        </w:rPr>
        <w:t>分摊会费略微增加了</w:t>
      </w:r>
      <w:r w:rsidR="006941E4">
        <w:rPr>
          <w:lang w:val="zh-CN" w:eastAsia="zh-CN"/>
        </w:rPr>
        <w:t>58</w:t>
      </w:r>
      <w:proofErr w:type="gramStart"/>
      <w:r w:rsidR="006941E4">
        <w:rPr>
          <w:lang w:val="zh-CN" w:eastAsia="zh-CN"/>
        </w:rPr>
        <w:t>万瑞</w:t>
      </w:r>
      <w:proofErr w:type="gramEnd"/>
      <w:r w:rsidR="006941E4">
        <w:rPr>
          <w:lang w:val="zh-CN" w:eastAsia="zh-CN"/>
        </w:rPr>
        <w:t>郎</w:t>
      </w:r>
      <w:r>
        <w:rPr>
          <w:lang w:val="zh-CN" w:eastAsia="zh-CN"/>
        </w:rPr>
        <w:t>。如下表所示，与财务规划相比，分摊会费的预期增长主要源于部门准成员的增加，预计</w:t>
      </w:r>
      <w:r w:rsidR="006941E4">
        <w:rPr>
          <w:rFonts w:hint="eastAsia"/>
          <w:lang w:val="zh-CN" w:eastAsia="zh-CN"/>
        </w:rPr>
        <w:t>新</w:t>
      </w:r>
      <w:r>
        <w:rPr>
          <w:lang w:val="zh-CN" w:eastAsia="zh-CN"/>
        </w:rPr>
        <w:t>增部门成员、学术成员和加入国际电联的</w:t>
      </w:r>
      <w:r w:rsidR="006941E4">
        <w:rPr>
          <w:rFonts w:hint="eastAsia"/>
          <w:lang w:val="zh-CN" w:eastAsia="zh-CN"/>
        </w:rPr>
        <w:t>一个</w:t>
      </w:r>
      <w:r>
        <w:rPr>
          <w:lang w:val="zh-CN" w:eastAsia="zh-CN"/>
        </w:rPr>
        <w:t>新成员国也有较小的增长。</w:t>
      </w:r>
    </w:p>
    <w:p w14:paraId="613CACA3" w14:textId="34E04ADA" w:rsidR="0084288C" w:rsidRDefault="00FA4B16" w:rsidP="006D3301">
      <w:pPr>
        <w:pStyle w:val="Figure"/>
        <w:rPr>
          <w:lang w:eastAsia="zh-CN"/>
        </w:rPr>
      </w:pPr>
      <w:r w:rsidRPr="00FA4B16">
        <w:rPr>
          <w:noProof/>
        </w:rPr>
        <w:drawing>
          <wp:inline distT="0" distB="0" distL="0" distR="0" wp14:anchorId="23D25C4D" wp14:editId="7EAAFF83">
            <wp:extent cx="5760085" cy="2447925"/>
            <wp:effectExtent l="0" t="0" r="0" b="9525"/>
            <wp:docPr id="14451283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085" cy="2447925"/>
                    </a:xfrm>
                    <a:prstGeom prst="rect">
                      <a:avLst/>
                    </a:prstGeom>
                    <a:noFill/>
                    <a:ln>
                      <a:noFill/>
                    </a:ln>
                  </pic:spPr>
                </pic:pic>
              </a:graphicData>
            </a:graphic>
          </wp:inline>
        </w:drawing>
      </w:r>
    </w:p>
    <w:p w14:paraId="6FB7C72C" w14:textId="3B10F500" w:rsidR="0084288C" w:rsidRDefault="0084288C" w:rsidP="00926287">
      <w:pPr>
        <w:keepNext/>
        <w:keepLines/>
        <w:spacing w:before="0" w:after="240"/>
        <w:rPr>
          <w:lang w:eastAsia="zh-CN"/>
        </w:rPr>
      </w:pPr>
      <w:r>
        <w:rPr>
          <w:lang w:val="zh-CN" w:eastAsia="zh-CN"/>
        </w:rPr>
        <w:lastRenderedPageBreak/>
        <w:t>4.4</w:t>
      </w:r>
      <w:r>
        <w:rPr>
          <w:lang w:val="zh-CN" w:eastAsia="zh-CN"/>
        </w:rPr>
        <w:tab/>
      </w:r>
      <w:r>
        <w:rPr>
          <w:lang w:val="zh-CN" w:eastAsia="zh-CN"/>
        </w:rPr>
        <w:t>与</w:t>
      </w:r>
      <w:r w:rsidR="00DC24CD">
        <w:rPr>
          <w:lang w:val="zh-CN" w:eastAsia="zh-CN"/>
        </w:rPr>
        <w:t>《财务规划》</w:t>
      </w:r>
      <w:r>
        <w:rPr>
          <w:lang w:val="zh-CN" w:eastAsia="zh-CN"/>
        </w:rPr>
        <w:t>相比，预计</w:t>
      </w:r>
      <w:r>
        <w:rPr>
          <w:lang w:val="zh-CN" w:eastAsia="zh-CN"/>
        </w:rPr>
        <w:t>2026-2027</w:t>
      </w:r>
      <w:r>
        <w:rPr>
          <w:lang w:val="zh-CN" w:eastAsia="zh-CN"/>
        </w:rPr>
        <w:t>年出版物销售的成本回收收入将略有减少，因为这一时间段的出版计划</w:t>
      </w:r>
      <w:r w:rsidR="000D5E59">
        <w:rPr>
          <w:rFonts w:hint="eastAsia"/>
          <w:lang w:val="zh-CN" w:eastAsia="zh-CN"/>
        </w:rPr>
        <w:t>涵盖了一届</w:t>
      </w:r>
      <w:r>
        <w:rPr>
          <w:lang w:val="zh-CN" w:eastAsia="zh-CN"/>
        </w:rPr>
        <w:t>WRC</w:t>
      </w:r>
      <w:r>
        <w:rPr>
          <w:lang w:val="zh-CN" w:eastAsia="zh-CN"/>
        </w:rPr>
        <w:t>。</w:t>
      </w:r>
    </w:p>
    <w:p w14:paraId="7860DAA4" w14:textId="1C35E5A9" w:rsidR="0084288C" w:rsidRDefault="0084288C" w:rsidP="00926287">
      <w:pPr>
        <w:keepNext/>
        <w:keepLines/>
        <w:spacing w:before="0" w:after="240"/>
        <w:rPr>
          <w:lang w:eastAsia="zh-CN"/>
        </w:rPr>
      </w:pPr>
      <w:r>
        <w:rPr>
          <w:lang w:val="zh-CN" w:eastAsia="zh-CN"/>
        </w:rPr>
        <w:t>4.5</w:t>
      </w:r>
      <w:r>
        <w:rPr>
          <w:lang w:val="zh-CN" w:eastAsia="zh-CN"/>
        </w:rPr>
        <w:tab/>
      </w:r>
      <w:r>
        <w:rPr>
          <w:lang w:val="zh-CN" w:eastAsia="zh-CN"/>
        </w:rPr>
        <w:t>对于卫星网络申报</w:t>
      </w:r>
      <w:r w:rsidR="00527D71">
        <w:rPr>
          <w:rFonts w:hint="eastAsia"/>
          <w:lang w:val="zh-CN" w:eastAsia="zh-CN"/>
        </w:rPr>
        <w:t>资料</w:t>
      </w:r>
      <w:r>
        <w:rPr>
          <w:lang w:val="zh-CN" w:eastAsia="zh-CN"/>
        </w:rPr>
        <w:t>（</w:t>
      </w:r>
      <w:r>
        <w:rPr>
          <w:lang w:val="zh-CN" w:eastAsia="zh-CN"/>
        </w:rPr>
        <w:t>SNF</w:t>
      </w:r>
      <w:r>
        <w:rPr>
          <w:lang w:val="zh-CN" w:eastAsia="zh-CN"/>
        </w:rPr>
        <w:t>）成本回收，国际电联在这一领域的工作的年度总费用估计为</w:t>
      </w:r>
      <w:r>
        <w:rPr>
          <w:lang w:val="zh-CN" w:eastAsia="zh-CN"/>
        </w:rPr>
        <w:t>2</w:t>
      </w:r>
      <w:r w:rsidR="003446A7">
        <w:rPr>
          <w:lang w:val="zh-CN" w:eastAsia="zh-CN"/>
        </w:rPr>
        <w:t> </w:t>
      </w:r>
      <w:r>
        <w:rPr>
          <w:lang w:val="zh-CN" w:eastAsia="zh-CN"/>
        </w:rPr>
        <w:t>280</w:t>
      </w:r>
      <w:proofErr w:type="gramStart"/>
      <w:r>
        <w:rPr>
          <w:lang w:val="zh-CN" w:eastAsia="zh-CN"/>
        </w:rPr>
        <w:t>万瑞</w:t>
      </w:r>
      <w:proofErr w:type="gramEnd"/>
      <w:r>
        <w:rPr>
          <w:lang w:val="zh-CN" w:eastAsia="zh-CN"/>
        </w:rPr>
        <w:t>郎，但在</w:t>
      </w:r>
      <w:r>
        <w:rPr>
          <w:lang w:val="zh-CN" w:eastAsia="zh-CN"/>
        </w:rPr>
        <w:t>2026-2027</w:t>
      </w:r>
      <w:r>
        <w:rPr>
          <w:lang w:val="zh-CN" w:eastAsia="zh-CN"/>
        </w:rPr>
        <w:t>年的估算中只包括了</w:t>
      </w:r>
      <w:r>
        <w:rPr>
          <w:lang w:val="zh-CN" w:eastAsia="zh-CN"/>
        </w:rPr>
        <w:t>1</w:t>
      </w:r>
      <w:r w:rsidR="00926287">
        <w:rPr>
          <w:lang w:val="zh-CN" w:eastAsia="zh-CN"/>
        </w:rPr>
        <w:t> </w:t>
      </w:r>
      <w:r>
        <w:rPr>
          <w:lang w:val="zh-CN" w:eastAsia="zh-CN"/>
        </w:rPr>
        <w:t>800</w:t>
      </w:r>
      <w:proofErr w:type="gramStart"/>
      <w:r>
        <w:rPr>
          <w:lang w:val="zh-CN" w:eastAsia="zh-CN"/>
        </w:rPr>
        <w:t>万瑞</w:t>
      </w:r>
      <w:proofErr w:type="gramEnd"/>
      <w:r>
        <w:rPr>
          <w:lang w:val="zh-CN" w:eastAsia="zh-CN"/>
        </w:rPr>
        <w:t>郎。这一估算基于秘书处提出的、关于修改</w:t>
      </w:r>
      <w:r w:rsidR="00527D71">
        <w:rPr>
          <w:rFonts w:hint="eastAsia"/>
          <w:lang w:val="zh-CN" w:eastAsia="zh-CN"/>
        </w:rPr>
        <w:t>第</w:t>
      </w:r>
      <w:r>
        <w:rPr>
          <w:lang w:val="zh-CN" w:eastAsia="zh-CN"/>
        </w:rPr>
        <w:t>482</w:t>
      </w:r>
      <w:r w:rsidR="00527D71">
        <w:rPr>
          <w:rFonts w:hint="eastAsia"/>
          <w:lang w:val="zh-CN" w:eastAsia="zh-CN"/>
        </w:rPr>
        <w:t>号决定专家组建议实施</w:t>
      </w:r>
      <w:r>
        <w:rPr>
          <w:lang w:val="zh-CN" w:eastAsia="zh-CN"/>
        </w:rPr>
        <w:t>情况的建议，该建议将提交理事会</w:t>
      </w:r>
      <w:r>
        <w:rPr>
          <w:lang w:val="zh-CN" w:eastAsia="zh-CN"/>
        </w:rPr>
        <w:t>2025</w:t>
      </w:r>
      <w:r>
        <w:rPr>
          <w:lang w:val="zh-CN" w:eastAsia="zh-CN"/>
        </w:rPr>
        <w:t>年会议</w:t>
      </w:r>
      <w:r w:rsidR="00527D71">
        <w:rPr>
          <w:rFonts w:hint="eastAsia"/>
          <w:lang w:val="zh-CN" w:eastAsia="zh-CN"/>
        </w:rPr>
        <w:t>审议</w:t>
      </w:r>
      <w:r>
        <w:rPr>
          <w:lang w:val="zh-CN" w:eastAsia="zh-CN"/>
        </w:rPr>
        <w:t>。</w:t>
      </w:r>
      <w:r w:rsidR="00B755E6">
        <w:rPr>
          <w:rFonts w:hint="eastAsia"/>
          <w:lang w:val="zh-CN" w:eastAsia="zh-CN"/>
        </w:rPr>
        <w:t>该</w:t>
      </w:r>
      <w:r>
        <w:rPr>
          <w:lang w:val="zh-CN" w:eastAsia="zh-CN"/>
        </w:rPr>
        <w:t>提案认识到秘书处确定的</w:t>
      </w:r>
      <w:r w:rsidR="00B755E6">
        <w:rPr>
          <w:rFonts w:hint="eastAsia"/>
          <w:lang w:val="zh-CN" w:eastAsia="zh-CN"/>
        </w:rPr>
        <w:t>全面</w:t>
      </w:r>
      <w:r>
        <w:rPr>
          <w:lang w:val="zh-CN" w:eastAsia="zh-CN"/>
        </w:rPr>
        <w:t>成本回收面临的实际挑战，并建议采用基准限额。除基准总成本估算外，建议每年追加拨款</w:t>
      </w:r>
      <w:r>
        <w:rPr>
          <w:lang w:val="zh-CN" w:eastAsia="zh-CN"/>
        </w:rPr>
        <w:t>100</w:t>
      </w:r>
      <w:proofErr w:type="gramStart"/>
      <w:r>
        <w:rPr>
          <w:lang w:val="zh-CN" w:eastAsia="zh-CN"/>
        </w:rPr>
        <w:t>万瑞</w:t>
      </w:r>
      <w:proofErr w:type="gramEnd"/>
      <w:r>
        <w:rPr>
          <w:lang w:val="zh-CN" w:eastAsia="zh-CN"/>
        </w:rPr>
        <w:t>郎，</w:t>
      </w:r>
      <w:r w:rsidR="00B755E6">
        <w:rPr>
          <w:rFonts w:hint="eastAsia"/>
          <w:lang w:val="zh-CN" w:eastAsia="zh-CN"/>
        </w:rPr>
        <w:t>拨付</w:t>
      </w:r>
      <w:r>
        <w:rPr>
          <w:lang w:val="zh-CN" w:eastAsia="zh-CN"/>
        </w:rPr>
        <w:t>给</w:t>
      </w:r>
      <w:r>
        <w:rPr>
          <w:lang w:val="zh-CN" w:eastAsia="zh-CN"/>
        </w:rPr>
        <w:t>ICT</w:t>
      </w:r>
      <w:r>
        <w:rPr>
          <w:lang w:val="zh-CN" w:eastAsia="zh-CN"/>
        </w:rPr>
        <w:t>基金，以抵消无线电通信</w:t>
      </w:r>
      <w:proofErr w:type="gramStart"/>
      <w:r>
        <w:rPr>
          <w:lang w:val="zh-CN" w:eastAsia="zh-CN"/>
        </w:rPr>
        <w:t>局软件</w:t>
      </w:r>
      <w:proofErr w:type="gramEnd"/>
      <w:r>
        <w:rPr>
          <w:lang w:val="zh-CN" w:eastAsia="zh-CN"/>
        </w:rPr>
        <w:t>改进项目的费用，该</w:t>
      </w:r>
      <w:r w:rsidR="00B755E6">
        <w:rPr>
          <w:rFonts w:hint="eastAsia"/>
          <w:lang w:val="zh-CN" w:eastAsia="zh-CN"/>
        </w:rPr>
        <w:t>项目</w:t>
      </w:r>
      <w:r>
        <w:rPr>
          <w:lang w:val="zh-CN" w:eastAsia="zh-CN"/>
        </w:rPr>
        <w:t>是推动</w:t>
      </w:r>
      <w:r>
        <w:rPr>
          <w:lang w:val="zh-CN" w:eastAsia="zh-CN"/>
        </w:rPr>
        <w:t>SNF</w:t>
      </w:r>
      <w:r>
        <w:rPr>
          <w:lang w:val="zh-CN" w:eastAsia="zh-CN"/>
        </w:rPr>
        <w:t>工作所需的。秘书处在</w:t>
      </w:r>
      <w:r w:rsidR="00B755E6">
        <w:fldChar w:fldCharType="begin"/>
      </w:r>
      <w:r w:rsidR="00B755E6">
        <w:rPr>
          <w:lang w:eastAsia="zh-CN"/>
        </w:rPr>
        <w:instrText>HYPERLINK "https://www.itu.int/md/S25-CL-C-0064/en"</w:instrText>
      </w:r>
      <w:r w:rsidR="00B755E6">
        <w:fldChar w:fldCharType="separate"/>
      </w:r>
      <w:proofErr w:type="spellStart"/>
      <w:r w:rsidR="00B755E6">
        <w:rPr>
          <w:rStyle w:val="Hyperlink"/>
          <w:lang w:eastAsia="zh-CN"/>
        </w:rPr>
        <w:t>C25</w:t>
      </w:r>
      <w:proofErr w:type="spellEnd"/>
      <w:r w:rsidR="00B755E6">
        <w:rPr>
          <w:rStyle w:val="Hyperlink"/>
          <w:lang w:eastAsia="zh-CN"/>
        </w:rPr>
        <w:t>/64</w:t>
      </w:r>
      <w:r w:rsidR="00B755E6">
        <w:fldChar w:fldCharType="end"/>
      </w:r>
      <w:r>
        <w:rPr>
          <w:lang w:val="zh-CN" w:eastAsia="zh-CN"/>
        </w:rPr>
        <w:t>号文件中建议，这笔费用从</w:t>
      </w:r>
      <w:r>
        <w:rPr>
          <w:lang w:val="zh-CN" w:eastAsia="zh-CN"/>
        </w:rPr>
        <w:t>SNF</w:t>
      </w:r>
      <w:r>
        <w:rPr>
          <w:lang w:val="zh-CN" w:eastAsia="zh-CN"/>
        </w:rPr>
        <w:t>费用中收取。如果额外收入未获批准，则此准备金将被删除。</w:t>
      </w:r>
    </w:p>
    <w:p w14:paraId="36B0C8EE" w14:textId="54FB2392" w:rsidR="0084288C" w:rsidRDefault="0084288C" w:rsidP="0084288C">
      <w:pPr>
        <w:spacing w:before="0" w:after="240"/>
        <w:rPr>
          <w:lang w:eastAsia="zh-CN"/>
        </w:rPr>
      </w:pPr>
      <w:r>
        <w:rPr>
          <w:lang w:val="zh-CN" w:eastAsia="zh-CN"/>
        </w:rPr>
        <w:t>4.6</w:t>
      </w:r>
      <w:r>
        <w:rPr>
          <w:lang w:val="zh-CN" w:eastAsia="zh-CN"/>
        </w:rPr>
        <w:tab/>
      </w:r>
      <w:r>
        <w:rPr>
          <w:lang w:val="zh-CN" w:eastAsia="zh-CN"/>
        </w:rPr>
        <w:t>项目支持</w:t>
      </w:r>
      <w:r w:rsidR="00B755E6">
        <w:rPr>
          <w:rFonts w:hint="eastAsia"/>
          <w:lang w:val="zh-CN" w:eastAsia="zh-CN"/>
        </w:rPr>
        <w:t>成本</w:t>
      </w:r>
      <w:r>
        <w:rPr>
          <w:lang w:val="zh-CN" w:eastAsia="zh-CN"/>
        </w:rPr>
        <w:t>收入预计将像近年来一样继续上升。超出财务规划估算的超出部分将存入</w:t>
      </w:r>
      <w:r>
        <w:rPr>
          <w:lang w:val="zh-CN" w:eastAsia="zh-CN"/>
        </w:rPr>
        <w:t>ICT</w:t>
      </w:r>
      <w:r>
        <w:rPr>
          <w:lang w:val="zh-CN" w:eastAsia="zh-CN"/>
        </w:rPr>
        <w:t>发展基金。</w:t>
      </w:r>
    </w:p>
    <w:p w14:paraId="371915F9" w14:textId="33D58BC9" w:rsidR="0084288C" w:rsidRDefault="00FA4B16" w:rsidP="006D3301">
      <w:pPr>
        <w:pStyle w:val="Figure"/>
        <w:rPr>
          <w:lang w:eastAsia="zh-CN"/>
        </w:rPr>
      </w:pPr>
      <w:r w:rsidRPr="00FA4B16">
        <w:rPr>
          <w:noProof/>
        </w:rPr>
        <w:drawing>
          <wp:inline distT="0" distB="0" distL="0" distR="0" wp14:anchorId="56B1909D" wp14:editId="57A8595C">
            <wp:extent cx="5760085" cy="1855470"/>
            <wp:effectExtent l="0" t="0" r="0" b="0"/>
            <wp:docPr id="14875024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085" cy="1855470"/>
                    </a:xfrm>
                    <a:prstGeom prst="rect">
                      <a:avLst/>
                    </a:prstGeom>
                    <a:noFill/>
                    <a:ln>
                      <a:noFill/>
                    </a:ln>
                  </pic:spPr>
                </pic:pic>
              </a:graphicData>
            </a:graphic>
          </wp:inline>
        </w:drawing>
      </w:r>
    </w:p>
    <w:p w14:paraId="586CBE2F" w14:textId="77777777" w:rsidR="0084288C" w:rsidRDefault="0084288C" w:rsidP="006679D9">
      <w:pPr>
        <w:keepNext/>
        <w:keepLines/>
        <w:spacing w:after="240"/>
        <w:rPr>
          <w:lang w:eastAsia="zh-CN"/>
        </w:rPr>
      </w:pPr>
      <w:r>
        <w:rPr>
          <w:lang w:val="zh-CN" w:eastAsia="zh-CN"/>
        </w:rPr>
        <w:t>4.7</w:t>
      </w:r>
      <w:r>
        <w:rPr>
          <w:lang w:val="zh-CN" w:eastAsia="zh-CN"/>
        </w:rPr>
        <w:tab/>
      </w:r>
      <w:r>
        <w:rPr>
          <w:lang w:val="zh-CN" w:eastAsia="zh-CN"/>
        </w:rPr>
        <w:t>如下表所示，已根据近年来取得的成果对预期利息和其他收入进行了调整。利息收入预计增加</w:t>
      </w:r>
      <w:r>
        <w:rPr>
          <w:lang w:val="zh-CN" w:eastAsia="zh-CN"/>
        </w:rPr>
        <w:t>360</w:t>
      </w:r>
      <w:proofErr w:type="gramStart"/>
      <w:r>
        <w:rPr>
          <w:lang w:val="zh-CN" w:eastAsia="zh-CN"/>
        </w:rPr>
        <w:t>万瑞</w:t>
      </w:r>
      <w:proofErr w:type="gramEnd"/>
      <w:r>
        <w:rPr>
          <w:lang w:val="zh-CN" w:eastAsia="zh-CN"/>
        </w:rPr>
        <w:t>郎，其他收入预计增加</w:t>
      </w:r>
      <w:r>
        <w:rPr>
          <w:lang w:val="zh-CN" w:eastAsia="zh-CN"/>
        </w:rPr>
        <w:t>50</w:t>
      </w:r>
      <w:proofErr w:type="gramStart"/>
      <w:r>
        <w:rPr>
          <w:lang w:val="zh-CN" w:eastAsia="zh-CN"/>
        </w:rPr>
        <w:t>万瑞</w:t>
      </w:r>
      <w:proofErr w:type="gramEnd"/>
      <w:r>
        <w:rPr>
          <w:lang w:val="zh-CN" w:eastAsia="zh-CN"/>
        </w:rPr>
        <w:t>郎。</w:t>
      </w:r>
    </w:p>
    <w:p w14:paraId="5EC8EAE9" w14:textId="3F2239CA" w:rsidR="0084288C" w:rsidRDefault="00FA4B16" w:rsidP="006D3301">
      <w:pPr>
        <w:pStyle w:val="Figure"/>
        <w:rPr>
          <w:lang w:eastAsia="zh-CN"/>
        </w:rPr>
      </w:pPr>
      <w:r w:rsidRPr="00FA4B16">
        <w:rPr>
          <w:noProof/>
        </w:rPr>
        <w:drawing>
          <wp:inline distT="0" distB="0" distL="0" distR="0" wp14:anchorId="293B8B17" wp14:editId="62A8633F">
            <wp:extent cx="5760085" cy="1314450"/>
            <wp:effectExtent l="0" t="0" r="0" b="0"/>
            <wp:docPr id="60853460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85" cy="1314450"/>
                    </a:xfrm>
                    <a:prstGeom prst="rect">
                      <a:avLst/>
                    </a:prstGeom>
                    <a:noFill/>
                    <a:ln>
                      <a:noFill/>
                    </a:ln>
                  </pic:spPr>
                </pic:pic>
              </a:graphicData>
            </a:graphic>
          </wp:inline>
        </w:drawing>
      </w:r>
    </w:p>
    <w:p w14:paraId="6B6073DC" w14:textId="77777777" w:rsidR="00926287" w:rsidRPr="00926287" w:rsidRDefault="00926287" w:rsidP="00926287"/>
    <w:p w14:paraId="6D99C099" w14:textId="5AB84CA0" w:rsidR="0084288C" w:rsidRPr="00324DB7" w:rsidRDefault="0084288C" w:rsidP="00926287">
      <w:pPr>
        <w:keepNext/>
        <w:keepLines/>
        <w:spacing w:after="240"/>
        <w:rPr>
          <w:b/>
          <w:bCs/>
          <w:color w:val="002060"/>
          <w:lang w:eastAsia="zh-CN"/>
        </w:rPr>
      </w:pPr>
      <w:r w:rsidRPr="00926287">
        <w:rPr>
          <w:b/>
          <w:bCs/>
          <w:color w:val="002060"/>
          <w:lang w:eastAsia="zh-CN"/>
        </w:rPr>
        <w:lastRenderedPageBreak/>
        <w:t>5</w:t>
      </w:r>
      <w:r w:rsidR="00DE3F7F" w:rsidRPr="00926287">
        <w:rPr>
          <w:b/>
          <w:bCs/>
          <w:color w:val="002060"/>
          <w:lang w:eastAsia="zh-CN"/>
        </w:rPr>
        <w:tab/>
      </w:r>
      <w:r w:rsidR="00DE3F7F" w:rsidRPr="00926287">
        <w:rPr>
          <w:rFonts w:hint="eastAsia"/>
          <w:b/>
          <w:bCs/>
          <w:color w:val="002060"/>
          <w:lang w:eastAsia="zh-CN"/>
        </w:rPr>
        <w:t>语文服务</w:t>
      </w:r>
    </w:p>
    <w:p w14:paraId="3E7EA22C" w14:textId="5871DEC8" w:rsidR="0084288C" w:rsidRDefault="0084288C" w:rsidP="00926287">
      <w:pPr>
        <w:keepNext/>
        <w:keepLines/>
        <w:snapToGrid w:val="0"/>
        <w:spacing w:after="240"/>
        <w:rPr>
          <w:rFonts w:asciiTheme="minorHAnsi" w:hAnsiTheme="minorHAnsi"/>
          <w:lang w:eastAsia="zh-CN"/>
        </w:rPr>
      </w:pPr>
      <w:r>
        <w:rPr>
          <w:lang w:val="zh-CN" w:eastAsia="zh-CN"/>
        </w:rPr>
        <w:t>5.1</w:t>
      </w:r>
      <w:r>
        <w:rPr>
          <w:lang w:val="zh-CN" w:eastAsia="zh-CN"/>
        </w:rPr>
        <w:tab/>
      </w:r>
      <w:r>
        <w:rPr>
          <w:lang w:val="zh-CN" w:eastAsia="zh-CN"/>
        </w:rPr>
        <w:t>根据第</w:t>
      </w:r>
      <w:r>
        <w:rPr>
          <w:lang w:val="zh-CN" w:eastAsia="zh-CN"/>
        </w:rPr>
        <w:t>5</w:t>
      </w:r>
      <w:r>
        <w:rPr>
          <w:lang w:val="zh-CN" w:eastAsia="zh-CN"/>
        </w:rPr>
        <w:t>号决定（</w:t>
      </w:r>
      <w:r>
        <w:rPr>
          <w:lang w:val="zh-CN" w:eastAsia="zh-CN"/>
        </w:rPr>
        <w:t>2022</w:t>
      </w:r>
      <w:r>
        <w:rPr>
          <w:lang w:val="zh-CN" w:eastAsia="zh-CN"/>
        </w:rPr>
        <w:t>年，布加勒斯特，修订版）</w:t>
      </w:r>
      <w:r w:rsidRPr="00C605E1">
        <w:rPr>
          <w:rFonts w:ascii="STKaiti" w:eastAsia="STKaiti" w:hAnsi="STKaiti"/>
          <w:lang w:val="zh-CN" w:eastAsia="zh-CN"/>
        </w:rPr>
        <w:t>做出决定1</w:t>
      </w:r>
      <w:r w:rsidR="00C605E1" w:rsidRPr="00C605E1">
        <w:rPr>
          <w:rFonts w:ascii="STKaiti" w:eastAsia="STKaiti" w:hAnsi="STKaiti"/>
          <w:lang w:val="zh-CN" w:eastAsia="zh-CN"/>
        </w:rPr>
        <w:t>.</w:t>
      </w:r>
      <w:r w:rsidRPr="00C605E1">
        <w:rPr>
          <w:rFonts w:ascii="STKaiti" w:eastAsia="STKaiti" w:hAnsi="STKaiti"/>
          <w:lang w:val="zh-CN" w:eastAsia="zh-CN"/>
        </w:rPr>
        <w:t>2</w:t>
      </w:r>
      <w:r>
        <w:rPr>
          <w:lang w:val="zh-CN" w:eastAsia="zh-CN"/>
        </w:rPr>
        <w:t>，国际电联各正式语文的口译、笔译和</w:t>
      </w:r>
      <w:r w:rsidR="00C605E1">
        <w:rPr>
          <w:rFonts w:hint="eastAsia"/>
          <w:lang w:val="zh-CN" w:eastAsia="zh-CN"/>
        </w:rPr>
        <w:t>文字</w:t>
      </w:r>
      <w:r>
        <w:rPr>
          <w:lang w:val="zh-CN" w:eastAsia="zh-CN"/>
        </w:rPr>
        <w:t>处理支出在</w:t>
      </w:r>
      <w:r>
        <w:rPr>
          <w:lang w:val="zh-CN" w:eastAsia="zh-CN"/>
        </w:rPr>
        <w:t>2024-2027</w:t>
      </w:r>
      <w:r>
        <w:rPr>
          <w:lang w:val="zh-CN" w:eastAsia="zh-CN"/>
        </w:rPr>
        <w:t>年期间不得超过</w:t>
      </w:r>
      <w:r>
        <w:rPr>
          <w:lang w:val="zh-CN" w:eastAsia="zh-CN"/>
        </w:rPr>
        <w:t>8</w:t>
      </w:r>
      <w:r w:rsidR="003446A7">
        <w:rPr>
          <w:lang w:val="zh-CN" w:eastAsia="zh-CN"/>
        </w:rPr>
        <w:t> </w:t>
      </w:r>
      <w:r>
        <w:rPr>
          <w:lang w:val="zh-CN" w:eastAsia="zh-CN"/>
        </w:rPr>
        <w:t>500</w:t>
      </w:r>
      <w:proofErr w:type="gramStart"/>
      <w:r>
        <w:rPr>
          <w:lang w:val="zh-CN" w:eastAsia="zh-CN"/>
        </w:rPr>
        <w:t>万瑞</w:t>
      </w:r>
      <w:proofErr w:type="gramEnd"/>
      <w:r>
        <w:rPr>
          <w:lang w:val="zh-CN" w:eastAsia="zh-CN"/>
        </w:rPr>
        <w:t>郎。</w:t>
      </w:r>
    </w:p>
    <w:p w14:paraId="1B203DBD" w14:textId="71BAB5A3" w:rsidR="0084288C" w:rsidRDefault="0084288C" w:rsidP="00926287">
      <w:pPr>
        <w:keepNext/>
        <w:keepLines/>
        <w:snapToGrid w:val="0"/>
        <w:spacing w:after="240"/>
        <w:rPr>
          <w:rFonts w:asciiTheme="minorHAnsi" w:hAnsiTheme="minorHAnsi"/>
          <w:lang w:eastAsia="zh-CN"/>
        </w:rPr>
      </w:pPr>
      <w:r>
        <w:rPr>
          <w:lang w:val="zh-CN" w:eastAsia="zh-CN"/>
        </w:rPr>
        <w:t>5.2</w:t>
      </w:r>
      <w:r>
        <w:rPr>
          <w:lang w:val="zh-CN" w:eastAsia="zh-CN"/>
        </w:rPr>
        <w:tab/>
      </w:r>
      <w:r>
        <w:rPr>
          <w:lang w:val="zh-CN" w:eastAsia="zh-CN"/>
        </w:rPr>
        <w:t>下表列出了</w:t>
      </w:r>
      <w:r>
        <w:rPr>
          <w:lang w:val="zh-CN" w:eastAsia="zh-CN"/>
        </w:rPr>
        <w:t>2026-2027</w:t>
      </w:r>
      <w:r>
        <w:rPr>
          <w:lang w:val="zh-CN" w:eastAsia="zh-CN"/>
        </w:rPr>
        <w:t>年</w:t>
      </w:r>
      <w:r w:rsidR="00F959CC">
        <w:rPr>
          <w:rFonts w:hint="eastAsia"/>
          <w:lang w:val="zh-CN" w:eastAsia="zh-CN"/>
        </w:rPr>
        <w:t>相较于</w:t>
      </w:r>
      <w:r>
        <w:rPr>
          <w:lang w:val="zh-CN" w:eastAsia="zh-CN"/>
        </w:rPr>
        <w:t>2024-2025</w:t>
      </w:r>
      <w:r>
        <w:rPr>
          <w:lang w:val="zh-CN" w:eastAsia="zh-CN"/>
        </w:rPr>
        <w:t>年</w:t>
      </w:r>
      <w:r w:rsidR="00F959CC">
        <w:rPr>
          <w:rFonts w:hint="eastAsia"/>
          <w:lang w:val="zh-CN" w:eastAsia="zh-CN"/>
        </w:rPr>
        <w:t>的</w:t>
      </w:r>
      <w:r>
        <w:rPr>
          <w:lang w:val="zh-CN" w:eastAsia="zh-CN"/>
        </w:rPr>
        <w:t>语文相关服务的估算支出，远低于规定的最高金额，并预计将随着时间的推移继续下降。尽管翻译量（</w:t>
      </w:r>
      <w:r>
        <w:rPr>
          <w:lang w:val="zh-CN" w:eastAsia="zh-CN"/>
        </w:rPr>
        <w:t>WRC-27</w:t>
      </w:r>
      <w:r>
        <w:rPr>
          <w:lang w:val="zh-CN" w:eastAsia="zh-CN"/>
        </w:rPr>
        <w:t>，</w:t>
      </w:r>
      <w:r>
        <w:rPr>
          <w:lang w:val="zh-CN" w:eastAsia="zh-CN"/>
        </w:rPr>
        <w:t>PP-26</w:t>
      </w:r>
      <w:r>
        <w:rPr>
          <w:lang w:val="zh-CN" w:eastAsia="zh-CN"/>
        </w:rPr>
        <w:t>）有所增加，但笔译费用却有所下降，这主要是由于对笔译活动的最佳固定</w:t>
      </w:r>
      <w:r>
        <w:rPr>
          <w:lang w:val="zh-CN" w:eastAsia="zh-CN"/>
        </w:rPr>
        <w:t>/</w:t>
      </w:r>
      <w:r>
        <w:rPr>
          <w:lang w:val="zh-CN" w:eastAsia="zh-CN"/>
        </w:rPr>
        <w:t>可变产能分配进行了调整，</w:t>
      </w:r>
      <w:r w:rsidR="00F959CC">
        <w:rPr>
          <w:lang w:val="zh-CN" w:eastAsia="zh-CN"/>
        </w:rPr>
        <w:t>提高了</w:t>
      </w:r>
      <w:r>
        <w:rPr>
          <w:lang w:val="zh-CN" w:eastAsia="zh-CN"/>
        </w:rPr>
        <w:t>生产率。</w:t>
      </w:r>
      <w:r w:rsidR="00F959CC">
        <w:rPr>
          <w:rFonts w:hint="eastAsia"/>
          <w:lang w:val="zh-CN" w:eastAsia="zh-CN"/>
        </w:rPr>
        <w:t>文字</w:t>
      </w:r>
      <w:r>
        <w:rPr>
          <w:lang w:val="zh-CN" w:eastAsia="zh-CN"/>
        </w:rPr>
        <w:t>处理量的增加是由于文件量的增加。最后，增加口译服务是因为大会计划</w:t>
      </w:r>
      <w:r w:rsidR="00F959CC">
        <w:rPr>
          <w:rFonts w:hint="eastAsia"/>
          <w:lang w:val="zh-CN" w:eastAsia="zh-CN"/>
        </w:rPr>
        <w:t>中包括了</w:t>
      </w:r>
      <w:r>
        <w:rPr>
          <w:lang w:val="zh-CN" w:eastAsia="zh-CN"/>
        </w:rPr>
        <w:t>举办国际</w:t>
      </w:r>
      <w:proofErr w:type="gramStart"/>
      <w:r>
        <w:rPr>
          <w:lang w:val="zh-CN" w:eastAsia="zh-CN"/>
        </w:rPr>
        <w:t>电联最重要</w:t>
      </w:r>
      <w:proofErr w:type="gramEnd"/>
      <w:r>
        <w:rPr>
          <w:lang w:val="zh-CN" w:eastAsia="zh-CN"/>
        </w:rPr>
        <w:t>的两项活动（</w:t>
      </w:r>
      <w:r>
        <w:rPr>
          <w:lang w:val="zh-CN" w:eastAsia="zh-CN"/>
        </w:rPr>
        <w:t>PP-26</w:t>
      </w:r>
      <w:r>
        <w:rPr>
          <w:lang w:val="zh-CN" w:eastAsia="zh-CN"/>
        </w:rPr>
        <w:t>和</w:t>
      </w:r>
      <w:r>
        <w:rPr>
          <w:lang w:val="zh-CN" w:eastAsia="zh-CN"/>
        </w:rPr>
        <w:t>WRC-27</w:t>
      </w:r>
      <w:r>
        <w:rPr>
          <w:lang w:val="zh-CN" w:eastAsia="zh-CN"/>
        </w:rPr>
        <w:t>）。</w:t>
      </w:r>
    </w:p>
    <w:p w14:paraId="3EED47A3" w14:textId="06F6C2B0" w:rsidR="0084288C" w:rsidRDefault="00A038E4" w:rsidP="006D3301">
      <w:pPr>
        <w:pStyle w:val="Figure"/>
        <w:rPr>
          <w:rFonts w:asciiTheme="minorHAnsi" w:hAnsiTheme="minorHAnsi"/>
          <w:lang w:eastAsia="zh-CN"/>
        </w:rPr>
      </w:pPr>
      <w:r w:rsidRPr="00A038E4">
        <w:rPr>
          <w:noProof/>
        </w:rPr>
        <w:drawing>
          <wp:inline distT="0" distB="0" distL="0" distR="0" wp14:anchorId="22E28B8D" wp14:editId="1433A299">
            <wp:extent cx="3573780" cy="1610588"/>
            <wp:effectExtent l="0" t="0" r="7620" b="8890"/>
            <wp:docPr id="73167856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77233" cy="1612144"/>
                    </a:xfrm>
                    <a:prstGeom prst="rect">
                      <a:avLst/>
                    </a:prstGeom>
                    <a:noFill/>
                    <a:ln>
                      <a:noFill/>
                    </a:ln>
                  </pic:spPr>
                </pic:pic>
              </a:graphicData>
            </a:graphic>
          </wp:inline>
        </w:drawing>
      </w:r>
    </w:p>
    <w:p w14:paraId="2FE21919" w14:textId="375814B9" w:rsidR="0084288C" w:rsidRDefault="00F959CC" w:rsidP="00926287">
      <w:pPr>
        <w:spacing w:before="0" w:after="240"/>
        <w:ind w:firstLineChars="200" w:firstLine="480"/>
        <w:rPr>
          <w:rFonts w:asciiTheme="minorHAnsi" w:hAnsiTheme="minorHAnsi"/>
          <w:lang w:eastAsia="zh-CN"/>
        </w:rPr>
      </w:pPr>
      <w:hyperlink w:anchor="Annex_B" w:history="1">
        <w:r>
          <w:rPr>
            <w:rStyle w:val="Hyperlink"/>
            <w:rFonts w:asciiTheme="minorHAnsi" w:hAnsiTheme="minorHAnsi"/>
            <w:lang w:eastAsia="zh-CN"/>
          </w:rPr>
          <w:t>附件</w:t>
        </w:r>
        <w:r>
          <w:rPr>
            <w:rStyle w:val="Hyperlink"/>
            <w:rFonts w:asciiTheme="minorHAnsi" w:hAnsiTheme="minorHAnsi"/>
            <w:lang w:eastAsia="zh-CN"/>
          </w:rPr>
          <w:t>B</w:t>
        </w:r>
      </w:hyperlink>
      <w:hyperlink w:anchor="Annex_B" w:history="1">
        <w:r w:rsidR="0084288C">
          <w:rPr>
            <w:lang w:eastAsia="zh-CN"/>
          </w:rPr>
          <w:t>提供了</w:t>
        </w:r>
        <w:r w:rsidR="0084288C">
          <w:rPr>
            <w:lang w:eastAsia="zh-CN"/>
          </w:rPr>
          <w:t>2026-2027</w:t>
        </w:r>
        <w:r w:rsidR="0084288C">
          <w:rPr>
            <w:lang w:eastAsia="zh-CN"/>
          </w:rPr>
          <w:t>年文件数量的细分情况以及自</w:t>
        </w:r>
        <w:r w:rsidR="0084288C">
          <w:rPr>
            <w:lang w:eastAsia="zh-CN"/>
          </w:rPr>
          <w:t>2012</w:t>
        </w:r>
        <w:r w:rsidR="0084288C">
          <w:rPr>
            <w:lang w:eastAsia="zh-CN"/>
          </w:rPr>
          <w:t>年以来笔译和</w:t>
        </w:r>
        <w:r>
          <w:rPr>
            <w:rFonts w:hint="eastAsia"/>
            <w:lang w:eastAsia="zh-CN"/>
          </w:rPr>
          <w:t>文字</w:t>
        </w:r>
        <w:r w:rsidR="0084288C">
          <w:rPr>
            <w:lang w:eastAsia="zh-CN"/>
          </w:rPr>
          <w:t>处理单位成本的演变。</w:t>
        </w:r>
      </w:hyperlink>
    </w:p>
    <w:p w14:paraId="0FE9A89B" w14:textId="3FA09675" w:rsidR="0084288C" w:rsidRPr="00324DB7" w:rsidRDefault="0084288C" w:rsidP="006679D9">
      <w:pPr>
        <w:keepNext/>
        <w:keepLines/>
        <w:spacing w:after="240"/>
        <w:rPr>
          <w:b/>
          <w:bCs/>
          <w:color w:val="002060"/>
          <w:lang w:eastAsia="zh-CN"/>
        </w:rPr>
      </w:pPr>
      <w:bookmarkStart w:id="12" w:name="OLE_LINK1"/>
      <w:r w:rsidRPr="00926287">
        <w:rPr>
          <w:b/>
          <w:bCs/>
          <w:color w:val="002060"/>
          <w:lang w:eastAsia="zh-CN"/>
        </w:rPr>
        <w:t>6</w:t>
      </w:r>
      <w:r w:rsidR="00F959CC" w:rsidRPr="00926287">
        <w:rPr>
          <w:b/>
          <w:bCs/>
          <w:color w:val="002060"/>
          <w:lang w:eastAsia="zh-CN"/>
        </w:rPr>
        <w:tab/>
      </w:r>
      <w:r w:rsidR="00F959CC" w:rsidRPr="00926287">
        <w:rPr>
          <w:rFonts w:hint="eastAsia"/>
          <w:b/>
          <w:bCs/>
          <w:color w:val="002060"/>
          <w:lang w:eastAsia="zh-CN"/>
        </w:rPr>
        <w:t>与会补贴</w:t>
      </w:r>
    </w:p>
    <w:p w14:paraId="11F5F197" w14:textId="3930FEF2" w:rsidR="0084288C" w:rsidRDefault="0084288C" w:rsidP="006679D9">
      <w:pPr>
        <w:keepNext/>
        <w:keepLines/>
        <w:snapToGrid w:val="0"/>
        <w:spacing w:after="240"/>
        <w:rPr>
          <w:rFonts w:asciiTheme="minorHAnsi" w:hAnsiTheme="minorHAnsi"/>
          <w:lang w:eastAsia="zh-CN"/>
        </w:rPr>
      </w:pPr>
      <w:r>
        <w:rPr>
          <w:lang w:val="zh-CN" w:eastAsia="zh-CN"/>
        </w:rPr>
        <w:t>6.1</w:t>
      </w:r>
      <w:r>
        <w:rPr>
          <w:lang w:val="zh-CN" w:eastAsia="zh-CN"/>
        </w:rPr>
        <w:tab/>
      </w:r>
      <w:r>
        <w:rPr>
          <w:lang w:val="zh-CN" w:eastAsia="zh-CN"/>
        </w:rPr>
        <w:t>国际电联</w:t>
      </w:r>
      <w:r>
        <w:rPr>
          <w:lang w:val="zh-CN" w:eastAsia="zh-CN"/>
        </w:rPr>
        <w:t>2026-2027</w:t>
      </w:r>
      <w:r>
        <w:rPr>
          <w:lang w:val="zh-CN" w:eastAsia="zh-CN"/>
        </w:rPr>
        <w:t>双年度预算草案中与会补贴</w:t>
      </w:r>
      <w:r w:rsidR="007E5253">
        <w:rPr>
          <w:rFonts w:hint="eastAsia"/>
          <w:lang w:val="zh-CN" w:eastAsia="zh-CN"/>
        </w:rPr>
        <w:t>相关</w:t>
      </w:r>
      <w:r>
        <w:rPr>
          <w:lang w:val="zh-CN" w:eastAsia="zh-CN"/>
        </w:rPr>
        <w:t>计划支出为</w:t>
      </w:r>
      <w:r>
        <w:rPr>
          <w:lang w:val="zh-CN" w:eastAsia="zh-CN"/>
        </w:rPr>
        <w:t>1</w:t>
      </w:r>
      <w:r w:rsidR="003446A7">
        <w:rPr>
          <w:lang w:val="zh-CN" w:eastAsia="zh-CN"/>
        </w:rPr>
        <w:t> </w:t>
      </w:r>
      <w:r>
        <w:rPr>
          <w:lang w:val="zh-CN" w:eastAsia="zh-CN"/>
        </w:rPr>
        <w:t>818</w:t>
      </w:r>
      <w:r w:rsidR="003446A7">
        <w:rPr>
          <w:lang w:val="zh-CN" w:eastAsia="zh-CN"/>
        </w:rPr>
        <w:t> </w:t>
      </w:r>
      <w:r>
        <w:rPr>
          <w:lang w:val="zh-CN" w:eastAsia="zh-CN"/>
        </w:rPr>
        <w:t>000</w:t>
      </w:r>
      <w:r>
        <w:rPr>
          <w:lang w:val="zh-CN" w:eastAsia="zh-CN"/>
        </w:rPr>
        <w:t>瑞郎，而国际电联</w:t>
      </w:r>
      <w:r>
        <w:rPr>
          <w:lang w:val="zh-CN" w:eastAsia="zh-CN"/>
        </w:rPr>
        <w:t>2024-2025</w:t>
      </w:r>
      <w:r>
        <w:rPr>
          <w:lang w:val="zh-CN" w:eastAsia="zh-CN"/>
        </w:rPr>
        <w:t>年</w:t>
      </w:r>
      <w:r w:rsidR="007E5253">
        <w:rPr>
          <w:rFonts w:hint="eastAsia"/>
          <w:lang w:val="zh-CN" w:eastAsia="zh-CN"/>
        </w:rPr>
        <w:t>此项的</w:t>
      </w:r>
      <w:r>
        <w:rPr>
          <w:lang w:val="zh-CN" w:eastAsia="zh-CN"/>
        </w:rPr>
        <w:t>预算为</w:t>
      </w:r>
      <w:r>
        <w:rPr>
          <w:lang w:val="zh-CN" w:eastAsia="zh-CN"/>
        </w:rPr>
        <w:t>2</w:t>
      </w:r>
      <w:r w:rsidR="003446A7">
        <w:rPr>
          <w:lang w:val="zh-CN" w:eastAsia="zh-CN"/>
        </w:rPr>
        <w:t> </w:t>
      </w:r>
      <w:r>
        <w:rPr>
          <w:lang w:val="zh-CN" w:eastAsia="zh-CN"/>
        </w:rPr>
        <w:t>361</w:t>
      </w:r>
      <w:r w:rsidR="003446A7">
        <w:rPr>
          <w:lang w:val="zh-CN" w:eastAsia="zh-CN"/>
        </w:rPr>
        <w:t> </w:t>
      </w:r>
      <w:r>
        <w:rPr>
          <w:lang w:val="zh-CN" w:eastAsia="zh-CN"/>
        </w:rPr>
        <w:t>000</w:t>
      </w:r>
      <w:r>
        <w:rPr>
          <w:lang w:val="zh-CN" w:eastAsia="zh-CN"/>
        </w:rPr>
        <w:t>瑞郎，部门细分如下表所示。大幅减少主要是由于发展部门在</w:t>
      </w:r>
      <w:r>
        <w:rPr>
          <w:lang w:val="zh-CN" w:eastAsia="zh-CN"/>
        </w:rPr>
        <w:t>2025</w:t>
      </w:r>
      <w:r>
        <w:rPr>
          <w:lang w:val="zh-CN" w:eastAsia="zh-CN"/>
        </w:rPr>
        <w:t>年</w:t>
      </w:r>
      <w:r w:rsidR="007E5253">
        <w:rPr>
          <w:rFonts w:hint="eastAsia"/>
          <w:lang w:val="zh-CN" w:eastAsia="zh-CN"/>
        </w:rPr>
        <w:t>举办</w:t>
      </w:r>
      <w:r>
        <w:rPr>
          <w:lang w:val="zh-CN" w:eastAsia="zh-CN"/>
        </w:rPr>
        <w:t>WTDC</w:t>
      </w:r>
      <w:r>
        <w:rPr>
          <w:lang w:val="zh-CN" w:eastAsia="zh-CN"/>
        </w:rPr>
        <w:t>，其中包括为与会补贴提供的大量准备金。</w:t>
      </w:r>
      <w:bookmarkEnd w:id="12"/>
    </w:p>
    <w:p w14:paraId="2341F8F0" w14:textId="3A0DBB72" w:rsidR="0084288C" w:rsidRDefault="00A038E4" w:rsidP="006D3301">
      <w:pPr>
        <w:pStyle w:val="Figure"/>
        <w:rPr>
          <w:lang w:eastAsia="zh-CN"/>
        </w:rPr>
      </w:pPr>
      <w:r w:rsidRPr="00A038E4">
        <w:rPr>
          <w:noProof/>
        </w:rPr>
        <w:drawing>
          <wp:inline distT="0" distB="0" distL="0" distR="0" wp14:anchorId="11FE46C4" wp14:editId="644CEECA">
            <wp:extent cx="3657600" cy="1648363"/>
            <wp:effectExtent l="0" t="0" r="0" b="9525"/>
            <wp:docPr id="56582849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69531" cy="1653740"/>
                    </a:xfrm>
                    <a:prstGeom prst="rect">
                      <a:avLst/>
                    </a:prstGeom>
                    <a:noFill/>
                    <a:ln>
                      <a:noFill/>
                    </a:ln>
                  </pic:spPr>
                </pic:pic>
              </a:graphicData>
            </a:graphic>
          </wp:inline>
        </w:drawing>
      </w:r>
    </w:p>
    <w:p w14:paraId="34F7C2D0" w14:textId="21AD4417" w:rsidR="0084288C" w:rsidRPr="00324DB7" w:rsidRDefault="0084288C" w:rsidP="0084288C">
      <w:pPr>
        <w:keepNext/>
        <w:keepLines/>
        <w:spacing w:after="240"/>
        <w:rPr>
          <w:b/>
          <w:bCs/>
          <w:color w:val="002060"/>
          <w:lang w:eastAsia="zh-CN"/>
        </w:rPr>
      </w:pPr>
      <w:r w:rsidRPr="00926287">
        <w:rPr>
          <w:b/>
          <w:bCs/>
          <w:color w:val="002060"/>
          <w:lang w:eastAsia="zh-CN"/>
        </w:rPr>
        <w:lastRenderedPageBreak/>
        <w:t>7</w:t>
      </w:r>
      <w:r w:rsidR="007E5253" w:rsidRPr="00926287">
        <w:rPr>
          <w:b/>
          <w:bCs/>
          <w:color w:val="002060"/>
          <w:lang w:eastAsia="zh-CN"/>
        </w:rPr>
        <w:tab/>
      </w:r>
      <w:r w:rsidRPr="00926287">
        <w:rPr>
          <w:b/>
          <w:bCs/>
          <w:color w:val="002060"/>
          <w:lang w:eastAsia="zh-CN"/>
        </w:rPr>
        <w:t>预算内职位</w:t>
      </w:r>
    </w:p>
    <w:p w14:paraId="1FF9852C" w14:textId="4B8FDCE1" w:rsidR="0084288C" w:rsidRDefault="0084288C" w:rsidP="00926287">
      <w:pPr>
        <w:keepNext/>
        <w:keepLines/>
        <w:spacing w:before="0" w:after="120"/>
        <w:rPr>
          <w:rFonts w:asciiTheme="minorHAnsi" w:hAnsiTheme="minorHAnsi"/>
          <w:lang w:eastAsia="zh-CN"/>
        </w:rPr>
      </w:pPr>
      <w:r>
        <w:rPr>
          <w:lang w:val="zh-CN" w:eastAsia="zh-CN"/>
        </w:rPr>
        <w:t>7.1</w:t>
      </w:r>
      <w:r>
        <w:rPr>
          <w:lang w:val="zh-CN" w:eastAsia="zh-CN"/>
        </w:rPr>
        <w:tab/>
        <w:t>2026-2027</w:t>
      </w:r>
      <w:r>
        <w:rPr>
          <w:lang w:val="zh-CN" w:eastAsia="zh-CN"/>
        </w:rPr>
        <w:t>年的正常预算共包含</w:t>
      </w:r>
      <w:r>
        <w:rPr>
          <w:lang w:val="zh-CN" w:eastAsia="zh-CN"/>
        </w:rPr>
        <w:t>747</w:t>
      </w:r>
      <w:r>
        <w:rPr>
          <w:lang w:val="zh-CN" w:eastAsia="zh-CN"/>
        </w:rPr>
        <w:t>个职位的准备金，与</w:t>
      </w:r>
      <w:r>
        <w:rPr>
          <w:lang w:val="zh-CN" w:eastAsia="zh-CN"/>
        </w:rPr>
        <w:t>2024-2025</w:t>
      </w:r>
      <w:r>
        <w:rPr>
          <w:lang w:val="zh-CN" w:eastAsia="zh-CN"/>
        </w:rPr>
        <w:t>年的预算职位相比减少了</w:t>
      </w:r>
      <w:r>
        <w:rPr>
          <w:lang w:val="zh-CN" w:eastAsia="zh-CN"/>
        </w:rPr>
        <w:t>14</w:t>
      </w:r>
      <w:r>
        <w:rPr>
          <w:lang w:val="zh-CN" w:eastAsia="zh-CN"/>
        </w:rPr>
        <w:t>个，如下表所示，</w:t>
      </w:r>
      <w:r w:rsidR="007E5253">
        <w:rPr>
          <w:rFonts w:hint="eastAsia"/>
          <w:lang w:val="zh-CN" w:eastAsia="zh-CN"/>
        </w:rPr>
        <w:t>这</w:t>
      </w:r>
      <w:r>
        <w:rPr>
          <w:lang w:val="zh-CN" w:eastAsia="zh-CN"/>
        </w:rPr>
        <w:t>与</w:t>
      </w:r>
      <w:r>
        <w:rPr>
          <w:lang w:val="zh-CN" w:eastAsia="zh-CN"/>
        </w:rPr>
        <w:t>2006</w:t>
      </w:r>
      <w:r>
        <w:rPr>
          <w:lang w:val="zh-CN" w:eastAsia="zh-CN"/>
        </w:rPr>
        <w:t>年以来稳步下降的趋势相一致。</w:t>
      </w:r>
    </w:p>
    <w:p w14:paraId="4276BA22" w14:textId="47425B0D" w:rsidR="0084288C" w:rsidRDefault="0048721C" w:rsidP="006D3301">
      <w:pPr>
        <w:pStyle w:val="Figure"/>
        <w:rPr>
          <w:lang w:eastAsia="zh-CN"/>
        </w:rPr>
      </w:pPr>
      <w:r>
        <w:rPr>
          <w:noProof/>
          <w:lang w:eastAsia="zh-CN"/>
        </w:rPr>
        <w:drawing>
          <wp:inline distT="0" distB="0" distL="0" distR="0" wp14:anchorId="221BA3B5" wp14:editId="0DC70B57">
            <wp:extent cx="5421923" cy="248338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30210" cy="2487176"/>
                    </a:xfrm>
                    <a:prstGeom prst="rect">
                      <a:avLst/>
                    </a:prstGeom>
                    <a:noFill/>
                  </pic:spPr>
                </pic:pic>
              </a:graphicData>
            </a:graphic>
          </wp:inline>
        </w:drawing>
      </w:r>
    </w:p>
    <w:p w14:paraId="5FCF7953" w14:textId="77777777" w:rsidR="0084288C" w:rsidRDefault="0084288C" w:rsidP="006679D9">
      <w:pPr>
        <w:keepNext/>
        <w:keepLines/>
        <w:spacing w:before="0"/>
        <w:rPr>
          <w:rFonts w:asciiTheme="minorHAnsi" w:hAnsiTheme="minorHAnsi"/>
          <w:lang w:eastAsia="zh-CN"/>
        </w:rPr>
      </w:pPr>
      <w:r>
        <w:rPr>
          <w:lang w:val="zh-CN" w:eastAsia="zh-CN"/>
        </w:rPr>
        <w:t>7.2</w:t>
      </w:r>
      <w:r>
        <w:rPr>
          <w:lang w:val="zh-CN" w:eastAsia="zh-CN"/>
        </w:rPr>
        <w:tab/>
      </w:r>
      <w:r>
        <w:rPr>
          <w:lang w:val="zh-CN" w:eastAsia="zh-CN"/>
        </w:rPr>
        <w:t>下表提供了</w:t>
      </w:r>
      <w:r>
        <w:rPr>
          <w:lang w:val="zh-CN" w:eastAsia="zh-CN"/>
        </w:rPr>
        <w:t>2026-2027</w:t>
      </w:r>
      <w:r>
        <w:rPr>
          <w:lang w:val="zh-CN" w:eastAsia="zh-CN"/>
        </w:rPr>
        <w:t>年总秘书处各部和各局的预算职位与</w:t>
      </w:r>
      <w:r>
        <w:rPr>
          <w:lang w:val="zh-CN" w:eastAsia="zh-CN"/>
        </w:rPr>
        <w:t>2024-2025</w:t>
      </w:r>
      <w:r>
        <w:rPr>
          <w:lang w:val="zh-CN" w:eastAsia="zh-CN"/>
        </w:rPr>
        <w:t>双年度预算职位的细分情况。</w:t>
      </w:r>
    </w:p>
    <w:p w14:paraId="356E503A" w14:textId="4853BA23" w:rsidR="0084288C" w:rsidRPr="00D64F1D" w:rsidRDefault="00524A29" w:rsidP="006D3301">
      <w:pPr>
        <w:pStyle w:val="Figure"/>
        <w:rPr>
          <w:lang w:val="en-US" w:eastAsia="zh-CN"/>
        </w:rPr>
      </w:pPr>
      <w:r w:rsidRPr="00524A29">
        <w:rPr>
          <w:noProof/>
        </w:rPr>
        <w:drawing>
          <wp:inline distT="0" distB="0" distL="0" distR="0" wp14:anchorId="586BCD18" wp14:editId="611CF196">
            <wp:extent cx="5760085" cy="3335020"/>
            <wp:effectExtent l="0" t="0" r="0" b="0"/>
            <wp:docPr id="98722256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085" cy="3335020"/>
                    </a:xfrm>
                    <a:prstGeom prst="rect">
                      <a:avLst/>
                    </a:prstGeom>
                    <a:noFill/>
                    <a:ln>
                      <a:noFill/>
                    </a:ln>
                  </pic:spPr>
                </pic:pic>
              </a:graphicData>
            </a:graphic>
          </wp:inline>
        </w:drawing>
      </w:r>
    </w:p>
    <w:p w14:paraId="64088A33" w14:textId="62FEABFB" w:rsidR="0084288C" w:rsidRDefault="0084288C" w:rsidP="000D1E54">
      <w:pPr>
        <w:keepNext/>
        <w:keepLines/>
        <w:spacing w:after="240"/>
        <w:rPr>
          <w:b/>
          <w:bCs/>
          <w:color w:val="002060"/>
          <w:lang w:eastAsia="zh-CN"/>
        </w:rPr>
      </w:pPr>
      <w:r w:rsidRPr="00926287">
        <w:rPr>
          <w:b/>
          <w:bCs/>
          <w:color w:val="002060"/>
          <w:lang w:eastAsia="zh-CN"/>
        </w:rPr>
        <w:lastRenderedPageBreak/>
        <w:t>8</w:t>
      </w:r>
      <w:r w:rsidR="00D64F1D" w:rsidRPr="00926287">
        <w:rPr>
          <w:b/>
          <w:bCs/>
          <w:color w:val="002060"/>
          <w:lang w:eastAsia="zh-CN"/>
        </w:rPr>
        <w:tab/>
      </w:r>
      <w:r w:rsidRPr="00926287">
        <w:rPr>
          <w:b/>
          <w:bCs/>
          <w:color w:val="002060"/>
          <w:lang w:eastAsia="zh-CN"/>
        </w:rPr>
        <w:t>与</w:t>
      </w:r>
      <w:r w:rsidR="00D64F1D" w:rsidRPr="00926287">
        <w:rPr>
          <w:rFonts w:hint="eastAsia"/>
          <w:b/>
          <w:bCs/>
          <w:color w:val="002060"/>
          <w:lang w:eastAsia="zh-CN"/>
        </w:rPr>
        <w:t>《</w:t>
      </w:r>
      <w:r w:rsidRPr="00926287">
        <w:rPr>
          <w:b/>
          <w:bCs/>
          <w:color w:val="002060"/>
          <w:lang w:eastAsia="zh-CN"/>
        </w:rPr>
        <w:t>战略规划</w:t>
      </w:r>
      <w:r w:rsidR="00D64F1D" w:rsidRPr="00926287">
        <w:rPr>
          <w:rFonts w:hint="eastAsia"/>
          <w:b/>
          <w:bCs/>
          <w:color w:val="002060"/>
          <w:lang w:eastAsia="zh-CN"/>
        </w:rPr>
        <w:t>》</w:t>
      </w:r>
      <w:r w:rsidRPr="00926287">
        <w:rPr>
          <w:b/>
          <w:bCs/>
          <w:color w:val="002060"/>
          <w:lang w:eastAsia="zh-CN"/>
        </w:rPr>
        <w:t>的</w:t>
      </w:r>
      <w:r w:rsidR="00D64F1D" w:rsidRPr="00926287">
        <w:rPr>
          <w:rFonts w:hint="eastAsia"/>
          <w:b/>
          <w:bCs/>
          <w:color w:val="002060"/>
          <w:lang w:eastAsia="zh-CN"/>
        </w:rPr>
        <w:t>关联</w:t>
      </w:r>
    </w:p>
    <w:p w14:paraId="36AAAB28" w14:textId="27A4A344" w:rsidR="0084288C" w:rsidRDefault="0084288C" w:rsidP="000D1E54">
      <w:pPr>
        <w:keepNext/>
        <w:keepLines/>
        <w:spacing w:before="0" w:after="120"/>
        <w:rPr>
          <w:rFonts w:asciiTheme="minorHAnsi" w:hAnsiTheme="minorHAnsi" w:cstheme="minorHAnsi"/>
          <w:lang w:eastAsia="zh-CN"/>
        </w:rPr>
      </w:pPr>
      <w:r>
        <w:rPr>
          <w:lang w:val="zh-CN" w:eastAsia="zh-CN"/>
        </w:rPr>
        <w:t>8.1</w:t>
      </w:r>
      <w:r>
        <w:rPr>
          <w:lang w:val="zh-CN" w:eastAsia="zh-CN"/>
        </w:rPr>
        <w:tab/>
      </w:r>
      <w:r w:rsidR="00FC445A">
        <w:rPr>
          <w:rFonts w:hint="eastAsia"/>
          <w:lang w:val="zh-CN" w:eastAsia="zh-CN"/>
        </w:rPr>
        <w:t>《</w:t>
      </w:r>
      <w:r>
        <w:rPr>
          <w:lang w:val="zh-CN" w:eastAsia="zh-CN"/>
        </w:rPr>
        <w:t>国际电联</w:t>
      </w:r>
      <w:r>
        <w:rPr>
          <w:lang w:val="zh-CN" w:eastAsia="zh-CN"/>
        </w:rPr>
        <w:t>2024-2027</w:t>
      </w:r>
      <w:r>
        <w:rPr>
          <w:lang w:val="zh-CN" w:eastAsia="zh-CN"/>
        </w:rPr>
        <w:t>年战略规划</w:t>
      </w:r>
      <w:r w:rsidR="00FC445A">
        <w:rPr>
          <w:rFonts w:hint="eastAsia"/>
          <w:lang w:val="zh-CN" w:eastAsia="zh-CN"/>
        </w:rPr>
        <w:t>》</w:t>
      </w:r>
      <w:r>
        <w:rPr>
          <w:lang w:val="zh-CN" w:eastAsia="zh-CN"/>
        </w:rPr>
        <w:t>（第</w:t>
      </w:r>
      <w:r>
        <w:rPr>
          <w:lang w:val="zh-CN" w:eastAsia="zh-CN"/>
        </w:rPr>
        <w:t>71</w:t>
      </w:r>
      <w:r>
        <w:rPr>
          <w:lang w:val="zh-CN" w:eastAsia="zh-CN"/>
        </w:rPr>
        <w:t>号决议，</w:t>
      </w:r>
      <w:r>
        <w:rPr>
          <w:lang w:val="zh-CN" w:eastAsia="zh-CN"/>
        </w:rPr>
        <w:t>2022</w:t>
      </w:r>
      <w:r>
        <w:rPr>
          <w:lang w:val="zh-CN" w:eastAsia="zh-CN"/>
        </w:rPr>
        <w:t>年，布加勒斯特，修订版）为实现国际电联</w:t>
      </w:r>
      <w:r w:rsidR="00FC445A">
        <w:rPr>
          <w:rFonts w:hint="eastAsia"/>
          <w:lang w:val="zh-CN" w:eastAsia="zh-CN"/>
        </w:rPr>
        <w:t>“</w:t>
      </w:r>
      <w:r w:rsidR="00FC445A" w:rsidRPr="00FC445A">
        <w:rPr>
          <w:rFonts w:hint="eastAsia"/>
          <w:lang w:val="zh-CN" w:eastAsia="zh-CN"/>
        </w:rPr>
        <w:t>推动、推进并促进对电信</w:t>
      </w:r>
      <w:r w:rsidR="00FC445A" w:rsidRPr="00FC445A">
        <w:rPr>
          <w:rFonts w:hint="eastAsia"/>
          <w:lang w:val="zh-CN" w:eastAsia="zh-CN"/>
        </w:rPr>
        <w:t>/</w:t>
      </w:r>
      <w:r w:rsidR="00FC445A" w:rsidRPr="00FC445A">
        <w:rPr>
          <w:rFonts w:hint="eastAsia"/>
          <w:lang w:val="zh-CN" w:eastAsia="zh-CN"/>
        </w:rPr>
        <w:t>信息通信技术网络、服务和应用的价格可承受的普遍接入，并将其用于社会、经济和在环境方面具有可持续性的增长和发展</w:t>
      </w:r>
      <w:r w:rsidR="00FC445A">
        <w:rPr>
          <w:rFonts w:hint="eastAsia"/>
          <w:lang w:val="zh-CN" w:eastAsia="zh-CN"/>
        </w:rPr>
        <w:t>”</w:t>
      </w:r>
      <w:r>
        <w:rPr>
          <w:lang w:val="zh-CN" w:eastAsia="zh-CN"/>
        </w:rPr>
        <w:t>的总体使命，设定了两项战略目标和五项主题重点。</w:t>
      </w:r>
    </w:p>
    <w:p w14:paraId="4C74F532" w14:textId="77777777" w:rsidR="0084288C" w:rsidRDefault="0084288C" w:rsidP="000D1E54">
      <w:pPr>
        <w:keepNext/>
        <w:keepLines/>
        <w:tabs>
          <w:tab w:val="clear" w:pos="567"/>
          <w:tab w:val="clear" w:pos="1134"/>
          <w:tab w:val="clear" w:pos="1701"/>
          <w:tab w:val="clear" w:pos="2268"/>
          <w:tab w:val="clear" w:pos="2835"/>
        </w:tabs>
        <w:overflowPunct/>
        <w:autoSpaceDE/>
        <w:autoSpaceDN/>
        <w:adjustRightInd/>
        <w:spacing w:before="100" w:beforeAutospacing="1"/>
        <w:textAlignment w:val="auto"/>
        <w:rPr>
          <w:rFonts w:asciiTheme="minorHAnsi" w:hAnsiTheme="minorHAnsi" w:cstheme="minorHAnsi"/>
          <w:lang w:eastAsia="zh-CN"/>
        </w:rPr>
      </w:pPr>
      <w:r>
        <w:rPr>
          <w:lang w:val="zh-CN" w:eastAsia="zh-CN"/>
        </w:rPr>
        <w:t>8.2</w:t>
      </w:r>
      <w:r>
        <w:rPr>
          <w:lang w:val="zh-CN" w:eastAsia="zh-CN"/>
        </w:rPr>
        <w:tab/>
      </w:r>
      <w:r>
        <w:rPr>
          <w:lang w:val="zh-CN" w:eastAsia="zh-CN"/>
        </w:rPr>
        <w:t>五个主题重点如下：</w:t>
      </w:r>
    </w:p>
    <w:p w14:paraId="3DEF6CEF" w14:textId="1EA6616C" w:rsidR="0084288C" w:rsidRDefault="006679D9" w:rsidP="006679D9">
      <w:pPr>
        <w:pStyle w:val="enumlev1"/>
        <w:rPr>
          <w:rFonts w:asciiTheme="minorHAnsi" w:hAnsiTheme="minorHAnsi" w:cstheme="minorHAnsi"/>
          <w:lang w:eastAsia="zh-CN"/>
        </w:rPr>
      </w:pPr>
      <w:r w:rsidRPr="006679D9">
        <w:rPr>
          <w:lang w:val="zh-CN" w:eastAsia="zh-CN"/>
        </w:rPr>
        <w:t>–</w:t>
      </w:r>
      <w:r>
        <w:rPr>
          <w:lang w:val="zh-CN" w:eastAsia="zh-CN"/>
        </w:rPr>
        <w:tab/>
      </w:r>
      <w:r w:rsidR="0084288C">
        <w:rPr>
          <w:lang w:val="zh-CN" w:eastAsia="zh-CN"/>
        </w:rPr>
        <w:t>空间和地面业务的频谱使用</w:t>
      </w:r>
    </w:p>
    <w:p w14:paraId="2532EAA3" w14:textId="03F2B4F9" w:rsidR="0084288C" w:rsidRDefault="006679D9" w:rsidP="006679D9">
      <w:pPr>
        <w:pStyle w:val="enumlev1"/>
        <w:rPr>
          <w:rFonts w:asciiTheme="minorHAnsi" w:hAnsiTheme="minorHAnsi" w:cstheme="minorHAnsi"/>
          <w:lang w:eastAsia="zh-CN"/>
        </w:rPr>
      </w:pPr>
      <w:r w:rsidRPr="006679D9">
        <w:rPr>
          <w:lang w:val="zh-CN" w:eastAsia="zh-CN"/>
        </w:rPr>
        <w:t>–</w:t>
      </w:r>
      <w:r>
        <w:rPr>
          <w:lang w:val="zh-CN" w:eastAsia="zh-CN"/>
        </w:rPr>
        <w:tab/>
      </w:r>
      <w:r w:rsidR="0084288C">
        <w:rPr>
          <w:lang w:val="zh-CN" w:eastAsia="zh-CN"/>
        </w:rPr>
        <w:t>国际电信码号资源</w:t>
      </w:r>
    </w:p>
    <w:p w14:paraId="2D603294" w14:textId="11156DEE" w:rsidR="0084288C" w:rsidRDefault="006679D9" w:rsidP="006679D9">
      <w:pPr>
        <w:pStyle w:val="enumlev1"/>
        <w:rPr>
          <w:rFonts w:asciiTheme="minorHAnsi" w:hAnsiTheme="minorHAnsi" w:cstheme="minorHAnsi"/>
          <w:lang w:eastAsia="zh-CN"/>
        </w:rPr>
      </w:pPr>
      <w:r w:rsidRPr="006679D9">
        <w:rPr>
          <w:lang w:val="zh-CN" w:eastAsia="zh-CN"/>
        </w:rPr>
        <w:t>–</w:t>
      </w:r>
      <w:r>
        <w:rPr>
          <w:lang w:val="zh-CN" w:eastAsia="zh-CN"/>
        </w:rPr>
        <w:tab/>
      </w:r>
      <w:r w:rsidR="0084288C">
        <w:rPr>
          <w:lang w:val="zh-CN" w:eastAsia="zh-CN"/>
        </w:rPr>
        <w:t>包容和安全的电信</w:t>
      </w:r>
      <w:r w:rsidR="0084288C">
        <w:rPr>
          <w:lang w:val="zh-CN" w:eastAsia="zh-CN"/>
        </w:rPr>
        <w:t>/ICT</w:t>
      </w:r>
      <w:r w:rsidR="0084288C">
        <w:rPr>
          <w:lang w:val="zh-CN" w:eastAsia="zh-CN"/>
        </w:rPr>
        <w:t>基础设施和服务</w:t>
      </w:r>
    </w:p>
    <w:p w14:paraId="5E81168E" w14:textId="7E270326" w:rsidR="0084288C" w:rsidRDefault="006679D9" w:rsidP="006679D9">
      <w:pPr>
        <w:pStyle w:val="enumlev1"/>
        <w:rPr>
          <w:rFonts w:asciiTheme="minorHAnsi" w:hAnsiTheme="minorHAnsi" w:cstheme="minorHAnsi"/>
          <w:lang w:eastAsia="zh-CN"/>
        </w:rPr>
      </w:pPr>
      <w:r w:rsidRPr="006679D9">
        <w:rPr>
          <w:lang w:val="zh-CN" w:eastAsia="zh-CN"/>
        </w:rPr>
        <w:t>–</w:t>
      </w:r>
      <w:r>
        <w:rPr>
          <w:lang w:val="zh-CN" w:eastAsia="zh-CN"/>
        </w:rPr>
        <w:tab/>
      </w:r>
      <w:r w:rsidR="0084288C">
        <w:rPr>
          <w:lang w:val="zh-CN" w:eastAsia="zh-CN"/>
        </w:rPr>
        <w:t>数字应用</w:t>
      </w:r>
    </w:p>
    <w:p w14:paraId="194B27AB" w14:textId="39B0B1C8" w:rsidR="0084288C" w:rsidRPr="00626066" w:rsidRDefault="006679D9" w:rsidP="006679D9">
      <w:pPr>
        <w:pStyle w:val="enumlev1"/>
        <w:rPr>
          <w:rFonts w:asciiTheme="minorHAnsi" w:hAnsiTheme="minorHAnsi" w:cstheme="minorHAnsi"/>
          <w:lang w:eastAsia="zh-CN"/>
        </w:rPr>
      </w:pPr>
      <w:r w:rsidRPr="006679D9">
        <w:rPr>
          <w:lang w:val="zh-CN" w:eastAsia="zh-CN"/>
        </w:rPr>
        <w:t>–</w:t>
      </w:r>
      <w:r>
        <w:rPr>
          <w:lang w:val="zh-CN" w:eastAsia="zh-CN"/>
        </w:rPr>
        <w:tab/>
      </w:r>
      <w:r w:rsidR="000D7B3D">
        <w:rPr>
          <w:rFonts w:asciiTheme="minorHAnsi" w:hAnsiTheme="minorHAnsi" w:cstheme="minorHAnsi" w:hint="eastAsia"/>
          <w:lang w:eastAsia="zh-CN"/>
        </w:rPr>
        <w:t>有利环境</w:t>
      </w:r>
    </w:p>
    <w:p w14:paraId="733D9C0A" w14:textId="77777777" w:rsidR="0084288C" w:rsidRDefault="0084288C" w:rsidP="0084288C">
      <w:pPr>
        <w:tabs>
          <w:tab w:val="clear" w:pos="567"/>
          <w:tab w:val="clear" w:pos="1134"/>
          <w:tab w:val="clear" w:pos="1701"/>
          <w:tab w:val="clear" w:pos="2268"/>
          <w:tab w:val="clear" w:pos="2835"/>
        </w:tabs>
        <w:overflowPunct/>
        <w:autoSpaceDE/>
        <w:autoSpaceDN/>
        <w:snapToGrid w:val="0"/>
        <w:spacing w:before="240" w:after="240"/>
        <w:textAlignment w:val="auto"/>
        <w:rPr>
          <w:rFonts w:asciiTheme="minorHAnsi" w:hAnsiTheme="minorHAnsi" w:cstheme="minorHAnsi"/>
          <w:lang w:eastAsia="zh-CN"/>
        </w:rPr>
      </w:pPr>
      <w:r>
        <w:rPr>
          <w:lang w:val="zh-CN" w:eastAsia="zh-CN"/>
        </w:rPr>
        <w:t>8.3</w:t>
      </w:r>
      <w:r>
        <w:rPr>
          <w:lang w:val="zh-CN" w:eastAsia="zh-CN"/>
        </w:rPr>
        <w:tab/>
      </w:r>
      <w:r>
        <w:rPr>
          <w:lang w:val="zh-CN" w:eastAsia="zh-CN"/>
        </w:rPr>
        <w:t>国际电联</w:t>
      </w:r>
      <w:r>
        <w:rPr>
          <w:lang w:val="zh-CN" w:eastAsia="zh-CN"/>
        </w:rPr>
        <w:t>2026-2027</w:t>
      </w:r>
      <w:r>
        <w:rPr>
          <w:lang w:val="zh-CN" w:eastAsia="zh-CN"/>
        </w:rPr>
        <w:t>双年度预算草案包括用于实施战略规划的两项总体战略目标、五个主题重点和</w:t>
      </w:r>
      <w:r>
        <w:rPr>
          <w:lang w:val="zh-CN" w:eastAsia="zh-CN"/>
        </w:rPr>
        <w:t>43</w:t>
      </w:r>
      <w:r>
        <w:rPr>
          <w:lang w:val="zh-CN" w:eastAsia="zh-CN"/>
        </w:rPr>
        <w:t>项输出成果的拨款。它还预计为各局和总秘书处的行政和支持服务分配适当的资源。</w:t>
      </w:r>
    </w:p>
    <w:p w14:paraId="1D98326E" w14:textId="3C10EF87" w:rsidR="0084288C" w:rsidRDefault="0084288C" w:rsidP="0084288C">
      <w:pPr>
        <w:tabs>
          <w:tab w:val="clear" w:pos="567"/>
          <w:tab w:val="clear" w:pos="1134"/>
          <w:tab w:val="clear" w:pos="1701"/>
          <w:tab w:val="clear" w:pos="2268"/>
          <w:tab w:val="clear" w:pos="2835"/>
        </w:tabs>
        <w:overflowPunct/>
        <w:autoSpaceDE/>
        <w:autoSpaceDN/>
        <w:snapToGrid w:val="0"/>
        <w:spacing w:before="240" w:after="240"/>
        <w:textAlignment w:val="auto"/>
        <w:rPr>
          <w:rFonts w:asciiTheme="minorHAnsi" w:hAnsiTheme="minorHAnsi" w:cstheme="minorHAnsi"/>
          <w:lang w:eastAsia="zh-CN"/>
        </w:rPr>
      </w:pPr>
      <w:r>
        <w:rPr>
          <w:lang w:val="zh-CN" w:eastAsia="zh-CN"/>
        </w:rPr>
        <w:t>8.4</w:t>
      </w:r>
      <w:r>
        <w:rPr>
          <w:lang w:val="zh-CN" w:eastAsia="zh-CN"/>
        </w:rPr>
        <w:tab/>
      </w:r>
      <w:r w:rsidR="00800608">
        <w:rPr>
          <w:rFonts w:hint="eastAsia"/>
          <w:lang w:val="zh-CN" w:eastAsia="zh-CN"/>
        </w:rPr>
        <w:t>以下</w:t>
      </w:r>
      <w:r>
        <w:rPr>
          <w:lang w:val="zh-CN" w:eastAsia="zh-CN"/>
        </w:rPr>
        <w:t>图表显示了</w:t>
      </w:r>
      <w:r>
        <w:rPr>
          <w:lang w:val="zh-CN" w:eastAsia="zh-CN"/>
        </w:rPr>
        <w:t>2026-2027</w:t>
      </w:r>
      <w:r>
        <w:rPr>
          <w:lang w:val="zh-CN" w:eastAsia="zh-CN"/>
        </w:rPr>
        <w:t>年按优先主题</w:t>
      </w:r>
      <w:r w:rsidR="00800608">
        <w:rPr>
          <w:rFonts w:hint="eastAsia"/>
          <w:lang w:val="zh-CN" w:eastAsia="zh-CN"/>
        </w:rPr>
        <w:t>重点</w:t>
      </w:r>
      <w:r>
        <w:rPr>
          <w:lang w:val="zh-CN" w:eastAsia="zh-CN"/>
        </w:rPr>
        <w:t>分列的预算分配情况。它在将行政和集中服务以及各局支持服务分配给相关主题重点工作和输出成果后，按主题重点细分实际</w:t>
      </w:r>
      <w:r w:rsidR="00800608">
        <w:rPr>
          <w:rFonts w:hint="eastAsia"/>
          <w:lang w:val="zh-CN" w:eastAsia="zh-CN"/>
        </w:rPr>
        <w:t>的</w:t>
      </w:r>
      <w:r>
        <w:rPr>
          <w:lang w:val="zh-CN" w:eastAsia="zh-CN"/>
        </w:rPr>
        <w:t>资源使用情况。</w:t>
      </w:r>
    </w:p>
    <w:p w14:paraId="72D3771B" w14:textId="0AF981E9" w:rsidR="0084288C" w:rsidRPr="00100FCF" w:rsidRDefault="00A038E4" w:rsidP="0084288C">
      <w:pPr>
        <w:tabs>
          <w:tab w:val="clear" w:pos="567"/>
          <w:tab w:val="clear" w:pos="1134"/>
          <w:tab w:val="clear" w:pos="1701"/>
          <w:tab w:val="clear" w:pos="2268"/>
          <w:tab w:val="clear" w:pos="2835"/>
        </w:tabs>
        <w:overflowPunct/>
        <w:autoSpaceDE/>
        <w:autoSpaceDN/>
        <w:snapToGrid w:val="0"/>
        <w:textAlignment w:val="auto"/>
        <w:rPr>
          <w:rFonts w:asciiTheme="minorHAnsi" w:hAnsiTheme="minorHAnsi" w:cstheme="minorBidi"/>
          <w:lang w:eastAsia="zh-CN"/>
        </w:rPr>
      </w:pPr>
      <w:r w:rsidRPr="00A038E4">
        <w:rPr>
          <w:noProof/>
        </w:rPr>
        <w:drawing>
          <wp:inline distT="0" distB="0" distL="0" distR="0" wp14:anchorId="65CCCC0A" wp14:editId="07CBEEA2">
            <wp:extent cx="5745480" cy="1727200"/>
            <wp:effectExtent l="0" t="0" r="7620" b="6350"/>
            <wp:docPr id="68709700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45480" cy="1727200"/>
                    </a:xfrm>
                    <a:prstGeom prst="rect">
                      <a:avLst/>
                    </a:prstGeom>
                    <a:noFill/>
                    <a:ln>
                      <a:noFill/>
                    </a:ln>
                  </pic:spPr>
                </pic:pic>
              </a:graphicData>
            </a:graphic>
          </wp:inline>
        </w:drawing>
      </w:r>
    </w:p>
    <w:p w14:paraId="438F4AD3" w14:textId="58969F07" w:rsidR="0084288C" w:rsidRDefault="00800608"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noProof/>
          <w:lang w:eastAsia="zh-CN"/>
        </w:rPr>
        <w:drawing>
          <wp:inline distT="0" distB="0" distL="0" distR="0" wp14:anchorId="6D855648" wp14:editId="521E542C">
            <wp:extent cx="5745480" cy="2422639"/>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79229" cy="2436870"/>
                    </a:xfrm>
                    <a:prstGeom prst="rect">
                      <a:avLst/>
                    </a:prstGeom>
                    <a:noFill/>
                  </pic:spPr>
                </pic:pic>
              </a:graphicData>
            </a:graphic>
          </wp:inline>
        </w:drawing>
      </w:r>
    </w:p>
    <w:p w14:paraId="1F9C210D" w14:textId="253BD2EA" w:rsidR="0084288C" w:rsidRPr="00A961BE" w:rsidRDefault="0084288C" w:rsidP="000D1E54">
      <w:pPr>
        <w:keepNext/>
        <w:tabs>
          <w:tab w:val="clear" w:pos="1134"/>
          <w:tab w:val="clear" w:pos="1701"/>
          <w:tab w:val="clear" w:pos="2268"/>
          <w:tab w:val="clear" w:pos="2835"/>
        </w:tabs>
        <w:overflowPunct/>
        <w:autoSpaceDE/>
        <w:autoSpaceDN/>
        <w:snapToGrid w:val="0"/>
        <w:spacing w:before="0"/>
        <w:textAlignment w:val="auto"/>
        <w:rPr>
          <w:rFonts w:asciiTheme="minorHAnsi" w:hAnsiTheme="minorHAnsi" w:cstheme="minorHAnsi"/>
          <w:lang w:eastAsia="zh-CN"/>
        </w:rPr>
      </w:pPr>
      <w:r>
        <w:rPr>
          <w:lang w:val="zh-CN" w:eastAsia="zh-CN"/>
        </w:rPr>
        <w:lastRenderedPageBreak/>
        <w:t>8.5</w:t>
      </w:r>
      <w:r>
        <w:rPr>
          <w:lang w:val="zh-CN" w:eastAsia="zh-CN"/>
        </w:rPr>
        <w:tab/>
      </w:r>
      <w:r>
        <w:rPr>
          <w:lang w:val="zh-CN" w:eastAsia="zh-CN"/>
        </w:rPr>
        <w:t>国际电联</w:t>
      </w:r>
      <w:r>
        <w:rPr>
          <w:lang w:val="zh-CN" w:eastAsia="zh-CN"/>
        </w:rPr>
        <w:t>2026-2027</w:t>
      </w:r>
      <w:r>
        <w:rPr>
          <w:lang w:val="zh-CN" w:eastAsia="zh-CN"/>
        </w:rPr>
        <w:t>双年度预算草案包括用于实施</w:t>
      </w:r>
      <w:r>
        <w:rPr>
          <w:lang w:val="zh-CN" w:eastAsia="zh-CN"/>
        </w:rPr>
        <w:t>43</w:t>
      </w:r>
      <w:r>
        <w:rPr>
          <w:lang w:val="zh-CN" w:eastAsia="zh-CN"/>
        </w:rPr>
        <w:t>项输出</w:t>
      </w:r>
      <w:r w:rsidR="00A95982">
        <w:rPr>
          <w:rFonts w:hint="eastAsia"/>
          <w:lang w:val="zh-CN" w:eastAsia="zh-CN"/>
        </w:rPr>
        <w:t>成果</w:t>
      </w:r>
      <w:r>
        <w:rPr>
          <w:lang w:val="zh-CN" w:eastAsia="zh-CN"/>
        </w:rPr>
        <w:t>的拨款，具体如下：</w:t>
      </w:r>
    </w:p>
    <w:p w14:paraId="43ACB016" w14:textId="4012F2AB" w:rsidR="0084288C" w:rsidRPr="00A961BE" w:rsidRDefault="00524A29" w:rsidP="00524A29">
      <w:pPr>
        <w:pStyle w:val="enumlev1"/>
        <w:rPr>
          <w:rFonts w:asciiTheme="minorHAnsi" w:hAnsiTheme="minorHAnsi"/>
          <w:lang w:eastAsia="zh-CN"/>
        </w:rPr>
      </w:pPr>
      <w:r w:rsidRPr="00524A29">
        <w:rPr>
          <w:lang w:val="zh-CN" w:eastAsia="zh-CN"/>
        </w:rPr>
        <w:t>–</w:t>
      </w:r>
      <w:r>
        <w:rPr>
          <w:lang w:val="zh-CN" w:eastAsia="zh-CN"/>
        </w:rPr>
        <w:tab/>
      </w:r>
      <w:r w:rsidR="0084288C">
        <w:rPr>
          <w:lang w:val="zh-CN" w:eastAsia="zh-CN"/>
        </w:rPr>
        <w:t>9</w:t>
      </w:r>
      <w:r w:rsidR="00A95982">
        <w:rPr>
          <w:rFonts w:hint="eastAsia"/>
          <w:lang w:val="zh-CN" w:eastAsia="zh-CN"/>
        </w:rPr>
        <w:t>项</w:t>
      </w:r>
      <w:r w:rsidR="0084288C">
        <w:rPr>
          <w:lang w:val="zh-CN" w:eastAsia="zh-CN"/>
        </w:rPr>
        <w:t>跨部门输出成果</w:t>
      </w:r>
    </w:p>
    <w:p w14:paraId="52EC16F4" w14:textId="09AE2EE5" w:rsidR="0084288C" w:rsidRPr="00A961BE" w:rsidRDefault="00524A29" w:rsidP="00524A29">
      <w:pPr>
        <w:pStyle w:val="enumlev1"/>
        <w:rPr>
          <w:rFonts w:asciiTheme="minorHAnsi" w:hAnsiTheme="minorHAnsi"/>
          <w:lang w:eastAsia="zh-CN"/>
        </w:rPr>
      </w:pPr>
      <w:r w:rsidRPr="00524A29">
        <w:rPr>
          <w:lang w:val="zh-CN" w:eastAsia="zh-CN"/>
        </w:rPr>
        <w:t>–</w:t>
      </w:r>
      <w:r>
        <w:rPr>
          <w:lang w:val="zh-CN" w:eastAsia="zh-CN"/>
        </w:rPr>
        <w:tab/>
      </w:r>
      <w:r w:rsidR="0084288C">
        <w:rPr>
          <w:lang w:val="zh-CN" w:eastAsia="zh-CN"/>
        </w:rPr>
        <w:t>12</w:t>
      </w:r>
      <w:r w:rsidR="00A95982">
        <w:rPr>
          <w:rFonts w:hint="eastAsia"/>
          <w:lang w:val="zh-CN" w:eastAsia="zh-CN"/>
        </w:rPr>
        <w:t>项</w:t>
      </w:r>
      <w:r w:rsidR="0084288C">
        <w:rPr>
          <w:lang w:val="zh-CN" w:eastAsia="zh-CN"/>
        </w:rPr>
        <w:t>ITU-R</w:t>
      </w:r>
      <w:r w:rsidR="0084288C">
        <w:rPr>
          <w:lang w:val="zh-CN" w:eastAsia="zh-CN"/>
        </w:rPr>
        <w:t>的输出成果</w:t>
      </w:r>
    </w:p>
    <w:p w14:paraId="46397C1C" w14:textId="7A49B173" w:rsidR="0084288C" w:rsidRPr="00A961BE" w:rsidRDefault="00524A29" w:rsidP="00524A29">
      <w:pPr>
        <w:pStyle w:val="enumlev1"/>
        <w:rPr>
          <w:rFonts w:asciiTheme="minorHAnsi" w:hAnsiTheme="minorHAnsi"/>
          <w:lang w:eastAsia="zh-CN"/>
        </w:rPr>
      </w:pPr>
      <w:r w:rsidRPr="00524A29">
        <w:rPr>
          <w:lang w:val="zh-CN" w:eastAsia="zh-CN"/>
        </w:rPr>
        <w:t>–</w:t>
      </w:r>
      <w:r>
        <w:rPr>
          <w:lang w:val="zh-CN" w:eastAsia="zh-CN"/>
        </w:rPr>
        <w:tab/>
      </w:r>
      <w:r w:rsidR="0084288C">
        <w:rPr>
          <w:lang w:val="zh-CN" w:eastAsia="zh-CN"/>
        </w:rPr>
        <w:t>9</w:t>
      </w:r>
      <w:r w:rsidR="00A95982">
        <w:rPr>
          <w:rFonts w:hint="eastAsia"/>
          <w:lang w:val="zh-CN" w:eastAsia="zh-CN"/>
        </w:rPr>
        <w:t>项</w:t>
      </w:r>
      <w:r w:rsidR="0084288C">
        <w:rPr>
          <w:lang w:val="zh-CN" w:eastAsia="zh-CN"/>
        </w:rPr>
        <w:t>ITU-T</w:t>
      </w:r>
      <w:r w:rsidR="0084288C">
        <w:rPr>
          <w:lang w:val="zh-CN" w:eastAsia="zh-CN"/>
        </w:rPr>
        <w:t>的输出成果</w:t>
      </w:r>
    </w:p>
    <w:p w14:paraId="265B2679" w14:textId="782973B2" w:rsidR="0084288C" w:rsidRDefault="00524A29" w:rsidP="00524A29">
      <w:pPr>
        <w:pStyle w:val="enumlev1"/>
        <w:spacing w:after="120"/>
        <w:rPr>
          <w:rFonts w:asciiTheme="minorHAnsi" w:hAnsiTheme="minorHAnsi"/>
          <w:lang w:eastAsia="zh-CN"/>
        </w:rPr>
      </w:pPr>
      <w:r w:rsidRPr="00524A29">
        <w:rPr>
          <w:lang w:val="zh-CN" w:eastAsia="zh-CN"/>
        </w:rPr>
        <w:t>–</w:t>
      </w:r>
      <w:r>
        <w:rPr>
          <w:lang w:val="zh-CN" w:eastAsia="zh-CN"/>
        </w:rPr>
        <w:tab/>
      </w:r>
      <w:r w:rsidR="0084288C">
        <w:rPr>
          <w:lang w:val="zh-CN" w:eastAsia="zh-CN"/>
        </w:rPr>
        <w:t>13</w:t>
      </w:r>
      <w:r w:rsidR="00A95982">
        <w:rPr>
          <w:rFonts w:hint="eastAsia"/>
          <w:lang w:val="zh-CN" w:eastAsia="zh-CN"/>
        </w:rPr>
        <w:t>项</w:t>
      </w:r>
      <w:r w:rsidR="0084288C">
        <w:rPr>
          <w:lang w:val="zh-CN" w:eastAsia="zh-CN"/>
        </w:rPr>
        <w:t>ITU-D</w:t>
      </w:r>
      <w:r w:rsidR="0084288C">
        <w:rPr>
          <w:lang w:val="zh-CN" w:eastAsia="zh-CN"/>
        </w:rPr>
        <w:t>的输出成果。</w:t>
      </w:r>
    </w:p>
    <w:p w14:paraId="11DFC3CE" w14:textId="43DD17D5" w:rsidR="0084288C" w:rsidRDefault="0084288C" w:rsidP="0084288C">
      <w:pPr>
        <w:pStyle w:val="ListParagraph"/>
        <w:tabs>
          <w:tab w:val="clear" w:pos="567"/>
          <w:tab w:val="left" w:pos="709"/>
        </w:tabs>
        <w:snapToGrid w:val="0"/>
        <w:spacing w:before="0" w:after="240"/>
        <w:ind w:left="0"/>
        <w:contextualSpacing w:val="0"/>
        <w:rPr>
          <w:rFonts w:asciiTheme="minorHAnsi" w:hAnsiTheme="minorHAnsi"/>
        </w:rPr>
      </w:pPr>
      <w:r>
        <w:rPr>
          <w:lang w:val="zh-CN"/>
        </w:rPr>
        <w:t>8.5</w:t>
      </w:r>
      <w:r>
        <w:rPr>
          <w:lang w:val="zh-CN"/>
        </w:rPr>
        <w:tab/>
      </w:r>
      <w:r w:rsidRPr="00017D23">
        <w:rPr>
          <w:rFonts w:eastAsiaTheme="minorEastAsia"/>
          <w:sz w:val="24"/>
          <w:szCs w:val="20"/>
          <w:lang w:val="zh-CN"/>
        </w:rPr>
        <w:t>基于结果的预算编制（</w:t>
      </w:r>
      <w:r w:rsidRPr="00017D23">
        <w:rPr>
          <w:rFonts w:eastAsiaTheme="minorEastAsia"/>
          <w:sz w:val="24"/>
          <w:szCs w:val="20"/>
          <w:lang w:val="zh-CN"/>
        </w:rPr>
        <w:t>RBB</w:t>
      </w:r>
      <w:r w:rsidRPr="00017D23">
        <w:rPr>
          <w:rFonts w:eastAsiaTheme="minorEastAsia"/>
          <w:sz w:val="24"/>
          <w:szCs w:val="20"/>
          <w:lang w:val="zh-CN"/>
        </w:rPr>
        <w:t>）组成部分（即主题重点和输出成果）的全部成本分配基于国际电联理事会第</w:t>
      </w:r>
      <w:r w:rsidRPr="00017D23">
        <w:rPr>
          <w:rFonts w:eastAsiaTheme="minorEastAsia"/>
          <w:sz w:val="24"/>
          <w:szCs w:val="20"/>
          <w:lang w:val="zh-CN"/>
        </w:rPr>
        <w:t>535</w:t>
      </w:r>
      <w:r w:rsidRPr="00017D23">
        <w:rPr>
          <w:rFonts w:eastAsiaTheme="minorEastAsia"/>
          <w:sz w:val="24"/>
          <w:szCs w:val="20"/>
          <w:lang w:val="zh-CN"/>
        </w:rPr>
        <w:t>号决定（</w:t>
      </w:r>
      <w:r w:rsidRPr="00017D23">
        <w:rPr>
          <w:rFonts w:eastAsiaTheme="minorEastAsia"/>
          <w:sz w:val="24"/>
          <w:szCs w:val="20"/>
          <w:lang w:val="zh-CN"/>
        </w:rPr>
        <w:t>C05</w:t>
      </w:r>
      <w:r w:rsidRPr="00017D23">
        <w:rPr>
          <w:rFonts w:eastAsiaTheme="minorEastAsia"/>
          <w:sz w:val="24"/>
          <w:szCs w:val="20"/>
          <w:lang w:val="zh-CN"/>
        </w:rPr>
        <w:t>，最近一次修正</w:t>
      </w:r>
      <w:r w:rsidRPr="00017D23">
        <w:rPr>
          <w:rFonts w:eastAsiaTheme="minorEastAsia"/>
          <w:sz w:val="24"/>
          <w:szCs w:val="20"/>
          <w:lang w:val="zh-CN"/>
        </w:rPr>
        <w:t>C14</w:t>
      </w:r>
      <w:r w:rsidRPr="00017D23">
        <w:rPr>
          <w:rFonts w:eastAsiaTheme="minorEastAsia"/>
          <w:sz w:val="24"/>
          <w:szCs w:val="20"/>
          <w:lang w:val="zh-CN"/>
        </w:rPr>
        <w:t>）中所述的成本分配方法。</w:t>
      </w:r>
    </w:p>
    <w:p w14:paraId="50677320" w14:textId="23038EEB" w:rsidR="0084288C" w:rsidRDefault="00FA4B16" w:rsidP="0084288C">
      <w:pPr>
        <w:pStyle w:val="ListParagraph"/>
        <w:keepNext/>
        <w:keepLines/>
        <w:tabs>
          <w:tab w:val="clear" w:pos="567"/>
          <w:tab w:val="left" w:pos="709"/>
        </w:tabs>
        <w:snapToGrid w:val="0"/>
        <w:spacing w:before="0" w:after="240"/>
        <w:ind w:left="0"/>
        <w:contextualSpacing w:val="0"/>
        <w:rPr>
          <w:rFonts w:asciiTheme="minorHAnsi" w:hAnsiTheme="minorHAnsi"/>
        </w:rPr>
      </w:pPr>
      <w:r>
        <w:rPr>
          <w:rFonts w:asciiTheme="minorHAnsi" w:hAnsiTheme="minorHAnsi"/>
          <w:noProof/>
        </w:rPr>
        <w:drawing>
          <wp:anchor distT="0" distB="0" distL="114300" distR="114300" simplePos="0" relativeHeight="251660288" behindDoc="1" locked="0" layoutInCell="1" allowOverlap="1" wp14:anchorId="43EC26B2" wp14:editId="14326E57">
            <wp:simplePos x="0" y="0"/>
            <wp:positionH relativeFrom="column">
              <wp:posOffset>958850</wp:posOffset>
            </wp:positionH>
            <wp:positionV relativeFrom="paragraph">
              <wp:posOffset>274320</wp:posOffset>
            </wp:positionV>
            <wp:extent cx="3548380" cy="2737485"/>
            <wp:effectExtent l="0" t="0" r="0" b="5715"/>
            <wp:wrapTopAndBottom/>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48380" cy="2737485"/>
                    </a:xfrm>
                    <a:prstGeom prst="rect">
                      <a:avLst/>
                    </a:prstGeom>
                    <a:noFill/>
                  </pic:spPr>
                </pic:pic>
              </a:graphicData>
            </a:graphic>
          </wp:anchor>
        </w:drawing>
      </w:r>
      <w:r w:rsidR="0084288C">
        <w:rPr>
          <w:lang w:val="zh-CN"/>
        </w:rPr>
        <w:t>8.6</w:t>
      </w:r>
      <w:r w:rsidR="0084288C">
        <w:rPr>
          <w:lang w:val="zh-CN"/>
        </w:rPr>
        <w:tab/>
      </w:r>
      <w:r w:rsidR="0084288C" w:rsidRPr="00017D23">
        <w:rPr>
          <w:rFonts w:eastAsiaTheme="minorEastAsia"/>
          <w:sz w:val="24"/>
          <w:szCs w:val="20"/>
          <w:lang w:val="zh-CN"/>
        </w:rPr>
        <w:t>整个成本结构如下：</w:t>
      </w:r>
    </w:p>
    <w:p w14:paraId="6F75D4B9" w14:textId="03D37330" w:rsidR="0084288C" w:rsidRDefault="0084288C" w:rsidP="0084288C">
      <w:pPr>
        <w:pStyle w:val="ListParagraph"/>
        <w:tabs>
          <w:tab w:val="clear" w:pos="567"/>
          <w:tab w:val="left" w:pos="709"/>
        </w:tabs>
        <w:snapToGrid w:val="0"/>
        <w:ind w:left="0"/>
        <w:rPr>
          <w:rFonts w:asciiTheme="minorHAnsi" w:hAnsiTheme="minorHAnsi"/>
        </w:rPr>
      </w:pPr>
    </w:p>
    <w:p w14:paraId="166EAE5A" w14:textId="046CA6EA" w:rsidR="0084288C" w:rsidRDefault="0084288C" w:rsidP="000D1E54">
      <w:pPr>
        <w:pStyle w:val="ListParagraph"/>
        <w:tabs>
          <w:tab w:val="clear" w:pos="567"/>
          <w:tab w:val="left" w:pos="709"/>
        </w:tabs>
        <w:snapToGrid w:val="0"/>
        <w:ind w:left="0"/>
        <w:rPr>
          <w:rFonts w:asciiTheme="minorHAnsi" w:hAnsiTheme="minorHAnsi"/>
        </w:rPr>
      </w:pPr>
      <w:r>
        <w:rPr>
          <w:lang w:val="zh-CN"/>
        </w:rPr>
        <w:t>8.7</w:t>
      </w:r>
      <w:r>
        <w:rPr>
          <w:lang w:val="zh-CN"/>
        </w:rPr>
        <w:tab/>
      </w:r>
      <w:r w:rsidRPr="003A0833">
        <w:rPr>
          <w:rFonts w:eastAsiaTheme="minorEastAsia"/>
          <w:sz w:val="24"/>
          <w:szCs w:val="20"/>
          <w:lang w:val="zh-CN"/>
        </w:rPr>
        <w:t>下表按输出成果提供了</w:t>
      </w:r>
      <w:r w:rsidRPr="003A0833">
        <w:rPr>
          <w:rFonts w:eastAsiaTheme="minorEastAsia"/>
          <w:sz w:val="24"/>
          <w:szCs w:val="20"/>
          <w:lang w:val="zh-CN"/>
        </w:rPr>
        <w:t>2026-2027</w:t>
      </w:r>
      <w:r w:rsidRPr="003A0833">
        <w:rPr>
          <w:rFonts w:eastAsiaTheme="minorEastAsia"/>
          <w:sz w:val="24"/>
          <w:szCs w:val="20"/>
          <w:lang w:val="zh-CN"/>
        </w:rPr>
        <w:t>年计划的成本分摊。</w:t>
      </w:r>
    </w:p>
    <w:p w14:paraId="26C4C643" w14:textId="77777777" w:rsidR="000D1E54" w:rsidRDefault="000D1E54" w:rsidP="000D1E54">
      <w:pPr>
        <w:pStyle w:val="ListParagraph"/>
        <w:tabs>
          <w:tab w:val="clear" w:pos="567"/>
          <w:tab w:val="left" w:pos="709"/>
        </w:tabs>
        <w:snapToGrid w:val="0"/>
        <w:spacing w:before="240" w:line="240" w:lineRule="exact"/>
        <w:ind w:left="0"/>
      </w:pPr>
    </w:p>
    <w:p w14:paraId="301B6005" w14:textId="216F8179" w:rsidR="00670DAF" w:rsidRDefault="00FA4B16" w:rsidP="000D1E54">
      <w:pPr>
        <w:pStyle w:val="ListParagraph"/>
        <w:tabs>
          <w:tab w:val="clear" w:pos="567"/>
          <w:tab w:val="left" w:pos="709"/>
        </w:tabs>
        <w:snapToGrid w:val="0"/>
        <w:spacing w:before="240" w:line="240" w:lineRule="exact"/>
        <w:ind w:left="0"/>
        <w:rPr>
          <w:rFonts w:eastAsiaTheme="minorEastAsia"/>
          <w:sz w:val="24"/>
          <w:szCs w:val="20"/>
        </w:rPr>
      </w:pPr>
      <w:r w:rsidRPr="00670DAF">
        <w:rPr>
          <w:noProof/>
        </w:rPr>
        <w:lastRenderedPageBreak/>
        <w:drawing>
          <wp:anchor distT="0" distB="0" distL="114300" distR="114300" simplePos="0" relativeHeight="251658240" behindDoc="0" locked="0" layoutInCell="1" allowOverlap="1" wp14:anchorId="28DE4693" wp14:editId="004F89F1">
            <wp:simplePos x="0" y="0"/>
            <wp:positionH relativeFrom="column">
              <wp:posOffset>-1270</wp:posOffset>
            </wp:positionH>
            <wp:positionV relativeFrom="paragraph">
              <wp:posOffset>135890</wp:posOffset>
            </wp:positionV>
            <wp:extent cx="5618480" cy="5608320"/>
            <wp:effectExtent l="0" t="0" r="1270" b="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8480" cy="560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52498" w14:textId="1C65038E" w:rsidR="000D1E54" w:rsidRPr="000D1E54" w:rsidRDefault="000D1E54" w:rsidP="000D1E54">
      <w:pPr>
        <w:pStyle w:val="ListParagraph"/>
        <w:tabs>
          <w:tab w:val="clear" w:pos="567"/>
          <w:tab w:val="left" w:pos="709"/>
        </w:tabs>
        <w:snapToGrid w:val="0"/>
        <w:spacing w:before="240" w:line="240" w:lineRule="exact"/>
        <w:ind w:left="0"/>
      </w:pPr>
      <w:r>
        <w:rPr>
          <w:rFonts w:asciiTheme="minorHAnsi" w:hAnsiTheme="minorHAnsi"/>
          <w:noProof/>
        </w:rPr>
        <w:drawing>
          <wp:anchor distT="0" distB="0" distL="114300" distR="114300" simplePos="0" relativeHeight="251659264" behindDoc="0" locked="0" layoutInCell="1" allowOverlap="1" wp14:anchorId="01B40F6C" wp14:editId="066B86F8">
            <wp:simplePos x="0" y="0"/>
            <wp:positionH relativeFrom="column">
              <wp:posOffset>219710</wp:posOffset>
            </wp:positionH>
            <wp:positionV relativeFrom="paragraph">
              <wp:posOffset>239395</wp:posOffset>
            </wp:positionV>
            <wp:extent cx="5242560" cy="2673367"/>
            <wp:effectExtent l="0" t="0" r="0" b="0"/>
            <wp:wrapTopAndBottom/>
            <wp:docPr id="1695723137" name="Picture 169572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42560" cy="2673367"/>
                    </a:xfrm>
                    <a:prstGeom prst="rect">
                      <a:avLst/>
                    </a:prstGeom>
                    <a:noFill/>
                  </pic:spPr>
                </pic:pic>
              </a:graphicData>
            </a:graphic>
            <wp14:sizeRelH relativeFrom="margin">
              <wp14:pctWidth>0</wp14:pctWidth>
            </wp14:sizeRelH>
            <wp14:sizeRelV relativeFrom="margin">
              <wp14:pctHeight>0</wp14:pctHeight>
            </wp14:sizeRelV>
          </wp:anchor>
        </w:drawing>
      </w:r>
      <w:r>
        <w:rPr>
          <w:lang w:val="zh-CN"/>
        </w:rPr>
        <w:t>8.8</w:t>
      </w:r>
      <w:r>
        <w:rPr>
          <w:lang w:val="zh-CN"/>
        </w:rPr>
        <w:tab/>
      </w:r>
      <w:r w:rsidRPr="003A0833">
        <w:rPr>
          <w:rFonts w:eastAsiaTheme="minorEastAsia"/>
          <w:sz w:val="24"/>
          <w:szCs w:val="20"/>
          <w:lang w:val="zh-CN"/>
        </w:rPr>
        <w:t>下图按成本构成显示国际电联</w:t>
      </w:r>
      <w:r w:rsidRPr="003A0833">
        <w:rPr>
          <w:rFonts w:eastAsiaTheme="minorEastAsia"/>
          <w:sz w:val="24"/>
          <w:szCs w:val="20"/>
          <w:lang w:val="zh-CN"/>
        </w:rPr>
        <w:t>2026-2027</w:t>
      </w:r>
      <w:r w:rsidRPr="003A0833">
        <w:rPr>
          <w:rFonts w:eastAsiaTheme="minorEastAsia"/>
          <w:sz w:val="24"/>
          <w:szCs w:val="20"/>
          <w:lang w:val="zh-CN"/>
        </w:rPr>
        <w:t>年的</w:t>
      </w:r>
      <w:r w:rsidRPr="003A0833">
        <w:rPr>
          <w:rFonts w:eastAsiaTheme="minorEastAsia"/>
          <w:sz w:val="24"/>
          <w:szCs w:val="20"/>
          <w:lang w:val="zh-CN"/>
        </w:rPr>
        <w:t>RBB</w:t>
      </w:r>
      <w:r w:rsidRPr="003A0833">
        <w:rPr>
          <w:rFonts w:eastAsiaTheme="minorEastAsia"/>
          <w:sz w:val="24"/>
          <w:szCs w:val="20"/>
          <w:lang w:val="zh-CN"/>
        </w:rPr>
        <w:t>资源分配。</w:t>
      </w:r>
    </w:p>
    <w:p w14:paraId="105271A1" w14:textId="2C2ED9C4" w:rsidR="0084288C" w:rsidRDefault="0084288C" w:rsidP="0084288C">
      <w:pPr>
        <w:pStyle w:val="AnnexNo"/>
        <w:rPr>
          <w:lang w:eastAsia="zh-CN"/>
        </w:rPr>
      </w:pPr>
      <w:bookmarkStart w:id="13" w:name="Annex_A"/>
      <w:r>
        <w:rPr>
          <w:lang w:val="zh-CN" w:eastAsia="zh-CN"/>
        </w:rPr>
        <w:lastRenderedPageBreak/>
        <w:t>附件</w:t>
      </w:r>
      <w:r>
        <w:rPr>
          <w:lang w:val="zh-CN" w:eastAsia="zh-CN"/>
        </w:rPr>
        <w:t>A</w:t>
      </w:r>
      <w:bookmarkEnd w:id="13"/>
    </w:p>
    <w:p w14:paraId="45DDE828" w14:textId="7A15BCFA" w:rsidR="0084288C" w:rsidRDefault="00670DAF" w:rsidP="0084288C">
      <w:pPr>
        <w:pStyle w:val="ResNo"/>
        <w:rPr>
          <w:lang w:eastAsia="zh-CN"/>
        </w:rPr>
      </w:pPr>
      <w:r>
        <w:rPr>
          <w:rFonts w:hint="eastAsia"/>
          <w:lang w:eastAsia="zh-CN"/>
        </w:rPr>
        <w:t>第</w:t>
      </w:r>
      <w:r w:rsidR="0084288C">
        <w:rPr>
          <w:lang w:eastAsia="zh-CN"/>
        </w:rPr>
        <w:t>[…]</w:t>
      </w:r>
      <w:r>
        <w:rPr>
          <w:rFonts w:hint="eastAsia"/>
          <w:lang w:eastAsia="zh-CN"/>
        </w:rPr>
        <w:t>号决议草案</w:t>
      </w:r>
    </w:p>
    <w:p w14:paraId="02518289" w14:textId="4A9DDF4A" w:rsidR="00703251" w:rsidRPr="00703251" w:rsidRDefault="00703251" w:rsidP="00703251">
      <w:pPr>
        <w:pStyle w:val="Restitle"/>
        <w:rPr>
          <w:lang w:eastAsia="zh-CN"/>
        </w:rPr>
      </w:pPr>
      <w:r w:rsidRPr="00703251">
        <w:rPr>
          <w:lang w:eastAsia="zh-CN"/>
        </w:rPr>
        <w:t>国际电联</w:t>
      </w:r>
      <w:r w:rsidRPr="00703251">
        <w:rPr>
          <w:lang w:eastAsia="zh-CN"/>
        </w:rPr>
        <w:t>2026-2027</w:t>
      </w:r>
      <w:r w:rsidRPr="00703251">
        <w:rPr>
          <w:lang w:eastAsia="zh-CN"/>
        </w:rPr>
        <w:t>年双年度预算</w:t>
      </w:r>
    </w:p>
    <w:p w14:paraId="4ADEA203" w14:textId="77777777" w:rsidR="00F86214" w:rsidRPr="00262D75" w:rsidRDefault="00F86214" w:rsidP="00F86214">
      <w:pPr>
        <w:pStyle w:val="Normalaftertitle"/>
        <w:rPr>
          <w:lang w:eastAsia="zh-CN"/>
        </w:rPr>
      </w:pPr>
      <w:r w:rsidRPr="00262D75">
        <w:rPr>
          <w:rFonts w:hint="eastAsia"/>
          <w:lang w:eastAsia="zh-CN"/>
        </w:rPr>
        <w:t>国际电联理事会，</w:t>
      </w:r>
    </w:p>
    <w:p w14:paraId="59FA1B04" w14:textId="77777777" w:rsidR="00F86214" w:rsidRPr="003A0833" w:rsidRDefault="00F86214" w:rsidP="00F86214">
      <w:pPr>
        <w:pStyle w:val="Call"/>
        <w:rPr>
          <w:i/>
          <w:iCs/>
          <w:lang w:eastAsia="zh-CN"/>
        </w:rPr>
      </w:pPr>
      <w:r w:rsidRPr="003A0833">
        <w:rPr>
          <w:rFonts w:hint="eastAsia"/>
          <w:iCs/>
          <w:lang w:eastAsia="zh-CN"/>
        </w:rPr>
        <w:t>鉴于</w:t>
      </w:r>
    </w:p>
    <w:p w14:paraId="6AEB3EB1" w14:textId="6FF349D2" w:rsidR="00F86214" w:rsidRPr="00262D75" w:rsidRDefault="00F86214" w:rsidP="00F86214">
      <w:pPr>
        <w:ind w:firstLineChars="200" w:firstLine="480"/>
        <w:rPr>
          <w:szCs w:val="24"/>
          <w:lang w:eastAsia="zh-CN"/>
        </w:rPr>
      </w:pPr>
      <w:r w:rsidRPr="00262D75">
        <w:rPr>
          <w:szCs w:val="24"/>
          <w:lang w:eastAsia="zh-CN"/>
        </w:rPr>
        <w:t>国际电联《公约》的相关条款，</w:t>
      </w:r>
    </w:p>
    <w:p w14:paraId="5DD10F20" w14:textId="77777777" w:rsidR="00F86214" w:rsidRPr="003A0833" w:rsidRDefault="00F86214" w:rsidP="00F86214">
      <w:pPr>
        <w:pStyle w:val="Call"/>
        <w:rPr>
          <w:i/>
          <w:iCs/>
          <w:lang w:eastAsia="zh-CN"/>
        </w:rPr>
      </w:pPr>
      <w:r w:rsidRPr="003A0833">
        <w:rPr>
          <w:iCs/>
          <w:lang w:eastAsia="zh-CN"/>
        </w:rPr>
        <w:t>铭记</w:t>
      </w:r>
    </w:p>
    <w:p w14:paraId="383E1E29" w14:textId="3FE6D82E" w:rsidR="00F86214" w:rsidRPr="00262D75" w:rsidRDefault="00F86214" w:rsidP="00F86214">
      <w:pPr>
        <w:rPr>
          <w:lang w:eastAsia="zh-CN"/>
        </w:rPr>
      </w:pPr>
      <w:r w:rsidRPr="00262D75">
        <w:rPr>
          <w:i/>
          <w:iCs/>
          <w:lang w:eastAsia="zh-CN"/>
        </w:rPr>
        <w:t>a)</w:t>
      </w:r>
      <w:r w:rsidRPr="00262D75">
        <w:rPr>
          <w:lang w:eastAsia="zh-CN"/>
        </w:rPr>
        <w:tab/>
      </w:r>
      <w:r w:rsidRPr="00262D75">
        <w:rPr>
          <w:rFonts w:hint="eastAsia"/>
          <w:szCs w:val="24"/>
          <w:lang w:eastAsia="zh-CN"/>
        </w:rPr>
        <w:t>有关国际电联</w:t>
      </w:r>
      <w:r w:rsidRPr="00262D75">
        <w:rPr>
          <w:rFonts w:hint="eastAsia"/>
          <w:szCs w:val="24"/>
          <w:lang w:eastAsia="zh-CN"/>
        </w:rPr>
        <w:t>20</w:t>
      </w:r>
      <w:r w:rsidRPr="00262D75">
        <w:rPr>
          <w:szCs w:val="24"/>
          <w:lang w:eastAsia="zh-CN"/>
        </w:rPr>
        <w:t>24</w:t>
      </w:r>
      <w:r w:rsidRPr="00262D75">
        <w:rPr>
          <w:rFonts w:hint="eastAsia"/>
          <w:szCs w:val="24"/>
          <w:lang w:eastAsia="zh-CN"/>
        </w:rPr>
        <w:t>-20</w:t>
      </w:r>
      <w:r w:rsidRPr="00262D75">
        <w:rPr>
          <w:szCs w:val="24"/>
          <w:lang w:eastAsia="zh-CN"/>
        </w:rPr>
        <w:t>27</w:t>
      </w:r>
      <w:r w:rsidRPr="00262D75">
        <w:rPr>
          <w:rFonts w:hint="eastAsia"/>
          <w:szCs w:val="24"/>
          <w:lang w:eastAsia="zh-CN"/>
        </w:rPr>
        <w:t>年阶段收支的</w:t>
      </w:r>
      <w:r w:rsidRPr="00262D75">
        <w:rPr>
          <w:szCs w:val="24"/>
          <w:lang w:eastAsia="zh-CN"/>
        </w:rPr>
        <w:t>全权代表大会第</w:t>
      </w:r>
      <w:r w:rsidRPr="00262D75">
        <w:rPr>
          <w:szCs w:val="24"/>
          <w:lang w:eastAsia="zh-CN"/>
        </w:rPr>
        <w:t>5</w:t>
      </w:r>
      <w:r w:rsidRPr="00262D75">
        <w:rPr>
          <w:szCs w:val="24"/>
          <w:lang w:eastAsia="zh-CN"/>
        </w:rPr>
        <w:t>号决定（</w:t>
      </w:r>
      <w:r w:rsidRPr="00262D75">
        <w:rPr>
          <w:lang w:eastAsia="zh-CN"/>
        </w:rPr>
        <w:t>2022</w:t>
      </w:r>
      <w:r w:rsidRPr="00262D75">
        <w:rPr>
          <w:lang w:eastAsia="zh-CN"/>
        </w:rPr>
        <w:t>年，布加勒斯特，修订版</w:t>
      </w:r>
      <w:r w:rsidRPr="00262D75">
        <w:rPr>
          <w:rFonts w:hint="eastAsia"/>
          <w:szCs w:val="24"/>
          <w:lang w:eastAsia="zh-CN"/>
        </w:rPr>
        <w:t>）</w:t>
      </w:r>
      <w:r w:rsidRPr="00262D75">
        <w:rPr>
          <w:szCs w:val="24"/>
          <w:lang w:eastAsia="zh-CN"/>
        </w:rPr>
        <w:t>的条款，</w:t>
      </w:r>
      <w:r w:rsidRPr="00262D75">
        <w:rPr>
          <w:rFonts w:hint="eastAsia"/>
          <w:szCs w:val="24"/>
          <w:lang w:eastAsia="zh-CN"/>
        </w:rPr>
        <w:t>这些条款</w:t>
      </w:r>
      <w:r w:rsidRPr="00262D75">
        <w:rPr>
          <w:szCs w:val="24"/>
          <w:lang w:eastAsia="zh-CN"/>
        </w:rPr>
        <w:t>规定</w:t>
      </w:r>
      <w:r w:rsidRPr="00262D75">
        <w:rPr>
          <w:rFonts w:asciiTheme="minorHAnsi" w:hAnsiTheme="minorHAnsi"/>
          <w:snapToGrid w:val="0"/>
          <w:spacing w:val="-4"/>
          <w:lang w:eastAsia="zh-CN"/>
        </w:rPr>
        <w:t>202</w:t>
      </w:r>
      <w:r>
        <w:rPr>
          <w:rFonts w:asciiTheme="minorHAnsi" w:hAnsiTheme="minorHAnsi"/>
          <w:snapToGrid w:val="0"/>
          <w:spacing w:val="-4"/>
          <w:lang w:eastAsia="zh-CN"/>
        </w:rPr>
        <w:t>6</w:t>
      </w:r>
      <w:r w:rsidRPr="00262D75">
        <w:rPr>
          <w:rFonts w:asciiTheme="minorHAnsi" w:hAnsiTheme="minorHAnsi"/>
          <w:snapToGrid w:val="0"/>
          <w:spacing w:val="-4"/>
          <w:lang w:eastAsia="zh-CN"/>
        </w:rPr>
        <w:t>-202</w:t>
      </w:r>
      <w:r>
        <w:rPr>
          <w:rFonts w:asciiTheme="minorHAnsi" w:hAnsiTheme="minorHAnsi"/>
          <w:snapToGrid w:val="0"/>
          <w:spacing w:val="-4"/>
          <w:lang w:eastAsia="zh-CN"/>
        </w:rPr>
        <w:t>7</w:t>
      </w:r>
      <w:r w:rsidRPr="00262D75">
        <w:rPr>
          <w:szCs w:val="24"/>
          <w:lang w:eastAsia="zh-CN"/>
        </w:rPr>
        <w:t>年</w:t>
      </w:r>
      <w:r w:rsidRPr="00262D75">
        <w:rPr>
          <w:rFonts w:hint="eastAsia"/>
          <w:szCs w:val="24"/>
          <w:lang w:eastAsia="zh-CN"/>
        </w:rPr>
        <w:t>的成员国</w:t>
      </w:r>
      <w:r w:rsidRPr="00262D75">
        <w:rPr>
          <w:szCs w:val="24"/>
          <w:lang w:eastAsia="zh-CN"/>
        </w:rPr>
        <w:t>会费单位金额</w:t>
      </w:r>
      <w:r>
        <w:rPr>
          <w:rFonts w:hint="eastAsia"/>
          <w:szCs w:val="24"/>
          <w:lang w:eastAsia="zh-CN"/>
        </w:rPr>
        <w:t>为</w:t>
      </w:r>
      <w:r w:rsidRPr="00262D75">
        <w:rPr>
          <w:szCs w:val="24"/>
          <w:lang w:eastAsia="zh-CN"/>
        </w:rPr>
        <w:t>3</w:t>
      </w:r>
      <w:r w:rsidRPr="00262D75">
        <w:rPr>
          <w:rFonts w:hint="eastAsia"/>
          <w:szCs w:val="24"/>
          <w:lang w:eastAsia="zh-CN"/>
        </w:rPr>
        <w:t>18</w:t>
      </w:r>
      <w:r w:rsidR="003446A7">
        <w:rPr>
          <w:szCs w:val="24"/>
          <w:lang w:val="en-US" w:eastAsia="zh-CN"/>
        </w:rPr>
        <w:t> </w:t>
      </w:r>
      <w:r w:rsidRPr="00262D75">
        <w:rPr>
          <w:szCs w:val="24"/>
          <w:lang w:eastAsia="zh-CN"/>
        </w:rPr>
        <w:t>000</w:t>
      </w:r>
      <w:r w:rsidRPr="00262D75">
        <w:rPr>
          <w:szCs w:val="24"/>
          <w:lang w:eastAsia="zh-CN"/>
        </w:rPr>
        <w:t>瑞郎</w:t>
      </w:r>
      <w:r w:rsidRPr="00262D75">
        <w:rPr>
          <w:rFonts w:hint="eastAsia"/>
          <w:szCs w:val="24"/>
          <w:lang w:eastAsia="zh-CN"/>
        </w:rPr>
        <w:t>；</w:t>
      </w:r>
    </w:p>
    <w:p w14:paraId="4217D513" w14:textId="77777777" w:rsidR="00F86214" w:rsidRPr="00262D75" w:rsidRDefault="00F86214" w:rsidP="00F86214">
      <w:pPr>
        <w:rPr>
          <w:lang w:eastAsia="zh-CN"/>
        </w:rPr>
      </w:pPr>
      <w:r w:rsidRPr="00262D75">
        <w:rPr>
          <w:i/>
          <w:iCs/>
          <w:lang w:eastAsia="zh-CN"/>
        </w:rPr>
        <w:t>b)</w:t>
      </w:r>
      <w:r w:rsidRPr="00262D75">
        <w:rPr>
          <w:lang w:eastAsia="zh-CN"/>
        </w:rPr>
        <w:tab/>
      </w:r>
      <w:r w:rsidRPr="00262D75">
        <w:rPr>
          <w:rFonts w:hint="eastAsia"/>
          <w:lang w:eastAsia="zh-CN"/>
        </w:rPr>
        <w:t>与拨款转账相关的《财务规则和财务细则》第</w:t>
      </w:r>
      <w:r w:rsidRPr="00262D75">
        <w:rPr>
          <w:lang w:eastAsia="zh-CN"/>
        </w:rPr>
        <w:t>11</w:t>
      </w:r>
      <w:r w:rsidRPr="00262D75">
        <w:rPr>
          <w:rFonts w:hint="eastAsia"/>
          <w:lang w:eastAsia="zh-CN"/>
        </w:rPr>
        <w:t>条的规定，</w:t>
      </w:r>
    </w:p>
    <w:p w14:paraId="27560D00" w14:textId="77777777" w:rsidR="00F86214" w:rsidRPr="003A0833" w:rsidRDefault="00F86214" w:rsidP="00F86214">
      <w:pPr>
        <w:pStyle w:val="Call"/>
        <w:rPr>
          <w:i/>
          <w:iCs/>
          <w:lang w:eastAsia="zh-CN"/>
        </w:rPr>
      </w:pPr>
      <w:r w:rsidRPr="003A0833">
        <w:rPr>
          <w:iCs/>
          <w:lang w:eastAsia="zh-CN"/>
        </w:rPr>
        <w:t>做出决议，批准</w:t>
      </w:r>
    </w:p>
    <w:p w14:paraId="2B3D7D56" w14:textId="62D964A6" w:rsidR="00F86214" w:rsidRPr="00262D75" w:rsidRDefault="00F86214" w:rsidP="00F86214">
      <w:pPr>
        <w:ind w:firstLineChars="200" w:firstLine="480"/>
        <w:rPr>
          <w:lang w:eastAsia="zh-CN"/>
        </w:rPr>
      </w:pPr>
      <w:r w:rsidRPr="00262D75">
        <w:rPr>
          <w:rFonts w:hAnsi="Verdana"/>
          <w:lang w:eastAsia="zh-CN"/>
        </w:rPr>
        <w:t>国际电联</w:t>
      </w:r>
      <w:r w:rsidRPr="00262D75">
        <w:rPr>
          <w:szCs w:val="24"/>
          <w:lang w:eastAsia="zh-CN"/>
        </w:rPr>
        <w:t>202</w:t>
      </w:r>
      <w:r>
        <w:rPr>
          <w:szCs w:val="24"/>
          <w:lang w:eastAsia="zh-CN"/>
        </w:rPr>
        <w:t>6</w:t>
      </w:r>
      <w:r w:rsidRPr="00262D75">
        <w:rPr>
          <w:szCs w:val="24"/>
          <w:lang w:eastAsia="zh-CN"/>
        </w:rPr>
        <w:t>-202</w:t>
      </w:r>
      <w:r>
        <w:rPr>
          <w:szCs w:val="24"/>
          <w:lang w:eastAsia="zh-CN"/>
        </w:rPr>
        <w:t>7</w:t>
      </w:r>
      <w:r w:rsidRPr="00262D75">
        <w:rPr>
          <w:rFonts w:hAnsi="Verdana"/>
          <w:lang w:eastAsia="zh-CN"/>
        </w:rPr>
        <w:t>双年度预算</w:t>
      </w:r>
      <w:r w:rsidRPr="00262D75">
        <w:rPr>
          <w:rFonts w:hAnsi="Verdana" w:hint="eastAsia"/>
          <w:lang w:eastAsia="zh-CN"/>
        </w:rPr>
        <w:t>，</w:t>
      </w:r>
      <w:r w:rsidRPr="00262D75">
        <w:rPr>
          <w:lang w:eastAsia="zh-CN"/>
        </w:rPr>
        <w:t>202</w:t>
      </w:r>
      <w:r>
        <w:rPr>
          <w:lang w:eastAsia="zh-CN"/>
        </w:rPr>
        <w:t>6</w:t>
      </w:r>
      <w:r w:rsidRPr="00262D75">
        <w:rPr>
          <w:rFonts w:hAnsi="Verdana"/>
          <w:lang w:eastAsia="zh-CN"/>
        </w:rPr>
        <w:t>年的</w:t>
      </w:r>
      <w:r w:rsidRPr="00262D75">
        <w:rPr>
          <w:rFonts w:hAnsi="Verdana" w:hint="eastAsia"/>
          <w:lang w:eastAsia="zh-CN"/>
        </w:rPr>
        <w:t>金</w:t>
      </w:r>
      <w:r w:rsidRPr="00262D75">
        <w:rPr>
          <w:rFonts w:hAnsi="Verdana"/>
          <w:lang w:eastAsia="zh-CN"/>
        </w:rPr>
        <w:t>额为</w:t>
      </w:r>
      <w:r w:rsidRPr="00262D75">
        <w:rPr>
          <w:rFonts w:asciiTheme="minorHAnsi" w:hAnsiTheme="minorHAnsi" w:cstheme="minorHAnsi"/>
          <w:lang w:eastAsia="zh-CN"/>
        </w:rPr>
        <w:t>16</w:t>
      </w:r>
      <w:r>
        <w:rPr>
          <w:rFonts w:asciiTheme="minorHAnsi" w:hAnsiTheme="minorHAnsi" w:cstheme="minorHAnsi"/>
          <w:lang w:eastAsia="zh-CN"/>
        </w:rPr>
        <w:t>3</w:t>
      </w:r>
      <w:r w:rsidR="003446A7">
        <w:rPr>
          <w:rFonts w:asciiTheme="minorHAnsi" w:hAnsiTheme="minorHAnsi" w:cstheme="minorHAnsi"/>
          <w:lang w:eastAsia="zh-CN"/>
        </w:rPr>
        <w:t> </w:t>
      </w:r>
      <w:r>
        <w:rPr>
          <w:rFonts w:asciiTheme="minorHAnsi" w:hAnsiTheme="minorHAnsi" w:cstheme="minorHAnsi"/>
          <w:lang w:eastAsia="zh-CN"/>
        </w:rPr>
        <w:t>126</w:t>
      </w:r>
      <w:r w:rsidR="003446A7">
        <w:rPr>
          <w:rFonts w:asciiTheme="minorHAnsi" w:hAnsiTheme="minorHAnsi" w:cstheme="minorHAnsi"/>
          <w:lang w:eastAsia="zh-CN"/>
        </w:rPr>
        <w:t> </w:t>
      </w:r>
      <w:r w:rsidRPr="00262D75">
        <w:rPr>
          <w:rFonts w:asciiTheme="minorHAnsi" w:hAnsiTheme="minorHAnsi" w:cstheme="minorHAnsi"/>
          <w:lang w:eastAsia="zh-CN"/>
        </w:rPr>
        <w:t>000</w:t>
      </w:r>
      <w:r w:rsidRPr="00262D75">
        <w:rPr>
          <w:rFonts w:hAnsi="Verdana"/>
          <w:lang w:eastAsia="zh-CN"/>
        </w:rPr>
        <w:t>瑞郎，</w:t>
      </w:r>
      <w:r w:rsidRPr="00262D75">
        <w:rPr>
          <w:lang w:eastAsia="zh-CN"/>
        </w:rPr>
        <w:t>202</w:t>
      </w:r>
      <w:r>
        <w:rPr>
          <w:lang w:eastAsia="zh-CN"/>
        </w:rPr>
        <w:t>7</w:t>
      </w:r>
      <w:r w:rsidRPr="00262D75">
        <w:rPr>
          <w:rFonts w:hAnsi="Verdana"/>
          <w:lang w:eastAsia="zh-CN"/>
        </w:rPr>
        <w:t>年的</w:t>
      </w:r>
      <w:r w:rsidRPr="00262D75">
        <w:rPr>
          <w:rFonts w:hAnsi="Verdana" w:hint="eastAsia"/>
          <w:lang w:eastAsia="zh-CN"/>
        </w:rPr>
        <w:t>金</w:t>
      </w:r>
      <w:r w:rsidRPr="00262D75">
        <w:rPr>
          <w:rFonts w:hAnsi="Verdana"/>
          <w:lang w:eastAsia="zh-CN"/>
        </w:rPr>
        <w:t>额为</w:t>
      </w:r>
      <w:r w:rsidRPr="00262D75">
        <w:rPr>
          <w:rFonts w:asciiTheme="minorHAnsi" w:hAnsiTheme="minorHAnsi" w:cstheme="minorHAnsi"/>
          <w:lang w:eastAsia="zh-CN"/>
        </w:rPr>
        <w:t>1</w:t>
      </w:r>
      <w:r>
        <w:rPr>
          <w:rFonts w:asciiTheme="minorHAnsi" w:hAnsiTheme="minorHAnsi" w:cstheme="minorHAnsi"/>
          <w:lang w:eastAsia="zh-CN"/>
        </w:rPr>
        <w:t>70</w:t>
      </w:r>
      <w:r w:rsidR="003446A7">
        <w:rPr>
          <w:rFonts w:asciiTheme="minorHAnsi" w:hAnsiTheme="minorHAnsi" w:cstheme="minorHAnsi"/>
          <w:lang w:eastAsia="zh-CN"/>
        </w:rPr>
        <w:t> </w:t>
      </w:r>
      <w:r>
        <w:rPr>
          <w:rFonts w:asciiTheme="minorHAnsi" w:hAnsiTheme="minorHAnsi" w:cstheme="minorHAnsi"/>
          <w:lang w:eastAsia="zh-CN"/>
        </w:rPr>
        <w:t>112</w:t>
      </w:r>
      <w:r w:rsidR="003446A7">
        <w:rPr>
          <w:rFonts w:asciiTheme="minorHAnsi" w:hAnsiTheme="minorHAnsi" w:cstheme="minorHAnsi"/>
          <w:lang w:eastAsia="zh-CN"/>
        </w:rPr>
        <w:t> </w:t>
      </w:r>
      <w:r w:rsidRPr="00262D75">
        <w:rPr>
          <w:rFonts w:asciiTheme="minorHAnsi" w:hAnsiTheme="minorHAnsi" w:cstheme="minorHAnsi"/>
          <w:lang w:eastAsia="zh-CN"/>
        </w:rPr>
        <w:t>000</w:t>
      </w:r>
      <w:r w:rsidRPr="00262D75">
        <w:rPr>
          <w:rFonts w:hAnsi="Verdana"/>
          <w:lang w:eastAsia="zh-CN"/>
        </w:rPr>
        <w:t>瑞郎，或</w:t>
      </w:r>
      <w:r w:rsidRPr="00262D75">
        <w:rPr>
          <w:szCs w:val="24"/>
          <w:lang w:eastAsia="zh-CN"/>
        </w:rPr>
        <w:t>202</w:t>
      </w:r>
      <w:r>
        <w:rPr>
          <w:szCs w:val="24"/>
          <w:lang w:eastAsia="zh-CN"/>
        </w:rPr>
        <w:t>6</w:t>
      </w:r>
      <w:r w:rsidRPr="00262D75">
        <w:rPr>
          <w:szCs w:val="24"/>
          <w:lang w:eastAsia="zh-CN"/>
        </w:rPr>
        <w:t>-202</w:t>
      </w:r>
      <w:r>
        <w:rPr>
          <w:szCs w:val="24"/>
          <w:lang w:eastAsia="zh-CN"/>
        </w:rPr>
        <w:t>7</w:t>
      </w:r>
      <w:r w:rsidRPr="00262D75">
        <w:rPr>
          <w:lang w:eastAsia="zh-CN"/>
        </w:rPr>
        <w:t>双年度总额为</w:t>
      </w:r>
      <w:r w:rsidRPr="00262D75">
        <w:rPr>
          <w:rFonts w:asciiTheme="minorHAnsi" w:hAnsiTheme="minorHAnsi" w:cstheme="minorHAnsi"/>
          <w:lang w:eastAsia="zh-CN"/>
        </w:rPr>
        <w:t>3</w:t>
      </w:r>
      <w:r>
        <w:rPr>
          <w:rFonts w:asciiTheme="minorHAnsi" w:hAnsiTheme="minorHAnsi" w:cstheme="minorHAnsi"/>
          <w:lang w:eastAsia="zh-CN"/>
        </w:rPr>
        <w:t>33</w:t>
      </w:r>
      <w:r w:rsidR="003446A7">
        <w:rPr>
          <w:rFonts w:asciiTheme="minorHAnsi" w:hAnsiTheme="minorHAnsi" w:cstheme="minorHAnsi"/>
          <w:lang w:eastAsia="zh-CN"/>
        </w:rPr>
        <w:t> </w:t>
      </w:r>
      <w:r>
        <w:rPr>
          <w:rFonts w:asciiTheme="minorHAnsi" w:hAnsiTheme="minorHAnsi" w:cstheme="minorHAnsi"/>
          <w:lang w:eastAsia="zh-CN"/>
        </w:rPr>
        <w:t>238</w:t>
      </w:r>
      <w:r w:rsidR="003446A7">
        <w:rPr>
          <w:rFonts w:asciiTheme="minorHAnsi" w:hAnsiTheme="minorHAnsi" w:cstheme="minorHAnsi"/>
          <w:lang w:eastAsia="zh-CN"/>
        </w:rPr>
        <w:t> </w:t>
      </w:r>
      <w:r w:rsidRPr="00262D75">
        <w:rPr>
          <w:rFonts w:asciiTheme="minorHAnsi" w:hAnsiTheme="minorHAnsi" w:cstheme="minorHAnsi"/>
          <w:lang w:eastAsia="zh-CN"/>
        </w:rPr>
        <w:t>000</w:t>
      </w:r>
      <w:r w:rsidRPr="00262D75">
        <w:rPr>
          <w:rFonts w:hAnsi="Verdana"/>
          <w:lang w:eastAsia="zh-CN"/>
        </w:rPr>
        <w:t>瑞郎</w:t>
      </w:r>
      <w:r w:rsidRPr="00262D75">
        <w:rPr>
          <w:rFonts w:hAnsi="Verdana" w:hint="eastAsia"/>
          <w:lang w:eastAsia="zh-CN"/>
        </w:rPr>
        <w:t>，具体</w:t>
      </w:r>
      <w:r w:rsidRPr="00262D75">
        <w:rPr>
          <w:rFonts w:hAnsi="Verdana"/>
          <w:lang w:eastAsia="zh-CN"/>
        </w:rPr>
        <w:t>拨款如下：</w:t>
      </w:r>
    </w:p>
    <w:p w14:paraId="70FE18E4" w14:textId="0AFAF419" w:rsidR="00F86214" w:rsidRDefault="006679D9" w:rsidP="00F86214">
      <w:pPr>
        <w:jc w:val="center"/>
        <w:rPr>
          <w:lang w:eastAsia="zh-CN"/>
        </w:rPr>
      </w:pPr>
      <w:r w:rsidRPr="006679D9">
        <w:rPr>
          <w:noProof/>
        </w:rPr>
        <w:drawing>
          <wp:inline distT="0" distB="0" distL="0" distR="0" wp14:anchorId="51A53139" wp14:editId="014D3BC7">
            <wp:extent cx="5545455" cy="1896745"/>
            <wp:effectExtent l="0" t="0" r="0" b="8255"/>
            <wp:docPr id="138286257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45455" cy="1896745"/>
                    </a:xfrm>
                    <a:prstGeom prst="rect">
                      <a:avLst/>
                    </a:prstGeom>
                    <a:noFill/>
                    <a:ln>
                      <a:noFill/>
                    </a:ln>
                  </pic:spPr>
                </pic:pic>
              </a:graphicData>
            </a:graphic>
          </wp:inline>
        </w:drawing>
      </w:r>
    </w:p>
    <w:p w14:paraId="5F0DDC0F" w14:textId="77777777" w:rsidR="00F86214" w:rsidRPr="00262D75" w:rsidRDefault="00F86214" w:rsidP="00BA2109">
      <w:pPr>
        <w:pStyle w:val="Call"/>
        <w:rPr>
          <w:lang w:eastAsia="zh-CN"/>
        </w:rPr>
      </w:pPr>
      <w:r w:rsidRPr="00262D75">
        <w:rPr>
          <w:rFonts w:hint="eastAsia"/>
          <w:lang w:eastAsia="zh-CN"/>
        </w:rPr>
        <w:t>进一步</w:t>
      </w:r>
      <w:r w:rsidRPr="00BA2109">
        <w:rPr>
          <w:rFonts w:hint="eastAsia"/>
          <w:lang w:eastAsia="zh-CN"/>
        </w:rPr>
        <w:t>做出</w:t>
      </w:r>
      <w:r w:rsidRPr="00262D75">
        <w:rPr>
          <w:rFonts w:hint="eastAsia"/>
          <w:lang w:eastAsia="zh-CN"/>
        </w:rPr>
        <w:t>决议</w:t>
      </w:r>
    </w:p>
    <w:p w14:paraId="31C027C2" w14:textId="3CEAA310" w:rsidR="00F86214" w:rsidRPr="00262D75" w:rsidRDefault="00F86214" w:rsidP="00F86214">
      <w:pPr>
        <w:rPr>
          <w:lang w:eastAsia="zh-CN"/>
        </w:rPr>
      </w:pPr>
      <w:r w:rsidRPr="00262D75">
        <w:rPr>
          <w:lang w:eastAsia="zh-CN"/>
        </w:rPr>
        <w:t>1</w:t>
      </w:r>
      <w:r w:rsidRPr="00262D75">
        <w:rPr>
          <w:lang w:eastAsia="zh-CN"/>
        </w:rPr>
        <w:tab/>
      </w:r>
      <w:r w:rsidRPr="00262D75">
        <w:rPr>
          <w:rFonts w:hint="eastAsia"/>
          <w:lang w:eastAsia="zh-CN"/>
        </w:rPr>
        <w:t>根据成员国依照国际电信联盟《组织法》第</w:t>
      </w:r>
      <w:r w:rsidRPr="00262D75">
        <w:rPr>
          <w:lang w:eastAsia="zh-CN"/>
        </w:rPr>
        <w:t>160</w:t>
      </w:r>
      <w:r w:rsidRPr="00262D75">
        <w:rPr>
          <w:rFonts w:hint="eastAsia"/>
          <w:lang w:eastAsia="zh-CN"/>
        </w:rPr>
        <w:t>款和《公约》第</w:t>
      </w:r>
      <w:r w:rsidRPr="00262D75">
        <w:rPr>
          <w:lang w:eastAsia="zh-CN"/>
        </w:rPr>
        <w:t>468</w:t>
      </w:r>
      <w:r w:rsidRPr="00262D75">
        <w:rPr>
          <w:rFonts w:hint="eastAsia"/>
          <w:lang w:eastAsia="zh-CN"/>
        </w:rPr>
        <w:t>款所选会费等级，即，在总数为</w:t>
      </w:r>
      <w:r w:rsidRPr="00262D75">
        <w:rPr>
          <w:lang w:eastAsia="zh-CN"/>
        </w:rPr>
        <w:t>355</w:t>
      </w:r>
      <w:r w:rsidR="003446A7">
        <w:rPr>
          <w:lang w:eastAsia="zh-CN"/>
        </w:rPr>
        <w:t> </w:t>
      </w:r>
      <w:r>
        <w:rPr>
          <w:lang w:eastAsia="zh-CN"/>
        </w:rPr>
        <w:t>23</w:t>
      </w:r>
      <w:r w:rsidRPr="00262D75">
        <w:rPr>
          <w:lang w:eastAsia="zh-CN"/>
        </w:rPr>
        <w:t>/</w:t>
      </w:r>
      <w:r>
        <w:rPr>
          <w:lang w:eastAsia="zh-CN"/>
        </w:rPr>
        <w:t>24</w:t>
      </w:r>
      <w:r w:rsidRPr="00262D75">
        <w:rPr>
          <w:rFonts w:hint="eastAsia"/>
          <w:lang w:eastAsia="zh-CN"/>
        </w:rPr>
        <w:t>个会费单位的基础上，确定</w:t>
      </w:r>
      <w:r w:rsidRPr="00262D75">
        <w:rPr>
          <w:lang w:eastAsia="zh-CN"/>
        </w:rPr>
        <w:t>202</w:t>
      </w:r>
      <w:r>
        <w:rPr>
          <w:lang w:eastAsia="zh-CN"/>
        </w:rPr>
        <w:t>6</w:t>
      </w:r>
      <w:r w:rsidRPr="00262D75">
        <w:rPr>
          <w:rFonts w:hint="eastAsia"/>
          <w:lang w:eastAsia="zh-CN"/>
        </w:rPr>
        <w:t>和</w:t>
      </w:r>
      <w:r w:rsidRPr="00262D75">
        <w:rPr>
          <w:lang w:eastAsia="zh-CN"/>
        </w:rPr>
        <w:t>202</w:t>
      </w:r>
      <w:r>
        <w:rPr>
          <w:lang w:eastAsia="zh-CN"/>
        </w:rPr>
        <w:t>7</w:t>
      </w:r>
      <w:r w:rsidRPr="00262D75">
        <w:rPr>
          <w:rFonts w:hint="eastAsia"/>
          <w:lang w:eastAsia="zh-CN"/>
        </w:rPr>
        <w:t>年的年度会费单位金额为</w:t>
      </w:r>
      <w:r w:rsidRPr="00262D75">
        <w:rPr>
          <w:lang w:eastAsia="zh-CN"/>
        </w:rPr>
        <w:t>318</w:t>
      </w:r>
      <w:r w:rsidR="003446A7">
        <w:rPr>
          <w:lang w:val="en-US" w:eastAsia="zh-CN"/>
        </w:rPr>
        <w:t> </w:t>
      </w:r>
      <w:r w:rsidRPr="00262D75">
        <w:rPr>
          <w:lang w:eastAsia="zh-CN"/>
        </w:rPr>
        <w:t>000</w:t>
      </w:r>
      <w:r w:rsidRPr="00262D75">
        <w:rPr>
          <w:rFonts w:hint="eastAsia"/>
          <w:lang w:eastAsia="zh-CN"/>
        </w:rPr>
        <w:t>瑞郎；</w:t>
      </w:r>
    </w:p>
    <w:p w14:paraId="33C1FE11" w14:textId="5B591BD8" w:rsidR="00F86214" w:rsidRPr="00262D75" w:rsidRDefault="00F86214" w:rsidP="00F86214">
      <w:pPr>
        <w:rPr>
          <w:lang w:eastAsia="zh-CN"/>
        </w:rPr>
      </w:pPr>
      <w:r w:rsidRPr="00262D75">
        <w:rPr>
          <w:lang w:eastAsia="zh-CN"/>
        </w:rPr>
        <w:t>2</w:t>
      </w:r>
      <w:r w:rsidRPr="00262D75">
        <w:rPr>
          <w:lang w:eastAsia="zh-CN"/>
        </w:rPr>
        <w:tab/>
      </w:r>
      <w:r w:rsidRPr="00262D75">
        <w:rPr>
          <w:lang w:eastAsia="zh-CN"/>
        </w:rPr>
        <w:t>根据国际电信联盟《公约》第</w:t>
      </w:r>
      <w:r w:rsidRPr="00262D75">
        <w:rPr>
          <w:lang w:eastAsia="zh-CN"/>
        </w:rPr>
        <w:t>480</w:t>
      </w:r>
      <w:r w:rsidRPr="00262D75">
        <w:rPr>
          <w:lang w:eastAsia="zh-CN"/>
        </w:rPr>
        <w:t>款，</w:t>
      </w:r>
      <w:r w:rsidRPr="00262D75">
        <w:rPr>
          <w:rFonts w:hint="eastAsia"/>
          <w:lang w:eastAsia="zh-CN"/>
        </w:rPr>
        <w:t>将</w:t>
      </w:r>
      <w:r w:rsidRPr="00262D75">
        <w:rPr>
          <w:lang w:eastAsia="zh-CN"/>
        </w:rPr>
        <w:t>部门成员在</w:t>
      </w:r>
      <w:r w:rsidRPr="00262D75">
        <w:rPr>
          <w:lang w:eastAsia="zh-CN"/>
        </w:rPr>
        <w:t>202</w:t>
      </w:r>
      <w:r>
        <w:rPr>
          <w:lang w:eastAsia="zh-CN"/>
        </w:rPr>
        <w:t>6</w:t>
      </w:r>
      <w:r w:rsidRPr="00262D75">
        <w:rPr>
          <w:lang w:eastAsia="zh-CN"/>
        </w:rPr>
        <w:t>和</w:t>
      </w:r>
      <w:r w:rsidRPr="00262D75">
        <w:rPr>
          <w:lang w:eastAsia="zh-CN"/>
        </w:rPr>
        <w:t>202</w:t>
      </w:r>
      <w:r>
        <w:rPr>
          <w:lang w:eastAsia="zh-CN"/>
        </w:rPr>
        <w:t>7</w:t>
      </w:r>
      <w:r w:rsidRPr="00262D75">
        <w:rPr>
          <w:lang w:eastAsia="zh-CN"/>
        </w:rPr>
        <w:t>年摊付无线电通信部门（</w:t>
      </w:r>
      <w:r w:rsidRPr="00262D75">
        <w:rPr>
          <w:lang w:eastAsia="zh-CN"/>
        </w:rPr>
        <w:t>ITU-R</w:t>
      </w:r>
      <w:r w:rsidRPr="00262D75">
        <w:rPr>
          <w:lang w:eastAsia="zh-CN"/>
        </w:rPr>
        <w:t>）、电信标准化部门（</w:t>
      </w:r>
      <w:r w:rsidRPr="00262D75">
        <w:rPr>
          <w:lang w:eastAsia="zh-CN"/>
        </w:rPr>
        <w:t>ITU-T</w:t>
      </w:r>
      <w:r w:rsidRPr="00262D75">
        <w:rPr>
          <w:lang w:eastAsia="zh-CN"/>
        </w:rPr>
        <w:t>）和电信发展部门（</w:t>
      </w:r>
      <w:r w:rsidRPr="00262D75">
        <w:rPr>
          <w:lang w:eastAsia="zh-CN"/>
        </w:rPr>
        <w:t>ITU-D</w:t>
      </w:r>
      <w:r w:rsidRPr="00262D75">
        <w:rPr>
          <w:lang w:eastAsia="zh-CN"/>
        </w:rPr>
        <w:t>）会议</w:t>
      </w:r>
      <w:r w:rsidRPr="00262D75">
        <w:rPr>
          <w:rFonts w:hint="eastAsia"/>
          <w:lang w:eastAsia="zh-CN"/>
        </w:rPr>
        <w:t>支出</w:t>
      </w:r>
      <w:r w:rsidRPr="00262D75">
        <w:rPr>
          <w:lang w:eastAsia="zh-CN"/>
        </w:rPr>
        <w:t>的年度会费单位金额确定为</w:t>
      </w:r>
      <w:r w:rsidRPr="00262D75">
        <w:rPr>
          <w:lang w:eastAsia="zh-CN"/>
        </w:rPr>
        <w:t>63</w:t>
      </w:r>
      <w:r w:rsidR="003446A7">
        <w:rPr>
          <w:lang w:val="en-US" w:eastAsia="zh-CN"/>
        </w:rPr>
        <w:t> </w:t>
      </w:r>
      <w:r w:rsidRPr="00262D75">
        <w:rPr>
          <w:lang w:eastAsia="zh-CN"/>
        </w:rPr>
        <w:t>600</w:t>
      </w:r>
      <w:r w:rsidRPr="00262D75">
        <w:rPr>
          <w:lang w:eastAsia="zh-CN"/>
        </w:rPr>
        <w:t>瑞郎；</w:t>
      </w:r>
    </w:p>
    <w:p w14:paraId="343C9BAE" w14:textId="77777777" w:rsidR="00F86214" w:rsidRPr="00262D75" w:rsidRDefault="00F86214" w:rsidP="00F86214">
      <w:pPr>
        <w:keepNext/>
        <w:keepLines/>
        <w:overflowPunct/>
        <w:autoSpaceDE/>
        <w:autoSpaceDN/>
        <w:adjustRightInd/>
        <w:snapToGrid w:val="0"/>
        <w:textAlignment w:val="auto"/>
        <w:rPr>
          <w:lang w:eastAsia="zh-CN"/>
        </w:rPr>
      </w:pPr>
      <w:r w:rsidRPr="00262D75">
        <w:rPr>
          <w:lang w:eastAsia="zh-CN"/>
        </w:rPr>
        <w:t>3</w:t>
      </w:r>
      <w:r w:rsidRPr="00262D75">
        <w:rPr>
          <w:lang w:eastAsia="zh-CN"/>
        </w:rPr>
        <w:tab/>
      </w:r>
      <w:r w:rsidRPr="00262D75">
        <w:rPr>
          <w:rFonts w:hint="eastAsia"/>
          <w:lang w:eastAsia="zh-CN"/>
        </w:rPr>
        <w:t>将</w:t>
      </w:r>
      <w:r w:rsidRPr="00262D75">
        <w:rPr>
          <w:lang w:eastAsia="zh-CN"/>
        </w:rPr>
        <w:t>部门准成员</w:t>
      </w:r>
      <w:r w:rsidRPr="00262D75">
        <w:rPr>
          <w:rFonts w:hint="eastAsia"/>
          <w:lang w:eastAsia="zh-CN"/>
        </w:rPr>
        <w:t>缴</w:t>
      </w:r>
      <w:r w:rsidRPr="00262D75">
        <w:rPr>
          <w:lang w:eastAsia="zh-CN"/>
        </w:rPr>
        <w:t>纳的会费确定如下：</w:t>
      </w:r>
    </w:p>
    <w:p w14:paraId="142D4352" w14:textId="588A2A0F" w:rsidR="00F86214" w:rsidRPr="00262D75" w:rsidRDefault="00F86214" w:rsidP="00F86214">
      <w:pPr>
        <w:pStyle w:val="enumlev1"/>
        <w:rPr>
          <w:lang w:eastAsia="zh-CN"/>
        </w:rPr>
      </w:pPr>
      <w:r w:rsidRPr="00262D75">
        <w:rPr>
          <w:rFonts w:cs="Calibri"/>
          <w:lang w:eastAsia="zh-CN"/>
        </w:rPr>
        <w:t>a)</w:t>
      </w:r>
      <w:r w:rsidRPr="00262D75">
        <w:rPr>
          <w:rFonts w:cs="Calibri"/>
          <w:lang w:eastAsia="zh-CN"/>
        </w:rPr>
        <w:tab/>
      </w:r>
      <w:r w:rsidRPr="00262D75">
        <w:rPr>
          <w:lang w:eastAsia="zh-CN"/>
        </w:rPr>
        <w:t>参加</w:t>
      </w:r>
      <w:r w:rsidRPr="00262D75">
        <w:rPr>
          <w:lang w:eastAsia="zh-CN"/>
        </w:rPr>
        <w:t>ITU-T</w:t>
      </w:r>
      <w:r w:rsidRPr="00262D75">
        <w:rPr>
          <w:lang w:eastAsia="zh-CN"/>
        </w:rPr>
        <w:t>和</w:t>
      </w:r>
      <w:r w:rsidRPr="00262D75">
        <w:rPr>
          <w:lang w:eastAsia="zh-CN"/>
        </w:rPr>
        <w:t>ITU-R</w:t>
      </w:r>
      <w:r w:rsidRPr="00262D75">
        <w:rPr>
          <w:lang w:eastAsia="zh-CN"/>
        </w:rPr>
        <w:t>工作的部门准成员</w:t>
      </w:r>
      <w:r w:rsidRPr="00262D75">
        <w:rPr>
          <w:rFonts w:hint="eastAsia"/>
          <w:lang w:eastAsia="zh-CN"/>
        </w:rPr>
        <w:t>为</w:t>
      </w:r>
      <w:r w:rsidRPr="00262D75">
        <w:rPr>
          <w:lang w:eastAsia="zh-CN"/>
        </w:rPr>
        <w:t>10</w:t>
      </w:r>
      <w:r w:rsidR="003446A7">
        <w:rPr>
          <w:lang w:eastAsia="zh-CN"/>
        </w:rPr>
        <w:t> </w:t>
      </w:r>
      <w:r w:rsidRPr="00262D75">
        <w:rPr>
          <w:lang w:eastAsia="zh-CN"/>
        </w:rPr>
        <w:t>600</w:t>
      </w:r>
      <w:r w:rsidRPr="00262D75">
        <w:rPr>
          <w:rFonts w:hint="eastAsia"/>
          <w:lang w:eastAsia="zh-CN"/>
        </w:rPr>
        <w:t>瑞郎；</w:t>
      </w:r>
    </w:p>
    <w:p w14:paraId="277C63DA" w14:textId="0A3CA6BF" w:rsidR="00F86214" w:rsidRPr="00262D75" w:rsidRDefault="00F86214" w:rsidP="00F86214">
      <w:pPr>
        <w:pStyle w:val="enumlev1"/>
        <w:rPr>
          <w:lang w:eastAsia="zh-CN"/>
        </w:rPr>
      </w:pPr>
      <w:r w:rsidRPr="00262D75">
        <w:rPr>
          <w:lang w:eastAsia="zh-CN"/>
        </w:rPr>
        <w:t>b)</w:t>
      </w:r>
      <w:r w:rsidRPr="00262D75">
        <w:rPr>
          <w:lang w:eastAsia="zh-CN"/>
        </w:rPr>
        <w:tab/>
      </w:r>
      <w:r w:rsidRPr="00262D75">
        <w:rPr>
          <w:lang w:eastAsia="zh-CN"/>
        </w:rPr>
        <w:t>参加</w:t>
      </w:r>
      <w:r w:rsidRPr="00262D75">
        <w:rPr>
          <w:lang w:eastAsia="zh-CN"/>
        </w:rPr>
        <w:t>ITU-D</w:t>
      </w:r>
      <w:r w:rsidRPr="00262D75">
        <w:rPr>
          <w:lang w:eastAsia="zh-CN"/>
        </w:rPr>
        <w:t>工作的部门准成员</w:t>
      </w:r>
      <w:r w:rsidRPr="00262D75">
        <w:rPr>
          <w:rFonts w:hint="eastAsia"/>
          <w:lang w:eastAsia="zh-CN"/>
        </w:rPr>
        <w:t>为</w:t>
      </w:r>
      <w:r w:rsidRPr="00262D75">
        <w:rPr>
          <w:lang w:eastAsia="zh-CN"/>
        </w:rPr>
        <w:t>3</w:t>
      </w:r>
      <w:r w:rsidR="003446A7">
        <w:rPr>
          <w:lang w:eastAsia="zh-CN"/>
        </w:rPr>
        <w:t> </w:t>
      </w:r>
      <w:r w:rsidRPr="00262D75">
        <w:rPr>
          <w:lang w:eastAsia="zh-CN"/>
        </w:rPr>
        <w:t>975</w:t>
      </w:r>
      <w:r w:rsidRPr="00262D75">
        <w:rPr>
          <w:rFonts w:hint="eastAsia"/>
          <w:lang w:eastAsia="zh-CN"/>
        </w:rPr>
        <w:t>瑞郎；</w:t>
      </w:r>
    </w:p>
    <w:p w14:paraId="6A0F6B79" w14:textId="45AB8E68" w:rsidR="00F86214" w:rsidRPr="00262D75" w:rsidRDefault="00F86214" w:rsidP="00F86214">
      <w:pPr>
        <w:pStyle w:val="enumlev1"/>
        <w:rPr>
          <w:lang w:eastAsia="zh-CN"/>
        </w:rPr>
      </w:pPr>
      <w:r w:rsidRPr="00262D75">
        <w:rPr>
          <w:lang w:eastAsia="zh-CN"/>
        </w:rPr>
        <w:lastRenderedPageBreak/>
        <w:t>c)</w:t>
      </w:r>
      <w:r w:rsidRPr="00262D75">
        <w:rPr>
          <w:lang w:eastAsia="zh-CN"/>
        </w:rPr>
        <w:tab/>
      </w:r>
      <w:r w:rsidRPr="00262D75">
        <w:rPr>
          <w:lang w:eastAsia="zh-CN"/>
        </w:rPr>
        <w:t>参加</w:t>
      </w:r>
      <w:r w:rsidRPr="00262D75">
        <w:rPr>
          <w:lang w:eastAsia="zh-CN"/>
        </w:rPr>
        <w:t>ITU-D</w:t>
      </w:r>
      <w:r w:rsidRPr="00262D75">
        <w:rPr>
          <w:lang w:eastAsia="zh-CN"/>
        </w:rPr>
        <w:t>工作的来自发展中国家的部门准成员</w:t>
      </w:r>
      <w:r w:rsidRPr="00262D75">
        <w:rPr>
          <w:rFonts w:hint="eastAsia"/>
          <w:lang w:eastAsia="zh-CN"/>
        </w:rPr>
        <w:t>为</w:t>
      </w:r>
      <w:r w:rsidRPr="00262D75">
        <w:rPr>
          <w:lang w:eastAsia="zh-CN"/>
        </w:rPr>
        <w:t>1</w:t>
      </w:r>
      <w:r w:rsidR="003446A7">
        <w:rPr>
          <w:lang w:eastAsia="zh-CN"/>
        </w:rPr>
        <w:t> </w:t>
      </w:r>
      <w:r w:rsidRPr="00262D75">
        <w:rPr>
          <w:lang w:eastAsia="zh-CN"/>
        </w:rPr>
        <w:t>987.50</w:t>
      </w:r>
      <w:r w:rsidRPr="00262D75">
        <w:rPr>
          <w:rFonts w:hint="eastAsia"/>
          <w:lang w:eastAsia="zh-CN"/>
        </w:rPr>
        <w:t>瑞郎；</w:t>
      </w:r>
    </w:p>
    <w:p w14:paraId="6C9AF385" w14:textId="74E111A9" w:rsidR="00F86214" w:rsidRPr="00262D75" w:rsidRDefault="00F86214" w:rsidP="008202EA">
      <w:pPr>
        <w:keepNext/>
        <w:keepLines/>
        <w:rPr>
          <w:lang w:eastAsia="zh-CN"/>
        </w:rPr>
      </w:pPr>
      <w:r w:rsidRPr="00262D75">
        <w:rPr>
          <w:lang w:eastAsia="zh-CN"/>
        </w:rPr>
        <w:t>4</w:t>
      </w:r>
      <w:r w:rsidRPr="00262D75">
        <w:rPr>
          <w:lang w:eastAsia="zh-CN"/>
        </w:rPr>
        <w:tab/>
      </w:r>
      <w:r w:rsidRPr="00262D75">
        <w:rPr>
          <w:rFonts w:hint="eastAsia"/>
          <w:lang w:eastAsia="zh-CN"/>
        </w:rPr>
        <w:t>将</w:t>
      </w:r>
      <w:r>
        <w:rPr>
          <w:rFonts w:hint="eastAsia"/>
          <w:lang w:eastAsia="zh-CN"/>
        </w:rPr>
        <w:t>包括</w:t>
      </w:r>
      <w:r w:rsidRPr="00262D75">
        <w:rPr>
          <w:rFonts w:hint="eastAsia"/>
          <w:lang w:eastAsia="zh-CN"/>
        </w:rPr>
        <w:t>大学及其相关研究机构</w:t>
      </w:r>
      <w:r>
        <w:rPr>
          <w:rFonts w:hint="eastAsia"/>
          <w:lang w:eastAsia="zh-CN"/>
        </w:rPr>
        <w:t>在内的</w:t>
      </w:r>
      <w:r w:rsidRPr="00262D75">
        <w:rPr>
          <w:rFonts w:hint="eastAsia"/>
          <w:lang w:eastAsia="zh-CN"/>
        </w:rPr>
        <w:t>学术成员的年费确定为：</w:t>
      </w:r>
    </w:p>
    <w:p w14:paraId="0F7D2B1B" w14:textId="0DF1748E" w:rsidR="00F86214" w:rsidRPr="00262D75" w:rsidRDefault="00F86214" w:rsidP="00F86214">
      <w:pPr>
        <w:pStyle w:val="enumlev1"/>
        <w:rPr>
          <w:lang w:eastAsia="zh-CN"/>
        </w:rPr>
      </w:pPr>
      <w:r w:rsidRPr="00262D75">
        <w:rPr>
          <w:rFonts w:cs="Calibri"/>
          <w:lang w:eastAsia="zh-CN"/>
        </w:rPr>
        <w:t>a)</w:t>
      </w:r>
      <w:r w:rsidRPr="00262D75">
        <w:rPr>
          <w:rFonts w:cs="Calibri"/>
          <w:lang w:eastAsia="zh-CN"/>
        </w:rPr>
        <w:tab/>
      </w:r>
      <w:r w:rsidRPr="00262D75">
        <w:rPr>
          <w:rFonts w:hint="eastAsia"/>
          <w:lang w:eastAsia="zh-CN"/>
        </w:rPr>
        <w:t>参加三个部门工作的来自发达国家的学术成员为</w:t>
      </w:r>
      <w:r w:rsidRPr="00262D75">
        <w:rPr>
          <w:lang w:eastAsia="zh-CN"/>
        </w:rPr>
        <w:t>3</w:t>
      </w:r>
      <w:r w:rsidR="003446A7">
        <w:rPr>
          <w:lang w:eastAsia="zh-CN"/>
        </w:rPr>
        <w:t> </w:t>
      </w:r>
      <w:r w:rsidRPr="00262D75">
        <w:rPr>
          <w:lang w:eastAsia="zh-CN"/>
        </w:rPr>
        <w:t>975</w:t>
      </w:r>
      <w:r w:rsidRPr="00262D75">
        <w:rPr>
          <w:rFonts w:hint="eastAsia"/>
          <w:lang w:eastAsia="zh-CN"/>
        </w:rPr>
        <w:t>瑞郎；</w:t>
      </w:r>
    </w:p>
    <w:p w14:paraId="4FEB72F7" w14:textId="51142C39" w:rsidR="00F86214" w:rsidRPr="00262D75" w:rsidRDefault="00F86214" w:rsidP="00F86214">
      <w:pPr>
        <w:pStyle w:val="enumlev1"/>
        <w:rPr>
          <w:lang w:eastAsia="zh-CN"/>
        </w:rPr>
      </w:pPr>
      <w:r w:rsidRPr="00262D75">
        <w:rPr>
          <w:lang w:eastAsia="zh-CN"/>
        </w:rPr>
        <w:t>b)</w:t>
      </w:r>
      <w:r w:rsidRPr="00262D75">
        <w:rPr>
          <w:lang w:eastAsia="zh-CN"/>
        </w:rPr>
        <w:tab/>
      </w:r>
      <w:r w:rsidRPr="00262D75">
        <w:rPr>
          <w:rFonts w:hint="eastAsia"/>
          <w:lang w:eastAsia="zh-CN"/>
        </w:rPr>
        <w:t>参加三个部门工作的来自发展中国家的学术成员为</w:t>
      </w:r>
      <w:r w:rsidRPr="00262D75">
        <w:rPr>
          <w:lang w:eastAsia="zh-CN"/>
        </w:rPr>
        <w:t>1</w:t>
      </w:r>
      <w:r w:rsidR="003446A7">
        <w:rPr>
          <w:lang w:eastAsia="zh-CN"/>
        </w:rPr>
        <w:t> </w:t>
      </w:r>
      <w:r w:rsidRPr="00262D75">
        <w:rPr>
          <w:lang w:eastAsia="zh-CN"/>
        </w:rPr>
        <w:t>987.50</w:t>
      </w:r>
      <w:r w:rsidRPr="00262D75">
        <w:rPr>
          <w:rFonts w:hint="eastAsia"/>
          <w:lang w:eastAsia="zh-CN"/>
        </w:rPr>
        <w:t>瑞郎；</w:t>
      </w:r>
    </w:p>
    <w:p w14:paraId="16A64480" w14:textId="7E585039" w:rsidR="00F86214" w:rsidRPr="00262D75" w:rsidRDefault="00F86214" w:rsidP="00F86214">
      <w:pPr>
        <w:rPr>
          <w:lang w:eastAsia="zh-CN"/>
        </w:rPr>
      </w:pPr>
      <w:r w:rsidRPr="00262D75">
        <w:rPr>
          <w:lang w:eastAsia="zh-CN"/>
        </w:rPr>
        <w:t>5</w:t>
      </w:r>
      <w:r w:rsidRPr="00262D75">
        <w:rPr>
          <w:lang w:eastAsia="zh-CN"/>
        </w:rPr>
        <w:tab/>
      </w:r>
      <w:r w:rsidRPr="00262D75">
        <w:rPr>
          <w:lang w:eastAsia="zh-CN"/>
        </w:rPr>
        <w:t>授权秘书长，根据发生的变化</w:t>
      </w:r>
      <w:r w:rsidRPr="00262D75">
        <w:rPr>
          <w:rFonts w:hint="eastAsia"/>
          <w:lang w:eastAsia="zh-CN"/>
        </w:rPr>
        <w:t>，在执行</w:t>
      </w:r>
      <w:r w:rsidRPr="00262D75">
        <w:rPr>
          <w:lang w:eastAsia="zh-CN"/>
        </w:rPr>
        <w:t>202</w:t>
      </w:r>
      <w:r w:rsidR="008338C5">
        <w:rPr>
          <w:lang w:eastAsia="zh-CN"/>
        </w:rPr>
        <w:t>6</w:t>
      </w:r>
      <w:r w:rsidRPr="00262D75">
        <w:rPr>
          <w:lang w:eastAsia="zh-CN"/>
        </w:rPr>
        <w:t>-202</w:t>
      </w:r>
      <w:r w:rsidR="008338C5">
        <w:rPr>
          <w:lang w:eastAsia="zh-CN"/>
        </w:rPr>
        <w:t>7</w:t>
      </w:r>
      <w:r w:rsidRPr="00262D75">
        <w:rPr>
          <w:rFonts w:hint="eastAsia"/>
          <w:lang w:eastAsia="zh-CN"/>
        </w:rPr>
        <w:t>年预算期间</w:t>
      </w:r>
      <w:r w:rsidRPr="00262D75">
        <w:rPr>
          <w:lang w:eastAsia="zh-CN"/>
        </w:rPr>
        <w:t>通过使用储备金账目，</w:t>
      </w:r>
      <w:r w:rsidRPr="00262D75">
        <w:rPr>
          <w:rFonts w:hint="eastAsia"/>
          <w:lang w:eastAsia="zh-CN"/>
        </w:rPr>
        <w:t>调整</w:t>
      </w:r>
      <w:r w:rsidRPr="00262D75">
        <w:rPr>
          <w:lang w:eastAsia="zh-CN"/>
        </w:rPr>
        <w:t>对下述</w:t>
      </w:r>
      <w:r w:rsidRPr="00262D75">
        <w:rPr>
          <w:lang w:eastAsia="zh-CN"/>
        </w:rPr>
        <w:t>a</w:t>
      </w:r>
      <w:r w:rsidRPr="00262D75">
        <w:rPr>
          <w:rFonts w:hint="eastAsia"/>
          <w:lang w:eastAsia="zh-CN"/>
        </w:rPr>
        <w:t>)</w:t>
      </w:r>
      <w:r w:rsidRPr="00262D75">
        <w:rPr>
          <w:lang w:eastAsia="zh-CN"/>
        </w:rPr>
        <w:t>和</w:t>
      </w:r>
      <w:r w:rsidRPr="00262D75">
        <w:rPr>
          <w:lang w:eastAsia="zh-CN"/>
        </w:rPr>
        <w:t>b</w:t>
      </w:r>
      <w:r w:rsidRPr="00262D75">
        <w:rPr>
          <w:rFonts w:hint="eastAsia"/>
          <w:lang w:eastAsia="zh-CN"/>
        </w:rPr>
        <w:t>)</w:t>
      </w:r>
      <w:r w:rsidRPr="00262D75">
        <w:rPr>
          <w:lang w:eastAsia="zh-CN"/>
        </w:rPr>
        <w:t>项支出</w:t>
      </w:r>
      <w:r w:rsidRPr="00262D75">
        <w:rPr>
          <w:rFonts w:hint="eastAsia"/>
          <w:lang w:eastAsia="zh-CN"/>
        </w:rPr>
        <w:t>的</w:t>
      </w:r>
      <w:r w:rsidRPr="00262D75">
        <w:rPr>
          <w:lang w:eastAsia="zh-CN"/>
        </w:rPr>
        <w:t>拨款，</w:t>
      </w:r>
      <w:r w:rsidRPr="00262D75">
        <w:rPr>
          <w:rFonts w:hint="eastAsia"/>
          <w:lang w:eastAsia="zh-CN"/>
        </w:rPr>
        <w:t>并且前提是</w:t>
      </w:r>
      <w:r w:rsidRPr="00262D75">
        <w:rPr>
          <w:lang w:eastAsia="zh-CN"/>
        </w:rPr>
        <w:t>储备金账目保持在第</w:t>
      </w:r>
      <w:r w:rsidRPr="00262D75">
        <w:rPr>
          <w:lang w:eastAsia="zh-CN"/>
        </w:rPr>
        <w:t>5</w:t>
      </w:r>
      <w:r w:rsidRPr="00262D75">
        <w:rPr>
          <w:lang w:eastAsia="zh-CN"/>
        </w:rPr>
        <w:t>号决定（</w:t>
      </w:r>
      <w:r w:rsidRPr="00262D75">
        <w:rPr>
          <w:rFonts w:hint="eastAsia"/>
          <w:lang w:eastAsia="zh-CN"/>
        </w:rPr>
        <w:t>2022</w:t>
      </w:r>
      <w:r w:rsidRPr="00262D75">
        <w:rPr>
          <w:rFonts w:hint="eastAsia"/>
          <w:lang w:eastAsia="zh-CN"/>
        </w:rPr>
        <w:t>年，布加勒斯特，修订版</w:t>
      </w:r>
      <w:r w:rsidRPr="00262D75">
        <w:rPr>
          <w:lang w:eastAsia="zh-CN"/>
        </w:rPr>
        <w:t>）</w:t>
      </w:r>
      <w:r w:rsidRPr="00262D75">
        <w:rPr>
          <w:rFonts w:hint="eastAsia"/>
          <w:lang w:eastAsia="zh-CN"/>
        </w:rPr>
        <w:t>规定</w:t>
      </w:r>
      <w:r w:rsidRPr="00262D75">
        <w:rPr>
          <w:lang w:eastAsia="zh-CN"/>
        </w:rPr>
        <w:t>的水平</w:t>
      </w:r>
      <w:r w:rsidRPr="00262D75">
        <w:rPr>
          <w:rFonts w:hint="eastAsia"/>
          <w:lang w:eastAsia="zh-CN"/>
        </w:rPr>
        <w:t>上</w:t>
      </w:r>
      <w:r w:rsidRPr="00262D75">
        <w:rPr>
          <w:lang w:eastAsia="zh-CN"/>
        </w:rPr>
        <w:t>：</w:t>
      </w:r>
    </w:p>
    <w:p w14:paraId="039EA304" w14:textId="77777777" w:rsidR="00F86214" w:rsidRPr="00262D75" w:rsidRDefault="00F86214" w:rsidP="00F86214">
      <w:pPr>
        <w:pStyle w:val="enumlev1"/>
        <w:rPr>
          <w:lang w:eastAsia="zh-CN"/>
        </w:rPr>
      </w:pPr>
      <w:r w:rsidRPr="00262D75">
        <w:rPr>
          <w:rFonts w:cs="Calibri"/>
          <w:lang w:eastAsia="zh-CN"/>
        </w:rPr>
        <w:t>a)</w:t>
      </w:r>
      <w:r w:rsidRPr="00262D75">
        <w:rPr>
          <w:rFonts w:cs="Calibri"/>
          <w:lang w:eastAsia="zh-CN"/>
        </w:rPr>
        <w:tab/>
      </w:r>
      <w:r w:rsidRPr="00262D75">
        <w:rPr>
          <w:rFonts w:hint="eastAsia"/>
          <w:lang w:eastAsia="zh-CN"/>
        </w:rPr>
        <w:t>提高对</w:t>
      </w:r>
      <w:r w:rsidRPr="00262D75">
        <w:rPr>
          <w:lang w:eastAsia="zh-CN"/>
        </w:rPr>
        <w:t>薪金表</w:t>
      </w:r>
      <w:r w:rsidRPr="00262D75">
        <w:rPr>
          <w:rFonts w:hint="eastAsia"/>
          <w:lang w:eastAsia="zh-CN"/>
        </w:rPr>
        <w:t>、</w:t>
      </w:r>
      <w:r w:rsidRPr="00262D75">
        <w:rPr>
          <w:lang w:eastAsia="zh-CN"/>
        </w:rPr>
        <w:t>养恤金的</w:t>
      </w:r>
      <w:r w:rsidRPr="00262D75">
        <w:rPr>
          <w:rFonts w:hint="eastAsia"/>
          <w:lang w:eastAsia="zh-CN"/>
        </w:rPr>
        <w:t>缴</w:t>
      </w:r>
      <w:r w:rsidRPr="00262D75">
        <w:rPr>
          <w:lang w:eastAsia="zh-CN"/>
        </w:rPr>
        <w:t>款部分和津贴</w:t>
      </w:r>
      <w:r w:rsidRPr="00262D75">
        <w:rPr>
          <w:rFonts w:hint="eastAsia"/>
          <w:lang w:eastAsia="zh-CN"/>
        </w:rPr>
        <w:t>的拨款</w:t>
      </w:r>
      <w:r w:rsidRPr="00262D75">
        <w:rPr>
          <w:lang w:eastAsia="zh-CN"/>
        </w:rPr>
        <w:t>，其中包括联合国共同</w:t>
      </w:r>
      <w:r w:rsidRPr="00262D75">
        <w:rPr>
          <w:rFonts w:hint="eastAsia"/>
          <w:lang w:eastAsia="zh-CN"/>
        </w:rPr>
        <w:t>制度</w:t>
      </w:r>
      <w:r w:rsidRPr="00262D75">
        <w:rPr>
          <w:lang w:eastAsia="zh-CN"/>
        </w:rPr>
        <w:t>通过的、适用于日内瓦地区的任职地点补贴调整数</w:t>
      </w:r>
      <w:r w:rsidRPr="00262D75">
        <w:rPr>
          <w:rFonts w:hint="eastAsia"/>
          <w:lang w:eastAsia="zh-CN"/>
        </w:rPr>
        <w:t>；</w:t>
      </w:r>
    </w:p>
    <w:p w14:paraId="77E092FD" w14:textId="77777777" w:rsidR="00F86214" w:rsidRPr="00262D75" w:rsidRDefault="00F86214" w:rsidP="00F86214">
      <w:pPr>
        <w:pStyle w:val="enumlev1"/>
        <w:rPr>
          <w:lang w:eastAsia="zh-CN"/>
        </w:rPr>
      </w:pPr>
      <w:r w:rsidRPr="00262D75">
        <w:rPr>
          <w:lang w:eastAsia="zh-CN"/>
        </w:rPr>
        <w:t>b)</w:t>
      </w:r>
      <w:r w:rsidRPr="00262D75">
        <w:rPr>
          <w:lang w:eastAsia="zh-CN"/>
        </w:rPr>
        <w:tab/>
      </w:r>
      <w:r w:rsidRPr="00262D75">
        <w:rPr>
          <w:rFonts w:hint="eastAsia"/>
          <w:lang w:eastAsia="zh-CN"/>
        </w:rPr>
        <w:t>当</w:t>
      </w:r>
      <w:r w:rsidRPr="00262D75">
        <w:rPr>
          <w:lang w:eastAsia="zh-CN"/>
        </w:rPr>
        <w:t>美元和瑞郎的兑换率浮动</w:t>
      </w:r>
      <w:r w:rsidRPr="00262D75">
        <w:rPr>
          <w:rFonts w:hint="eastAsia"/>
          <w:lang w:eastAsia="zh-CN"/>
        </w:rPr>
        <w:t>影响到</w:t>
      </w:r>
      <w:r w:rsidRPr="00262D75">
        <w:rPr>
          <w:lang w:eastAsia="zh-CN"/>
        </w:rPr>
        <w:t>联合国薪金表上职员相关人员费用</w:t>
      </w:r>
      <w:r w:rsidRPr="00262D75">
        <w:rPr>
          <w:rFonts w:hint="eastAsia"/>
          <w:lang w:eastAsia="zh-CN"/>
        </w:rPr>
        <w:t>时，调整拨款。</w:t>
      </w:r>
    </w:p>
    <w:p w14:paraId="7D73D923" w14:textId="77777777" w:rsidR="00F86214" w:rsidRPr="00262D75" w:rsidRDefault="00F86214" w:rsidP="00F86214">
      <w:pPr>
        <w:rPr>
          <w:lang w:eastAsia="zh-CN"/>
        </w:rPr>
      </w:pPr>
      <w:r w:rsidRPr="00262D75">
        <w:rPr>
          <w:lang w:eastAsia="zh-CN"/>
        </w:rPr>
        <w:t>6</w:t>
      </w:r>
      <w:r w:rsidRPr="00262D75">
        <w:rPr>
          <w:lang w:eastAsia="zh-CN"/>
        </w:rPr>
        <w:tab/>
      </w:r>
      <w:r w:rsidRPr="00262D75">
        <w:rPr>
          <w:rFonts w:hint="eastAsia"/>
          <w:lang w:eastAsia="zh-CN"/>
        </w:rPr>
        <w:t>责成秘书长每年向理事会提交一份全面报告，</w:t>
      </w:r>
      <w:r w:rsidRPr="00262D75">
        <w:rPr>
          <w:rFonts w:hint="eastAsia"/>
          <w:lang w:val="en-US" w:eastAsia="zh-CN"/>
        </w:rPr>
        <w:t>内容</w:t>
      </w:r>
      <w:r w:rsidRPr="00262D75">
        <w:rPr>
          <w:rFonts w:hint="eastAsia"/>
          <w:lang w:eastAsia="zh-CN"/>
        </w:rPr>
        <w:t>包括说明已采取行动理由的所有文件，以及一份有关上文</w:t>
      </w:r>
      <w:r w:rsidRPr="00262D75">
        <w:rPr>
          <w:rFonts w:eastAsia="STKaiti" w:hint="eastAsia"/>
          <w:lang w:eastAsia="zh-CN"/>
        </w:rPr>
        <w:t>进一步做出决议</w:t>
      </w:r>
      <w:r w:rsidRPr="00262D75">
        <w:rPr>
          <w:lang w:eastAsia="zh-CN"/>
        </w:rPr>
        <w:t>5)</w:t>
      </w:r>
      <w:r w:rsidRPr="00262D75">
        <w:rPr>
          <w:rFonts w:hint="eastAsia"/>
          <w:lang w:eastAsia="zh-CN"/>
        </w:rPr>
        <w:t>所造成财务影响的报表；</w:t>
      </w:r>
    </w:p>
    <w:p w14:paraId="605DFCD6" w14:textId="0118F51F" w:rsidR="00F86214" w:rsidRPr="00262D75" w:rsidRDefault="00F86214" w:rsidP="00F86214">
      <w:pPr>
        <w:rPr>
          <w:lang w:eastAsia="zh-CN"/>
        </w:rPr>
      </w:pPr>
      <w:r w:rsidRPr="00262D75">
        <w:rPr>
          <w:lang w:eastAsia="zh-CN"/>
        </w:rPr>
        <w:t>7</w:t>
      </w:r>
      <w:r w:rsidRPr="00262D75">
        <w:rPr>
          <w:lang w:eastAsia="zh-CN"/>
        </w:rPr>
        <w:tab/>
      </w:r>
      <w:r w:rsidRPr="00262D75">
        <w:rPr>
          <w:rFonts w:hint="eastAsia"/>
          <w:lang w:eastAsia="zh-CN"/>
        </w:rPr>
        <w:t>在</w:t>
      </w:r>
      <w:r w:rsidRPr="00262D75">
        <w:rPr>
          <w:rFonts w:asciiTheme="minorHAnsi" w:hAnsiTheme="minorHAnsi" w:cs="Calibri"/>
          <w:lang w:eastAsia="zh-CN"/>
        </w:rPr>
        <w:t>202</w:t>
      </w:r>
      <w:r w:rsidR="008338C5">
        <w:rPr>
          <w:rFonts w:asciiTheme="minorHAnsi" w:hAnsiTheme="minorHAnsi" w:cs="Calibri"/>
          <w:lang w:eastAsia="zh-CN"/>
        </w:rPr>
        <w:t>6</w:t>
      </w:r>
      <w:r w:rsidRPr="00262D75">
        <w:rPr>
          <w:rFonts w:asciiTheme="minorHAnsi" w:hAnsiTheme="minorHAnsi" w:cs="Calibri"/>
          <w:lang w:eastAsia="zh-CN"/>
        </w:rPr>
        <w:t>-202</w:t>
      </w:r>
      <w:r w:rsidR="008338C5">
        <w:rPr>
          <w:rFonts w:asciiTheme="minorHAnsi" w:hAnsiTheme="minorHAnsi" w:cs="Calibri"/>
          <w:lang w:eastAsia="zh-CN"/>
        </w:rPr>
        <w:t>7</w:t>
      </w:r>
      <w:r w:rsidRPr="00262D75">
        <w:rPr>
          <w:rFonts w:hint="eastAsia"/>
          <w:lang w:eastAsia="zh-CN"/>
        </w:rPr>
        <w:t>双年度，根据《财务规则和财务细则》</w:t>
      </w:r>
      <w:r w:rsidRPr="00262D75">
        <w:rPr>
          <w:rFonts w:eastAsia="STKaiti"/>
          <w:lang w:eastAsia="zh-CN"/>
        </w:rPr>
        <w:t>规则</w:t>
      </w:r>
      <w:r w:rsidRPr="00262D75">
        <w:rPr>
          <w:rFonts w:eastAsia="STKaiti"/>
          <w:lang w:eastAsia="zh-CN"/>
        </w:rPr>
        <w:t>6.1</w:t>
      </w:r>
      <w:r w:rsidRPr="00262D75">
        <w:rPr>
          <w:rFonts w:hint="eastAsia"/>
          <w:lang w:eastAsia="zh-CN"/>
        </w:rPr>
        <w:t>给予秘书长必要的灵活性，利用第</w:t>
      </w:r>
      <w:r w:rsidRPr="00262D75">
        <w:rPr>
          <w:rFonts w:hint="eastAsia"/>
          <w:lang w:eastAsia="zh-CN"/>
        </w:rPr>
        <w:t>3</w:t>
      </w:r>
      <w:r w:rsidRPr="00262D75">
        <w:rPr>
          <w:rFonts w:hint="eastAsia"/>
          <w:lang w:eastAsia="zh-CN"/>
        </w:rPr>
        <w:t>至第</w:t>
      </w:r>
      <w:r w:rsidRPr="00262D75">
        <w:rPr>
          <w:rFonts w:hint="eastAsia"/>
          <w:lang w:eastAsia="zh-CN"/>
        </w:rPr>
        <w:t>9</w:t>
      </w:r>
      <w:r w:rsidRPr="00262D75">
        <w:rPr>
          <w:rFonts w:hint="eastAsia"/>
          <w:lang w:eastAsia="zh-CN"/>
        </w:rPr>
        <w:t>类（非人员费用）节余补偿第</w:t>
      </w:r>
      <w:r w:rsidRPr="00262D75">
        <w:rPr>
          <w:rFonts w:hint="eastAsia"/>
          <w:lang w:eastAsia="zh-CN"/>
        </w:rPr>
        <w:t>1</w:t>
      </w:r>
      <w:r w:rsidRPr="00262D75">
        <w:rPr>
          <w:rFonts w:hint="eastAsia"/>
          <w:lang w:eastAsia="zh-CN"/>
        </w:rPr>
        <w:t>和第</w:t>
      </w:r>
      <w:r w:rsidRPr="00262D75">
        <w:rPr>
          <w:rFonts w:hint="eastAsia"/>
          <w:lang w:eastAsia="zh-CN"/>
        </w:rPr>
        <w:t>2</w:t>
      </w:r>
      <w:r w:rsidRPr="00262D75">
        <w:rPr>
          <w:rFonts w:hint="eastAsia"/>
          <w:lang w:eastAsia="zh-CN"/>
        </w:rPr>
        <w:t>类（人员费用）的超支，并在需要时进行必要的转账；</w:t>
      </w:r>
    </w:p>
    <w:p w14:paraId="10B997F4" w14:textId="47F96C81" w:rsidR="00F86214" w:rsidRPr="00262D75" w:rsidRDefault="00F86214" w:rsidP="00F86214">
      <w:pPr>
        <w:rPr>
          <w:lang w:eastAsia="zh-CN"/>
        </w:rPr>
      </w:pPr>
      <w:r w:rsidRPr="00262D75">
        <w:rPr>
          <w:lang w:eastAsia="zh-CN"/>
        </w:rPr>
        <w:t>8</w:t>
      </w:r>
      <w:r w:rsidRPr="00262D75">
        <w:rPr>
          <w:lang w:eastAsia="zh-CN"/>
        </w:rPr>
        <w:tab/>
      </w:r>
      <w:r w:rsidRPr="00262D75">
        <w:rPr>
          <w:rFonts w:hint="eastAsia"/>
          <w:lang w:eastAsia="zh-CN"/>
        </w:rPr>
        <w:t>授权在必要时使用收入节余平衡</w:t>
      </w:r>
      <w:r w:rsidRPr="00262D75">
        <w:rPr>
          <w:rFonts w:asciiTheme="minorHAnsi" w:hAnsiTheme="minorHAnsi" w:cs="Calibri"/>
          <w:lang w:eastAsia="zh-CN"/>
        </w:rPr>
        <w:t>202</w:t>
      </w:r>
      <w:r w:rsidR="008338C5">
        <w:rPr>
          <w:rFonts w:asciiTheme="minorHAnsi" w:hAnsiTheme="minorHAnsi" w:cs="Calibri"/>
          <w:lang w:eastAsia="zh-CN"/>
        </w:rPr>
        <w:t>6</w:t>
      </w:r>
      <w:r w:rsidRPr="00262D75">
        <w:rPr>
          <w:rFonts w:asciiTheme="minorHAnsi" w:hAnsiTheme="minorHAnsi" w:cs="Calibri"/>
          <w:lang w:eastAsia="zh-CN"/>
        </w:rPr>
        <w:t>-202</w:t>
      </w:r>
      <w:r w:rsidR="008338C5">
        <w:rPr>
          <w:rFonts w:asciiTheme="minorHAnsi" w:hAnsiTheme="minorHAnsi" w:cs="Calibri"/>
          <w:lang w:eastAsia="zh-CN"/>
        </w:rPr>
        <w:t>7</w:t>
      </w:r>
      <w:r w:rsidRPr="00262D75">
        <w:rPr>
          <w:rFonts w:hint="eastAsia"/>
          <w:lang w:eastAsia="zh-CN"/>
        </w:rPr>
        <w:t>年账目；</w:t>
      </w:r>
    </w:p>
    <w:p w14:paraId="3B0728EF" w14:textId="7AA9CF0C" w:rsidR="00F86214" w:rsidRPr="00262D75" w:rsidRDefault="00F86214" w:rsidP="00F86214">
      <w:pPr>
        <w:rPr>
          <w:lang w:eastAsia="zh-CN"/>
        </w:rPr>
      </w:pPr>
      <w:r w:rsidRPr="00262D75">
        <w:rPr>
          <w:lang w:eastAsia="zh-CN"/>
        </w:rPr>
        <w:t>9</w:t>
      </w:r>
      <w:r w:rsidRPr="00262D75">
        <w:rPr>
          <w:lang w:eastAsia="zh-CN"/>
        </w:rPr>
        <w:tab/>
      </w:r>
      <w:r w:rsidRPr="00262D75">
        <w:rPr>
          <w:rFonts w:cs="Calibri" w:hint="eastAsia"/>
          <w:szCs w:val="24"/>
          <w:lang w:eastAsia="zh-CN"/>
        </w:rPr>
        <w:t>责</w:t>
      </w:r>
      <w:r w:rsidRPr="00262D75">
        <w:rPr>
          <w:rFonts w:cs="Calibri"/>
          <w:szCs w:val="24"/>
          <w:lang w:eastAsia="zh-CN"/>
        </w:rPr>
        <w:t>成秘书长于</w:t>
      </w:r>
      <w:r w:rsidRPr="00262D75">
        <w:rPr>
          <w:rFonts w:cs="Calibri"/>
          <w:szCs w:val="24"/>
          <w:lang w:eastAsia="zh-CN"/>
        </w:rPr>
        <w:t>202</w:t>
      </w:r>
      <w:r w:rsidR="008338C5">
        <w:rPr>
          <w:rFonts w:cs="Calibri"/>
          <w:szCs w:val="24"/>
          <w:lang w:eastAsia="zh-CN"/>
        </w:rPr>
        <w:t>6</w:t>
      </w:r>
      <w:r w:rsidRPr="00262D75">
        <w:rPr>
          <w:rFonts w:cs="Calibri"/>
          <w:szCs w:val="24"/>
          <w:lang w:eastAsia="zh-CN"/>
        </w:rPr>
        <w:t>年</w:t>
      </w:r>
      <w:r w:rsidRPr="00262D75">
        <w:rPr>
          <w:rFonts w:cs="Calibri"/>
          <w:szCs w:val="24"/>
          <w:lang w:eastAsia="zh-CN"/>
        </w:rPr>
        <w:t>1</w:t>
      </w:r>
      <w:r w:rsidRPr="00262D75">
        <w:rPr>
          <w:rFonts w:cs="Calibri"/>
          <w:szCs w:val="24"/>
          <w:lang w:eastAsia="zh-CN"/>
        </w:rPr>
        <w:t>月从储备金账目转账</w:t>
      </w:r>
      <w:r w:rsidRPr="00262D75">
        <w:rPr>
          <w:rFonts w:cs="Calibri" w:hint="eastAsia"/>
          <w:szCs w:val="24"/>
          <w:lang w:val="en-US" w:eastAsia="zh-CN"/>
        </w:rPr>
        <w:t>1</w:t>
      </w:r>
      <w:r w:rsidR="003446A7">
        <w:rPr>
          <w:rFonts w:cs="Calibri"/>
          <w:szCs w:val="24"/>
          <w:lang w:val="en-US" w:eastAsia="zh-CN"/>
        </w:rPr>
        <w:t> </w:t>
      </w:r>
      <w:r w:rsidRPr="00262D75">
        <w:rPr>
          <w:rFonts w:cs="Calibri"/>
          <w:szCs w:val="24"/>
          <w:lang w:val="en-US" w:eastAsia="zh-CN"/>
        </w:rPr>
        <w:t>000</w:t>
      </w:r>
      <w:r w:rsidR="003446A7">
        <w:rPr>
          <w:rFonts w:cs="Calibri"/>
          <w:szCs w:val="24"/>
          <w:lang w:val="en-US" w:eastAsia="zh-CN"/>
        </w:rPr>
        <w:t> </w:t>
      </w:r>
      <w:r w:rsidRPr="00262D75">
        <w:rPr>
          <w:rFonts w:cs="Calibri"/>
          <w:szCs w:val="24"/>
          <w:lang w:val="en-US" w:eastAsia="zh-CN"/>
        </w:rPr>
        <w:t>000</w:t>
      </w:r>
      <w:r w:rsidRPr="00262D75">
        <w:rPr>
          <w:rFonts w:cs="Calibri"/>
          <w:szCs w:val="24"/>
          <w:lang w:val="en-US" w:eastAsia="zh-CN"/>
        </w:rPr>
        <w:t>瑞郎至</w:t>
      </w:r>
      <w:r w:rsidR="008338C5" w:rsidRPr="008338C5">
        <w:rPr>
          <w:rFonts w:cs="Calibri" w:hint="eastAsia"/>
          <w:szCs w:val="24"/>
          <w:lang w:val="en-US" w:eastAsia="zh-CN"/>
        </w:rPr>
        <w:t>离职后健康保险</w:t>
      </w:r>
      <w:r w:rsidR="008338C5">
        <w:rPr>
          <w:rFonts w:cs="Calibri" w:hint="eastAsia"/>
          <w:szCs w:val="24"/>
          <w:lang w:val="en-US" w:eastAsia="zh-CN"/>
        </w:rPr>
        <w:t>（</w:t>
      </w:r>
      <w:r w:rsidRPr="00262D75">
        <w:rPr>
          <w:rFonts w:cs="Calibri"/>
          <w:szCs w:val="24"/>
          <w:lang w:val="en-US" w:eastAsia="zh-CN"/>
        </w:rPr>
        <w:t>ASHI</w:t>
      </w:r>
      <w:r w:rsidR="008338C5">
        <w:rPr>
          <w:rFonts w:cs="Calibri" w:hint="eastAsia"/>
          <w:szCs w:val="24"/>
          <w:lang w:val="en-US" w:eastAsia="zh-CN"/>
        </w:rPr>
        <w:t>）</w:t>
      </w:r>
      <w:r w:rsidRPr="00262D75">
        <w:rPr>
          <w:rFonts w:cs="Calibri"/>
          <w:szCs w:val="24"/>
          <w:lang w:val="en-US" w:eastAsia="zh-CN"/>
        </w:rPr>
        <w:t>基</w:t>
      </w:r>
      <w:r w:rsidRPr="00262D75">
        <w:rPr>
          <w:rFonts w:cs="Calibri" w:hint="eastAsia"/>
          <w:szCs w:val="24"/>
          <w:lang w:val="en-US" w:eastAsia="zh-CN"/>
        </w:rPr>
        <w:t>金</w:t>
      </w:r>
      <w:r w:rsidRPr="00262D75">
        <w:rPr>
          <w:rFonts w:cs="Calibri"/>
          <w:szCs w:val="24"/>
          <w:lang w:val="en-US" w:eastAsia="zh-CN"/>
        </w:rPr>
        <w:t>，以解决无资金准备的长期负债问题。</w:t>
      </w:r>
    </w:p>
    <w:p w14:paraId="4C0A3C00" w14:textId="77777777" w:rsidR="0084288C" w:rsidRDefault="0084288C" w:rsidP="0084288C">
      <w:pPr>
        <w:keepNext/>
        <w:keepLines/>
        <w:spacing w:before="1440"/>
        <w:rPr>
          <w:lang w:eastAsia="zh-CN"/>
        </w:rPr>
      </w:pPr>
      <w:r w:rsidRPr="007A7D17">
        <w:rPr>
          <w:b/>
          <w:bCs/>
          <w:lang w:val="zh-CN" w:eastAsia="zh-CN"/>
        </w:rPr>
        <w:t>附件：</w:t>
      </w:r>
      <w:r>
        <w:rPr>
          <w:lang w:val="zh-CN" w:eastAsia="zh-CN"/>
        </w:rPr>
        <w:t>表</w:t>
      </w:r>
      <w:r>
        <w:rPr>
          <w:lang w:val="zh-CN" w:eastAsia="zh-CN"/>
        </w:rPr>
        <w:t>1</w:t>
      </w:r>
      <w:r>
        <w:rPr>
          <w:lang w:val="zh-CN" w:eastAsia="zh-CN"/>
        </w:rPr>
        <w:t>至</w:t>
      </w:r>
      <w:r>
        <w:rPr>
          <w:lang w:val="zh-CN" w:eastAsia="zh-CN"/>
        </w:rPr>
        <w:t>12</w:t>
      </w:r>
    </w:p>
    <w:p w14:paraId="3FACA6E3" w14:textId="77777777" w:rsidR="0084288C" w:rsidRDefault="0084288C" w:rsidP="0084288C">
      <w:pPr>
        <w:rPr>
          <w:lang w:eastAsia="zh-CN"/>
        </w:rPr>
        <w:sectPr w:rsidR="0084288C" w:rsidSect="00AD3606">
          <w:footerReference w:type="default" r:id="rId46"/>
          <w:headerReference w:type="first" r:id="rId47"/>
          <w:footerReference w:type="first" r:id="rId48"/>
          <w:pgSz w:w="11907" w:h="16834"/>
          <w:pgMar w:top="1418" w:right="1418" w:bottom="1418" w:left="1418" w:header="720" w:footer="720" w:gutter="0"/>
          <w:paperSrc w:first="286" w:other="286"/>
          <w:cols w:space="720"/>
          <w:titlePg/>
        </w:sectPr>
      </w:pPr>
    </w:p>
    <w:p w14:paraId="5D8B38F7" w14:textId="77777777" w:rsidR="0084288C" w:rsidRPr="00655E8C" w:rsidRDefault="0084288C" w:rsidP="0084288C">
      <w:pPr>
        <w:rPr>
          <w:lang w:eastAsia="zh-CN"/>
        </w:rPr>
      </w:pPr>
    </w:p>
    <w:p w14:paraId="249AA45E" w14:textId="586BF68B" w:rsidR="008338C5" w:rsidRDefault="008224DE"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24DE">
        <w:rPr>
          <w:noProof/>
        </w:rPr>
        <w:drawing>
          <wp:inline distT="0" distB="0" distL="0" distR="0" wp14:anchorId="5688A02F" wp14:editId="7A7AE9E5">
            <wp:extent cx="7200900" cy="2446020"/>
            <wp:effectExtent l="0" t="0" r="0" b="0"/>
            <wp:docPr id="744725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00900" cy="2446020"/>
                    </a:xfrm>
                    <a:prstGeom prst="rect">
                      <a:avLst/>
                    </a:prstGeom>
                    <a:noFill/>
                    <a:ln>
                      <a:noFill/>
                    </a:ln>
                  </pic:spPr>
                </pic:pic>
              </a:graphicData>
            </a:graphic>
          </wp:inline>
        </w:drawing>
      </w:r>
    </w:p>
    <w:p w14:paraId="3345A883" w14:textId="2CFE9B44" w:rsidR="008338C5" w:rsidRDefault="008338C5"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p>
    <w:p w14:paraId="687DD3A3" w14:textId="0039E9DA"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3E2CFB64" w14:textId="759F97ED" w:rsidR="0084288C" w:rsidRDefault="008224DE"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24DE">
        <w:rPr>
          <w:noProof/>
        </w:rPr>
        <w:lastRenderedPageBreak/>
        <w:drawing>
          <wp:inline distT="0" distB="0" distL="0" distR="0" wp14:anchorId="7C213197" wp14:editId="57190347">
            <wp:extent cx="6235700" cy="5760085"/>
            <wp:effectExtent l="0" t="0" r="0" b="0"/>
            <wp:docPr id="3113089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35700" cy="5760085"/>
                    </a:xfrm>
                    <a:prstGeom prst="rect">
                      <a:avLst/>
                    </a:prstGeom>
                    <a:noFill/>
                    <a:ln>
                      <a:noFill/>
                    </a:ln>
                  </pic:spPr>
                </pic:pic>
              </a:graphicData>
            </a:graphic>
          </wp:inline>
        </w:drawing>
      </w:r>
    </w:p>
    <w:p w14:paraId="5EB509BC" w14:textId="7FBA0871" w:rsidR="0084288C"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4B8C25C0" wp14:editId="791397F8">
            <wp:extent cx="7240905" cy="5760085"/>
            <wp:effectExtent l="0" t="0" r="0" b="0"/>
            <wp:docPr id="441232505"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240905" cy="5760085"/>
                    </a:xfrm>
                    <a:prstGeom prst="rect">
                      <a:avLst/>
                    </a:prstGeom>
                    <a:noFill/>
                    <a:ln>
                      <a:noFill/>
                    </a:ln>
                  </pic:spPr>
                </pic:pic>
              </a:graphicData>
            </a:graphic>
          </wp:inline>
        </w:drawing>
      </w:r>
      <w:r w:rsidR="0084288C">
        <w:rPr>
          <w:rFonts w:asciiTheme="minorHAnsi" w:hAnsiTheme="minorHAnsi" w:cstheme="minorHAnsi"/>
          <w:lang w:eastAsia="zh-CN"/>
        </w:rPr>
        <w:br w:type="page"/>
      </w:r>
    </w:p>
    <w:p w14:paraId="66F19AB6" w14:textId="1C049A49" w:rsidR="00EB0C2E" w:rsidRDefault="008202EA"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sidRPr="008202EA">
        <w:rPr>
          <w:noProof/>
        </w:rPr>
        <w:lastRenderedPageBreak/>
        <w:drawing>
          <wp:inline distT="0" distB="0" distL="0" distR="0" wp14:anchorId="6A17ADF5" wp14:editId="59C5839A">
            <wp:extent cx="8888730" cy="3833495"/>
            <wp:effectExtent l="0" t="0" r="7620" b="0"/>
            <wp:docPr id="205294797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88730" cy="3833495"/>
                    </a:xfrm>
                    <a:prstGeom prst="rect">
                      <a:avLst/>
                    </a:prstGeom>
                    <a:noFill/>
                    <a:ln>
                      <a:noFill/>
                    </a:ln>
                  </pic:spPr>
                </pic:pic>
              </a:graphicData>
            </a:graphic>
          </wp:inline>
        </w:drawing>
      </w:r>
    </w:p>
    <w:p w14:paraId="4FA295F7" w14:textId="239495C3"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p>
    <w:p w14:paraId="2955431C"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6651E105" w14:textId="5F1FCB81" w:rsidR="004246E6"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58A64240" wp14:editId="72B55D96">
            <wp:extent cx="8888730" cy="3910965"/>
            <wp:effectExtent l="0" t="0" r="7620" b="0"/>
            <wp:docPr id="21972194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88730" cy="3910965"/>
                    </a:xfrm>
                    <a:prstGeom prst="rect">
                      <a:avLst/>
                    </a:prstGeom>
                    <a:noFill/>
                    <a:ln>
                      <a:noFill/>
                    </a:ln>
                  </pic:spPr>
                </pic:pic>
              </a:graphicData>
            </a:graphic>
          </wp:inline>
        </w:drawing>
      </w:r>
    </w:p>
    <w:p w14:paraId="569E133E"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09550E23" w14:textId="27A95CA3" w:rsidR="0084288C"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13206549" wp14:editId="67094355">
            <wp:extent cx="8888730" cy="3905250"/>
            <wp:effectExtent l="0" t="0" r="7620" b="0"/>
            <wp:docPr id="83082514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88730" cy="3905250"/>
                    </a:xfrm>
                    <a:prstGeom prst="rect">
                      <a:avLst/>
                    </a:prstGeom>
                    <a:noFill/>
                    <a:ln>
                      <a:noFill/>
                    </a:ln>
                  </pic:spPr>
                </pic:pic>
              </a:graphicData>
            </a:graphic>
          </wp:inline>
        </w:drawing>
      </w:r>
    </w:p>
    <w:p w14:paraId="4F2532F5" w14:textId="2D336028" w:rsidR="004246E6" w:rsidRDefault="004246E6"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p>
    <w:p w14:paraId="1F0C1BAD"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2E8E6FD9" w14:textId="36449BF8" w:rsidR="0084288C"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05B2EBFE" wp14:editId="4A2CDDC5">
            <wp:extent cx="8297545" cy="5097145"/>
            <wp:effectExtent l="0" t="0" r="8255" b="8255"/>
            <wp:docPr id="18370882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97545" cy="5097145"/>
                    </a:xfrm>
                    <a:prstGeom prst="rect">
                      <a:avLst/>
                    </a:prstGeom>
                    <a:noFill/>
                    <a:ln>
                      <a:noFill/>
                    </a:ln>
                  </pic:spPr>
                </pic:pic>
              </a:graphicData>
            </a:graphic>
          </wp:inline>
        </w:drawing>
      </w:r>
    </w:p>
    <w:p w14:paraId="2965B3EC"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14AD8ED8" w14:textId="20BBBE0C" w:rsidR="004246E6"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526280F3" wp14:editId="2AFB75EA">
            <wp:extent cx="8888730" cy="4154805"/>
            <wp:effectExtent l="0" t="0" r="7620" b="0"/>
            <wp:docPr id="204216151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888730" cy="4154805"/>
                    </a:xfrm>
                    <a:prstGeom prst="rect">
                      <a:avLst/>
                    </a:prstGeom>
                    <a:noFill/>
                    <a:ln>
                      <a:noFill/>
                    </a:ln>
                  </pic:spPr>
                </pic:pic>
              </a:graphicData>
            </a:graphic>
          </wp:inline>
        </w:drawing>
      </w:r>
    </w:p>
    <w:p w14:paraId="426D71A4"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7BAD7A0A" w14:textId="355A6EAD" w:rsidR="0084288C"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22CF7754" wp14:editId="0B1A4BCC">
            <wp:extent cx="8888730" cy="4032885"/>
            <wp:effectExtent l="0" t="0" r="7620" b="5715"/>
            <wp:docPr id="175455435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88730" cy="4032885"/>
                    </a:xfrm>
                    <a:prstGeom prst="rect">
                      <a:avLst/>
                    </a:prstGeom>
                    <a:noFill/>
                    <a:ln>
                      <a:noFill/>
                    </a:ln>
                  </pic:spPr>
                </pic:pic>
              </a:graphicData>
            </a:graphic>
          </wp:inline>
        </w:drawing>
      </w:r>
    </w:p>
    <w:p w14:paraId="492FCD30"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49DF9882" w14:textId="5F0DC950" w:rsidR="0084288C"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7BDB24DC" wp14:editId="77C021F0">
            <wp:extent cx="8888730" cy="4149725"/>
            <wp:effectExtent l="0" t="0" r="7620" b="3175"/>
            <wp:docPr id="124761004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88730" cy="4149725"/>
                    </a:xfrm>
                    <a:prstGeom prst="rect">
                      <a:avLst/>
                    </a:prstGeom>
                    <a:noFill/>
                    <a:ln>
                      <a:noFill/>
                    </a:ln>
                  </pic:spPr>
                </pic:pic>
              </a:graphicData>
            </a:graphic>
          </wp:inline>
        </w:drawing>
      </w:r>
    </w:p>
    <w:p w14:paraId="21EA868D"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3D388219" w14:textId="3E0FD3E3" w:rsidR="0084288C"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2E115935" wp14:editId="4435A477">
            <wp:extent cx="8888730" cy="4176395"/>
            <wp:effectExtent l="0" t="0" r="7620" b="0"/>
            <wp:docPr id="152704686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88730" cy="4176395"/>
                    </a:xfrm>
                    <a:prstGeom prst="rect">
                      <a:avLst/>
                    </a:prstGeom>
                    <a:noFill/>
                    <a:ln>
                      <a:noFill/>
                    </a:ln>
                  </pic:spPr>
                </pic:pic>
              </a:graphicData>
            </a:graphic>
          </wp:inline>
        </w:drawing>
      </w:r>
    </w:p>
    <w:p w14:paraId="3BE3DFBC"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300B034B" w14:textId="32164F92" w:rsidR="0084288C" w:rsidRDefault="008202EA"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8202EA">
        <w:rPr>
          <w:noProof/>
        </w:rPr>
        <w:lastRenderedPageBreak/>
        <w:drawing>
          <wp:inline distT="0" distB="0" distL="0" distR="0" wp14:anchorId="5BD8D41A" wp14:editId="00CFE2C5">
            <wp:extent cx="8888730" cy="4711700"/>
            <wp:effectExtent l="0" t="0" r="7620" b="0"/>
            <wp:docPr id="168708904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88730" cy="4711700"/>
                    </a:xfrm>
                    <a:prstGeom prst="rect">
                      <a:avLst/>
                    </a:prstGeom>
                    <a:noFill/>
                    <a:ln>
                      <a:noFill/>
                    </a:ln>
                  </pic:spPr>
                </pic:pic>
              </a:graphicData>
            </a:graphic>
          </wp:inline>
        </w:drawing>
      </w:r>
    </w:p>
    <w:p w14:paraId="318A1F7A"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1AE64CE3" w14:textId="0F7D310D" w:rsidR="0084288C" w:rsidRDefault="002E5016"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2E5016">
        <w:rPr>
          <w:noProof/>
        </w:rPr>
        <w:lastRenderedPageBreak/>
        <w:drawing>
          <wp:inline distT="0" distB="0" distL="0" distR="0" wp14:anchorId="6BC81368" wp14:editId="3123E7A8">
            <wp:extent cx="8888730" cy="4620895"/>
            <wp:effectExtent l="0" t="0" r="7620" b="8255"/>
            <wp:docPr id="179776641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88730" cy="4620895"/>
                    </a:xfrm>
                    <a:prstGeom prst="rect">
                      <a:avLst/>
                    </a:prstGeom>
                    <a:noFill/>
                    <a:ln>
                      <a:noFill/>
                    </a:ln>
                  </pic:spPr>
                </pic:pic>
              </a:graphicData>
            </a:graphic>
          </wp:inline>
        </w:drawing>
      </w:r>
    </w:p>
    <w:p w14:paraId="10205179"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42E23A7E" w14:textId="38DD22ED" w:rsidR="0084288C" w:rsidRDefault="002E5016"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2E5016">
        <w:rPr>
          <w:noProof/>
        </w:rPr>
        <w:lastRenderedPageBreak/>
        <w:drawing>
          <wp:inline distT="0" distB="0" distL="0" distR="0" wp14:anchorId="1DF2B398" wp14:editId="0EFB0B35">
            <wp:extent cx="8888730" cy="4608195"/>
            <wp:effectExtent l="0" t="0" r="7620" b="1905"/>
            <wp:docPr id="55296354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888730" cy="4608195"/>
                    </a:xfrm>
                    <a:prstGeom prst="rect">
                      <a:avLst/>
                    </a:prstGeom>
                    <a:noFill/>
                    <a:ln>
                      <a:noFill/>
                    </a:ln>
                  </pic:spPr>
                </pic:pic>
              </a:graphicData>
            </a:graphic>
          </wp:inline>
        </w:drawing>
      </w:r>
    </w:p>
    <w:p w14:paraId="7BEABBB4"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772FD09D" w14:textId="56F2E6E2" w:rsidR="0084288C" w:rsidRDefault="002E5016"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2E5016">
        <w:rPr>
          <w:noProof/>
        </w:rPr>
        <w:lastRenderedPageBreak/>
        <w:drawing>
          <wp:inline distT="0" distB="0" distL="0" distR="0" wp14:anchorId="6D947C97" wp14:editId="1C67D8BF">
            <wp:extent cx="8348345" cy="4614545"/>
            <wp:effectExtent l="0" t="0" r="0" b="0"/>
            <wp:docPr id="174119476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348345" cy="4614545"/>
                    </a:xfrm>
                    <a:prstGeom prst="rect">
                      <a:avLst/>
                    </a:prstGeom>
                    <a:noFill/>
                    <a:ln>
                      <a:noFill/>
                    </a:ln>
                  </pic:spPr>
                </pic:pic>
              </a:graphicData>
            </a:graphic>
          </wp:inline>
        </w:drawing>
      </w:r>
    </w:p>
    <w:p w14:paraId="00630A5B"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7290E726" w14:textId="14D55F43" w:rsidR="0084288C" w:rsidRDefault="002E5016"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2E5016">
        <w:rPr>
          <w:noProof/>
        </w:rPr>
        <w:lastRenderedPageBreak/>
        <w:drawing>
          <wp:inline distT="0" distB="0" distL="0" distR="0" wp14:anchorId="5CB6B3D7" wp14:editId="0B6EF940">
            <wp:extent cx="8888730" cy="4982210"/>
            <wp:effectExtent l="0" t="0" r="7620" b="8890"/>
            <wp:docPr id="104226094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88730" cy="4982210"/>
                    </a:xfrm>
                    <a:prstGeom prst="rect">
                      <a:avLst/>
                    </a:prstGeom>
                    <a:noFill/>
                    <a:ln>
                      <a:noFill/>
                    </a:ln>
                  </pic:spPr>
                </pic:pic>
              </a:graphicData>
            </a:graphic>
          </wp:inline>
        </w:drawing>
      </w:r>
    </w:p>
    <w:p w14:paraId="1F175668" w14:textId="418B23E1"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5D5A92F2" w14:textId="7DE0CDC8" w:rsidR="0084288C" w:rsidRDefault="006D6BA3"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6D6BA3">
        <w:rPr>
          <w:noProof/>
        </w:rPr>
        <w:lastRenderedPageBreak/>
        <w:drawing>
          <wp:inline distT="0" distB="0" distL="0" distR="0" wp14:anchorId="57F652AD" wp14:editId="7AF42EEE">
            <wp:extent cx="8888730" cy="4789805"/>
            <wp:effectExtent l="0" t="0" r="7620" b="0"/>
            <wp:docPr id="153141243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88730" cy="4789805"/>
                    </a:xfrm>
                    <a:prstGeom prst="rect">
                      <a:avLst/>
                    </a:prstGeom>
                    <a:noFill/>
                    <a:ln>
                      <a:noFill/>
                    </a:ln>
                  </pic:spPr>
                </pic:pic>
              </a:graphicData>
            </a:graphic>
          </wp:inline>
        </w:drawing>
      </w:r>
    </w:p>
    <w:p w14:paraId="76C42C78"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5EEB00A3" w14:textId="2DA2AF28" w:rsidR="0084288C" w:rsidRDefault="006D6BA3"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6D6BA3">
        <w:rPr>
          <w:noProof/>
        </w:rPr>
        <w:lastRenderedPageBreak/>
        <w:drawing>
          <wp:inline distT="0" distB="0" distL="0" distR="0" wp14:anchorId="72493DF5" wp14:editId="096F3A06">
            <wp:extent cx="8888730" cy="4777105"/>
            <wp:effectExtent l="0" t="0" r="7620" b="4445"/>
            <wp:docPr id="178274198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888730" cy="4777105"/>
                    </a:xfrm>
                    <a:prstGeom prst="rect">
                      <a:avLst/>
                    </a:prstGeom>
                    <a:noFill/>
                    <a:ln>
                      <a:noFill/>
                    </a:ln>
                  </pic:spPr>
                </pic:pic>
              </a:graphicData>
            </a:graphic>
          </wp:inline>
        </w:drawing>
      </w:r>
    </w:p>
    <w:p w14:paraId="78844F98"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02F2D468" w14:textId="31B74716" w:rsidR="0084288C" w:rsidRDefault="002E5016" w:rsidP="001D4E6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2E5016">
        <w:rPr>
          <w:noProof/>
        </w:rPr>
        <w:lastRenderedPageBreak/>
        <w:drawing>
          <wp:inline distT="0" distB="0" distL="0" distR="0" wp14:anchorId="060DA9EF" wp14:editId="67653BE2">
            <wp:extent cx="8414385" cy="5760085"/>
            <wp:effectExtent l="0" t="0" r="5715" b="0"/>
            <wp:docPr id="137045086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414385" cy="5760085"/>
                    </a:xfrm>
                    <a:prstGeom prst="rect">
                      <a:avLst/>
                    </a:prstGeom>
                    <a:noFill/>
                    <a:ln>
                      <a:noFill/>
                    </a:ln>
                  </pic:spPr>
                </pic:pic>
              </a:graphicData>
            </a:graphic>
          </wp:inline>
        </w:drawing>
      </w:r>
      <w:r w:rsidR="0084288C">
        <w:rPr>
          <w:rFonts w:asciiTheme="minorHAnsi" w:hAnsiTheme="minorHAnsi" w:cstheme="minorHAnsi"/>
          <w:lang w:eastAsia="zh-CN"/>
        </w:rPr>
        <w:br w:type="page"/>
      </w:r>
    </w:p>
    <w:p w14:paraId="38CB45FD" w14:textId="3FD3B11C" w:rsidR="0084288C" w:rsidRDefault="002E5016" w:rsidP="0084288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r w:rsidRPr="002E5016">
        <w:rPr>
          <w:noProof/>
        </w:rPr>
        <w:lastRenderedPageBreak/>
        <w:drawing>
          <wp:inline distT="0" distB="0" distL="0" distR="0" wp14:anchorId="104E1FEB" wp14:editId="05D10C5B">
            <wp:extent cx="8504555" cy="5760085"/>
            <wp:effectExtent l="0" t="0" r="0" b="0"/>
            <wp:docPr id="4123073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504555" cy="5760085"/>
                    </a:xfrm>
                    <a:prstGeom prst="rect">
                      <a:avLst/>
                    </a:prstGeom>
                    <a:noFill/>
                    <a:ln>
                      <a:noFill/>
                    </a:ln>
                  </pic:spPr>
                </pic:pic>
              </a:graphicData>
            </a:graphic>
          </wp:inline>
        </w:drawing>
      </w:r>
    </w:p>
    <w:p w14:paraId="22C707EF" w14:textId="5256D4ED" w:rsidR="001D4E68" w:rsidRDefault="002E5016"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sidRPr="002E5016">
        <w:rPr>
          <w:noProof/>
        </w:rPr>
        <w:lastRenderedPageBreak/>
        <w:drawing>
          <wp:inline distT="0" distB="0" distL="0" distR="0" wp14:anchorId="1418C32C" wp14:editId="1BC792C8">
            <wp:extent cx="8413115" cy="5760085"/>
            <wp:effectExtent l="0" t="0" r="6985" b="0"/>
            <wp:docPr id="49587325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413115" cy="5760085"/>
                    </a:xfrm>
                    <a:prstGeom prst="rect">
                      <a:avLst/>
                    </a:prstGeom>
                    <a:noFill/>
                    <a:ln>
                      <a:noFill/>
                    </a:ln>
                  </pic:spPr>
                </pic:pic>
              </a:graphicData>
            </a:graphic>
          </wp:inline>
        </w:drawing>
      </w:r>
    </w:p>
    <w:p w14:paraId="1C8E7D1D" w14:textId="266F6ACB" w:rsidR="00BA2109" w:rsidRDefault="002E5016" w:rsidP="00BA210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eastAsia="zh-CN"/>
        </w:rPr>
      </w:pPr>
      <w:bookmarkStart w:id="14" w:name="table12"/>
      <w:r w:rsidRPr="002E5016">
        <w:rPr>
          <w:noProof/>
        </w:rPr>
        <w:lastRenderedPageBreak/>
        <w:drawing>
          <wp:inline distT="0" distB="0" distL="0" distR="0" wp14:anchorId="34D3E9AF" wp14:editId="76E0BAE9">
            <wp:extent cx="7078345" cy="2921000"/>
            <wp:effectExtent l="0" t="0" r="8255" b="0"/>
            <wp:docPr id="49518168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078345" cy="2921000"/>
                    </a:xfrm>
                    <a:prstGeom prst="rect">
                      <a:avLst/>
                    </a:prstGeom>
                    <a:noFill/>
                    <a:ln>
                      <a:noFill/>
                    </a:ln>
                  </pic:spPr>
                </pic:pic>
              </a:graphicData>
            </a:graphic>
          </wp:inline>
        </w:drawing>
      </w:r>
      <w:bookmarkEnd w:id="14"/>
    </w:p>
    <w:p w14:paraId="6948DB31" w14:textId="7765EEFE"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14:paraId="2B0DE74E" w14:textId="62E94893" w:rsidR="0084288C" w:rsidRDefault="0084288C" w:rsidP="00667348">
      <w:pPr>
        <w:pStyle w:val="AnnexNo"/>
        <w:spacing w:before="120"/>
        <w:rPr>
          <w:lang w:eastAsia="zh-CN"/>
        </w:rPr>
      </w:pPr>
      <w:bookmarkStart w:id="15" w:name="Annex_B"/>
      <w:r>
        <w:rPr>
          <w:lang w:val="zh-CN" w:eastAsia="zh-CN"/>
        </w:rPr>
        <w:lastRenderedPageBreak/>
        <w:t>附件</w:t>
      </w:r>
      <w:r>
        <w:rPr>
          <w:lang w:val="zh-CN" w:eastAsia="zh-CN"/>
        </w:rPr>
        <w:t>B</w:t>
      </w:r>
      <w:r w:rsidR="003446A7">
        <w:rPr>
          <w:lang w:val="zh-CN" w:eastAsia="zh-CN"/>
        </w:rPr>
        <w:t> </w:t>
      </w:r>
      <w:r>
        <w:rPr>
          <w:lang w:val="zh-CN" w:eastAsia="zh-CN"/>
        </w:rPr>
        <w:t>-</w:t>
      </w:r>
      <w:r w:rsidR="003446A7">
        <w:rPr>
          <w:lang w:val="zh-CN" w:eastAsia="zh-CN"/>
        </w:rPr>
        <w:t> </w:t>
      </w:r>
      <w:r>
        <w:rPr>
          <w:lang w:val="zh-CN" w:eastAsia="zh-CN"/>
        </w:rPr>
        <w:t>文件</w:t>
      </w:r>
      <w:bookmarkEnd w:id="15"/>
    </w:p>
    <w:p w14:paraId="4F6F6284" w14:textId="295650E2" w:rsidR="0084288C" w:rsidRDefault="00667348" w:rsidP="0084288C">
      <w:pPr>
        <w:pStyle w:val="Annexref"/>
        <w:rPr>
          <w:lang w:eastAsia="zh-CN"/>
        </w:rPr>
      </w:pPr>
      <w:r w:rsidRPr="00667348">
        <w:rPr>
          <w:noProof/>
        </w:rPr>
        <w:drawing>
          <wp:inline distT="0" distB="0" distL="0" distR="0" wp14:anchorId="116EC32B" wp14:editId="57F604C0">
            <wp:extent cx="7670800" cy="5416193"/>
            <wp:effectExtent l="0" t="0" r="6350" b="0"/>
            <wp:docPr id="16713092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79512" cy="5422344"/>
                    </a:xfrm>
                    <a:prstGeom prst="rect">
                      <a:avLst/>
                    </a:prstGeom>
                    <a:noFill/>
                    <a:ln>
                      <a:noFill/>
                    </a:ln>
                  </pic:spPr>
                </pic:pic>
              </a:graphicData>
            </a:graphic>
          </wp:inline>
        </w:drawing>
      </w:r>
    </w:p>
    <w:p w14:paraId="7F235138" w14:textId="6CF0D32D" w:rsidR="0084288C" w:rsidRDefault="00667348" w:rsidP="00667348">
      <w:pPr>
        <w:pStyle w:val="Annextitle"/>
        <w:spacing w:before="0" w:after="120"/>
        <w:rPr>
          <w:lang w:eastAsia="zh-CN"/>
        </w:rPr>
      </w:pPr>
      <w:r w:rsidRPr="00667348">
        <w:rPr>
          <w:noProof/>
        </w:rPr>
        <w:lastRenderedPageBreak/>
        <w:drawing>
          <wp:inline distT="0" distB="0" distL="0" distR="0" wp14:anchorId="1B8B339C" wp14:editId="485259F5">
            <wp:extent cx="8288867" cy="5792180"/>
            <wp:effectExtent l="0" t="0" r="0" b="0"/>
            <wp:docPr id="140323647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297065" cy="5797908"/>
                    </a:xfrm>
                    <a:prstGeom prst="rect">
                      <a:avLst/>
                    </a:prstGeom>
                    <a:noFill/>
                    <a:ln>
                      <a:noFill/>
                    </a:ln>
                  </pic:spPr>
                </pic:pic>
              </a:graphicData>
            </a:graphic>
          </wp:inline>
        </w:drawing>
      </w:r>
    </w:p>
    <w:p w14:paraId="08EFC76F" w14:textId="193C0F05" w:rsidR="0084288C" w:rsidRDefault="00286918" w:rsidP="0084288C">
      <w:pPr>
        <w:tabs>
          <w:tab w:val="clear" w:pos="567"/>
          <w:tab w:val="clear" w:pos="1134"/>
          <w:tab w:val="clear" w:pos="1701"/>
          <w:tab w:val="clear" w:pos="2268"/>
          <w:tab w:val="clear" w:pos="2835"/>
        </w:tabs>
        <w:overflowPunct/>
        <w:autoSpaceDE/>
        <w:autoSpaceDN/>
        <w:adjustRightInd/>
        <w:spacing w:before="0" w:after="720"/>
        <w:textAlignment w:val="auto"/>
        <w:rPr>
          <w:b/>
          <w:sz w:val="28"/>
          <w:lang w:eastAsia="zh-CN"/>
        </w:rPr>
      </w:pPr>
      <w:r w:rsidRPr="00286918">
        <w:rPr>
          <w:noProof/>
        </w:rPr>
        <w:lastRenderedPageBreak/>
        <w:drawing>
          <wp:inline distT="0" distB="0" distL="0" distR="0" wp14:anchorId="474416C4" wp14:editId="67143A56">
            <wp:extent cx="8888730" cy="2944495"/>
            <wp:effectExtent l="0" t="0" r="7620" b="8255"/>
            <wp:docPr id="33521563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88730" cy="2944495"/>
                    </a:xfrm>
                    <a:prstGeom prst="rect">
                      <a:avLst/>
                    </a:prstGeom>
                    <a:noFill/>
                    <a:ln>
                      <a:noFill/>
                    </a:ln>
                  </pic:spPr>
                </pic:pic>
              </a:graphicData>
            </a:graphic>
          </wp:inline>
        </w:drawing>
      </w:r>
    </w:p>
    <w:p w14:paraId="71C2AAFD" w14:textId="77777777" w:rsidR="0084288C" w:rsidRDefault="0084288C" w:rsidP="0084288C">
      <w:pPr>
        <w:tabs>
          <w:tab w:val="clear" w:pos="567"/>
          <w:tab w:val="clear" w:pos="1134"/>
          <w:tab w:val="clear" w:pos="1701"/>
          <w:tab w:val="clear" w:pos="2268"/>
          <w:tab w:val="clear" w:pos="2835"/>
        </w:tabs>
        <w:overflowPunct/>
        <w:autoSpaceDE/>
        <w:autoSpaceDN/>
        <w:adjustRightInd/>
        <w:spacing w:before="0"/>
        <w:textAlignment w:val="auto"/>
        <w:rPr>
          <w:b/>
          <w:sz w:val="28"/>
          <w:lang w:eastAsia="zh-CN"/>
        </w:rPr>
      </w:pPr>
    </w:p>
    <w:p w14:paraId="5426988E" w14:textId="77777777" w:rsidR="0084288C" w:rsidRPr="008224DE" w:rsidRDefault="0084288C" w:rsidP="008224DE"/>
    <w:p w14:paraId="67B7681C" w14:textId="77777777" w:rsidR="0084288C" w:rsidRPr="00CA2A8A" w:rsidRDefault="0084288C" w:rsidP="0084288C">
      <w:pPr>
        <w:rPr>
          <w:lang w:eastAsia="zh-CN"/>
        </w:rPr>
        <w:sectPr w:rsidR="0084288C" w:rsidRPr="00CA2A8A" w:rsidSect="00834723">
          <w:headerReference w:type="default" r:id="rId74"/>
          <w:footerReference w:type="default" r:id="rId75"/>
          <w:headerReference w:type="first" r:id="rId76"/>
          <w:footerReference w:type="first" r:id="rId77"/>
          <w:pgSz w:w="16834" w:h="11907" w:orient="landscape"/>
          <w:pgMar w:top="1418" w:right="1418" w:bottom="1418" w:left="1418" w:header="720" w:footer="720" w:gutter="0"/>
          <w:paperSrc w:first="286" w:other="286"/>
          <w:cols w:space="720"/>
          <w:titlePg/>
          <w:docGrid w:linePitch="326"/>
        </w:sectPr>
      </w:pPr>
    </w:p>
    <w:p w14:paraId="0221E2ED" w14:textId="3B576233" w:rsidR="0084288C" w:rsidRDefault="0084288C" w:rsidP="00524A29">
      <w:pPr>
        <w:pStyle w:val="AnnexNo"/>
        <w:spacing w:before="120"/>
        <w:rPr>
          <w:lang w:val="zh-CN" w:eastAsia="zh-CN"/>
        </w:rPr>
      </w:pPr>
      <w:bookmarkStart w:id="16" w:name="Annex_C"/>
      <w:r>
        <w:rPr>
          <w:lang w:val="zh-CN" w:eastAsia="zh-CN"/>
        </w:rPr>
        <w:lastRenderedPageBreak/>
        <w:t>附件</w:t>
      </w:r>
      <w:r>
        <w:rPr>
          <w:lang w:val="zh-CN" w:eastAsia="zh-CN"/>
        </w:rPr>
        <w:t>C</w:t>
      </w:r>
      <w:r w:rsidR="003446A7">
        <w:rPr>
          <w:lang w:val="zh-CN" w:eastAsia="zh-CN"/>
        </w:rPr>
        <w:t> </w:t>
      </w:r>
      <w:r>
        <w:rPr>
          <w:lang w:val="zh-CN" w:eastAsia="zh-CN"/>
        </w:rPr>
        <w:t>–</w:t>
      </w:r>
      <w:r w:rsidR="003446A7">
        <w:rPr>
          <w:lang w:val="zh-CN" w:eastAsia="zh-CN"/>
        </w:rPr>
        <w:t> </w:t>
      </w:r>
      <w:r>
        <w:rPr>
          <w:lang w:val="zh-CN" w:eastAsia="zh-CN"/>
        </w:rPr>
        <w:t>2028-2029</w:t>
      </w:r>
      <w:r>
        <w:rPr>
          <w:lang w:val="zh-CN" w:eastAsia="zh-CN"/>
        </w:rPr>
        <w:t>年预测</w:t>
      </w:r>
      <w:bookmarkEnd w:id="16"/>
    </w:p>
    <w:p w14:paraId="074CDBC2" w14:textId="773919AD" w:rsidR="0013555B" w:rsidRPr="0013555B" w:rsidRDefault="00524A29" w:rsidP="0013555B">
      <w:pPr>
        <w:pStyle w:val="Annexref"/>
        <w:rPr>
          <w:lang w:val="zh-CN" w:eastAsia="zh-CN"/>
        </w:rPr>
      </w:pPr>
      <w:r w:rsidRPr="00524A29">
        <w:rPr>
          <w:noProof/>
        </w:rPr>
        <w:drawing>
          <wp:inline distT="0" distB="0" distL="0" distR="0" wp14:anchorId="0ABE31B9" wp14:editId="0BEA4598">
            <wp:extent cx="5489421" cy="8238067"/>
            <wp:effectExtent l="0" t="0" r="0" b="0"/>
            <wp:docPr id="12882577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97335" cy="8249943"/>
                    </a:xfrm>
                    <a:prstGeom prst="rect">
                      <a:avLst/>
                    </a:prstGeom>
                    <a:noFill/>
                    <a:ln>
                      <a:noFill/>
                    </a:ln>
                  </pic:spPr>
                </pic:pic>
              </a:graphicData>
            </a:graphic>
          </wp:inline>
        </w:drawing>
      </w:r>
    </w:p>
    <w:p w14:paraId="690B4F06" w14:textId="399D6B53" w:rsidR="0013555B" w:rsidRDefault="0013555B">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14:paraId="71E38A79" w14:textId="4B80FC31" w:rsidR="0084288C" w:rsidRPr="004755BA" w:rsidRDefault="0084288C" w:rsidP="0084288C">
      <w:pPr>
        <w:pStyle w:val="AnnexNo"/>
        <w:spacing w:before="0"/>
        <w:rPr>
          <w:rFonts w:asciiTheme="minorHAnsi" w:hAnsiTheme="minorHAnsi" w:cstheme="minorHAnsi"/>
          <w:lang w:eastAsia="zh-CN"/>
        </w:rPr>
      </w:pPr>
      <w:r>
        <w:rPr>
          <w:lang w:val="zh-CN" w:eastAsia="zh-CN"/>
        </w:rPr>
        <w:lastRenderedPageBreak/>
        <w:t>附件</w:t>
      </w:r>
      <w:r>
        <w:rPr>
          <w:lang w:val="zh-CN" w:eastAsia="zh-CN"/>
        </w:rPr>
        <w:t>D</w:t>
      </w:r>
      <w:r w:rsidR="003446A7">
        <w:rPr>
          <w:lang w:val="zh-CN" w:eastAsia="zh-CN"/>
        </w:rPr>
        <w:t> </w:t>
      </w:r>
      <w:r>
        <w:rPr>
          <w:lang w:val="zh-CN" w:eastAsia="zh-CN"/>
        </w:rPr>
        <w:t>–</w:t>
      </w:r>
      <w:r w:rsidR="003446A7">
        <w:rPr>
          <w:lang w:val="zh-CN" w:eastAsia="zh-CN"/>
        </w:rPr>
        <w:t> </w:t>
      </w:r>
      <w:r>
        <w:rPr>
          <w:lang w:val="zh-CN" w:eastAsia="zh-CN"/>
        </w:rPr>
        <w:t>支出类别</w:t>
      </w:r>
      <w:bookmarkStart w:id="17" w:name="Annex_D"/>
      <w:bookmarkEnd w:id="17"/>
    </w:p>
    <w:p w14:paraId="41442703" w14:textId="77777777" w:rsidR="0084288C" w:rsidRPr="00524A29" w:rsidRDefault="0084288C"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t>人员费用（工资和津贴等）</w:t>
      </w:r>
    </w:p>
    <w:p w14:paraId="6E997D05" w14:textId="0C0C2024"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这些</w:t>
      </w:r>
      <w:r w:rsidR="00721F25" w:rsidRPr="008224DE">
        <w:rPr>
          <w:rFonts w:asciiTheme="minorHAnsi" w:hAnsiTheme="minorHAnsi" w:cstheme="minorHAnsi"/>
          <w:sz w:val="24"/>
          <w:lang w:val="zh-CN" w:eastAsia="zh-CN"/>
        </w:rPr>
        <w:t>费用</w:t>
      </w:r>
      <w:r w:rsidRPr="008224DE">
        <w:rPr>
          <w:rFonts w:asciiTheme="minorHAnsi" w:hAnsiTheme="minorHAnsi" w:cstheme="minorHAnsi"/>
          <w:sz w:val="24"/>
          <w:lang w:val="zh-CN" w:eastAsia="zh-CN"/>
        </w:rPr>
        <w:t>包括定期支付给常设职位的现任人员和短期职员的所有薪酬，如基薪、</w:t>
      </w:r>
      <w:r w:rsidR="00721F25" w:rsidRPr="008224DE">
        <w:rPr>
          <w:rFonts w:asciiTheme="minorHAnsi" w:hAnsiTheme="minorHAnsi" w:cstheme="minorHAnsi"/>
          <w:sz w:val="24"/>
          <w:lang w:eastAsia="zh-CN"/>
        </w:rPr>
        <w:t>任职地点补贴调整数</w:t>
      </w:r>
      <w:r w:rsidRPr="008224DE">
        <w:rPr>
          <w:rFonts w:asciiTheme="minorHAnsi" w:hAnsiTheme="minorHAnsi" w:cstheme="minorHAnsi"/>
          <w:sz w:val="24"/>
          <w:lang w:val="zh-CN" w:eastAsia="zh-CN"/>
        </w:rPr>
        <w:t>、语文和</w:t>
      </w:r>
      <w:r w:rsidR="00721F25" w:rsidRPr="008224DE">
        <w:rPr>
          <w:rFonts w:asciiTheme="minorHAnsi" w:hAnsiTheme="minorHAnsi" w:cstheme="minorHAnsi"/>
          <w:sz w:val="24"/>
          <w:lang w:val="zh-CN" w:eastAsia="zh-CN"/>
        </w:rPr>
        <w:t>侨居</w:t>
      </w:r>
      <w:r w:rsidRPr="008224DE">
        <w:rPr>
          <w:rFonts w:asciiTheme="minorHAnsi" w:hAnsiTheme="minorHAnsi" w:cstheme="minorHAnsi"/>
          <w:sz w:val="24"/>
          <w:lang w:val="zh-CN" w:eastAsia="zh-CN"/>
        </w:rPr>
        <w:t>津贴、</w:t>
      </w:r>
      <w:r w:rsidR="00721F25" w:rsidRPr="008224DE">
        <w:rPr>
          <w:rFonts w:asciiTheme="minorHAnsi" w:hAnsiTheme="minorHAnsi" w:cstheme="minorHAnsi"/>
          <w:sz w:val="24"/>
          <w:lang w:eastAsia="zh-CN"/>
        </w:rPr>
        <w:t>受抚养人</w:t>
      </w:r>
      <w:r w:rsidRPr="008224DE">
        <w:rPr>
          <w:rFonts w:asciiTheme="minorHAnsi" w:hAnsiTheme="minorHAnsi" w:cstheme="minorHAnsi"/>
          <w:sz w:val="24"/>
          <w:lang w:val="zh-CN" w:eastAsia="zh-CN"/>
        </w:rPr>
        <w:t>津贴和加班费。</w:t>
      </w:r>
    </w:p>
    <w:p w14:paraId="115E2E58" w14:textId="77777777" w:rsidR="0084288C" w:rsidRPr="008224DE" w:rsidRDefault="0084288C"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t>其它人员费用</w:t>
      </w:r>
    </w:p>
    <w:p w14:paraId="65248D74" w14:textId="77777777"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这些包括国际电联为养恤金和健康保险缴纳的保险费、意外保险和养恤金委员会的费用、教育补助金和差旅费、任职和离职差旅费、安置和归国津贴、归国探亲旅费、积存年假、解雇补偿金和搬家费用。它们既涉及常设职位，也涉及短期职员。</w:t>
      </w:r>
    </w:p>
    <w:p w14:paraId="465390C7" w14:textId="77777777"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这项支出包括所有涉及退休职员的付款，如生活费津贴、遗属保险和医疗保险。</w:t>
      </w:r>
    </w:p>
    <w:p w14:paraId="0EE602E1" w14:textId="77777777" w:rsidR="0084288C" w:rsidRPr="008224DE" w:rsidRDefault="0084288C"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t>公务差旅</w:t>
      </w:r>
    </w:p>
    <w:p w14:paraId="29092A63" w14:textId="1C80195A"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公务旅行是指为将专家和官员运送到使团、大会和会议地点而进行的旅行。该项包括旅行票、每日生活津贴（</w:t>
      </w:r>
      <w:r w:rsidRPr="008224DE">
        <w:rPr>
          <w:rFonts w:asciiTheme="minorHAnsi" w:hAnsiTheme="minorHAnsi" w:cstheme="minorHAnsi"/>
          <w:sz w:val="24"/>
          <w:lang w:val="zh-CN" w:eastAsia="zh-CN"/>
        </w:rPr>
        <w:t>DSA</w:t>
      </w:r>
      <w:r w:rsidRPr="008224DE">
        <w:rPr>
          <w:rFonts w:asciiTheme="minorHAnsi" w:hAnsiTheme="minorHAnsi" w:cstheme="minorHAnsi"/>
          <w:sz w:val="24"/>
          <w:lang w:val="zh-CN" w:eastAsia="zh-CN"/>
        </w:rPr>
        <w:t>）、机场费和保险。他</w:t>
      </w:r>
      <w:r w:rsidR="00C15D27" w:rsidRPr="008224DE">
        <w:rPr>
          <w:rFonts w:asciiTheme="minorHAnsi" w:hAnsiTheme="minorHAnsi" w:cstheme="minorHAnsi"/>
          <w:sz w:val="24"/>
          <w:lang w:val="zh-CN" w:eastAsia="zh-CN"/>
        </w:rPr>
        <w:t>支付这些费用是为了</w:t>
      </w:r>
      <w:r w:rsidRPr="008224DE">
        <w:rPr>
          <w:rFonts w:asciiTheme="minorHAnsi" w:hAnsiTheme="minorHAnsi" w:cstheme="minorHAnsi"/>
          <w:sz w:val="24"/>
          <w:lang w:val="zh-CN" w:eastAsia="zh-CN"/>
        </w:rPr>
        <w:t>代表出席理事会会议以及各部门、总秘书处及其顾问的出差。与会补贴计划属于这一类支出。</w:t>
      </w:r>
    </w:p>
    <w:p w14:paraId="5FABD7BA" w14:textId="37448955"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不包括与工作人员招聘、</w:t>
      </w:r>
      <w:proofErr w:type="gramStart"/>
      <w:r w:rsidR="00C15D27" w:rsidRPr="008224DE">
        <w:rPr>
          <w:rFonts w:asciiTheme="minorHAnsi" w:hAnsiTheme="minorHAnsi" w:cstheme="minorHAnsi"/>
          <w:sz w:val="24"/>
          <w:lang w:val="zh-CN" w:eastAsia="zh-CN"/>
        </w:rPr>
        <w:t>回籍假</w:t>
      </w:r>
      <w:r w:rsidRPr="008224DE">
        <w:rPr>
          <w:rFonts w:asciiTheme="minorHAnsi" w:hAnsiTheme="minorHAnsi" w:cstheme="minorHAnsi"/>
          <w:sz w:val="24"/>
          <w:lang w:val="zh-CN" w:eastAsia="zh-CN"/>
        </w:rPr>
        <w:t>和</w:t>
      </w:r>
      <w:proofErr w:type="gramEnd"/>
      <w:r w:rsidR="00C15D27" w:rsidRPr="008224DE">
        <w:rPr>
          <w:rFonts w:asciiTheme="minorHAnsi" w:hAnsiTheme="minorHAnsi" w:cstheme="minorHAnsi"/>
          <w:sz w:val="24"/>
          <w:lang w:val="zh-CN" w:eastAsia="zh-CN"/>
        </w:rPr>
        <w:t>归国</w:t>
      </w:r>
      <w:r w:rsidRPr="008224DE">
        <w:rPr>
          <w:rFonts w:asciiTheme="minorHAnsi" w:hAnsiTheme="minorHAnsi" w:cstheme="minorHAnsi"/>
          <w:sz w:val="24"/>
          <w:lang w:val="zh-CN" w:eastAsia="zh-CN"/>
        </w:rPr>
        <w:t>有关的差旅（</w:t>
      </w:r>
      <w:r w:rsidR="00C15D27" w:rsidRPr="008224DE">
        <w:rPr>
          <w:rFonts w:asciiTheme="minorHAnsi" w:hAnsiTheme="minorHAnsi" w:cstheme="minorHAnsi"/>
          <w:sz w:val="24"/>
          <w:lang w:val="zh-CN" w:eastAsia="zh-CN"/>
        </w:rPr>
        <w:t>见</w:t>
      </w:r>
      <w:r w:rsidRPr="008224DE">
        <w:rPr>
          <w:rFonts w:asciiTheme="minorHAnsi" w:hAnsiTheme="minorHAnsi" w:cstheme="minorHAnsi"/>
          <w:sz w:val="24"/>
          <w:lang w:val="zh-CN" w:eastAsia="zh-CN"/>
        </w:rPr>
        <w:t>其它人员费用）。</w:t>
      </w:r>
    </w:p>
    <w:p w14:paraId="5E7FEA83" w14:textId="0FCAF826" w:rsidR="0084288C" w:rsidRPr="008224DE" w:rsidRDefault="00C15D27"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t>合同服务</w:t>
      </w:r>
    </w:p>
    <w:p w14:paraId="6C548BAA" w14:textId="77777777"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列入这一类别的项目一般与所有费用、酬金和往返居住地的旅费有关。他们支付给咨询公司进行合同工作和安排。它还包括特别服务协议。该项目包括语言课程和专门课程的培训费用。</w:t>
      </w:r>
    </w:p>
    <w:p w14:paraId="027EDE11" w14:textId="77777777"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此外，还包括从外部购买的服务成本，例如，翻译文件和计算机服务等。</w:t>
      </w:r>
    </w:p>
    <w:p w14:paraId="5819D577" w14:textId="77777777" w:rsidR="0084288C" w:rsidRPr="008224DE" w:rsidRDefault="0084288C"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t>房屋设施和设备的租金和维护费</w:t>
      </w:r>
    </w:p>
    <w:p w14:paraId="721F2546" w14:textId="77777777"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此类费用包括会议室、停车位和设备的租金、办公楼、场地、车辆、技术和计算机设备及软件维护的所有费用和相关的火灾、水灾及其它损失保险。</w:t>
      </w:r>
    </w:p>
    <w:p w14:paraId="2FE5E69E" w14:textId="77777777" w:rsidR="0084288C" w:rsidRPr="008224DE" w:rsidRDefault="0084288C" w:rsidP="008428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2060"/>
          <w:szCs w:val="24"/>
          <w:lang w:eastAsia="zh-CN"/>
        </w:rPr>
      </w:pPr>
      <w:r w:rsidRPr="008224DE">
        <w:rPr>
          <w:rFonts w:asciiTheme="minorHAnsi" w:hAnsiTheme="minorHAnsi" w:cstheme="minorHAnsi"/>
          <w:b/>
          <w:bCs/>
          <w:color w:val="002060"/>
          <w:lang w:eastAsia="zh-CN"/>
        </w:rPr>
        <w:br w:type="page"/>
      </w:r>
    </w:p>
    <w:p w14:paraId="21CCFC5D" w14:textId="77777777" w:rsidR="0084288C" w:rsidRPr="008224DE" w:rsidRDefault="0084288C"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lastRenderedPageBreak/>
        <w:t>材料和办公用品</w:t>
      </w:r>
    </w:p>
    <w:p w14:paraId="4FFA41C4" w14:textId="3D84E831" w:rsidR="0084288C" w:rsidRPr="008224DE"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材料和</w:t>
      </w:r>
      <w:r w:rsidR="00C15D27" w:rsidRPr="008224DE">
        <w:rPr>
          <w:rFonts w:asciiTheme="minorHAnsi" w:hAnsiTheme="minorHAnsi" w:cstheme="minorHAnsi"/>
          <w:sz w:val="24"/>
          <w:lang w:val="zh-CN" w:eastAsia="zh-CN"/>
        </w:rPr>
        <w:t>办公</w:t>
      </w:r>
      <w:r w:rsidRPr="008224DE">
        <w:rPr>
          <w:rFonts w:asciiTheme="minorHAnsi" w:hAnsiTheme="minorHAnsi" w:cstheme="minorHAnsi"/>
          <w:sz w:val="24"/>
          <w:lang w:val="zh-CN" w:eastAsia="zh-CN"/>
        </w:rPr>
        <w:t>用品包括办公文具、印刷用品和</w:t>
      </w:r>
      <w:r w:rsidRPr="008224DE">
        <w:rPr>
          <w:rFonts w:asciiTheme="minorHAnsi" w:hAnsiTheme="minorHAnsi" w:cstheme="minorHAnsi"/>
          <w:sz w:val="24"/>
          <w:lang w:val="zh-CN" w:eastAsia="zh-CN"/>
        </w:rPr>
        <w:t>IT</w:t>
      </w:r>
      <w:r w:rsidRPr="008224DE">
        <w:rPr>
          <w:rFonts w:asciiTheme="minorHAnsi" w:hAnsiTheme="minorHAnsi" w:cstheme="minorHAnsi"/>
          <w:sz w:val="24"/>
          <w:lang w:val="zh-CN" w:eastAsia="zh-CN"/>
        </w:rPr>
        <w:t>设备用品。</w:t>
      </w:r>
    </w:p>
    <w:p w14:paraId="4EB9EF11" w14:textId="2ECC6F3A" w:rsidR="0084288C" w:rsidRPr="008224DE" w:rsidRDefault="0084288C"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t>房屋、家具和设备购置</w:t>
      </w:r>
    </w:p>
    <w:p w14:paraId="4E154A79" w14:textId="1F4EA3D7" w:rsidR="0084288C" w:rsidRPr="00524A29" w:rsidRDefault="0084288C" w:rsidP="00286918">
      <w:pPr>
        <w:pStyle w:val="NormalWeb"/>
        <w:ind w:firstLineChars="200" w:firstLine="480"/>
        <w:rPr>
          <w:rFonts w:asciiTheme="minorHAnsi" w:hAnsiTheme="minorHAnsi" w:cstheme="minorHAnsi"/>
          <w:sz w:val="24"/>
          <w:lang w:eastAsia="zh-CN"/>
        </w:rPr>
      </w:pPr>
      <w:r w:rsidRPr="008224DE">
        <w:rPr>
          <w:rFonts w:asciiTheme="minorHAnsi" w:hAnsiTheme="minorHAnsi" w:cstheme="minorHAnsi"/>
          <w:sz w:val="24"/>
          <w:lang w:val="zh-CN" w:eastAsia="zh-CN"/>
        </w:rPr>
        <w:t>这类支出主要涉及资本项目，包括家具、</w:t>
      </w:r>
      <w:r w:rsidRPr="008224DE">
        <w:rPr>
          <w:rFonts w:asciiTheme="minorHAnsi" w:hAnsiTheme="minorHAnsi" w:cstheme="minorHAnsi"/>
          <w:sz w:val="24"/>
          <w:lang w:val="zh-CN" w:eastAsia="zh-CN"/>
        </w:rPr>
        <w:t>IT</w:t>
      </w:r>
      <w:r w:rsidRPr="008224DE">
        <w:rPr>
          <w:rFonts w:asciiTheme="minorHAnsi" w:hAnsiTheme="minorHAnsi" w:cstheme="minorHAnsi"/>
          <w:sz w:val="24"/>
          <w:lang w:val="zh-CN" w:eastAsia="zh-CN"/>
        </w:rPr>
        <w:t>外设和其它技术设备及装置的购置</w:t>
      </w:r>
      <w:r w:rsidRPr="00524A29">
        <w:rPr>
          <w:sz w:val="24"/>
          <w:lang w:val="zh-CN" w:eastAsia="zh-CN"/>
        </w:rPr>
        <w:t>。</w:t>
      </w:r>
    </w:p>
    <w:p w14:paraId="21D6E1FF" w14:textId="77777777" w:rsidR="0084288C" w:rsidRPr="00524A29" w:rsidRDefault="0084288C"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t>公共和内部服务设施</w:t>
      </w:r>
    </w:p>
    <w:p w14:paraId="4BA8A58A" w14:textId="08B42772" w:rsidR="0084288C" w:rsidRPr="00524A29" w:rsidRDefault="0084288C" w:rsidP="00286918">
      <w:pPr>
        <w:pStyle w:val="NormalWeb"/>
        <w:ind w:firstLineChars="200" w:firstLine="480"/>
        <w:rPr>
          <w:rFonts w:asciiTheme="minorHAnsi" w:hAnsiTheme="minorHAnsi" w:cstheme="minorHAnsi"/>
          <w:sz w:val="24"/>
          <w:lang w:eastAsia="zh-CN"/>
        </w:rPr>
      </w:pPr>
      <w:r w:rsidRPr="00524A29">
        <w:rPr>
          <w:sz w:val="24"/>
          <w:lang w:val="zh-CN" w:eastAsia="zh-CN"/>
        </w:rPr>
        <w:t>此类包括官方服务，如电、气、水、邮政、通信、</w:t>
      </w:r>
      <w:r w:rsidR="00C15D27" w:rsidRPr="00524A29">
        <w:rPr>
          <w:sz w:val="24"/>
          <w:lang w:val="zh-CN" w:eastAsia="zh-CN"/>
        </w:rPr>
        <w:t>建筑物</w:t>
      </w:r>
      <w:r w:rsidR="00C15D27" w:rsidRPr="00524A29">
        <w:rPr>
          <w:rFonts w:hint="eastAsia"/>
          <w:sz w:val="24"/>
          <w:lang w:val="zh-CN" w:eastAsia="zh-CN"/>
        </w:rPr>
        <w:t>的</w:t>
      </w:r>
      <w:r w:rsidRPr="00524A29">
        <w:rPr>
          <w:sz w:val="24"/>
          <w:lang w:val="zh-CN" w:eastAsia="zh-CN"/>
        </w:rPr>
        <w:t>供暖、制冷和维修。</w:t>
      </w:r>
    </w:p>
    <w:p w14:paraId="1FE377ED" w14:textId="77777777" w:rsidR="0084288C" w:rsidRPr="00524A29" w:rsidRDefault="0084288C" w:rsidP="0084288C">
      <w:pPr>
        <w:pStyle w:val="NormalWeb"/>
        <w:rPr>
          <w:rFonts w:asciiTheme="minorHAnsi" w:hAnsiTheme="minorHAnsi" w:cstheme="minorHAnsi"/>
          <w:b/>
          <w:bCs/>
          <w:color w:val="002060"/>
          <w:sz w:val="24"/>
          <w:lang w:eastAsia="zh-CN"/>
        </w:rPr>
      </w:pPr>
      <w:r w:rsidRPr="008224DE">
        <w:rPr>
          <w:rFonts w:asciiTheme="minorHAnsi" w:hAnsiTheme="minorHAnsi" w:cstheme="minorHAnsi"/>
          <w:b/>
          <w:bCs/>
          <w:color w:val="002060"/>
          <w:sz w:val="24"/>
          <w:lang w:eastAsia="zh-CN"/>
        </w:rPr>
        <w:t>审计和机构</w:t>
      </w:r>
      <w:proofErr w:type="gramStart"/>
      <w:r w:rsidRPr="008224DE">
        <w:rPr>
          <w:rFonts w:asciiTheme="minorHAnsi" w:hAnsiTheme="minorHAnsi" w:cstheme="minorHAnsi"/>
          <w:b/>
          <w:bCs/>
          <w:color w:val="002060"/>
          <w:sz w:val="24"/>
          <w:lang w:eastAsia="zh-CN"/>
        </w:rPr>
        <w:t>间费用</w:t>
      </w:r>
      <w:proofErr w:type="gramEnd"/>
      <w:r w:rsidRPr="008224DE">
        <w:rPr>
          <w:rFonts w:asciiTheme="minorHAnsi" w:hAnsiTheme="minorHAnsi" w:cstheme="minorHAnsi"/>
          <w:b/>
          <w:bCs/>
          <w:color w:val="002060"/>
          <w:sz w:val="24"/>
          <w:lang w:eastAsia="zh-CN"/>
        </w:rPr>
        <w:t>及杂项</w:t>
      </w:r>
    </w:p>
    <w:p w14:paraId="747C7BF0" w14:textId="77777777" w:rsidR="0084288C" w:rsidRPr="008224DE" w:rsidRDefault="0084288C" w:rsidP="0084288C">
      <w:pPr>
        <w:pStyle w:val="NormalWeb"/>
        <w:rPr>
          <w:rFonts w:asciiTheme="minorHAnsi" w:hAnsiTheme="minorHAnsi" w:cstheme="minorHAnsi"/>
          <w:color w:val="002060"/>
          <w:sz w:val="24"/>
          <w:lang w:eastAsia="zh-CN"/>
        </w:rPr>
      </w:pPr>
      <w:r w:rsidRPr="008224DE">
        <w:rPr>
          <w:rFonts w:asciiTheme="minorHAnsi" w:hAnsiTheme="minorHAnsi" w:cstheme="minorHAnsi"/>
          <w:color w:val="002060"/>
          <w:sz w:val="24"/>
          <w:lang w:eastAsia="zh-CN"/>
        </w:rPr>
        <w:t>审计和机构间费用</w:t>
      </w:r>
    </w:p>
    <w:p w14:paraId="66AB92E8" w14:textId="50BA5A51" w:rsidR="0084288C" w:rsidRPr="00524A29" w:rsidRDefault="0084288C" w:rsidP="00286918">
      <w:pPr>
        <w:pStyle w:val="NormalWeb"/>
        <w:ind w:firstLineChars="200" w:firstLine="480"/>
        <w:rPr>
          <w:rFonts w:asciiTheme="minorHAnsi" w:hAnsiTheme="minorHAnsi" w:cstheme="minorHAnsi"/>
          <w:sz w:val="24"/>
          <w:lang w:eastAsia="zh-CN"/>
        </w:rPr>
      </w:pPr>
      <w:r w:rsidRPr="00524A29">
        <w:rPr>
          <w:sz w:val="24"/>
          <w:lang w:val="zh-CN" w:eastAsia="zh-CN"/>
        </w:rPr>
        <w:t>该费用涉及外部审计、国际电</w:t>
      </w:r>
      <w:proofErr w:type="gramStart"/>
      <w:r w:rsidRPr="00524A29">
        <w:rPr>
          <w:sz w:val="24"/>
          <w:lang w:val="zh-CN" w:eastAsia="zh-CN"/>
        </w:rPr>
        <w:t>联参加</w:t>
      </w:r>
      <w:proofErr w:type="gramEnd"/>
      <w:r w:rsidRPr="00524A29">
        <w:rPr>
          <w:sz w:val="24"/>
          <w:lang w:val="zh-CN" w:eastAsia="zh-CN"/>
        </w:rPr>
        <w:t>联合国机构间委员会和联检组等服务。</w:t>
      </w:r>
    </w:p>
    <w:p w14:paraId="5F2FBDB3" w14:textId="77777777" w:rsidR="0084288C" w:rsidRPr="00524A29" w:rsidRDefault="0084288C" w:rsidP="0084288C">
      <w:pPr>
        <w:pStyle w:val="NormalWeb"/>
        <w:rPr>
          <w:rFonts w:asciiTheme="minorHAnsi" w:hAnsiTheme="minorHAnsi" w:cstheme="minorHAnsi"/>
          <w:color w:val="002060"/>
          <w:sz w:val="24"/>
          <w:lang w:eastAsia="zh-CN"/>
        </w:rPr>
      </w:pPr>
      <w:r w:rsidRPr="008224DE">
        <w:rPr>
          <w:rFonts w:asciiTheme="minorHAnsi" w:hAnsiTheme="minorHAnsi" w:cstheme="minorHAnsi"/>
          <w:color w:val="002060"/>
          <w:sz w:val="24"/>
          <w:lang w:eastAsia="zh-CN"/>
        </w:rPr>
        <w:t>杂项</w:t>
      </w:r>
    </w:p>
    <w:p w14:paraId="458D59B0" w14:textId="1008C2A6" w:rsidR="0084288C" w:rsidRPr="00524A29" w:rsidRDefault="0084288C" w:rsidP="00286918">
      <w:pPr>
        <w:pStyle w:val="NormalWeb"/>
        <w:ind w:firstLineChars="200" w:firstLine="480"/>
        <w:rPr>
          <w:rFonts w:asciiTheme="minorHAnsi" w:hAnsiTheme="minorHAnsi" w:cstheme="minorHAnsi"/>
          <w:sz w:val="24"/>
          <w:lang w:eastAsia="zh-CN"/>
        </w:rPr>
      </w:pPr>
      <w:r w:rsidRPr="00524A29">
        <w:rPr>
          <w:sz w:val="24"/>
          <w:lang w:val="zh-CN" w:eastAsia="zh-CN"/>
        </w:rPr>
        <w:t>所有费用均应归属于上述费用类别之一。但是，预计但不能合理地归入其中一类的支出必须归入</w:t>
      </w:r>
      <w:r w:rsidR="007D07CF" w:rsidRPr="00524A29">
        <w:rPr>
          <w:rFonts w:hint="eastAsia"/>
          <w:sz w:val="24"/>
          <w:lang w:val="zh-CN" w:eastAsia="zh-CN"/>
        </w:rPr>
        <w:t>“杂项”</w:t>
      </w:r>
      <w:r w:rsidRPr="00524A29">
        <w:rPr>
          <w:sz w:val="24"/>
          <w:lang w:val="zh-CN" w:eastAsia="zh-CN"/>
        </w:rPr>
        <w:t>。</w:t>
      </w:r>
    </w:p>
    <w:p w14:paraId="041CF9D2" w14:textId="77777777" w:rsidR="00877EBF" w:rsidRDefault="00877EBF" w:rsidP="00411C49">
      <w:pPr>
        <w:pStyle w:val="Reasons"/>
        <w:rPr>
          <w:lang w:eastAsia="zh-CN"/>
        </w:rPr>
      </w:pPr>
    </w:p>
    <w:p w14:paraId="35C6D0A5" w14:textId="2797D241" w:rsidR="007A3FCD" w:rsidRPr="00C0458D" w:rsidRDefault="00877EBF" w:rsidP="00877EBF">
      <w:pPr>
        <w:jc w:val="center"/>
        <w:rPr>
          <w:lang w:eastAsia="zh-CN"/>
        </w:rPr>
      </w:pPr>
      <w:r>
        <w:t>______________</w:t>
      </w:r>
    </w:p>
    <w:sectPr w:rsidR="007A3FCD" w:rsidRPr="00C0458D" w:rsidSect="00AD3606">
      <w:footerReference w:type="default" r:id="rId79"/>
      <w:headerReference w:type="first" r:id="rId80"/>
      <w:footerReference w:type="first" r:id="rId8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8297" w14:textId="77777777" w:rsidR="006F34A8" w:rsidRDefault="006F34A8">
      <w:r>
        <w:separator/>
      </w:r>
    </w:p>
  </w:endnote>
  <w:endnote w:type="continuationSeparator" w:id="0">
    <w:p w14:paraId="4C5243B4" w14:textId="77777777" w:rsidR="006F34A8" w:rsidRDefault="006F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4288C" w:rsidRPr="00784011" w14:paraId="73335346" w14:textId="77777777" w:rsidTr="0042469C">
      <w:trPr>
        <w:jc w:val="center"/>
      </w:trPr>
      <w:tc>
        <w:tcPr>
          <w:tcW w:w="1803" w:type="dxa"/>
          <w:vAlign w:val="center"/>
        </w:tcPr>
        <w:p w14:paraId="5AB690B9" w14:textId="7A775EFB" w:rsidR="0084288C" w:rsidRDefault="0084288C" w:rsidP="00EE49E8">
          <w:pPr>
            <w:pStyle w:val="Header"/>
            <w:jc w:val="left"/>
          </w:pPr>
          <w:r>
            <w:rPr>
              <w:lang w:val="zh-CN"/>
            </w:rPr>
            <w:t>gDoc#</w:t>
          </w:r>
        </w:p>
      </w:tc>
      <w:tc>
        <w:tcPr>
          <w:tcW w:w="8261" w:type="dxa"/>
        </w:tcPr>
        <w:p w14:paraId="28DAF69B" w14:textId="4559A872" w:rsidR="0084288C" w:rsidRPr="00E06FD5" w:rsidRDefault="0084288C" w:rsidP="00834FA0">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47</w:t>
          </w:r>
          <w:r w:rsidRPr="00623AE3">
            <w:rPr>
              <w:bCs/>
            </w:rPr>
            <w:t>-</w:t>
          </w:r>
          <w:r w:rsidR="00834FA0">
            <w:rPr>
              <w:rFonts w:eastAsiaTheme="minorEastAsia" w:hint="eastAsia"/>
              <w:bCs/>
              <w:lang w:eastAsia="zh-CN"/>
            </w:rPr>
            <w:t>C</w:t>
          </w:r>
          <w:r>
            <w:rPr>
              <w:bCs/>
            </w:rPr>
            <w:tab/>
          </w:r>
          <w:r>
            <w:fldChar w:fldCharType="begin"/>
          </w:r>
          <w:r>
            <w:instrText>PAGE</w:instrText>
          </w:r>
          <w:r>
            <w:fldChar w:fldCharType="separate"/>
          </w:r>
          <w:r>
            <w:t>1</w:t>
          </w:r>
          <w:r>
            <w:fldChar w:fldCharType="end"/>
          </w:r>
        </w:p>
      </w:tc>
    </w:tr>
  </w:tbl>
  <w:p w14:paraId="130EA2C3" w14:textId="77777777" w:rsidR="0084288C" w:rsidRPr="00DB1936" w:rsidRDefault="0084288C"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1F4804" w:rsidRPr="00784011" w14:paraId="19F47E05" w14:textId="77777777" w:rsidTr="001F4804">
      <w:trPr>
        <w:jc w:val="center"/>
      </w:trPr>
      <w:tc>
        <w:tcPr>
          <w:tcW w:w="1803" w:type="dxa"/>
          <w:vAlign w:val="center"/>
        </w:tcPr>
        <w:p w14:paraId="6C44F8E6" w14:textId="23914445" w:rsidR="001F4804" w:rsidRDefault="001F4804" w:rsidP="001F4804">
          <w:pPr>
            <w:pStyle w:val="Header"/>
            <w:jc w:val="left"/>
          </w:pPr>
          <w:hyperlink r:id="rId1" w:history="1">
            <w:r w:rsidRPr="00E34C96">
              <w:rPr>
                <w:rStyle w:val="Hyperlink"/>
              </w:rPr>
              <w:t>council.itu.int/2025</w:t>
            </w:r>
          </w:hyperlink>
        </w:p>
      </w:tc>
      <w:tc>
        <w:tcPr>
          <w:tcW w:w="8261" w:type="dxa"/>
        </w:tcPr>
        <w:p w14:paraId="46327D0F" w14:textId="1C314C50" w:rsidR="001F4804" w:rsidRPr="00E06FD5" w:rsidRDefault="001F4804" w:rsidP="001F4804">
          <w:pPr>
            <w:pStyle w:val="Header"/>
            <w:tabs>
              <w:tab w:val="left" w:pos="6740"/>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47</w:t>
          </w:r>
          <w:r w:rsidRPr="00623AE3">
            <w:rPr>
              <w:bCs/>
            </w:rPr>
            <w:t>-</w:t>
          </w:r>
          <w:r w:rsidRPr="00CE3E2A">
            <w:rPr>
              <w:rFonts w:asciiTheme="minorHAnsi" w:eastAsiaTheme="minorEastAsia" w:hAnsiTheme="minorHAnsi" w:cstheme="minorHAnsi"/>
              <w:bCs/>
              <w:lang w:eastAsia="zh-CN"/>
            </w:rPr>
            <w:t>C</w:t>
          </w:r>
          <w:r>
            <w:rPr>
              <w:bCs/>
            </w:rPr>
            <w:tab/>
          </w:r>
          <w:r>
            <w:fldChar w:fldCharType="begin"/>
          </w:r>
          <w:r>
            <w:instrText>PAGE</w:instrText>
          </w:r>
          <w:r>
            <w:fldChar w:fldCharType="separate"/>
          </w:r>
          <w:r>
            <w:t>1</w:t>
          </w:r>
          <w:r>
            <w:fldChar w:fldCharType="end"/>
          </w:r>
        </w:p>
      </w:tc>
    </w:tr>
  </w:tbl>
  <w:p w14:paraId="539349ED" w14:textId="77777777" w:rsidR="0084288C" w:rsidRPr="00623AE3" w:rsidRDefault="0084288C"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4288C" w:rsidRPr="00784011" w14:paraId="144306A5" w14:textId="77777777" w:rsidTr="0042469C">
      <w:trPr>
        <w:jc w:val="center"/>
      </w:trPr>
      <w:tc>
        <w:tcPr>
          <w:tcW w:w="1803" w:type="dxa"/>
          <w:vAlign w:val="center"/>
        </w:tcPr>
        <w:p w14:paraId="2DEE05FF" w14:textId="77777777" w:rsidR="0084288C" w:rsidRDefault="0084288C" w:rsidP="00EE49E8">
          <w:pPr>
            <w:pStyle w:val="Header"/>
            <w:jc w:val="left"/>
          </w:pPr>
          <w:r>
            <w:rPr>
              <w:lang w:val="zh-CN"/>
            </w:rPr>
            <w:t>gDoc#</w:t>
          </w:r>
        </w:p>
      </w:tc>
      <w:tc>
        <w:tcPr>
          <w:tcW w:w="8261" w:type="dxa"/>
        </w:tcPr>
        <w:p w14:paraId="1F68D869" w14:textId="03962067" w:rsidR="0084288C" w:rsidRPr="00E06FD5" w:rsidRDefault="0084288C" w:rsidP="00834FA0">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47</w:t>
          </w:r>
          <w:r w:rsidRPr="00623AE3">
            <w:rPr>
              <w:bCs/>
            </w:rPr>
            <w:t>-</w:t>
          </w:r>
          <w:r w:rsidR="00834FA0">
            <w:rPr>
              <w:rFonts w:eastAsiaTheme="minorEastAsia" w:hint="eastAsia"/>
              <w:bCs/>
              <w:lang w:eastAsia="zh-CN"/>
            </w:rPr>
            <w:t>C</w:t>
          </w:r>
          <w:r>
            <w:rPr>
              <w:bCs/>
            </w:rPr>
            <w:tab/>
          </w:r>
          <w:r>
            <w:fldChar w:fldCharType="begin"/>
          </w:r>
          <w:r>
            <w:instrText>PAGE</w:instrText>
          </w:r>
          <w:r>
            <w:fldChar w:fldCharType="separate"/>
          </w:r>
          <w:r>
            <w:t>1</w:t>
          </w:r>
          <w:r>
            <w:fldChar w:fldCharType="end"/>
          </w:r>
        </w:p>
      </w:tc>
    </w:tr>
  </w:tbl>
  <w:p w14:paraId="6A629AE4" w14:textId="77777777" w:rsidR="0084288C" w:rsidRPr="00DB1936" w:rsidRDefault="0084288C"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4288C" w:rsidRPr="00784011" w14:paraId="52C0E49D" w14:textId="77777777" w:rsidTr="00DE3969">
      <w:trPr>
        <w:jc w:val="center"/>
      </w:trPr>
      <w:tc>
        <w:tcPr>
          <w:tcW w:w="1803" w:type="dxa"/>
          <w:vAlign w:val="center"/>
        </w:tcPr>
        <w:p w14:paraId="23D75A79" w14:textId="77777777" w:rsidR="0084288C" w:rsidRDefault="0084288C" w:rsidP="00EA22B4">
          <w:pPr>
            <w:pStyle w:val="Header"/>
            <w:jc w:val="left"/>
          </w:pPr>
          <w:r>
            <w:rPr>
              <w:lang w:val="zh-CN"/>
            </w:rPr>
            <w:t>gDoc#</w:t>
          </w:r>
        </w:p>
      </w:tc>
      <w:tc>
        <w:tcPr>
          <w:tcW w:w="8261" w:type="dxa"/>
        </w:tcPr>
        <w:p w14:paraId="17B696B9" w14:textId="4B2DF2C5" w:rsidR="0084288C" w:rsidRPr="00E06FD5" w:rsidRDefault="0084288C" w:rsidP="00834FA0">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47</w:t>
          </w:r>
          <w:r w:rsidRPr="00623AE3">
            <w:rPr>
              <w:bCs/>
            </w:rPr>
            <w:t>-</w:t>
          </w:r>
          <w:r w:rsidR="00834FA0">
            <w:rPr>
              <w:rFonts w:eastAsiaTheme="minorEastAsia" w:hint="eastAsia"/>
              <w:bCs/>
              <w:lang w:eastAsia="zh-CN"/>
            </w:rPr>
            <w:t>C</w:t>
          </w:r>
          <w:r>
            <w:rPr>
              <w:bCs/>
            </w:rPr>
            <w:tab/>
          </w:r>
          <w:r>
            <w:fldChar w:fldCharType="begin"/>
          </w:r>
          <w:r>
            <w:instrText>PAGE</w:instrText>
          </w:r>
          <w:r>
            <w:fldChar w:fldCharType="separate"/>
          </w:r>
          <w:r>
            <w:t>1</w:t>
          </w:r>
          <w:r>
            <w:fldChar w:fldCharType="end"/>
          </w:r>
        </w:p>
      </w:tc>
    </w:tr>
  </w:tbl>
  <w:p w14:paraId="4D0F37B9" w14:textId="77777777" w:rsidR="0084288C" w:rsidRPr="00623AE3" w:rsidRDefault="0084288C" w:rsidP="00EE49E8">
    <w:pPr>
      <w:pStyle w:val="Header"/>
      <w:tabs>
        <w:tab w:val="left" w:pos="8080"/>
        <w:tab w:val="right" w:pos="9072"/>
      </w:tabs>
      <w:jc w:val="right"/>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224DE" w:rsidRPr="00784011" w14:paraId="790C9125" w14:textId="77777777" w:rsidTr="003A2629">
      <w:trPr>
        <w:jc w:val="center"/>
      </w:trPr>
      <w:tc>
        <w:tcPr>
          <w:tcW w:w="1803" w:type="dxa"/>
          <w:vAlign w:val="center"/>
        </w:tcPr>
        <w:p w14:paraId="424D2CD5" w14:textId="77777777" w:rsidR="008224DE" w:rsidRDefault="008224DE" w:rsidP="008224DE">
          <w:pPr>
            <w:pStyle w:val="Header"/>
            <w:jc w:val="left"/>
          </w:pPr>
          <w:r>
            <w:rPr>
              <w:lang w:val="zh-CN"/>
            </w:rPr>
            <w:t>gDoc#</w:t>
          </w:r>
        </w:p>
      </w:tc>
      <w:tc>
        <w:tcPr>
          <w:tcW w:w="8261" w:type="dxa"/>
        </w:tcPr>
        <w:p w14:paraId="25BDAFC3" w14:textId="77777777" w:rsidR="008224DE" w:rsidRPr="00E06FD5" w:rsidRDefault="008224DE" w:rsidP="008224DE">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47</w:t>
          </w:r>
          <w:r w:rsidRPr="00623AE3">
            <w:rPr>
              <w:bCs/>
            </w:rPr>
            <w:t>-</w:t>
          </w:r>
          <w:r>
            <w:rPr>
              <w:rFonts w:eastAsiaTheme="minorEastAsia" w:hint="eastAsia"/>
              <w:bCs/>
              <w:lang w:eastAsia="zh-CN"/>
            </w:rPr>
            <w:t>C</w:t>
          </w:r>
          <w:r>
            <w:rPr>
              <w:bCs/>
            </w:rPr>
            <w:tab/>
          </w:r>
          <w:r>
            <w:fldChar w:fldCharType="begin"/>
          </w:r>
          <w:r>
            <w:instrText>PAGE</w:instrText>
          </w:r>
          <w:r>
            <w:fldChar w:fldCharType="separate"/>
          </w:r>
          <w:r>
            <w:t>7</w:t>
          </w:r>
          <w:r>
            <w:fldChar w:fldCharType="end"/>
          </w:r>
        </w:p>
      </w:tc>
    </w:tr>
  </w:tbl>
  <w:p w14:paraId="4B3FBF10" w14:textId="77777777" w:rsidR="00EE49E8" w:rsidRPr="008224DE" w:rsidRDefault="00EE49E8" w:rsidP="008224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224DE" w:rsidRPr="00784011" w14:paraId="75B27AE8" w14:textId="77777777" w:rsidTr="003A2629">
      <w:trPr>
        <w:jc w:val="center"/>
      </w:trPr>
      <w:tc>
        <w:tcPr>
          <w:tcW w:w="1803" w:type="dxa"/>
          <w:vAlign w:val="center"/>
        </w:tcPr>
        <w:p w14:paraId="275CB521" w14:textId="77777777" w:rsidR="008224DE" w:rsidRDefault="008224DE" w:rsidP="008224DE">
          <w:pPr>
            <w:pStyle w:val="Header"/>
            <w:jc w:val="left"/>
          </w:pPr>
          <w:r>
            <w:rPr>
              <w:lang w:val="zh-CN"/>
            </w:rPr>
            <w:t>gDoc#</w:t>
          </w:r>
        </w:p>
      </w:tc>
      <w:tc>
        <w:tcPr>
          <w:tcW w:w="8261" w:type="dxa"/>
        </w:tcPr>
        <w:p w14:paraId="2A9D7587" w14:textId="77777777" w:rsidR="008224DE" w:rsidRPr="00E06FD5" w:rsidRDefault="008224DE" w:rsidP="008224DE">
          <w:pPr>
            <w:pStyle w:val="Header"/>
            <w:tabs>
              <w:tab w:val="left" w:pos="6739"/>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47</w:t>
          </w:r>
          <w:r w:rsidRPr="00623AE3">
            <w:rPr>
              <w:bCs/>
            </w:rPr>
            <w:t>-</w:t>
          </w:r>
          <w:r>
            <w:rPr>
              <w:rFonts w:eastAsiaTheme="minorEastAsia" w:hint="eastAsia"/>
              <w:bCs/>
              <w:lang w:eastAsia="zh-CN"/>
            </w:rPr>
            <w:t>C</w:t>
          </w:r>
          <w:r>
            <w:rPr>
              <w:bCs/>
            </w:rPr>
            <w:tab/>
          </w:r>
          <w:r>
            <w:fldChar w:fldCharType="begin"/>
          </w:r>
          <w:r>
            <w:instrText>PAGE</w:instrText>
          </w:r>
          <w:r>
            <w:fldChar w:fldCharType="separate"/>
          </w:r>
          <w:r>
            <w:t>7</w:t>
          </w:r>
          <w:r>
            <w:fldChar w:fldCharType="end"/>
          </w:r>
        </w:p>
      </w:tc>
    </w:tr>
  </w:tbl>
  <w:p w14:paraId="7E78F19F" w14:textId="77777777" w:rsidR="00A514A4" w:rsidRPr="008224DE" w:rsidRDefault="00A514A4" w:rsidP="00822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97E7" w14:textId="77777777" w:rsidR="006F34A8" w:rsidRDefault="006F34A8">
      <w:r>
        <w:t>____________________</w:t>
      </w:r>
    </w:p>
  </w:footnote>
  <w:footnote w:type="continuationSeparator" w:id="0">
    <w:p w14:paraId="0A515F77" w14:textId="77777777" w:rsidR="006F34A8" w:rsidRDefault="006F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CE3E2A" w:rsidRPr="00784011" w14:paraId="364DF237" w14:textId="77777777" w:rsidTr="00E60D83">
      <w:trPr>
        <w:trHeight w:val="1104"/>
        <w:jc w:val="center"/>
      </w:trPr>
      <w:tc>
        <w:tcPr>
          <w:tcW w:w="4390" w:type="dxa"/>
          <w:vAlign w:val="center"/>
        </w:tcPr>
        <w:p w14:paraId="7C97B3A9" w14:textId="77777777" w:rsidR="00CE3E2A" w:rsidRPr="009621F8" w:rsidRDefault="00CE3E2A" w:rsidP="00CE3E2A">
          <w:pPr>
            <w:pStyle w:val="Header"/>
            <w:jc w:val="left"/>
            <w:rPr>
              <w:rFonts w:ascii="Arial" w:hAnsi="Arial" w:cs="Arial"/>
              <w:b/>
              <w:bCs/>
              <w:color w:val="009CD6"/>
              <w:sz w:val="36"/>
              <w:szCs w:val="36"/>
            </w:rPr>
          </w:pPr>
          <w:r>
            <w:rPr>
              <w:rFonts w:ascii="Arial" w:hAnsi="Arial" w:cs="Arial"/>
              <w:b/>
              <w:bCs/>
              <w:noProof/>
              <w:color w:val="009CD6"/>
              <w:sz w:val="36"/>
              <w:szCs w:val="36"/>
            </w:rPr>
            <w:drawing>
              <wp:inline distT="0" distB="0" distL="0" distR="0" wp14:anchorId="4D342875" wp14:editId="6500E313">
                <wp:extent cx="3007478" cy="575945"/>
                <wp:effectExtent l="0" t="0" r="0" b="0"/>
                <wp:docPr id="1443989957"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62D450EE" w14:textId="77777777" w:rsidR="00CE3E2A" w:rsidRDefault="00CE3E2A" w:rsidP="00CE3E2A">
          <w:pPr>
            <w:pStyle w:val="Header"/>
            <w:jc w:val="right"/>
            <w:rPr>
              <w:rFonts w:ascii="Arial" w:hAnsi="Arial" w:cs="Arial"/>
              <w:b/>
              <w:bCs/>
              <w:color w:val="009CD6"/>
              <w:szCs w:val="18"/>
            </w:rPr>
          </w:pPr>
        </w:p>
        <w:p w14:paraId="0631A217" w14:textId="77777777" w:rsidR="00CE3E2A" w:rsidRDefault="00CE3E2A" w:rsidP="00CE3E2A">
          <w:pPr>
            <w:pStyle w:val="Header"/>
            <w:jc w:val="right"/>
            <w:rPr>
              <w:rFonts w:ascii="Arial" w:hAnsi="Arial" w:cs="Arial"/>
              <w:b/>
              <w:bCs/>
              <w:color w:val="009CD6"/>
              <w:szCs w:val="18"/>
            </w:rPr>
          </w:pPr>
        </w:p>
        <w:p w14:paraId="392407D9" w14:textId="77777777" w:rsidR="00CE3E2A" w:rsidRPr="00784011" w:rsidRDefault="00CE3E2A" w:rsidP="00CE3E2A">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5E2D28B" w14:textId="335AF4A1" w:rsidR="0084288C" w:rsidRPr="00CE3E2A" w:rsidRDefault="00CE3E2A" w:rsidP="00CE3E2A">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6E14302F" wp14:editId="17896493">
              <wp:simplePos x="0" y="0"/>
              <wp:positionH relativeFrom="page">
                <wp:posOffset>22225</wp:posOffset>
              </wp:positionH>
              <wp:positionV relativeFrom="topMargin">
                <wp:posOffset>617694</wp:posOffset>
              </wp:positionV>
              <wp:extent cx="92075" cy="360680"/>
              <wp:effectExtent l="0" t="0" r="3175" b="1270"/>
              <wp:wrapNone/>
              <wp:docPr id="465463482" name="Rectangle 465463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FBA99" id="Rectangle 465463482" o:spid="_x0000_s1026" style="position:absolute;margin-left:1.75pt;margin-top:48.6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BB7C" w14:textId="77777777" w:rsidR="0084288C" w:rsidRDefault="00842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ADA7" w14:textId="77777777" w:rsidR="0084288C" w:rsidRPr="00EA22B4" w:rsidRDefault="0084288C" w:rsidP="00EA22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4958" w14:textId="5FC2C45A" w:rsidR="00AD3606" w:rsidRPr="00834FA0" w:rsidRDefault="00AD3606" w:rsidP="0083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78B"/>
    <w:multiLevelType w:val="hybridMultilevel"/>
    <w:tmpl w:val="6CD0DC38"/>
    <w:lvl w:ilvl="0" w:tplc="9F1A31CA">
      <w:numFmt w:val="bullet"/>
      <w:lvlText w:val="-"/>
      <w:lvlJc w:val="left"/>
      <w:pPr>
        <w:ind w:left="920" w:hanging="5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F7446"/>
    <w:multiLevelType w:val="hybridMultilevel"/>
    <w:tmpl w:val="DBEA5F38"/>
    <w:lvl w:ilvl="0" w:tplc="9F1A31CA">
      <w:numFmt w:val="bullet"/>
      <w:lvlText w:val="-"/>
      <w:lvlJc w:val="left"/>
      <w:pPr>
        <w:ind w:left="920" w:hanging="5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31053"/>
    <w:multiLevelType w:val="hybridMultilevel"/>
    <w:tmpl w:val="FBA23ED0"/>
    <w:lvl w:ilvl="0" w:tplc="1D3A9D5C">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9"/>
  </w:num>
  <w:num w:numId="2" w16cid:durableId="526060877">
    <w:abstractNumId w:val="7"/>
  </w:num>
  <w:num w:numId="3" w16cid:durableId="1517227191">
    <w:abstractNumId w:val="6"/>
  </w:num>
  <w:num w:numId="4" w16cid:durableId="2083940608">
    <w:abstractNumId w:val="5"/>
  </w:num>
  <w:num w:numId="5" w16cid:durableId="1440831355">
    <w:abstractNumId w:val="4"/>
  </w:num>
  <w:num w:numId="6" w16cid:durableId="1469274345">
    <w:abstractNumId w:val="8"/>
  </w:num>
  <w:num w:numId="7" w16cid:durableId="1595625436">
    <w:abstractNumId w:val="3"/>
  </w:num>
  <w:num w:numId="8" w16cid:durableId="1047339128">
    <w:abstractNumId w:val="2"/>
  </w:num>
  <w:num w:numId="9" w16cid:durableId="637880343">
    <w:abstractNumId w:val="1"/>
  </w:num>
  <w:num w:numId="10" w16cid:durableId="1781563013">
    <w:abstractNumId w:val="0"/>
  </w:num>
  <w:num w:numId="11" w16cid:durableId="1859080470">
    <w:abstractNumId w:val="8"/>
  </w:num>
  <w:num w:numId="12" w16cid:durableId="155414043">
    <w:abstractNumId w:val="3"/>
  </w:num>
  <w:num w:numId="13" w16cid:durableId="2041319012">
    <w:abstractNumId w:val="2"/>
  </w:num>
  <w:num w:numId="14" w16cid:durableId="954947632">
    <w:abstractNumId w:val="1"/>
  </w:num>
  <w:num w:numId="15" w16cid:durableId="1399134059">
    <w:abstractNumId w:val="0"/>
  </w:num>
  <w:num w:numId="16" w16cid:durableId="738600626">
    <w:abstractNumId w:val="8"/>
  </w:num>
  <w:num w:numId="17" w16cid:durableId="224611617">
    <w:abstractNumId w:val="3"/>
  </w:num>
  <w:num w:numId="18" w16cid:durableId="525951670">
    <w:abstractNumId w:val="2"/>
  </w:num>
  <w:num w:numId="19" w16cid:durableId="74590421">
    <w:abstractNumId w:val="1"/>
  </w:num>
  <w:num w:numId="20" w16cid:durableId="1917863451">
    <w:abstractNumId w:val="0"/>
  </w:num>
  <w:num w:numId="21" w16cid:durableId="1168716127">
    <w:abstractNumId w:val="8"/>
  </w:num>
  <w:num w:numId="22" w16cid:durableId="85929431">
    <w:abstractNumId w:val="3"/>
  </w:num>
  <w:num w:numId="23" w16cid:durableId="676469403">
    <w:abstractNumId w:val="2"/>
  </w:num>
  <w:num w:numId="24" w16cid:durableId="945383661">
    <w:abstractNumId w:val="1"/>
  </w:num>
  <w:num w:numId="25" w16cid:durableId="1134104765">
    <w:abstractNumId w:val="0"/>
  </w:num>
  <w:num w:numId="26" w16cid:durableId="1675842533">
    <w:abstractNumId w:val="10"/>
    <w:lvlOverride w:ilvl="0">
      <w:lvl w:ilvl="0" w:tplc="9F1A31CA">
        <w:numFmt w:val="bullet"/>
        <w:lvlText w:val="-"/>
        <w:lvlJc w:val="left"/>
        <w:pPr>
          <w:ind w:left="920" w:hanging="560"/>
        </w:pPr>
        <w:rPr>
          <w:rFonts w:ascii="Calibri" w:eastAsia="Times New Roman" w:hAnsi="Calibri" w:cs="Calibri" w:hint="default"/>
        </w:rPr>
      </w:lvl>
    </w:lvlOverride>
  </w:num>
  <w:num w:numId="27" w16cid:durableId="1641109520">
    <w:abstractNumId w:val="11"/>
    <w:lvlOverride w:ilvl="0">
      <w:lvl w:ilvl="0" w:tplc="9F1A31CA">
        <w:numFmt w:val="bullet"/>
        <w:lvlText w:val="-"/>
        <w:lvlJc w:val="left"/>
        <w:pPr>
          <w:ind w:left="920" w:hanging="560"/>
        </w:pPr>
        <w:rPr>
          <w:rFonts w:ascii="Calibri" w:eastAsia="Times New Roman" w:hAnsi="Calibri" w:cs="Calibri" w:hint="default"/>
        </w:rPr>
      </w:lvl>
    </w:lvlOverride>
  </w:num>
  <w:num w:numId="28" w16cid:durableId="818619002">
    <w:abstractNumId w:val="12"/>
    <w:lvlOverride w:ilvl="0">
      <w:lvl w:ilvl="0" w:tplc="1D3A9D5C">
        <w:start w:val="1"/>
        <w:numFmt w:val="bullet"/>
        <w:lvlText w:val="-"/>
        <w:lvlJc w:val="left"/>
        <w:pPr>
          <w:ind w:left="720" w:hanging="360"/>
        </w:pPr>
        <w:rPr>
          <w:rFonts w:ascii="Calibri" w:eastAsia="Times New Roman"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948"/>
    <w:rsid w:val="00017D23"/>
    <w:rsid w:val="000210D4"/>
    <w:rsid w:val="000545C1"/>
    <w:rsid w:val="0006007D"/>
    <w:rsid w:val="00063016"/>
    <w:rsid w:val="00066795"/>
    <w:rsid w:val="000745AB"/>
    <w:rsid w:val="00076AF6"/>
    <w:rsid w:val="00085CF2"/>
    <w:rsid w:val="000A5F1E"/>
    <w:rsid w:val="000B1705"/>
    <w:rsid w:val="000D1E54"/>
    <w:rsid w:val="000D5E59"/>
    <w:rsid w:val="000D75B2"/>
    <w:rsid w:val="000D7B3D"/>
    <w:rsid w:val="000F104D"/>
    <w:rsid w:val="000F5DDB"/>
    <w:rsid w:val="000F6A9D"/>
    <w:rsid w:val="000F7289"/>
    <w:rsid w:val="00100E86"/>
    <w:rsid w:val="001121F5"/>
    <w:rsid w:val="0011568F"/>
    <w:rsid w:val="0013555B"/>
    <w:rsid w:val="001400DC"/>
    <w:rsid w:val="00140CE1"/>
    <w:rsid w:val="00172FB7"/>
    <w:rsid w:val="0017539C"/>
    <w:rsid w:val="00175AC2"/>
    <w:rsid w:val="0017609F"/>
    <w:rsid w:val="0017750B"/>
    <w:rsid w:val="0019018D"/>
    <w:rsid w:val="001A3154"/>
    <w:rsid w:val="001A7D1D"/>
    <w:rsid w:val="001B51DD"/>
    <w:rsid w:val="001C628E"/>
    <w:rsid w:val="001D4E68"/>
    <w:rsid w:val="001E0F7B"/>
    <w:rsid w:val="001F4804"/>
    <w:rsid w:val="001F5569"/>
    <w:rsid w:val="002119FD"/>
    <w:rsid w:val="002130E0"/>
    <w:rsid w:val="00221F46"/>
    <w:rsid w:val="00231948"/>
    <w:rsid w:val="00235FC4"/>
    <w:rsid w:val="00264425"/>
    <w:rsid w:val="00265875"/>
    <w:rsid w:val="0027303B"/>
    <w:rsid w:val="00280689"/>
    <w:rsid w:val="0028109B"/>
    <w:rsid w:val="002857A2"/>
    <w:rsid w:val="00286918"/>
    <w:rsid w:val="002947DF"/>
    <w:rsid w:val="002A2188"/>
    <w:rsid w:val="002B1F58"/>
    <w:rsid w:val="002B5C7F"/>
    <w:rsid w:val="002C1C7A"/>
    <w:rsid w:val="002C54E2"/>
    <w:rsid w:val="002E46E6"/>
    <w:rsid w:val="002E5016"/>
    <w:rsid w:val="0030160F"/>
    <w:rsid w:val="00320223"/>
    <w:rsid w:val="00322D0D"/>
    <w:rsid w:val="003241A0"/>
    <w:rsid w:val="003446A7"/>
    <w:rsid w:val="003457FB"/>
    <w:rsid w:val="00346896"/>
    <w:rsid w:val="00356410"/>
    <w:rsid w:val="003600B8"/>
    <w:rsid w:val="00361465"/>
    <w:rsid w:val="00377BEA"/>
    <w:rsid w:val="00384265"/>
    <w:rsid w:val="003877F5"/>
    <w:rsid w:val="003936D3"/>
    <w:rsid w:val="003942D4"/>
    <w:rsid w:val="003958A8"/>
    <w:rsid w:val="003A0833"/>
    <w:rsid w:val="003B29C2"/>
    <w:rsid w:val="003B68CC"/>
    <w:rsid w:val="003B79CD"/>
    <w:rsid w:val="003C0B3B"/>
    <w:rsid w:val="003C2533"/>
    <w:rsid w:val="003D5A7F"/>
    <w:rsid w:val="0040435A"/>
    <w:rsid w:val="0040719A"/>
    <w:rsid w:val="00416A24"/>
    <w:rsid w:val="004246E6"/>
    <w:rsid w:val="00427BFF"/>
    <w:rsid w:val="00431D9E"/>
    <w:rsid w:val="00433CE8"/>
    <w:rsid w:val="00434A5C"/>
    <w:rsid w:val="004515B4"/>
    <w:rsid w:val="00453079"/>
    <w:rsid w:val="004544D9"/>
    <w:rsid w:val="0046293D"/>
    <w:rsid w:val="00472BAD"/>
    <w:rsid w:val="004811F8"/>
    <w:rsid w:val="00484009"/>
    <w:rsid w:val="0048721C"/>
    <w:rsid w:val="00490E72"/>
    <w:rsid w:val="00491157"/>
    <w:rsid w:val="00491BA9"/>
    <w:rsid w:val="004921C8"/>
    <w:rsid w:val="00495B0B"/>
    <w:rsid w:val="004A1B8B"/>
    <w:rsid w:val="004B25A1"/>
    <w:rsid w:val="004C4114"/>
    <w:rsid w:val="004D148E"/>
    <w:rsid w:val="004D1851"/>
    <w:rsid w:val="004D599D"/>
    <w:rsid w:val="004E2EA5"/>
    <w:rsid w:val="004E3AEB"/>
    <w:rsid w:val="0050223C"/>
    <w:rsid w:val="005243FF"/>
    <w:rsid w:val="00524A29"/>
    <w:rsid w:val="00527D71"/>
    <w:rsid w:val="0053208B"/>
    <w:rsid w:val="005448DF"/>
    <w:rsid w:val="00564FBC"/>
    <w:rsid w:val="00565382"/>
    <w:rsid w:val="005800BC"/>
    <w:rsid w:val="00582442"/>
    <w:rsid w:val="00594298"/>
    <w:rsid w:val="005A47FF"/>
    <w:rsid w:val="005C6A42"/>
    <w:rsid w:val="005F3269"/>
    <w:rsid w:val="00623AE3"/>
    <w:rsid w:val="00630C4D"/>
    <w:rsid w:val="00644EC6"/>
    <w:rsid w:val="0064737F"/>
    <w:rsid w:val="006535F1"/>
    <w:rsid w:val="0065557D"/>
    <w:rsid w:val="00657101"/>
    <w:rsid w:val="00660D50"/>
    <w:rsid w:val="00662984"/>
    <w:rsid w:val="00667348"/>
    <w:rsid w:val="006679D9"/>
    <w:rsid w:val="00670DAF"/>
    <w:rsid w:val="006716BB"/>
    <w:rsid w:val="006941E4"/>
    <w:rsid w:val="006B1859"/>
    <w:rsid w:val="006B6680"/>
    <w:rsid w:val="006B6DCC"/>
    <w:rsid w:val="006B77F1"/>
    <w:rsid w:val="006C5ECF"/>
    <w:rsid w:val="006C7CEC"/>
    <w:rsid w:val="006D3301"/>
    <w:rsid w:val="006D6BA3"/>
    <w:rsid w:val="006F34A8"/>
    <w:rsid w:val="00702DEF"/>
    <w:rsid w:val="00703251"/>
    <w:rsid w:val="00706861"/>
    <w:rsid w:val="00721F25"/>
    <w:rsid w:val="00722551"/>
    <w:rsid w:val="00733898"/>
    <w:rsid w:val="00734D0B"/>
    <w:rsid w:val="0075051B"/>
    <w:rsid w:val="0077110E"/>
    <w:rsid w:val="00783697"/>
    <w:rsid w:val="00791B97"/>
    <w:rsid w:val="00793188"/>
    <w:rsid w:val="00794D34"/>
    <w:rsid w:val="007A3FCD"/>
    <w:rsid w:val="007A7D17"/>
    <w:rsid w:val="007B19CF"/>
    <w:rsid w:val="007D01AF"/>
    <w:rsid w:val="007D07CF"/>
    <w:rsid w:val="007E0D1E"/>
    <w:rsid w:val="007E5253"/>
    <w:rsid w:val="00800608"/>
    <w:rsid w:val="00810DC9"/>
    <w:rsid w:val="00813E5E"/>
    <w:rsid w:val="00815BDD"/>
    <w:rsid w:val="008202EA"/>
    <w:rsid w:val="008224DE"/>
    <w:rsid w:val="008338C5"/>
    <w:rsid w:val="00834FA0"/>
    <w:rsid w:val="0083581B"/>
    <w:rsid w:val="0084288C"/>
    <w:rsid w:val="00845BBD"/>
    <w:rsid w:val="00861D8E"/>
    <w:rsid w:val="00863874"/>
    <w:rsid w:val="00864AFF"/>
    <w:rsid w:val="00865925"/>
    <w:rsid w:val="00877EBF"/>
    <w:rsid w:val="00883754"/>
    <w:rsid w:val="008B4A6A"/>
    <w:rsid w:val="008C3E60"/>
    <w:rsid w:val="008C7E27"/>
    <w:rsid w:val="008F7448"/>
    <w:rsid w:val="0090147A"/>
    <w:rsid w:val="009026A2"/>
    <w:rsid w:val="009173EF"/>
    <w:rsid w:val="00924C8F"/>
    <w:rsid w:val="00926287"/>
    <w:rsid w:val="00932906"/>
    <w:rsid w:val="00961B0B"/>
    <w:rsid w:val="00962D33"/>
    <w:rsid w:val="0096453C"/>
    <w:rsid w:val="00971A49"/>
    <w:rsid w:val="009836D5"/>
    <w:rsid w:val="009A692E"/>
    <w:rsid w:val="009B38C3"/>
    <w:rsid w:val="009D1CA5"/>
    <w:rsid w:val="009E17BD"/>
    <w:rsid w:val="009E485A"/>
    <w:rsid w:val="00A038E4"/>
    <w:rsid w:val="00A04CEC"/>
    <w:rsid w:val="00A07996"/>
    <w:rsid w:val="00A272DB"/>
    <w:rsid w:val="00A27F92"/>
    <w:rsid w:val="00A32257"/>
    <w:rsid w:val="00A338A3"/>
    <w:rsid w:val="00A36D20"/>
    <w:rsid w:val="00A514A4"/>
    <w:rsid w:val="00A537B9"/>
    <w:rsid w:val="00A55622"/>
    <w:rsid w:val="00A73930"/>
    <w:rsid w:val="00A83502"/>
    <w:rsid w:val="00A84DE7"/>
    <w:rsid w:val="00A875ED"/>
    <w:rsid w:val="00A94BAB"/>
    <w:rsid w:val="00A95982"/>
    <w:rsid w:val="00AD15B3"/>
    <w:rsid w:val="00AD3606"/>
    <w:rsid w:val="00AD4A3D"/>
    <w:rsid w:val="00AD677D"/>
    <w:rsid w:val="00AF6E49"/>
    <w:rsid w:val="00B04A67"/>
    <w:rsid w:val="00B0583C"/>
    <w:rsid w:val="00B40A81"/>
    <w:rsid w:val="00B44910"/>
    <w:rsid w:val="00B44AE8"/>
    <w:rsid w:val="00B72267"/>
    <w:rsid w:val="00B755E6"/>
    <w:rsid w:val="00B76EB6"/>
    <w:rsid w:val="00B7737B"/>
    <w:rsid w:val="00B824C8"/>
    <w:rsid w:val="00B84B9D"/>
    <w:rsid w:val="00B9131F"/>
    <w:rsid w:val="00BA2109"/>
    <w:rsid w:val="00BB0646"/>
    <w:rsid w:val="00BC251A"/>
    <w:rsid w:val="00BC284D"/>
    <w:rsid w:val="00BD032B"/>
    <w:rsid w:val="00BD6C19"/>
    <w:rsid w:val="00BE01C6"/>
    <w:rsid w:val="00BE0B5F"/>
    <w:rsid w:val="00BE2640"/>
    <w:rsid w:val="00BE6A41"/>
    <w:rsid w:val="00BF1FDE"/>
    <w:rsid w:val="00C01189"/>
    <w:rsid w:val="00C0458D"/>
    <w:rsid w:val="00C06509"/>
    <w:rsid w:val="00C15D27"/>
    <w:rsid w:val="00C374DE"/>
    <w:rsid w:val="00C47AD4"/>
    <w:rsid w:val="00C52D81"/>
    <w:rsid w:val="00C55198"/>
    <w:rsid w:val="00C605E1"/>
    <w:rsid w:val="00C6520B"/>
    <w:rsid w:val="00C71F42"/>
    <w:rsid w:val="00C75800"/>
    <w:rsid w:val="00CA30CC"/>
    <w:rsid w:val="00CA6393"/>
    <w:rsid w:val="00CA7995"/>
    <w:rsid w:val="00CB18FF"/>
    <w:rsid w:val="00CB56B7"/>
    <w:rsid w:val="00CB7A0B"/>
    <w:rsid w:val="00CC0735"/>
    <w:rsid w:val="00CC12CC"/>
    <w:rsid w:val="00CD0C08"/>
    <w:rsid w:val="00CD0C73"/>
    <w:rsid w:val="00CE03FB"/>
    <w:rsid w:val="00CE3E2A"/>
    <w:rsid w:val="00CE433C"/>
    <w:rsid w:val="00CF0161"/>
    <w:rsid w:val="00CF33F3"/>
    <w:rsid w:val="00CF4A2B"/>
    <w:rsid w:val="00D018AC"/>
    <w:rsid w:val="00D024CA"/>
    <w:rsid w:val="00D06183"/>
    <w:rsid w:val="00D22C42"/>
    <w:rsid w:val="00D37B9F"/>
    <w:rsid w:val="00D42865"/>
    <w:rsid w:val="00D444A3"/>
    <w:rsid w:val="00D618CB"/>
    <w:rsid w:val="00D64F1D"/>
    <w:rsid w:val="00D65041"/>
    <w:rsid w:val="00D702E5"/>
    <w:rsid w:val="00DA3081"/>
    <w:rsid w:val="00DB1936"/>
    <w:rsid w:val="00DB384B"/>
    <w:rsid w:val="00DC24CD"/>
    <w:rsid w:val="00DC568B"/>
    <w:rsid w:val="00DD11ED"/>
    <w:rsid w:val="00DD1A6E"/>
    <w:rsid w:val="00DE3F7F"/>
    <w:rsid w:val="00DE73A4"/>
    <w:rsid w:val="00DF0189"/>
    <w:rsid w:val="00DF26C9"/>
    <w:rsid w:val="00DF7D72"/>
    <w:rsid w:val="00E06FD5"/>
    <w:rsid w:val="00E10E79"/>
    <w:rsid w:val="00E10E80"/>
    <w:rsid w:val="00E124F0"/>
    <w:rsid w:val="00E214A6"/>
    <w:rsid w:val="00E227F3"/>
    <w:rsid w:val="00E40872"/>
    <w:rsid w:val="00E545C6"/>
    <w:rsid w:val="00E60754"/>
    <w:rsid w:val="00E60F04"/>
    <w:rsid w:val="00E610AD"/>
    <w:rsid w:val="00E61E4C"/>
    <w:rsid w:val="00E65B24"/>
    <w:rsid w:val="00E76FCC"/>
    <w:rsid w:val="00E854E4"/>
    <w:rsid w:val="00E86DBF"/>
    <w:rsid w:val="00E969AF"/>
    <w:rsid w:val="00EB0C2E"/>
    <w:rsid w:val="00EB0D6F"/>
    <w:rsid w:val="00EB2232"/>
    <w:rsid w:val="00EB4DCD"/>
    <w:rsid w:val="00EC5337"/>
    <w:rsid w:val="00EE49E8"/>
    <w:rsid w:val="00EF3F31"/>
    <w:rsid w:val="00F161B4"/>
    <w:rsid w:val="00F16BAB"/>
    <w:rsid w:val="00F2150A"/>
    <w:rsid w:val="00F231D8"/>
    <w:rsid w:val="00F242F8"/>
    <w:rsid w:val="00F41209"/>
    <w:rsid w:val="00F44C00"/>
    <w:rsid w:val="00F45D2C"/>
    <w:rsid w:val="00F46C5F"/>
    <w:rsid w:val="00F5216A"/>
    <w:rsid w:val="00F53ADA"/>
    <w:rsid w:val="00F632C0"/>
    <w:rsid w:val="00F641E1"/>
    <w:rsid w:val="00F86214"/>
    <w:rsid w:val="00F94A63"/>
    <w:rsid w:val="00F959CC"/>
    <w:rsid w:val="00FA1C28"/>
    <w:rsid w:val="00FA4B16"/>
    <w:rsid w:val="00FA5BA6"/>
    <w:rsid w:val="00FB0519"/>
    <w:rsid w:val="00FB1279"/>
    <w:rsid w:val="00FB6B76"/>
    <w:rsid w:val="00FB7596"/>
    <w:rsid w:val="00FC445A"/>
    <w:rsid w:val="00FC5762"/>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link w:val="CallChar"/>
    <w:qFormat/>
    <w:rsid w:val="00BA2109"/>
    <w:pPr>
      <w:keepNext/>
      <w:keepLines/>
      <w:tabs>
        <w:tab w:val="clear" w:pos="1134"/>
        <w:tab w:val="clear" w:pos="1701"/>
        <w:tab w:val="clear" w:pos="2268"/>
        <w:tab w:val="clear" w:pos="2835"/>
      </w:tabs>
      <w:spacing w:before="160"/>
      <w:ind w:left="567"/>
    </w:pPr>
    <w:rPr>
      <w:rFonts w:eastAsia="STKait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 w:type="paragraph" w:styleId="ListParagraph">
    <w:name w:val="List Paragraph"/>
    <w:basedOn w:val="Normal"/>
    <w:uiPriority w:val="34"/>
    <w:qFormat/>
    <w:rsid w:val="0084288C"/>
    <w:pPr>
      <w:spacing w:after="120" w:line="280" w:lineRule="exact"/>
      <w:ind w:left="720"/>
      <w:contextualSpacing/>
      <w:jc w:val="both"/>
    </w:pPr>
    <w:rPr>
      <w:rFonts w:eastAsia="SimSun"/>
      <w:sz w:val="21"/>
      <w:szCs w:val="10"/>
      <w:lang w:val="en-US" w:eastAsia="zh-CN"/>
    </w:rPr>
  </w:style>
  <w:style w:type="paragraph" w:customStyle="1" w:styleId="call0">
    <w:name w:val="call"/>
    <w:basedOn w:val="Normal"/>
    <w:next w:val="Normal"/>
    <w:rsid w:val="00BA2109"/>
    <w:pPr>
      <w:keepNext/>
      <w:keepLines/>
      <w:spacing w:before="160" w:after="120" w:line="280" w:lineRule="exact"/>
      <w:ind w:left="794" w:hanging="357"/>
      <w:jc w:val="both"/>
    </w:pPr>
    <w:rPr>
      <w:rFonts w:eastAsia="STKaiti"/>
      <w:szCs w:val="10"/>
      <w:lang w:val="en-US" w:eastAsia="zh-CN"/>
    </w:rPr>
  </w:style>
  <w:style w:type="paragraph" w:styleId="NormalWeb">
    <w:name w:val="Normal (Web)"/>
    <w:basedOn w:val="Normal"/>
    <w:uiPriority w:val="99"/>
    <w:semiHidden/>
    <w:unhideWhenUsed/>
    <w:rsid w:val="0084288C"/>
    <w:pPr>
      <w:tabs>
        <w:tab w:val="clear" w:pos="567"/>
        <w:tab w:val="clear" w:pos="1134"/>
        <w:tab w:val="clear" w:pos="1701"/>
        <w:tab w:val="clear" w:pos="2268"/>
        <w:tab w:val="clear" w:pos="2835"/>
      </w:tabs>
      <w:overflowPunct/>
      <w:autoSpaceDE/>
      <w:autoSpaceDN/>
      <w:adjustRightInd/>
      <w:spacing w:before="100" w:beforeAutospacing="1" w:after="100" w:afterAutospacing="1" w:line="280" w:lineRule="exact"/>
      <w:jc w:val="both"/>
      <w:textAlignment w:val="auto"/>
    </w:pPr>
    <w:rPr>
      <w:rFonts w:ascii="Times New Roman" w:eastAsia="SimSun" w:hAnsi="Times New Roman"/>
      <w:sz w:val="21"/>
      <w:szCs w:val="24"/>
      <w:lang w:val="en-US" w:eastAsia="en-GB"/>
    </w:rPr>
  </w:style>
  <w:style w:type="character" w:customStyle="1" w:styleId="NormalaftertitleChar">
    <w:name w:val="Normal after title Char"/>
    <w:link w:val="Normalaftertitle"/>
    <w:locked/>
    <w:rsid w:val="00F86214"/>
    <w:rPr>
      <w:rFonts w:ascii="Calibri" w:hAnsi="Calibri"/>
      <w:sz w:val="24"/>
      <w:lang w:val="en-GB" w:eastAsia="en-US"/>
    </w:rPr>
  </w:style>
  <w:style w:type="character" w:customStyle="1" w:styleId="CallChar">
    <w:name w:val="Call Char"/>
    <w:basedOn w:val="DefaultParagraphFont"/>
    <w:link w:val="Call"/>
    <w:qFormat/>
    <w:rsid w:val="00BA2109"/>
    <w:rPr>
      <w:rFonts w:ascii="Calibri" w:eastAsia="STKaiti" w:hAnsi="Calibri"/>
      <w:sz w:val="24"/>
      <w:lang w:val="en-GB" w:eastAsia="en-US"/>
    </w:rPr>
  </w:style>
  <w:style w:type="character" w:customStyle="1" w:styleId="enumlev1Char">
    <w:name w:val="enumlev1 Char"/>
    <w:basedOn w:val="DefaultParagraphFont"/>
    <w:link w:val="enumlev1"/>
    <w:qFormat/>
    <w:rsid w:val="00F8621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8667">
      <w:bodyDiv w:val="1"/>
      <w:marLeft w:val="0"/>
      <w:marRight w:val="0"/>
      <w:marTop w:val="0"/>
      <w:marBottom w:val="0"/>
      <w:divBdr>
        <w:top w:val="none" w:sz="0" w:space="0" w:color="auto"/>
        <w:left w:val="none" w:sz="0" w:space="0" w:color="auto"/>
        <w:bottom w:val="none" w:sz="0" w:space="0" w:color="auto"/>
        <w:right w:val="none" w:sz="0" w:space="0" w:color="auto"/>
      </w:divBdr>
    </w:div>
    <w:div w:id="48113637">
      <w:bodyDiv w:val="1"/>
      <w:marLeft w:val="0"/>
      <w:marRight w:val="0"/>
      <w:marTop w:val="0"/>
      <w:marBottom w:val="0"/>
      <w:divBdr>
        <w:top w:val="none" w:sz="0" w:space="0" w:color="auto"/>
        <w:left w:val="none" w:sz="0" w:space="0" w:color="auto"/>
        <w:bottom w:val="none" w:sz="0" w:space="0" w:color="auto"/>
        <w:right w:val="none" w:sz="0" w:space="0" w:color="auto"/>
      </w:divBdr>
    </w:div>
    <w:div w:id="84037260">
      <w:bodyDiv w:val="1"/>
      <w:marLeft w:val="0"/>
      <w:marRight w:val="0"/>
      <w:marTop w:val="0"/>
      <w:marBottom w:val="0"/>
      <w:divBdr>
        <w:top w:val="none" w:sz="0" w:space="0" w:color="auto"/>
        <w:left w:val="none" w:sz="0" w:space="0" w:color="auto"/>
        <w:bottom w:val="none" w:sz="0" w:space="0" w:color="auto"/>
        <w:right w:val="none" w:sz="0" w:space="0" w:color="auto"/>
      </w:divBdr>
    </w:div>
    <w:div w:id="112948526">
      <w:bodyDiv w:val="1"/>
      <w:marLeft w:val="0"/>
      <w:marRight w:val="0"/>
      <w:marTop w:val="0"/>
      <w:marBottom w:val="0"/>
      <w:divBdr>
        <w:top w:val="none" w:sz="0" w:space="0" w:color="auto"/>
        <w:left w:val="none" w:sz="0" w:space="0" w:color="auto"/>
        <w:bottom w:val="none" w:sz="0" w:space="0" w:color="auto"/>
        <w:right w:val="none" w:sz="0" w:space="0" w:color="auto"/>
      </w:divBdr>
    </w:div>
    <w:div w:id="179054617">
      <w:bodyDiv w:val="1"/>
      <w:marLeft w:val="0"/>
      <w:marRight w:val="0"/>
      <w:marTop w:val="0"/>
      <w:marBottom w:val="0"/>
      <w:divBdr>
        <w:top w:val="none" w:sz="0" w:space="0" w:color="auto"/>
        <w:left w:val="none" w:sz="0" w:space="0" w:color="auto"/>
        <w:bottom w:val="none" w:sz="0" w:space="0" w:color="auto"/>
        <w:right w:val="none" w:sz="0" w:space="0" w:color="auto"/>
      </w:divBdr>
    </w:div>
    <w:div w:id="253320020">
      <w:bodyDiv w:val="1"/>
      <w:marLeft w:val="0"/>
      <w:marRight w:val="0"/>
      <w:marTop w:val="0"/>
      <w:marBottom w:val="0"/>
      <w:divBdr>
        <w:top w:val="none" w:sz="0" w:space="0" w:color="auto"/>
        <w:left w:val="none" w:sz="0" w:space="0" w:color="auto"/>
        <w:bottom w:val="none" w:sz="0" w:space="0" w:color="auto"/>
        <w:right w:val="none" w:sz="0" w:space="0" w:color="auto"/>
      </w:divBdr>
    </w:div>
    <w:div w:id="366489563">
      <w:bodyDiv w:val="1"/>
      <w:marLeft w:val="0"/>
      <w:marRight w:val="0"/>
      <w:marTop w:val="0"/>
      <w:marBottom w:val="0"/>
      <w:divBdr>
        <w:top w:val="none" w:sz="0" w:space="0" w:color="auto"/>
        <w:left w:val="none" w:sz="0" w:space="0" w:color="auto"/>
        <w:bottom w:val="none" w:sz="0" w:space="0" w:color="auto"/>
        <w:right w:val="none" w:sz="0" w:space="0" w:color="auto"/>
      </w:divBdr>
    </w:div>
    <w:div w:id="421996302">
      <w:bodyDiv w:val="1"/>
      <w:marLeft w:val="0"/>
      <w:marRight w:val="0"/>
      <w:marTop w:val="0"/>
      <w:marBottom w:val="0"/>
      <w:divBdr>
        <w:top w:val="none" w:sz="0" w:space="0" w:color="auto"/>
        <w:left w:val="none" w:sz="0" w:space="0" w:color="auto"/>
        <w:bottom w:val="none" w:sz="0" w:space="0" w:color="auto"/>
        <w:right w:val="none" w:sz="0" w:space="0" w:color="auto"/>
      </w:divBdr>
    </w:div>
    <w:div w:id="446779722">
      <w:bodyDiv w:val="1"/>
      <w:marLeft w:val="0"/>
      <w:marRight w:val="0"/>
      <w:marTop w:val="0"/>
      <w:marBottom w:val="0"/>
      <w:divBdr>
        <w:top w:val="none" w:sz="0" w:space="0" w:color="auto"/>
        <w:left w:val="none" w:sz="0" w:space="0" w:color="auto"/>
        <w:bottom w:val="none" w:sz="0" w:space="0" w:color="auto"/>
        <w:right w:val="none" w:sz="0" w:space="0" w:color="auto"/>
      </w:divBdr>
    </w:div>
    <w:div w:id="601645080">
      <w:bodyDiv w:val="1"/>
      <w:marLeft w:val="0"/>
      <w:marRight w:val="0"/>
      <w:marTop w:val="0"/>
      <w:marBottom w:val="0"/>
      <w:divBdr>
        <w:top w:val="none" w:sz="0" w:space="0" w:color="auto"/>
        <w:left w:val="none" w:sz="0" w:space="0" w:color="auto"/>
        <w:bottom w:val="none" w:sz="0" w:space="0" w:color="auto"/>
        <w:right w:val="none" w:sz="0" w:space="0" w:color="auto"/>
      </w:divBdr>
    </w:div>
    <w:div w:id="638151797">
      <w:bodyDiv w:val="1"/>
      <w:marLeft w:val="0"/>
      <w:marRight w:val="0"/>
      <w:marTop w:val="0"/>
      <w:marBottom w:val="0"/>
      <w:divBdr>
        <w:top w:val="none" w:sz="0" w:space="0" w:color="auto"/>
        <w:left w:val="none" w:sz="0" w:space="0" w:color="auto"/>
        <w:bottom w:val="none" w:sz="0" w:space="0" w:color="auto"/>
        <w:right w:val="none" w:sz="0" w:space="0" w:color="auto"/>
      </w:divBdr>
    </w:div>
    <w:div w:id="651451642">
      <w:bodyDiv w:val="1"/>
      <w:marLeft w:val="0"/>
      <w:marRight w:val="0"/>
      <w:marTop w:val="0"/>
      <w:marBottom w:val="0"/>
      <w:divBdr>
        <w:top w:val="none" w:sz="0" w:space="0" w:color="auto"/>
        <w:left w:val="none" w:sz="0" w:space="0" w:color="auto"/>
        <w:bottom w:val="none" w:sz="0" w:space="0" w:color="auto"/>
        <w:right w:val="none" w:sz="0" w:space="0" w:color="auto"/>
      </w:divBdr>
    </w:div>
    <w:div w:id="653992796">
      <w:bodyDiv w:val="1"/>
      <w:marLeft w:val="0"/>
      <w:marRight w:val="0"/>
      <w:marTop w:val="0"/>
      <w:marBottom w:val="0"/>
      <w:divBdr>
        <w:top w:val="none" w:sz="0" w:space="0" w:color="auto"/>
        <w:left w:val="none" w:sz="0" w:space="0" w:color="auto"/>
        <w:bottom w:val="none" w:sz="0" w:space="0" w:color="auto"/>
        <w:right w:val="none" w:sz="0" w:space="0" w:color="auto"/>
      </w:divBdr>
    </w:div>
    <w:div w:id="672074048">
      <w:bodyDiv w:val="1"/>
      <w:marLeft w:val="0"/>
      <w:marRight w:val="0"/>
      <w:marTop w:val="0"/>
      <w:marBottom w:val="0"/>
      <w:divBdr>
        <w:top w:val="none" w:sz="0" w:space="0" w:color="auto"/>
        <w:left w:val="none" w:sz="0" w:space="0" w:color="auto"/>
        <w:bottom w:val="none" w:sz="0" w:space="0" w:color="auto"/>
        <w:right w:val="none" w:sz="0" w:space="0" w:color="auto"/>
      </w:divBdr>
    </w:div>
    <w:div w:id="687408947">
      <w:bodyDiv w:val="1"/>
      <w:marLeft w:val="0"/>
      <w:marRight w:val="0"/>
      <w:marTop w:val="0"/>
      <w:marBottom w:val="0"/>
      <w:divBdr>
        <w:top w:val="none" w:sz="0" w:space="0" w:color="auto"/>
        <w:left w:val="none" w:sz="0" w:space="0" w:color="auto"/>
        <w:bottom w:val="none" w:sz="0" w:space="0" w:color="auto"/>
        <w:right w:val="none" w:sz="0" w:space="0" w:color="auto"/>
      </w:divBdr>
    </w:div>
    <w:div w:id="706835293">
      <w:bodyDiv w:val="1"/>
      <w:marLeft w:val="0"/>
      <w:marRight w:val="0"/>
      <w:marTop w:val="0"/>
      <w:marBottom w:val="0"/>
      <w:divBdr>
        <w:top w:val="none" w:sz="0" w:space="0" w:color="auto"/>
        <w:left w:val="none" w:sz="0" w:space="0" w:color="auto"/>
        <w:bottom w:val="none" w:sz="0" w:space="0" w:color="auto"/>
        <w:right w:val="none" w:sz="0" w:space="0" w:color="auto"/>
      </w:divBdr>
    </w:div>
    <w:div w:id="707293883">
      <w:bodyDiv w:val="1"/>
      <w:marLeft w:val="0"/>
      <w:marRight w:val="0"/>
      <w:marTop w:val="0"/>
      <w:marBottom w:val="0"/>
      <w:divBdr>
        <w:top w:val="none" w:sz="0" w:space="0" w:color="auto"/>
        <w:left w:val="none" w:sz="0" w:space="0" w:color="auto"/>
        <w:bottom w:val="none" w:sz="0" w:space="0" w:color="auto"/>
        <w:right w:val="none" w:sz="0" w:space="0" w:color="auto"/>
      </w:divBdr>
    </w:div>
    <w:div w:id="779182627">
      <w:bodyDiv w:val="1"/>
      <w:marLeft w:val="0"/>
      <w:marRight w:val="0"/>
      <w:marTop w:val="0"/>
      <w:marBottom w:val="0"/>
      <w:divBdr>
        <w:top w:val="none" w:sz="0" w:space="0" w:color="auto"/>
        <w:left w:val="none" w:sz="0" w:space="0" w:color="auto"/>
        <w:bottom w:val="none" w:sz="0" w:space="0" w:color="auto"/>
        <w:right w:val="none" w:sz="0" w:space="0" w:color="auto"/>
      </w:divBdr>
    </w:div>
    <w:div w:id="816873057">
      <w:bodyDiv w:val="1"/>
      <w:marLeft w:val="0"/>
      <w:marRight w:val="0"/>
      <w:marTop w:val="0"/>
      <w:marBottom w:val="0"/>
      <w:divBdr>
        <w:top w:val="none" w:sz="0" w:space="0" w:color="auto"/>
        <w:left w:val="none" w:sz="0" w:space="0" w:color="auto"/>
        <w:bottom w:val="none" w:sz="0" w:space="0" w:color="auto"/>
        <w:right w:val="none" w:sz="0" w:space="0" w:color="auto"/>
      </w:divBdr>
    </w:div>
    <w:div w:id="824466584">
      <w:bodyDiv w:val="1"/>
      <w:marLeft w:val="0"/>
      <w:marRight w:val="0"/>
      <w:marTop w:val="0"/>
      <w:marBottom w:val="0"/>
      <w:divBdr>
        <w:top w:val="none" w:sz="0" w:space="0" w:color="auto"/>
        <w:left w:val="none" w:sz="0" w:space="0" w:color="auto"/>
        <w:bottom w:val="none" w:sz="0" w:space="0" w:color="auto"/>
        <w:right w:val="none" w:sz="0" w:space="0" w:color="auto"/>
      </w:divBdr>
    </w:div>
    <w:div w:id="902445313">
      <w:bodyDiv w:val="1"/>
      <w:marLeft w:val="0"/>
      <w:marRight w:val="0"/>
      <w:marTop w:val="0"/>
      <w:marBottom w:val="0"/>
      <w:divBdr>
        <w:top w:val="none" w:sz="0" w:space="0" w:color="auto"/>
        <w:left w:val="none" w:sz="0" w:space="0" w:color="auto"/>
        <w:bottom w:val="none" w:sz="0" w:space="0" w:color="auto"/>
        <w:right w:val="none" w:sz="0" w:space="0" w:color="auto"/>
      </w:divBdr>
    </w:div>
    <w:div w:id="919604982">
      <w:bodyDiv w:val="1"/>
      <w:marLeft w:val="0"/>
      <w:marRight w:val="0"/>
      <w:marTop w:val="0"/>
      <w:marBottom w:val="0"/>
      <w:divBdr>
        <w:top w:val="none" w:sz="0" w:space="0" w:color="auto"/>
        <w:left w:val="none" w:sz="0" w:space="0" w:color="auto"/>
        <w:bottom w:val="none" w:sz="0" w:space="0" w:color="auto"/>
        <w:right w:val="none" w:sz="0" w:space="0" w:color="auto"/>
      </w:divBdr>
    </w:div>
    <w:div w:id="923800958">
      <w:bodyDiv w:val="1"/>
      <w:marLeft w:val="0"/>
      <w:marRight w:val="0"/>
      <w:marTop w:val="0"/>
      <w:marBottom w:val="0"/>
      <w:divBdr>
        <w:top w:val="none" w:sz="0" w:space="0" w:color="auto"/>
        <w:left w:val="none" w:sz="0" w:space="0" w:color="auto"/>
        <w:bottom w:val="none" w:sz="0" w:space="0" w:color="auto"/>
        <w:right w:val="none" w:sz="0" w:space="0" w:color="auto"/>
      </w:divBdr>
    </w:div>
    <w:div w:id="969433200">
      <w:bodyDiv w:val="1"/>
      <w:marLeft w:val="0"/>
      <w:marRight w:val="0"/>
      <w:marTop w:val="0"/>
      <w:marBottom w:val="0"/>
      <w:divBdr>
        <w:top w:val="none" w:sz="0" w:space="0" w:color="auto"/>
        <w:left w:val="none" w:sz="0" w:space="0" w:color="auto"/>
        <w:bottom w:val="none" w:sz="0" w:space="0" w:color="auto"/>
        <w:right w:val="none" w:sz="0" w:space="0" w:color="auto"/>
      </w:divBdr>
    </w:div>
    <w:div w:id="992486467">
      <w:bodyDiv w:val="1"/>
      <w:marLeft w:val="0"/>
      <w:marRight w:val="0"/>
      <w:marTop w:val="0"/>
      <w:marBottom w:val="0"/>
      <w:divBdr>
        <w:top w:val="none" w:sz="0" w:space="0" w:color="auto"/>
        <w:left w:val="none" w:sz="0" w:space="0" w:color="auto"/>
        <w:bottom w:val="none" w:sz="0" w:space="0" w:color="auto"/>
        <w:right w:val="none" w:sz="0" w:space="0" w:color="auto"/>
      </w:divBdr>
    </w:div>
    <w:div w:id="999967366">
      <w:bodyDiv w:val="1"/>
      <w:marLeft w:val="0"/>
      <w:marRight w:val="0"/>
      <w:marTop w:val="0"/>
      <w:marBottom w:val="0"/>
      <w:divBdr>
        <w:top w:val="none" w:sz="0" w:space="0" w:color="auto"/>
        <w:left w:val="none" w:sz="0" w:space="0" w:color="auto"/>
        <w:bottom w:val="none" w:sz="0" w:space="0" w:color="auto"/>
        <w:right w:val="none" w:sz="0" w:space="0" w:color="auto"/>
      </w:divBdr>
    </w:div>
    <w:div w:id="1123965966">
      <w:bodyDiv w:val="1"/>
      <w:marLeft w:val="0"/>
      <w:marRight w:val="0"/>
      <w:marTop w:val="0"/>
      <w:marBottom w:val="0"/>
      <w:divBdr>
        <w:top w:val="none" w:sz="0" w:space="0" w:color="auto"/>
        <w:left w:val="none" w:sz="0" w:space="0" w:color="auto"/>
        <w:bottom w:val="none" w:sz="0" w:space="0" w:color="auto"/>
        <w:right w:val="none" w:sz="0" w:space="0" w:color="auto"/>
      </w:divBdr>
    </w:div>
    <w:div w:id="1185752792">
      <w:bodyDiv w:val="1"/>
      <w:marLeft w:val="0"/>
      <w:marRight w:val="0"/>
      <w:marTop w:val="0"/>
      <w:marBottom w:val="0"/>
      <w:divBdr>
        <w:top w:val="none" w:sz="0" w:space="0" w:color="auto"/>
        <w:left w:val="none" w:sz="0" w:space="0" w:color="auto"/>
        <w:bottom w:val="none" w:sz="0" w:space="0" w:color="auto"/>
        <w:right w:val="none" w:sz="0" w:space="0" w:color="auto"/>
      </w:divBdr>
    </w:div>
    <w:div w:id="1187869841">
      <w:bodyDiv w:val="1"/>
      <w:marLeft w:val="0"/>
      <w:marRight w:val="0"/>
      <w:marTop w:val="0"/>
      <w:marBottom w:val="0"/>
      <w:divBdr>
        <w:top w:val="none" w:sz="0" w:space="0" w:color="auto"/>
        <w:left w:val="none" w:sz="0" w:space="0" w:color="auto"/>
        <w:bottom w:val="none" w:sz="0" w:space="0" w:color="auto"/>
        <w:right w:val="none" w:sz="0" w:space="0" w:color="auto"/>
      </w:divBdr>
    </w:div>
    <w:div w:id="1272129486">
      <w:bodyDiv w:val="1"/>
      <w:marLeft w:val="0"/>
      <w:marRight w:val="0"/>
      <w:marTop w:val="0"/>
      <w:marBottom w:val="0"/>
      <w:divBdr>
        <w:top w:val="none" w:sz="0" w:space="0" w:color="auto"/>
        <w:left w:val="none" w:sz="0" w:space="0" w:color="auto"/>
        <w:bottom w:val="none" w:sz="0" w:space="0" w:color="auto"/>
        <w:right w:val="none" w:sz="0" w:space="0" w:color="auto"/>
      </w:divBdr>
    </w:div>
    <w:div w:id="1273171182">
      <w:bodyDiv w:val="1"/>
      <w:marLeft w:val="0"/>
      <w:marRight w:val="0"/>
      <w:marTop w:val="0"/>
      <w:marBottom w:val="0"/>
      <w:divBdr>
        <w:top w:val="none" w:sz="0" w:space="0" w:color="auto"/>
        <w:left w:val="none" w:sz="0" w:space="0" w:color="auto"/>
        <w:bottom w:val="none" w:sz="0" w:space="0" w:color="auto"/>
        <w:right w:val="none" w:sz="0" w:space="0" w:color="auto"/>
      </w:divBdr>
    </w:div>
    <w:div w:id="1278870790">
      <w:bodyDiv w:val="1"/>
      <w:marLeft w:val="0"/>
      <w:marRight w:val="0"/>
      <w:marTop w:val="0"/>
      <w:marBottom w:val="0"/>
      <w:divBdr>
        <w:top w:val="none" w:sz="0" w:space="0" w:color="auto"/>
        <w:left w:val="none" w:sz="0" w:space="0" w:color="auto"/>
        <w:bottom w:val="none" w:sz="0" w:space="0" w:color="auto"/>
        <w:right w:val="none" w:sz="0" w:space="0" w:color="auto"/>
      </w:divBdr>
    </w:div>
    <w:div w:id="1301615645">
      <w:bodyDiv w:val="1"/>
      <w:marLeft w:val="0"/>
      <w:marRight w:val="0"/>
      <w:marTop w:val="0"/>
      <w:marBottom w:val="0"/>
      <w:divBdr>
        <w:top w:val="none" w:sz="0" w:space="0" w:color="auto"/>
        <w:left w:val="none" w:sz="0" w:space="0" w:color="auto"/>
        <w:bottom w:val="none" w:sz="0" w:space="0" w:color="auto"/>
        <w:right w:val="none" w:sz="0" w:space="0" w:color="auto"/>
      </w:divBdr>
    </w:div>
    <w:div w:id="1696075154">
      <w:bodyDiv w:val="1"/>
      <w:marLeft w:val="0"/>
      <w:marRight w:val="0"/>
      <w:marTop w:val="0"/>
      <w:marBottom w:val="0"/>
      <w:divBdr>
        <w:top w:val="none" w:sz="0" w:space="0" w:color="auto"/>
        <w:left w:val="none" w:sz="0" w:space="0" w:color="auto"/>
        <w:bottom w:val="none" w:sz="0" w:space="0" w:color="auto"/>
        <w:right w:val="none" w:sz="0" w:space="0" w:color="auto"/>
      </w:divBdr>
    </w:div>
    <w:div w:id="1748915850">
      <w:bodyDiv w:val="1"/>
      <w:marLeft w:val="0"/>
      <w:marRight w:val="0"/>
      <w:marTop w:val="0"/>
      <w:marBottom w:val="0"/>
      <w:divBdr>
        <w:top w:val="none" w:sz="0" w:space="0" w:color="auto"/>
        <w:left w:val="none" w:sz="0" w:space="0" w:color="auto"/>
        <w:bottom w:val="none" w:sz="0" w:space="0" w:color="auto"/>
        <w:right w:val="none" w:sz="0" w:space="0" w:color="auto"/>
      </w:divBdr>
    </w:div>
    <w:div w:id="1761020814">
      <w:bodyDiv w:val="1"/>
      <w:marLeft w:val="0"/>
      <w:marRight w:val="0"/>
      <w:marTop w:val="0"/>
      <w:marBottom w:val="0"/>
      <w:divBdr>
        <w:top w:val="none" w:sz="0" w:space="0" w:color="auto"/>
        <w:left w:val="none" w:sz="0" w:space="0" w:color="auto"/>
        <w:bottom w:val="none" w:sz="0" w:space="0" w:color="auto"/>
        <w:right w:val="none" w:sz="0" w:space="0" w:color="auto"/>
      </w:divBdr>
    </w:div>
    <w:div w:id="1852524655">
      <w:bodyDiv w:val="1"/>
      <w:marLeft w:val="0"/>
      <w:marRight w:val="0"/>
      <w:marTop w:val="0"/>
      <w:marBottom w:val="0"/>
      <w:divBdr>
        <w:top w:val="none" w:sz="0" w:space="0" w:color="auto"/>
        <w:left w:val="none" w:sz="0" w:space="0" w:color="auto"/>
        <w:bottom w:val="none" w:sz="0" w:space="0" w:color="auto"/>
        <w:right w:val="none" w:sz="0" w:space="0" w:color="auto"/>
      </w:divBdr>
    </w:div>
    <w:div w:id="1857379822">
      <w:bodyDiv w:val="1"/>
      <w:marLeft w:val="0"/>
      <w:marRight w:val="0"/>
      <w:marTop w:val="0"/>
      <w:marBottom w:val="0"/>
      <w:divBdr>
        <w:top w:val="none" w:sz="0" w:space="0" w:color="auto"/>
        <w:left w:val="none" w:sz="0" w:space="0" w:color="auto"/>
        <w:bottom w:val="none" w:sz="0" w:space="0" w:color="auto"/>
        <w:right w:val="none" w:sz="0" w:space="0" w:color="auto"/>
      </w:divBdr>
    </w:div>
    <w:div w:id="2078354575">
      <w:bodyDiv w:val="1"/>
      <w:marLeft w:val="0"/>
      <w:marRight w:val="0"/>
      <w:marTop w:val="0"/>
      <w:marBottom w:val="0"/>
      <w:divBdr>
        <w:top w:val="none" w:sz="0" w:space="0" w:color="auto"/>
        <w:left w:val="none" w:sz="0" w:space="0" w:color="auto"/>
        <w:bottom w:val="none" w:sz="0" w:space="0" w:color="auto"/>
        <w:right w:val="none" w:sz="0" w:space="0" w:color="auto"/>
      </w:divBdr>
    </w:div>
    <w:div w:id="2122339774">
      <w:bodyDiv w:val="1"/>
      <w:marLeft w:val="0"/>
      <w:marRight w:val="0"/>
      <w:marTop w:val="0"/>
      <w:marBottom w:val="0"/>
      <w:divBdr>
        <w:top w:val="none" w:sz="0" w:space="0" w:color="auto"/>
        <w:left w:val="none" w:sz="0" w:space="0" w:color="auto"/>
        <w:bottom w:val="none" w:sz="0" w:space="0" w:color="auto"/>
        <w:right w:val="none" w:sz="0" w:space="0" w:color="auto"/>
      </w:divBdr>
    </w:div>
    <w:div w:id="21324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png"/><Relationship Id="rId42" Type="http://schemas.openxmlformats.org/officeDocument/2006/relationships/image" Target="media/image27.png"/><Relationship Id="rId47" Type="http://schemas.openxmlformats.org/officeDocument/2006/relationships/header" Target="header1.xml"/><Relationship Id="rId63" Type="http://schemas.openxmlformats.org/officeDocument/2006/relationships/image" Target="media/image46.emf"/><Relationship Id="rId68" Type="http://schemas.openxmlformats.org/officeDocument/2006/relationships/image" Target="media/image51.emf"/><Relationship Id="rId16" Type="http://schemas.openxmlformats.org/officeDocument/2006/relationships/image" Target="media/image2.emf"/><Relationship Id="rId11" Type="http://schemas.openxmlformats.org/officeDocument/2006/relationships/hyperlink" Target="https://www.itu.int/md/S25-CL-C-0064/en" TargetMode="External"/><Relationship Id="rId32" Type="http://schemas.openxmlformats.org/officeDocument/2006/relationships/image" Target="media/image17.emf"/><Relationship Id="rId37" Type="http://schemas.openxmlformats.org/officeDocument/2006/relationships/image" Target="media/image22.emf"/><Relationship Id="rId53" Type="http://schemas.openxmlformats.org/officeDocument/2006/relationships/image" Target="media/image36.emf"/><Relationship Id="rId58" Type="http://schemas.openxmlformats.org/officeDocument/2006/relationships/image" Target="media/image41.emf"/><Relationship Id="rId74" Type="http://schemas.openxmlformats.org/officeDocument/2006/relationships/header" Target="header2.xml"/><Relationship Id="rId79"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image" Target="media/image44.emf"/><Relationship Id="rId82" Type="http://schemas.openxmlformats.org/officeDocument/2006/relationships/fontTable" Target="fontTable.xml"/><Relationship Id="rId19" Type="http://schemas.openxmlformats.org/officeDocument/2006/relationships/image" Target="media/image5.emf"/><Relationship Id="rId14" Type="http://schemas.openxmlformats.org/officeDocument/2006/relationships/hyperlink" Target="https://www.itu.int/md/S25-CL-C-0064/en"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footer" Target="footer2.xml"/><Relationship Id="rId56" Type="http://schemas.openxmlformats.org/officeDocument/2006/relationships/image" Target="media/image39.emf"/><Relationship Id="rId64" Type="http://schemas.openxmlformats.org/officeDocument/2006/relationships/image" Target="media/image47.emf"/><Relationship Id="rId69" Type="http://schemas.openxmlformats.org/officeDocument/2006/relationships/image" Target="media/image52.emf"/><Relationship Id="rId77"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34.emf"/><Relationship Id="rId72" Type="http://schemas.openxmlformats.org/officeDocument/2006/relationships/image" Target="media/image55.emf"/><Relationship Id="rId80"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www.itu.int/en/council/Documents/basic-texts-2023/Constitution-C.pdf" TargetMode="External"/><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8.emf"/><Relationship Id="rId38" Type="http://schemas.openxmlformats.org/officeDocument/2006/relationships/image" Target="media/image23.png"/><Relationship Id="rId46" Type="http://schemas.openxmlformats.org/officeDocument/2006/relationships/footer" Target="footer1.xml"/><Relationship Id="rId59" Type="http://schemas.openxmlformats.org/officeDocument/2006/relationships/image" Target="media/image42.emf"/><Relationship Id="rId67" Type="http://schemas.openxmlformats.org/officeDocument/2006/relationships/image" Target="media/image50.emf"/><Relationship Id="rId20" Type="http://schemas.openxmlformats.org/officeDocument/2006/relationships/image" Target="media/image6.emf"/><Relationship Id="rId41" Type="http://schemas.openxmlformats.org/officeDocument/2006/relationships/image" Target="media/image26.png"/><Relationship Id="rId54" Type="http://schemas.openxmlformats.org/officeDocument/2006/relationships/image" Target="media/image37.emf"/><Relationship Id="rId62" Type="http://schemas.openxmlformats.org/officeDocument/2006/relationships/image" Target="media/image45.emf"/><Relationship Id="rId70" Type="http://schemas.openxmlformats.org/officeDocument/2006/relationships/image" Target="media/image53.emf"/><Relationship Id="rId75" Type="http://schemas.openxmlformats.org/officeDocument/2006/relationships/footer" Target="footer3.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1.emf"/><Relationship Id="rId49" Type="http://schemas.openxmlformats.org/officeDocument/2006/relationships/image" Target="media/image32.emf"/><Relationship Id="rId57" Type="http://schemas.openxmlformats.org/officeDocument/2006/relationships/image" Target="media/image40.emf"/><Relationship Id="rId10" Type="http://schemas.openxmlformats.org/officeDocument/2006/relationships/endnotes" Target="endnotes.xml"/><Relationship Id="rId31" Type="http://schemas.openxmlformats.org/officeDocument/2006/relationships/hyperlink" Target="https://www.itu.int/md/S25-CWGFHR20-C-0008/en" TargetMode="External"/><Relationship Id="rId44" Type="http://schemas.openxmlformats.org/officeDocument/2006/relationships/image" Target="media/image29.png"/><Relationship Id="rId52" Type="http://schemas.openxmlformats.org/officeDocument/2006/relationships/image" Target="media/image35.emf"/><Relationship Id="rId60" Type="http://schemas.openxmlformats.org/officeDocument/2006/relationships/image" Target="media/image43.emf"/><Relationship Id="rId65" Type="http://schemas.openxmlformats.org/officeDocument/2006/relationships/image" Target="media/image48.emf"/><Relationship Id="rId73" Type="http://schemas.openxmlformats.org/officeDocument/2006/relationships/image" Target="media/image56.emf"/><Relationship Id="rId78" Type="http://schemas.openxmlformats.org/officeDocument/2006/relationships/image" Target="media/image57.emf"/><Relationship Id="rId8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Constitution-C.pdf" TargetMode="External"/><Relationship Id="rId18" Type="http://schemas.openxmlformats.org/officeDocument/2006/relationships/image" Target="media/image4.emf"/><Relationship Id="rId39" Type="http://schemas.openxmlformats.org/officeDocument/2006/relationships/image" Target="media/image24.emf"/><Relationship Id="rId34" Type="http://schemas.openxmlformats.org/officeDocument/2006/relationships/image" Target="media/image19.emf"/><Relationship Id="rId50" Type="http://schemas.openxmlformats.org/officeDocument/2006/relationships/image" Target="media/image33.emf"/><Relationship Id="rId55" Type="http://schemas.openxmlformats.org/officeDocument/2006/relationships/image" Target="media/image38.emf"/><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image" Target="media/image54.emf"/><Relationship Id="rId2" Type="http://schemas.openxmlformats.org/officeDocument/2006/relationships/customXml" Target="../customXml/item2.xml"/><Relationship Id="rId29" Type="http://schemas.openxmlformats.org/officeDocument/2006/relationships/image" Target="media/image15.emf"/><Relationship Id="rId24" Type="http://schemas.openxmlformats.org/officeDocument/2006/relationships/image" Target="media/image10.png"/><Relationship Id="rId40" Type="http://schemas.openxmlformats.org/officeDocument/2006/relationships/image" Target="media/image25.emf"/><Relationship Id="rId45" Type="http://schemas.openxmlformats.org/officeDocument/2006/relationships/image" Target="media/image30.emf"/><Relationship Id="rId66" Type="http://schemas.openxmlformats.org/officeDocument/2006/relationships/image" Target="media/image49.emf"/></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11E2F2AC-2255-4DBF-9278-6619577B4509}">
  <ds:schemaRefs>
    <ds:schemaRef ds:uri="http://www.w3.org/XML/1998/namespace"/>
    <ds:schemaRef ds:uri="http://purl.org/dc/terms/"/>
    <ds:schemaRef ds:uri="a1cf676c-2816-4389-ad5d-0f2e7c7e67c4"/>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B52BA-7AEF-42D4-AF59-959012BFA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5979</Words>
  <Characters>7345</Characters>
  <Application>Microsoft Office Word</Application>
  <DocSecurity>0</DocSecurity>
  <Lines>359</Lines>
  <Paragraphs>160</Paragraphs>
  <ScaleCrop>false</ScaleCrop>
  <HeadingPairs>
    <vt:vector size="2" baseType="variant">
      <vt:variant>
        <vt:lpstr>Title</vt:lpstr>
      </vt:variant>
      <vt:variant>
        <vt:i4>1</vt:i4>
      </vt:variant>
    </vt:vector>
  </HeadingPairs>
  <TitlesOfParts>
    <vt:vector size="1" baseType="lpstr">
      <vt:lpstr>Obsolete Council Resolutions and Decisions</vt:lpstr>
    </vt:vector>
  </TitlesOfParts>
  <Manager>General Secretariat</Manager>
  <Company>International Telecommunication Union (ITU)</Company>
  <LinksUpToDate>false</LinksUpToDate>
  <CharactersWithSpaces>7476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biennial budget of the Union for 2026-2027</dc:title>
  <dc:subject>ITU Council 2025</dc:subject>
  <cp:keywords>C25; C2025; Council 2025; ITU160</cp:keywords>
  <dc:description/>
  <cp:lastPrinted>2000-07-18T13:30:00Z</cp:lastPrinted>
  <dcterms:created xsi:type="dcterms:W3CDTF">2025-06-03T11:40:00Z</dcterms:created>
  <dcterms:modified xsi:type="dcterms:W3CDTF">2025-06-03T11:40:00Z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