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5"/>
        <w:gridCol w:w="2966"/>
      </w:tblGrid>
      <w:tr w:rsidR="007B0AA0" w14:paraId="698AB56B" w14:textId="77777777" w:rsidTr="00F363FE">
        <w:tc>
          <w:tcPr>
            <w:tcW w:w="6512" w:type="dxa"/>
          </w:tcPr>
          <w:p w14:paraId="2415F0B2" w14:textId="72D293B9" w:rsidR="007B0AA0" w:rsidRPr="007B0AA0" w:rsidRDefault="007B0AA0" w:rsidP="00F363FE">
            <w:pPr>
              <w:spacing w:before="60" w:after="60" w:line="260" w:lineRule="exact"/>
              <w:rPr>
                <w:b/>
                <w:bCs/>
                <w:rtl/>
                <w:lang w:bidi="ar-EG"/>
              </w:rPr>
            </w:pPr>
            <w:r w:rsidRPr="007B0AA0">
              <w:rPr>
                <w:rFonts w:hint="cs"/>
                <w:b/>
                <w:bCs/>
                <w:rtl/>
                <w:lang w:bidi="ar-EG"/>
              </w:rPr>
              <w:t>بند جدول الأعمال:</w:t>
            </w:r>
            <w:r w:rsidR="00E945BF">
              <w:rPr>
                <w:rFonts w:hint="cs"/>
                <w:b/>
                <w:bCs/>
                <w:rtl/>
                <w:lang w:bidi="ar-EG"/>
              </w:rPr>
              <w:t xml:space="preserve"> </w:t>
            </w:r>
            <w:r w:rsidR="00E945BF">
              <w:rPr>
                <w:b/>
              </w:rPr>
              <w:t>ADM 1</w:t>
            </w:r>
          </w:p>
        </w:tc>
        <w:tc>
          <w:tcPr>
            <w:tcW w:w="3117" w:type="dxa"/>
          </w:tcPr>
          <w:p w14:paraId="78BF9A2D" w14:textId="2627F28B" w:rsidR="007B0AA0" w:rsidRPr="007B0AA0" w:rsidRDefault="007B0AA0" w:rsidP="00F363FE">
            <w:pPr>
              <w:spacing w:before="60" w:after="60" w:line="260" w:lineRule="exact"/>
              <w:rPr>
                <w:b/>
                <w:bCs/>
                <w:lang w:bidi="ar-EG"/>
              </w:rPr>
            </w:pPr>
            <w:r w:rsidRPr="007B0AA0">
              <w:rPr>
                <w:rFonts w:hint="cs"/>
                <w:b/>
                <w:bCs/>
                <w:rtl/>
                <w:lang w:bidi="ar-EG"/>
              </w:rPr>
              <w:t xml:space="preserve">الوثيقة </w:t>
            </w:r>
            <w:r w:rsidRPr="007B0AA0">
              <w:rPr>
                <w:b/>
                <w:bCs/>
                <w:lang w:bidi="ar-EG"/>
              </w:rPr>
              <w:t>C2</w:t>
            </w:r>
            <w:r w:rsidR="006F363C">
              <w:rPr>
                <w:b/>
                <w:bCs/>
                <w:lang w:bidi="ar-EG"/>
              </w:rPr>
              <w:t>5</w:t>
            </w:r>
            <w:r w:rsidRPr="007B0AA0">
              <w:rPr>
                <w:b/>
                <w:bCs/>
                <w:lang w:bidi="ar-EG"/>
              </w:rPr>
              <w:t>/</w:t>
            </w:r>
            <w:r w:rsidR="004E0979">
              <w:rPr>
                <w:b/>
                <w:bCs/>
                <w:lang w:bidi="ar-EG"/>
              </w:rPr>
              <w:t>47</w:t>
            </w:r>
            <w:r w:rsidRPr="007B0AA0">
              <w:rPr>
                <w:b/>
                <w:bCs/>
                <w:lang w:bidi="ar-EG"/>
              </w:rPr>
              <w:t>-A</w:t>
            </w:r>
          </w:p>
        </w:tc>
      </w:tr>
      <w:tr w:rsidR="007B0AA0" w14:paraId="36683389" w14:textId="77777777" w:rsidTr="00F363FE">
        <w:tc>
          <w:tcPr>
            <w:tcW w:w="6512" w:type="dxa"/>
          </w:tcPr>
          <w:p w14:paraId="095EBA7E" w14:textId="77777777" w:rsidR="007B0AA0" w:rsidRPr="007B0AA0" w:rsidRDefault="007B0AA0" w:rsidP="00F363FE">
            <w:pPr>
              <w:spacing w:before="60" w:after="60" w:line="260" w:lineRule="exact"/>
              <w:rPr>
                <w:b/>
                <w:bCs/>
                <w:rtl/>
                <w:lang w:bidi="ar-EG"/>
              </w:rPr>
            </w:pPr>
          </w:p>
        </w:tc>
        <w:tc>
          <w:tcPr>
            <w:tcW w:w="3117" w:type="dxa"/>
          </w:tcPr>
          <w:p w14:paraId="1225277A" w14:textId="6CD82D8F" w:rsidR="007B0AA0" w:rsidRPr="007B0AA0" w:rsidRDefault="004E0979" w:rsidP="00F363FE">
            <w:pPr>
              <w:spacing w:before="60" w:after="60" w:line="260" w:lineRule="exact"/>
              <w:rPr>
                <w:b/>
                <w:bCs/>
                <w:rtl/>
                <w:lang w:bidi="ar-EG"/>
              </w:rPr>
            </w:pPr>
            <w:r>
              <w:rPr>
                <w:rFonts w:hint="cs"/>
                <w:b/>
                <w:bCs/>
                <w:rtl/>
              </w:rPr>
              <w:t>‏29‏ أبريل‏ 2025</w:t>
            </w:r>
          </w:p>
        </w:tc>
      </w:tr>
      <w:tr w:rsidR="007B0AA0" w14:paraId="7F56A00D" w14:textId="77777777" w:rsidTr="00F363FE">
        <w:tc>
          <w:tcPr>
            <w:tcW w:w="6512" w:type="dxa"/>
          </w:tcPr>
          <w:p w14:paraId="568DDBCB" w14:textId="77777777" w:rsidR="007B0AA0" w:rsidRPr="007B0AA0" w:rsidRDefault="007B0AA0" w:rsidP="00F363FE">
            <w:pPr>
              <w:spacing w:before="60" w:after="60" w:line="260" w:lineRule="exact"/>
              <w:rPr>
                <w:b/>
                <w:bCs/>
                <w:rtl/>
                <w:lang w:bidi="ar-EG"/>
              </w:rPr>
            </w:pPr>
          </w:p>
        </w:tc>
        <w:tc>
          <w:tcPr>
            <w:tcW w:w="3117" w:type="dxa"/>
          </w:tcPr>
          <w:p w14:paraId="1B35F076" w14:textId="77777777" w:rsidR="007B0AA0" w:rsidRPr="007B0AA0" w:rsidRDefault="001D64C7" w:rsidP="00F363FE">
            <w:pPr>
              <w:spacing w:before="60" w:after="60" w:line="260" w:lineRule="exact"/>
              <w:rPr>
                <w:b/>
                <w:bCs/>
                <w:rtl/>
                <w:lang w:bidi="ar-EG"/>
              </w:rPr>
            </w:pPr>
            <w:r w:rsidRPr="007B0AA0">
              <w:rPr>
                <w:rFonts w:hint="cs"/>
                <w:b/>
                <w:bCs/>
                <w:rtl/>
                <w:lang w:bidi="ar-EG"/>
              </w:rPr>
              <w:t>الأصل: بالإنكليزية</w:t>
            </w:r>
          </w:p>
        </w:tc>
      </w:tr>
      <w:tr w:rsidR="007B0AA0" w14:paraId="0F4B0C4D" w14:textId="77777777" w:rsidTr="00F363FE">
        <w:tc>
          <w:tcPr>
            <w:tcW w:w="6512" w:type="dxa"/>
          </w:tcPr>
          <w:p w14:paraId="394713FA" w14:textId="77777777" w:rsidR="007B0AA0" w:rsidRDefault="007B0AA0" w:rsidP="00F363FE">
            <w:pPr>
              <w:spacing w:before="60" w:after="60" w:line="260" w:lineRule="exact"/>
              <w:rPr>
                <w:lang w:bidi="ar-EG"/>
              </w:rPr>
            </w:pPr>
          </w:p>
        </w:tc>
        <w:tc>
          <w:tcPr>
            <w:tcW w:w="3117" w:type="dxa"/>
          </w:tcPr>
          <w:p w14:paraId="76D61E08" w14:textId="77777777" w:rsidR="007B0AA0" w:rsidRDefault="007B0AA0" w:rsidP="00F363FE">
            <w:pPr>
              <w:spacing w:before="60" w:after="60" w:line="260" w:lineRule="exact"/>
              <w:rPr>
                <w:rtl/>
                <w:lang w:bidi="ar-EG"/>
              </w:rPr>
            </w:pPr>
          </w:p>
        </w:tc>
      </w:tr>
      <w:tr w:rsidR="007B0AA0" w14:paraId="6830348D" w14:textId="77777777" w:rsidTr="00EE7446">
        <w:tc>
          <w:tcPr>
            <w:tcW w:w="9629" w:type="dxa"/>
            <w:gridSpan w:val="2"/>
          </w:tcPr>
          <w:p w14:paraId="4D238EF5" w14:textId="77777777" w:rsidR="007B0AA0" w:rsidRDefault="001D64C7" w:rsidP="007B0AA0">
            <w:pPr>
              <w:pStyle w:val="Source"/>
              <w:jc w:val="left"/>
              <w:rPr>
                <w:lang w:bidi="ar-EG"/>
              </w:rPr>
            </w:pPr>
            <w:r>
              <w:rPr>
                <w:rFonts w:hint="cs"/>
                <w:rtl/>
                <w:lang w:bidi="ar-EG"/>
              </w:rPr>
              <w:t>تقرير من الأمينة العامة</w:t>
            </w:r>
          </w:p>
        </w:tc>
      </w:tr>
      <w:tr w:rsidR="007B0AA0" w14:paraId="37CE3676" w14:textId="77777777" w:rsidTr="007B0AA0">
        <w:tc>
          <w:tcPr>
            <w:tcW w:w="9629" w:type="dxa"/>
            <w:gridSpan w:val="2"/>
            <w:tcBorders>
              <w:bottom w:val="single" w:sz="4" w:space="0" w:color="auto"/>
            </w:tcBorders>
          </w:tcPr>
          <w:p w14:paraId="1C5D067A" w14:textId="6F5B10B6" w:rsidR="007B0AA0" w:rsidRPr="005546CF" w:rsidRDefault="00A308FD" w:rsidP="007B0AA0">
            <w:pPr>
              <w:pStyle w:val="Subtitle0"/>
              <w:rPr>
                <w:sz w:val="32"/>
                <w:szCs w:val="32"/>
              </w:rPr>
            </w:pPr>
            <w:r w:rsidRPr="00A308FD">
              <w:rPr>
                <w:sz w:val="32"/>
                <w:szCs w:val="32"/>
                <w:rtl/>
              </w:rPr>
              <w:t xml:space="preserve">مشروع ميزانية الاتحاد لفترة السنتين </w:t>
            </w:r>
            <w:r>
              <w:rPr>
                <w:sz w:val="32"/>
                <w:szCs w:val="32"/>
              </w:rPr>
              <w:t>2027-2026</w:t>
            </w:r>
          </w:p>
        </w:tc>
      </w:tr>
      <w:tr w:rsidR="007B0AA0" w14:paraId="41C447B4" w14:textId="77777777" w:rsidTr="007B0AA0">
        <w:tc>
          <w:tcPr>
            <w:tcW w:w="9629" w:type="dxa"/>
            <w:gridSpan w:val="2"/>
            <w:tcBorders>
              <w:top w:val="single" w:sz="4" w:space="0" w:color="auto"/>
              <w:bottom w:val="single" w:sz="4" w:space="0" w:color="auto"/>
            </w:tcBorders>
          </w:tcPr>
          <w:p w14:paraId="7D0C12EC" w14:textId="08929859" w:rsidR="007B0AA0" w:rsidRPr="007B0AA0" w:rsidRDefault="007B0AA0" w:rsidP="007B0AA0">
            <w:pPr>
              <w:rPr>
                <w:b/>
                <w:bCs/>
                <w:rtl/>
              </w:rPr>
            </w:pPr>
            <w:r w:rsidRPr="004E0979">
              <w:rPr>
                <w:rFonts w:hint="cs"/>
                <w:b/>
                <w:bCs/>
                <w:rtl/>
              </w:rPr>
              <w:t>الغرض</w:t>
            </w:r>
          </w:p>
          <w:p w14:paraId="533EE191" w14:textId="4BC2B395" w:rsidR="007B0AA0" w:rsidRPr="006C6EBB" w:rsidRDefault="006C6EBB" w:rsidP="007B0AA0">
            <w:pPr>
              <w:rPr>
                <w:rtl/>
              </w:rPr>
            </w:pPr>
            <w:r w:rsidRPr="006C6EBB">
              <w:rPr>
                <w:rtl/>
              </w:rPr>
              <w:t xml:space="preserve">تعرض هذه الوثيقة مشروع ميزانية الاتحاد لفترة السنتين </w:t>
            </w:r>
            <w:r w:rsidR="00ED40DD">
              <w:t>2027-2026</w:t>
            </w:r>
            <w:r w:rsidRPr="006C6EBB">
              <w:rPr>
                <w:rtl/>
              </w:rPr>
              <w:t xml:space="preserve">. ويستند إلى الخطة الاستراتيجية للاتحاد لتلك الفترة وتتجسد فيه الآثار المالية المترتبة على تنفيذ المقررات والقرارات التي اعتمدها مؤتمر المندوبين المفوضين (بوخارست، </w:t>
            </w:r>
            <w:r w:rsidR="003806CD">
              <w:t>2022</w:t>
            </w:r>
            <w:r w:rsidRPr="006C6EBB">
              <w:rPr>
                <w:rtl/>
              </w:rPr>
              <w:t>) ومجلس الاتحاد في دوراته السابقة. وتفترض هذه الميزانية أيضاً مستويات استرداد تكاليف معالجة بطاقات التبليغ عن الشبكات الساتلية (</w:t>
            </w:r>
            <w:r w:rsidRPr="006C6EBB">
              <w:rPr>
                <w:cs/>
              </w:rPr>
              <w:t>‎</w:t>
            </w:r>
            <w:r w:rsidRPr="006C6EBB">
              <w:t>SNF</w:t>
            </w:r>
            <w:r w:rsidRPr="006C6EBB">
              <w:rPr>
                <w:rtl/>
              </w:rPr>
              <w:t xml:space="preserve">) التي تستند إلى الموافقة على الوثيقة </w:t>
            </w:r>
            <w:hyperlink r:id="rId8" w:history="1">
              <w:r w:rsidRPr="00661023">
                <w:rPr>
                  <w:rStyle w:val="Hyperlink"/>
                  <w:rFonts w:ascii="Dubai" w:eastAsiaTheme="minorEastAsia" w:hAnsi="Dubai" w:cs="Dubai"/>
                  <w:noProof w:val="0"/>
                  <w:sz w:val="22"/>
                  <w:cs/>
                  <w:lang w:val="en-US" w:eastAsia="zh-CN"/>
                </w:rPr>
                <w:t>‎</w:t>
              </w:r>
              <w:r w:rsidRPr="00661023">
                <w:rPr>
                  <w:rStyle w:val="Hyperlink"/>
                  <w:rFonts w:ascii="Dubai" w:eastAsiaTheme="minorEastAsia" w:hAnsi="Dubai" w:cs="Dubai"/>
                  <w:noProof w:val="0"/>
                  <w:sz w:val="22"/>
                  <w:lang w:val="en-US" w:eastAsia="zh-CN"/>
                </w:rPr>
                <w:t>C25/64</w:t>
              </w:r>
            </w:hyperlink>
            <w:r w:rsidRPr="006C6EBB">
              <w:rPr>
                <w:rtl/>
              </w:rPr>
              <w:t xml:space="preserve">‏. وترد توقعات الفترة </w:t>
            </w:r>
            <w:r w:rsidR="003806CD">
              <w:t>2029-2028</w:t>
            </w:r>
            <w:r w:rsidRPr="006C6EBB">
              <w:rPr>
                <w:rtl/>
              </w:rPr>
              <w:t xml:space="preserve"> </w:t>
            </w:r>
            <w:r w:rsidRPr="00E07BD0">
              <w:rPr>
                <w:rtl/>
              </w:rPr>
              <w:t xml:space="preserve">في </w:t>
            </w:r>
            <w:hyperlink w:anchor="Annex_C" w:history="1">
              <w:r w:rsidRPr="00E07BD0">
                <w:rPr>
                  <w:rStyle w:val="Hyperlink"/>
                  <w:rFonts w:ascii="Dubai" w:eastAsiaTheme="minorEastAsia" w:hAnsi="Dubai" w:cs="Dubai"/>
                  <w:noProof w:val="0"/>
                  <w:sz w:val="22"/>
                  <w:rtl/>
                  <w:lang w:val="en-US" w:eastAsia="zh-CN"/>
                </w:rPr>
                <w:t xml:space="preserve">الملحق </w:t>
              </w:r>
              <w:r w:rsidRPr="00E07BD0">
                <w:rPr>
                  <w:rStyle w:val="Hyperlink"/>
                  <w:rFonts w:ascii="Dubai" w:eastAsiaTheme="minorEastAsia" w:hAnsi="Dubai" w:cs="Dubai"/>
                  <w:noProof w:val="0"/>
                  <w:sz w:val="22"/>
                  <w:lang w:val="en-US" w:eastAsia="zh-CN"/>
                </w:rPr>
                <w:t>C</w:t>
              </w:r>
            </w:hyperlink>
            <w:r w:rsidRPr="00E07BD0">
              <w:rPr>
                <w:rtl/>
              </w:rPr>
              <w:t xml:space="preserve"> بهذه الوثيقة.</w:t>
            </w:r>
          </w:p>
          <w:p w14:paraId="2E605F01" w14:textId="77777777" w:rsidR="007B0AA0" w:rsidRPr="007B0AA0" w:rsidRDefault="007B0AA0" w:rsidP="007B0AA0">
            <w:pPr>
              <w:rPr>
                <w:b/>
                <w:bCs/>
                <w:rtl/>
              </w:rPr>
            </w:pPr>
            <w:r w:rsidRPr="007B0AA0">
              <w:rPr>
                <w:rFonts w:hint="cs"/>
                <w:b/>
                <w:bCs/>
                <w:rtl/>
              </w:rPr>
              <w:t>الإجراء المطلوب من المجلس</w:t>
            </w:r>
          </w:p>
          <w:p w14:paraId="42296F59" w14:textId="73F72BFD" w:rsidR="007B0AA0" w:rsidRDefault="006C6EBB" w:rsidP="007B0AA0">
            <w:pPr>
              <w:rPr>
                <w:rtl/>
              </w:rPr>
            </w:pPr>
            <w:r w:rsidRPr="006C6EBB">
              <w:rPr>
                <w:rtl/>
              </w:rPr>
              <w:t xml:space="preserve">يُرجى من المجلس </w:t>
            </w:r>
            <w:r w:rsidRPr="00073BBC">
              <w:rPr>
                <w:b/>
                <w:bCs/>
                <w:rtl/>
              </w:rPr>
              <w:t>استعراض</w:t>
            </w:r>
            <w:r w:rsidRPr="006C6EBB">
              <w:rPr>
                <w:rtl/>
              </w:rPr>
              <w:t xml:space="preserve"> مشروع ميزانية الاتحاد لفترة السنتين </w:t>
            </w:r>
            <w:r w:rsidR="00ED40DD">
              <w:t>2027-2026</w:t>
            </w:r>
            <w:r w:rsidRPr="006C6EBB">
              <w:rPr>
                <w:rtl/>
              </w:rPr>
              <w:t xml:space="preserve"> </w:t>
            </w:r>
            <w:r w:rsidRPr="00073BBC">
              <w:rPr>
                <w:b/>
                <w:bCs/>
                <w:rtl/>
              </w:rPr>
              <w:t>والموافقة</w:t>
            </w:r>
            <w:r w:rsidRPr="006C6EBB">
              <w:rPr>
                <w:rtl/>
              </w:rPr>
              <w:t xml:space="preserve"> على مشروع القرار الوارد في </w:t>
            </w:r>
            <w:hyperlink w:anchor="Annex_A" w:history="1">
              <w:r w:rsidRPr="00E07BD0">
                <w:rPr>
                  <w:rStyle w:val="Hyperlink"/>
                  <w:rFonts w:ascii="Dubai" w:eastAsiaTheme="minorEastAsia" w:hAnsi="Dubai" w:cs="Dubai"/>
                  <w:noProof w:val="0"/>
                  <w:sz w:val="22"/>
                  <w:rtl/>
                  <w:lang w:val="en-US" w:eastAsia="zh-CN"/>
                </w:rPr>
                <w:t xml:space="preserve">الملحق </w:t>
              </w:r>
              <w:r w:rsidRPr="00E07BD0">
                <w:rPr>
                  <w:rStyle w:val="Hyperlink"/>
                  <w:rFonts w:ascii="Dubai" w:eastAsiaTheme="minorEastAsia" w:hAnsi="Dubai" w:cs="Dubai"/>
                  <w:noProof w:val="0"/>
                  <w:sz w:val="22"/>
                  <w:lang w:val="en-US" w:eastAsia="zh-CN"/>
                </w:rPr>
                <w:t>A</w:t>
              </w:r>
            </w:hyperlink>
            <w:r w:rsidRPr="006C6EBB">
              <w:rPr>
                <w:rtl/>
              </w:rPr>
              <w:t xml:space="preserve"> بهذه الوثيقة.</w:t>
            </w:r>
          </w:p>
          <w:p w14:paraId="4AA175D5" w14:textId="1EF51373" w:rsidR="007B0AA0" w:rsidRPr="007B0AA0" w:rsidRDefault="00463A01" w:rsidP="007B0AA0">
            <w:pPr>
              <w:rPr>
                <w:b/>
                <w:bCs/>
                <w:rtl/>
              </w:rPr>
            </w:pPr>
            <w:r w:rsidRPr="00463A01">
              <w:rPr>
                <w:b/>
                <w:bCs/>
                <w:rtl/>
              </w:rPr>
              <w:t>الصلة بالخطة الاستراتيجية</w:t>
            </w:r>
          </w:p>
          <w:p w14:paraId="2F3257AD" w14:textId="733CA108" w:rsidR="007B0AA0" w:rsidRDefault="006C6EBB" w:rsidP="007B0AA0">
            <w:pPr>
              <w:rPr>
                <w:rtl/>
              </w:rPr>
            </w:pPr>
            <w:r w:rsidRPr="006C6EBB">
              <w:rPr>
                <w:rtl/>
              </w:rPr>
              <w:t xml:space="preserve">يوفر مشروع ميزانية الاتحاد لفترة السنتين التمويل اللازم لتحقيق الغايتين والأولويات </w:t>
            </w:r>
            <w:proofErr w:type="spellStart"/>
            <w:r w:rsidRPr="006C6EBB">
              <w:rPr>
                <w:rtl/>
              </w:rPr>
              <w:t>المواضيعية</w:t>
            </w:r>
            <w:proofErr w:type="spellEnd"/>
            <w:r w:rsidRPr="006C6EBB">
              <w:rPr>
                <w:rtl/>
              </w:rPr>
              <w:t xml:space="preserve"> الخمس للخطة الاستراتيجية للاتحاد.</w:t>
            </w:r>
          </w:p>
          <w:p w14:paraId="395A65E2" w14:textId="77777777" w:rsidR="007B0AA0" w:rsidRDefault="007B0AA0" w:rsidP="00B97F32">
            <w:pPr>
              <w:rPr>
                <w:b/>
                <w:bCs/>
              </w:rPr>
            </w:pPr>
            <w:r w:rsidRPr="007B0AA0">
              <w:rPr>
                <w:rFonts w:hint="cs"/>
                <w:b/>
                <w:bCs/>
                <w:rtl/>
              </w:rPr>
              <w:t>الآثار المالية</w:t>
            </w:r>
          </w:p>
          <w:p w14:paraId="5C03675E" w14:textId="348C8218" w:rsidR="006F363C" w:rsidRPr="005546CF" w:rsidRDefault="006C6EBB" w:rsidP="007B0AA0">
            <w:pPr>
              <w:rPr>
                <w:rtl/>
              </w:rPr>
            </w:pPr>
            <w:r w:rsidRPr="006C6EBB">
              <w:rPr>
                <w:rtl/>
              </w:rPr>
              <w:t xml:space="preserve">‏مشروع ميزانية الاتحاد للفترة السنتين </w:t>
            </w:r>
            <w:r w:rsidR="00CF378B">
              <w:t>2027-2026</w:t>
            </w:r>
            <w:r w:rsidRPr="006C6EBB">
              <w:rPr>
                <w:rtl/>
              </w:rPr>
              <w:t xml:space="preserve"> متوازن، حيث تتساوى الإيرادات مع النفقات.</w:t>
            </w:r>
          </w:p>
          <w:p w14:paraId="09A159F1" w14:textId="77777777" w:rsidR="007B0AA0" w:rsidRPr="007B0AA0" w:rsidRDefault="007B0AA0" w:rsidP="007B0AA0">
            <w:pPr>
              <w:rPr>
                <w:rFonts w:ascii="Traditional Arabic" w:hAnsi="Traditional Arabic" w:cs="Traditional Arabic"/>
                <w:sz w:val="30"/>
                <w:szCs w:val="30"/>
                <w:rtl/>
              </w:rPr>
            </w:pPr>
            <w:r w:rsidRPr="007B0AA0">
              <w:rPr>
                <w:rFonts w:ascii="Traditional Arabic" w:hAnsi="Traditional Arabic" w:cs="Traditional Arabic"/>
                <w:sz w:val="30"/>
                <w:szCs w:val="30"/>
                <w:rtl/>
              </w:rPr>
              <w:t>___________</w:t>
            </w:r>
          </w:p>
          <w:p w14:paraId="0E042F65" w14:textId="77777777" w:rsidR="007B0AA0" w:rsidRPr="007B0AA0" w:rsidRDefault="007B0AA0" w:rsidP="007B0AA0">
            <w:pPr>
              <w:rPr>
                <w:b/>
                <w:bCs/>
                <w:rtl/>
              </w:rPr>
            </w:pPr>
            <w:r w:rsidRPr="007B0AA0">
              <w:rPr>
                <w:rFonts w:hint="cs"/>
                <w:b/>
                <w:bCs/>
                <w:rtl/>
              </w:rPr>
              <w:t>المراجع</w:t>
            </w:r>
          </w:p>
          <w:p w14:paraId="201D9295" w14:textId="6653EC3D" w:rsidR="006C6EBB" w:rsidRPr="006C6EBB" w:rsidRDefault="006C6EBB" w:rsidP="006C6EBB">
            <w:pPr>
              <w:rPr>
                <w:i/>
                <w:iCs/>
                <w:rtl/>
              </w:rPr>
            </w:pPr>
            <w:r w:rsidRPr="006C6EBB">
              <w:rPr>
                <w:i/>
                <w:iCs/>
                <w:rtl/>
              </w:rPr>
              <w:t>‏</w:t>
            </w:r>
            <w:hyperlink r:id="rId9" w:history="1">
              <w:r w:rsidRPr="000961F3">
                <w:rPr>
                  <w:rStyle w:val="Hyperlink"/>
                  <w:rFonts w:ascii="Dubai" w:eastAsiaTheme="minorEastAsia" w:hAnsi="Dubai" w:cs="Dubai"/>
                  <w:i/>
                  <w:iCs/>
                  <w:noProof w:val="0"/>
                  <w:sz w:val="22"/>
                  <w:rtl/>
                  <w:lang w:val="en-US" w:eastAsia="zh-CN"/>
                </w:rPr>
                <w:t xml:space="preserve">المادة </w:t>
              </w:r>
              <w:r w:rsidRPr="000961F3">
                <w:rPr>
                  <w:rStyle w:val="Hyperlink"/>
                  <w:rFonts w:ascii="Dubai" w:eastAsiaTheme="minorEastAsia" w:hAnsi="Dubai" w:cs="Dubai"/>
                  <w:i/>
                  <w:iCs/>
                  <w:noProof w:val="0"/>
                  <w:sz w:val="22"/>
                  <w:cs/>
                  <w:lang w:val="en-US" w:eastAsia="zh-CN"/>
                </w:rPr>
                <w:t>‎</w:t>
              </w:r>
              <w:r w:rsidRPr="000961F3">
                <w:rPr>
                  <w:rStyle w:val="Hyperlink"/>
                  <w:rFonts w:ascii="Dubai" w:eastAsiaTheme="minorEastAsia" w:hAnsi="Dubai" w:cs="Dubai"/>
                  <w:i/>
                  <w:iCs/>
                  <w:noProof w:val="0"/>
                  <w:sz w:val="22"/>
                  <w:lang w:val="en-US" w:eastAsia="zh-CN"/>
                </w:rPr>
                <w:t>28</w:t>
              </w:r>
              <w:r w:rsidRPr="000961F3">
                <w:rPr>
                  <w:rStyle w:val="Hyperlink"/>
                  <w:rFonts w:ascii="Dubai" w:eastAsiaTheme="minorEastAsia" w:hAnsi="Dubai" w:cs="Dubai"/>
                  <w:i/>
                  <w:iCs/>
                  <w:noProof w:val="0"/>
                  <w:sz w:val="22"/>
                  <w:rtl/>
                  <w:lang w:val="en-US" w:eastAsia="zh-CN"/>
                </w:rPr>
                <w:t xml:space="preserve"> ‏من الدستور</w:t>
              </w:r>
            </w:hyperlink>
            <w:r w:rsidRPr="006C6EBB">
              <w:rPr>
                <w:i/>
                <w:iCs/>
                <w:rtl/>
              </w:rPr>
              <w:t xml:space="preserve">، </w:t>
            </w:r>
            <w:hyperlink r:id="rId10" w:history="1">
              <w:r w:rsidRPr="000961F3">
                <w:rPr>
                  <w:rStyle w:val="Hyperlink"/>
                  <w:rFonts w:ascii="Dubai" w:eastAsiaTheme="minorEastAsia" w:hAnsi="Dubai" w:cs="Dubai"/>
                  <w:i/>
                  <w:iCs/>
                  <w:noProof w:val="0"/>
                  <w:sz w:val="22"/>
                  <w:rtl/>
                  <w:lang w:val="en-US" w:eastAsia="zh-CN"/>
                </w:rPr>
                <w:t xml:space="preserve">المادة </w:t>
              </w:r>
              <w:r w:rsidRPr="000961F3">
                <w:rPr>
                  <w:rStyle w:val="Hyperlink"/>
                  <w:rFonts w:ascii="Dubai" w:eastAsiaTheme="minorEastAsia" w:hAnsi="Dubai" w:cs="Dubai"/>
                  <w:i/>
                  <w:iCs/>
                  <w:noProof w:val="0"/>
                  <w:sz w:val="22"/>
                  <w:cs/>
                  <w:lang w:val="en-US" w:eastAsia="zh-CN"/>
                </w:rPr>
                <w:t>‎</w:t>
              </w:r>
              <w:r w:rsidRPr="000961F3">
                <w:rPr>
                  <w:rStyle w:val="Hyperlink"/>
                  <w:rFonts w:ascii="Dubai" w:eastAsiaTheme="minorEastAsia" w:hAnsi="Dubai" w:cs="Dubai"/>
                  <w:i/>
                  <w:iCs/>
                  <w:noProof w:val="0"/>
                  <w:sz w:val="22"/>
                  <w:lang w:val="en-US" w:eastAsia="zh-CN"/>
                </w:rPr>
                <w:t>4</w:t>
              </w:r>
              <w:r w:rsidRPr="000961F3">
                <w:rPr>
                  <w:rStyle w:val="Hyperlink"/>
                  <w:rFonts w:ascii="Dubai" w:eastAsiaTheme="minorEastAsia" w:hAnsi="Dubai" w:cs="Dubai"/>
                  <w:i/>
                  <w:iCs/>
                  <w:noProof w:val="0"/>
                  <w:sz w:val="22"/>
                  <w:rtl/>
                  <w:lang w:val="en-US" w:eastAsia="zh-CN"/>
                </w:rPr>
                <w:t xml:space="preserve"> ‏من اتفاقية الاتحاد، الرقم </w:t>
              </w:r>
              <w:r w:rsidRPr="000961F3">
                <w:rPr>
                  <w:rStyle w:val="Hyperlink"/>
                  <w:rFonts w:ascii="Dubai" w:eastAsiaTheme="minorEastAsia" w:hAnsi="Dubai" w:cs="Dubai"/>
                  <w:i/>
                  <w:iCs/>
                  <w:noProof w:val="0"/>
                  <w:sz w:val="22"/>
                  <w:cs/>
                  <w:lang w:val="en-US" w:eastAsia="zh-CN"/>
                </w:rPr>
                <w:t>‎</w:t>
              </w:r>
              <w:r w:rsidRPr="000961F3">
                <w:rPr>
                  <w:rStyle w:val="Hyperlink"/>
                  <w:rFonts w:ascii="Dubai" w:eastAsiaTheme="minorEastAsia" w:hAnsi="Dubai" w:cs="Dubai"/>
                  <w:i/>
                  <w:iCs/>
                  <w:noProof w:val="0"/>
                  <w:sz w:val="22"/>
                  <w:lang w:val="en-US" w:eastAsia="zh-CN"/>
                </w:rPr>
                <w:t>73</w:t>
              </w:r>
              <w:r w:rsidRPr="000961F3">
                <w:rPr>
                  <w:rStyle w:val="Hyperlink"/>
                  <w:rFonts w:ascii="Dubai" w:eastAsiaTheme="minorEastAsia" w:hAnsi="Dubai" w:cs="Dubai"/>
                  <w:i/>
                  <w:iCs/>
                  <w:noProof w:val="0"/>
                  <w:sz w:val="22"/>
                  <w:rtl/>
                  <w:lang w:val="en-US" w:eastAsia="zh-CN"/>
                </w:rPr>
                <w:t xml:space="preserve">‏، المادة </w:t>
              </w:r>
              <w:r w:rsidRPr="000961F3">
                <w:rPr>
                  <w:rStyle w:val="Hyperlink"/>
                  <w:rFonts w:ascii="Dubai" w:eastAsiaTheme="minorEastAsia" w:hAnsi="Dubai" w:cs="Dubai"/>
                  <w:i/>
                  <w:iCs/>
                  <w:noProof w:val="0"/>
                  <w:sz w:val="22"/>
                  <w:cs/>
                  <w:lang w:val="en-US" w:eastAsia="zh-CN"/>
                </w:rPr>
                <w:t>‎</w:t>
              </w:r>
              <w:r w:rsidRPr="000961F3">
                <w:rPr>
                  <w:rStyle w:val="Hyperlink"/>
                  <w:rFonts w:ascii="Dubai" w:eastAsiaTheme="minorEastAsia" w:hAnsi="Dubai" w:cs="Dubai"/>
                  <w:i/>
                  <w:iCs/>
                  <w:noProof w:val="0"/>
                  <w:sz w:val="22"/>
                  <w:lang w:val="en-US" w:eastAsia="zh-CN"/>
                </w:rPr>
                <w:t>33</w:t>
              </w:r>
              <w:r w:rsidRPr="000961F3">
                <w:rPr>
                  <w:rStyle w:val="Hyperlink"/>
                  <w:rFonts w:ascii="Dubai" w:eastAsiaTheme="minorEastAsia" w:hAnsi="Dubai" w:cs="Dubai"/>
                  <w:i/>
                  <w:iCs/>
                  <w:noProof w:val="0"/>
                  <w:sz w:val="22"/>
                  <w:rtl/>
                  <w:lang w:val="en-US" w:eastAsia="zh-CN"/>
                </w:rPr>
                <w:t xml:space="preserve"> ‏من اتفاقية الاتحاد</w:t>
              </w:r>
              <w:r w:rsidRPr="000961F3">
                <w:rPr>
                  <w:rStyle w:val="Hyperlink"/>
                  <w:rFonts w:ascii="Dubai" w:eastAsiaTheme="minorEastAsia" w:hAnsi="Dubai" w:cs="Dubai"/>
                  <w:i/>
                  <w:iCs/>
                  <w:noProof w:val="0"/>
                  <w:sz w:val="22"/>
                  <w:cs/>
                  <w:lang w:val="en-US" w:eastAsia="zh-CN"/>
                </w:rPr>
                <w:t>‎</w:t>
              </w:r>
            </w:hyperlink>
          </w:p>
          <w:p w14:paraId="298D16C7" w14:textId="2C0DD489" w:rsidR="006C6EBB" w:rsidRPr="006C6EBB" w:rsidRDefault="006C6EBB" w:rsidP="006C6EBB">
            <w:pPr>
              <w:rPr>
                <w:i/>
                <w:iCs/>
                <w:rtl/>
              </w:rPr>
            </w:pPr>
            <w:r w:rsidRPr="006C6EBB">
              <w:rPr>
                <w:i/>
                <w:iCs/>
                <w:rtl/>
              </w:rPr>
              <w:t>‏</w:t>
            </w:r>
            <w:hyperlink r:id="rId11" w:history="1">
              <w:r w:rsidRPr="000961F3">
                <w:rPr>
                  <w:rStyle w:val="Hyperlink"/>
                  <w:rFonts w:ascii="Dubai" w:eastAsiaTheme="minorEastAsia" w:hAnsi="Dubai" w:cs="Dubai"/>
                  <w:i/>
                  <w:iCs/>
                  <w:noProof w:val="0"/>
                  <w:sz w:val="22"/>
                  <w:rtl/>
                  <w:lang w:val="en-US" w:eastAsia="zh-CN"/>
                </w:rPr>
                <w:t xml:space="preserve">المقرر </w:t>
              </w:r>
              <w:r w:rsidRPr="000961F3">
                <w:rPr>
                  <w:rStyle w:val="Hyperlink"/>
                  <w:rFonts w:ascii="Dubai" w:eastAsiaTheme="minorEastAsia" w:hAnsi="Dubai" w:cs="Dubai"/>
                  <w:i/>
                  <w:iCs/>
                  <w:noProof w:val="0"/>
                  <w:sz w:val="22"/>
                  <w:cs/>
                  <w:lang w:val="en-US" w:eastAsia="zh-CN"/>
                </w:rPr>
                <w:t>‎</w:t>
              </w:r>
              <w:r w:rsidRPr="000961F3">
                <w:rPr>
                  <w:rStyle w:val="Hyperlink"/>
                  <w:rFonts w:ascii="Dubai" w:eastAsiaTheme="minorEastAsia" w:hAnsi="Dubai" w:cs="Dubai"/>
                  <w:i/>
                  <w:iCs/>
                  <w:noProof w:val="0"/>
                  <w:sz w:val="22"/>
                  <w:lang w:val="en-US" w:eastAsia="zh-CN"/>
                </w:rPr>
                <w:t>5</w:t>
              </w:r>
            </w:hyperlink>
            <w:r w:rsidRPr="006C6EBB">
              <w:rPr>
                <w:i/>
                <w:iCs/>
                <w:rtl/>
              </w:rPr>
              <w:t xml:space="preserve"> (‏المراج</w:t>
            </w:r>
            <w:r w:rsidR="000961F3">
              <w:rPr>
                <w:rFonts w:hint="cs"/>
                <w:i/>
                <w:iCs/>
                <w:rtl/>
              </w:rPr>
              <w:t>َ</w:t>
            </w:r>
            <w:r w:rsidRPr="006C6EBB">
              <w:rPr>
                <w:i/>
                <w:iCs/>
                <w:rtl/>
              </w:rPr>
              <w:t xml:space="preserve">ع في بوخارست، </w:t>
            </w:r>
            <w:r w:rsidRPr="006C6EBB">
              <w:rPr>
                <w:i/>
                <w:iCs/>
                <w:cs/>
              </w:rPr>
              <w:t>‎</w:t>
            </w:r>
            <w:r w:rsidRPr="006C6EBB">
              <w:rPr>
                <w:i/>
                <w:iCs/>
              </w:rPr>
              <w:t>2022</w:t>
            </w:r>
            <w:r w:rsidRPr="006C6EBB">
              <w:rPr>
                <w:i/>
                <w:iCs/>
                <w:rtl/>
              </w:rPr>
              <w:t>) ‏لمؤتمر المندوبين المفوضين</w:t>
            </w:r>
            <w:r w:rsidRPr="006C6EBB">
              <w:rPr>
                <w:i/>
                <w:iCs/>
                <w:cs/>
              </w:rPr>
              <w:t>‎</w:t>
            </w:r>
          </w:p>
          <w:p w14:paraId="24AF900F" w14:textId="15E97BBC" w:rsidR="006C6EBB" w:rsidRPr="006C6EBB" w:rsidRDefault="006C6EBB" w:rsidP="006C6EBB">
            <w:pPr>
              <w:rPr>
                <w:i/>
                <w:iCs/>
                <w:rtl/>
              </w:rPr>
            </w:pPr>
            <w:r w:rsidRPr="006C6EBB">
              <w:rPr>
                <w:i/>
                <w:iCs/>
                <w:rtl/>
              </w:rPr>
              <w:t>‏</w:t>
            </w:r>
            <w:hyperlink r:id="rId12" w:history="1">
              <w:r w:rsidRPr="005467A2">
                <w:rPr>
                  <w:rStyle w:val="Hyperlink"/>
                  <w:rFonts w:ascii="Dubai" w:eastAsiaTheme="minorEastAsia" w:hAnsi="Dubai" w:cs="Dubai"/>
                  <w:i/>
                  <w:iCs/>
                  <w:noProof w:val="0"/>
                  <w:sz w:val="22"/>
                  <w:rtl/>
                  <w:lang w:val="en-US" w:eastAsia="zh-CN"/>
                </w:rPr>
                <w:t xml:space="preserve">القرار </w:t>
              </w:r>
              <w:r w:rsidRPr="005467A2">
                <w:rPr>
                  <w:rStyle w:val="Hyperlink"/>
                  <w:rFonts w:ascii="Dubai" w:eastAsiaTheme="minorEastAsia" w:hAnsi="Dubai" w:cs="Dubai"/>
                  <w:i/>
                  <w:iCs/>
                  <w:noProof w:val="0"/>
                  <w:sz w:val="22"/>
                  <w:cs/>
                  <w:lang w:val="en-US" w:eastAsia="zh-CN"/>
                </w:rPr>
                <w:t>‎</w:t>
              </w:r>
              <w:r w:rsidRPr="005467A2">
                <w:rPr>
                  <w:rStyle w:val="Hyperlink"/>
                  <w:rFonts w:ascii="Dubai" w:eastAsiaTheme="minorEastAsia" w:hAnsi="Dubai" w:cs="Dubai"/>
                  <w:i/>
                  <w:iCs/>
                  <w:noProof w:val="0"/>
                  <w:sz w:val="22"/>
                  <w:lang w:val="en-US" w:eastAsia="zh-CN"/>
                </w:rPr>
                <w:t>71</w:t>
              </w:r>
            </w:hyperlink>
            <w:r w:rsidRPr="006C6EBB">
              <w:rPr>
                <w:i/>
                <w:iCs/>
                <w:rtl/>
              </w:rPr>
              <w:t xml:space="preserve"> (‏المراج</w:t>
            </w:r>
            <w:r w:rsidR="000961F3">
              <w:rPr>
                <w:rFonts w:hint="cs"/>
                <w:i/>
                <w:iCs/>
                <w:rtl/>
              </w:rPr>
              <w:t>َ</w:t>
            </w:r>
            <w:r w:rsidRPr="006C6EBB">
              <w:rPr>
                <w:i/>
                <w:iCs/>
                <w:rtl/>
              </w:rPr>
              <w:t xml:space="preserve">ع في بوخارست، </w:t>
            </w:r>
            <w:r w:rsidRPr="006C6EBB">
              <w:rPr>
                <w:i/>
                <w:iCs/>
                <w:cs/>
              </w:rPr>
              <w:t>‎</w:t>
            </w:r>
            <w:r w:rsidRPr="006C6EBB">
              <w:rPr>
                <w:i/>
                <w:iCs/>
              </w:rPr>
              <w:t>2022</w:t>
            </w:r>
            <w:r w:rsidRPr="006C6EBB">
              <w:rPr>
                <w:i/>
                <w:iCs/>
                <w:rtl/>
              </w:rPr>
              <w:t>) ‏لمؤتمر المندوبين المفوضين</w:t>
            </w:r>
            <w:r w:rsidRPr="006C6EBB">
              <w:rPr>
                <w:i/>
                <w:iCs/>
                <w:cs/>
              </w:rPr>
              <w:t>‎</w:t>
            </w:r>
          </w:p>
          <w:p w14:paraId="7E365906" w14:textId="621F383A" w:rsidR="006C6EBB" w:rsidRPr="006C6EBB" w:rsidRDefault="006C6EBB" w:rsidP="006C6EBB">
            <w:pPr>
              <w:rPr>
                <w:i/>
                <w:iCs/>
                <w:rtl/>
              </w:rPr>
            </w:pPr>
            <w:r w:rsidRPr="006C6EBB">
              <w:rPr>
                <w:i/>
                <w:iCs/>
                <w:rtl/>
              </w:rPr>
              <w:t>‏</w:t>
            </w:r>
            <w:hyperlink r:id="rId13" w:history="1">
              <w:r w:rsidRPr="005467A2">
                <w:rPr>
                  <w:rStyle w:val="Hyperlink"/>
                  <w:rFonts w:ascii="Dubai" w:eastAsiaTheme="minorEastAsia" w:hAnsi="Dubai" w:cs="Dubai"/>
                  <w:i/>
                  <w:iCs/>
                  <w:noProof w:val="0"/>
                  <w:sz w:val="22"/>
                  <w:rtl/>
                  <w:lang w:val="en-US" w:eastAsia="zh-CN"/>
                </w:rPr>
                <w:t xml:space="preserve">القرار </w:t>
              </w:r>
              <w:r w:rsidRPr="005467A2">
                <w:rPr>
                  <w:rStyle w:val="Hyperlink"/>
                  <w:rFonts w:ascii="Dubai" w:eastAsiaTheme="minorEastAsia" w:hAnsi="Dubai" w:cs="Dubai"/>
                  <w:i/>
                  <w:iCs/>
                  <w:noProof w:val="0"/>
                  <w:sz w:val="22"/>
                  <w:cs/>
                  <w:lang w:val="en-US" w:eastAsia="zh-CN"/>
                </w:rPr>
                <w:t>‎</w:t>
              </w:r>
              <w:r w:rsidRPr="005467A2">
                <w:rPr>
                  <w:rStyle w:val="Hyperlink"/>
                  <w:rFonts w:ascii="Dubai" w:eastAsiaTheme="minorEastAsia" w:hAnsi="Dubai" w:cs="Dubai"/>
                  <w:i/>
                  <w:iCs/>
                  <w:noProof w:val="0"/>
                  <w:sz w:val="22"/>
                  <w:lang w:val="en-US" w:eastAsia="zh-CN"/>
                </w:rPr>
                <w:t>151</w:t>
              </w:r>
            </w:hyperlink>
            <w:r w:rsidRPr="006C6EBB">
              <w:rPr>
                <w:i/>
                <w:iCs/>
                <w:rtl/>
              </w:rPr>
              <w:t xml:space="preserve"> (‏المراج</w:t>
            </w:r>
            <w:r w:rsidR="000961F3">
              <w:rPr>
                <w:rFonts w:hint="cs"/>
                <w:i/>
                <w:iCs/>
                <w:rtl/>
              </w:rPr>
              <w:t>َ</w:t>
            </w:r>
            <w:r w:rsidRPr="006C6EBB">
              <w:rPr>
                <w:i/>
                <w:iCs/>
                <w:rtl/>
              </w:rPr>
              <w:t xml:space="preserve">ع في بوخارست، </w:t>
            </w:r>
            <w:r w:rsidRPr="006C6EBB">
              <w:rPr>
                <w:i/>
                <w:iCs/>
                <w:cs/>
              </w:rPr>
              <w:t>‎</w:t>
            </w:r>
            <w:r w:rsidRPr="006C6EBB">
              <w:rPr>
                <w:i/>
                <w:iCs/>
              </w:rPr>
              <w:t>2022</w:t>
            </w:r>
            <w:r w:rsidRPr="006C6EBB">
              <w:rPr>
                <w:i/>
                <w:iCs/>
                <w:rtl/>
              </w:rPr>
              <w:t>) ‏لمؤتمر المندوبين المفوضين</w:t>
            </w:r>
            <w:r w:rsidRPr="006C6EBB">
              <w:rPr>
                <w:i/>
                <w:iCs/>
                <w:cs/>
              </w:rPr>
              <w:t>‎</w:t>
            </w:r>
          </w:p>
          <w:p w14:paraId="519AFC0C" w14:textId="7779B3B1" w:rsidR="007B0AA0" w:rsidRPr="005546CF" w:rsidRDefault="005467A2" w:rsidP="006C6EBB">
            <w:pPr>
              <w:rPr>
                <w:i/>
                <w:iCs/>
                <w:rtl/>
              </w:rPr>
            </w:pPr>
            <w:hyperlink r:id="rId14" w:history="1">
              <w:r w:rsidRPr="005467A2">
                <w:rPr>
                  <w:rStyle w:val="Hyperlink"/>
                  <w:rFonts w:ascii="Dubai" w:eastAsiaTheme="minorEastAsia" w:hAnsi="Dubai" w:cs="Dubai" w:hint="cs"/>
                  <w:i/>
                  <w:iCs/>
                  <w:noProof w:val="0"/>
                  <w:sz w:val="22"/>
                  <w:rtl/>
                  <w:lang w:val="en-US" w:eastAsia="zh-CN"/>
                </w:rPr>
                <w:t xml:space="preserve">الوثيقة </w:t>
              </w:r>
              <w:r w:rsidR="006C6EBB" w:rsidRPr="005467A2">
                <w:rPr>
                  <w:rStyle w:val="Hyperlink"/>
                  <w:rFonts w:ascii="Dubai" w:eastAsiaTheme="minorEastAsia" w:hAnsi="Dubai" w:cs="Dubai"/>
                  <w:i/>
                  <w:iCs/>
                  <w:noProof w:val="0"/>
                  <w:sz w:val="22"/>
                  <w:lang w:val="en-US" w:eastAsia="zh-CN"/>
                </w:rPr>
                <w:t>C25/64</w:t>
              </w:r>
            </w:hyperlink>
            <w:r w:rsidR="006C6EBB" w:rsidRPr="006C6EBB">
              <w:rPr>
                <w:i/>
                <w:iCs/>
                <w:rtl/>
              </w:rPr>
              <w:t xml:space="preserve"> - ‏منهجية مقترحة لحساب استرداد تكاليف معالجة بطاقات التبليغ عن الشبكات الساتلية</w:t>
            </w:r>
            <w:r w:rsidR="006C6EBB" w:rsidRPr="006C6EBB">
              <w:rPr>
                <w:i/>
                <w:iCs/>
                <w:cs/>
              </w:rPr>
              <w:t>‎</w:t>
            </w:r>
          </w:p>
        </w:tc>
      </w:tr>
    </w:tbl>
    <w:p w14:paraId="65ED5489" w14:textId="77777777" w:rsidR="00F50E3F" w:rsidRDefault="00F50E3F" w:rsidP="0043260A">
      <w:pPr>
        <w:rPr>
          <w:rtl/>
          <w:lang w:bidi="ar-EG"/>
        </w:rPr>
      </w:pPr>
      <w:r>
        <w:rPr>
          <w:rtl/>
          <w:lang w:bidi="ar-EG"/>
        </w:rPr>
        <w:br w:type="page"/>
      </w:r>
    </w:p>
    <w:p w14:paraId="7B52D55A" w14:textId="77777777" w:rsidR="00722A06" w:rsidRPr="000617E6" w:rsidRDefault="00722A06" w:rsidP="000617E6">
      <w:pPr>
        <w:pStyle w:val="Heading1"/>
      </w:pPr>
      <w:r w:rsidRPr="000617E6">
        <w:rPr>
          <w:rtl/>
        </w:rPr>
        <w:lastRenderedPageBreak/>
        <w:t>1</w:t>
      </w:r>
      <w:r w:rsidRPr="000617E6">
        <w:rPr>
          <w:rtl/>
        </w:rPr>
        <w:tab/>
        <w:t>ملخص تجميعي</w:t>
      </w:r>
    </w:p>
    <w:p w14:paraId="33CFCBB1" w14:textId="5449281A" w:rsidR="00722A06" w:rsidRPr="001F7339" w:rsidRDefault="00A94B9F" w:rsidP="00A94B9F">
      <w:pPr>
        <w:rPr>
          <w:lang w:bidi="ar-EG"/>
        </w:rPr>
      </w:pPr>
      <w:r>
        <w:t>1.1</w:t>
      </w:r>
      <w:r w:rsidR="00722A06" w:rsidRPr="001F7339">
        <w:rPr>
          <w:rtl/>
        </w:rPr>
        <w:tab/>
        <w:t>وُضعت الميزانية المقترحة في إطار المقرر 5 (المراج</w:t>
      </w:r>
      <w:r w:rsidR="007F62F1">
        <w:rPr>
          <w:rFonts w:hint="cs"/>
          <w:rtl/>
        </w:rPr>
        <w:t>َ</w:t>
      </w:r>
      <w:r w:rsidR="00722A06" w:rsidRPr="001F7339">
        <w:rPr>
          <w:rtl/>
        </w:rPr>
        <w:t>ع في بوخارست، 2022) والخطة الاستراتيجية للاتحاد للفترة 2024-2027 المنصوص عليها في القرار 71 (المراج</w:t>
      </w:r>
      <w:r w:rsidR="007F62F1">
        <w:rPr>
          <w:rFonts w:hint="cs"/>
          <w:rtl/>
        </w:rPr>
        <w:t>َ</w:t>
      </w:r>
      <w:r w:rsidR="00722A06" w:rsidRPr="001F7339">
        <w:rPr>
          <w:rtl/>
        </w:rPr>
        <w:t>ع في بوخارست، 2022)، على التوالي. ووفقاً للمقرر 5 (المراج</w:t>
      </w:r>
      <w:r w:rsidR="007F62F1">
        <w:rPr>
          <w:rFonts w:hint="cs"/>
          <w:rtl/>
        </w:rPr>
        <w:t>َ</w:t>
      </w:r>
      <w:r w:rsidR="00722A06" w:rsidRPr="001F7339">
        <w:rPr>
          <w:rtl/>
        </w:rPr>
        <w:t xml:space="preserve">ع في بوخارست، 2022)، يجسد مشروع ميزانية الفترة </w:t>
      </w:r>
      <w:r w:rsidR="00107DD7">
        <w:t>2027-2026</w:t>
      </w:r>
      <w:r w:rsidR="00722A06" w:rsidRPr="001F7339">
        <w:rPr>
          <w:rtl/>
        </w:rPr>
        <w:t xml:space="preserve"> نمواً اسمياً صفرياً في مبلغ وحدة المساهمة، أي</w:t>
      </w:r>
      <w:r w:rsidR="007F62F1">
        <w:rPr>
          <w:rFonts w:hint="cs"/>
          <w:rtl/>
        </w:rPr>
        <w:t> </w:t>
      </w:r>
      <w:r>
        <w:t>318 000</w:t>
      </w:r>
      <w:r w:rsidR="00722A06" w:rsidRPr="001F7339">
        <w:rPr>
          <w:rtl/>
        </w:rPr>
        <w:t>‎ فرنك سويسري</w:t>
      </w:r>
      <w:r>
        <w:rPr>
          <w:rFonts w:hint="cs"/>
          <w:rtl/>
          <w:lang w:bidi="ar-EG"/>
        </w:rPr>
        <w:t>.</w:t>
      </w:r>
    </w:p>
    <w:p w14:paraId="45C6200A" w14:textId="7A655EA8" w:rsidR="00722A06" w:rsidRPr="001F7339" w:rsidRDefault="00A94B9F" w:rsidP="00A94B9F">
      <w:pPr>
        <w:rPr>
          <w:rtl/>
        </w:rPr>
      </w:pPr>
      <w:r>
        <w:t>2.1</w:t>
      </w:r>
      <w:r w:rsidR="00722A06" w:rsidRPr="001F7339">
        <w:rPr>
          <w:rtl/>
        </w:rPr>
        <w:tab/>
        <w:t>‏يلخص الجدول أدناه تقديرات الإيرادات والنفقات للفترة ‎</w:t>
      </w:r>
      <w:r w:rsidR="00722A06" w:rsidRPr="001F7339">
        <w:t>2027-2026</w:t>
      </w:r>
      <w:r w:rsidR="00722A06" w:rsidRPr="001F7339">
        <w:rPr>
          <w:rtl/>
        </w:rPr>
        <w:t xml:space="preserve"> ‏مقارنةً بالخطة المالية وميزانية الفترة</w:t>
      </w:r>
      <w:r w:rsidR="007F62F1">
        <w:rPr>
          <w:rFonts w:hint="cs"/>
          <w:rtl/>
        </w:rPr>
        <w:t> </w:t>
      </w:r>
      <w:r w:rsidR="00722A06" w:rsidRPr="001F7339">
        <w:rPr>
          <w:rtl/>
        </w:rPr>
        <w:t>‎2025-2024 ‏والمبالغ الفعلية لعام 2024.</w:t>
      </w:r>
    </w:p>
    <w:p w14:paraId="5CC7F832" w14:textId="691550E2" w:rsidR="00722A06" w:rsidRPr="001F7339" w:rsidRDefault="00F82EA4" w:rsidP="00F82EA4">
      <w:pPr>
        <w:pStyle w:val="Figure"/>
        <w:bidi/>
        <w:rPr>
          <w:rFonts w:hint="default"/>
          <w:rtl/>
        </w:rPr>
      </w:pPr>
      <w:r w:rsidRPr="00F82EA4">
        <w:rPr>
          <w:rFonts w:hint="default"/>
          <w:noProof/>
        </w:rPr>
        <w:drawing>
          <wp:inline distT="0" distB="0" distL="0" distR="0" wp14:anchorId="26F89216" wp14:editId="2BA4433D">
            <wp:extent cx="5760000" cy="2253600"/>
            <wp:effectExtent l="0" t="0" r="0" b="0"/>
            <wp:docPr id="987579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2253600"/>
                    </a:xfrm>
                    <a:prstGeom prst="rect">
                      <a:avLst/>
                    </a:prstGeom>
                    <a:noFill/>
                  </pic:spPr>
                </pic:pic>
              </a:graphicData>
            </a:graphic>
          </wp:inline>
        </w:drawing>
      </w:r>
    </w:p>
    <w:p w14:paraId="6F860BC8" w14:textId="429CA244" w:rsidR="00722A06" w:rsidRPr="001F7339" w:rsidRDefault="007F102C" w:rsidP="001C3A4C">
      <w:pPr>
        <w:spacing w:before="240"/>
        <w:rPr>
          <w:lang w:bidi="ar-EG"/>
        </w:rPr>
      </w:pPr>
      <w:r>
        <w:t>3.1</w:t>
      </w:r>
      <w:r w:rsidR="00722A06" w:rsidRPr="001F7339">
        <w:rPr>
          <w:rtl/>
        </w:rPr>
        <w:tab/>
        <w:t xml:space="preserve">مشروع الميزانية لفترة السنتين </w:t>
      </w:r>
      <w:r w:rsidR="00107DD7">
        <w:t>2027-2026</w:t>
      </w:r>
      <w:r w:rsidR="00722A06" w:rsidRPr="001F7339">
        <w:rPr>
          <w:rtl/>
        </w:rPr>
        <w:t xml:space="preserve"> متوازن حيث تتساوى الإيرادات مع النفقات بمبلغ</w:t>
      </w:r>
      <w:r w:rsidR="00C90949">
        <w:rPr>
          <w:rFonts w:hint="cs"/>
          <w:rtl/>
        </w:rPr>
        <w:t> </w:t>
      </w:r>
      <w:r>
        <w:t>333 238</w:t>
      </w:r>
      <w:r w:rsidR="00C90949">
        <w:t> 000</w:t>
      </w:r>
      <w:r w:rsidR="00722A06" w:rsidRPr="001F7339">
        <w:rPr>
          <w:rtl/>
        </w:rPr>
        <w:t xml:space="preserve"> فرنك سويسري. وتتجاوز إيرادات ونفقات الفترة الخطة المالية للاتحاد للفترة </w:t>
      </w:r>
      <w:r w:rsidR="00107DD7">
        <w:t>2027-2026</w:t>
      </w:r>
      <w:r w:rsidR="00722A06" w:rsidRPr="001F7339">
        <w:rPr>
          <w:rtl/>
        </w:rPr>
        <w:t xml:space="preserve"> بمبلغ</w:t>
      </w:r>
      <w:r w:rsidR="00C90949">
        <w:rPr>
          <w:rFonts w:hint="cs"/>
          <w:rtl/>
        </w:rPr>
        <w:t> </w:t>
      </w:r>
      <w:r w:rsidR="003B0D04">
        <w:t>3 620</w:t>
      </w:r>
      <w:r w:rsidR="00C90949">
        <w:t> 000</w:t>
      </w:r>
      <w:r w:rsidR="00722A06" w:rsidRPr="001F7339">
        <w:rPr>
          <w:rtl/>
        </w:rPr>
        <w:t xml:space="preserve"> فرنك سويسري. وترد أدناه معلومات مفصلة عن التغيرات في الإيرادات والنفقات. ويتضمن </w:t>
      </w:r>
      <w:hyperlink w:anchor="Annex_A" w:history="1">
        <w:r w:rsidR="00722A06" w:rsidRPr="00E07BD0">
          <w:rPr>
            <w:rStyle w:val="Hyperlink"/>
            <w:rFonts w:ascii="Dubai" w:eastAsiaTheme="minorEastAsia" w:hAnsi="Dubai" w:cs="Dubai"/>
            <w:noProof w:val="0"/>
            <w:sz w:val="22"/>
            <w:rtl/>
            <w:lang w:val="en-US" w:eastAsia="zh-CN"/>
          </w:rPr>
          <w:t>الملحق</w:t>
        </w:r>
        <w:r w:rsidR="00C90949">
          <w:rPr>
            <w:rStyle w:val="Hyperlink"/>
            <w:rFonts w:ascii="Dubai" w:eastAsiaTheme="minorEastAsia" w:hAnsi="Dubai" w:cs="Dubai" w:hint="cs"/>
            <w:noProof w:val="0"/>
            <w:sz w:val="22"/>
            <w:rtl/>
            <w:lang w:val="en-US" w:eastAsia="zh-CN"/>
          </w:rPr>
          <w:t> </w:t>
        </w:r>
        <w:r w:rsidR="00722A06" w:rsidRPr="00E07BD0">
          <w:rPr>
            <w:rStyle w:val="Hyperlink"/>
            <w:rFonts w:ascii="Dubai" w:eastAsiaTheme="minorEastAsia" w:hAnsi="Dubai" w:cs="Dubai"/>
            <w:noProof w:val="0"/>
            <w:sz w:val="22"/>
            <w:lang w:val="en-US" w:eastAsia="zh-CN" w:bidi="ar-EG"/>
          </w:rPr>
          <w:t>A</w:t>
        </w:r>
      </w:hyperlink>
      <w:r w:rsidR="00722A06" w:rsidRPr="003B0D04">
        <w:rPr>
          <w:rtl/>
        </w:rPr>
        <w:t xml:space="preserve"> مشروع</w:t>
      </w:r>
      <w:r w:rsidR="00722A06" w:rsidRPr="001F7339">
        <w:rPr>
          <w:rtl/>
        </w:rPr>
        <w:t xml:space="preserve"> قرار بشأن مشروع ميزانية الاتحاد لفترة السنتين </w:t>
      </w:r>
      <w:r w:rsidR="00107DD7">
        <w:t>2027-2026</w:t>
      </w:r>
      <w:r w:rsidR="00722A06" w:rsidRPr="001F7339">
        <w:rPr>
          <w:rtl/>
        </w:rPr>
        <w:t xml:space="preserve">، بما في ذلك الجداول التي تبين الإيرادات حسب المصدر والنفقات حسب الأبواب والأبواب الفرعية وفئات النفقات. </w:t>
      </w:r>
      <w:r w:rsidR="00722A06" w:rsidRPr="00E07BD0">
        <w:rPr>
          <w:rtl/>
        </w:rPr>
        <w:t xml:space="preserve">ويصف </w:t>
      </w:r>
      <w:hyperlink w:anchor="Annex_D" w:history="1">
        <w:r w:rsidR="00722A06" w:rsidRPr="00E07BD0">
          <w:rPr>
            <w:rStyle w:val="Hyperlink"/>
            <w:rFonts w:ascii="Dubai" w:eastAsiaTheme="minorEastAsia" w:hAnsi="Dubai" w:cs="Dubai"/>
            <w:noProof w:val="0"/>
            <w:sz w:val="22"/>
            <w:rtl/>
            <w:lang w:val="en-US" w:eastAsia="zh-CN"/>
          </w:rPr>
          <w:t xml:space="preserve">الملحق </w:t>
        </w:r>
        <w:r w:rsidR="00722A06" w:rsidRPr="00E07BD0">
          <w:rPr>
            <w:rStyle w:val="Hyperlink"/>
            <w:rFonts w:ascii="Dubai" w:eastAsiaTheme="minorEastAsia" w:hAnsi="Dubai" w:cs="Dubai"/>
            <w:noProof w:val="0"/>
            <w:sz w:val="22"/>
            <w:lang w:val="en-US" w:eastAsia="zh-CN" w:bidi="ar-EG"/>
          </w:rPr>
          <w:t>D</w:t>
        </w:r>
      </w:hyperlink>
      <w:r w:rsidR="00722A06" w:rsidRPr="00E07BD0">
        <w:rPr>
          <w:rtl/>
        </w:rPr>
        <w:t xml:space="preserve"> فئات</w:t>
      </w:r>
      <w:r w:rsidR="00722A06" w:rsidRPr="001F7339">
        <w:rPr>
          <w:rtl/>
        </w:rPr>
        <w:t xml:space="preserve"> النفقات.</w:t>
      </w:r>
    </w:p>
    <w:p w14:paraId="047EE847" w14:textId="77777777" w:rsidR="00722A06" w:rsidRPr="001F7339" w:rsidRDefault="00722A06" w:rsidP="000617E6">
      <w:pPr>
        <w:pStyle w:val="Heading1"/>
        <w:rPr>
          <w:lang w:bidi="ar-EG"/>
        </w:rPr>
      </w:pPr>
      <w:r w:rsidRPr="001F7339">
        <w:rPr>
          <w:rtl/>
        </w:rPr>
        <w:t>2</w:t>
      </w:r>
      <w:r w:rsidRPr="001F7339">
        <w:rPr>
          <w:rtl/>
        </w:rPr>
        <w:tab/>
        <w:t>الأسس</w:t>
      </w:r>
    </w:p>
    <w:p w14:paraId="13A19F92" w14:textId="27095855" w:rsidR="00722A06" w:rsidRPr="001F7339" w:rsidRDefault="00894439" w:rsidP="001F7339">
      <w:pPr>
        <w:rPr>
          <w:lang w:bidi="ar-EG"/>
        </w:rPr>
      </w:pPr>
      <w:r>
        <w:t>1.2</w:t>
      </w:r>
      <w:r w:rsidR="00722A06" w:rsidRPr="001F7339">
        <w:rPr>
          <w:rtl/>
        </w:rPr>
        <w:tab/>
        <w:t xml:space="preserve">يستند مشروع ميزانية فترة السنتين </w:t>
      </w:r>
      <w:r w:rsidR="00107DD7">
        <w:t>2027-2026</w:t>
      </w:r>
      <w:r w:rsidR="00722A06" w:rsidRPr="001F7339">
        <w:rPr>
          <w:rtl/>
        </w:rPr>
        <w:t xml:space="preserve"> إلى ما يلي:</w:t>
      </w:r>
    </w:p>
    <w:p w14:paraId="3A736B39" w14:textId="04FC0A8F" w:rsidR="00722A06" w:rsidRPr="00894439" w:rsidRDefault="00894439" w:rsidP="00894439">
      <w:pPr>
        <w:pStyle w:val="enumlev10"/>
        <w:rPr>
          <w:lang w:bidi="ar-EG"/>
        </w:rPr>
      </w:pPr>
      <w:r>
        <w:rPr>
          <w:rtl/>
          <w:lang w:bidi="ar-SA"/>
        </w:rPr>
        <w:t>-</w:t>
      </w:r>
      <w:r>
        <w:rPr>
          <w:lang w:bidi="ar-SA"/>
        </w:rPr>
        <w:tab/>
      </w:r>
      <w:r w:rsidR="00722A06" w:rsidRPr="00894439">
        <w:rPr>
          <w:rtl/>
          <w:lang w:bidi="ar-SA"/>
        </w:rPr>
        <w:t>سعر صرف ‏‎1‎‏ دولار أمريكي = ‏‎0,929‎‏ فرنك سويسري، أي سعر الصرف الساري في يناير ‏‎2025؛</w:t>
      </w:r>
    </w:p>
    <w:p w14:paraId="78E5329C" w14:textId="7AC03D7E" w:rsidR="00722A06" w:rsidRPr="00894439" w:rsidRDefault="00894439" w:rsidP="00894439">
      <w:pPr>
        <w:pStyle w:val="enumlev10"/>
        <w:rPr>
          <w:lang w:bidi="ar-EG"/>
        </w:rPr>
      </w:pPr>
      <w:r>
        <w:rPr>
          <w:rtl/>
          <w:lang w:bidi="ar-SA"/>
        </w:rPr>
        <w:t>-</w:t>
      </w:r>
      <w:r>
        <w:rPr>
          <w:lang w:bidi="ar-SA"/>
        </w:rPr>
        <w:tab/>
      </w:r>
      <w:r w:rsidR="00722A06" w:rsidRPr="00894439">
        <w:rPr>
          <w:rtl/>
          <w:lang w:bidi="ar-SA"/>
        </w:rPr>
        <w:t>شروط الخدمة السائدة في النظام الموحد للأمم المتحدة في ‏‎1‎‏ يناير ‏‎2025.‏</w:t>
      </w:r>
    </w:p>
    <w:p w14:paraId="0BD380C3" w14:textId="343B38F4" w:rsidR="00722A06" w:rsidRPr="001F7339" w:rsidRDefault="00894439" w:rsidP="001F7339">
      <w:pPr>
        <w:rPr>
          <w:lang w:bidi="ar-EG"/>
        </w:rPr>
      </w:pPr>
      <w:r>
        <w:t>2.2</w:t>
      </w:r>
      <w:r w:rsidR="00722A06" w:rsidRPr="001F7339">
        <w:rPr>
          <w:rtl/>
        </w:rPr>
        <w:tab/>
        <w:t xml:space="preserve">ولا يشمل مشروع ميزانية </w:t>
      </w:r>
      <w:r w:rsidR="00C90949">
        <w:rPr>
          <w:rFonts w:hint="cs"/>
          <w:rtl/>
        </w:rPr>
        <w:t xml:space="preserve">الاتحاد </w:t>
      </w:r>
      <w:r w:rsidR="00722A06" w:rsidRPr="001F7339">
        <w:rPr>
          <w:rtl/>
        </w:rPr>
        <w:t>للفترة ‏‎</w:t>
      </w:r>
      <w:r w:rsidR="00107DD7">
        <w:t>2027-2026</w:t>
      </w:r>
      <w:r w:rsidR="00722A06" w:rsidRPr="001F7339">
        <w:rPr>
          <w:rtl/>
        </w:rPr>
        <w:t xml:space="preserve"> أي اعتمادات لزيادات منظورة في التكاليف بالنسبة للفترة من 1‎‏ يناير ‏‎2025 إلى ‏‎31‎‏ ديسمبر ‏‎2027.‏</w:t>
      </w:r>
    </w:p>
    <w:p w14:paraId="4BFF7681" w14:textId="34172679" w:rsidR="00722A06" w:rsidRPr="001F7339" w:rsidRDefault="00894439" w:rsidP="001F7339">
      <w:pPr>
        <w:rPr>
          <w:lang w:bidi="ar-EG"/>
        </w:rPr>
      </w:pPr>
      <w:r>
        <w:t>3.2</w:t>
      </w:r>
      <w:r w:rsidR="00722A06" w:rsidRPr="001F7339">
        <w:rPr>
          <w:rtl/>
        </w:rPr>
        <w:tab/>
        <w:t xml:space="preserve">وصُنفت النفقات في جداول مشروع القرار </w:t>
      </w:r>
      <w:r w:rsidR="00722A06" w:rsidRPr="00E07BD0">
        <w:rPr>
          <w:rtl/>
        </w:rPr>
        <w:t xml:space="preserve">الوارد في </w:t>
      </w:r>
      <w:hyperlink w:anchor="Annex_A" w:history="1">
        <w:r w:rsidR="00722A06" w:rsidRPr="00E07BD0">
          <w:rPr>
            <w:rStyle w:val="Hyperlink"/>
            <w:rFonts w:ascii="Dubai" w:eastAsiaTheme="minorEastAsia" w:hAnsi="Dubai" w:cs="Dubai"/>
            <w:noProof w:val="0"/>
            <w:sz w:val="22"/>
            <w:rtl/>
            <w:lang w:val="en-US" w:eastAsia="zh-CN"/>
          </w:rPr>
          <w:t xml:space="preserve">الملحق </w:t>
        </w:r>
        <w:r w:rsidR="00722A06" w:rsidRPr="00E07BD0">
          <w:rPr>
            <w:rStyle w:val="Hyperlink"/>
            <w:rFonts w:ascii="Dubai" w:eastAsiaTheme="minorEastAsia" w:hAnsi="Dubai" w:cs="Dubai"/>
            <w:noProof w:val="0"/>
            <w:sz w:val="22"/>
            <w:lang w:val="en-US" w:eastAsia="zh-CN" w:bidi="ar-EG"/>
          </w:rPr>
          <w:t>A</w:t>
        </w:r>
      </w:hyperlink>
      <w:r w:rsidR="00722A06" w:rsidRPr="00E07BD0">
        <w:rPr>
          <w:rtl/>
        </w:rPr>
        <w:t xml:space="preserve"> إما كنفقات تشغيلية أو نفقات رأسمالية. وتخص النفقات الرأسمالية البنود التي تستمر لأكثر من عام وتتجاوز قيمتها المقدرة ‏‎5 000‎‏ فرنك سويسري. ويقدّر ‏إجمالي النفقات الرأسمالية في مشروع الميزانية لفترة السنتين ‏‎</w:t>
      </w:r>
      <w:r w:rsidR="00722A06" w:rsidRPr="00E07BD0">
        <w:t>2027-2026</w:t>
      </w:r>
      <w:r w:rsidR="00722A06" w:rsidRPr="00E07BD0">
        <w:rPr>
          <w:rtl/>
        </w:rPr>
        <w:t xml:space="preserve"> بنحو ‏‎</w:t>
      </w:r>
      <w:r w:rsidR="00C90949">
        <w:t>842 000</w:t>
      </w:r>
      <w:r w:rsidR="00722A06" w:rsidRPr="00E07BD0">
        <w:rPr>
          <w:rtl/>
        </w:rPr>
        <w:t xml:space="preserve"> فرنك سويسري (انظر </w:t>
      </w:r>
      <w:hyperlink w:anchor="Table_12" w:history="1">
        <w:r w:rsidR="00722A06" w:rsidRPr="00E07BD0">
          <w:rPr>
            <w:rStyle w:val="Hyperlink"/>
            <w:rFonts w:ascii="Dubai" w:eastAsiaTheme="minorEastAsia" w:hAnsi="Dubai" w:cs="Dubai"/>
            <w:noProof w:val="0"/>
            <w:sz w:val="22"/>
            <w:rtl/>
            <w:lang w:val="en-US" w:eastAsia="zh-CN"/>
          </w:rPr>
          <w:t>‏الجدول 12</w:t>
        </w:r>
      </w:hyperlink>
      <w:r w:rsidR="00722A06" w:rsidRPr="001F7339">
        <w:rPr>
          <w:rtl/>
        </w:rPr>
        <w:t xml:space="preserve"> في الملحق </w:t>
      </w:r>
      <w:r w:rsidR="00722A06" w:rsidRPr="001F7339">
        <w:rPr>
          <w:lang w:bidi="ar-EG"/>
        </w:rPr>
        <w:t>A</w:t>
      </w:r>
      <w:r w:rsidR="00722A06" w:rsidRPr="001F7339">
        <w:rPr>
          <w:rtl/>
        </w:rPr>
        <w:t>).‏</w:t>
      </w:r>
    </w:p>
    <w:p w14:paraId="22721F83" w14:textId="223CB2D4" w:rsidR="00722A06" w:rsidRPr="001F7339" w:rsidRDefault="00D06069" w:rsidP="001F7339">
      <w:pPr>
        <w:rPr>
          <w:lang w:bidi="ar-EG"/>
        </w:rPr>
      </w:pPr>
      <w:r>
        <w:t>4.2</w:t>
      </w:r>
      <w:r w:rsidR="00722A06" w:rsidRPr="001F7339">
        <w:rPr>
          <w:rtl/>
        </w:rPr>
        <w:tab/>
        <w:t>عُدّلت التكاليف الخاصة بالموظفين للفترة بتخفيضها لمراعاة انخفاض التكاليف السنوية الناتج عن الوقت المستغرق لشغل الوظائف الشاغرة الحالية ودوران الموظفين المتوقع، وذلك استناداً إلى متوسط المعدلات المسجلة في عام 2024. وأدخلت تخفيضات إضافية لمواءمة النفقات قدر الإمكان مع الخطة المالية، مع مراعاة أولويات المكاتب والأمانة العامة.</w:t>
      </w:r>
    </w:p>
    <w:p w14:paraId="0F2FA69B" w14:textId="77777777" w:rsidR="00722A06" w:rsidRPr="001F7339" w:rsidRDefault="00722A06" w:rsidP="000617E6">
      <w:pPr>
        <w:pStyle w:val="Heading1"/>
        <w:rPr>
          <w:lang w:bidi="ar-EG"/>
        </w:rPr>
      </w:pPr>
      <w:r w:rsidRPr="001F7339">
        <w:rPr>
          <w:rtl/>
        </w:rPr>
        <w:lastRenderedPageBreak/>
        <w:t>3</w:t>
      </w:r>
      <w:r w:rsidRPr="001F7339">
        <w:rPr>
          <w:rtl/>
        </w:rPr>
        <w:tab/>
        <w:t>الاعتمادات حسب القطاع</w:t>
      </w:r>
    </w:p>
    <w:p w14:paraId="32173CC2" w14:textId="73068CE5" w:rsidR="00722A06" w:rsidRPr="001F7339" w:rsidRDefault="00D06069" w:rsidP="001F7339">
      <w:pPr>
        <w:rPr>
          <w:lang w:bidi="ar-EG"/>
        </w:rPr>
      </w:pPr>
      <w:r w:rsidRPr="00E07BD0">
        <w:t>1.3</w:t>
      </w:r>
      <w:r w:rsidR="00722A06" w:rsidRPr="00E07BD0">
        <w:rPr>
          <w:rtl/>
        </w:rPr>
        <w:tab/>
        <w:t xml:space="preserve">يقدم هذا الفصل معلومات إضافية عن تقديرات النفقات للفترة </w:t>
      </w:r>
      <w:r w:rsidR="00107DD7">
        <w:t>2027-2026</w:t>
      </w:r>
      <w:r w:rsidR="00722A06" w:rsidRPr="00E07BD0">
        <w:rPr>
          <w:rtl/>
        </w:rPr>
        <w:t xml:space="preserve">. وتعرض ميزانية النفقات الاعتمادات للفترة </w:t>
      </w:r>
      <w:r w:rsidR="00107DD7">
        <w:t>2027-2026</w:t>
      </w:r>
      <w:r w:rsidR="00722A06" w:rsidRPr="00E07BD0">
        <w:rPr>
          <w:rtl/>
        </w:rPr>
        <w:t xml:space="preserve"> حسب الأبواب والأبواب الفرعية، على النحو المحدد في المادة 6 من اللوائح المالية، وحسب فئات النفقات وفقاً للقاعدة 1.6 من اللوائح المالية (انظر مشروع القرار بشأن الميزانية الوارد في الملحق 2). وخلال الفترة </w:t>
      </w:r>
      <w:r w:rsidR="00107DD7">
        <w:t>2027-2026</w:t>
      </w:r>
      <w:r w:rsidR="00722A06" w:rsidRPr="00E07BD0">
        <w:rPr>
          <w:rtl/>
        </w:rPr>
        <w:t>، سيستضيف الاتحاد مؤتمرين عالميين في إطار الأمانة العامة (مؤتمر المندوبين المفوضين لعام 2026 والمنتدى العالمي لسياسات الاتصالات لعام 2026) وفي إطار قطاع الاتصالات الراديوية (المؤتمر العالمي للاتصالات الراديوية لعام 2027)، مما يؤدي إلى ارتفاع تكاليف هذين القطاعين نسبياً مقارنة بقطاعي تقييس الاتصالات وتنمية الاتصالات.</w:t>
      </w:r>
    </w:p>
    <w:p w14:paraId="4082BE03" w14:textId="1BFD3FFE" w:rsidR="00722A06" w:rsidRPr="001F7339" w:rsidRDefault="00D06069" w:rsidP="001F7339">
      <w:pPr>
        <w:rPr>
          <w:rtl/>
        </w:rPr>
      </w:pPr>
      <w:r>
        <w:t>2.3</w:t>
      </w:r>
      <w:r w:rsidR="00722A06" w:rsidRPr="001F7339">
        <w:rPr>
          <w:rtl/>
        </w:rPr>
        <w:tab/>
        <w:t xml:space="preserve">ويبين الجدول أدناه توزيع النفقات حسب القطاعات ويقارن تقديرات الفترة </w:t>
      </w:r>
      <w:r w:rsidR="00107DD7">
        <w:t>2027-2026</w:t>
      </w:r>
      <w:r w:rsidR="00722A06" w:rsidRPr="001F7339">
        <w:rPr>
          <w:rtl/>
        </w:rPr>
        <w:t xml:space="preserve"> بميزانية الفترة</w:t>
      </w:r>
      <w:r>
        <w:rPr>
          <w:rFonts w:hint="eastAsia"/>
          <w:rtl/>
          <w:lang w:bidi="ar-EG"/>
        </w:rPr>
        <w:t> </w:t>
      </w:r>
      <w:r w:rsidR="00722A06" w:rsidRPr="001F7339">
        <w:rPr>
          <w:rtl/>
        </w:rPr>
        <w:t>2024-2025 فيما يتعلق بتغير البرامج وزيادة التكاليف وقيم النمو الحقيقي.</w:t>
      </w:r>
    </w:p>
    <w:p w14:paraId="15C944B9" w14:textId="3F7E5289" w:rsidR="000359E9" w:rsidRDefault="008453B4" w:rsidP="000359E9">
      <w:pPr>
        <w:pStyle w:val="Figure"/>
        <w:bidi/>
        <w:rPr>
          <w:rFonts w:hint="default"/>
          <w:rtl/>
        </w:rPr>
      </w:pPr>
      <w:r>
        <w:rPr>
          <w:rFonts w:hint="default"/>
          <w:noProof/>
        </w:rPr>
        <w:drawing>
          <wp:inline distT="0" distB="0" distL="0" distR="0" wp14:anchorId="1A003FCA" wp14:editId="4A5EA31C">
            <wp:extent cx="5760000" cy="1688400"/>
            <wp:effectExtent l="0" t="0" r="0" b="7620"/>
            <wp:docPr id="168697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1688400"/>
                    </a:xfrm>
                    <a:prstGeom prst="rect">
                      <a:avLst/>
                    </a:prstGeom>
                    <a:noFill/>
                  </pic:spPr>
                </pic:pic>
              </a:graphicData>
            </a:graphic>
          </wp:inline>
        </w:drawing>
      </w:r>
    </w:p>
    <w:p w14:paraId="2C9BE073" w14:textId="0E309BBF" w:rsidR="00722A06" w:rsidRPr="00C90949" w:rsidRDefault="00E07BD0" w:rsidP="001C3A4C">
      <w:pPr>
        <w:spacing w:before="240"/>
        <w:rPr>
          <w:spacing w:val="-2"/>
          <w:rtl/>
        </w:rPr>
      </w:pPr>
      <w:r w:rsidRPr="00C90949">
        <w:rPr>
          <w:spacing w:val="-2"/>
        </w:rPr>
        <w:t>3.3</w:t>
      </w:r>
      <w:r w:rsidR="00722A06" w:rsidRPr="00C90949">
        <w:rPr>
          <w:spacing w:val="-2"/>
          <w:rtl/>
        </w:rPr>
        <w:tab/>
        <w:t xml:space="preserve">يبين المخطط أدناه توزيع التقديرات للفترة </w:t>
      </w:r>
      <w:r w:rsidR="00107DD7" w:rsidRPr="00C90949">
        <w:rPr>
          <w:spacing w:val="-2"/>
        </w:rPr>
        <w:t>2027-2026</w:t>
      </w:r>
      <w:r w:rsidR="00722A06" w:rsidRPr="00C90949">
        <w:rPr>
          <w:spacing w:val="-2"/>
          <w:rtl/>
        </w:rPr>
        <w:t xml:space="preserve"> حسب الفئة. ‏وتشمل التكاليف الأخرى المواد واللوازم</w:t>
      </w:r>
      <w:r w:rsidR="00C90949" w:rsidRPr="00C90949">
        <w:rPr>
          <w:rFonts w:hint="cs"/>
          <w:spacing w:val="-2"/>
          <w:rtl/>
        </w:rPr>
        <w:t>،</w:t>
      </w:r>
      <w:r w:rsidR="00722A06" w:rsidRPr="00C90949">
        <w:rPr>
          <w:spacing w:val="-2"/>
          <w:rtl/>
        </w:rPr>
        <w:t xml:space="preserve"> وحيازة الأماكن</w:t>
      </w:r>
      <w:r w:rsidR="00C90949" w:rsidRPr="00C90949">
        <w:rPr>
          <w:rFonts w:hint="cs"/>
          <w:spacing w:val="-2"/>
          <w:rtl/>
        </w:rPr>
        <w:t>،</w:t>
      </w:r>
      <w:r w:rsidR="00722A06" w:rsidRPr="00C90949">
        <w:rPr>
          <w:spacing w:val="-2"/>
          <w:rtl/>
        </w:rPr>
        <w:t xml:space="preserve"> والخدمات العامة والداخلية</w:t>
      </w:r>
      <w:r w:rsidR="00C90949" w:rsidRPr="00C90949">
        <w:rPr>
          <w:rFonts w:hint="cs"/>
          <w:spacing w:val="-2"/>
          <w:rtl/>
        </w:rPr>
        <w:t>،</w:t>
      </w:r>
      <w:r w:rsidR="00722A06" w:rsidRPr="00C90949">
        <w:rPr>
          <w:spacing w:val="-2"/>
          <w:rtl/>
        </w:rPr>
        <w:t xml:space="preserve"> ورسوم المراجعة والرسوم المشتركة بين الوكالات</w:t>
      </w:r>
      <w:r w:rsidR="00C90949" w:rsidRPr="00C90949">
        <w:rPr>
          <w:rFonts w:hint="cs"/>
          <w:spacing w:val="-2"/>
          <w:rtl/>
        </w:rPr>
        <w:t>،</w:t>
      </w:r>
      <w:r w:rsidR="00722A06" w:rsidRPr="00C90949">
        <w:rPr>
          <w:spacing w:val="-2"/>
          <w:rtl/>
        </w:rPr>
        <w:t xml:space="preserve"> والنفقات المتفرقة.‎ وتمثل التكاليف الخاصة بالموظفين والتكاليف الأخرى الخاصة بالموظفين أكثر من </w:t>
      </w:r>
      <w:r w:rsidR="005F0CD2" w:rsidRPr="00C90949">
        <w:rPr>
          <w:spacing w:val="-2"/>
          <w:lang w:bidi="ar-EG"/>
        </w:rPr>
        <w:t>%81,5</w:t>
      </w:r>
      <w:r w:rsidR="00722A06" w:rsidRPr="00C90949">
        <w:rPr>
          <w:spacing w:val="-2"/>
          <w:rtl/>
        </w:rPr>
        <w:t xml:space="preserve"> من إجمالي الميزانية.</w:t>
      </w:r>
    </w:p>
    <w:p w14:paraId="26B3C2EB" w14:textId="277754DC" w:rsidR="00722A06" w:rsidRPr="001F7339" w:rsidRDefault="008453B4" w:rsidP="008453B4">
      <w:pPr>
        <w:pStyle w:val="Figure"/>
        <w:bidi/>
        <w:rPr>
          <w:rFonts w:hint="default"/>
          <w:rtl/>
        </w:rPr>
      </w:pPr>
      <w:r w:rsidRPr="008453B4">
        <w:rPr>
          <w:noProof/>
        </w:rPr>
        <w:drawing>
          <wp:inline distT="0" distB="0" distL="0" distR="0" wp14:anchorId="27FF3B17" wp14:editId="7B6120DE">
            <wp:extent cx="3600000" cy="2505600"/>
            <wp:effectExtent l="0" t="0" r="0" b="9525"/>
            <wp:docPr id="483084495" name="Picture 12" descr="A colorful pie chart with different colored sections&#10;&#10;AI-generated content may be incorrect.">
              <a:extLst xmlns:a="http://schemas.openxmlformats.org/drawingml/2006/main">
                <a:ext uri="{FF2B5EF4-FFF2-40B4-BE49-F238E27FC236}">
                  <a16:creationId xmlns:a16="http://schemas.microsoft.com/office/drawing/2014/main" id="{E9C27710-428F-3C47-3867-89C35AFC1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4495" name="Picture 12" descr="A colorful pie chart with different colored sections&#10;&#10;AI-generated content may be incorrect.">
                      <a:extLst>
                        <a:ext uri="{FF2B5EF4-FFF2-40B4-BE49-F238E27FC236}">
                          <a16:creationId xmlns:a16="http://schemas.microsoft.com/office/drawing/2014/main" id="{E9C27710-428F-3C47-3867-89C35AFC101B}"/>
                        </a:ext>
                      </a:extLst>
                    </pic:cNvPr>
                    <pic:cNvPicPr>
                      <a:picLocks noChangeAspect="1"/>
                    </pic:cNvPicPr>
                  </pic:nvPicPr>
                  <pic:blipFill>
                    <a:blip r:embed="rId17"/>
                    <a:stretch>
                      <a:fillRect/>
                    </a:stretch>
                  </pic:blipFill>
                  <pic:spPr>
                    <a:xfrm>
                      <a:off x="0" y="0"/>
                      <a:ext cx="3600000" cy="2505600"/>
                    </a:xfrm>
                    <a:prstGeom prst="rect">
                      <a:avLst/>
                    </a:prstGeom>
                  </pic:spPr>
                </pic:pic>
              </a:graphicData>
            </a:graphic>
          </wp:inline>
        </w:drawing>
      </w:r>
    </w:p>
    <w:p w14:paraId="07E9206A" w14:textId="00C6457B" w:rsidR="00722A06" w:rsidRPr="001F7339" w:rsidRDefault="005F0CD2" w:rsidP="00C90949">
      <w:pPr>
        <w:spacing w:before="240"/>
        <w:rPr>
          <w:lang w:bidi="ar-EG"/>
        </w:rPr>
      </w:pPr>
      <w:r>
        <w:t>4.3</w:t>
      </w:r>
      <w:r w:rsidR="00722A06" w:rsidRPr="001F7339">
        <w:rPr>
          <w:rtl/>
        </w:rPr>
        <w:tab/>
        <w:t>تستند تقديرات النفقات إلى القيم الحقيقية في 1 يناير 2025. وشروط الخدمة هي الشروط السائدة في النظام الموحد للأمم المتحدة في 1 يناير 2025.</w:t>
      </w:r>
    </w:p>
    <w:p w14:paraId="158D4127" w14:textId="7D351AEE" w:rsidR="00722A06" w:rsidRPr="001F7339" w:rsidRDefault="005F0CD2" w:rsidP="001F7339">
      <w:pPr>
        <w:rPr>
          <w:lang w:bidi="ar-EG"/>
        </w:rPr>
      </w:pPr>
      <w:r>
        <w:t>5.3</w:t>
      </w:r>
      <w:r w:rsidR="00722A06" w:rsidRPr="001F7339">
        <w:rPr>
          <w:rtl/>
        </w:rPr>
        <w:tab/>
        <w:t>وترجع الزيادة في التكاليف بين 1 يناير 2023 (أساس ميزانية الفترة 2024-2025) و1 يناير 2025، والمقدرة بنحو 7,35 مليون فرنك سويسري، بشكل رئيسي إلى ما يلي:</w:t>
      </w:r>
    </w:p>
    <w:p w14:paraId="670922F2" w14:textId="7894BE90" w:rsidR="00722A06" w:rsidRPr="00AA0C67" w:rsidRDefault="005F0CD2" w:rsidP="005F0CD2">
      <w:pPr>
        <w:pStyle w:val="enumlev10"/>
        <w:rPr>
          <w:spacing w:val="-3"/>
          <w:lang w:bidi="ar-EG"/>
        </w:rPr>
      </w:pPr>
      <w:r w:rsidRPr="00AA0C67">
        <w:rPr>
          <w:spacing w:val="-3"/>
          <w:rtl/>
          <w:lang w:bidi="ar-SA"/>
        </w:rPr>
        <w:t>-</w:t>
      </w:r>
      <w:r w:rsidRPr="00AA0C67">
        <w:rPr>
          <w:spacing w:val="-3"/>
          <w:lang w:bidi="ar-SA"/>
        </w:rPr>
        <w:tab/>
      </w:r>
      <w:r w:rsidR="00722A06" w:rsidRPr="00AA0C67">
        <w:rPr>
          <w:spacing w:val="-3"/>
          <w:rtl/>
        </w:rPr>
        <w:t xml:space="preserve">زيادة بنسبة </w:t>
      </w:r>
      <w:r w:rsidRPr="00AA0C67">
        <w:rPr>
          <w:spacing w:val="-3"/>
        </w:rPr>
        <w:t>%3,01</w:t>
      </w:r>
      <w:r w:rsidR="00722A06" w:rsidRPr="00AA0C67">
        <w:rPr>
          <w:spacing w:val="-3"/>
          <w:rtl/>
        </w:rPr>
        <w:t xml:space="preserve"> في تكاليف الموظفين وتكاليف الموظفين الأخرى للفئة الفنية والفئات العليا من الموظفين.</w:t>
      </w:r>
    </w:p>
    <w:p w14:paraId="648E9D71" w14:textId="4F2CCD18" w:rsidR="00722A06" w:rsidRPr="001F7339" w:rsidRDefault="005F0CD2" w:rsidP="005F0CD2">
      <w:pPr>
        <w:pStyle w:val="enumlev10"/>
        <w:rPr>
          <w:lang w:bidi="ar-EG"/>
        </w:rPr>
      </w:pPr>
      <w:r>
        <w:rPr>
          <w:rtl/>
          <w:lang w:bidi="ar-SA"/>
        </w:rPr>
        <w:t>-</w:t>
      </w:r>
      <w:r>
        <w:rPr>
          <w:lang w:bidi="ar-SA"/>
        </w:rPr>
        <w:tab/>
      </w:r>
      <w:r w:rsidR="00722A06" w:rsidRPr="001F7339">
        <w:rPr>
          <w:rtl/>
        </w:rPr>
        <w:t xml:space="preserve">زيادة بنسبة </w:t>
      </w:r>
      <w:r>
        <w:t>%1,92</w:t>
      </w:r>
      <w:r w:rsidR="00722A06" w:rsidRPr="001F7339">
        <w:rPr>
          <w:rtl/>
        </w:rPr>
        <w:t xml:space="preserve"> في تكاليف الموظفين وتكاليف الموظفين الأخرى لفئة الخدمات العامة.</w:t>
      </w:r>
    </w:p>
    <w:p w14:paraId="4E3AD7BC" w14:textId="25B4CD68" w:rsidR="00722A06" w:rsidRPr="001F7339" w:rsidRDefault="005F0CD2" w:rsidP="005F0CD2">
      <w:pPr>
        <w:pStyle w:val="enumlev10"/>
        <w:rPr>
          <w:lang w:bidi="ar-EG"/>
        </w:rPr>
      </w:pPr>
      <w:r>
        <w:rPr>
          <w:rtl/>
          <w:lang w:bidi="ar-SA"/>
        </w:rPr>
        <w:t>-</w:t>
      </w:r>
      <w:r>
        <w:rPr>
          <w:lang w:bidi="ar-SA"/>
        </w:rPr>
        <w:tab/>
      </w:r>
      <w:r w:rsidR="00722A06" w:rsidRPr="001F7339">
        <w:rPr>
          <w:rtl/>
        </w:rPr>
        <w:t xml:space="preserve">بلغ معدل التضخم للفترة من يناير 2023 إلى يناير 2025 نسبة </w:t>
      </w:r>
      <w:r w:rsidR="00AA0C67">
        <w:rPr>
          <w:lang w:bidi="ar-EG"/>
        </w:rPr>
        <w:t>%1,2</w:t>
      </w:r>
      <w:r w:rsidR="00722A06" w:rsidRPr="001F7339">
        <w:rPr>
          <w:rtl/>
        </w:rPr>
        <w:t>.</w:t>
      </w:r>
    </w:p>
    <w:p w14:paraId="42731F6A" w14:textId="79262D25" w:rsidR="00722A06" w:rsidRPr="001F7339" w:rsidRDefault="00AA0C67" w:rsidP="001F7339">
      <w:pPr>
        <w:rPr>
          <w:rtl/>
        </w:rPr>
      </w:pPr>
      <w:r>
        <w:lastRenderedPageBreak/>
        <w:t>6.3</w:t>
      </w:r>
      <w:r w:rsidR="00722A06" w:rsidRPr="001F7339">
        <w:rPr>
          <w:rtl/>
        </w:rPr>
        <w:tab/>
        <w:t xml:space="preserve">لتقديم الخدمات التي طلبها الأعضاء وتنفيذ الخطة الاستراتيجية (بوخارست، 2022) والمؤتمرات الرئيسية للاتحاد، يُقدَّر برنامج العمل الذي سيُنفّذ في الفترة </w:t>
      </w:r>
      <w:r w:rsidR="00107DD7">
        <w:t>2027-2026</w:t>
      </w:r>
      <w:r w:rsidR="00722A06" w:rsidRPr="001F7339">
        <w:rPr>
          <w:rtl/>
        </w:rPr>
        <w:t xml:space="preserve"> بزيادة صافية قدرها 5,6 مليون فرنك سويسري، أي ما يعادل </w:t>
      </w:r>
      <w:r w:rsidR="00A864A5">
        <w:rPr>
          <w:lang w:bidi="ar-EG"/>
        </w:rPr>
        <w:t>%1,7</w:t>
      </w:r>
      <w:r w:rsidR="00722A06" w:rsidRPr="001F7339">
        <w:rPr>
          <w:rtl/>
        </w:rPr>
        <w:t xml:space="preserve"> من ميزانية </w:t>
      </w:r>
      <w:r w:rsidR="00A864A5">
        <w:t>2025-2024</w:t>
      </w:r>
      <w:r w:rsidR="00722A06" w:rsidRPr="001F7339">
        <w:rPr>
          <w:rtl/>
        </w:rPr>
        <w:t xml:space="preserve">. وفيما يلي العناصر الرئيسية لاختلاف البرامج بين الفترتين </w:t>
      </w:r>
      <w:r w:rsidR="00A864A5">
        <w:t>2027-2026</w:t>
      </w:r>
      <w:r w:rsidR="00722A06" w:rsidRPr="001F7339">
        <w:rPr>
          <w:rtl/>
        </w:rPr>
        <w:t xml:space="preserve"> و</w:t>
      </w:r>
      <w:r w:rsidR="00A864A5">
        <w:t>2025-2024</w:t>
      </w:r>
      <w:r w:rsidR="00722A06" w:rsidRPr="001F7339">
        <w:rPr>
          <w:rtl/>
        </w:rPr>
        <w:t>:</w:t>
      </w:r>
    </w:p>
    <w:p w14:paraId="5588F05C" w14:textId="0EE68E58" w:rsidR="00722A06" w:rsidRPr="001F7339" w:rsidRDefault="008453B4" w:rsidP="008453B4">
      <w:pPr>
        <w:pStyle w:val="Figure"/>
        <w:bidi/>
        <w:rPr>
          <w:rFonts w:hint="default"/>
          <w:rtl/>
        </w:rPr>
      </w:pPr>
      <w:r w:rsidRPr="008453B4">
        <w:rPr>
          <w:rFonts w:hint="default"/>
          <w:noProof/>
        </w:rPr>
        <w:drawing>
          <wp:inline distT="0" distB="0" distL="0" distR="0" wp14:anchorId="00D703B9" wp14:editId="0B049898">
            <wp:extent cx="5760000" cy="4284000"/>
            <wp:effectExtent l="0" t="0" r="0" b="2540"/>
            <wp:docPr id="1081831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4284000"/>
                    </a:xfrm>
                    <a:prstGeom prst="rect">
                      <a:avLst/>
                    </a:prstGeom>
                    <a:noFill/>
                  </pic:spPr>
                </pic:pic>
              </a:graphicData>
            </a:graphic>
          </wp:inline>
        </w:drawing>
      </w:r>
    </w:p>
    <w:p w14:paraId="26036DF6" w14:textId="676930F1" w:rsidR="00722A06" w:rsidRPr="00453CEA" w:rsidRDefault="001968D4" w:rsidP="001C3A4C">
      <w:pPr>
        <w:spacing w:before="240"/>
        <w:rPr>
          <w:lang w:bidi="ar-EG"/>
        </w:rPr>
      </w:pPr>
      <w:r w:rsidRPr="00453CEA">
        <w:t>7.3</w:t>
      </w:r>
      <w:r w:rsidR="00722A06" w:rsidRPr="00453CEA">
        <w:rPr>
          <w:rtl/>
        </w:rPr>
        <w:tab/>
        <w:t xml:space="preserve">إن "النمو الحقيقي" في الميزانية بين الفترة </w:t>
      </w:r>
      <w:r w:rsidRPr="00453CEA">
        <w:t>2025-2024</w:t>
      </w:r>
      <w:r w:rsidR="00722A06" w:rsidRPr="00453CEA">
        <w:rPr>
          <w:rtl/>
        </w:rPr>
        <w:t xml:space="preserve"> ومشروع ميزانية الفترة </w:t>
      </w:r>
      <w:r w:rsidRPr="00453CEA">
        <w:t>2027-2026</w:t>
      </w:r>
      <w:r w:rsidR="00722A06" w:rsidRPr="00453CEA">
        <w:rPr>
          <w:rtl/>
        </w:rPr>
        <w:t xml:space="preserve"> سلبي ويبلغ</w:t>
      </w:r>
      <w:r w:rsidRPr="00453CEA">
        <w:rPr>
          <w:rFonts w:hint="eastAsia"/>
          <w:rtl/>
          <w:lang w:bidi="ar-EG"/>
        </w:rPr>
        <w:t> </w:t>
      </w:r>
      <w:r w:rsidR="00453CEA" w:rsidRPr="00453CEA">
        <w:t>8,7–</w:t>
      </w:r>
      <w:r w:rsidR="00722A06" w:rsidRPr="00453CEA">
        <w:rPr>
          <w:rtl/>
        </w:rPr>
        <w:t xml:space="preserve"> مليون فرنك سويسري أو </w:t>
      </w:r>
      <w:r w:rsidRPr="00453CEA">
        <w:t>%2,66</w:t>
      </w:r>
      <w:r w:rsidR="00453CEA" w:rsidRPr="00453CEA">
        <w:t>–</w:t>
      </w:r>
      <w:r w:rsidR="00722A06" w:rsidRPr="00453CEA">
        <w:rPr>
          <w:rtl/>
        </w:rPr>
        <w:t>. ويُعزى هذا الانخفاض إلى مختلف تدابير الكفاءة التي تم اعتمادها، بما</w:t>
      </w:r>
      <w:r w:rsidR="00453CEA">
        <w:rPr>
          <w:rFonts w:hint="cs"/>
          <w:rtl/>
        </w:rPr>
        <w:t> </w:t>
      </w:r>
      <w:r w:rsidR="00722A06" w:rsidRPr="00453CEA">
        <w:rPr>
          <w:rtl/>
        </w:rPr>
        <w:t>في ذلك:</w:t>
      </w:r>
    </w:p>
    <w:p w14:paraId="6C9E5034" w14:textId="4987867C" w:rsidR="00722A06" w:rsidRPr="001F7339" w:rsidRDefault="00453CEA" w:rsidP="001968D4">
      <w:pPr>
        <w:pStyle w:val="enumlev10"/>
        <w:rPr>
          <w:lang w:bidi="ar-EG"/>
        </w:rPr>
      </w:pPr>
      <w:r>
        <w:rPr>
          <w:rFonts w:hint="cs"/>
          <w:rtl/>
        </w:rPr>
        <w:t> </w:t>
      </w:r>
      <w:r w:rsidR="00722A06" w:rsidRPr="001F7339">
        <w:rPr>
          <w:rtl/>
        </w:rPr>
        <w:t>أ )</w:t>
      </w:r>
      <w:r w:rsidR="00722A06" w:rsidRPr="001F7339">
        <w:rPr>
          <w:rtl/>
        </w:rPr>
        <w:tab/>
        <w:t>تدابير كفاءة استخدام الطاقة في المباني.</w:t>
      </w:r>
    </w:p>
    <w:p w14:paraId="1077D2EE" w14:textId="77777777" w:rsidR="00722A06" w:rsidRPr="001F7339" w:rsidRDefault="00722A06" w:rsidP="001968D4">
      <w:pPr>
        <w:pStyle w:val="enumlev10"/>
        <w:rPr>
          <w:lang w:bidi="ar-EG"/>
        </w:rPr>
      </w:pPr>
      <w:r w:rsidRPr="001F7339">
        <w:rPr>
          <w:rtl/>
        </w:rPr>
        <w:t>ب)</w:t>
      </w:r>
      <w:r w:rsidRPr="001F7339">
        <w:rPr>
          <w:rtl/>
        </w:rPr>
        <w:tab/>
        <w:t>التوسع في استخدام تدابير الكفاءة المتاحة في منظومة الأمم المتحدة (مثل خدمات المنظمات المجتمعية).</w:t>
      </w:r>
    </w:p>
    <w:p w14:paraId="5FE3A7A3" w14:textId="77777777" w:rsidR="00722A06" w:rsidRPr="001F7339" w:rsidRDefault="00722A06" w:rsidP="001968D4">
      <w:pPr>
        <w:pStyle w:val="enumlev10"/>
        <w:rPr>
          <w:lang w:bidi="ar-EG"/>
        </w:rPr>
      </w:pPr>
      <w:r w:rsidRPr="001F7339">
        <w:rPr>
          <w:rtl/>
        </w:rPr>
        <w:t>ج)</w:t>
      </w:r>
      <w:r w:rsidRPr="001F7339">
        <w:rPr>
          <w:rtl/>
        </w:rPr>
        <w:tab/>
        <w:t>خفض تكاليف السفر من خلال التخطيط والإدارة الفعّالين.</w:t>
      </w:r>
    </w:p>
    <w:p w14:paraId="3BA2F461" w14:textId="1FF3EAFD" w:rsidR="00722A06" w:rsidRPr="001F7339" w:rsidRDefault="00722A06" w:rsidP="001968D4">
      <w:pPr>
        <w:pStyle w:val="enumlev10"/>
        <w:rPr>
          <w:lang w:bidi="ar-EG"/>
        </w:rPr>
      </w:pPr>
      <w:r w:rsidRPr="001F7339">
        <w:rPr>
          <w:rtl/>
        </w:rPr>
        <w:t>د )</w:t>
      </w:r>
      <w:r w:rsidRPr="001F7339">
        <w:rPr>
          <w:rtl/>
        </w:rPr>
        <w:tab/>
        <w:t>الكفاءات المتوقعة نتيجة</w:t>
      </w:r>
      <w:r w:rsidR="001565A8">
        <w:rPr>
          <w:rFonts w:hint="cs"/>
          <w:rtl/>
        </w:rPr>
        <w:t>ً</w:t>
      </w:r>
      <w:r w:rsidRPr="001F7339">
        <w:rPr>
          <w:rtl/>
        </w:rPr>
        <w:t xml:space="preserve"> للتحول الرقمي.</w:t>
      </w:r>
    </w:p>
    <w:p w14:paraId="7585F0BF" w14:textId="77777777" w:rsidR="00722A06" w:rsidRPr="001F7339" w:rsidRDefault="00722A06" w:rsidP="001968D4">
      <w:pPr>
        <w:pStyle w:val="enumlev10"/>
        <w:rPr>
          <w:lang w:bidi="ar-EG"/>
        </w:rPr>
      </w:pPr>
      <w:r w:rsidRPr="001F7339">
        <w:rPr>
          <w:rtl/>
        </w:rPr>
        <w:t>ﻫ )</w:t>
      </w:r>
      <w:r w:rsidRPr="001F7339">
        <w:rPr>
          <w:rtl/>
        </w:rPr>
        <w:tab/>
        <w:t>الحد من الازدواجية بين المكاتب والأمانة العامة.</w:t>
      </w:r>
    </w:p>
    <w:p w14:paraId="2E71C27A" w14:textId="646F4B26" w:rsidR="00722A06" w:rsidRPr="001F7339" w:rsidRDefault="00722A06" w:rsidP="001968D4">
      <w:pPr>
        <w:pStyle w:val="enumlev10"/>
        <w:rPr>
          <w:lang w:bidi="ar-EG"/>
        </w:rPr>
      </w:pPr>
      <w:r w:rsidRPr="001F7339">
        <w:rPr>
          <w:rtl/>
        </w:rPr>
        <w:t>و )</w:t>
      </w:r>
      <w:r w:rsidRPr="001F7339">
        <w:rPr>
          <w:rtl/>
        </w:rPr>
        <w:tab/>
        <w:t>‏تحسين استخدام الطرائق التعاقدية قصيرة الأجل</w:t>
      </w:r>
      <w:r w:rsidR="001968D4">
        <w:rPr>
          <w:rFonts w:hint="cs"/>
          <w:rtl/>
          <w:lang w:bidi="ar-EG"/>
        </w:rPr>
        <w:t>.</w:t>
      </w:r>
    </w:p>
    <w:p w14:paraId="5D3E9C28" w14:textId="77777777" w:rsidR="00722A06" w:rsidRPr="001F7339" w:rsidRDefault="00722A06" w:rsidP="001968D4">
      <w:pPr>
        <w:pStyle w:val="enumlev10"/>
        <w:rPr>
          <w:lang w:bidi="ar-EG"/>
        </w:rPr>
      </w:pPr>
      <w:r w:rsidRPr="001F7339">
        <w:rPr>
          <w:rtl/>
        </w:rPr>
        <w:t>ز )</w:t>
      </w:r>
      <w:r w:rsidRPr="001F7339">
        <w:rPr>
          <w:rtl/>
        </w:rPr>
        <w:tab/>
        <w:t>إعادة ترتيب أولويات الأنشطة.</w:t>
      </w:r>
    </w:p>
    <w:p w14:paraId="45F9A291" w14:textId="77777777" w:rsidR="00722A06" w:rsidRPr="001F7339" w:rsidRDefault="00722A06" w:rsidP="001968D4">
      <w:pPr>
        <w:pStyle w:val="enumlev10"/>
        <w:rPr>
          <w:lang w:bidi="ar-EG"/>
        </w:rPr>
      </w:pPr>
      <w:r w:rsidRPr="001F7339">
        <w:rPr>
          <w:rtl/>
        </w:rPr>
        <w:t>ح)</w:t>
      </w:r>
      <w:r w:rsidRPr="001F7339">
        <w:rPr>
          <w:rtl/>
        </w:rPr>
        <w:tab/>
        <w:t>تأجيل التوظيف في الوظائف الشاغرة في الأنشطة غير الأساسية.</w:t>
      </w:r>
    </w:p>
    <w:p w14:paraId="14DE6E11" w14:textId="77777777" w:rsidR="00722A06" w:rsidRPr="001F7339" w:rsidRDefault="00722A06" w:rsidP="000617E6">
      <w:pPr>
        <w:pStyle w:val="Headingb0"/>
        <w:rPr>
          <w:lang w:bidi="ar-EG"/>
        </w:rPr>
      </w:pPr>
      <w:r w:rsidRPr="001F7339">
        <w:rPr>
          <w:rtl/>
        </w:rPr>
        <w:t>الأمانة العامة</w:t>
      </w:r>
    </w:p>
    <w:p w14:paraId="321C7D93" w14:textId="2B29FDC4" w:rsidR="005850CA" w:rsidRDefault="001968D4" w:rsidP="001F7339">
      <w:pPr>
        <w:rPr>
          <w:rtl/>
        </w:rPr>
      </w:pPr>
      <w:r>
        <w:t>8.3</w:t>
      </w:r>
      <w:r w:rsidR="00722A06" w:rsidRPr="001F7339">
        <w:rPr>
          <w:rtl/>
        </w:rPr>
        <w:tab/>
        <w:t xml:space="preserve">يقارن الجدول التالي بين ميزانية الفترة </w:t>
      </w:r>
      <w:r>
        <w:t>2027-2026</w:t>
      </w:r>
      <w:r w:rsidR="00722A06" w:rsidRPr="001F7339">
        <w:rPr>
          <w:rtl/>
        </w:rPr>
        <w:t xml:space="preserve">، والخطة المالية، وميزانية الفترة </w:t>
      </w:r>
      <w:r>
        <w:t>2025-2024</w:t>
      </w:r>
      <w:r w:rsidR="00722A06" w:rsidRPr="001F7339">
        <w:rPr>
          <w:rtl/>
        </w:rPr>
        <w:t xml:space="preserve">، والمبالغ الفعلية لعام 2024. وتقديرات الميزانية للفترة </w:t>
      </w:r>
      <w:r>
        <w:t>2027-2026</w:t>
      </w:r>
      <w:r w:rsidR="00722A06" w:rsidRPr="001F7339">
        <w:rPr>
          <w:rtl/>
        </w:rPr>
        <w:t xml:space="preserve"> أقل من الخطة المالية بمقدار 4,4 ملايين فرنك سويسري.</w:t>
      </w:r>
    </w:p>
    <w:p w14:paraId="62E64B2B" w14:textId="251FEEC1" w:rsidR="00722A06" w:rsidRPr="001F7339" w:rsidRDefault="00EE48E8" w:rsidP="008453B4">
      <w:pPr>
        <w:pStyle w:val="Figure"/>
        <w:bidi/>
        <w:rPr>
          <w:rFonts w:hint="default"/>
          <w:rtl/>
        </w:rPr>
      </w:pPr>
      <w:r>
        <w:rPr>
          <w:rFonts w:hint="default"/>
          <w:noProof/>
        </w:rPr>
        <w:lastRenderedPageBreak/>
        <w:drawing>
          <wp:inline distT="0" distB="0" distL="0" distR="0" wp14:anchorId="5A5078F3" wp14:editId="7D9DADC2">
            <wp:extent cx="5760000" cy="1969200"/>
            <wp:effectExtent l="0" t="0" r="0" b="0"/>
            <wp:docPr id="213553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1969200"/>
                    </a:xfrm>
                    <a:prstGeom prst="rect">
                      <a:avLst/>
                    </a:prstGeom>
                    <a:noFill/>
                  </pic:spPr>
                </pic:pic>
              </a:graphicData>
            </a:graphic>
          </wp:inline>
        </w:drawing>
      </w:r>
    </w:p>
    <w:p w14:paraId="382407A0" w14:textId="2B28BA7B" w:rsidR="00722A06" w:rsidRPr="001F7339" w:rsidRDefault="001968D4" w:rsidP="001C3A4C">
      <w:pPr>
        <w:spacing w:before="240"/>
        <w:rPr>
          <w:rtl/>
        </w:rPr>
      </w:pPr>
      <w:r w:rsidRPr="00C31BB0">
        <w:t>9.3</w:t>
      </w:r>
      <w:r w:rsidR="00722A06" w:rsidRPr="00C31BB0">
        <w:rPr>
          <w:rtl/>
        </w:rPr>
        <w:tab/>
        <w:t>‏تظهر تقديرات الفترة ‎</w:t>
      </w:r>
      <w:r w:rsidR="00722A06" w:rsidRPr="00C31BB0">
        <w:t>2027-2026</w:t>
      </w:r>
      <w:r w:rsidR="00722A06" w:rsidRPr="00C31BB0">
        <w:rPr>
          <w:rtl/>
        </w:rPr>
        <w:t xml:space="preserve"> بالقيمة الحقيقية في الجدول أدناه، موزعةً حسب كل باب من أبواب الأمانة العامة، مع مقارنة بميزانية الفترة 2024-2025. ويُظهر النمو الحقيقي السلبي بنسبة </w:t>
      </w:r>
      <w:r w:rsidRPr="00C31BB0">
        <w:rPr>
          <w:lang w:bidi="ar-EG"/>
        </w:rPr>
        <w:t>%3,25</w:t>
      </w:r>
      <w:r w:rsidR="00FD5EE7" w:rsidRPr="00C31BB0">
        <w:rPr>
          <w:lang w:bidi="ar-EG"/>
        </w:rPr>
        <w:t>–</w:t>
      </w:r>
      <w:r w:rsidR="00722A06" w:rsidRPr="00C31BB0">
        <w:rPr>
          <w:rtl/>
        </w:rPr>
        <w:t xml:space="preserve"> القيود المالية الصارمة التي ستعمل الأمانة العامة في ظلها خلال الفترة </w:t>
      </w:r>
      <w:r w:rsidRPr="00C31BB0">
        <w:t>2027-2026</w:t>
      </w:r>
      <w:r w:rsidR="00722A06" w:rsidRPr="00C31BB0">
        <w:rPr>
          <w:rtl/>
        </w:rPr>
        <w:t>.</w:t>
      </w:r>
    </w:p>
    <w:p w14:paraId="543F4813" w14:textId="67FAB95C" w:rsidR="00722A06" w:rsidRPr="001F7339" w:rsidRDefault="008453B4" w:rsidP="008453B4">
      <w:pPr>
        <w:pStyle w:val="Figure"/>
        <w:bidi/>
        <w:rPr>
          <w:rFonts w:hint="default"/>
          <w:rtl/>
        </w:rPr>
      </w:pPr>
      <w:r>
        <w:rPr>
          <w:noProof/>
        </w:rPr>
        <w:drawing>
          <wp:inline distT="0" distB="0" distL="0" distR="0" wp14:anchorId="3B545C55" wp14:editId="17083D93">
            <wp:extent cx="5760000" cy="1940400"/>
            <wp:effectExtent l="0" t="0" r="0" b="3175"/>
            <wp:docPr id="451281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1940400"/>
                    </a:xfrm>
                    <a:prstGeom prst="rect">
                      <a:avLst/>
                    </a:prstGeom>
                    <a:noFill/>
                  </pic:spPr>
                </pic:pic>
              </a:graphicData>
            </a:graphic>
          </wp:inline>
        </w:drawing>
      </w:r>
    </w:p>
    <w:p w14:paraId="1CA4179F" w14:textId="6F21C15A" w:rsidR="00722A06" w:rsidRPr="001F7339" w:rsidRDefault="00722A06" w:rsidP="001F7339">
      <w:pPr>
        <w:rPr>
          <w:rtl/>
        </w:rPr>
      </w:pPr>
      <w:r w:rsidRPr="001F7339">
        <w:rPr>
          <w:rtl/>
        </w:rPr>
        <w:t xml:space="preserve">يبين المخطط أدناه توزيع التقديرات للفترة </w:t>
      </w:r>
      <w:r w:rsidR="00107DD7">
        <w:t>2027-2026</w:t>
      </w:r>
      <w:r w:rsidRPr="001F7339">
        <w:rPr>
          <w:rtl/>
        </w:rPr>
        <w:t xml:space="preserve"> حسب الفئة. وتمثل التكاليف الخاصة بالموظفين والتكاليف الأخرى الخاصة بالموظفين نحو 75,5 في </w:t>
      </w:r>
      <w:proofErr w:type="gramStart"/>
      <w:r w:rsidRPr="001F7339">
        <w:rPr>
          <w:rtl/>
        </w:rPr>
        <w:t>المائة</w:t>
      </w:r>
      <w:proofErr w:type="gramEnd"/>
      <w:r w:rsidRPr="001F7339">
        <w:rPr>
          <w:rtl/>
        </w:rPr>
        <w:t>.</w:t>
      </w:r>
    </w:p>
    <w:p w14:paraId="2ED70897" w14:textId="2328DD42" w:rsidR="00722A06" w:rsidRPr="001F7339" w:rsidRDefault="000D7913" w:rsidP="000D7913">
      <w:pPr>
        <w:pStyle w:val="Figure"/>
        <w:bidi/>
        <w:rPr>
          <w:rFonts w:hint="default"/>
          <w:rtl/>
        </w:rPr>
      </w:pPr>
      <w:r w:rsidRPr="000D7913">
        <w:rPr>
          <w:noProof/>
        </w:rPr>
        <w:drawing>
          <wp:inline distT="0" distB="0" distL="0" distR="0" wp14:anchorId="71BCE34C" wp14:editId="3467E26D">
            <wp:extent cx="3600000" cy="2329200"/>
            <wp:effectExtent l="0" t="0" r="0" b="0"/>
            <wp:docPr id="1188569874" name="Picture 2" descr="A colorful pie chart with different colored sections&#10;&#10;AI-generated content may be incorrect.">
              <a:extLst xmlns:a="http://schemas.openxmlformats.org/drawingml/2006/main">
                <a:ext uri="{FF2B5EF4-FFF2-40B4-BE49-F238E27FC236}">
                  <a16:creationId xmlns:a16="http://schemas.microsoft.com/office/drawing/2014/main" id="{CC0E263E-078D-A474-D229-8D83E957F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69874" name="Picture 2" descr="A colorful pie chart with different colored sections&#10;&#10;AI-generated content may be incorrect.">
                      <a:extLst>
                        <a:ext uri="{FF2B5EF4-FFF2-40B4-BE49-F238E27FC236}">
                          <a16:creationId xmlns:a16="http://schemas.microsoft.com/office/drawing/2014/main" id="{CC0E263E-078D-A474-D229-8D83E957FED7}"/>
                        </a:ext>
                      </a:extLst>
                    </pic:cNvPr>
                    <pic:cNvPicPr>
                      <a:picLocks noChangeAspect="1"/>
                    </pic:cNvPicPr>
                  </pic:nvPicPr>
                  <pic:blipFill>
                    <a:blip r:embed="rId21"/>
                    <a:stretch>
                      <a:fillRect/>
                    </a:stretch>
                  </pic:blipFill>
                  <pic:spPr>
                    <a:xfrm>
                      <a:off x="0" y="0"/>
                      <a:ext cx="3600000" cy="2329200"/>
                    </a:xfrm>
                    <a:prstGeom prst="rect">
                      <a:avLst/>
                    </a:prstGeom>
                  </pic:spPr>
                </pic:pic>
              </a:graphicData>
            </a:graphic>
          </wp:inline>
        </w:drawing>
      </w:r>
    </w:p>
    <w:p w14:paraId="1E33631B" w14:textId="77777777" w:rsidR="00722A06" w:rsidRPr="000617E6" w:rsidRDefault="00722A06" w:rsidP="000617E6">
      <w:pPr>
        <w:pStyle w:val="Headingb0"/>
      </w:pPr>
      <w:r w:rsidRPr="000617E6">
        <w:rPr>
          <w:rtl/>
        </w:rPr>
        <w:t>قطاع الاتصالات الراديوية</w:t>
      </w:r>
    </w:p>
    <w:p w14:paraId="346DC978" w14:textId="40F4F222" w:rsidR="00722A06" w:rsidRPr="001F7339" w:rsidRDefault="00107DD7" w:rsidP="001F7339">
      <w:pPr>
        <w:rPr>
          <w:lang w:bidi="en-GB"/>
        </w:rPr>
      </w:pPr>
      <w:r>
        <w:t>10.3</w:t>
      </w:r>
      <w:r w:rsidR="00722A06" w:rsidRPr="001F7339">
        <w:rPr>
          <w:rtl/>
        </w:rPr>
        <w:tab/>
        <w:t xml:space="preserve">يقارن الجدول التالي بين ميزانية الفترة </w:t>
      </w:r>
      <w:r>
        <w:t>2027-2026</w:t>
      </w:r>
      <w:r w:rsidR="00722A06" w:rsidRPr="001F7339">
        <w:rPr>
          <w:rtl/>
        </w:rPr>
        <w:t xml:space="preserve">، والخطة المالية، وميزانية الفترة </w:t>
      </w:r>
      <w:r>
        <w:t>2025-2024</w:t>
      </w:r>
      <w:r w:rsidR="00722A06" w:rsidRPr="001F7339">
        <w:rPr>
          <w:rtl/>
        </w:rPr>
        <w:t xml:space="preserve">، والمبالغ الفعلية لعام 2024. ومقارنةً بالخطة المالية، زادت تقديرات ميزانية </w:t>
      </w:r>
      <w:r>
        <w:t>2027-2026</w:t>
      </w:r>
      <w:r w:rsidR="00722A06" w:rsidRPr="001F7339">
        <w:rPr>
          <w:rtl/>
        </w:rPr>
        <w:t xml:space="preserve"> لقطاع الاتصالات الراديوية بمقدار 1,4 مليون فرنك سويسري.</w:t>
      </w:r>
    </w:p>
    <w:p w14:paraId="03C0C4C8" w14:textId="0215F989" w:rsidR="00994DC1" w:rsidRDefault="004F03BD" w:rsidP="00107DD7">
      <w:pPr>
        <w:pStyle w:val="Figure"/>
        <w:bidi/>
        <w:rPr>
          <w:rFonts w:hint="default"/>
          <w:rtl/>
        </w:rPr>
      </w:pPr>
      <w:r>
        <w:rPr>
          <w:rFonts w:hint="default"/>
          <w:noProof/>
        </w:rPr>
        <w:lastRenderedPageBreak/>
        <w:drawing>
          <wp:inline distT="0" distB="0" distL="0" distR="0" wp14:anchorId="169968A0" wp14:editId="20129C2B">
            <wp:extent cx="5760000" cy="25272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527200"/>
                    </a:xfrm>
                    <a:prstGeom prst="rect">
                      <a:avLst/>
                    </a:prstGeom>
                    <a:noFill/>
                  </pic:spPr>
                </pic:pic>
              </a:graphicData>
            </a:graphic>
          </wp:inline>
        </w:drawing>
      </w:r>
    </w:p>
    <w:p w14:paraId="729A5E7F" w14:textId="00F34D66" w:rsidR="00722A06" w:rsidRPr="001F7339" w:rsidRDefault="00107DD7" w:rsidP="001F7339">
      <w:pPr>
        <w:rPr>
          <w:lang w:bidi="en-GB"/>
        </w:rPr>
      </w:pPr>
      <w:r>
        <w:t>11.3</w:t>
      </w:r>
      <w:r>
        <w:tab/>
      </w:r>
      <w:r w:rsidR="00722A06" w:rsidRPr="001F7339">
        <w:rPr>
          <w:rtl/>
        </w:rPr>
        <w:t xml:space="preserve">تظهر تقديرات قطاع الاتصالات الراديوية للفترة </w:t>
      </w:r>
      <w:r>
        <w:t>2027-2026</w:t>
      </w:r>
      <w:r w:rsidR="00722A06" w:rsidRPr="001F7339">
        <w:rPr>
          <w:rtl/>
        </w:rPr>
        <w:t xml:space="preserve"> موزعة حسب كل باب، مع مقارنة بميزانية الفترة</w:t>
      </w:r>
      <w:r>
        <w:rPr>
          <w:rFonts w:hint="eastAsia"/>
          <w:rtl/>
          <w:lang w:bidi="ar-EG"/>
        </w:rPr>
        <w:t> </w:t>
      </w:r>
      <w:r>
        <w:t>2025-2024</w:t>
      </w:r>
      <w:r w:rsidR="00722A06" w:rsidRPr="001F7339">
        <w:rPr>
          <w:rtl/>
        </w:rPr>
        <w:t xml:space="preserve">، في الجدول أدناه الذي يوضح النمو الحقيقي، ويشير إلى نمو حقيقي سلبي بنسبة </w:t>
      </w:r>
      <w:r>
        <w:rPr>
          <w:lang w:bidi="ar-EG"/>
        </w:rPr>
        <w:t>%1,17</w:t>
      </w:r>
      <w:r w:rsidR="00722A06" w:rsidRPr="001F7339">
        <w:rPr>
          <w:rtl/>
        </w:rPr>
        <w:t>.</w:t>
      </w:r>
    </w:p>
    <w:p w14:paraId="5435C6C4" w14:textId="15DBE3D2" w:rsidR="00722A06" w:rsidRPr="001F7339" w:rsidRDefault="00722A06" w:rsidP="000D7913">
      <w:pPr>
        <w:pStyle w:val="Figure"/>
        <w:bidi/>
        <w:rPr>
          <w:rFonts w:hint="default"/>
          <w:rtl/>
        </w:rPr>
      </w:pPr>
      <w:r w:rsidRPr="001F7339">
        <w:rPr>
          <w:rFonts w:hint="eastAsia"/>
          <w:rtl/>
        </w:rPr>
        <w:t>‏</w:t>
      </w:r>
      <w:r w:rsidR="004F03BD">
        <w:rPr>
          <w:rFonts w:hint="default"/>
          <w:noProof/>
          <w:rtl/>
        </w:rPr>
        <w:drawing>
          <wp:inline distT="0" distB="0" distL="0" distR="0" wp14:anchorId="57B766C9" wp14:editId="2FBFA610">
            <wp:extent cx="5760000" cy="24552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2455200"/>
                    </a:xfrm>
                    <a:prstGeom prst="rect">
                      <a:avLst/>
                    </a:prstGeom>
                    <a:noFill/>
                  </pic:spPr>
                </pic:pic>
              </a:graphicData>
            </a:graphic>
          </wp:inline>
        </w:drawing>
      </w:r>
    </w:p>
    <w:p w14:paraId="2E1730B6" w14:textId="511E2739" w:rsidR="00722A06" w:rsidRPr="001F7339" w:rsidRDefault="00722A06" w:rsidP="001F7339">
      <w:pPr>
        <w:rPr>
          <w:lang w:val="en-GB" w:bidi="ar-EG"/>
        </w:rPr>
      </w:pPr>
      <w:r w:rsidRPr="001F7339">
        <w:rPr>
          <w:rtl/>
        </w:rPr>
        <w:t xml:space="preserve">يبين المخطط أدناه توزيع التقديرات للفترة </w:t>
      </w:r>
      <w:r w:rsidR="00107DD7">
        <w:t>2027-2026</w:t>
      </w:r>
      <w:r w:rsidRPr="001F7339">
        <w:rPr>
          <w:rtl/>
        </w:rPr>
        <w:t xml:space="preserve"> حسب الفئة. وتمثل التكاليف الخاصة بالموظفين والتكاليف الأخرى الخاصة بالموظفين نحو </w:t>
      </w:r>
      <w:r w:rsidR="00107DD7">
        <w:rPr>
          <w:lang w:bidi="ar-EG"/>
        </w:rPr>
        <w:t>%93</w:t>
      </w:r>
      <w:r w:rsidRPr="001F7339">
        <w:rPr>
          <w:rtl/>
        </w:rPr>
        <w:t>.</w:t>
      </w:r>
    </w:p>
    <w:p w14:paraId="4AB471FC" w14:textId="7D4CF2D7" w:rsidR="00722A06" w:rsidRPr="001F7339" w:rsidRDefault="000D7913" w:rsidP="000D7913">
      <w:pPr>
        <w:pStyle w:val="Figure"/>
        <w:bidi/>
        <w:rPr>
          <w:rFonts w:hint="default"/>
          <w:lang w:val="en-GB" w:bidi="ar-EG"/>
        </w:rPr>
      </w:pPr>
      <w:r>
        <w:rPr>
          <w:noProof/>
          <w:lang w:val="en-GB" w:bidi="ar-EG"/>
        </w:rPr>
        <w:lastRenderedPageBreak/>
        <w:drawing>
          <wp:inline distT="0" distB="0" distL="0" distR="0" wp14:anchorId="61D828DB" wp14:editId="6A6EFB4D">
            <wp:extent cx="3106800" cy="2690489"/>
            <wp:effectExtent l="0" t="0" r="0" b="0"/>
            <wp:docPr id="38680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6800" cy="2690489"/>
                    </a:xfrm>
                    <a:prstGeom prst="rect">
                      <a:avLst/>
                    </a:prstGeom>
                    <a:noFill/>
                  </pic:spPr>
                </pic:pic>
              </a:graphicData>
            </a:graphic>
          </wp:inline>
        </w:drawing>
      </w:r>
    </w:p>
    <w:p w14:paraId="0DFA9C40" w14:textId="77777777" w:rsidR="00722A06" w:rsidRPr="001F7339" w:rsidRDefault="00722A06" w:rsidP="000617E6">
      <w:pPr>
        <w:pStyle w:val="Headingb0"/>
        <w:rPr>
          <w:lang w:val="ar-SA" w:bidi="ar-EG"/>
        </w:rPr>
      </w:pPr>
      <w:r w:rsidRPr="001F7339">
        <w:rPr>
          <w:rtl/>
        </w:rPr>
        <w:t>قطاع تقييس الاتصالات</w:t>
      </w:r>
    </w:p>
    <w:p w14:paraId="6248E963" w14:textId="30052E4F" w:rsidR="00722A06" w:rsidRPr="001F7339" w:rsidRDefault="00107DD7" w:rsidP="001F7339">
      <w:pPr>
        <w:rPr>
          <w:lang w:bidi="en-GB"/>
        </w:rPr>
      </w:pPr>
      <w:r>
        <w:t>12.3</w:t>
      </w:r>
      <w:r w:rsidR="00722A06" w:rsidRPr="001F7339">
        <w:rPr>
          <w:rtl/>
        </w:rPr>
        <w:tab/>
        <w:t xml:space="preserve">يقارن الجدول التالي بين ميزانية الفترة </w:t>
      </w:r>
      <w:r>
        <w:t>2027-2026</w:t>
      </w:r>
      <w:r w:rsidR="00722A06" w:rsidRPr="001F7339">
        <w:rPr>
          <w:rtl/>
        </w:rPr>
        <w:t xml:space="preserve">، والخطة المالية، وميزانية الفترة </w:t>
      </w:r>
      <w:r>
        <w:t>2025-2024</w:t>
      </w:r>
      <w:r w:rsidR="00722A06" w:rsidRPr="001F7339">
        <w:rPr>
          <w:rtl/>
        </w:rPr>
        <w:t xml:space="preserve">، والمبالغ الفعلية لعام 2024. ومقارنةً بالخطة المالية، زادت تقديرات ميزانية </w:t>
      </w:r>
      <w:r>
        <w:t>2027-2026</w:t>
      </w:r>
      <w:r w:rsidR="00722A06" w:rsidRPr="001F7339">
        <w:rPr>
          <w:rtl/>
        </w:rPr>
        <w:t xml:space="preserve"> لقطاع تقييس الاتصالات بمقدار 1,1 مليون فرنك سويسري.</w:t>
      </w:r>
    </w:p>
    <w:p w14:paraId="6915F65F" w14:textId="32965FA0" w:rsidR="00722A06" w:rsidRPr="001F7339" w:rsidRDefault="00043FF5" w:rsidP="000D7913">
      <w:pPr>
        <w:pStyle w:val="Figure"/>
        <w:bidi/>
        <w:rPr>
          <w:rFonts w:hint="default"/>
          <w:lang w:bidi="en-GB"/>
        </w:rPr>
      </w:pPr>
      <w:r>
        <w:rPr>
          <w:rFonts w:hint="default"/>
          <w:noProof/>
        </w:rPr>
        <w:drawing>
          <wp:inline distT="0" distB="0" distL="0" distR="0" wp14:anchorId="24A47352" wp14:editId="45E9BA21">
            <wp:extent cx="5760000" cy="2138400"/>
            <wp:effectExtent l="0" t="0" r="0" b="0"/>
            <wp:docPr id="860833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138400"/>
                    </a:xfrm>
                    <a:prstGeom prst="rect">
                      <a:avLst/>
                    </a:prstGeom>
                    <a:noFill/>
                  </pic:spPr>
                </pic:pic>
              </a:graphicData>
            </a:graphic>
          </wp:inline>
        </w:drawing>
      </w:r>
    </w:p>
    <w:p w14:paraId="543238F2" w14:textId="7C045543" w:rsidR="00722A06" w:rsidRPr="001F7339" w:rsidRDefault="00107DD7" w:rsidP="001F7339">
      <w:pPr>
        <w:rPr>
          <w:lang w:val="en-GB" w:bidi="ar-EG"/>
        </w:rPr>
      </w:pPr>
      <w:r>
        <w:t>13.3</w:t>
      </w:r>
      <w:r w:rsidR="00722A06" w:rsidRPr="001F7339">
        <w:rPr>
          <w:rtl/>
        </w:rPr>
        <w:tab/>
        <w:t>ترد تقديرات الفترة ‎</w:t>
      </w:r>
      <w:r w:rsidR="00722A06" w:rsidRPr="001F7339">
        <w:t>2027-2026</w:t>
      </w:r>
      <w:r w:rsidR="00722A06" w:rsidRPr="001F7339">
        <w:rPr>
          <w:rtl/>
        </w:rPr>
        <w:t xml:space="preserve">، موزعةً حسب كل باب من أبواب قطاع تقييس الاتصالات، مع مقارنة بميزانية الفترة 2024-2025، في الجدول أدناه الذي يشير إلى نمو حقيقي سلبي بنسبة </w:t>
      </w:r>
      <w:r>
        <w:rPr>
          <w:lang w:bidi="ar-EG"/>
        </w:rPr>
        <w:t>%2,56</w:t>
      </w:r>
      <w:r w:rsidR="00722A06" w:rsidRPr="001F7339">
        <w:rPr>
          <w:rtl/>
        </w:rPr>
        <w:t>.</w:t>
      </w:r>
    </w:p>
    <w:p w14:paraId="3E8AEDF9" w14:textId="3C7CC388" w:rsidR="00722A06" w:rsidRPr="001F7339" w:rsidRDefault="000D7913" w:rsidP="000D7913">
      <w:pPr>
        <w:pStyle w:val="Figure"/>
        <w:bidi/>
        <w:rPr>
          <w:rFonts w:hint="default"/>
          <w:lang w:val="en-GB" w:bidi="ar-EG"/>
        </w:rPr>
      </w:pPr>
      <w:r>
        <w:rPr>
          <w:noProof/>
          <w:lang w:val="en-GB" w:bidi="ar-EG"/>
        </w:rPr>
        <w:drawing>
          <wp:inline distT="0" distB="0" distL="0" distR="0" wp14:anchorId="14B4E6D3" wp14:editId="09C1A3D6">
            <wp:extent cx="5760000" cy="2084400"/>
            <wp:effectExtent l="0" t="0" r="0" b="0"/>
            <wp:docPr id="13196311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2084400"/>
                    </a:xfrm>
                    <a:prstGeom prst="rect">
                      <a:avLst/>
                    </a:prstGeom>
                    <a:noFill/>
                  </pic:spPr>
                </pic:pic>
              </a:graphicData>
            </a:graphic>
          </wp:inline>
        </w:drawing>
      </w:r>
    </w:p>
    <w:p w14:paraId="231C922A" w14:textId="2A366F8A" w:rsidR="00722A06" w:rsidRPr="001F7339" w:rsidRDefault="00722A06" w:rsidP="001F7339">
      <w:pPr>
        <w:rPr>
          <w:lang w:val="ar-SA" w:bidi="ar-EG"/>
        </w:rPr>
      </w:pPr>
      <w:r w:rsidRPr="001F7339">
        <w:rPr>
          <w:rtl/>
        </w:rPr>
        <w:lastRenderedPageBreak/>
        <w:t xml:space="preserve">يبين المخطط أدناه توزيع التقديرات للفترة </w:t>
      </w:r>
      <w:r w:rsidR="00107DD7">
        <w:t>2027-2026</w:t>
      </w:r>
      <w:r w:rsidRPr="001F7339">
        <w:rPr>
          <w:rtl/>
        </w:rPr>
        <w:t xml:space="preserve"> حسب الفئة. وتمثل التكاليف الخاصة بالموظفين والتكاليف الأخرى الخاصة بالموظفين نحو </w:t>
      </w:r>
      <w:r w:rsidR="00107DD7">
        <w:rPr>
          <w:lang w:bidi="ar-EG"/>
        </w:rPr>
        <w:t>%90</w:t>
      </w:r>
      <w:r w:rsidRPr="001F7339">
        <w:rPr>
          <w:rtl/>
        </w:rPr>
        <w:t>.</w:t>
      </w:r>
    </w:p>
    <w:p w14:paraId="1A201207" w14:textId="0EAA6E02" w:rsidR="00722A06" w:rsidRPr="001F7339" w:rsidRDefault="000D7913" w:rsidP="000D7913">
      <w:pPr>
        <w:pStyle w:val="Figure"/>
        <w:bidi/>
        <w:rPr>
          <w:rFonts w:hint="default"/>
        </w:rPr>
      </w:pPr>
      <w:r w:rsidRPr="000D7913">
        <w:rPr>
          <w:noProof/>
        </w:rPr>
        <w:drawing>
          <wp:inline distT="0" distB="0" distL="0" distR="0" wp14:anchorId="3B4AF6F4" wp14:editId="420BB8E5">
            <wp:extent cx="3600000" cy="2635200"/>
            <wp:effectExtent l="0" t="0" r="0" b="0"/>
            <wp:docPr id="588431594" name="Picture 2" descr="A colorful pie chart with different colored sections&#10;&#10;AI-generated content may be incorrect.">
              <a:extLst xmlns:a="http://schemas.openxmlformats.org/drawingml/2006/main">
                <a:ext uri="{FF2B5EF4-FFF2-40B4-BE49-F238E27FC236}">
                  <a16:creationId xmlns:a16="http://schemas.microsoft.com/office/drawing/2014/main" id="{09B28B83-D37D-DEDB-281B-B37084168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31594" name="Picture 2" descr="A colorful pie chart with different colored sections&#10;&#10;AI-generated content may be incorrect.">
                      <a:extLst>
                        <a:ext uri="{FF2B5EF4-FFF2-40B4-BE49-F238E27FC236}">
                          <a16:creationId xmlns:a16="http://schemas.microsoft.com/office/drawing/2014/main" id="{09B28B83-D37D-DEDB-281B-B370841685D0}"/>
                        </a:ext>
                      </a:extLst>
                    </pic:cNvPr>
                    <pic:cNvPicPr>
                      <a:picLocks noChangeAspect="1"/>
                    </pic:cNvPicPr>
                  </pic:nvPicPr>
                  <pic:blipFill>
                    <a:blip r:embed="rId27"/>
                    <a:stretch>
                      <a:fillRect/>
                    </a:stretch>
                  </pic:blipFill>
                  <pic:spPr>
                    <a:xfrm>
                      <a:off x="0" y="0"/>
                      <a:ext cx="3600000" cy="2635200"/>
                    </a:xfrm>
                    <a:prstGeom prst="rect">
                      <a:avLst/>
                    </a:prstGeom>
                  </pic:spPr>
                </pic:pic>
              </a:graphicData>
            </a:graphic>
          </wp:inline>
        </w:drawing>
      </w:r>
    </w:p>
    <w:p w14:paraId="7B8B2069" w14:textId="77777777" w:rsidR="00722A06" w:rsidRPr="001F7339" w:rsidRDefault="00722A06" w:rsidP="000617E6">
      <w:pPr>
        <w:pStyle w:val="Headingb0"/>
        <w:rPr>
          <w:lang w:val="ar-SA" w:bidi="ar-EG"/>
        </w:rPr>
      </w:pPr>
      <w:r w:rsidRPr="001F7339">
        <w:rPr>
          <w:rtl/>
        </w:rPr>
        <w:t>قطاع تنمية الاتصالات</w:t>
      </w:r>
    </w:p>
    <w:p w14:paraId="236765F1" w14:textId="35C04255" w:rsidR="00722A06" w:rsidRPr="001F7339" w:rsidRDefault="00236460" w:rsidP="001F7339">
      <w:pPr>
        <w:rPr>
          <w:rtl/>
        </w:rPr>
      </w:pPr>
      <w:r>
        <w:t>14.3</w:t>
      </w:r>
      <w:r w:rsidR="00722A06" w:rsidRPr="001F7339">
        <w:rPr>
          <w:rtl/>
        </w:rPr>
        <w:tab/>
        <w:t xml:space="preserve">يقارن الجدول أدناه بين ميزانية الفترة </w:t>
      </w:r>
      <w:r w:rsidR="00107DD7">
        <w:t>2027-2026</w:t>
      </w:r>
      <w:r w:rsidR="00722A06" w:rsidRPr="001F7339">
        <w:rPr>
          <w:rtl/>
        </w:rPr>
        <w:t xml:space="preserve">، والخطة المالية، وميزانية الفترة </w:t>
      </w:r>
      <w:r>
        <w:t>2025-2024</w:t>
      </w:r>
      <w:r w:rsidR="00722A06" w:rsidRPr="001F7339">
        <w:rPr>
          <w:rtl/>
        </w:rPr>
        <w:t xml:space="preserve">، والمبالغ الفعلية لعام 2024. ومقارنةً بالخطة المالية، زادت تقديرات ميزانية الفترة </w:t>
      </w:r>
      <w:r w:rsidR="00107DD7">
        <w:t>2027-2026</w:t>
      </w:r>
      <w:r w:rsidR="00722A06" w:rsidRPr="001F7339">
        <w:rPr>
          <w:rtl/>
        </w:rPr>
        <w:t xml:space="preserve"> لقطاع تنمية الاتصالات بمقدار</w:t>
      </w:r>
      <w:r>
        <w:rPr>
          <w:rFonts w:hint="eastAsia"/>
          <w:rtl/>
          <w:lang w:bidi="ar-EG"/>
        </w:rPr>
        <w:t> </w:t>
      </w:r>
      <w:r w:rsidR="00722A06" w:rsidRPr="001F7339">
        <w:rPr>
          <w:rtl/>
        </w:rPr>
        <w:t>0,8 مليون فرنك سويسري.</w:t>
      </w:r>
    </w:p>
    <w:p w14:paraId="50BE8386" w14:textId="481A7116" w:rsidR="00722A06" w:rsidRPr="001F7339" w:rsidRDefault="00043FF5" w:rsidP="00331E11">
      <w:pPr>
        <w:pStyle w:val="Figure"/>
        <w:bidi/>
        <w:rPr>
          <w:rFonts w:hint="default"/>
          <w:rtl/>
        </w:rPr>
      </w:pPr>
      <w:r>
        <w:rPr>
          <w:rFonts w:hint="default"/>
          <w:noProof/>
        </w:rPr>
        <w:drawing>
          <wp:inline distT="0" distB="0" distL="0" distR="0" wp14:anchorId="614E359B" wp14:editId="39713142">
            <wp:extent cx="5760000" cy="2174400"/>
            <wp:effectExtent l="0" t="0" r="0" b="0"/>
            <wp:docPr id="112679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174400"/>
                    </a:xfrm>
                    <a:prstGeom prst="rect">
                      <a:avLst/>
                    </a:prstGeom>
                    <a:noFill/>
                  </pic:spPr>
                </pic:pic>
              </a:graphicData>
            </a:graphic>
          </wp:inline>
        </w:drawing>
      </w:r>
    </w:p>
    <w:p w14:paraId="2CBA12F3" w14:textId="56F34791" w:rsidR="00722A06" w:rsidRPr="001F7339" w:rsidRDefault="00236460" w:rsidP="001F7339">
      <w:pPr>
        <w:rPr>
          <w:lang w:bidi="en-GB"/>
        </w:rPr>
      </w:pPr>
      <w:r>
        <w:t>15.3</w:t>
      </w:r>
      <w:r w:rsidR="00722A06" w:rsidRPr="001F7339">
        <w:rPr>
          <w:rtl/>
        </w:rPr>
        <w:tab/>
        <w:t>‏تظهر تقديرات الفترة ‎</w:t>
      </w:r>
      <w:r w:rsidR="00722A06" w:rsidRPr="001F7339">
        <w:t>2027-2026</w:t>
      </w:r>
      <w:r w:rsidR="00722A06" w:rsidRPr="001F7339">
        <w:rPr>
          <w:rtl/>
        </w:rPr>
        <w:t xml:space="preserve"> في الجدول أدناه، موزعةً حسب كل باب من أبواب قطاع تنمية الاتصالات، مع مقارنة بميزانية الفترة </w:t>
      </w:r>
      <w:r w:rsidR="00964329">
        <w:t>2025-2024</w:t>
      </w:r>
      <w:r w:rsidR="00722A06" w:rsidRPr="001F7339">
        <w:rPr>
          <w:rtl/>
        </w:rPr>
        <w:t xml:space="preserve">. وتشير إلى نمو حقيقي سلبي بنسبة </w:t>
      </w:r>
      <w:r w:rsidR="00964329">
        <w:t>%2,</w:t>
      </w:r>
      <w:r w:rsidR="00B628A5">
        <w:t>41</w:t>
      </w:r>
      <w:r w:rsidR="00722A06" w:rsidRPr="001F7339">
        <w:rPr>
          <w:rtl/>
        </w:rPr>
        <w:t xml:space="preserve">. ويعكس هذا الانخفاض تراجع التكاليف نتيجة إزالة تكاليف المؤتمر العالمي لتنمية الاتصالات من ميزانية الفترة </w:t>
      </w:r>
      <w:r w:rsidR="00107DD7">
        <w:t>2027-2026</w:t>
      </w:r>
      <w:r w:rsidR="00722A06" w:rsidRPr="001F7339">
        <w:rPr>
          <w:rtl/>
        </w:rPr>
        <w:t>.</w:t>
      </w:r>
    </w:p>
    <w:p w14:paraId="7975C63F" w14:textId="0B6129C3" w:rsidR="00722A06" w:rsidRPr="001F7339" w:rsidRDefault="00043FF5" w:rsidP="00331E11">
      <w:pPr>
        <w:pStyle w:val="Figure"/>
        <w:bidi/>
        <w:rPr>
          <w:rFonts w:hint="default"/>
          <w:lang w:bidi="en-GB"/>
        </w:rPr>
      </w:pPr>
      <w:r>
        <w:rPr>
          <w:rFonts w:hint="default"/>
          <w:noProof/>
        </w:rPr>
        <w:lastRenderedPageBreak/>
        <w:drawing>
          <wp:inline distT="0" distB="0" distL="0" distR="0" wp14:anchorId="0C610769" wp14:editId="5A1FA747">
            <wp:extent cx="5760000" cy="2052000"/>
            <wp:effectExtent l="0" t="0" r="0" b="5715"/>
            <wp:docPr id="139014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2052000"/>
                    </a:xfrm>
                    <a:prstGeom prst="rect">
                      <a:avLst/>
                    </a:prstGeom>
                    <a:noFill/>
                  </pic:spPr>
                </pic:pic>
              </a:graphicData>
            </a:graphic>
          </wp:inline>
        </w:drawing>
      </w:r>
    </w:p>
    <w:p w14:paraId="76B62323" w14:textId="248BBEEA" w:rsidR="00722A06" w:rsidRPr="001F7339" w:rsidRDefault="00722A06" w:rsidP="001F7339">
      <w:pPr>
        <w:rPr>
          <w:lang w:val="ar-SA" w:bidi="ar-EG"/>
        </w:rPr>
      </w:pPr>
      <w:r w:rsidRPr="001F7339">
        <w:rPr>
          <w:rtl/>
        </w:rPr>
        <w:t xml:space="preserve">يبين المخطط أدناه توزيع التقديرات للفترة </w:t>
      </w:r>
      <w:r w:rsidR="00107DD7">
        <w:t>2027-2026</w:t>
      </w:r>
      <w:r w:rsidRPr="001F7339">
        <w:rPr>
          <w:rtl/>
        </w:rPr>
        <w:t xml:space="preserve"> حسب الفئة. وتمثل التكاليف الخاصة بالموظفين والتكاليف الأخرى الخاصة بالموظفين نحو </w:t>
      </w:r>
      <w:r w:rsidR="00D33E21">
        <w:rPr>
          <w:lang w:bidi="ar-EG"/>
        </w:rPr>
        <w:t>%83</w:t>
      </w:r>
      <w:r w:rsidRPr="001F7339">
        <w:rPr>
          <w:rtl/>
        </w:rPr>
        <w:t>.</w:t>
      </w:r>
    </w:p>
    <w:p w14:paraId="446EFB63" w14:textId="1EBF6375" w:rsidR="00722A06" w:rsidRPr="001F7339" w:rsidRDefault="00331E11" w:rsidP="00331E11">
      <w:pPr>
        <w:pStyle w:val="Figure"/>
        <w:bidi/>
        <w:rPr>
          <w:rFonts w:hint="default"/>
          <w:rtl/>
        </w:rPr>
      </w:pPr>
      <w:r>
        <w:rPr>
          <w:noProof/>
        </w:rPr>
        <w:drawing>
          <wp:inline distT="0" distB="0" distL="0" distR="0" wp14:anchorId="7C116163" wp14:editId="44F37791">
            <wp:extent cx="3600000" cy="2646000"/>
            <wp:effectExtent l="0" t="0" r="0" b="0"/>
            <wp:docPr id="9285420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646000"/>
                    </a:xfrm>
                    <a:prstGeom prst="rect">
                      <a:avLst/>
                    </a:prstGeom>
                    <a:noFill/>
                  </pic:spPr>
                </pic:pic>
              </a:graphicData>
            </a:graphic>
          </wp:inline>
        </w:drawing>
      </w:r>
    </w:p>
    <w:p w14:paraId="7FEB5367" w14:textId="77777777" w:rsidR="00722A06" w:rsidRPr="001F7339" w:rsidRDefault="00722A06" w:rsidP="000617E6">
      <w:pPr>
        <w:pStyle w:val="Heading1"/>
        <w:rPr>
          <w:lang w:val="ar-SA" w:bidi="ar-EG"/>
        </w:rPr>
      </w:pPr>
      <w:bookmarkStart w:id="0" w:name="_Hlk196840751"/>
      <w:r w:rsidRPr="001F7339">
        <w:rPr>
          <w:rtl/>
        </w:rPr>
        <w:t>4</w:t>
      </w:r>
      <w:r w:rsidRPr="001F7339">
        <w:rPr>
          <w:rtl/>
        </w:rPr>
        <w:tab/>
        <w:t>الإيرادات حسب المصدر</w:t>
      </w:r>
    </w:p>
    <w:p w14:paraId="01EB8025" w14:textId="15C202AE" w:rsidR="00722A06" w:rsidRPr="001F7339" w:rsidRDefault="002926DB" w:rsidP="001F7339">
      <w:pPr>
        <w:rPr>
          <w:lang w:val="ar-SA" w:bidi="ar-EG"/>
        </w:rPr>
      </w:pPr>
      <w:r>
        <w:t>1.4</w:t>
      </w:r>
      <w:r w:rsidR="00722A06" w:rsidRPr="001F7339">
        <w:rPr>
          <w:rtl/>
        </w:rPr>
        <w:tab/>
        <w:t xml:space="preserve">يقدم هذا الفصل معلومات عن تقديرات الإيرادات للفترة </w:t>
      </w:r>
      <w:r w:rsidR="00107DD7">
        <w:t>2027-2026</w:t>
      </w:r>
      <w:r w:rsidR="00722A06" w:rsidRPr="001F7339">
        <w:rPr>
          <w:rtl/>
        </w:rPr>
        <w:t xml:space="preserve"> حسب المصدر، على النحو المحدد في</w:t>
      </w:r>
      <w:r>
        <w:rPr>
          <w:rFonts w:hint="eastAsia"/>
          <w:rtl/>
          <w:lang w:bidi="ar-EG"/>
        </w:rPr>
        <w:t> </w:t>
      </w:r>
      <w:r w:rsidR="00722A06" w:rsidRPr="001F7339">
        <w:rPr>
          <w:rtl/>
        </w:rPr>
        <w:t>المادة 7 من اللوائح المالية.</w:t>
      </w:r>
    </w:p>
    <w:p w14:paraId="429FCA4E" w14:textId="2B3E8A53" w:rsidR="00722A06" w:rsidRPr="007C3AB0" w:rsidRDefault="002926DB" w:rsidP="00322D4B">
      <w:pPr>
        <w:rPr>
          <w:spacing w:val="-1"/>
          <w:lang w:bidi="en-GB"/>
        </w:rPr>
      </w:pPr>
      <w:r w:rsidRPr="007C3AB0">
        <w:rPr>
          <w:spacing w:val="-1"/>
        </w:rPr>
        <w:t>2.4</w:t>
      </w:r>
      <w:r w:rsidR="00722A06" w:rsidRPr="007C3AB0">
        <w:rPr>
          <w:spacing w:val="-1"/>
          <w:rtl/>
        </w:rPr>
        <w:tab/>
        <w:t xml:space="preserve">يقدم الجدول التالي توقعات الإيرادات للفترة </w:t>
      </w:r>
      <w:r w:rsidR="00107DD7" w:rsidRPr="007C3AB0">
        <w:rPr>
          <w:spacing w:val="-1"/>
        </w:rPr>
        <w:t>2027-2026</w:t>
      </w:r>
      <w:r w:rsidR="00722A06" w:rsidRPr="007C3AB0">
        <w:rPr>
          <w:spacing w:val="-1"/>
          <w:rtl/>
        </w:rPr>
        <w:t xml:space="preserve"> مقارنةً بالخطة المالية وميزانية 2024-2025 والإيرادات الفعلية لعام 2024. وتزيد الإيرادات المتوقعة للفترة </w:t>
      </w:r>
      <w:r w:rsidR="00107DD7" w:rsidRPr="007C3AB0">
        <w:rPr>
          <w:spacing w:val="-1"/>
        </w:rPr>
        <w:t>2027-2026</w:t>
      </w:r>
      <w:r w:rsidR="00722A06" w:rsidRPr="007C3AB0">
        <w:rPr>
          <w:spacing w:val="-1"/>
          <w:rtl/>
        </w:rPr>
        <w:t xml:space="preserve"> بمقدار 3,6 مليون فرنك سويسري عن الإيرادات المتوقعة من قِبل مؤتمر المندوبين المفوضين عند اعتماد الخطة المالية للفترة 2024-2027. وتعزى الاختلافات بين عامي 2026 و2027 بشكل رئيسي إلى اختلاف البرامج (مؤتمر المندوبين المفوضين في عام 2026 والمؤتمر العالمي للاتصالات الراديوية وجمعية الاتصالات الراديوية والاجتماع التحضيري للمؤتمر في عام 2027). ومن المقرر إيداع مبلغ 2,8 مليون فرنك سويسري في حساب الاحتياطي في عام 2026 وسحبه في عام 2027 لتعويض الاختلاف عن</w:t>
      </w:r>
      <w:r w:rsidR="005850CA" w:rsidRPr="007C3AB0">
        <w:rPr>
          <w:spacing w:val="-1"/>
          <w:rtl/>
        </w:rPr>
        <w:t xml:space="preserve"> </w:t>
      </w:r>
      <w:r w:rsidR="00722A06" w:rsidRPr="007C3AB0">
        <w:rPr>
          <w:spacing w:val="-1"/>
          <w:rtl/>
        </w:rPr>
        <w:t xml:space="preserve">النفقات بين السنتين خلال فترة السنتين. وإن المبلغ المدفوع إلى صندوق صيانة المباني أقل من متطلبات الصيانة الرأسمالية السنوية المقدرة بمليونَي فرنك سويسري لمبنيَيْ البرج </w:t>
      </w:r>
      <w:proofErr w:type="spellStart"/>
      <w:r w:rsidR="00722A06" w:rsidRPr="007C3AB0">
        <w:rPr>
          <w:spacing w:val="-1"/>
          <w:rtl/>
        </w:rPr>
        <w:t>ومونبريان</w:t>
      </w:r>
      <w:proofErr w:type="spellEnd"/>
      <w:r w:rsidR="00722A06" w:rsidRPr="007C3AB0">
        <w:rPr>
          <w:spacing w:val="-1"/>
          <w:rtl/>
        </w:rPr>
        <w:t>، والتي أوصت بها الأمانة فريق العمل التابع للمجلس والمعني بالشؤون المالية والموارد البشرية (</w:t>
      </w:r>
      <w:r w:rsidR="00722A06" w:rsidRPr="007C3AB0">
        <w:rPr>
          <w:spacing w:val="-1"/>
          <w:lang w:bidi="ar-EG"/>
        </w:rPr>
        <w:t>CWG-FHR</w:t>
      </w:r>
      <w:r w:rsidR="00722A06" w:rsidRPr="007C3AB0">
        <w:rPr>
          <w:spacing w:val="-1"/>
          <w:rtl/>
        </w:rPr>
        <w:t xml:space="preserve">) في اجتماعه في فبراير 2025 </w:t>
      </w:r>
      <w:r w:rsidR="00722A06" w:rsidRPr="007C3AB0">
        <w:rPr>
          <w:spacing w:val="-1"/>
        </w:rPr>
        <w:t>(</w:t>
      </w:r>
      <w:hyperlink r:id="rId31" w:history="1">
        <w:r w:rsidR="00322D4B" w:rsidRPr="00322D4B">
          <w:rPr>
            <w:rStyle w:val="Hyperlink"/>
            <w:rFonts w:ascii="Dubai" w:eastAsiaTheme="minorEastAsia" w:hAnsi="Dubai" w:cs="Dubai"/>
            <w:noProof w:val="0"/>
            <w:sz w:val="22"/>
            <w:lang w:eastAsia="zh-CN"/>
          </w:rPr>
          <w:t>CWG-FHR 20/8</w:t>
        </w:r>
      </w:hyperlink>
      <w:r w:rsidR="00722A06" w:rsidRPr="007C3AB0">
        <w:rPr>
          <w:spacing w:val="-1"/>
        </w:rPr>
        <w:t>)</w:t>
      </w:r>
      <w:r w:rsidR="00722A06" w:rsidRPr="007C3AB0">
        <w:rPr>
          <w:spacing w:val="-1"/>
          <w:rtl/>
        </w:rPr>
        <w:t>، غير أنه في الوقت الحالي لا يمكن تخصيص مبلغ أكبر بسبب القيود الميزانية.</w:t>
      </w:r>
      <w:bookmarkEnd w:id="0"/>
    </w:p>
    <w:p w14:paraId="0720FB64" w14:textId="083A1CA3" w:rsidR="00722A06" w:rsidRPr="001F7339" w:rsidRDefault="00331E11" w:rsidP="00331E11">
      <w:pPr>
        <w:pStyle w:val="Figure"/>
        <w:bidi/>
        <w:rPr>
          <w:rFonts w:hint="default"/>
          <w:lang w:bidi="en-GB"/>
        </w:rPr>
      </w:pPr>
      <w:r>
        <w:rPr>
          <w:rFonts w:hint="default"/>
          <w:noProof/>
        </w:rPr>
        <w:lastRenderedPageBreak/>
        <w:drawing>
          <wp:inline distT="0" distB="0" distL="0" distR="0" wp14:anchorId="2A0A2839" wp14:editId="17CB39A4">
            <wp:extent cx="5760000" cy="2102400"/>
            <wp:effectExtent l="0" t="0" r="0" b="0"/>
            <wp:docPr id="376131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102400"/>
                    </a:xfrm>
                    <a:prstGeom prst="rect">
                      <a:avLst/>
                    </a:prstGeom>
                    <a:noFill/>
                  </pic:spPr>
                </pic:pic>
              </a:graphicData>
            </a:graphic>
          </wp:inline>
        </w:drawing>
      </w:r>
    </w:p>
    <w:p w14:paraId="44B881C3" w14:textId="686A17FE" w:rsidR="005850CA" w:rsidRDefault="00D52816" w:rsidP="001F7339">
      <w:pPr>
        <w:rPr>
          <w:rtl/>
        </w:rPr>
      </w:pPr>
      <w:r w:rsidRPr="004413DF">
        <w:t>3.4</w:t>
      </w:r>
      <w:r w:rsidR="00722A06" w:rsidRPr="004413DF">
        <w:rPr>
          <w:rtl/>
        </w:rPr>
        <w:tab/>
        <w:t xml:space="preserve">زادت المساهمات المقررة زيادة طفيفة بمقدار </w:t>
      </w:r>
      <w:r w:rsidR="00322D4B" w:rsidRPr="004413DF">
        <w:t>580 000</w:t>
      </w:r>
      <w:r w:rsidR="00722A06" w:rsidRPr="004413DF">
        <w:rPr>
          <w:rtl/>
        </w:rPr>
        <w:t xml:space="preserve"> فرنك سويسري، على الرغم من الإبقاء على قيمة وحدة المساهمة عند </w:t>
      </w:r>
      <w:r w:rsidRPr="004413DF">
        <w:t>318 000</w:t>
      </w:r>
      <w:r w:rsidR="00722A06" w:rsidRPr="004413DF">
        <w:rPr>
          <w:rtl/>
        </w:rPr>
        <w:t xml:space="preserve"> فرنك سويسري وفقاً للمقرر 5 (المراج</w:t>
      </w:r>
      <w:r w:rsidRPr="004413DF">
        <w:rPr>
          <w:rFonts w:hint="cs"/>
          <w:rtl/>
        </w:rPr>
        <w:t>َ</w:t>
      </w:r>
      <w:r w:rsidR="00722A06" w:rsidRPr="004413DF">
        <w:rPr>
          <w:rtl/>
        </w:rPr>
        <w:t>ع في بوخارست، 2022)</w:t>
      </w:r>
      <w:r w:rsidR="00322D4B" w:rsidRPr="004413DF">
        <w:rPr>
          <w:rFonts w:hint="cs"/>
          <w:rtl/>
        </w:rPr>
        <w:t xml:space="preserve"> لمؤتمر المندوبين المفوضين</w:t>
      </w:r>
      <w:r w:rsidR="00722A06" w:rsidRPr="004413DF">
        <w:rPr>
          <w:rtl/>
        </w:rPr>
        <w:t>. وكما هو مبين في الجدول التالي، فإن الزيادة المتوقعة في المساهمات المقررة مقارنة بالخطة المالية تعزى أساساً إلى الزيادة في عدد الأعضاء المنتسبين، مع توقع زيادات أقل أيضاً نتيجة انضمام أعضاء قطاعات إضافيين وهيئات أكاديمية إضافية وانضمام دولة عضو جديدة إلى الاتحاد.</w:t>
      </w:r>
    </w:p>
    <w:p w14:paraId="46EE9DC0" w14:textId="0A0A35A4" w:rsidR="00722A06" w:rsidRPr="001F7339" w:rsidRDefault="00FC121B" w:rsidP="00FC121B">
      <w:pPr>
        <w:pStyle w:val="Figure"/>
        <w:bidi/>
        <w:rPr>
          <w:rFonts w:hint="default"/>
          <w:lang w:bidi="en-GB"/>
        </w:rPr>
      </w:pPr>
      <w:r>
        <w:rPr>
          <w:noProof/>
        </w:rPr>
        <w:drawing>
          <wp:inline distT="0" distB="0" distL="0" distR="0" wp14:anchorId="7EE7EB0F" wp14:editId="59AB85C9">
            <wp:extent cx="5760000" cy="2592000"/>
            <wp:effectExtent l="0" t="0" r="0" b="0"/>
            <wp:docPr id="16770511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2592000"/>
                    </a:xfrm>
                    <a:prstGeom prst="rect">
                      <a:avLst/>
                    </a:prstGeom>
                    <a:noFill/>
                  </pic:spPr>
                </pic:pic>
              </a:graphicData>
            </a:graphic>
          </wp:inline>
        </w:drawing>
      </w:r>
    </w:p>
    <w:p w14:paraId="2080F70D" w14:textId="61196DD2" w:rsidR="005850CA" w:rsidRDefault="00D52816" w:rsidP="001F7339">
      <w:pPr>
        <w:rPr>
          <w:rtl/>
        </w:rPr>
      </w:pPr>
      <w:r>
        <w:t>4.4</w:t>
      </w:r>
      <w:r w:rsidR="00722A06" w:rsidRPr="001F7339">
        <w:rPr>
          <w:rtl/>
        </w:rPr>
        <w:tab/>
        <w:t>من المتوقع حدوث انخفاض محدود في إيرادات استرداد التكاليف من مبيعات المنشورات خلال الفترة</w:t>
      </w:r>
      <w:r w:rsidR="00AE612D">
        <w:rPr>
          <w:rFonts w:hint="eastAsia"/>
          <w:rtl/>
          <w:lang w:bidi="ar-EG"/>
        </w:rPr>
        <w:t> </w:t>
      </w:r>
      <w:r w:rsidR="00107DD7">
        <w:t>2027-2026</w:t>
      </w:r>
      <w:r w:rsidR="00722A06" w:rsidRPr="001F7339">
        <w:rPr>
          <w:rtl/>
        </w:rPr>
        <w:t xml:space="preserve"> مقارنة</w:t>
      </w:r>
      <w:r w:rsidR="002826BD">
        <w:rPr>
          <w:rFonts w:hint="cs"/>
          <w:rtl/>
        </w:rPr>
        <w:t>ً</w:t>
      </w:r>
      <w:r w:rsidR="00722A06" w:rsidRPr="001F7339">
        <w:rPr>
          <w:rtl/>
        </w:rPr>
        <w:t xml:space="preserve"> بالخطة المالية، وذلك بسبب برنامج المنشورات لهذا الإطار الزمني الذي سيشمل مؤتمراً عالمياً للاتصالات الراديوية.</w:t>
      </w:r>
    </w:p>
    <w:p w14:paraId="73F8E2D4" w14:textId="4C59575C" w:rsidR="00722A06" w:rsidRPr="001F7339" w:rsidRDefault="00D52816" w:rsidP="001F7339">
      <w:pPr>
        <w:rPr>
          <w:lang w:val="ar-SA" w:bidi="ar-EG"/>
        </w:rPr>
      </w:pPr>
      <w:r>
        <w:t>5.4</w:t>
      </w:r>
      <w:r w:rsidR="00722A06" w:rsidRPr="001F7339">
        <w:rPr>
          <w:rtl/>
        </w:rPr>
        <w:tab/>
        <w:t xml:space="preserve">وفيما يتعلق باسترداد تكاليف بطاقات التبليغ عن الشبكات الساتلية </w:t>
      </w:r>
      <w:r w:rsidR="00722A06" w:rsidRPr="001F7339">
        <w:rPr>
          <w:lang w:bidi="ar-EG"/>
        </w:rPr>
        <w:t>(SNF</w:t>
      </w:r>
      <w:r w:rsidR="00722A06" w:rsidRPr="001F7339">
        <w:t>)</w:t>
      </w:r>
      <w:r w:rsidR="00722A06" w:rsidRPr="001F7339">
        <w:rPr>
          <w:rtl/>
        </w:rPr>
        <w:t xml:space="preserve">، تُقدّر التكاليف السنوية الكاملة لعمل الاتحاد في هذا المجال بمبلغ 22,8 مليون فرنك سويسري بيد أنه لم يُدرج سوى مبلغ 18 مليون فرنك سويسري في تقديرات الفترة </w:t>
      </w:r>
      <w:r w:rsidR="00107DD7">
        <w:t>2027-2026</w:t>
      </w:r>
      <w:r w:rsidR="00722A06" w:rsidRPr="001F7339">
        <w:rPr>
          <w:rtl/>
        </w:rPr>
        <w:t xml:space="preserve">. ويستند هذا التقدير إلى مقترح من الأمانة لتعديل تنفيذ توصيات فريق الخبراء المعني بالقرار 482 التي ستُعرض على المجلس في دورته لعام 2025. ويعترف هذا الاقتراح بالتحديات العملية المرتبطة باسترداد التكاليف الكاملة التي حددتها الأمانة، ويقترح تطبيق حدود مرجعية. وبالإضافة إلى تقدير التكاليف الكاملة المستند إلى المعايير، يُقترح تخصيص مليون فرنك سويسري إضافي سنوياً يُدفع إلى صندوق تكنولوجيا المعلومات والاتصالات لتعويض تكلفة برنامج تحسين برمجيات مكتب الاتصالات الراديوية وهو أمر ضروري لتيسير جهود معالجة بطاقات التبليغ عن الشبكات الساتلية. وقد اقترحت الأمانة في الوثيقة </w:t>
      </w:r>
      <w:hyperlink r:id="rId34" w:history="1">
        <w:r w:rsidR="00722A06" w:rsidRPr="00FD4E37">
          <w:rPr>
            <w:rStyle w:val="Hyperlink"/>
            <w:rFonts w:ascii="Dubai" w:eastAsiaTheme="minorEastAsia" w:hAnsi="Dubai" w:cs="Dubai"/>
            <w:noProof w:val="0"/>
            <w:sz w:val="22"/>
            <w:rtl/>
            <w:lang w:val="en-US" w:eastAsia="zh-CN"/>
          </w:rPr>
          <w:t>C25/64</w:t>
        </w:r>
      </w:hyperlink>
      <w:r w:rsidR="00722A06" w:rsidRPr="001F7339">
        <w:rPr>
          <w:rtl/>
        </w:rPr>
        <w:t xml:space="preserve"> تحصيل هذه الرسوم من رسوم معالجة بطاقات التبليغ عن الشبكات الساتلية. وإذا لم يُوافق على الإيرادات الإضافية، يُحذف هذا البند.</w:t>
      </w:r>
    </w:p>
    <w:p w14:paraId="2E22DED8" w14:textId="34F25745" w:rsidR="00722A06" w:rsidRPr="001F7339" w:rsidRDefault="00AE612D" w:rsidP="001F7339">
      <w:pPr>
        <w:rPr>
          <w:lang w:bidi="en-GB"/>
        </w:rPr>
      </w:pPr>
      <w:r>
        <w:rPr>
          <w:rFonts w:hint="cs"/>
          <w:rtl/>
        </w:rPr>
        <w:t>6.4</w:t>
      </w:r>
      <w:r w:rsidR="00722A06" w:rsidRPr="001F7339">
        <w:rPr>
          <w:rtl/>
        </w:rPr>
        <w:tab/>
        <w:t>من المتوقع أن تستمر الإيرادات من تكاليف دعم المشاريع في الارتفاع، كما كان عليه الحال في السنوات الأخيرة. وسيُدفع المبلغ الزائد عن تقديرات الخطة المالية إلى صندوق تنمية تكنولوجيا المعلومات والاتصالات.</w:t>
      </w:r>
    </w:p>
    <w:p w14:paraId="0ACBD9D1" w14:textId="6AC9F39B" w:rsidR="00722A06" w:rsidRPr="001F7339" w:rsidRDefault="00FC121B" w:rsidP="00FC121B">
      <w:pPr>
        <w:pStyle w:val="Figure"/>
        <w:bidi/>
        <w:rPr>
          <w:rFonts w:hint="default"/>
          <w:lang w:bidi="en-GB"/>
        </w:rPr>
      </w:pPr>
      <w:r>
        <w:rPr>
          <w:noProof/>
        </w:rPr>
        <w:lastRenderedPageBreak/>
        <w:drawing>
          <wp:inline distT="0" distB="0" distL="0" distR="0" wp14:anchorId="394BF51E" wp14:editId="2175363A">
            <wp:extent cx="5760000" cy="2084400"/>
            <wp:effectExtent l="0" t="0" r="0" b="0"/>
            <wp:docPr id="14311741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2084400"/>
                    </a:xfrm>
                    <a:prstGeom prst="rect">
                      <a:avLst/>
                    </a:prstGeom>
                    <a:noFill/>
                  </pic:spPr>
                </pic:pic>
              </a:graphicData>
            </a:graphic>
          </wp:inline>
        </w:drawing>
      </w:r>
    </w:p>
    <w:p w14:paraId="25B53901" w14:textId="25234C4C" w:rsidR="005850CA" w:rsidRDefault="00815302" w:rsidP="00815302">
      <w:pPr>
        <w:pStyle w:val="4"/>
        <w:rPr>
          <w:rtl/>
        </w:rPr>
      </w:pPr>
      <w:r>
        <w:t>7.4</w:t>
      </w:r>
      <w:r w:rsidR="00722A06" w:rsidRPr="001F7339">
        <w:rPr>
          <w:rtl/>
        </w:rPr>
        <w:tab/>
        <w:t>كما هو مبين في الجدول أدناه، تم تعديل الفوائد المتوقعة والإيرادات الأخرى استناداً إلى النتائج المحققة في</w:t>
      </w:r>
      <w:r>
        <w:rPr>
          <w:rFonts w:hint="eastAsia"/>
          <w:rtl/>
          <w:lang w:bidi="ar-EG"/>
        </w:rPr>
        <w:t> </w:t>
      </w:r>
      <w:r w:rsidR="00722A06" w:rsidRPr="001F7339">
        <w:rPr>
          <w:rtl/>
        </w:rPr>
        <w:t>السنوات الأخيرة. ومن المتوقع أن تزيد الإيرادات من الفوائد بمقدار 3,6 مليون فرنك سويسري، في حين يُتوقع أن تزيد الإيرادات الأخرى بمقدار 0,5 مليون فرنك سويسري.</w:t>
      </w:r>
    </w:p>
    <w:p w14:paraId="42CFD205" w14:textId="0E9282EB" w:rsidR="00722A06" w:rsidRPr="001F7339" w:rsidRDefault="00FC121B" w:rsidP="00FC121B">
      <w:pPr>
        <w:pStyle w:val="Figure"/>
        <w:bidi/>
        <w:rPr>
          <w:rFonts w:hint="default"/>
          <w:rtl/>
        </w:rPr>
      </w:pPr>
      <w:r>
        <w:rPr>
          <w:noProof/>
        </w:rPr>
        <w:drawing>
          <wp:inline distT="0" distB="0" distL="0" distR="0" wp14:anchorId="07A50A29" wp14:editId="6873118D">
            <wp:extent cx="5760000" cy="1587600"/>
            <wp:effectExtent l="0" t="0" r="0" b="0"/>
            <wp:docPr id="4376766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00" cy="1587600"/>
                    </a:xfrm>
                    <a:prstGeom prst="rect">
                      <a:avLst/>
                    </a:prstGeom>
                    <a:noFill/>
                  </pic:spPr>
                </pic:pic>
              </a:graphicData>
            </a:graphic>
          </wp:inline>
        </w:drawing>
      </w:r>
    </w:p>
    <w:p w14:paraId="73364985" w14:textId="77777777" w:rsidR="00722A06" w:rsidRPr="00815302" w:rsidRDefault="00722A06" w:rsidP="000617E6">
      <w:pPr>
        <w:pStyle w:val="Heading1"/>
        <w:rPr>
          <w:lang w:val="ar-SA" w:bidi="ar-EG"/>
        </w:rPr>
      </w:pPr>
      <w:r w:rsidRPr="00815302">
        <w:rPr>
          <w:rtl/>
        </w:rPr>
        <w:t>5</w:t>
      </w:r>
      <w:r w:rsidRPr="00815302">
        <w:rPr>
          <w:rtl/>
        </w:rPr>
        <w:tab/>
        <w:t>خدمات اللغات</w:t>
      </w:r>
    </w:p>
    <w:p w14:paraId="04AF5D45" w14:textId="5E3905DE" w:rsidR="00722A06" w:rsidRPr="001F7339" w:rsidRDefault="00815302" w:rsidP="001F7339">
      <w:pPr>
        <w:rPr>
          <w:lang w:val="ar-SA" w:bidi="ar-EG"/>
        </w:rPr>
      </w:pPr>
      <w:r>
        <w:t>1.5</w:t>
      </w:r>
      <w:r w:rsidR="00722A06" w:rsidRPr="001F7339">
        <w:rPr>
          <w:rtl/>
        </w:rPr>
        <w:tab/>
        <w:t>بموجب الفقرة 2.1 من "</w:t>
      </w:r>
      <w:r w:rsidR="00722A06" w:rsidRPr="00815302">
        <w:rPr>
          <w:i/>
          <w:iCs/>
          <w:rtl/>
        </w:rPr>
        <w:t>يقرر</w:t>
      </w:r>
      <w:r w:rsidR="00722A06" w:rsidRPr="001F7339">
        <w:rPr>
          <w:rtl/>
        </w:rPr>
        <w:t>" في المقرر 5 (المراج</w:t>
      </w:r>
      <w:r>
        <w:rPr>
          <w:rFonts w:hint="cs"/>
          <w:rtl/>
        </w:rPr>
        <w:t>َ</w:t>
      </w:r>
      <w:r w:rsidR="00722A06" w:rsidRPr="001F7339">
        <w:rPr>
          <w:rtl/>
        </w:rPr>
        <w:t>ع في بوخارست، 2022)</w:t>
      </w:r>
      <w:r w:rsidR="004A0D2B">
        <w:rPr>
          <w:rFonts w:hint="cs"/>
          <w:rtl/>
          <w:lang w:bidi="ar-EG"/>
        </w:rPr>
        <w:t xml:space="preserve"> لمؤتمر المندوبين المفوضين</w:t>
      </w:r>
      <w:r w:rsidR="00722A06" w:rsidRPr="001F7339">
        <w:rPr>
          <w:rtl/>
        </w:rPr>
        <w:t>، يجب ألا تتجاوز نفقات الترجمة الشفوية والترجمة التحريرية ومعالجة النصوص فيما يتعلق باللغات الرسمية للاتحاد 85 مليون فرنك سويسري للفترة</w:t>
      </w:r>
      <w:r w:rsidR="005341CA">
        <w:rPr>
          <w:rFonts w:hint="cs"/>
          <w:rtl/>
        </w:rPr>
        <w:t> </w:t>
      </w:r>
      <w:r w:rsidR="005341CA">
        <w:t>2027-2024</w:t>
      </w:r>
      <w:r w:rsidR="00722A06" w:rsidRPr="001F7339">
        <w:rPr>
          <w:rtl/>
        </w:rPr>
        <w:t>.</w:t>
      </w:r>
    </w:p>
    <w:p w14:paraId="5699CD8C" w14:textId="2796F2EC" w:rsidR="00722A06" w:rsidRPr="00E43267" w:rsidRDefault="00E43267" w:rsidP="001F7339">
      <w:pPr>
        <w:rPr>
          <w:spacing w:val="-3"/>
          <w:lang w:bidi="en-GB"/>
        </w:rPr>
      </w:pPr>
      <w:r w:rsidRPr="00E43267">
        <w:rPr>
          <w:rFonts w:hint="cs"/>
          <w:spacing w:val="-3"/>
          <w:rtl/>
        </w:rPr>
        <w:t>2.5</w:t>
      </w:r>
      <w:r w:rsidR="00722A06" w:rsidRPr="00E43267">
        <w:rPr>
          <w:spacing w:val="-3"/>
          <w:rtl/>
        </w:rPr>
        <w:tab/>
        <w:t xml:space="preserve">يبين الجدول التالي النفقات المقدرة للخدمات المتعلقة باللغات للفترة </w:t>
      </w:r>
      <w:r w:rsidR="00107DD7" w:rsidRPr="00E43267">
        <w:rPr>
          <w:spacing w:val="-3"/>
        </w:rPr>
        <w:t>2027-2026</w:t>
      </w:r>
      <w:r w:rsidR="00722A06" w:rsidRPr="00E43267">
        <w:rPr>
          <w:spacing w:val="-3"/>
          <w:rtl/>
        </w:rPr>
        <w:t xml:space="preserve"> مقارنة</w:t>
      </w:r>
      <w:r w:rsidR="002826BD">
        <w:rPr>
          <w:rFonts w:hint="cs"/>
          <w:spacing w:val="-3"/>
          <w:rtl/>
        </w:rPr>
        <w:t>ً</w:t>
      </w:r>
      <w:r w:rsidR="00722A06" w:rsidRPr="00E43267">
        <w:rPr>
          <w:spacing w:val="-3"/>
          <w:rtl/>
        </w:rPr>
        <w:t xml:space="preserve"> بالفترة 2024-2025، وهي أقل بكثير من الحد الأقصى المقرر، ومن المتوقع أن تستمر في الانخفاض مع مرور الوقت. ويُعزى الانخفاض في تكلفة الترجمة على الرغم من زيادة الحجم (المؤتمر العالمي للاتصالات الراديوية لعام 2027، ومؤتمر المندوبين المفوضين لعام</w:t>
      </w:r>
      <w:r>
        <w:rPr>
          <w:rFonts w:hint="cs"/>
          <w:spacing w:val="-3"/>
          <w:rtl/>
        </w:rPr>
        <w:t> </w:t>
      </w:r>
      <w:r w:rsidR="00722A06" w:rsidRPr="00E43267">
        <w:rPr>
          <w:spacing w:val="-3"/>
          <w:rtl/>
        </w:rPr>
        <w:t>2026) ‏بشكل رئيسي إلى تعديل التوزيع الأمثل للقدرات الثابتة/المتغيرة في أنشطة الترجمة وزيادة الإنتاجية‎. وتُعزى الزيادة في معالجة النصوص إلى ارتفاع الحجم. وأخيراً، تعزى الزيادة في الترجمة الشفوية إلى برنامج المؤتمر الذي يتضمن أهم حدثين في الاتحاد (مؤتمر المندوبين المفوضين لعام 2026 والمؤتمر العالمي للاتصالات الراديوية لعام 2027).</w:t>
      </w:r>
    </w:p>
    <w:p w14:paraId="656F5783" w14:textId="0F5F0B6D" w:rsidR="00722A06" w:rsidRPr="001F7339" w:rsidRDefault="00FC121B" w:rsidP="00FC121B">
      <w:pPr>
        <w:pStyle w:val="Figure"/>
        <w:bidi/>
        <w:rPr>
          <w:rFonts w:hint="default"/>
          <w:lang w:bidi="en-GB"/>
        </w:rPr>
      </w:pPr>
      <w:r>
        <w:rPr>
          <w:noProof/>
        </w:rPr>
        <w:drawing>
          <wp:inline distT="0" distB="0" distL="0" distR="0" wp14:anchorId="13798494" wp14:editId="1999AC83">
            <wp:extent cx="3600000" cy="1951200"/>
            <wp:effectExtent l="0" t="0" r="635" b="0"/>
            <wp:docPr id="4009103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1951200"/>
                    </a:xfrm>
                    <a:prstGeom prst="rect">
                      <a:avLst/>
                    </a:prstGeom>
                    <a:noFill/>
                  </pic:spPr>
                </pic:pic>
              </a:graphicData>
            </a:graphic>
          </wp:inline>
        </w:drawing>
      </w:r>
    </w:p>
    <w:p w14:paraId="38A4AB68" w14:textId="5E014C34" w:rsidR="00722A06" w:rsidRPr="00E43267" w:rsidRDefault="00722A06" w:rsidP="001F7339">
      <w:pPr>
        <w:rPr>
          <w:spacing w:val="-3"/>
          <w:rtl/>
        </w:rPr>
      </w:pPr>
      <w:r w:rsidRPr="00E43267">
        <w:rPr>
          <w:rFonts w:hint="eastAsia"/>
          <w:spacing w:val="-3"/>
          <w:rtl/>
        </w:rPr>
        <w:lastRenderedPageBreak/>
        <w:t>يقدم</w:t>
      </w:r>
      <w:r w:rsidRPr="00E43267">
        <w:rPr>
          <w:spacing w:val="-3"/>
          <w:rtl/>
        </w:rPr>
        <w:t xml:space="preserve"> </w:t>
      </w:r>
      <w:hyperlink w:anchor="Annex_B" w:history="1">
        <w:r w:rsidRPr="00E43267">
          <w:rPr>
            <w:rStyle w:val="Hyperlink"/>
            <w:rFonts w:ascii="Dubai" w:eastAsiaTheme="minorEastAsia" w:hAnsi="Dubai" w:cs="Dubai"/>
            <w:noProof w:val="0"/>
            <w:spacing w:val="-3"/>
            <w:sz w:val="22"/>
            <w:rtl/>
            <w:lang w:val="en-US" w:eastAsia="zh-CN"/>
          </w:rPr>
          <w:t xml:space="preserve">الملحق </w:t>
        </w:r>
        <w:r w:rsidRPr="00E43267">
          <w:rPr>
            <w:rStyle w:val="Hyperlink"/>
            <w:rFonts w:ascii="Dubai" w:eastAsiaTheme="minorEastAsia" w:hAnsi="Dubai" w:cs="Dubai"/>
            <w:noProof w:val="0"/>
            <w:spacing w:val="-3"/>
            <w:sz w:val="22"/>
            <w:lang w:eastAsia="zh-CN" w:bidi="ar-EG"/>
          </w:rPr>
          <w:t>B</w:t>
        </w:r>
      </w:hyperlink>
      <w:r w:rsidRPr="00E43267">
        <w:rPr>
          <w:rFonts w:hint="eastAsia"/>
          <w:spacing w:val="-3"/>
          <w:rtl/>
        </w:rPr>
        <w:t xml:space="preserve"> توزيع</w:t>
      </w:r>
      <w:r w:rsidRPr="00E43267">
        <w:rPr>
          <w:spacing w:val="-3"/>
          <w:rtl/>
        </w:rPr>
        <w:t xml:space="preserve"> </w:t>
      </w:r>
      <w:r w:rsidRPr="00E43267">
        <w:rPr>
          <w:rFonts w:hint="eastAsia"/>
          <w:spacing w:val="-3"/>
          <w:rtl/>
        </w:rPr>
        <w:t>حجم</w:t>
      </w:r>
      <w:r w:rsidRPr="00E43267">
        <w:rPr>
          <w:spacing w:val="-3"/>
          <w:rtl/>
        </w:rPr>
        <w:t xml:space="preserve"> </w:t>
      </w:r>
      <w:r w:rsidRPr="00E43267">
        <w:rPr>
          <w:rFonts w:hint="eastAsia"/>
          <w:spacing w:val="-3"/>
          <w:rtl/>
        </w:rPr>
        <w:t>الوثائق</w:t>
      </w:r>
      <w:r w:rsidRPr="00E43267">
        <w:rPr>
          <w:spacing w:val="-3"/>
          <w:rtl/>
        </w:rPr>
        <w:t xml:space="preserve"> </w:t>
      </w:r>
      <w:r w:rsidRPr="00E43267">
        <w:rPr>
          <w:rFonts w:hint="eastAsia"/>
          <w:spacing w:val="-3"/>
          <w:rtl/>
        </w:rPr>
        <w:t>للفترة</w:t>
      </w:r>
      <w:r w:rsidRPr="00E43267">
        <w:rPr>
          <w:spacing w:val="-3"/>
          <w:rtl/>
        </w:rPr>
        <w:t xml:space="preserve"> </w:t>
      </w:r>
      <w:r w:rsidR="00107DD7" w:rsidRPr="00E43267">
        <w:rPr>
          <w:spacing w:val="-3"/>
        </w:rPr>
        <w:t>2027-2026</w:t>
      </w:r>
      <w:r w:rsidRPr="00E43267">
        <w:rPr>
          <w:spacing w:val="-3"/>
          <w:rtl/>
        </w:rPr>
        <w:t xml:space="preserve"> </w:t>
      </w:r>
      <w:r w:rsidRPr="00E43267">
        <w:rPr>
          <w:rFonts w:hint="eastAsia"/>
          <w:spacing w:val="-3"/>
          <w:rtl/>
        </w:rPr>
        <w:t>وتطور</w:t>
      </w:r>
      <w:r w:rsidRPr="00E43267">
        <w:rPr>
          <w:spacing w:val="-3"/>
          <w:rtl/>
        </w:rPr>
        <w:t xml:space="preserve"> </w:t>
      </w:r>
      <w:r w:rsidRPr="00E43267">
        <w:rPr>
          <w:rFonts w:hint="eastAsia"/>
          <w:spacing w:val="-3"/>
          <w:rtl/>
        </w:rPr>
        <w:t>تكاليف</w:t>
      </w:r>
      <w:r w:rsidRPr="00E43267">
        <w:rPr>
          <w:spacing w:val="-3"/>
          <w:rtl/>
        </w:rPr>
        <w:t xml:space="preserve"> </w:t>
      </w:r>
      <w:r w:rsidRPr="00E43267">
        <w:rPr>
          <w:rFonts w:hint="eastAsia"/>
          <w:spacing w:val="-3"/>
          <w:rtl/>
        </w:rPr>
        <w:t>الوحدة</w:t>
      </w:r>
      <w:r w:rsidRPr="00E43267">
        <w:rPr>
          <w:spacing w:val="-3"/>
          <w:rtl/>
        </w:rPr>
        <w:t xml:space="preserve"> </w:t>
      </w:r>
      <w:r w:rsidRPr="00E43267">
        <w:rPr>
          <w:rFonts w:hint="eastAsia"/>
          <w:spacing w:val="-3"/>
          <w:rtl/>
        </w:rPr>
        <w:t>للترجمة</w:t>
      </w:r>
      <w:r w:rsidRPr="00E43267">
        <w:rPr>
          <w:spacing w:val="-3"/>
          <w:rtl/>
        </w:rPr>
        <w:t xml:space="preserve"> </w:t>
      </w:r>
      <w:r w:rsidRPr="00E43267">
        <w:rPr>
          <w:rFonts w:hint="eastAsia"/>
          <w:spacing w:val="-3"/>
          <w:rtl/>
        </w:rPr>
        <w:t>ومعالجة</w:t>
      </w:r>
      <w:r w:rsidRPr="00E43267">
        <w:rPr>
          <w:spacing w:val="-3"/>
          <w:rtl/>
        </w:rPr>
        <w:t xml:space="preserve"> </w:t>
      </w:r>
      <w:r w:rsidRPr="00E43267">
        <w:rPr>
          <w:rFonts w:hint="eastAsia"/>
          <w:spacing w:val="-3"/>
          <w:rtl/>
        </w:rPr>
        <w:t>النصوص</w:t>
      </w:r>
      <w:r w:rsidRPr="00E43267">
        <w:rPr>
          <w:spacing w:val="-3"/>
          <w:rtl/>
        </w:rPr>
        <w:t xml:space="preserve"> </w:t>
      </w:r>
      <w:r w:rsidRPr="00E43267">
        <w:rPr>
          <w:rFonts w:hint="eastAsia"/>
          <w:spacing w:val="-3"/>
          <w:rtl/>
        </w:rPr>
        <w:t>منذ</w:t>
      </w:r>
      <w:r w:rsidRPr="00E43267">
        <w:rPr>
          <w:spacing w:val="-3"/>
          <w:rtl/>
        </w:rPr>
        <w:t xml:space="preserve"> </w:t>
      </w:r>
      <w:r w:rsidRPr="00E43267">
        <w:rPr>
          <w:rFonts w:hint="eastAsia"/>
          <w:spacing w:val="-3"/>
          <w:rtl/>
        </w:rPr>
        <w:t>عام</w:t>
      </w:r>
      <w:r w:rsidRPr="00E43267">
        <w:rPr>
          <w:spacing w:val="-3"/>
          <w:rtl/>
        </w:rPr>
        <w:t xml:space="preserve"> </w:t>
      </w:r>
      <w:r w:rsidRPr="00E43267">
        <w:rPr>
          <w:spacing w:val="-3"/>
          <w:cs/>
        </w:rPr>
        <w:t>‎‎</w:t>
      </w:r>
      <w:r w:rsidRPr="00E43267">
        <w:rPr>
          <w:spacing w:val="-3"/>
          <w:lang w:val="en-GB" w:bidi="ar-EG"/>
        </w:rPr>
        <w:t>2012</w:t>
      </w:r>
      <w:r w:rsidR="00E43267">
        <w:rPr>
          <w:rFonts w:hint="cs"/>
          <w:spacing w:val="-3"/>
          <w:rtl/>
          <w:lang w:val="en-GB" w:bidi="ar-EG"/>
        </w:rPr>
        <w:t>.</w:t>
      </w:r>
      <w:r w:rsidRPr="00E43267">
        <w:rPr>
          <w:spacing w:val="-3"/>
          <w:cs/>
        </w:rPr>
        <w:t>‎</w:t>
      </w:r>
    </w:p>
    <w:p w14:paraId="4CF80162" w14:textId="77777777" w:rsidR="00722A06" w:rsidRPr="001F7339" w:rsidRDefault="00722A06" w:rsidP="000617E6">
      <w:pPr>
        <w:pStyle w:val="Heading1"/>
        <w:rPr>
          <w:lang w:val="ar-SA" w:bidi="ar-EG"/>
        </w:rPr>
      </w:pPr>
      <w:bookmarkStart w:id="1" w:name="OLE_LINK1"/>
      <w:r w:rsidRPr="001F7339">
        <w:rPr>
          <w:rtl/>
        </w:rPr>
        <w:t>6</w:t>
      </w:r>
      <w:r w:rsidRPr="001F7339">
        <w:rPr>
          <w:rtl/>
        </w:rPr>
        <w:tab/>
        <w:t>المِنح</w:t>
      </w:r>
    </w:p>
    <w:p w14:paraId="6159E3BE" w14:textId="43E63ECB" w:rsidR="00722A06" w:rsidRPr="001F7339" w:rsidRDefault="00E43267" w:rsidP="001F7339">
      <w:pPr>
        <w:rPr>
          <w:lang w:val="ar-SA" w:bidi="ar-EG"/>
        </w:rPr>
      </w:pPr>
      <w:r>
        <w:t>1.6</w:t>
      </w:r>
      <w:r w:rsidR="00722A06" w:rsidRPr="001F7339">
        <w:rPr>
          <w:rtl/>
        </w:rPr>
        <w:tab/>
        <w:t xml:space="preserve">تبلغ النفقات المخططة المتعلقة بالمِنح مبلغ </w:t>
      </w:r>
      <w:r w:rsidR="002640FA">
        <w:t>1 818</w:t>
      </w:r>
      <w:r w:rsidR="00B6088A">
        <w:rPr>
          <w:lang w:bidi="ar-EG"/>
        </w:rPr>
        <w:t> 000</w:t>
      </w:r>
      <w:r w:rsidR="00722A06" w:rsidRPr="001F7339">
        <w:rPr>
          <w:rtl/>
        </w:rPr>
        <w:t xml:space="preserve"> فرنك سويسري في مشروع ميزانية الاتحاد لفترة السنتين </w:t>
      </w:r>
      <w:r w:rsidR="00107DD7">
        <w:t>2027-2026</w:t>
      </w:r>
      <w:r w:rsidR="00722A06" w:rsidRPr="001F7339">
        <w:rPr>
          <w:rtl/>
        </w:rPr>
        <w:t xml:space="preserve">، مقارنةً بمبلغ </w:t>
      </w:r>
      <w:r w:rsidR="002640FA">
        <w:t>2 361</w:t>
      </w:r>
      <w:r w:rsidR="00B6088A">
        <w:t> 000</w:t>
      </w:r>
      <w:r w:rsidR="00722A06" w:rsidRPr="001F7339">
        <w:rPr>
          <w:rtl/>
        </w:rPr>
        <w:t xml:space="preserve"> فرنك سويسري في ميزانية الاتحاد للفترة </w:t>
      </w:r>
      <w:r w:rsidR="002640FA">
        <w:t>2025-2024</w:t>
      </w:r>
      <w:r w:rsidR="00722A06" w:rsidRPr="001F7339">
        <w:rPr>
          <w:rtl/>
        </w:rPr>
        <w:t>، مع توزيع حسب القطاعات على النحو المبين في الجدول أدناه. ويعزى الانخفاض الكبير أساساً إلى استضافة قطاع التنمية للمؤتمر العالمي لتنمية الاتصالات في عام 2025 والذي تضمن اعتمادات كبيرة للمِنِح.</w:t>
      </w:r>
      <w:bookmarkEnd w:id="1"/>
    </w:p>
    <w:p w14:paraId="61628B26" w14:textId="45B8B4F8" w:rsidR="00722A06" w:rsidRPr="001F7339" w:rsidRDefault="00FC121B" w:rsidP="00FC121B">
      <w:pPr>
        <w:pStyle w:val="Figure"/>
        <w:bidi/>
        <w:rPr>
          <w:rFonts w:hint="default"/>
          <w:rtl/>
        </w:rPr>
      </w:pPr>
      <w:r>
        <w:rPr>
          <w:noProof/>
        </w:rPr>
        <w:drawing>
          <wp:inline distT="0" distB="0" distL="0" distR="0" wp14:anchorId="3D18119C" wp14:editId="3CF5D1E9">
            <wp:extent cx="3600000" cy="2052000"/>
            <wp:effectExtent l="0" t="0" r="635" b="5715"/>
            <wp:docPr id="13636645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052000"/>
                    </a:xfrm>
                    <a:prstGeom prst="rect">
                      <a:avLst/>
                    </a:prstGeom>
                    <a:noFill/>
                  </pic:spPr>
                </pic:pic>
              </a:graphicData>
            </a:graphic>
          </wp:inline>
        </w:drawing>
      </w:r>
    </w:p>
    <w:p w14:paraId="1C810EC4" w14:textId="77777777" w:rsidR="00722A06" w:rsidRPr="001F7339" w:rsidRDefault="00722A06" w:rsidP="000617E6">
      <w:pPr>
        <w:pStyle w:val="Heading1"/>
        <w:rPr>
          <w:lang w:val="ar-SA" w:bidi="ar-EG"/>
        </w:rPr>
      </w:pPr>
      <w:r w:rsidRPr="001F7339">
        <w:rPr>
          <w:rtl/>
        </w:rPr>
        <w:t>7</w:t>
      </w:r>
      <w:r w:rsidRPr="001F7339">
        <w:rPr>
          <w:rtl/>
        </w:rPr>
        <w:tab/>
        <w:t>الوظائف المدرجة في الميزانية</w:t>
      </w:r>
    </w:p>
    <w:p w14:paraId="4826F4D7" w14:textId="4ECBB2C5" w:rsidR="005850CA" w:rsidRDefault="002640FA" w:rsidP="001F7339">
      <w:pPr>
        <w:rPr>
          <w:rtl/>
        </w:rPr>
      </w:pPr>
      <w:r>
        <w:t>1.7</w:t>
      </w:r>
      <w:r w:rsidR="00722A06" w:rsidRPr="001F7339">
        <w:rPr>
          <w:rtl/>
        </w:rPr>
        <w:tab/>
        <w:t xml:space="preserve">‏أُدرجت اعتمادات لما مجموعه 747 وظيفة في الميزانية العادية للفترة </w:t>
      </w:r>
      <w:r w:rsidR="00107DD7">
        <w:t>2027-2026</w:t>
      </w:r>
      <w:r w:rsidR="00722A06" w:rsidRPr="001F7339">
        <w:rPr>
          <w:rtl/>
        </w:rPr>
        <w:t>، بانخفاض قدره 14 وظيفة مقارنة</w:t>
      </w:r>
      <w:r w:rsidR="00532C24">
        <w:rPr>
          <w:rFonts w:hint="cs"/>
          <w:rtl/>
        </w:rPr>
        <w:t>ً</w:t>
      </w:r>
      <w:r w:rsidR="00722A06" w:rsidRPr="001F7339">
        <w:rPr>
          <w:rtl/>
        </w:rPr>
        <w:t xml:space="preserve"> بعدد الوظائف المدرجة في الميزانية للفترة 2024-2025، وبما يتماشى مع الاتجاه التنازلي المستمر منذ عام 2006 على النحو المبين في الجدول أدناه.</w:t>
      </w:r>
    </w:p>
    <w:p w14:paraId="573D7969" w14:textId="3458A7B7" w:rsidR="00722A06" w:rsidRPr="001F7339" w:rsidRDefault="00722A06" w:rsidP="00FC121B">
      <w:pPr>
        <w:pStyle w:val="Figure"/>
        <w:bidi/>
        <w:rPr>
          <w:rFonts w:hint="default"/>
          <w:lang w:bidi="en-GB"/>
        </w:rPr>
      </w:pPr>
      <w:r w:rsidRPr="001F7339">
        <w:rPr>
          <w:noProof/>
          <w:lang w:bidi="ar-EG"/>
        </w:rPr>
        <w:drawing>
          <wp:inline distT="0" distB="0" distL="0" distR="0" wp14:anchorId="1FCED0E7" wp14:editId="38B3E55E">
            <wp:extent cx="5760000" cy="2800800"/>
            <wp:effectExtent l="0" t="0" r="0" b="0"/>
            <wp:docPr id="62410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8096" name=""/>
                    <pic:cNvPicPr/>
                  </pic:nvPicPr>
                  <pic:blipFill>
                    <a:blip r:embed="rId39"/>
                    <a:stretch>
                      <a:fillRect/>
                    </a:stretch>
                  </pic:blipFill>
                  <pic:spPr>
                    <a:xfrm>
                      <a:off x="0" y="0"/>
                      <a:ext cx="5760000" cy="2800800"/>
                    </a:xfrm>
                    <a:prstGeom prst="rect">
                      <a:avLst/>
                    </a:prstGeom>
                  </pic:spPr>
                </pic:pic>
              </a:graphicData>
            </a:graphic>
          </wp:inline>
        </w:drawing>
      </w:r>
    </w:p>
    <w:p w14:paraId="5CA4A7B3" w14:textId="7732E6EF" w:rsidR="00722A06" w:rsidRPr="004703EA" w:rsidRDefault="004703EA" w:rsidP="001F7339">
      <w:pPr>
        <w:rPr>
          <w:spacing w:val="-3"/>
          <w:lang w:val="ar-SA" w:bidi="ar-EG"/>
        </w:rPr>
      </w:pPr>
      <w:r w:rsidRPr="004703EA">
        <w:rPr>
          <w:spacing w:val="-3"/>
        </w:rPr>
        <w:t>2.7</w:t>
      </w:r>
      <w:r w:rsidR="00722A06" w:rsidRPr="004703EA">
        <w:rPr>
          <w:spacing w:val="-3"/>
          <w:rtl/>
        </w:rPr>
        <w:tab/>
        <w:t xml:space="preserve">يقدم الجدول أدناه توزيعاً للوظائف المدرجة في الميزانية حسب دوائر الأمانة العامة والمكاتب للفترة </w:t>
      </w:r>
      <w:r w:rsidR="00107DD7" w:rsidRPr="004703EA">
        <w:rPr>
          <w:spacing w:val="-3"/>
        </w:rPr>
        <w:t>2027-2026</w:t>
      </w:r>
      <w:r w:rsidR="00722A06" w:rsidRPr="004703EA">
        <w:rPr>
          <w:spacing w:val="-3"/>
          <w:rtl/>
        </w:rPr>
        <w:t>، مقابل الوظائف المدرجة في الميزانية خلال فترة السنتين 2024-2025.</w:t>
      </w:r>
    </w:p>
    <w:p w14:paraId="33C25BC4" w14:textId="30CF3D2A" w:rsidR="00722A06" w:rsidRPr="001F7339" w:rsidRDefault="00333948" w:rsidP="00333948">
      <w:pPr>
        <w:pStyle w:val="Figure"/>
        <w:bidi/>
        <w:rPr>
          <w:rFonts w:hint="default"/>
          <w:lang w:val="ar-SA" w:bidi="ar-EG"/>
        </w:rPr>
      </w:pPr>
      <w:r w:rsidRPr="00333948">
        <w:rPr>
          <w:rFonts w:hint="default"/>
          <w:noProof/>
        </w:rPr>
        <w:lastRenderedPageBreak/>
        <w:drawing>
          <wp:inline distT="0" distB="0" distL="0" distR="0" wp14:anchorId="77A4B14F" wp14:editId="56C402FF">
            <wp:extent cx="5760000" cy="4251600"/>
            <wp:effectExtent l="0" t="0" r="0" b="0"/>
            <wp:docPr id="12016913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4251600"/>
                    </a:xfrm>
                    <a:prstGeom prst="rect">
                      <a:avLst/>
                    </a:prstGeom>
                    <a:noFill/>
                  </pic:spPr>
                </pic:pic>
              </a:graphicData>
            </a:graphic>
          </wp:inline>
        </w:drawing>
      </w:r>
    </w:p>
    <w:p w14:paraId="312B8CB8" w14:textId="77777777" w:rsidR="00722A06" w:rsidRPr="001F7339" w:rsidRDefault="00722A06" w:rsidP="000617E6">
      <w:pPr>
        <w:pStyle w:val="Heading1"/>
        <w:rPr>
          <w:lang w:val="ar-SA" w:bidi="ar-EG"/>
        </w:rPr>
      </w:pPr>
      <w:r w:rsidRPr="001F7339">
        <w:rPr>
          <w:rtl/>
        </w:rPr>
        <w:t>8</w:t>
      </w:r>
      <w:r w:rsidRPr="001F7339">
        <w:rPr>
          <w:rtl/>
        </w:rPr>
        <w:tab/>
        <w:t>روابط ذات صلة بالخطة الاستراتيجية</w:t>
      </w:r>
    </w:p>
    <w:p w14:paraId="6EC2447C" w14:textId="2567BF5C" w:rsidR="00722A06" w:rsidRPr="001F7339" w:rsidRDefault="00F74691" w:rsidP="001F7339">
      <w:pPr>
        <w:rPr>
          <w:lang w:val="ar-SA" w:bidi="ar-EG"/>
        </w:rPr>
      </w:pPr>
      <w:r w:rsidRPr="00B6088A">
        <w:t>1.8</w:t>
      </w:r>
      <w:r w:rsidR="00722A06" w:rsidRPr="00B6088A">
        <w:rPr>
          <w:rtl/>
        </w:rPr>
        <w:tab/>
        <w:t>تحدد الخطة الاستراتيجية للاتحاد للفترة 2024-2027 (القرار 71، المراج</w:t>
      </w:r>
      <w:r w:rsidRPr="00B6088A">
        <w:rPr>
          <w:rFonts w:hint="cs"/>
          <w:rtl/>
        </w:rPr>
        <w:t>َ</w:t>
      </w:r>
      <w:r w:rsidR="00722A06" w:rsidRPr="00B6088A">
        <w:rPr>
          <w:rtl/>
        </w:rPr>
        <w:t xml:space="preserve">ع في بوخارست، 2022) غايتين استراتيجيتين وخمس أولويات </w:t>
      </w:r>
      <w:proofErr w:type="spellStart"/>
      <w:r w:rsidR="00722A06" w:rsidRPr="00B6088A">
        <w:rPr>
          <w:rtl/>
        </w:rPr>
        <w:t>مواضيعية</w:t>
      </w:r>
      <w:proofErr w:type="spellEnd"/>
      <w:r w:rsidR="00722A06" w:rsidRPr="00B6088A">
        <w:rPr>
          <w:rtl/>
        </w:rPr>
        <w:t xml:space="preserve"> لتحقيق المهمة الشاملة للاتحاد المتمثلة في تشجيع وتيسير وتعزيز النفاذ ميسور التكلفة والشامل إلى شبكات الاتصالات/تكنولوجيا المعلومات والاتصالات وخدماتها وتطبيقاتها، واستعمالها من أجل النمو والتنمية الاجتماعيين والاقتصاديين </w:t>
      </w:r>
      <w:proofErr w:type="spellStart"/>
      <w:r w:rsidR="00722A06" w:rsidRPr="00B6088A">
        <w:rPr>
          <w:rtl/>
        </w:rPr>
        <w:t>ال‍مستدامين</w:t>
      </w:r>
      <w:proofErr w:type="spellEnd"/>
      <w:r w:rsidR="00722A06" w:rsidRPr="00B6088A">
        <w:rPr>
          <w:rtl/>
        </w:rPr>
        <w:t xml:space="preserve"> بيئياً؛</w:t>
      </w:r>
    </w:p>
    <w:p w14:paraId="2DCA3A7D" w14:textId="00B5A372" w:rsidR="00722A06" w:rsidRPr="001F7339" w:rsidRDefault="00F74691" w:rsidP="001F7339">
      <w:pPr>
        <w:rPr>
          <w:lang w:val="ar-SA" w:bidi="ar-EG"/>
        </w:rPr>
      </w:pPr>
      <w:r>
        <w:t>2.8</w:t>
      </w:r>
      <w:r w:rsidR="00722A06" w:rsidRPr="001F7339">
        <w:rPr>
          <w:rtl/>
        </w:rPr>
        <w:tab/>
        <w:t xml:space="preserve">وفيما يلي الأولويات </w:t>
      </w:r>
      <w:proofErr w:type="spellStart"/>
      <w:r w:rsidR="00722A06" w:rsidRPr="001F7339">
        <w:rPr>
          <w:rtl/>
        </w:rPr>
        <w:t>المواضيعية</w:t>
      </w:r>
      <w:proofErr w:type="spellEnd"/>
      <w:r w:rsidR="00722A06" w:rsidRPr="001F7339">
        <w:rPr>
          <w:rtl/>
        </w:rPr>
        <w:t xml:space="preserve"> الخمس:</w:t>
      </w:r>
    </w:p>
    <w:p w14:paraId="4232A78D" w14:textId="12A36124" w:rsidR="00722A06" w:rsidRPr="001F7339" w:rsidRDefault="00BA64E0" w:rsidP="00BA64E0">
      <w:pPr>
        <w:pStyle w:val="enumlev10"/>
        <w:rPr>
          <w:lang w:val="ar-SA" w:bidi="ar-EG"/>
        </w:rPr>
      </w:pPr>
      <w:r>
        <w:rPr>
          <w:rtl/>
        </w:rPr>
        <w:t>-</w:t>
      </w:r>
      <w:r>
        <w:tab/>
      </w:r>
      <w:r w:rsidR="00722A06" w:rsidRPr="001F7339">
        <w:rPr>
          <w:rtl/>
        </w:rPr>
        <w:t>استخدام الطيف لخدمات الفضاء والأرض</w:t>
      </w:r>
    </w:p>
    <w:p w14:paraId="2C529368" w14:textId="591FED8C" w:rsidR="00722A06" w:rsidRPr="001F7339" w:rsidRDefault="00BA64E0" w:rsidP="00BA64E0">
      <w:pPr>
        <w:pStyle w:val="enumlev10"/>
        <w:rPr>
          <w:lang w:val="ar-SA" w:bidi="ar-EG"/>
        </w:rPr>
      </w:pPr>
      <w:r>
        <w:rPr>
          <w:rtl/>
        </w:rPr>
        <w:t>-</w:t>
      </w:r>
      <w:r>
        <w:tab/>
      </w:r>
      <w:r w:rsidR="00722A06" w:rsidRPr="001F7339">
        <w:rPr>
          <w:rtl/>
        </w:rPr>
        <w:t>موارد ترقيم الاتصالات الدولية</w:t>
      </w:r>
    </w:p>
    <w:p w14:paraId="76EDC5AF" w14:textId="38E90261" w:rsidR="00722A06" w:rsidRPr="001F7339" w:rsidRDefault="00BA64E0" w:rsidP="00BA64E0">
      <w:pPr>
        <w:pStyle w:val="enumlev10"/>
        <w:rPr>
          <w:lang w:val="ar-SA" w:bidi="ar-EG"/>
        </w:rPr>
      </w:pPr>
      <w:r>
        <w:rPr>
          <w:rtl/>
        </w:rPr>
        <w:t>-</w:t>
      </w:r>
      <w:r>
        <w:tab/>
      </w:r>
      <w:r w:rsidR="00722A06" w:rsidRPr="001F7339">
        <w:rPr>
          <w:rtl/>
        </w:rPr>
        <w:t>البنية التحتية والخدمات الشاملة والآمنة للاتصالات/تكنولوجيا المعلومات والاتصالات</w:t>
      </w:r>
    </w:p>
    <w:p w14:paraId="1AC5C0AA" w14:textId="5E0D1A01" w:rsidR="00722A06" w:rsidRPr="001F7339" w:rsidRDefault="00BA64E0" w:rsidP="00BA64E0">
      <w:pPr>
        <w:pStyle w:val="enumlev10"/>
        <w:rPr>
          <w:lang w:val="ar-SA" w:bidi="ar-EG"/>
        </w:rPr>
      </w:pPr>
      <w:r>
        <w:rPr>
          <w:rtl/>
        </w:rPr>
        <w:t>-</w:t>
      </w:r>
      <w:r>
        <w:tab/>
      </w:r>
      <w:r w:rsidR="00722A06" w:rsidRPr="001F7339">
        <w:rPr>
          <w:rtl/>
        </w:rPr>
        <w:t>التطبيقات الرقمية</w:t>
      </w:r>
    </w:p>
    <w:p w14:paraId="2F7CF76D" w14:textId="3750FEC6" w:rsidR="00722A06" w:rsidRPr="001F7339" w:rsidRDefault="00BA64E0" w:rsidP="00BA64E0">
      <w:pPr>
        <w:pStyle w:val="enumlev10"/>
        <w:rPr>
          <w:lang w:val="ar-SA" w:bidi="ar-EG"/>
        </w:rPr>
      </w:pPr>
      <w:r>
        <w:rPr>
          <w:rtl/>
        </w:rPr>
        <w:t>-</w:t>
      </w:r>
      <w:r>
        <w:tab/>
      </w:r>
      <w:r w:rsidR="00722A06" w:rsidRPr="001F7339">
        <w:rPr>
          <w:rtl/>
        </w:rPr>
        <w:t>البيئة التمكينية</w:t>
      </w:r>
      <w:r w:rsidR="004A02B8">
        <w:rPr>
          <w:rFonts w:hint="cs"/>
          <w:rtl/>
          <w:lang w:bidi="ar-EG"/>
        </w:rPr>
        <w:t>.</w:t>
      </w:r>
    </w:p>
    <w:p w14:paraId="682CD6E1" w14:textId="1A09E7AE" w:rsidR="00722A06" w:rsidRPr="001F7339" w:rsidRDefault="00B84464" w:rsidP="001F7339">
      <w:pPr>
        <w:rPr>
          <w:lang w:val="ar-SA" w:bidi="ar-EG"/>
        </w:rPr>
      </w:pPr>
      <w:r>
        <w:t>3.8</w:t>
      </w:r>
      <w:r w:rsidR="00722A06" w:rsidRPr="001F7339">
        <w:rPr>
          <w:rtl/>
        </w:rPr>
        <w:tab/>
        <w:t xml:space="preserve">يتضمن مشروع ميزانية الاتحاد لفترة السنتين </w:t>
      </w:r>
      <w:r w:rsidR="00107DD7">
        <w:t>2027-2026</w:t>
      </w:r>
      <w:r w:rsidR="00722A06" w:rsidRPr="001F7339">
        <w:rPr>
          <w:rtl/>
        </w:rPr>
        <w:t xml:space="preserve"> اعتمادات لتنفيذ الغايتين الاستراتيجيتين والأولويات </w:t>
      </w:r>
      <w:proofErr w:type="spellStart"/>
      <w:r w:rsidR="00722A06" w:rsidRPr="001F7339">
        <w:rPr>
          <w:rtl/>
        </w:rPr>
        <w:t>المواضيعية</w:t>
      </w:r>
      <w:proofErr w:type="spellEnd"/>
      <w:r w:rsidR="00722A06" w:rsidRPr="001F7339">
        <w:rPr>
          <w:rtl/>
        </w:rPr>
        <w:t xml:space="preserve"> الخمس والنواتج البالغ عددها 43 ناتجاً للخطة الاستراتيجية</w:t>
      </w:r>
      <w:r w:rsidR="00AF3C2F">
        <w:rPr>
          <w:rFonts w:hint="cs"/>
          <w:rtl/>
        </w:rPr>
        <w:t>،</w:t>
      </w:r>
      <w:r w:rsidR="00722A06" w:rsidRPr="001F7339">
        <w:rPr>
          <w:rtl/>
        </w:rPr>
        <w:t>‏ ويُتوخى في مشروع الميزانية أيضاً تخصيص مستوى مناسب من الموارد للخدمات الإدارية وخدمات الدعم في كل من ‏المكاتب والأمانة العامة.‏</w:t>
      </w:r>
    </w:p>
    <w:p w14:paraId="1B3C5E1E" w14:textId="23953E01" w:rsidR="00722A06" w:rsidRPr="001F7339" w:rsidRDefault="00B84464" w:rsidP="001F7339">
      <w:pPr>
        <w:rPr>
          <w:lang w:val="ar-SA" w:bidi="ar-EG"/>
        </w:rPr>
      </w:pPr>
      <w:r>
        <w:t>4.8</w:t>
      </w:r>
      <w:r w:rsidR="00722A06" w:rsidRPr="001F7339">
        <w:rPr>
          <w:rtl/>
        </w:rPr>
        <w:tab/>
        <w:t xml:space="preserve">يعرض الجدول والمخطط التاليان توزيع الميزانية حسب الأولويات </w:t>
      </w:r>
      <w:proofErr w:type="spellStart"/>
      <w:r w:rsidR="00722A06" w:rsidRPr="001F7339">
        <w:rPr>
          <w:rtl/>
        </w:rPr>
        <w:t>المواضيعية</w:t>
      </w:r>
      <w:proofErr w:type="spellEnd"/>
      <w:r w:rsidR="00722A06" w:rsidRPr="001F7339">
        <w:rPr>
          <w:rtl/>
        </w:rPr>
        <w:t xml:space="preserve"> للفترة </w:t>
      </w:r>
      <w:r w:rsidR="00107DD7">
        <w:t>2027-2026</w:t>
      </w:r>
      <w:r w:rsidR="00722A06" w:rsidRPr="001F7339">
        <w:rPr>
          <w:rtl/>
        </w:rPr>
        <w:t xml:space="preserve">. ويفرد بالتفصيل الاستخدام الفعلي للموارد بحسب الأولويات </w:t>
      </w:r>
      <w:proofErr w:type="spellStart"/>
      <w:r w:rsidR="00722A06" w:rsidRPr="001F7339">
        <w:rPr>
          <w:rtl/>
        </w:rPr>
        <w:t>المواضيعية</w:t>
      </w:r>
      <w:proofErr w:type="spellEnd"/>
      <w:r w:rsidR="00722A06" w:rsidRPr="001F7339">
        <w:rPr>
          <w:rtl/>
        </w:rPr>
        <w:t xml:space="preserve">، بعد تخصيص الخدمات الإدارية والمركزية فضلاً عن ‏خدمات دعم المكاتب للأولويات </w:t>
      </w:r>
      <w:proofErr w:type="spellStart"/>
      <w:r w:rsidR="00722A06" w:rsidRPr="001F7339">
        <w:rPr>
          <w:rtl/>
        </w:rPr>
        <w:t>المواضيعية</w:t>
      </w:r>
      <w:proofErr w:type="spellEnd"/>
      <w:r w:rsidR="00722A06" w:rsidRPr="001F7339">
        <w:rPr>
          <w:rtl/>
        </w:rPr>
        <w:t xml:space="preserve"> والنواتج ذات الصلة.‏</w:t>
      </w:r>
    </w:p>
    <w:p w14:paraId="108AFF8B" w14:textId="33D47808" w:rsidR="00333948" w:rsidRDefault="00333948" w:rsidP="00333948">
      <w:pPr>
        <w:pStyle w:val="Figure"/>
        <w:bidi/>
        <w:rPr>
          <w:rFonts w:hint="default"/>
          <w:lang w:bidi="ar-SY"/>
        </w:rPr>
      </w:pPr>
      <w:r>
        <w:rPr>
          <w:noProof/>
          <w:lang w:bidi="ar-SY"/>
        </w:rPr>
        <w:lastRenderedPageBreak/>
        <w:drawing>
          <wp:inline distT="0" distB="0" distL="0" distR="0" wp14:anchorId="4ED7ACB8" wp14:editId="065A7195">
            <wp:extent cx="5760000" cy="1879200"/>
            <wp:effectExtent l="0" t="0" r="0" b="0"/>
            <wp:docPr id="5001272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1879200"/>
                    </a:xfrm>
                    <a:prstGeom prst="rect">
                      <a:avLst/>
                    </a:prstGeom>
                    <a:noFill/>
                  </pic:spPr>
                </pic:pic>
              </a:graphicData>
            </a:graphic>
          </wp:inline>
        </w:drawing>
      </w:r>
    </w:p>
    <w:p w14:paraId="719C9303" w14:textId="73E84385" w:rsidR="00722A06" w:rsidRPr="001F7339" w:rsidRDefault="00AF3C2F" w:rsidP="00333948">
      <w:pPr>
        <w:pStyle w:val="Figure"/>
        <w:bidi/>
        <w:rPr>
          <w:rFonts w:hint="default"/>
          <w:lang w:bidi="ar-EG"/>
        </w:rPr>
      </w:pPr>
      <w:r>
        <w:rPr>
          <w:rFonts w:hint="default"/>
          <w:noProof/>
          <w:lang w:bidi="ar-EG"/>
        </w:rPr>
        <w:drawing>
          <wp:inline distT="0" distB="0" distL="0" distR="0" wp14:anchorId="3FBA0B86" wp14:editId="319F5239">
            <wp:extent cx="5760000" cy="2847600"/>
            <wp:effectExtent l="0" t="0" r="0" b="0"/>
            <wp:docPr id="355445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00" cy="2847600"/>
                    </a:xfrm>
                    <a:prstGeom prst="rect">
                      <a:avLst/>
                    </a:prstGeom>
                    <a:noFill/>
                  </pic:spPr>
                </pic:pic>
              </a:graphicData>
            </a:graphic>
          </wp:inline>
        </w:drawing>
      </w:r>
    </w:p>
    <w:p w14:paraId="64F0FEAE" w14:textId="20867678" w:rsidR="00722A06" w:rsidRPr="001F7339" w:rsidRDefault="00B84464" w:rsidP="001F7339">
      <w:pPr>
        <w:rPr>
          <w:lang w:val="ar-SA" w:bidi="ar-EG"/>
        </w:rPr>
      </w:pPr>
      <w:r>
        <w:t>5.8</w:t>
      </w:r>
      <w:r w:rsidR="00722A06" w:rsidRPr="001F7339">
        <w:rPr>
          <w:rtl/>
        </w:rPr>
        <w:tab/>
        <w:t xml:space="preserve">يتضمن مشروع ميزانية الاتحاد لفترة السنتين </w:t>
      </w:r>
      <w:r w:rsidR="00107DD7">
        <w:t>2027-2026</w:t>
      </w:r>
      <w:r w:rsidR="00722A06" w:rsidRPr="001F7339">
        <w:rPr>
          <w:rtl/>
        </w:rPr>
        <w:t xml:space="preserve"> اعتمادات لتنفيذ النواتج البالغ عددها 43 ناتجاً مصنفاً على النحو التالي:</w:t>
      </w:r>
    </w:p>
    <w:p w14:paraId="0C67578B" w14:textId="3665A8AD" w:rsidR="00722A06" w:rsidRPr="001F7339" w:rsidRDefault="00A369C4" w:rsidP="00A369C4">
      <w:pPr>
        <w:pStyle w:val="enumlev10"/>
        <w:rPr>
          <w:lang w:val="ar-SA" w:bidi="ar-EG"/>
        </w:rPr>
      </w:pPr>
      <w:r>
        <w:rPr>
          <w:rtl/>
        </w:rPr>
        <w:t>-</w:t>
      </w:r>
      <w:r>
        <w:tab/>
      </w:r>
      <w:r w:rsidR="00722A06" w:rsidRPr="001F7339">
        <w:rPr>
          <w:rtl/>
        </w:rPr>
        <w:t>9 نواتج مشتركة بين القطاعات</w:t>
      </w:r>
    </w:p>
    <w:p w14:paraId="73962C69" w14:textId="50F565A7" w:rsidR="00722A06" w:rsidRPr="001F7339" w:rsidRDefault="00A369C4" w:rsidP="00A369C4">
      <w:pPr>
        <w:pStyle w:val="enumlev10"/>
        <w:rPr>
          <w:lang w:val="ar-SA" w:bidi="ar-EG"/>
        </w:rPr>
      </w:pPr>
      <w:r>
        <w:rPr>
          <w:rtl/>
        </w:rPr>
        <w:t>-</w:t>
      </w:r>
      <w:r>
        <w:tab/>
      </w:r>
      <w:r w:rsidR="00722A06" w:rsidRPr="001F7339">
        <w:rPr>
          <w:rtl/>
        </w:rPr>
        <w:t>12 ناتجاً لقطاع الاتصالات الراديوية</w:t>
      </w:r>
    </w:p>
    <w:p w14:paraId="6332ABD5" w14:textId="71499C85" w:rsidR="00722A06" w:rsidRPr="001F7339" w:rsidRDefault="00A369C4" w:rsidP="00A369C4">
      <w:pPr>
        <w:pStyle w:val="enumlev10"/>
        <w:rPr>
          <w:lang w:val="ar-SA" w:bidi="ar-EG"/>
        </w:rPr>
      </w:pPr>
      <w:r>
        <w:rPr>
          <w:rtl/>
        </w:rPr>
        <w:t>-</w:t>
      </w:r>
      <w:r>
        <w:tab/>
      </w:r>
      <w:r w:rsidR="00722A06" w:rsidRPr="001F7339">
        <w:rPr>
          <w:rtl/>
        </w:rPr>
        <w:t>9 نواتج لقطاع تقييس الاتصالات</w:t>
      </w:r>
    </w:p>
    <w:p w14:paraId="29F6F59A" w14:textId="300686E4" w:rsidR="00722A06" w:rsidRPr="001F7339" w:rsidRDefault="00A369C4" w:rsidP="00A369C4">
      <w:pPr>
        <w:pStyle w:val="enumlev10"/>
        <w:rPr>
          <w:lang w:val="ar-SA" w:bidi="ar-EG"/>
        </w:rPr>
      </w:pPr>
      <w:r>
        <w:rPr>
          <w:rtl/>
        </w:rPr>
        <w:t>-</w:t>
      </w:r>
      <w:r>
        <w:tab/>
      </w:r>
      <w:r w:rsidR="00722A06" w:rsidRPr="001F7339">
        <w:rPr>
          <w:rtl/>
        </w:rPr>
        <w:t>13 ناتجاً لقطاع تنمية الاتصالات.</w:t>
      </w:r>
    </w:p>
    <w:p w14:paraId="0238EC04" w14:textId="43B3DDE1" w:rsidR="00722A06" w:rsidRPr="001F7339" w:rsidRDefault="00A369C4" w:rsidP="001F7339">
      <w:pPr>
        <w:rPr>
          <w:lang w:val="ar-SA" w:bidi="ar-EG"/>
        </w:rPr>
      </w:pPr>
      <w:r>
        <w:t>5.8</w:t>
      </w:r>
      <w:r w:rsidR="00722A06" w:rsidRPr="001F7339">
        <w:rPr>
          <w:rtl/>
        </w:rPr>
        <w:tab/>
        <w:t xml:space="preserve">يستند توزيع التكاليف الكاملة لكل مكون من مكونات الميزانية القائمة على النتائج </w:t>
      </w:r>
      <w:r w:rsidR="00722A06" w:rsidRPr="001F7339">
        <w:rPr>
          <w:lang w:bidi="ar-EG"/>
        </w:rPr>
        <w:t>(RBB</w:t>
      </w:r>
      <w:r w:rsidR="00722A06" w:rsidRPr="001F7339">
        <w:t>)</w:t>
      </w:r>
      <w:r w:rsidR="00722A06" w:rsidRPr="001F7339">
        <w:rPr>
          <w:rtl/>
        </w:rPr>
        <w:t xml:space="preserve">، أي الأولويات </w:t>
      </w:r>
      <w:proofErr w:type="spellStart"/>
      <w:r w:rsidR="00722A06" w:rsidRPr="001F7339">
        <w:rPr>
          <w:rtl/>
        </w:rPr>
        <w:t>المواضيعية</w:t>
      </w:r>
      <w:proofErr w:type="spellEnd"/>
      <w:r w:rsidR="00722A06" w:rsidRPr="001F7339">
        <w:rPr>
          <w:rtl/>
        </w:rPr>
        <w:t xml:space="preserve"> والنواتج، إلى منهجية توزيع التكاليف الوارد وصفها في مقرر مجلس الاتحاد رقم 535 (الصارة في دورة المجلس لعام 2005، والمعدّل آخر مرة في دورة المجلس لعام 2014).‏</w:t>
      </w:r>
    </w:p>
    <w:p w14:paraId="5CC30B7A" w14:textId="040226E8" w:rsidR="00722A06" w:rsidRPr="001F7339" w:rsidRDefault="00A369C4" w:rsidP="00517287">
      <w:pPr>
        <w:keepNext/>
        <w:rPr>
          <w:lang w:bidi="en-GB"/>
        </w:rPr>
      </w:pPr>
      <w:r>
        <w:lastRenderedPageBreak/>
        <w:t>6.8</w:t>
      </w:r>
      <w:r w:rsidR="00722A06" w:rsidRPr="001F7339">
        <w:rPr>
          <w:rtl/>
        </w:rPr>
        <w:tab/>
        <w:t>فيما يلي هيكل التكلفة الكامل:</w:t>
      </w:r>
    </w:p>
    <w:p w14:paraId="0A57126A" w14:textId="277F58B4" w:rsidR="00722A06" w:rsidRPr="001F7339" w:rsidRDefault="00D73A9A" w:rsidP="00333948">
      <w:pPr>
        <w:pStyle w:val="Figure"/>
        <w:bidi/>
        <w:rPr>
          <w:rFonts w:hint="default"/>
          <w:lang w:bidi="ar-EG"/>
        </w:rPr>
      </w:pPr>
      <w:r>
        <w:rPr>
          <w:rFonts w:hint="default"/>
          <w:noProof/>
          <w:lang w:bidi="ar-EG"/>
        </w:rPr>
        <w:drawing>
          <wp:inline distT="0" distB="0" distL="0" distR="0" wp14:anchorId="45ABDCD7" wp14:editId="5B7AB37A">
            <wp:extent cx="3600000" cy="2761200"/>
            <wp:effectExtent l="0" t="0" r="635" b="1270"/>
            <wp:docPr id="107616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761200"/>
                    </a:xfrm>
                    <a:prstGeom prst="rect">
                      <a:avLst/>
                    </a:prstGeom>
                    <a:noFill/>
                  </pic:spPr>
                </pic:pic>
              </a:graphicData>
            </a:graphic>
          </wp:inline>
        </w:drawing>
      </w:r>
    </w:p>
    <w:p w14:paraId="496A1305" w14:textId="52C493E0" w:rsidR="00722A06" w:rsidRPr="001F7339" w:rsidRDefault="00447EC3" w:rsidP="00F03DA6">
      <w:pPr>
        <w:keepNext/>
        <w:rPr>
          <w:lang w:val="ar-SA" w:bidi="ar-EG"/>
        </w:rPr>
      </w:pPr>
      <w:r>
        <w:lastRenderedPageBreak/>
        <w:t>7.8</w:t>
      </w:r>
      <w:r w:rsidR="00722A06" w:rsidRPr="001F7339">
        <w:rPr>
          <w:rtl/>
        </w:rPr>
        <w:tab/>
        <w:t>‏يعرض الجدول أدناه توزيع التكاليف حسب النواتج للفترة ‎</w:t>
      </w:r>
      <w:r w:rsidR="00722A06" w:rsidRPr="001F7339">
        <w:t>2027-2026</w:t>
      </w:r>
      <w:r w:rsidR="00722A06" w:rsidRPr="001F7339">
        <w:rPr>
          <w:rtl/>
        </w:rPr>
        <w:t>.</w:t>
      </w:r>
    </w:p>
    <w:p w14:paraId="5DAFED85" w14:textId="2503A5B9" w:rsidR="00333948" w:rsidRDefault="00333948" w:rsidP="00333948">
      <w:pPr>
        <w:pStyle w:val="Figure"/>
        <w:bidi/>
        <w:rPr>
          <w:rFonts w:hint="default"/>
        </w:rPr>
      </w:pPr>
      <w:r>
        <w:rPr>
          <w:rFonts w:hint="default"/>
          <w:noProof/>
        </w:rPr>
        <w:drawing>
          <wp:inline distT="0" distB="0" distL="0" distR="0" wp14:anchorId="725CA3B3" wp14:editId="3EE5B40E">
            <wp:extent cx="5760000" cy="8208000"/>
            <wp:effectExtent l="0" t="0" r="0" b="3175"/>
            <wp:docPr id="593193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8208000"/>
                    </a:xfrm>
                    <a:prstGeom prst="rect">
                      <a:avLst/>
                    </a:prstGeom>
                    <a:noFill/>
                  </pic:spPr>
                </pic:pic>
              </a:graphicData>
            </a:graphic>
          </wp:inline>
        </w:drawing>
      </w:r>
    </w:p>
    <w:p w14:paraId="5C7A6DFF" w14:textId="0D75789A" w:rsidR="00722A06" w:rsidRPr="00070143" w:rsidRDefault="00070143" w:rsidP="00F03DA6">
      <w:pPr>
        <w:keepNext/>
        <w:rPr>
          <w:spacing w:val="-5"/>
          <w:lang w:bidi="en-GB"/>
        </w:rPr>
      </w:pPr>
      <w:r w:rsidRPr="00070143">
        <w:rPr>
          <w:spacing w:val="-5"/>
        </w:rPr>
        <w:lastRenderedPageBreak/>
        <w:t>8.8</w:t>
      </w:r>
      <w:r w:rsidR="00722A06" w:rsidRPr="00070143">
        <w:rPr>
          <w:spacing w:val="-5"/>
          <w:rtl/>
        </w:rPr>
        <w:tab/>
        <w:t xml:space="preserve">يعرض المخطط التالي توزيع موارد الميزانية على أساس النتائج للاتحاد حسب مكونات التكلفة للفترة </w:t>
      </w:r>
      <w:r w:rsidR="00107DD7" w:rsidRPr="00070143">
        <w:rPr>
          <w:spacing w:val="-5"/>
        </w:rPr>
        <w:t>2027-2026</w:t>
      </w:r>
      <w:r w:rsidR="00722A06" w:rsidRPr="00070143">
        <w:rPr>
          <w:spacing w:val="-5"/>
          <w:rtl/>
        </w:rPr>
        <w:t>.‏</w:t>
      </w:r>
    </w:p>
    <w:p w14:paraId="5FDAAECB" w14:textId="7171F615" w:rsidR="00722A06" w:rsidRPr="001F7339" w:rsidRDefault="00333948" w:rsidP="00333948">
      <w:pPr>
        <w:pStyle w:val="Figure"/>
        <w:bidi/>
        <w:rPr>
          <w:rFonts w:hint="default"/>
          <w:lang w:bidi="en-GB"/>
        </w:rPr>
      </w:pPr>
      <w:r>
        <w:rPr>
          <w:rFonts w:hint="default"/>
          <w:noProof/>
        </w:rPr>
        <w:drawing>
          <wp:inline distT="0" distB="0" distL="0" distR="0" wp14:anchorId="04B0AB21" wp14:editId="3BFA7F56">
            <wp:extent cx="5400000" cy="3722400"/>
            <wp:effectExtent l="0" t="0" r="0" b="0"/>
            <wp:docPr id="737059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722400"/>
                    </a:xfrm>
                    <a:prstGeom prst="rect">
                      <a:avLst/>
                    </a:prstGeom>
                    <a:noFill/>
                  </pic:spPr>
                </pic:pic>
              </a:graphicData>
            </a:graphic>
          </wp:inline>
        </w:drawing>
      </w:r>
    </w:p>
    <w:p w14:paraId="17AE192C" w14:textId="77777777" w:rsidR="00722A06" w:rsidRPr="001F7339" w:rsidRDefault="00722A06" w:rsidP="00344870">
      <w:pPr>
        <w:rPr>
          <w:lang w:bidi="ar-EG"/>
        </w:rPr>
      </w:pPr>
      <w:r w:rsidRPr="001F7339">
        <w:rPr>
          <w:lang w:bidi="ar-EG"/>
        </w:rPr>
        <w:br w:type="page"/>
      </w:r>
    </w:p>
    <w:p w14:paraId="0D086748" w14:textId="77777777" w:rsidR="00722A06" w:rsidRPr="00E07BD0" w:rsidRDefault="00722A06" w:rsidP="00E07BD0">
      <w:pPr>
        <w:pStyle w:val="AnnexNo0"/>
        <w:rPr>
          <w:lang w:val="ar-SA" w:bidi="ar-EG"/>
        </w:rPr>
      </w:pPr>
      <w:bookmarkStart w:id="2" w:name="Annex_A"/>
      <w:r w:rsidRPr="00E07BD0">
        <w:rPr>
          <w:rtl/>
        </w:rPr>
        <w:lastRenderedPageBreak/>
        <w:t xml:space="preserve">الملحق </w:t>
      </w:r>
      <w:r w:rsidRPr="00E07BD0">
        <w:rPr>
          <w:lang w:bidi="ar-EG"/>
        </w:rPr>
        <w:t>A</w:t>
      </w:r>
      <w:bookmarkEnd w:id="2"/>
    </w:p>
    <w:p w14:paraId="166EF4C6" w14:textId="77777777" w:rsidR="00722A06" w:rsidRPr="001F7339" w:rsidRDefault="00722A06" w:rsidP="00344870">
      <w:pPr>
        <w:pStyle w:val="ResNo"/>
        <w:rPr>
          <w:lang w:val="ar-SA" w:bidi="ar-EG"/>
        </w:rPr>
      </w:pPr>
      <w:r w:rsidRPr="001F7339">
        <w:rPr>
          <w:rtl/>
        </w:rPr>
        <w:t>مشـروع القـرار [...]</w:t>
      </w:r>
    </w:p>
    <w:p w14:paraId="39B10B93" w14:textId="510717F1" w:rsidR="00722A06" w:rsidRPr="001F7339" w:rsidRDefault="00722A06" w:rsidP="00344870">
      <w:pPr>
        <w:pStyle w:val="Restitle"/>
        <w:rPr>
          <w:lang w:val="ar-SA" w:bidi="ar-EG"/>
        </w:rPr>
      </w:pPr>
      <w:r w:rsidRPr="001F7339">
        <w:rPr>
          <w:rtl/>
        </w:rPr>
        <w:t xml:space="preserve">ميزانية الاتحاد لفترة السنتين </w:t>
      </w:r>
      <w:r w:rsidR="00107DD7">
        <w:rPr>
          <w:lang w:bidi="ar-SA"/>
        </w:rPr>
        <w:t>2027-2026</w:t>
      </w:r>
    </w:p>
    <w:p w14:paraId="5815D05B" w14:textId="77777777" w:rsidR="00722A06" w:rsidRPr="001F7339" w:rsidRDefault="00722A06" w:rsidP="00344870">
      <w:pPr>
        <w:pStyle w:val="Normalaftertitle"/>
        <w:rPr>
          <w:lang w:val="ar-SA" w:bidi="ar-EG"/>
        </w:rPr>
      </w:pPr>
      <w:r w:rsidRPr="001F7339">
        <w:rPr>
          <w:rtl/>
        </w:rPr>
        <w:t>إن مجلس الاتحاد الدولي للاتصالات،</w:t>
      </w:r>
    </w:p>
    <w:p w14:paraId="57E7179C" w14:textId="77777777" w:rsidR="00722A06" w:rsidRPr="00344870" w:rsidRDefault="00722A06" w:rsidP="00344870">
      <w:pPr>
        <w:pStyle w:val="call0"/>
        <w:bidi/>
        <w:rPr>
          <w:rFonts w:hint="default"/>
        </w:rPr>
      </w:pPr>
      <w:r w:rsidRPr="00344870">
        <w:rPr>
          <w:rtl/>
        </w:rPr>
        <w:t>بعد الاطلاع على</w:t>
      </w:r>
    </w:p>
    <w:p w14:paraId="5781B2BB" w14:textId="77777777" w:rsidR="00722A06" w:rsidRPr="001F7339" w:rsidRDefault="00722A06" w:rsidP="001F7339">
      <w:pPr>
        <w:rPr>
          <w:lang w:val="ar-SA" w:bidi="ar-EG"/>
        </w:rPr>
      </w:pPr>
      <w:r w:rsidRPr="001F7339">
        <w:rPr>
          <w:rtl/>
        </w:rPr>
        <w:t>أحكام اتفاقية الاتحاد الدولي للاتصالات،</w:t>
      </w:r>
    </w:p>
    <w:p w14:paraId="25B2A1D4" w14:textId="77777777" w:rsidR="00722A06" w:rsidRPr="00344870" w:rsidRDefault="00722A06" w:rsidP="00344870">
      <w:pPr>
        <w:pStyle w:val="call0"/>
        <w:bidi/>
        <w:rPr>
          <w:rFonts w:hint="default"/>
        </w:rPr>
      </w:pPr>
      <w:r w:rsidRPr="001F7339">
        <w:rPr>
          <w:rtl/>
        </w:rPr>
        <w:t>وإذ يأخذ بعين الاعتبار</w:t>
      </w:r>
    </w:p>
    <w:p w14:paraId="50F6F916" w14:textId="4EDD8138" w:rsidR="00722A06" w:rsidRPr="00AF3C2F" w:rsidRDefault="00722A06" w:rsidP="001F7339">
      <w:pPr>
        <w:rPr>
          <w:spacing w:val="-1"/>
          <w:lang w:val="ar-SA" w:bidi="ar-EG"/>
        </w:rPr>
      </w:pPr>
      <w:r w:rsidRPr="00AF3C2F">
        <w:rPr>
          <w:spacing w:val="-1"/>
          <w:rtl/>
        </w:rPr>
        <w:t>أ )</w:t>
      </w:r>
      <w:r w:rsidRPr="00AF3C2F">
        <w:rPr>
          <w:spacing w:val="-1"/>
          <w:rtl/>
        </w:rPr>
        <w:tab/>
        <w:t xml:space="preserve">أحكام المقرر 5 (المراجَع في بوخارست، 2022) لمؤتمر المندوبين المفوضين بشأن إيرادات الاتحاد ونفقاته للفترة </w:t>
      </w:r>
      <w:r w:rsidR="00AF3C2F" w:rsidRPr="00AF3C2F">
        <w:rPr>
          <w:spacing w:val="-1"/>
        </w:rPr>
        <w:t>2027-2024</w:t>
      </w:r>
      <w:r w:rsidRPr="00AF3C2F">
        <w:rPr>
          <w:spacing w:val="-1"/>
          <w:rtl/>
        </w:rPr>
        <w:t xml:space="preserve">، الذي حدد وحدة المساهمة للدول الأعضاء للسنتين </w:t>
      </w:r>
      <w:r w:rsidR="00344870" w:rsidRPr="00AF3C2F">
        <w:rPr>
          <w:spacing w:val="-1"/>
        </w:rPr>
        <w:t>2026-2025</w:t>
      </w:r>
      <w:r w:rsidRPr="00AF3C2F">
        <w:rPr>
          <w:spacing w:val="-1"/>
          <w:rtl/>
        </w:rPr>
        <w:t xml:space="preserve"> بمبلغ </w:t>
      </w:r>
      <w:r w:rsidR="00344870" w:rsidRPr="00AF3C2F">
        <w:rPr>
          <w:spacing w:val="-1"/>
        </w:rPr>
        <w:t>318 000</w:t>
      </w:r>
      <w:r w:rsidRPr="00AF3C2F">
        <w:rPr>
          <w:spacing w:val="-1"/>
          <w:rtl/>
        </w:rPr>
        <w:t xml:space="preserve"> فرنك سويسري؛</w:t>
      </w:r>
    </w:p>
    <w:p w14:paraId="2DBEAE3D" w14:textId="77777777" w:rsidR="00722A06" w:rsidRPr="001F7339" w:rsidRDefault="00722A06" w:rsidP="001F7339">
      <w:pPr>
        <w:rPr>
          <w:lang w:val="ar-SA" w:bidi="ar-EG"/>
        </w:rPr>
      </w:pPr>
      <w:r w:rsidRPr="001F7339">
        <w:rPr>
          <w:rtl/>
        </w:rPr>
        <w:t>ب)</w:t>
      </w:r>
      <w:r w:rsidRPr="001F7339">
        <w:rPr>
          <w:rtl/>
        </w:rPr>
        <w:tab/>
        <w:t>أحكام المادة 11 من اللوائح المالية والقواعد المالية للاتحاد فيما يتعلق بعمليات تحويل الاعتمادات،</w:t>
      </w:r>
    </w:p>
    <w:p w14:paraId="072F2D8F" w14:textId="77777777" w:rsidR="00722A06" w:rsidRPr="00344870" w:rsidRDefault="00722A06" w:rsidP="00344870">
      <w:pPr>
        <w:pStyle w:val="call0"/>
        <w:bidi/>
        <w:rPr>
          <w:rFonts w:hint="default"/>
        </w:rPr>
      </w:pPr>
      <w:r w:rsidRPr="001F7339">
        <w:rPr>
          <w:rtl/>
        </w:rPr>
        <w:t>يقرر الموافقة</w:t>
      </w:r>
    </w:p>
    <w:p w14:paraId="37F380CB" w14:textId="6F1E8007" w:rsidR="00722A06" w:rsidRDefault="00722A06" w:rsidP="001F7339">
      <w:pPr>
        <w:rPr>
          <w:spacing w:val="-3"/>
        </w:rPr>
      </w:pPr>
      <w:r w:rsidRPr="00344870">
        <w:rPr>
          <w:spacing w:val="-3"/>
          <w:rtl/>
        </w:rPr>
        <w:t>على ميزانية الاتحاد لفترة السنتين ‏‎</w:t>
      </w:r>
      <w:r w:rsidR="00107DD7" w:rsidRPr="00344870">
        <w:rPr>
          <w:spacing w:val="-3"/>
        </w:rPr>
        <w:t>2027-2026</w:t>
      </w:r>
      <w:r w:rsidRPr="00344870">
        <w:rPr>
          <w:spacing w:val="-3"/>
          <w:rtl/>
        </w:rPr>
        <w:t xml:space="preserve"> بمبلغ ‏‎</w:t>
      </w:r>
      <w:r w:rsidR="00037C06">
        <w:rPr>
          <w:spacing w:val="-3"/>
        </w:rPr>
        <w:t>163 126 000</w:t>
      </w:r>
      <w:r w:rsidRPr="00344870">
        <w:rPr>
          <w:spacing w:val="-3"/>
          <w:rtl/>
        </w:rPr>
        <w:t xml:space="preserve"> ‏ فرنك سويسري لعام ‏‎2026، وبمبلغ</w:t>
      </w:r>
      <w:r w:rsidR="00037C06">
        <w:rPr>
          <w:rFonts w:hint="eastAsia"/>
          <w:spacing w:val="-3"/>
          <w:rtl/>
          <w:lang w:bidi="ar-EG"/>
        </w:rPr>
        <w:t> </w:t>
      </w:r>
      <w:r w:rsidR="00037C06">
        <w:rPr>
          <w:spacing w:val="-3"/>
          <w:lang w:bidi="ar-EG"/>
        </w:rPr>
        <w:t>170 112 000</w:t>
      </w:r>
      <w:r w:rsidR="00037C06">
        <w:rPr>
          <w:rFonts w:hint="cs"/>
          <w:spacing w:val="-3"/>
          <w:rtl/>
          <w:lang w:bidi="ar-EG"/>
        </w:rPr>
        <w:t xml:space="preserve"> </w:t>
      </w:r>
      <w:r w:rsidRPr="00344870">
        <w:rPr>
          <w:spacing w:val="-3"/>
          <w:rtl/>
        </w:rPr>
        <w:t>فرنك سويسري لعام ‏‎2027، أو</w:t>
      </w:r>
      <w:r w:rsidR="00037C06">
        <w:rPr>
          <w:rFonts w:hint="cs"/>
          <w:spacing w:val="-3"/>
          <w:rtl/>
        </w:rPr>
        <w:t xml:space="preserve"> </w:t>
      </w:r>
      <w:r w:rsidR="00037C06">
        <w:rPr>
          <w:spacing w:val="-3"/>
        </w:rPr>
        <w:t>333 238 000</w:t>
      </w:r>
      <w:r w:rsidRPr="00344870">
        <w:rPr>
          <w:spacing w:val="-3"/>
          <w:rtl/>
        </w:rPr>
        <w:t xml:space="preserve"> فرنك سويسري لفترة السنتين ‏</w:t>
      </w:r>
      <w:r w:rsidR="00107DD7" w:rsidRPr="00344870">
        <w:rPr>
          <w:spacing w:val="-3"/>
        </w:rPr>
        <w:t>2027-2026</w:t>
      </w:r>
      <w:r w:rsidRPr="00344870">
        <w:rPr>
          <w:spacing w:val="-3"/>
          <w:rtl/>
        </w:rPr>
        <w:t>‎، موزعة ‏على النحو التالي:‏</w:t>
      </w:r>
    </w:p>
    <w:p w14:paraId="13A0CE48" w14:textId="69020106" w:rsidR="00722A06" w:rsidRPr="001F7339" w:rsidRDefault="00333948" w:rsidP="00333948">
      <w:pPr>
        <w:pStyle w:val="Figure"/>
        <w:bidi/>
        <w:rPr>
          <w:rFonts w:hint="default"/>
          <w:rtl/>
        </w:rPr>
      </w:pPr>
      <w:r w:rsidRPr="00D30B50">
        <w:rPr>
          <w:rFonts w:hint="default"/>
          <w:noProof/>
        </w:rPr>
        <w:drawing>
          <wp:inline distT="0" distB="0" distL="0" distR="0" wp14:anchorId="0752ED99" wp14:editId="7F1BA29B">
            <wp:extent cx="5760000" cy="2505600"/>
            <wp:effectExtent l="0" t="0" r="0" b="9525"/>
            <wp:docPr id="3102806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2505600"/>
                    </a:xfrm>
                    <a:prstGeom prst="rect">
                      <a:avLst/>
                    </a:prstGeom>
                    <a:noFill/>
                  </pic:spPr>
                </pic:pic>
              </a:graphicData>
            </a:graphic>
          </wp:inline>
        </w:drawing>
      </w:r>
    </w:p>
    <w:p w14:paraId="6824172C" w14:textId="77777777" w:rsidR="00722A06" w:rsidRPr="00953B9F" w:rsidRDefault="00722A06" w:rsidP="00953B9F">
      <w:pPr>
        <w:pStyle w:val="call0"/>
        <w:bidi/>
        <w:rPr>
          <w:rFonts w:hint="default"/>
        </w:rPr>
      </w:pPr>
      <w:r w:rsidRPr="001F7339">
        <w:rPr>
          <w:rtl/>
        </w:rPr>
        <w:t>يقرر كذلك</w:t>
      </w:r>
    </w:p>
    <w:p w14:paraId="4B99ECAB" w14:textId="2535932E" w:rsidR="00722A06" w:rsidRPr="001F7339" w:rsidRDefault="00722A06" w:rsidP="001F7339">
      <w:pPr>
        <w:rPr>
          <w:lang w:val="ar-SA" w:bidi="ar-EG"/>
        </w:rPr>
      </w:pPr>
      <w:r w:rsidRPr="001F7339">
        <w:rPr>
          <w:rtl/>
        </w:rPr>
        <w:t>1</w:t>
      </w:r>
      <w:r w:rsidRPr="001F7339">
        <w:rPr>
          <w:rtl/>
        </w:rPr>
        <w:tab/>
        <w:t xml:space="preserve">أن تحدد وحدة المساهمة السنوية للسنتين ‏‎2026 و2027 بمبلغ ‏‎318 000‎‏ فرنك سويسري على أساس فئة المساهمة ‏التي تختارها الدول الأعضاء بموجب الرقم ‏‎160‎‏ من دستور الاتحاد الدولي للاتصالات والرقم ‏‎468‎‏ من اتفاقيته، أي على ‏أساس مجموع </w:t>
      </w:r>
      <w:r w:rsidRPr="00D30B50">
        <w:rPr>
          <w:rtl/>
        </w:rPr>
        <w:t>‏‎</w:t>
      </w:r>
      <m:oMath>
        <m:r>
          <m:rPr>
            <m:nor/>
          </m:rPr>
          <m:t>355</m:t>
        </m:r>
        <m:f>
          <m:fPr>
            <m:ctrlPr>
              <w:rPr>
                <w:rFonts w:ascii="Cambria Math" w:hAnsi="Cambria Math"/>
                <w:i/>
              </w:rPr>
            </m:ctrlPr>
          </m:fPr>
          <m:num>
            <m:r>
              <m:rPr>
                <m:nor/>
              </m:rPr>
              <m:t>23</m:t>
            </m:r>
          </m:num>
          <m:den>
            <m:r>
              <m:rPr>
                <m:nor/>
              </m:rPr>
              <m:t>24</m:t>
            </m:r>
          </m:den>
        </m:f>
      </m:oMath>
      <w:r w:rsidRPr="001F7339">
        <w:rPr>
          <w:rtl/>
        </w:rPr>
        <w:t>‎‏ وحدة؛</w:t>
      </w:r>
    </w:p>
    <w:p w14:paraId="6B19355C" w14:textId="4EC174EE" w:rsidR="00722A06" w:rsidRPr="001F7339" w:rsidRDefault="00722A06" w:rsidP="001F7339">
      <w:pPr>
        <w:rPr>
          <w:lang w:val="ar-SA" w:bidi="ar-EG"/>
        </w:rPr>
      </w:pPr>
      <w:r w:rsidRPr="001F7339">
        <w:rPr>
          <w:rtl/>
        </w:rPr>
        <w:t>2</w:t>
      </w:r>
      <w:r w:rsidRPr="001F7339">
        <w:rPr>
          <w:rtl/>
        </w:rPr>
        <w:tab/>
        <w:t>أن تحدد بمبلغ</w:t>
      </w:r>
      <w:r w:rsidR="005850CA">
        <w:rPr>
          <w:rFonts w:hint="cs"/>
          <w:rtl/>
        </w:rPr>
        <w:t xml:space="preserve"> </w:t>
      </w:r>
      <w:r w:rsidRPr="001F7339">
        <w:rPr>
          <w:lang w:val="en-GB" w:bidi="ar-EG"/>
        </w:rPr>
        <w:t>63 600</w:t>
      </w:r>
      <w:r w:rsidR="005850CA">
        <w:rPr>
          <w:rFonts w:hint="cs"/>
          <w:rtl/>
          <w:lang w:val="en-GB" w:bidi="ar-EG"/>
        </w:rPr>
        <w:t xml:space="preserve"> </w:t>
      </w:r>
      <w:r w:rsidRPr="001F7339">
        <w:rPr>
          <w:rtl/>
        </w:rPr>
        <w:t xml:space="preserve">فرنك سويسري قيمة وحدة المساهمة السنوية للسنتين 2026 و2027 المخصصة لغرض تغطية نفقات اجتماعات قطاع الاتصالات الراديوية </w:t>
      </w:r>
      <w:r w:rsidRPr="001F7339">
        <w:rPr>
          <w:lang w:bidi="ar-EG"/>
        </w:rPr>
        <w:t>(ITU-R</w:t>
      </w:r>
      <w:r w:rsidRPr="001F7339">
        <w:t>)</w:t>
      </w:r>
      <w:r w:rsidRPr="001F7339">
        <w:rPr>
          <w:rtl/>
        </w:rPr>
        <w:t xml:space="preserve"> وقطاع تقييس الاتصالات (</w:t>
      </w:r>
      <w:r w:rsidRPr="001F7339">
        <w:rPr>
          <w:lang w:bidi="ar-EG"/>
        </w:rPr>
        <w:t>ITU-T</w:t>
      </w:r>
      <w:r w:rsidRPr="001F7339">
        <w:rPr>
          <w:rtl/>
        </w:rPr>
        <w:t>) وقطاع تنمية الاتصالات (</w:t>
      </w:r>
      <w:r w:rsidRPr="001F7339">
        <w:rPr>
          <w:lang w:bidi="ar-EG"/>
        </w:rPr>
        <w:t>ITU-D</w:t>
      </w:r>
      <w:r w:rsidRPr="001F7339">
        <w:rPr>
          <w:rtl/>
        </w:rPr>
        <w:t>)، التي يدفعها أعضاء القطاعات وفقاً للرقم 480 من الاتفاقية؛</w:t>
      </w:r>
    </w:p>
    <w:p w14:paraId="4120F113" w14:textId="77777777" w:rsidR="00722A06" w:rsidRPr="001F7339" w:rsidRDefault="00722A06" w:rsidP="001F7339">
      <w:pPr>
        <w:rPr>
          <w:lang w:val="ar-SA" w:bidi="ar-EG"/>
        </w:rPr>
      </w:pPr>
      <w:r w:rsidRPr="001F7339">
        <w:rPr>
          <w:rtl/>
        </w:rPr>
        <w:t>3</w:t>
      </w:r>
      <w:r w:rsidRPr="001F7339">
        <w:rPr>
          <w:rtl/>
        </w:rPr>
        <w:tab/>
        <w:t>أن تحدد المساهمة المالية للمنتسبين على النحو التالي:‏</w:t>
      </w:r>
    </w:p>
    <w:p w14:paraId="27CD3A0C" w14:textId="77777777" w:rsidR="00722A06" w:rsidRPr="001F7339" w:rsidRDefault="00722A06" w:rsidP="00953B9F">
      <w:pPr>
        <w:pStyle w:val="enumlev10"/>
        <w:rPr>
          <w:lang w:val="ar-SA" w:bidi="ar-EG"/>
        </w:rPr>
      </w:pPr>
      <w:r w:rsidRPr="001F7339">
        <w:rPr>
          <w:rtl/>
        </w:rPr>
        <w:t>أ )</w:t>
      </w:r>
      <w:r w:rsidRPr="001F7339">
        <w:rPr>
          <w:rtl/>
        </w:rPr>
        <w:tab/>
        <w:t>‏‎</w:t>
      </w:r>
      <w:r w:rsidRPr="001F7339">
        <w:rPr>
          <w:lang w:val="en-GB" w:bidi="ar-EG"/>
        </w:rPr>
        <w:t xml:space="preserve">10 600 </w:t>
      </w:r>
      <w:r w:rsidRPr="001F7339">
        <w:rPr>
          <w:rtl/>
        </w:rPr>
        <w:t>‎‏ فرنك سويسري للمنتسبين المشاركين في أعمال قطاعي تقييس الاتصالات والاتصالات ‏الراديوية؛</w:t>
      </w:r>
    </w:p>
    <w:p w14:paraId="0738B787" w14:textId="646828A4" w:rsidR="00722A06" w:rsidRPr="001F7339" w:rsidRDefault="00722A06" w:rsidP="00953B9F">
      <w:pPr>
        <w:pStyle w:val="enumlev10"/>
        <w:rPr>
          <w:lang w:val="ar-SA" w:bidi="ar-EG"/>
        </w:rPr>
      </w:pPr>
      <w:r w:rsidRPr="001F7339">
        <w:rPr>
          <w:rtl/>
        </w:rPr>
        <w:t>ب)</w:t>
      </w:r>
      <w:r w:rsidRPr="001F7339">
        <w:rPr>
          <w:rtl/>
        </w:rPr>
        <w:tab/>
      </w:r>
      <w:r w:rsidRPr="001F7339">
        <w:rPr>
          <w:lang w:val="en-GB" w:bidi="ar-EG"/>
        </w:rPr>
        <w:t>3 975</w:t>
      </w:r>
      <w:r w:rsidR="005850CA">
        <w:rPr>
          <w:rtl/>
          <w:lang w:val="en-GB" w:bidi="ar-EG"/>
        </w:rPr>
        <w:t xml:space="preserve"> </w:t>
      </w:r>
      <w:r w:rsidRPr="001F7339">
        <w:rPr>
          <w:rtl/>
        </w:rPr>
        <w:t>فرنكاً سويسرياً للمنتسبين المشاركين في أعمال قطاع تنمية الاتصالات؛</w:t>
      </w:r>
    </w:p>
    <w:p w14:paraId="25E56F5D" w14:textId="77777777" w:rsidR="00722A06" w:rsidRPr="001F7339" w:rsidRDefault="00722A06" w:rsidP="00953B9F">
      <w:pPr>
        <w:pStyle w:val="enumlev10"/>
        <w:rPr>
          <w:lang w:val="ar-SA" w:bidi="ar-EG"/>
        </w:rPr>
      </w:pPr>
      <w:r w:rsidRPr="001F7339">
        <w:rPr>
          <w:rtl/>
        </w:rPr>
        <w:lastRenderedPageBreak/>
        <w:t>ج)</w:t>
      </w:r>
      <w:r w:rsidRPr="001F7339">
        <w:rPr>
          <w:rtl/>
        </w:rPr>
        <w:tab/>
        <w:t>‎1 987,50 ‎ فرنكاً سويسرياً للمنتسبين من البلدان النامية المشاركين في أعمال قطاع تنمية الاتصالات؛</w:t>
      </w:r>
    </w:p>
    <w:p w14:paraId="6DEE1AE6" w14:textId="77777777" w:rsidR="00722A06" w:rsidRPr="007E521C" w:rsidRDefault="00722A06" w:rsidP="001F7339">
      <w:pPr>
        <w:rPr>
          <w:spacing w:val="-2"/>
          <w:lang w:val="ar-SA" w:bidi="ar-EG"/>
        </w:rPr>
      </w:pPr>
      <w:r w:rsidRPr="007E521C">
        <w:rPr>
          <w:spacing w:val="-2"/>
          <w:rtl/>
        </w:rPr>
        <w:t>4</w:t>
      </w:r>
      <w:r w:rsidRPr="007E521C">
        <w:rPr>
          <w:spacing w:val="-2"/>
          <w:rtl/>
        </w:rPr>
        <w:tab/>
        <w:t>أن يُحدد الرسم السنوي للهيئات الأكاديمية بما فيها الجامعات ومؤسسات البحوث المرتبطة بها على النحو التالي:‏</w:t>
      </w:r>
    </w:p>
    <w:p w14:paraId="628ADAC5" w14:textId="728D4F13" w:rsidR="00722A06" w:rsidRPr="001F7339" w:rsidRDefault="00722A06" w:rsidP="00953B9F">
      <w:pPr>
        <w:pStyle w:val="enumlev10"/>
        <w:rPr>
          <w:lang w:val="ar-SA" w:bidi="ar-EG"/>
        </w:rPr>
      </w:pPr>
      <w:r w:rsidRPr="001F7339">
        <w:rPr>
          <w:rtl/>
        </w:rPr>
        <w:t>أ )</w:t>
      </w:r>
      <w:r w:rsidRPr="001F7339">
        <w:rPr>
          <w:rtl/>
        </w:rPr>
        <w:tab/>
        <w:t xml:space="preserve">‎3 975‎‏ فرنكاً سويسرياً </w:t>
      </w:r>
      <w:r w:rsidR="00A90343" w:rsidRPr="001F7339">
        <w:rPr>
          <w:rtl/>
        </w:rPr>
        <w:t xml:space="preserve">للهيئات الأكاديمية </w:t>
      </w:r>
      <w:r w:rsidRPr="001F7339">
        <w:rPr>
          <w:rtl/>
        </w:rPr>
        <w:t>من البلدان المتقدمة المشاركة في أعمال القطاعات الثلاثة؛</w:t>
      </w:r>
    </w:p>
    <w:p w14:paraId="03F7A318" w14:textId="77777777" w:rsidR="00722A06" w:rsidRPr="001F7339" w:rsidRDefault="00722A06" w:rsidP="00953B9F">
      <w:pPr>
        <w:pStyle w:val="enumlev10"/>
        <w:rPr>
          <w:lang w:val="ar-SA" w:bidi="ar-EG"/>
        </w:rPr>
      </w:pPr>
      <w:r w:rsidRPr="001F7339">
        <w:rPr>
          <w:rtl/>
        </w:rPr>
        <w:t>ب)</w:t>
      </w:r>
      <w:r w:rsidRPr="001F7339">
        <w:rPr>
          <w:rtl/>
        </w:rPr>
        <w:tab/>
        <w:t>‎1 987,50‎‏ فرنكاً سويسرياً للهيئات الأكاديمية من البلدان النامية المشاركة في أعمال القطاعات الثلاثة؛</w:t>
      </w:r>
    </w:p>
    <w:p w14:paraId="1AD105C8" w14:textId="135BB904" w:rsidR="005850CA" w:rsidRDefault="00722A06" w:rsidP="001F7339">
      <w:pPr>
        <w:rPr>
          <w:rtl/>
        </w:rPr>
      </w:pPr>
      <w:r w:rsidRPr="001F7339">
        <w:rPr>
          <w:rtl/>
        </w:rPr>
        <w:t>5</w:t>
      </w:r>
      <w:r w:rsidRPr="001F7339">
        <w:rPr>
          <w:rtl/>
        </w:rPr>
        <w:tab/>
        <w:t>أن يأذن للأمين العام بتعديل الاعتمادات بالنسبة إلى بنود النفقات في الفقرتين أ</w:t>
      </w:r>
      <w:r w:rsidR="00A90343">
        <w:rPr>
          <w:rFonts w:hint="eastAsia"/>
          <w:rtl/>
          <w:lang w:bidi="ar-EG"/>
        </w:rPr>
        <w:t> </w:t>
      </w:r>
      <w:r w:rsidRPr="001F7339">
        <w:rPr>
          <w:rtl/>
        </w:rPr>
        <w:t>) وب) أدناه وفقاً للتغييرات التي ‏تكبدها من خلال استعمال حساب الاحتياطي، وشريطة أن يكون حساب الاحتياطي عند المستوى المنصوص عليه ‏في المقرر ‏‎5‎‏ (المراجَع في بوخارست، ‏‎2022‎‏)</w:t>
      </w:r>
      <w:r w:rsidR="00A90343">
        <w:rPr>
          <w:rFonts w:hint="cs"/>
          <w:rtl/>
        </w:rPr>
        <w:t xml:space="preserve"> لمؤتمر المندوبين المفوضين</w:t>
      </w:r>
      <w:r w:rsidRPr="001F7339">
        <w:rPr>
          <w:rtl/>
        </w:rPr>
        <w:t>، وذلك عند تنفيذ ميزانية فترة السنتين</w:t>
      </w:r>
      <w:r w:rsidR="00A90343">
        <w:rPr>
          <w:rFonts w:hint="cs"/>
          <w:rtl/>
        </w:rPr>
        <w:t> </w:t>
      </w:r>
      <w:r w:rsidR="00107DD7">
        <w:t>2027</w:t>
      </w:r>
      <w:r w:rsidR="00A90343">
        <w:noBreakHyphen/>
      </w:r>
      <w:r w:rsidR="00107DD7">
        <w:t>2026</w:t>
      </w:r>
      <w:r w:rsidRPr="001F7339">
        <w:rPr>
          <w:rtl/>
        </w:rPr>
        <w:t>:‏</w:t>
      </w:r>
    </w:p>
    <w:p w14:paraId="67111DB9" w14:textId="74EF4904" w:rsidR="00722A06" w:rsidRPr="001F7339" w:rsidRDefault="00722A06" w:rsidP="00953B9F">
      <w:pPr>
        <w:pStyle w:val="enumlev10"/>
        <w:rPr>
          <w:lang w:val="ar-SA" w:bidi="ar-EG"/>
        </w:rPr>
      </w:pPr>
      <w:r w:rsidRPr="001F7339">
        <w:rPr>
          <w:rtl/>
        </w:rPr>
        <w:t>أ )</w:t>
      </w:r>
      <w:r w:rsidRPr="001F7339">
        <w:rPr>
          <w:rtl/>
        </w:rPr>
        <w:tab/>
        <w:t>الزيادات في جدول المرتبات، والمساهمات في المعاشات التقاعدية والبدلات، بما في ذلك تسويات مقر العمل، التي تنطبق على جنيف، على النحو المعتمد في النظام الموحد للأمم المتحدة؛</w:t>
      </w:r>
    </w:p>
    <w:p w14:paraId="16AE427D" w14:textId="77777777" w:rsidR="00722A06" w:rsidRPr="001F7339" w:rsidRDefault="00722A06" w:rsidP="00953B9F">
      <w:pPr>
        <w:pStyle w:val="enumlev10"/>
        <w:rPr>
          <w:lang w:val="ar-SA" w:bidi="ar-EG"/>
        </w:rPr>
      </w:pPr>
      <w:r w:rsidRPr="001F7339">
        <w:rPr>
          <w:rtl/>
        </w:rPr>
        <w:t>ب)</w:t>
      </w:r>
      <w:r w:rsidRPr="001F7339">
        <w:rPr>
          <w:rtl/>
        </w:rPr>
        <w:tab/>
        <w:t>التقلبات في سعر الصرف بين الدولار الأمريكي والفرنك السويسري، حيثما يؤثر ذلك على تكاليف ‏الموظفين في حالة الموظفين الخاضعين لجداول المرتبات للأمم المتحدة؛</w:t>
      </w:r>
    </w:p>
    <w:p w14:paraId="363967B0" w14:textId="423BFEF7" w:rsidR="00722A06" w:rsidRPr="001F7339" w:rsidRDefault="00722A06" w:rsidP="001F7339">
      <w:pPr>
        <w:rPr>
          <w:lang w:val="ar-SA" w:bidi="ar-EG"/>
        </w:rPr>
      </w:pPr>
      <w:r w:rsidRPr="001F7339">
        <w:rPr>
          <w:rtl/>
        </w:rPr>
        <w:t>6</w:t>
      </w:r>
      <w:r w:rsidRPr="001F7339">
        <w:rPr>
          <w:rtl/>
        </w:rPr>
        <w:tab/>
        <w:t>أن يكلف الأمين</w:t>
      </w:r>
      <w:r w:rsidR="007136BA">
        <w:rPr>
          <w:rFonts w:hint="cs"/>
          <w:rtl/>
        </w:rPr>
        <w:t>ة</w:t>
      </w:r>
      <w:r w:rsidRPr="001F7339">
        <w:rPr>
          <w:rtl/>
        </w:rPr>
        <w:t xml:space="preserve"> العام</w:t>
      </w:r>
      <w:r w:rsidR="007136BA">
        <w:rPr>
          <w:rFonts w:hint="cs"/>
          <w:rtl/>
        </w:rPr>
        <w:t>ة</w:t>
      </w:r>
      <w:r w:rsidRPr="001F7339">
        <w:rPr>
          <w:rtl/>
        </w:rPr>
        <w:t xml:space="preserve"> بتقديم تقرير كامل سنوياً إلى المجلس بما في ذلك جميع الوثائق التي تبرر الإجراءات المتخذة ‏وبياناً بالعواقب المالية للفقرة 5) من "</w:t>
      </w:r>
      <w:r w:rsidRPr="007E521C">
        <w:rPr>
          <w:i/>
          <w:iCs/>
          <w:rtl/>
        </w:rPr>
        <w:t>يقرر كذلك</w:t>
      </w:r>
      <w:r w:rsidRPr="001F7339">
        <w:rPr>
          <w:rtl/>
        </w:rPr>
        <w:t>" أعلاه؛ ‏</w:t>
      </w:r>
    </w:p>
    <w:p w14:paraId="534BA034" w14:textId="71F6B685" w:rsidR="00722A06" w:rsidRPr="001F7339" w:rsidRDefault="00722A06" w:rsidP="001F7339">
      <w:pPr>
        <w:rPr>
          <w:lang w:val="ar-SA" w:bidi="ar-EG"/>
        </w:rPr>
      </w:pPr>
      <w:r w:rsidRPr="001F7339">
        <w:rPr>
          <w:rtl/>
        </w:rPr>
        <w:t>7</w:t>
      </w:r>
      <w:r w:rsidRPr="001F7339">
        <w:rPr>
          <w:rtl/>
        </w:rPr>
        <w:tab/>
        <w:t>منح الأمين</w:t>
      </w:r>
      <w:r w:rsidR="007136BA">
        <w:rPr>
          <w:rFonts w:hint="cs"/>
          <w:rtl/>
        </w:rPr>
        <w:t>ة</w:t>
      </w:r>
      <w:r w:rsidRPr="001F7339">
        <w:rPr>
          <w:rtl/>
        </w:rPr>
        <w:t xml:space="preserve"> العام</w:t>
      </w:r>
      <w:r w:rsidR="007136BA">
        <w:rPr>
          <w:rFonts w:hint="cs"/>
          <w:rtl/>
        </w:rPr>
        <w:t>ة</w:t>
      </w:r>
      <w:r w:rsidRPr="001F7339">
        <w:rPr>
          <w:rtl/>
        </w:rPr>
        <w:t xml:space="preserve"> المرونة اللازمة في السنتين ‏‎</w:t>
      </w:r>
      <w:r w:rsidR="00107DD7">
        <w:t>2027-2026</w:t>
      </w:r>
      <w:r w:rsidRPr="001F7339">
        <w:rPr>
          <w:rtl/>
        </w:rPr>
        <w:t xml:space="preserve"> لتعويض الإنفاق الزائد في الفئتين ‏‎1‎‏ و‎2‎‏ (التكاليف المتعلقة ‏بالموظفين) من الوفورات في الفئات من ‏‎3‎‏ إلى ‏‎9‎‏ (تكاليف لا تتعلق بالموظفين) وإجراء التحويلات المطلوبة، إذا استدعى ‏الأمر، وذلك وفقاً </w:t>
      </w:r>
      <w:r w:rsidRPr="00A90343">
        <w:rPr>
          <w:i/>
          <w:iCs/>
          <w:rtl/>
        </w:rPr>
        <w:t>للقاعدة ‏‎1.6‎‏</w:t>
      </w:r>
      <w:r w:rsidRPr="001F7339">
        <w:rPr>
          <w:rtl/>
        </w:rPr>
        <w:t xml:space="preserve"> من اللوائح المالية والقواعد المالية؛</w:t>
      </w:r>
    </w:p>
    <w:p w14:paraId="174DDFDB" w14:textId="2099E6E7" w:rsidR="00722A06" w:rsidRPr="001F7339" w:rsidRDefault="00722A06" w:rsidP="001F7339">
      <w:pPr>
        <w:rPr>
          <w:lang w:val="ar-SA" w:bidi="ar-EG"/>
        </w:rPr>
      </w:pPr>
      <w:r w:rsidRPr="001F7339">
        <w:rPr>
          <w:rtl/>
        </w:rPr>
        <w:t>8</w:t>
      </w:r>
      <w:r w:rsidRPr="001F7339">
        <w:rPr>
          <w:rtl/>
        </w:rPr>
        <w:tab/>
        <w:t xml:space="preserve">أن يأذن بموازنة حسابات الفترة </w:t>
      </w:r>
      <w:r w:rsidR="00107DD7">
        <w:t>2027-2026</w:t>
      </w:r>
      <w:r w:rsidRPr="001F7339">
        <w:rPr>
          <w:rtl/>
        </w:rPr>
        <w:t xml:space="preserve"> من فائض الإيرادات، إذا دعت الحاجة؛</w:t>
      </w:r>
    </w:p>
    <w:p w14:paraId="21919CCB" w14:textId="22BBA86E" w:rsidR="00722A06" w:rsidRPr="001F7339" w:rsidRDefault="00722A06" w:rsidP="001F7339">
      <w:pPr>
        <w:rPr>
          <w:lang w:val="ar-SA" w:bidi="ar-EG"/>
        </w:rPr>
      </w:pPr>
      <w:r w:rsidRPr="001F7339">
        <w:rPr>
          <w:rtl/>
        </w:rPr>
        <w:t>9</w:t>
      </w:r>
      <w:r w:rsidRPr="001F7339">
        <w:rPr>
          <w:rtl/>
        </w:rPr>
        <w:tab/>
        <w:t>أن يكلف الأمين</w:t>
      </w:r>
      <w:r w:rsidR="007136BA">
        <w:rPr>
          <w:rFonts w:hint="cs"/>
          <w:rtl/>
          <w:lang w:bidi="ar-EG"/>
        </w:rPr>
        <w:t>ة</w:t>
      </w:r>
      <w:r w:rsidRPr="001F7339">
        <w:rPr>
          <w:rtl/>
        </w:rPr>
        <w:t xml:space="preserve"> العام</w:t>
      </w:r>
      <w:r w:rsidR="007136BA">
        <w:rPr>
          <w:rFonts w:hint="cs"/>
          <w:rtl/>
        </w:rPr>
        <w:t>ة</w:t>
      </w:r>
      <w:r w:rsidRPr="001F7339">
        <w:rPr>
          <w:rtl/>
        </w:rPr>
        <w:t xml:space="preserve"> بتحويل مبلغ ‏‎مليون فرنك سويسري من حساب الاحتياطي في يناير ‏‎2026 إلى صندوق ‏التأمين الصحي بعد انتهاء مدة الخدمة ‏‎(ASHI)‎‏ من أجل الوفاء بالالتزامات طويلة الأجل غير الممولة.‏</w:t>
      </w:r>
    </w:p>
    <w:p w14:paraId="6A38CF1E" w14:textId="1792747D" w:rsidR="00722A06" w:rsidRDefault="00722A06" w:rsidP="00953B9F">
      <w:pPr>
        <w:spacing w:before="1440"/>
      </w:pPr>
      <w:r w:rsidRPr="00953B9F">
        <w:rPr>
          <w:b/>
          <w:bCs/>
          <w:rtl/>
        </w:rPr>
        <w:t>الملحقات</w:t>
      </w:r>
      <w:r w:rsidRPr="001F7339">
        <w:rPr>
          <w:rtl/>
        </w:rPr>
        <w:t xml:space="preserve">: الجداول </w:t>
      </w:r>
      <w:r w:rsidR="00953B9F">
        <w:rPr>
          <w:rFonts w:hint="cs"/>
          <w:rtl/>
          <w:lang w:bidi="ar-EG"/>
        </w:rPr>
        <w:t xml:space="preserve">من </w:t>
      </w:r>
      <w:r w:rsidRPr="001F7339">
        <w:rPr>
          <w:rtl/>
        </w:rPr>
        <w:t>‏1‎</w:t>
      </w:r>
      <w:r w:rsidR="00953B9F">
        <w:rPr>
          <w:rFonts w:hint="cs"/>
          <w:rtl/>
        </w:rPr>
        <w:t xml:space="preserve"> إلى 12</w:t>
      </w:r>
    </w:p>
    <w:p w14:paraId="1A6B5FA1" w14:textId="77777777" w:rsidR="00692FE7" w:rsidRPr="001F7339" w:rsidRDefault="00692FE7" w:rsidP="001F7339">
      <w:pPr>
        <w:rPr>
          <w:lang w:val="ar-SA" w:bidi="ar-EG"/>
        </w:rPr>
      </w:pPr>
    </w:p>
    <w:p w14:paraId="206E94A8" w14:textId="77777777" w:rsidR="00722A06" w:rsidRPr="001F7339" w:rsidRDefault="00722A06" w:rsidP="001F7339">
      <w:pPr>
        <w:rPr>
          <w:lang w:bidi="ar-EG"/>
        </w:rPr>
        <w:sectPr w:rsidR="00722A06" w:rsidRPr="001F7339" w:rsidSect="00722A06">
          <w:headerReference w:type="even" r:id="rId47"/>
          <w:headerReference w:type="default" r:id="rId48"/>
          <w:footerReference w:type="even" r:id="rId49"/>
          <w:footerReference w:type="default" r:id="rId50"/>
          <w:headerReference w:type="first" r:id="rId51"/>
          <w:footerReference w:type="first" r:id="rId52"/>
          <w:type w:val="oddPage"/>
          <w:pgSz w:w="11907" w:h="16834"/>
          <w:pgMar w:top="1418" w:right="1418" w:bottom="1418" w:left="1418" w:header="720" w:footer="720" w:gutter="0"/>
          <w:paperSrc w:first="286" w:other="286"/>
          <w:cols w:space="720"/>
          <w:titlePg/>
        </w:sectPr>
      </w:pPr>
    </w:p>
    <w:p w14:paraId="22A13518" w14:textId="557F8868" w:rsidR="00722A06" w:rsidRPr="001F7339" w:rsidRDefault="00692FE7" w:rsidP="00692FE7">
      <w:pPr>
        <w:pStyle w:val="Figure"/>
        <w:bidi/>
        <w:rPr>
          <w:rFonts w:hint="default"/>
          <w:lang w:bidi="ar-EG"/>
        </w:rPr>
      </w:pPr>
      <w:r w:rsidRPr="00D30B50">
        <w:rPr>
          <w:rFonts w:hint="default"/>
          <w:noProof/>
          <w:lang w:bidi="ar-EG"/>
        </w:rPr>
        <w:lastRenderedPageBreak/>
        <w:drawing>
          <wp:inline distT="0" distB="0" distL="0" distR="0" wp14:anchorId="2186C065" wp14:editId="0218C2EC">
            <wp:extent cx="7920000" cy="3175200"/>
            <wp:effectExtent l="0" t="0" r="5080" b="6350"/>
            <wp:docPr id="4063998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20000" cy="3175200"/>
                    </a:xfrm>
                    <a:prstGeom prst="rect">
                      <a:avLst/>
                    </a:prstGeom>
                    <a:noFill/>
                  </pic:spPr>
                </pic:pic>
              </a:graphicData>
            </a:graphic>
          </wp:inline>
        </w:drawing>
      </w:r>
    </w:p>
    <w:p w14:paraId="1D7E8E9F" w14:textId="77777777" w:rsidR="00722A06" w:rsidRPr="001F7339" w:rsidRDefault="00722A06" w:rsidP="001F7339">
      <w:pPr>
        <w:rPr>
          <w:lang w:bidi="ar-EG"/>
        </w:rPr>
      </w:pPr>
      <w:r w:rsidRPr="001F7339">
        <w:rPr>
          <w:lang w:bidi="ar-EG"/>
        </w:rPr>
        <w:br w:type="page"/>
      </w:r>
    </w:p>
    <w:p w14:paraId="29A6B945" w14:textId="16C549B8" w:rsidR="00722A06" w:rsidRPr="001F7339" w:rsidRDefault="00375F26" w:rsidP="00692FE7">
      <w:pPr>
        <w:pStyle w:val="Figure"/>
        <w:bidi/>
        <w:rPr>
          <w:rFonts w:hint="default"/>
          <w:rtl/>
        </w:rPr>
      </w:pPr>
      <w:r>
        <w:rPr>
          <w:rFonts w:hint="default"/>
          <w:noProof/>
        </w:rPr>
        <w:lastRenderedPageBreak/>
        <w:drawing>
          <wp:inline distT="0" distB="0" distL="0" distR="0" wp14:anchorId="3D3E32FF" wp14:editId="49966BC7">
            <wp:extent cx="7200000" cy="5789988"/>
            <wp:effectExtent l="0" t="0" r="1270" b="1270"/>
            <wp:docPr id="14152257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00000" cy="5789988"/>
                    </a:xfrm>
                    <a:prstGeom prst="rect">
                      <a:avLst/>
                    </a:prstGeom>
                    <a:noFill/>
                  </pic:spPr>
                </pic:pic>
              </a:graphicData>
            </a:graphic>
          </wp:inline>
        </w:drawing>
      </w:r>
    </w:p>
    <w:p w14:paraId="7C1E484E" w14:textId="77777777" w:rsidR="00722A06" w:rsidRPr="00BA6274" w:rsidRDefault="00722A06" w:rsidP="001F7339">
      <w:pPr>
        <w:rPr>
          <w:sz w:val="2"/>
          <w:szCs w:val="2"/>
          <w:lang w:bidi="ar-EG"/>
        </w:rPr>
      </w:pPr>
      <w:r w:rsidRPr="00BA6274">
        <w:rPr>
          <w:sz w:val="2"/>
          <w:szCs w:val="2"/>
          <w:lang w:bidi="ar-EG"/>
        </w:rPr>
        <w:br w:type="page"/>
      </w:r>
    </w:p>
    <w:p w14:paraId="0064CE05" w14:textId="16C5BAD5" w:rsidR="00722A06" w:rsidRDefault="00375F26" w:rsidP="00375F26">
      <w:pPr>
        <w:pStyle w:val="Figure"/>
        <w:bidi/>
        <w:rPr>
          <w:rFonts w:hint="default"/>
          <w:rtl/>
        </w:rPr>
      </w:pPr>
      <w:r>
        <w:rPr>
          <w:rFonts w:hint="default"/>
          <w:noProof/>
        </w:rPr>
        <w:lastRenderedPageBreak/>
        <w:drawing>
          <wp:inline distT="0" distB="0" distL="0" distR="0" wp14:anchorId="61B6E705" wp14:editId="0CD5CCCF">
            <wp:extent cx="7920000" cy="5627383"/>
            <wp:effectExtent l="0" t="0" r="5080" b="0"/>
            <wp:docPr id="6484366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20000" cy="5627383"/>
                    </a:xfrm>
                    <a:prstGeom prst="rect">
                      <a:avLst/>
                    </a:prstGeom>
                    <a:noFill/>
                  </pic:spPr>
                </pic:pic>
              </a:graphicData>
            </a:graphic>
          </wp:inline>
        </w:drawing>
      </w:r>
    </w:p>
    <w:p w14:paraId="2A3E1D60" w14:textId="3F33A785" w:rsidR="00722A06" w:rsidRPr="001F7339" w:rsidRDefault="00375F26" w:rsidP="00375F26">
      <w:r>
        <w:rPr>
          <w:rtl/>
        </w:rPr>
        <w:br w:type="page"/>
      </w:r>
    </w:p>
    <w:p w14:paraId="2BF9C438" w14:textId="44C69BC8" w:rsidR="00722A06" w:rsidRPr="001F7339" w:rsidRDefault="00375F26" w:rsidP="00375F26">
      <w:pPr>
        <w:pStyle w:val="Figure"/>
        <w:bidi/>
        <w:rPr>
          <w:rFonts w:hint="default"/>
          <w:rtl/>
        </w:rPr>
      </w:pPr>
      <w:r>
        <w:rPr>
          <w:rFonts w:hint="default"/>
          <w:noProof/>
        </w:rPr>
        <w:lastRenderedPageBreak/>
        <w:drawing>
          <wp:inline distT="0" distB="0" distL="0" distR="0" wp14:anchorId="477CE351" wp14:editId="5BE9B0CB">
            <wp:extent cx="9972000" cy="4755600"/>
            <wp:effectExtent l="0" t="0" r="0" b="6985"/>
            <wp:docPr id="14954982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72000" cy="4755600"/>
                    </a:xfrm>
                    <a:prstGeom prst="rect">
                      <a:avLst/>
                    </a:prstGeom>
                    <a:noFill/>
                  </pic:spPr>
                </pic:pic>
              </a:graphicData>
            </a:graphic>
          </wp:inline>
        </w:drawing>
      </w:r>
    </w:p>
    <w:p w14:paraId="27E951BE" w14:textId="77777777" w:rsidR="00722A06" w:rsidRPr="001F7339" w:rsidRDefault="00722A06" w:rsidP="001F7339">
      <w:pPr>
        <w:rPr>
          <w:lang w:bidi="ar-EG"/>
        </w:rPr>
      </w:pPr>
      <w:r w:rsidRPr="001F7339">
        <w:rPr>
          <w:lang w:bidi="ar-EG"/>
        </w:rPr>
        <w:br w:type="page"/>
      </w:r>
    </w:p>
    <w:p w14:paraId="4D35C990" w14:textId="5A895CC8" w:rsidR="00722A06" w:rsidRPr="001F7339" w:rsidRDefault="00375F26" w:rsidP="00375F26">
      <w:pPr>
        <w:pStyle w:val="Figure"/>
        <w:bidi/>
        <w:rPr>
          <w:rFonts w:hint="default"/>
          <w:rtl/>
        </w:rPr>
      </w:pPr>
      <w:r>
        <w:rPr>
          <w:rFonts w:hint="default"/>
          <w:noProof/>
        </w:rPr>
        <w:lastRenderedPageBreak/>
        <w:drawing>
          <wp:inline distT="0" distB="0" distL="0" distR="0" wp14:anchorId="30E7ABF2" wp14:editId="2D922D89">
            <wp:extent cx="9972000" cy="4762800"/>
            <wp:effectExtent l="0" t="0" r="0" b="0"/>
            <wp:docPr id="5271438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72000" cy="4762800"/>
                    </a:xfrm>
                    <a:prstGeom prst="rect">
                      <a:avLst/>
                    </a:prstGeom>
                    <a:noFill/>
                  </pic:spPr>
                </pic:pic>
              </a:graphicData>
            </a:graphic>
          </wp:inline>
        </w:drawing>
      </w:r>
    </w:p>
    <w:p w14:paraId="2382696A" w14:textId="2700C19C" w:rsidR="00375F26" w:rsidRDefault="00375F26" w:rsidP="00375F26">
      <w:pPr>
        <w:rPr>
          <w:rtl/>
        </w:rPr>
      </w:pPr>
      <w:r>
        <w:rPr>
          <w:rtl/>
        </w:rPr>
        <w:br w:type="page"/>
      </w:r>
    </w:p>
    <w:p w14:paraId="6310436E" w14:textId="2659B74E" w:rsidR="00722A06" w:rsidRPr="001F7339" w:rsidRDefault="00375F26" w:rsidP="00375F26">
      <w:pPr>
        <w:pStyle w:val="Figure"/>
        <w:bidi/>
        <w:rPr>
          <w:rFonts w:hint="default"/>
          <w:rtl/>
        </w:rPr>
      </w:pPr>
      <w:r>
        <w:rPr>
          <w:rFonts w:hint="default"/>
          <w:noProof/>
        </w:rPr>
        <w:lastRenderedPageBreak/>
        <w:drawing>
          <wp:inline distT="0" distB="0" distL="0" distR="0" wp14:anchorId="5F723A52" wp14:editId="12B10ED1">
            <wp:extent cx="9972000" cy="4827600"/>
            <wp:effectExtent l="0" t="0" r="0" b="0"/>
            <wp:docPr id="9454395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72000" cy="4827600"/>
                    </a:xfrm>
                    <a:prstGeom prst="rect">
                      <a:avLst/>
                    </a:prstGeom>
                    <a:noFill/>
                  </pic:spPr>
                </pic:pic>
              </a:graphicData>
            </a:graphic>
          </wp:inline>
        </w:drawing>
      </w:r>
    </w:p>
    <w:p w14:paraId="5D12C1A7" w14:textId="77777777" w:rsidR="00722A06" w:rsidRPr="001F7339" w:rsidRDefault="00722A06" w:rsidP="001F7339">
      <w:pPr>
        <w:rPr>
          <w:lang w:bidi="ar-EG"/>
        </w:rPr>
      </w:pPr>
      <w:r w:rsidRPr="001F7339">
        <w:rPr>
          <w:lang w:bidi="ar-EG"/>
        </w:rPr>
        <w:br w:type="page"/>
      </w:r>
    </w:p>
    <w:p w14:paraId="76AFE441" w14:textId="0E267621" w:rsidR="00375F26" w:rsidRDefault="00375F26" w:rsidP="00FF3119">
      <w:pPr>
        <w:pStyle w:val="Figure"/>
        <w:bidi/>
        <w:rPr>
          <w:rFonts w:hint="default"/>
          <w:lang w:bidi="ar-SY"/>
        </w:rPr>
      </w:pPr>
      <w:r>
        <w:rPr>
          <w:rFonts w:hint="default"/>
          <w:noProof/>
          <w:lang w:bidi="ar-SY"/>
        </w:rPr>
        <w:lastRenderedPageBreak/>
        <w:drawing>
          <wp:inline distT="0" distB="0" distL="0" distR="0" wp14:anchorId="4BBBF2D0" wp14:editId="0A64ACE7">
            <wp:extent cx="7200000" cy="5439600"/>
            <wp:effectExtent l="0" t="0" r="1270" b="8890"/>
            <wp:docPr id="35103238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00000" cy="5439600"/>
                    </a:xfrm>
                    <a:prstGeom prst="rect">
                      <a:avLst/>
                    </a:prstGeom>
                    <a:noFill/>
                  </pic:spPr>
                </pic:pic>
              </a:graphicData>
            </a:graphic>
          </wp:inline>
        </w:drawing>
      </w:r>
    </w:p>
    <w:p w14:paraId="312B36DC" w14:textId="751D0E06" w:rsidR="00722A06" w:rsidRPr="001F7339" w:rsidRDefault="00722A06" w:rsidP="001F7339">
      <w:pPr>
        <w:rPr>
          <w:rtl/>
          <w:lang w:bidi="ar-SY"/>
        </w:rPr>
      </w:pPr>
      <w:r w:rsidRPr="001F7339">
        <w:rPr>
          <w:rtl/>
          <w:lang w:bidi="ar-SY"/>
        </w:rPr>
        <w:br w:type="page"/>
      </w:r>
    </w:p>
    <w:p w14:paraId="1E24DF2C" w14:textId="693912E0" w:rsidR="00375F26" w:rsidRDefault="004F0D26" w:rsidP="00FF3119">
      <w:pPr>
        <w:pStyle w:val="Figure"/>
        <w:bidi/>
        <w:rPr>
          <w:rFonts w:hint="default"/>
          <w:lang w:bidi="ar-EG"/>
        </w:rPr>
      </w:pPr>
      <w:r>
        <w:rPr>
          <w:rFonts w:hint="default"/>
          <w:noProof/>
          <w:lang w:bidi="ar-EG"/>
        </w:rPr>
        <w:lastRenderedPageBreak/>
        <w:drawing>
          <wp:inline distT="0" distB="0" distL="0" distR="0" wp14:anchorId="135F3685" wp14:editId="24191458">
            <wp:extent cx="9972000" cy="5997600"/>
            <wp:effectExtent l="0" t="0" r="0" b="3175"/>
            <wp:docPr id="19016039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72000" cy="5997600"/>
                    </a:xfrm>
                    <a:prstGeom prst="rect">
                      <a:avLst/>
                    </a:prstGeom>
                    <a:noFill/>
                  </pic:spPr>
                </pic:pic>
              </a:graphicData>
            </a:graphic>
          </wp:inline>
        </w:drawing>
      </w:r>
    </w:p>
    <w:p w14:paraId="21B83AAA" w14:textId="19778497" w:rsidR="00375F26" w:rsidRDefault="004F0D26" w:rsidP="00FF3119">
      <w:pPr>
        <w:pStyle w:val="Figure"/>
        <w:bidi/>
        <w:rPr>
          <w:rFonts w:hint="default"/>
          <w:lang w:bidi="ar-EG"/>
        </w:rPr>
      </w:pPr>
      <w:r>
        <w:rPr>
          <w:noProof/>
          <w:lang w:bidi="ar-EG"/>
        </w:rPr>
        <w:lastRenderedPageBreak/>
        <w:drawing>
          <wp:inline distT="0" distB="0" distL="0" distR="0" wp14:anchorId="11260D20" wp14:editId="746A10F2">
            <wp:extent cx="9972000" cy="5598000"/>
            <wp:effectExtent l="0" t="0" r="0" b="3175"/>
            <wp:docPr id="16906630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972000" cy="5598000"/>
                    </a:xfrm>
                    <a:prstGeom prst="rect">
                      <a:avLst/>
                    </a:prstGeom>
                    <a:noFill/>
                  </pic:spPr>
                </pic:pic>
              </a:graphicData>
            </a:graphic>
          </wp:inline>
        </w:drawing>
      </w:r>
    </w:p>
    <w:p w14:paraId="693FD2AE" w14:textId="437A1869" w:rsidR="00375F26" w:rsidRDefault="00FF3119" w:rsidP="00FF3119">
      <w:pPr>
        <w:pStyle w:val="Figure"/>
        <w:bidi/>
        <w:rPr>
          <w:rFonts w:hint="default"/>
          <w:lang w:bidi="ar-EG"/>
        </w:rPr>
      </w:pPr>
      <w:r>
        <w:rPr>
          <w:noProof/>
          <w:lang w:bidi="ar-EG"/>
        </w:rPr>
        <w:lastRenderedPageBreak/>
        <w:drawing>
          <wp:inline distT="0" distB="0" distL="0" distR="0" wp14:anchorId="5B0EF708" wp14:editId="06CC3FF5">
            <wp:extent cx="9972000" cy="5623200"/>
            <wp:effectExtent l="0" t="0" r="0" b="0"/>
            <wp:docPr id="16573830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72000" cy="5623200"/>
                    </a:xfrm>
                    <a:prstGeom prst="rect">
                      <a:avLst/>
                    </a:prstGeom>
                    <a:noFill/>
                  </pic:spPr>
                </pic:pic>
              </a:graphicData>
            </a:graphic>
          </wp:inline>
        </w:drawing>
      </w:r>
    </w:p>
    <w:p w14:paraId="331A1ABC" w14:textId="10755FC2" w:rsidR="00375F26" w:rsidRDefault="00FF3119" w:rsidP="00FF3119">
      <w:pPr>
        <w:pStyle w:val="Figure"/>
        <w:bidi/>
        <w:rPr>
          <w:rFonts w:hint="default"/>
          <w:lang w:bidi="ar-EG"/>
        </w:rPr>
      </w:pPr>
      <w:r>
        <w:rPr>
          <w:rFonts w:hint="default"/>
          <w:noProof/>
          <w:lang w:bidi="ar-EG"/>
        </w:rPr>
        <w:lastRenderedPageBreak/>
        <w:drawing>
          <wp:inline distT="0" distB="0" distL="0" distR="0" wp14:anchorId="30AD435A" wp14:editId="6652852F">
            <wp:extent cx="9972000" cy="5925600"/>
            <wp:effectExtent l="0" t="0" r="0" b="0"/>
            <wp:docPr id="2478434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72000" cy="5925600"/>
                    </a:xfrm>
                    <a:prstGeom prst="rect">
                      <a:avLst/>
                    </a:prstGeom>
                    <a:noFill/>
                  </pic:spPr>
                </pic:pic>
              </a:graphicData>
            </a:graphic>
          </wp:inline>
        </w:drawing>
      </w:r>
    </w:p>
    <w:p w14:paraId="568E566D" w14:textId="1A7A81A3" w:rsidR="00375F26" w:rsidRDefault="00FF3119" w:rsidP="00FF3119">
      <w:pPr>
        <w:pStyle w:val="Figure"/>
        <w:bidi/>
        <w:rPr>
          <w:rFonts w:hint="default"/>
          <w:lang w:bidi="ar-EG"/>
        </w:rPr>
      </w:pPr>
      <w:r>
        <w:rPr>
          <w:rFonts w:hint="default"/>
          <w:noProof/>
          <w:lang w:bidi="ar-EG"/>
        </w:rPr>
        <w:lastRenderedPageBreak/>
        <w:drawing>
          <wp:inline distT="0" distB="0" distL="0" distR="0" wp14:anchorId="07E20D31" wp14:editId="5349C899">
            <wp:extent cx="9972000" cy="5590800"/>
            <wp:effectExtent l="0" t="0" r="0" b="0"/>
            <wp:docPr id="6249643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72000" cy="5590800"/>
                    </a:xfrm>
                    <a:prstGeom prst="rect">
                      <a:avLst/>
                    </a:prstGeom>
                    <a:noFill/>
                  </pic:spPr>
                </pic:pic>
              </a:graphicData>
            </a:graphic>
          </wp:inline>
        </w:drawing>
      </w:r>
    </w:p>
    <w:p w14:paraId="0044641A" w14:textId="52EAFE8D" w:rsidR="00375F26" w:rsidRDefault="00FF3119" w:rsidP="00FF3119">
      <w:pPr>
        <w:pStyle w:val="Figure"/>
        <w:bidi/>
        <w:rPr>
          <w:rFonts w:hint="default"/>
          <w:lang w:bidi="ar-EG"/>
        </w:rPr>
      </w:pPr>
      <w:r>
        <w:rPr>
          <w:rFonts w:hint="default"/>
          <w:noProof/>
          <w:lang w:bidi="ar-EG"/>
        </w:rPr>
        <w:lastRenderedPageBreak/>
        <w:drawing>
          <wp:inline distT="0" distB="0" distL="0" distR="0" wp14:anchorId="791D4727" wp14:editId="50A175A4">
            <wp:extent cx="9972000" cy="5594400"/>
            <wp:effectExtent l="0" t="0" r="0" b="6350"/>
            <wp:docPr id="2089554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72000" cy="5594400"/>
                    </a:xfrm>
                    <a:prstGeom prst="rect">
                      <a:avLst/>
                    </a:prstGeom>
                    <a:noFill/>
                  </pic:spPr>
                </pic:pic>
              </a:graphicData>
            </a:graphic>
          </wp:inline>
        </w:drawing>
      </w:r>
    </w:p>
    <w:p w14:paraId="3C6BF7B5" w14:textId="621EDFF9" w:rsidR="00FF3119" w:rsidRDefault="00FF3119" w:rsidP="00FF3119">
      <w:pPr>
        <w:pStyle w:val="Figure"/>
        <w:bidi/>
        <w:rPr>
          <w:rFonts w:hint="default"/>
          <w:lang w:bidi="ar-EG"/>
        </w:rPr>
      </w:pPr>
      <w:r>
        <w:rPr>
          <w:noProof/>
          <w:lang w:bidi="ar-EG"/>
        </w:rPr>
        <w:lastRenderedPageBreak/>
        <w:drawing>
          <wp:inline distT="0" distB="0" distL="0" distR="0" wp14:anchorId="67AF5428" wp14:editId="5583396F">
            <wp:extent cx="9360000" cy="5252400"/>
            <wp:effectExtent l="0" t="0" r="0" b="5715"/>
            <wp:docPr id="19734067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60000" cy="5252400"/>
                    </a:xfrm>
                    <a:prstGeom prst="rect">
                      <a:avLst/>
                    </a:prstGeom>
                    <a:noFill/>
                  </pic:spPr>
                </pic:pic>
              </a:graphicData>
            </a:graphic>
          </wp:inline>
        </w:drawing>
      </w:r>
    </w:p>
    <w:p w14:paraId="55B688CA" w14:textId="4D484CFD" w:rsidR="00FF3119" w:rsidRDefault="00FF3119" w:rsidP="00FF3119">
      <w:pPr>
        <w:pStyle w:val="Figure"/>
        <w:bidi/>
        <w:rPr>
          <w:rFonts w:hint="default"/>
          <w:lang w:bidi="ar-EG"/>
        </w:rPr>
      </w:pPr>
      <w:r>
        <w:rPr>
          <w:noProof/>
          <w:lang w:bidi="ar-EG"/>
        </w:rPr>
        <w:lastRenderedPageBreak/>
        <w:drawing>
          <wp:inline distT="0" distB="0" distL="0" distR="0" wp14:anchorId="62873BD5" wp14:editId="5D2AE92C">
            <wp:extent cx="9972000" cy="6004800"/>
            <wp:effectExtent l="0" t="0" r="0" b="0"/>
            <wp:docPr id="166127966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72000" cy="6004800"/>
                    </a:xfrm>
                    <a:prstGeom prst="rect">
                      <a:avLst/>
                    </a:prstGeom>
                    <a:noFill/>
                  </pic:spPr>
                </pic:pic>
              </a:graphicData>
            </a:graphic>
          </wp:inline>
        </w:drawing>
      </w:r>
    </w:p>
    <w:p w14:paraId="6654AFEA" w14:textId="5C2F87A4" w:rsidR="00FF3119" w:rsidRDefault="00FF3119" w:rsidP="00FF3119">
      <w:pPr>
        <w:pStyle w:val="Figure"/>
        <w:bidi/>
        <w:rPr>
          <w:rFonts w:hint="default"/>
          <w:lang w:bidi="ar-EG"/>
        </w:rPr>
      </w:pPr>
      <w:r>
        <w:rPr>
          <w:noProof/>
          <w:lang w:bidi="ar-EG"/>
        </w:rPr>
        <w:lastRenderedPageBreak/>
        <w:drawing>
          <wp:inline distT="0" distB="0" distL="0" distR="0" wp14:anchorId="0BB003F7" wp14:editId="52401998">
            <wp:extent cx="9972000" cy="5994000"/>
            <wp:effectExtent l="0" t="0" r="0" b="0"/>
            <wp:docPr id="106506711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72000" cy="5994000"/>
                    </a:xfrm>
                    <a:prstGeom prst="rect">
                      <a:avLst/>
                    </a:prstGeom>
                    <a:noFill/>
                  </pic:spPr>
                </pic:pic>
              </a:graphicData>
            </a:graphic>
          </wp:inline>
        </w:drawing>
      </w:r>
    </w:p>
    <w:p w14:paraId="0774BA56" w14:textId="70300C4D" w:rsidR="00FF3119" w:rsidRDefault="00FF3119" w:rsidP="00FF3119">
      <w:pPr>
        <w:pStyle w:val="Figure"/>
        <w:bidi/>
        <w:rPr>
          <w:rFonts w:hint="default"/>
          <w:lang w:bidi="ar-EG"/>
        </w:rPr>
      </w:pPr>
      <w:r w:rsidRPr="00FF3119">
        <w:rPr>
          <w:noProof/>
        </w:rPr>
        <w:lastRenderedPageBreak/>
        <w:drawing>
          <wp:inline distT="0" distB="0" distL="0" distR="0" wp14:anchorId="2D604D6B" wp14:editId="0022C98B">
            <wp:extent cx="9972000" cy="5436000"/>
            <wp:effectExtent l="0" t="0" r="0" b="0"/>
            <wp:docPr id="6306979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72000" cy="5436000"/>
                    </a:xfrm>
                    <a:prstGeom prst="rect">
                      <a:avLst/>
                    </a:prstGeom>
                    <a:noFill/>
                  </pic:spPr>
                </pic:pic>
              </a:graphicData>
            </a:graphic>
          </wp:inline>
        </w:drawing>
      </w:r>
    </w:p>
    <w:p w14:paraId="18950D44" w14:textId="010691B1" w:rsidR="00FF3119" w:rsidRDefault="00FF3119" w:rsidP="00FF3119">
      <w:pPr>
        <w:pStyle w:val="Figure"/>
        <w:bidi/>
        <w:rPr>
          <w:rFonts w:hint="default"/>
          <w:lang w:bidi="ar-EG"/>
        </w:rPr>
      </w:pPr>
      <w:r>
        <w:rPr>
          <w:rFonts w:hint="default"/>
          <w:noProof/>
          <w:lang w:bidi="ar-EG"/>
        </w:rPr>
        <w:lastRenderedPageBreak/>
        <w:drawing>
          <wp:inline distT="0" distB="0" distL="0" distR="0" wp14:anchorId="3D23C662" wp14:editId="519A8D7F">
            <wp:extent cx="9972000" cy="5382000"/>
            <wp:effectExtent l="0" t="0" r="0" b="9525"/>
            <wp:docPr id="7310997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72000" cy="5382000"/>
                    </a:xfrm>
                    <a:prstGeom prst="rect">
                      <a:avLst/>
                    </a:prstGeom>
                    <a:noFill/>
                  </pic:spPr>
                </pic:pic>
              </a:graphicData>
            </a:graphic>
          </wp:inline>
        </w:drawing>
      </w:r>
    </w:p>
    <w:p w14:paraId="65E7BC55" w14:textId="0A3C2ABB" w:rsidR="00FF3119" w:rsidRDefault="00FF3119" w:rsidP="00FF3119">
      <w:pPr>
        <w:pStyle w:val="Figure"/>
        <w:bidi/>
        <w:rPr>
          <w:rFonts w:hint="default"/>
          <w:lang w:bidi="ar-EG"/>
        </w:rPr>
      </w:pPr>
      <w:r>
        <w:rPr>
          <w:rFonts w:hint="default"/>
          <w:noProof/>
          <w:lang w:bidi="ar-EG"/>
        </w:rPr>
        <w:lastRenderedPageBreak/>
        <w:drawing>
          <wp:inline distT="0" distB="0" distL="0" distR="0" wp14:anchorId="1E27FB87" wp14:editId="31331D3A">
            <wp:extent cx="9972000" cy="5601600"/>
            <wp:effectExtent l="0" t="0" r="0" b="0"/>
            <wp:docPr id="134210208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72000" cy="5601600"/>
                    </a:xfrm>
                    <a:prstGeom prst="rect">
                      <a:avLst/>
                    </a:prstGeom>
                    <a:noFill/>
                  </pic:spPr>
                </pic:pic>
              </a:graphicData>
            </a:graphic>
          </wp:inline>
        </w:drawing>
      </w:r>
    </w:p>
    <w:p w14:paraId="21812473" w14:textId="6D997BE9" w:rsidR="00FF3119" w:rsidRDefault="00FF3119" w:rsidP="00FF3119">
      <w:pPr>
        <w:pStyle w:val="Figure"/>
        <w:bidi/>
        <w:rPr>
          <w:rFonts w:hint="default"/>
          <w:lang w:bidi="ar-EG"/>
        </w:rPr>
      </w:pPr>
      <w:r>
        <w:rPr>
          <w:rFonts w:hint="default"/>
          <w:noProof/>
          <w:lang w:bidi="ar-EG"/>
        </w:rPr>
        <w:lastRenderedPageBreak/>
        <w:drawing>
          <wp:inline distT="0" distB="0" distL="0" distR="0" wp14:anchorId="0B65A006" wp14:editId="10F50500">
            <wp:extent cx="9972000" cy="5601600"/>
            <wp:effectExtent l="0" t="0" r="0" b="0"/>
            <wp:docPr id="16497425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72000" cy="5601600"/>
                    </a:xfrm>
                    <a:prstGeom prst="rect">
                      <a:avLst/>
                    </a:prstGeom>
                    <a:noFill/>
                  </pic:spPr>
                </pic:pic>
              </a:graphicData>
            </a:graphic>
          </wp:inline>
        </w:drawing>
      </w:r>
    </w:p>
    <w:p w14:paraId="6CC2143C" w14:textId="43ECDB59" w:rsidR="00FF3119" w:rsidRDefault="00FF3119" w:rsidP="00FF3119">
      <w:pPr>
        <w:pStyle w:val="Figure"/>
        <w:bidi/>
        <w:rPr>
          <w:rFonts w:hint="default"/>
          <w:lang w:bidi="ar-EG"/>
        </w:rPr>
      </w:pPr>
      <w:r w:rsidRPr="00FF3119">
        <w:rPr>
          <w:rFonts w:hint="default"/>
          <w:noProof/>
        </w:rPr>
        <w:lastRenderedPageBreak/>
        <w:drawing>
          <wp:inline distT="0" distB="0" distL="0" distR="0" wp14:anchorId="367552E7" wp14:editId="22CD9D0E">
            <wp:extent cx="9972000" cy="5601600"/>
            <wp:effectExtent l="0" t="0" r="0" b="0"/>
            <wp:docPr id="22361947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972000" cy="5601600"/>
                    </a:xfrm>
                    <a:prstGeom prst="rect">
                      <a:avLst/>
                    </a:prstGeom>
                    <a:noFill/>
                  </pic:spPr>
                </pic:pic>
              </a:graphicData>
            </a:graphic>
          </wp:inline>
        </w:drawing>
      </w:r>
    </w:p>
    <w:p w14:paraId="4B8B3249" w14:textId="47A7C1AD" w:rsidR="00FF3119" w:rsidRDefault="00FF3119" w:rsidP="00FF3119">
      <w:pPr>
        <w:pStyle w:val="Figure"/>
        <w:bidi/>
        <w:rPr>
          <w:rFonts w:hint="default"/>
          <w:lang w:bidi="ar-EG"/>
        </w:rPr>
      </w:pPr>
      <w:r>
        <w:rPr>
          <w:rFonts w:hint="default"/>
          <w:noProof/>
          <w:lang w:bidi="ar-EG"/>
        </w:rPr>
        <w:lastRenderedPageBreak/>
        <w:drawing>
          <wp:inline distT="0" distB="0" distL="0" distR="0" wp14:anchorId="4F5C7645" wp14:editId="533F5AD8">
            <wp:extent cx="7920000" cy="3610800"/>
            <wp:effectExtent l="0" t="0" r="5080" b="8890"/>
            <wp:docPr id="16163192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20000" cy="3610800"/>
                    </a:xfrm>
                    <a:prstGeom prst="rect">
                      <a:avLst/>
                    </a:prstGeom>
                    <a:noFill/>
                  </pic:spPr>
                </pic:pic>
              </a:graphicData>
            </a:graphic>
          </wp:inline>
        </w:drawing>
      </w:r>
    </w:p>
    <w:p w14:paraId="5B88AA68" w14:textId="6FD433BF" w:rsidR="00722A06" w:rsidRPr="001F7339" w:rsidRDefault="00722A06" w:rsidP="001F7339">
      <w:pPr>
        <w:rPr>
          <w:lang w:bidi="ar-EG"/>
        </w:rPr>
      </w:pPr>
      <w:r w:rsidRPr="001F7339">
        <w:rPr>
          <w:lang w:bidi="ar-EG"/>
        </w:rPr>
        <w:br w:type="page"/>
      </w:r>
    </w:p>
    <w:p w14:paraId="301D5686" w14:textId="77777777" w:rsidR="00722A06" w:rsidRPr="001F7339" w:rsidRDefault="00722A06" w:rsidP="004F03BD">
      <w:pPr>
        <w:pStyle w:val="AnnexNo0"/>
        <w:spacing w:before="120"/>
        <w:rPr>
          <w:lang w:bidi="en-GB"/>
        </w:rPr>
      </w:pPr>
      <w:bookmarkStart w:id="3" w:name="Table_12"/>
      <w:bookmarkStart w:id="4" w:name="Annex_B"/>
      <w:bookmarkEnd w:id="3"/>
      <w:r w:rsidRPr="001F7339">
        <w:rPr>
          <w:rtl/>
        </w:rPr>
        <w:lastRenderedPageBreak/>
        <w:t>الملحق B - الوثائق</w:t>
      </w:r>
      <w:bookmarkEnd w:id="4"/>
    </w:p>
    <w:p w14:paraId="4B82FC18" w14:textId="0C1C3852" w:rsidR="00722A06" w:rsidRPr="001F7339" w:rsidRDefault="00E564DE" w:rsidP="00375F26">
      <w:pPr>
        <w:pStyle w:val="Figure"/>
        <w:bidi/>
        <w:rPr>
          <w:rFonts w:hint="default"/>
          <w:rtl/>
        </w:rPr>
      </w:pPr>
      <w:r>
        <w:rPr>
          <w:rFonts w:hint="default"/>
          <w:noProof/>
        </w:rPr>
        <w:lastRenderedPageBreak/>
        <w:drawing>
          <wp:inline distT="0" distB="0" distL="0" distR="0" wp14:anchorId="5F3874CB" wp14:editId="2A68F6A7">
            <wp:extent cx="5400000" cy="593918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00" cy="5939183"/>
                    </a:xfrm>
                    <a:prstGeom prst="rect">
                      <a:avLst/>
                    </a:prstGeom>
                    <a:noFill/>
                  </pic:spPr>
                </pic:pic>
              </a:graphicData>
            </a:graphic>
          </wp:inline>
        </w:drawing>
      </w:r>
    </w:p>
    <w:p w14:paraId="65E2637A" w14:textId="3418E223" w:rsidR="00722A06" w:rsidRPr="001F7339" w:rsidRDefault="00E564DE" w:rsidP="00375F26">
      <w:pPr>
        <w:pStyle w:val="Figure"/>
        <w:bidi/>
        <w:rPr>
          <w:rFonts w:hint="default"/>
          <w:lang w:bidi="ar-EG"/>
        </w:rPr>
      </w:pPr>
      <w:r>
        <w:rPr>
          <w:rFonts w:hint="default"/>
          <w:noProof/>
          <w:lang w:bidi="ar-EG"/>
        </w:rPr>
        <w:lastRenderedPageBreak/>
        <w:drawing>
          <wp:inline distT="0" distB="0" distL="0" distR="0" wp14:anchorId="28B8C597" wp14:editId="060C8C24">
            <wp:extent cx="5400000" cy="5953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000" cy="5953438"/>
                    </a:xfrm>
                    <a:prstGeom prst="rect">
                      <a:avLst/>
                    </a:prstGeom>
                    <a:noFill/>
                  </pic:spPr>
                </pic:pic>
              </a:graphicData>
            </a:graphic>
          </wp:inline>
        </w:drawing>
      </w:r>
    </w:p>
    <w:p w14:paraId="16E861AB" w14:textId="41526E28" w:rsidR="00722A06" w:rsidRPr="001F7339" w:rsidRDefault="00886976" w:rsidP="004F0D26">
      <w:pPr>
        <w:pStyle w:val="Figure"/>
        <w:bidi/>
        <w:rPr>
          <w:rFonts w:hint="default"/>
          <w:lang w:bidi="ar-EG"/>
        </w:rPr>
      </w:pPr>
      <w:r>
        <w:rPr>
          <w:rFonts w:hint="default"/>
          <w:noProof/>
          <w:lang w:bidi="ar-EG"/>
        </w:rPr>
        <w:lastRenderedPageBreak/>
        <w:drawing>
          <wp:inline distT="0" distB="0" distL="0" distR="0" wp14:anchorId="187035CD" wp14:editId="79B315A8">
            <wp:extent cx="9972000" cy="4836420"/>
            <wp:effectExtent l="0" t="0" r="0" b="2540"/>
            <wp:docPr id="799256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972000" cy="4836420"/>
                    </a:xfrm>
                    <a:prstGeom prst="rect">
                      <a:avLst/>
                    </a:prstGeom>
                    <a:noFill/>
                  </pic:spPr>
                </pic:pic>
              </a:graphicData>
            </a:graphic>
          </wp:inline>
        </w:drawing>
      </w:r>
    </w:p>
    <w:p w14:paraId="08440BD3" w14:textId="77777777" w:rsidR="00722A06" w:rsidRPr="001F7339" w:rsidRDefault="00722A06" w:rsidP="001F7339">
      <w:pPr>
        <w:rPr>
          <w:rtl/>
        </w:rPr>
      </w:pPr>
    </w:p>
    <w:p w14:paraId="2E6D65E5" w14:textId="77777777" w:rsidR="00375F26" w:rsidRDefault="00375F26" w:rsidP="001F7339">
      <w:pPr>
        <w:rPr>
          <w:rtl/>
        </w:rPr>
        <w:sectPr w:rsidR="00375F26" w:rsidSect="00B14143">
          <w:footerReference w:type="default" r:id="rId78"/>
          <w:headerReference w:type="first" r:id="rId79"/>
          <w:footerReference w:type="first" r:id="rId80"/>
          <w:type w:val="oddPage"/>
          <w:pgSz w:w="16840" w:h="11907" w:orient="landscape" w:code="9"/>
          <w:pgMar w:top="851" w:right="567" w:bottom="567" w:left="567" w:header="709" w:footer="709" w:gutter="0"/>
          <w:cols w:space="708"/>
          <w:docGrid w:linePitch="360"/>
        </w:sectPr>
      </w:pPr>
      <w:bookmarkStart w:id="5" w:name="Annex_C"/>
    </w:p>
    <w:p w14:paraId="358652B4" w14:textId="750B79C6" w:rsidR="00722A06" w:rsidRPr="001F7339" w:rsidRDefault="00722A06" w:rsidP="00D10096">
      <w:pPr>
        <w:pStyle w:val="AnnexNo0"/>
        <w:rPr>
          <w:lang w:val="ar-SA" w:bidi="ar-EG"/>
        </w:rPr>
      </w:pPr>
      <w:r w:rsidRPr="001F7339">
        <w:rPr>
          <w:rtl/>
        </w:rPr>
        <w:lastRenderedPageBreak/>
        <w:t xml:space="preserve">الملحق C - توقعات </w:t>
      </w:r>
      <w:bookmarkEnd w:id="5"/>
      <w:r w:rsidR="00886976">
        <w:t>2029-2028</w:t>
      </w:r>
    </w:p>
    <w:p w14:paraId="33125E2E" w14:textId="4600F3D0" w:rsidR="00D10096" w:rsidRDefault="00E564DE" w:rsidP="00D10096">
      <w:pPr>
        <w:pStyle w:val="Figure"/>
        <w:bidi/>
        <w:rPr>
          <w:rFonts w:hint="default"/>
          <w:rtl/>
        </w:rPr>
      </w:pPr>
      <w:r>
        <w:rPr>
          <w:rFonts w:hint="default"/>
          <w:noProof/>
        </w:rPr>
        <w:drawing>
          <wp:inline distT="0" distB="0" distL="0" distR="0" wp14:anchorId="1783C430" wp14:editId="7F694F1A">
            <wp:extent cx="5238815" cy="835429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47304" cy="8367828"/>
                    </a:xfrm>
                    <a:prstGeom prst="rect">
                      <a:avLst/>
                    </a:prstGeom>
                    <a:noFill/>
                  </pic:spPr>
                </pic:pic>
              </a:graphicData>
            </a:graphic>
          </wp:inline>
        </w:drawing>
      </w:r>
      <w:r w:rsidR="00D10096">
        <w:rPr>
          <w:rtl/>
        </w:rPr>
        <w:br w:type="page"/>
      </w:r>
    </w:p>
    <w:p w14:paraId="29217378" w14:textId="76336DD4" w:rsidR="00722A06" w:rsidRPr="001F7339" w:rsidRDefault="00722A06" w:rsidP="00D10096">
      <w:pPr>
        <w:pStyle w:val="AnnexNo0"/>
        <w:rPr>
          <w:lang w:val="ar-SA" w:bidi="ar-EG"/>
        </w:rPr>
      </w:pPr>
      <w:r w:rsidRPr="001F7339">
        <w:rPr>
          <w:rtl/>
        </w:rPr>
        <w:lastRenderedPageBreak/>
        <w:t>الملحق D - فئات</w:t>
      </w:r>
      <w:r w:rsidR="005850CA">
        <w:rPr>
          <w:rtl/>
        </w:rPr>
        <w:t xml:space="preserve"> </w:t>
      </w:r>
      <w:r w:rsidRPr="001F7339">
        <w:rPr>
          <w:rtl/>
        </w:rPr>
        <w:t>النفقات</w:t>
      </w:r>
      <w:bookmarkStart w:id="6" w:name="Annex_D"/>
      <w:bookmarkEnd w:id="6"/>
    </w:p>
    <w:p w14:paraId="6BB132F3" w14:textId="77777777" w:rsidR="005850CA" w:rsidRDefault="00722A06" w:rsidP="000617E6">
      <w:pPr>
        <w:pStyle w:val="Headingb0"/>
        <w:rPr>
          <w:rtl/>
        </w:rPr>
      </w:pPr>
      <w:r w:rsidRPr="001F7339">
        <w:rPr>
          <w:rtl/>
        </w:rPr>
        <w:t>التكاليف الخاصة بالموظفين (المرتبات والبدلات، إلخ.)</w:t>
      </w:r>
    </w:p>
    <w:p w14:paraId="7C18EF9F" w14:textId="16A7D47B" w:rsidR="005850CA" w:rsidRDefault="000B2097" w:rsidP="000B2097">
      <w:pPr>
        <w:rPr>
          <w:rtl/>
        </w:rPr>
      </w:pPr>
      <w:r w:rsidRPr="000B2097">
        <w:rPr>
          <w:rtl/>
        </w:rPr>
        <w:t>تشمل هذه التكاليف جميع المبالغ المدفوعة بانتظام لموظفي الوظائف الثابتة والموظفين المؤقتين، مثل المرتبات الأساسية، وتسويات مقر العمل، وبدل اللغة، وبدل الاغتراب، وبدل الأسرة، والعمل الإضافي</w:t>
      </w:r>
      <w:r w:rsidR="00722A06" w:rsidRPr="000B2097">
        <w:rPr>
          <w:rtl/>
        </w:rPr>
        <w:t>.</w:t>
      </w:r>
    </w:p>
    <w:p w14:paraId="1833002C" w14:textId="77777777" w:rsidR="005850CA" w:rsidRDefault="00722A06" w:rsidP="000617E6">
      <w:pPr>
        <w:pStyle w:val="Headingb0"/>
        <w:rPr>
          <w:rtl/>
        </w:rPr>
      </w:pPr>
      <w:r w:rsidRPr="001F7339">
        <w:rPr>
          <w:rtl/>
        </w:rPr>
        <w:t>التكاليف الأخرى الخاصة بالموظفين</w:t>
      </w:r>
    </w:p>
    <w:p w14:paraId="2E0FB4D0" w14:textId="63ADA8D6" w:rsidR="00722A06" w:rsidRPr="001F7339" w:rsidRDefault="00722A06" w:rsidP="001F7339">
      <w:pPr>
        <w:rPr>
          <w:lang w:val="ar-SA" w:bidi="ar-EG"/>
        </w:rPr>
      </w:pPr>
      <w:r w:rsidRPr="001F7339">
        <w:rPr>
          <w:rtl/>
        </w:rPr>
        <w:t xml:space="preserve">تشمل </w:t>
      </w:r>
      <w:r w:rsidRPr="00D8446E">
        <w:rPr>
          <w:rtl/>
        </w:rPr>
        <w:t>هذه البنود</w:t>
      </w:r>
      <w:r w:rsidRPr="001F7339">
        <w:rPr>
          <w:rtl/>
        </w:rPr>
        <w:t xml:space="preserve"> مساهمة الاتحاد في المعاشات التقاعدية والتأمين الصحي، والتأمين ضد الحوادث ونفقات لجنة المعاشات التقاعدية، ومنحة التعليم والسفر، والسفر عند التعيين وانتهاء الخدمة، وبدلات الاستقرار والإعادة إلى الوطن، والسفر في إجازة زيارة الوطن، والإجازات المتراكمة، وتعويضات إنهاء الخدمة، ونفقات نقل الأمتعة. وتشمل هذه البنود كلّ من الوظائف الثابتة والموظفين المعينين بعقود قصيرة الأجل.</w:t>
      </w:r>
    </w:p>
    <w:p w14:paraId="770B4B7E" w14:textId="77777777" w:rsidR="005850CA" w:rsidRDefault="00722A06" w:rsidP="001F7339">
      <w:pPr>
        <w:rPr>
          <w:rtl/>
        </w:rPr>
      </w:pPr>
      <w:r w:rsidRPr="001F7339">
        <w:rPr>
          <w:rtl/>
        </w:rPr>
        <w:t>وتشمل هذه النفقات جميع المدفوعات المتعلقة بالموظفين المتقاعدين، مثل بدل غلاء المعيشة، وتأمين الورثة والتأمين الصحي.</w:t>
      </w:r>
    </w:p>
    <w:p w14:paraId="709E5447" w14:textId="77777777" w:rsidR="005850CA" w:rsidRDefault="00722A06" w:rsidP="000617E6">
      <w:pPr>
        <w:pStyle w:val="Headingb0"/>
        <w:rPr>
          <w:rtl/>
        </w:rPr>
      </w:pPr>
      <w:r w:rsidRPr="001F7339">
        <w:rPr>
          <w:rtl/>
        </w:rPr>
        <w:t>السفر</w:t>
      </w:r>
      <w:r w:rsidR="005850CA">
        <w:rPr>
          <w:rtl/>
        </w:rPr>
        <w:t xml:space="preserve"> </w:t>
      </w:r>
      <w:r w:rsidRPr="001F7339">
        <w:rPr>
          <w:rtl/>
        </w:rPr>
        <w:t>في مهام رسمية</w:t>
      </w:r>
    </w:p>
    <w:p w14:paraId="6E4FB5D6" w14:textId="7E110574" w:rsidR="005850CA" w:rsidRPr="007379AC" w:rsidRDefault="00722A06" w:rsidP="001F7339">
      <w:pPr>
        <w:rPr>
          <w:spacing w:val="-2"/>
          <w:rtl/>
        </w:rPr>
      </w:pPr>
      <w:r w:rsidRPr="007379AC">
        <w:rPr>
          <w:spacing w:val="-2"/>
          <w:rtl/>
        </w:rPr>
        <w:t xml:space="preserve">يشير السفر الرسمي إلى الرحلات التي يقوم بها الخبراء والمسؤولون إلى أماكن البعثات والمؤتمرات والاجتماعات. ويشمل هذا البند تذاكر السفر وبدل الإقامة اليومي </w:t>
      </w:r>
      <w:r w:rsidR="007379AC" w:rsidRPr="007379AC">
        <w:rPr>
          <w:spacing w:val="-2"/>
          <w:lang w:bidi="ar-EG"/>
        </w:rPr>
        <w:t>(</w:t>
      </w:r>
      <w:r w:rsidRPr="007379AC">
        <w:rPr>
          <w:spacing w:val="-2"/>
          <w:lang w:bidi="ar-EG"/>
        </w:rPr>
        <w:t>DSA</w:t>
      </w:r>
      <w:r w:rsidR="007379AC" w:rsidRPr="007379AC">
        <w:rPr>
          <w:spacing w:val="-2"/>
        </w:rPr>
        <w:t>)</w:t>
      </w:r>
      <w:r w:rsidRPr="007379AC">
        <w:rPr>
          <w:spacing w:val="-2"/>
          <w:rtl/>
        </w:rPr>
        <w:t xml:space="preserve"> والنفقات النثرية والتأمين. وتُدفع هذه النفقات لحضور المندوبين دورات المجلس ولمهام موظفي القطاعات، والأمانة العامة، ومستشاريهم. وتُصنف برامج المِنح ضمن هذه الفئة من النفقات.</w:t>
      </w:r>
    </w:p>
    <w:p w14:paraId="29669598" w14:textId="77777777" w:rsidR="005850CA" w:rsidRDefault="00722A06" w:rsidP="001F7339">
      <w:pPr>
        <w:rPr>
          <w:rtl/>
        </w:rPr>
      </w:pPr>
      <w:r w:rsidRPr="001F7339">
        <w:rPr>
          <w:rtl/>
        </w:rPr>
        <w:t>ولا تشمل هذه النفقات السفر المتعلق بتعيين الموظفين، وإجازة زيارة الوطن، والإعادة إلى الوطن (انظر التكاليف الأخرى الخاصة بالموظفين).‎</w:t>
      </w:r>
    </w:p>
    <w:p w14:paraId="269B62D8" w14:textId="77777777" w:rsidR="005850CA" w:rsidRDefault="00722A06" w:rsidP="000617E6">
      <w:pPr>
        <w:pStyle w:val="Headingb0"/>
        <w:rPr>
          <w:rtl/>
        </w:rPr>
      </w:pPr>
      <w:r w:rsidRPr="001F7339">
        <w:rPr>
          <w:rtl/>
        </w:rPr>
        <w:t>الخدمات التعاقدية</w:t>
      </w:r>
    </w:p>
    <w:p w14:paraId="55C87707" w14:textId="77777777" w:rsidR="005850CA" w:rsidRDefault="00722A06" w:rsidP="001F7339">
      <w:pPr>
        <w:rPr>
          <w:rtl/>
        </w:rPr>
      </w:pPr>
      <w:r w:rsidRPr="001F7339">
        <w:rPr>
          <w:rtl/>
        </w:rPr>
        <w:t>تشمل البنود المدرجة في هذه الفئة عموماً جميع الرسوم والمكافآت وتكاليف السفر من وإلى مكان الإقامة. وتُدفع لشركات الاستشارات مقابل الأعمال والترتيبات التعاقدية ذات الصلة. وتشمل أيضاً اتفاقات الخدمة الخاصة. ويغطي هذا البند أيضاً تكاليف التدريب لدورات اللغة والدورات المتخصصة.</w:t>
      </w:r>
    </w:p>
    <w:p w14:paraId="21B7C7D8" w14:textId="77777777" w:rsidR="005850CA" w:rsidRDefault="00722A06" w:rsidP="001F7339">
      <w:pPr>
        <w:rPr>
          <w:rtl/>
        </w:rPr>
      </w:pPr>
      <w:r w:rsidRPr="001F7339">
        <w:rPr>
          <w:rtl/>
        </w:rPr>
        <w:t>وتشمل أيضاً تكاليف الخدمات التي يتم شراؤها من جهات خارجية، مثل ترجمة الوثائق وخدمات الحاسوب وغيرها.</w:t>
      </w:r>
    </w:p>
    <w:p w14:paraId="50B04382" w14:textId="77777777" w:rsidR="005850CA" w:rsidRDefault="00722A06" w:rsidP="000617E6">
      <w:pPr>
        <w:pStyle w:val="Headingb0"/>
        <w:rPr>
          <w:rtl/>
        </w:rPr>
      </w:pPr>
      <w:r w:rsidRPr="001F7339">
        <w:rPr>
          <w:rtl/>
        </w:rPr>
        <w:t>استئجار الأماكن والمعدّات وصيانتها</w:t>
      </w:r>
    </w:p>
    <w:p w14:paraId="3DBA7DA8" w14:textId="77777777" w:rsidR="005850CA" w:rsidRDefault="00722A06" w:rsidP="001F7339">
      <w:pPr>
        <w:rPr>
          <w:rtl/>
        </w:rPr>
      </w:pPr>
      <w:r w:rsidRPr="001F7339">
        <w:rPr>
          <w:rtl/>
        </w:rPr>
        <w:t>تشمل النفقات في هذه الفئة استئجار قاعات الاجتماعات، ومواقف السيارات، والمعدات، بالإضافة إلى جميع نفقات صيانة المباني، والأراضي، والمركبات، والمعدات التقنية والحاسوبية، والبرمجيات، والتأمين المتعلق بها ضد الحريق، والفيضانات، وغيرها من الأضرار.</w:t>
      </w:r>
    </w:p>
    <w:p w14:paraId="607B841F" w14:textId="151ABC67" w:rsidR="00722A06" w:rsidRPr="00D10096" w:rsidRDefault="00722A06" w:rsidP="000617E6">
      <w:pPr>
        <w:pStyle w:val="Headingb0"/>
      </w:pPr>
      <w:r w:rsidRPr="001F7339">
        <w:rPr>
          <w:rtl/>
        </w:rPr>
        <w:t>المواد واللوازم</w:t>
      </w:r>
    </w:p>
    <w:p w14:paraId="7D88884D" w14:textId="77777777" w:rsidR="00722A06" w:rsidRPr="001F7339" w:rsidRDefault="00722A06" w:rsidP="001F7339">
      <w:pPr>
        <w:rPr>
          <w:lang w:val="ar-SA" w:bidi="ar-EG"/>
        </w:rPr>
      </w:pPr>
      <w:r w:rsidRPr="001F7339">
        <w:rPr>
          <w:rtl/>
        </w:rPr>
        <w:t>تشمل المواد واللوازم القرطاسية المكتبية ومستلزمات الطباعة ولوازم معدات تكنولوجيا المعلومات.</w:t>
      </w:r>
    </w:p>
    <w:p w14:paraId="031F2C24" w14:textId="77777777" w:rsidR="005850CA" w:rsidRDefault="00722A06" w:rsidP="000617E6">
      <w:pPr>
        <w:pStyle w:val="Headingb0"/>
        <w:rPr>
          <w:rtl/>
        </w:rPr>
      </w:pPr>
      <w:r w:rsidRPr="001F7339">
        <w:rPr>
          <w:rtl/>
        </w:rPr>
        <w:t>حيازة الأماكن والأثاث والمعدات</w:t>
      </w:r>
    </w:p>
    <w:p w14:paraId="690CB659" w14:textId="77777777" w:rsidR="005850CA" w:rsidRDefault="00722A06" w:rsidP="001F7339">
      <w:pPr>
        <w:rPr>
          <w:rtl/>
        </w:rPr>
      </w:pPr>
      <w:r w:rsidRPr="001F7339">
        <w:rPr>
          <w:rtl/>
        </w:rPr>
        <w:t>تتعلق هذه الفئة من النفقات أساساً ببنود ذات طابع رأسمالي وتشمل شراء الأثاث والمعدات الطرفية لتكنولوجيا المعلومات وغيرها من المعدات والمنشآت التقنية.</w:t>
      </w:r>
    </w:p>
    <w:p w14:paraId="00854357" w14:textId="77777777" w:rsidR="005850CA" w:rsidRDefault="00722A06" w:rsidP="000617E6">
      <w:pPr>
        <w:pStyle w:val="Headingb0"/>
        <w:rPr>
          <w:rtl/>
        </w:rPr>
      </w:pPr>
      <w:r w:rsidRPr="001F7339">
        <w:rPr>
          <w:rtl/>
        </w:rPr>
        <w:t>مرافق الخدمات العامة والداخلية</w:t>
      </w:r>
    </w:p>
    <w:p w14:paraId="0A79BEDF" w14:textId="77777777" w:rsidR="005850CA" w:rsidRDefault="00722A06" w:rsidP="001F7339">
      <w:pPr>
        <w:rPr>
          <w:rtl/>
        </w:rPr>
      </w:pPr>
      <w:r w:rsidRPr="001F7339">
        <w:rPr>
          <w:rtl/>
        </w:rPr>
        <w:t>تغطي هذه الفئة الخدمات الرسمية مثل الكهرباء والغاز والمياه والبريد والاتصالات والتدفئة والتبريد وخدمة المباني.</w:t>
      </w:r>
    </w:p>
    <w:p w14:paraId="2F351C66" w14:textId="77777777" w:rsidR="005850CA" w:rsidRDefault="00722A06" w:rsidP="000617E6">
      <w:pPr>
        <w:pStyle w:val="Headingb0"/>
        <w:rPr>
          <w:rtl/>
        </w:rPr>
      </w:pPr>
      <w:r w:rsidRPr="001F7339">
        <w:rPr>
          <w:rtl/>
        </w:rPr>
        <w:lastRenderedPageBreak/>
        <w:t>رسوم مراجعة الحسابات والرسوم المشتركة بين الوكالات ومتنوعات</w:t>
      </w:r>
    </w:p>
    <w:p w14:paraId="4B31801B" w14:textId="77777777" w:rsidR="005850CA" w:rsidRPr="003F69CB" w:rsidRDefault="00722A06" w:rsidP="005850CA">
      <w:pPr>
        <w:rPr>
          <w:rtl/>
        </w:rPr>
      </w:pPr>
      <w:r w:rsidRPr="003F69CB">
        <w:rPr>
          <w:rtl/>
        </w:rPr>
        <w:t>رسوم مراجعة الحسابات والرسوم المشتركة بين الوكالات</w:t>
      </w:r>
    </w:p>
    <w:p w14:paraId="07AA22B9" w14:textId="77777777" w:rsidR="005850CA" w:rsidRDefault="00722A06" w:rsidP="001F7339">
      <w:pPr>
        <w:rPr>
          <w:rtl/>
        </w:rPr>
      </w:pPr>
      <w:r w:rsidRPr="001F7339">
        <w:rPr>
          <w:rtl/>
        </w:rPr>
        <w:t>تتعلق هذه النفقات بالمراجعة الخارجية، ومشاركة الاتحاد في هيئات الأمم المتحدة المشتركة بين الوكالات، واللجان، والخدمات مثل وحدة التفتيش المشتركة، وغيرها.</w:t>
      </w:r>
    </w:p>
    <w:p w14:paraId="753F883F" w14:textId="77777777" w:rsidR="005850CA" w:rsidRDefault="00722A06" w:rsidP="005850CA">
      <w:pPr>
        <w:rPr>
          <w:color w:val="002060"/>
          <w:rtl/>
        </w:rPr>
      </w:pPr>
      <w:r w:rsidRPr="003F69CB">
        <w:rPr>
          <w:rtl/>
        </w:rPr>
        <w:t>متفرقات</w:t>
      </w:r>
    </w:p>
    <w:p w14:paraId="4039B2E6" w14:textId="2502BDFE" w:rsidR="00722A06" w:rsidRPr="001F7339" w:rsidRDefault="00722A06" w:rsidP="001F7339">
      <w:pPr>
        <w:rPr>
          <w:lang w:val="ar-SA" w:bidi="ar-EG"/>
        </w:rPr>
      </w:pPr>
      <w:r w:rsidRPr="001F7339">
        <w:rPr>
          <w:rtl/>
        </w:rPr>
        <w:t>تُنسب جميع النفقات إلى إحدى فئات النفقات المذكورة أعلاه. ومع ذلك، ينبغي تجميع النفقات المتوقعة والتي لا يمكن تصنيفها بشكل معقول ضمن إحدى هذه الفئات تحت بند "متفرقات".</w:t>
      </w:r>
    </w:p>
    <w:p w14:paraId="3587CB8E" w14:textId="636102CC" w:rsidR="00F50E3F" w:rsidRDefault="00375F26" w:rsidP="00D63735">
      <w:pPr>
        <w:spacing w:before="600"/>
        <w:jc w:val="center"/>
        <w:rPr>
          <w:rtl/>
          <w:lang w:bidi="ar-EG"/>
        </w:rPr>
      </w:pPr>
      <w:r w:rsidRPr="0039465C">
        <w:rPr>
          <w:rFonts w:hint="cs"/>
          <w:rtl/>
          <w:lang w:bidi="ar-EG"/>
        </w:rPr>
        <w:t>ــــــــــــــــــــــــــــــــــــــــــــــــــــــــــــــــــــــــــــــــــــــــــــــــ</w:t>
      </w:r>
    </w:p>
    <w:sectPr w:rsidR="00F50E3F" w:rsidSect="00375F26">
      <w:footerReference w:type="default" r:id="rId82"/>
      <w:footerReference w:type="first" r:id="rId83"/>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0950F" w14:textId="77777777" w:rsidR="004F6BF7" w:rsidRDefault="004F6BF7" w:rsidP="006C3242">
      <w:pPr>
        <w:spacing w:before="0" w:line="240" w:lineRule="auto"/>
      </w:pPr>
      <w:r>
        <w:separator/>
      </w:r>
    </w:p>
  </w:endnote>
  <w:endnote w:type="continuationSeparator" w:id="0">
    <w:p w14:paraId="224E6450" w14:textId="77777777" w:rsidR="004F6BF7" w:rsidRDefault="004F6BF7"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6FF" w:usb1="420024FF" w:usb2="02000000" w:usb3="00000000" w:csb0="0000019F" w:csb1="00000000"/>
  </w:font>
  <w:font w:name="Avenir Nxt2 W1G Medium">
    <w:altName w:val="Calibri"/>
    <w:panose1 w:val="020B0603020202020204"/>
    <w:charset w:val="00"/>
    <w:family w:val="swiss"/>
    <w:notTrueType/>
    <w:pitch w:val="variable"/>
    <w:sig w:usb0="A00002EF"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C22B2" w14:textId="77777777" w:rsidR="00B14143" w:rsidRDefault="00B14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7874"/>
      <w:gridCol w:w="443"/>
    </w:tblGrid>
    <w:tr w:rsidR="00722A06" w:rsidRPr="007B0AA0" w14:paraId="7CF45FA1" w14:textId="77777777" w:rsidTr="0051167D">
      <w:trPr>
        <w:jc w:val="center"/>
      </w:trPr>
      <w:tc>
        <w:tcPr>
          <w:tcW w:w="868" w:type="pct"/>
          <w:vAlign w:val="center"/>
        </w:tcPr>
        <w:p w14:paraId="2963AF26" w14:textId="306968A1" w:rsidR="00722A06" w:rsidRPr="007B0AA0" w:rsidRDefault="00722A06" w:rsidP="00B14143">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722A06">
            <w:rPr>
              <w:rFonts w:ascii="Calibri" w:hAnsi="Calibri" w:cs="Arial"/>
              <w:sz w:val="18"/>
              <w:szCs w:val="14"/>
            </w:rPr>
            <w:t>2501138</w:t>
          </w:r>
        </w:p>
      </w:tc>
      <w:tc>
        <w:tcPr>
          <w:tcW w:w="3912" w:type="pct"/>
        </w:tcPr>
        <w:p w14:paraId="704317BF" w14:textId="5B1896E9" w:rsidR="00722A06" w:rsidRPr="007B0AA0" w:rsidRDefault="00722A0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47</w:t>
          </w:r>
          <w:r w:rsidRPr="007B0AA0">
            <w:rPr>
              <w:rFonts w:ascii="Calibri" w:hAnsi="Calibri" w:cs="Arial"/>
              <w:bCs/>
              <w:color w:val="7F7F7F"/>
              <w:sz w:val="18"/>
            </w:rPr>
            <w:t>-</w:t>
          </w:r>
          <w:r>
            <w:rPr>
              <w:rFonts w:ascii="Calibri" w:hAnsi="Calibri" w:cs="Arial"/>
              <w:bCs/>
              <w:color w:val="7F7F7F"/>
              <w:sz w:val="18"/>
            </w:rPr>
            <w:t>A</w:t>
          </w:r>
        </w:p>
      </w:tc>
      <w:tc>
        <w:tcPr>
          <w:tcW w:w="220" w:type="pct"/>
        </w:tcPr>
        <w:p w14:paraId="58F2FD83" w14:textId="77777777" w:rsidR="00722A06" w:rsidRPr="007B0AA0" w:rsidRDefault="00722A0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09A39AE3" w14:textId="77777777" w:rsidR="00722A06" w:rsidRPr="00FD5EE7" w:rsidRDefault="00722A06" w:rsidP="00FD5EE7">
    <w:pPr>
      <w:pStyle w:val="Footer"/>
      <w:spacing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9"/>
      <w:gridCol w:w="7584"/>
      <w:gridCol w:w="441"/>
    </w:tblGrid>
    <w:tr w:rsidR="00722A06" w:rsidRPr="007B0AA0" w14:paraId="67753FE4" w14:textId="77777777" w:rsidTr="0051167D">
      <w:trPr>
        <w:jc w:val="center"/>
      </w:trPr>
      <w:tc>
        <w:tcPr>
          <w:tcW w:w="1013" w:type="pct"/>
          <w:vAlign w:val="center"/>
        </w:tcPr>
        <w:p w14:paraId="77EC8F06" w14:textId="77777777" w:rsidR="00722A06" w:rsidRPr="00660DEA" w:rsidRDefault="00722A06" w:rsidP="00B14143">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color w:val="7F7F7F"/>
              <w:sz w:val="18"/>
            </w:rPr>
          </w:pPr>
          <w:hyperlink r:id="rId1" w:history="1">
            <w:r w:rsidRPr="00660DEA">
              <w:rPr>
                <w:rStyle w:val="Hyperlink"/>
              </w:rPr>
              <w:t>council.itu.int/2025</w:t>
            </w:r>
          </w:hyperlink>
        </w:p>
      </w:tc>
      <w:tc>
        <w:tcPr>
          <w:tcW w:w="3768" w:type="pct"/>
        </w:tcPr>
        <w:p w14:paraId="4937D32A" w14:textId="6BFDBF87" w:rsidR="00722A06" w:rsidRPr="007B0AA0" w:rsidRDefault="00722A0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47</w:t>
          </w:r>
          <w:r w:rsidRPr="007B0AA0">
            <w:rPr>
              <w:rFonts w:ascii="Calibri" w:hAnsi="Calibri" w:cs="Arial"/>
              <w:bCs/>
              <w:color w:val="7F7F7F"/>
              <w:sz w:val="18"/>
            </w:rPr>
            <w:t>-</w:t>
          </w:r>
          <w:r>
            <w:rPr>
              <w:rFonts w:ascii="Calibri" w:hAnsi="Calibri" w:cs="Arial"/>
              <w:bCs/>
              <w:color w:val="7F7F7F"/>
              <w:sz w:val="18"/>
            </w:rPr>
            <w:t>A</w:t>
          </w:r>
        </w:p>
      </w:tc>
      <w:tc>
        <w:tcPr>
          <w:tcW w:w="220" w:type="pct"/>
        </w:tcPr>
        <w:p w14:paraId="7DACC101" w14:textId="77777777" w:rsidR="00722A06" w:rsidRPr="007B0AA0" w:rsidRDefault="00722A0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1</w:t>
          </w:r>
          <w:r w:rsidRPr="007B0AA0">
            <w:rPr>
              <w:rFonts w:ascii="Calibri" w:hAnsi="Calibri" w:cs="Arial"/>
              <w:noProof/>
              <w:color w:val="7F7F7F"/>
              <w:sz w:val="18"/>
            </w:rPr>
            <w:fldChar w:fldCharType="end"/>
          </w:r>
        </w:p>
      </w:tc>
    </w:tr>
  </w:tbl>
  <w:p w14:paraId="03681A11" w14:textId="77777777" w:rsidR="00722A06" w:rsidRPr="00FD5EE7" w:rsidRDefault="00722A06" w:rsidP="00FD5EE7">
    <w:pPr>
      <w:pStyle w:val="Footer"/>
      <w:spacing w:after="0"/>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12288"/>
      <w:gridCol w:w="691"/>
    </w:tblGrid>
    <w:tr w:rsidR="00F50E3F" w:rsidRPr="007B0AA0" w14:paraId="6FC91AE6" w14:textId="77777777" w:rsidTr="00B14143">
      <w:trPr>
        <w:jc w:val="center"/>
      </w:trPr>
      <w:tc>
        <w:tcPr>
          <w:tcW w:w="868" w:type="pct"/>
          <w:vAlign w:val="center"/>
        </w:tcPr>
        <w:p w14:paraId="7ED640E2" w14:textId="0CC8ACEF" w:rsidR="00F50E3F" w:rsidRPr="007B0AA0" w:rsidRDefault="006C6EBB" w:rsidP="00B14143">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6C6EBB">
            <w:rPr>
              <w:rFonts w:ascii="Calibri" w:hAnsi="Calibri" w:cs="Arial"/>
              <w:sz w:val="18"/>
              <w:szCs w:val="14"/>
            </w:rPr>
            <w:t>2501138</w:t>
          </w:r>
        </w:p>
      </w:tc>
      <w:tc>
        <w:tcPr>
          <w:tcW w:w="3912" w:type="pct"/>
        </w:tcPr>
        <w:p w14:paraId="7C8412C3" w14:textId="26015512" w:rsidR="00F50E3F" w:rsidRPr="007B0AA0" w:rsidRDefault="00F50E3F"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sidR="006F363C">
            <w:rPr>
              <w:rFonts w:ascii="Calibri" w:hAnsi="Calibri" w:cs="Arial"/>
              <w:bCs/>
              <w:color w:val="7F7F7F"/>
              <w:sz w:val="18"/>
            </w:rPr>
            <w:t>5</w:t>
          </w:r>
          <w:r w:rsidRPr="007B0AA0">
            <w:rPr>
              <w:rFonts w:ascii="Calibri" w:hAnsi="Calibri" w:cs="Arial"/>
              <w:bCs/>
              <w:color w:val="7F7F7F"/>
              <w:sz w:val="18"/>
            </w:rPr>
            <w:t>/</w:t>
          </w:r>
          <w:r w:rsidR="006C6EBB">
            <w:rPr>
              <w:rFonts w:ascii="Calibri" w:hAnsi="Calibri" w:cs="Arial"/>
              <w:bCs/>
              <w:color w:val="7F7F7F"/>
              <w:sz w:val="18"/>
            </w:rPr>
            <w:t>47</w:t>
          </w:r>
          <w:r w:rsidRPr="007B0AA0">
            <w:rPr>
              <w:rFonts w:ascii="Calibri" w:hAnsi="Calibri" w:cs="Arial"/>
              <w:bCs/>
              <w:color w:val="7F7F7F"/>
              <w:sz w:val="18"/>
            </w:rPr>
            <w:t>-</w:t>
          </w:r>
          <w:r>
            <w:rPr>
              <w:rFonts w:ascii="Calibri" w:hAnsi="Calibri" w:cs="Arial"/>
              <w:bCs/>
              <w:color w:val="7F7F7F"/>
              <w:sz w:val="18"/>
            </w:rPr>
            <w:t>A</w:t>
          </w:r>
        </w:p>
      </w:tc>
      <w:tc>
        <w:tcPr>
          <w:tcW w:w="220" w:type="pct"/>
        </w:tcPr>
        <w:p w14:paraId="71D0BBFF" w14:textId="77777777" w:rsidR="00F50E3F" w:rsidRPr="007B0AA0" w:rsidRDefault="00F50E3F"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1119CDBD" w14:textId="77777777" w:rsidR="006C3242" w:rsidRPr="00037C06" w:rsidRDefault="006C3242" w:rsidP="00037C06">
    <w:pPr>
      <w:pStyle w:val="Footer"/>
      <w:tabs>
        <w:tab w:val="clear" w:pos="4153"/>
        <w:tab w:val="clear" w:pos="8306"/>
        <w:tab w:val="center" w:pos="5103"/>
        <w:tab w:val="right" w:pos="9639"/>
      </w:tabs>
      <w:spacing w:after="0"/>
      <w:rPr>
        <w:sz w:val="2"/>
        <w:szCs w:val="2"/>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12903"/>
      <w:gridCol w:w="726"/>
    </w:tblGrid>
    <w:tr w:rsidR="00861FA3" w:rsidRPr="007B0AA0" w14:paraId="1255BA01" w14:textId="77777777" w:rsidTr="00037C06">
      <w:trPr>
        <w:jc w:val="center"/>
      </w:trPr>
      <w:tc>
        <w:tcPr>
          <w:tcW w:w="868" w:type="pct"/>
          <w:vAlign w:val="center"/>
        </w:tcPr>
        <w:p w14:paraId="36A09456" w14:textId="77777777" w:rsidR="00861FA3" w:rsidRPr="007B0AA0" w:rsidRDefault="00861FA3" w:rsidP="00B14143">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722A06">
            <w:rPr>
              <w:rFonts w:ascii="Calibri" w:hAnsi="Calibri" w:cs="Arial"/>
              <w:sz w:val="18"/>
              <w:szCs w:val="14"/>
            </w:rPr>
            <w:t>2501138</w:t>
          </w:r>
        </w:p>
      </w:tc>
      <w:tc>
        <w:tcPr>
          <w:tcW w:w="3912" w:type="pct"/>
        </w:tcPr>
        <w:p w14:paraId="49677B29" w14:textId="77777777" w:rsidR="00861FA3" w:rsidRPr="007B0AA0" w:rsidRDefault="00861FA3"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47</w:t>
          </w:r>
          <w:r w:rsidRPr="007B0AA0">
            <w:rPr>
              <w:rFonts w:ascii="Calibri" w:hAnsi="Calibri" w:cs="Arial"/>
              <w:bCs/>
              <w:color w:val="7F7F7F"/>
              <w:sz w:val="18"/>
            </w:rPr>
            <w:t>-</w:t>
          </w:r>
          <w:r>
            <w:rPr>
              <w:rFonts w:ascii="Calibri" w:hAnsi="Calibri" w:cs="Arial"/>
              <w:bCs/>
              <w:color w:val="7F7F7F"/>
              <w:sz w:val="18"/>
            </w:rPr>
            <w:t>A</w:t>
          </w:r>
        </w:p>
      </w:tc>
      <w:tc>
        <w:tcPr>
          <w:tcW w:w="220" w:type="pct"/>
        </w:tcPr>
        <w:p w14:paraId="21ECBE85" w14:textId="77777777" w:rsidR="00861FA3" w:rsidRPr="007B0AA0" w:rsidRDefault="00861FA3"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19</w:t>
          </w:r>
          <w:r w:rsidRPr="007B0AA0">
            <w:rPr>
              <w:rFonts w:ascii="Calibri" w:hAnsi="Calibri" w:cs="Arial"/>
              <w:noProof/>
              <w:color w:val="7F7F7F"/>
              <w:sz w:val="18"/>
            </w:rPr>
            <w:fldChar w:fldCharType="end"/>
          </w:r>
        </w:p>
      </w:tc>
    </w:tr>
  </w:tbl>
  <w:p w14:paraId="08FD4357" w14:textId="77777777" w:rsidR="0006468A" w:rsidRPr="007E1F68" w:rsidRDefault="0006468A" w:rsidP="00037C06">
    <w:pPr>
      <w:pStyle w:val="Footer"/>
      <w:spacing w:after="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7874"/>
      <w:gridCol w:w="443"/>
    </w:tblGrid>
    <w:tr w:rsidR="00037C06" w:rsidRPr="007B0AA0" w14:paraId="50BAEF1B" w14:textId="77777777" w:rsidTr="00037C06">
      <w:trPr>
        <w:jc w:val="center"/>
      </w:trPr>
      <w:tc>
        <w:tcPr>
          <w:tcW w:w="868" w:type="pct"/>
          <w:vAlign w:val="center"/>
        </w:tcPr>
        <w:p w14:paraId="7D6577F3" w14:textId="77777777" w:rsidR="00037C06" w:rsidRPr="007B0AA0" w:rsidRDefault="00037C06" w:rsidP="00B14143">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6C6EBB">
            <w:rPr>
              <w:rFonts w:ascii="Calibri" w:hAnsi="Calibri" w:cs="Arial"/>
              <w:sz w:val="18"/>
              <w:szCs w:val="14"/>
            </w:rPr>
            <w:t>2501138</w:t>
          </w:r>
        </w:p>
      </w:tc>
      <w:tc>
        <w:tcPr>
          <w:tcW w:w="3912" w:type="pct"/>
        </w:tcPr>
        <w:p w14:paraId="38B7AF39" w14:textId="77777777" w:rsidR="00037C06" w:rsidRPr="007B0AA0" w:rsidRDefault="00037C0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47</w:t>
          </w:r>
          <w:r w:rsidRPr="007B0AA0">
            <w:rPr>
              <w:rFonts w:ascii="Calibri" w:hAnsi="Calibri" w:cs="Arial"/>
              <w:bCs/>
              <w:color w:val="7F7F7F"/>
              <w:sz w:val="18"/>
            </w:rPr>
            <w:t>-</w:t>
          </w:r>
          <w:r>
            <w:rPr>
              <w:rFonts w:ascii="Calibri" w:hAnsi="Calibri" w:cs="Arial"/>
              <w:bCs/>
              <w:color w:val="7F7F7F"/>
              <w:sz w:val="18"/>
            </w:rPr>
            <w:t>A</w:t>
          </w:r>
        </w:p>
      </w:tc>
      <w:tc>
        <w:tcPr>
          <w:tcW w:w="220" w:type="pct"/>
        </w:tcPr>
        <w:p w14:paraId="79C9E09D" w14:textId="77777777" w:rsidR="00037C06" w:rsidRPr="007B0AA0" w:rsidRDefault="00037C0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cs="Arial"/>
              <w:color w:val="7F7F7F"/>
              <w:sz w:val="18"/>
            </w:rPr>
            <w:t>1</w:t>
          </w:r>
          <w:r w:rsidRPr="007B0AA0">
            <w:rPr>
              <w:rFonts w:ascii="Calibri" w:hAnsi="Calibri" w:cs="Arial"/>
              <w:noProof/>
              <w:color w:val="7F7F7F"/>
              <w:sz w:val="18"/>
            </w:rPr>
            <w:fldChar w:fldCharType="end"/>
          </w:r>
        </w:p>
      </w:tc>
    </w:tr>
  </w:tbl>
  <w:p w14:paraId="2E73B341" w14:textId="77777777" w:rsidR="00037C06" w:rsidRPr="00037C06" w:rsidRDefault="00037C06" w:rsidP="00037C06">
    <w:pPr>
      <w:pStyle w:val="Footer"/>
      <w:tabs>
        <w:tab w:val="clear" w:pos="4153"/>
        <w:tab w:val="clear" w:pos="8306"/>
        <w:tab w:val="center" w:pos="5103"/>
        <w:tab w:val="right" w:pos="9639"/>
      </w:tabs>
      <w:spacing w:after="0"/>
      <w:rPr>
        <w:sz w:val="2"/>
        <w:szCs w:val="2"/>
        <w:lang w:val="fr-FR"/>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7"/>
      <w:gridCol w:w="7874"/>
      <w:gridCol w:w="443"/>
    </w:tblGrid>
    <w:tr w:rsidR="00375F26" w:rsidRPr="007B0AA0" w14:paraId="3042B7CC" w14:textId="77777777" w:rsidTr="00037C06">
      <w:trPr>
        <w:jc w:val="center"/>
      </w:trPr>
      <w:tc>
        <w:tcPr>
          <w:tcW w:w="868" w:type="pct"/>
          <w:vAlign w:val="center"/>
        </w:tcPr>
        <w:p w14:paraId="0EB53F94" w14:textId="77777777" w:rsidR="00375F26" w:rsidRPr="007B0AA0" w:rsidRDefault="00375F26" w:rsidP="00B14143">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722A06">
            <w:rPr>
              <w:rFonts w:ascii="Calibri" w:hAnsi="Calibri" w:cs="Arial"/>
              <w:sz w:val="18"/>
              <w:szCs w:val="14"/>
            </w:rPr>
            <w:t>2501138</w:t>
          </w:r>
        </w:p>
      </w:tc>
      <w:tc>
        <w:tcPr>
          <w:tcW w:w="3912" w:type="pct"/>
        </w:tcPr>
        <w:p w14:paraId="5A54D327" w14:textId="77777777" w:rsidR="00375F26" w:rsidRPr="007B0AA0" w:rsidRDefault="00375F2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47</w:t>
          </w:r>
          <w:r w:rsidRPr="007B0AA0">
            <w:rPr>
              <w:rFonts w:ascii="Calibri" w:hAnsi="Calibri" w:cs="Arial"/>
              <w:bCs/>
              <w:color w:val="7F7F7F"/>
              <w:sz w:val="18"/>
            </w:rPr>
            <w:t>-</w:t>
          </w:r>
          <w:r>
            <w:rPr>
              <w:rFonts w:ascii="Calibri" w:hAnsi="Calibri" w:cs="Arial"/>
              <w:bCs/>
              <w:color w:val="7F7F7F"/>
              <w:sz w:val="18"/>
            </w:rPr>
            <w:t>A</w:t>
          </w:r>
        </w:p>
      </w:tc>
      <w:tc>
        <w:tcPr>
          <w:tcW w:w="220" w:type="pct"/>
        </w:tcPr>
        <w:p w14:paraId="03355677" w14:textId="77777777" w:rsidR="00375F26" w:rsidRPr="007B0AA0" w:rsidRDefault="00375F26" w:rsidP="00B14143">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19</w:t>
          </w:r>
          <w:r w:rsidRPr="007B0AA0">
            <w:rPr>
              <w:rFonts w:ascii="Calibri" w:hAnsi="Calibri" w:cs="Arial"/>
              <w:noProof/>
              <w:color w:val="7F7F7F"/>
              <w:sz w:val="18"/>
            </w:rPr>
            <w:fldChar w:fldCharType="end"/>
          </w:r>
        </w:p>
      </w:tc>
    </w:tr>
  </w:tbl>
  <w:p w14:paraId="0A91D92B" w14:textId="77777777" w:rsidR="00375F26" w:rsidRPr="00037C06" w:rsidRDefault="00375F26" w:rsidP="00037C06">
    <w:pPr>
      <w:pStyle w:val="Footer"/>
      <w:spacing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563B9" w14:textId="77777777" w:rsidR="004F6BF7" w:rsidRDefault="004F6BF7" w:rsidP="006C3242">
      <w:pPr>
        <w:spacing w:before="0" w:line="240" w:lineRule="auto"/>
      </w:pPr>
      <w:r>
        <w:separator/>
      </w:r>
    </w:p>
  </w:footnote>
  <w:footnote w:type="continuationSeparator" w:id="0">
    <w:p w14:paraId="52EAE43E" w14:textId="77777777" w:rsidR="004F6BF7" w:rsidRDefault="004F6BF7"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72763" w14:textId="77777777" w:rsidR="00B14143" w:rsidRDefault="00B14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A3CF3" w14:textId="77777777" w:rsidR="00B14143" w:rsidRDefault="00B14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324B" w14:textId="6E4478E6" w:rsidR="00722A06" w:rsidRPr="00037C06" w:rsidRDefault="00037C06" w:rsidP="00037C06">
    <w:pPr>
      <w:pStyle w:val="Header"/>
      <w:spacing w:before="120" w:after="600"/>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01951BC2" wp14:editId="50568A3D">
              <wp:simplePos x="0" y="0"/>
              <wp:positionH relativeFrom="page">
                <wp:posOffset>7453630</wp:posOffset>
              </wp:positionH>
              <wp:positionV relativeFrom="topMargin">
                <wp:posOffset>641294</wp:posOffset>
              </wp:positionV>
              <wp:extent cx="92075" cy="360680"/>
              <wp:effectExtent l="0" t="0" r="3175" b="12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F555D" id="Rectangle 8" o:spid="_x0000_s1026" style="position:absolute;margin-left:586.9pt;margin-top:50.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" fillcolor="#009cd5" stroked="f">
              <w10:wrap anchorx="page" anchory="margin"/>
            </v:rect>
          </w:pict>
        </mc:Fallback>
      </mc:AlternateContent>
    </w:r>
    <w:r>
      <w:rPr>
        <w:rFonts w:ascii="Avenir Nxt2 W1G Medium" w:eastAsia="Avenir Nxt2 W1G Medium" w:hAnsi="Avenir Nxt2 W1G Medium" w:cs="Avenir Nxt2 W1G Medium"/>
        <w:noProof/>
      </w:rPr>
      <w:drawing>
        <wp:inline distT="0" distB="0" distL="0" distR="0" wp14:anchorId="230218CF" wp14:editId="227E898E">
          <wp:extent cx="2999433" cy="612775"/>
          <wp:effectExtent l="0" t="0" r="0" b="0"/>
          <wp:docPr id="1631567398"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67398" name="Picture 1" descr="A black background with blue text&#10;&#10;AI-generated content may be incorrect."/>
                  <pic:cNvPicPr/>
                </pic:nvPicPr>
                <pic:blipFill rotWithShape="1">
                  <a:blip r:embed="rId1">
                    <a:extLst>
                      <a:ext uri="{28A0092B-C50C-407E-A947-70E740481C1C}">
                        <a14:useLocalDpi xmlns:a14="http://schemas.microsoft.com/office/drawing/2010/main" val="0"/>
                      </a:ext>
                    </a:extLst>
                  </a:blip>
                  <a:srcRect r="18302"/>
                  <a:stretch/>
                </pic:blipFill>
                <pic:spPr bwMode="auto">
                  <a:xfrm>
                    <a:off x="0" y="0"/>
                    <a:ext cx="2999932" cy="61287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37CF4" w14:textId="469B424B" w:rsidR="007B0AA0" w:rsidRPr="00861FA3" w:rsidRDefault="007B0AA0" w:rsidP="00861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974606"/>
    <w:multiLevelType w:val="hybridMultilevel"/>
    <w:tmpl w:val="4E4896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5874DCE"/>
    <w:multiLevelType w:val="hybridMultilevel"/>
    <w:tmpl w:val="4C9451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BC132E"/>
    <w:multiLevelType w:val="multilevel"/>
    <w:tmpl w:val="2390D0EC"/>
    <w:lvl w:ilvl="0">
      <w:start w:val="1"/>
      <w:numFmt w:val="decimal"/>
      <w:lvlText w:val="%1"/>
      <w:lvlJc w:val="left"/>
      <w:pPr>
        <w:ind w:left="585" w:hanging="585"/>
      </w:pPr>
      <w:rPr>
        <w:rFonts w:hint="default"/>
      </w:rPr>
    </w:lvl>
    <w:lvl w:ilvl="1">
      <w:start w:val="1"/>
      <w:numFmt w:val="decimal"/>
      <w:lvlText w:val="%1.%2"/>
      <w:lvlJc w:val="left"/>
      <w:pPr>
        <w:ind w:left="571" w:hanging="585"/>
      </w:pPr>
      <w:rPr>
        <w:rFonts w:hint="default"/>
      </w:rPr>
    </w:lvl>
    <w:lvl w:ilvl="2">
      <w:start w:val="1"/>
      <w:numFmt w:val="decimal"/>
      <w:lvlText w:val="%1.%2.%3"/>
      <w:lvlJc w:val="left"/>
      <w:pPr>
        <w:ind w:left="692" w:hanging="720"/>
      </w:pPr>
      <w:rPr>
        <w:rFonts w:hint="default"/>
      </w:rPr>
    </w:lvl>
    <w:lvl w:ilvl="3">
      <w:start w:val="1"/>
      <w:numFmt w:val="decimal"/>
      <w:lvlText w:val="%1.%2.%3.%4"/>
      <w:lvlJc w:val="left"/>
      <w:pPr>
        <w:ind w:left="678" w:hanging="720"/>
      </w:pPr>
      <w:rPr>
        <w:rFonts w:hint="default"/>
      </w:rPr>
    </w:lvl>
    <w:lvl w:ilvl="4">
      <w:start w:val="1"/>
      <w:numFmt w:val="decimal"/>
      <w:lvlText w:val="%1.%2.%3.%4.%5"/>
      <w:lvlJc w:val="left"/>
      <w:pPr>
        <w:ind w:left="1024" w:hanging="1080"/>
      </w:pPr>
      <w:rPr>
        <w:rFonts w:hint="default"/>
      </w:rPr>
    </w:lvl>
    <w:lvl w:ilvl="5">
      <w:start w:val="1"/>
      <w:numFmt w:val="decimal"/>
      <w:lvlText w:val="%1.%2.%3.%4.%5.%6"/>
      <w:lvlJc w:val="left"/>
      <w:pPr>
        <w:ind w:left="1010" w:hanging="1080"/>
      </w:pPr>
      <w:rPr>
        <w:rFonts w:hint="default"/>
      </w:rPr>
    </w:lvl>
    <w:lvl w:ilvl="6">
      <w:start w:val="1"/>
      <w:numFmt w:val="decimal"/>
      <w:lvlText w:val="%1.%2.%3.%4.%5.%6.%7"/>
      <w:lvlJc w:val="left"/>
      <w:pPr>
        <w:ind w:left="996" w:hanging="1080"/>
      </w:pPr>
      <w:rPr>
        <w:rFonts w:hint="default"/>
      </w:rPr>
    </w:lvl>
    <w:lvl w:ilvl="7">
      <w:start w:val="1"/>
      <w:numFmt w:val="decimal"/>
      <w:lvlText w:val="%1.%2.%3.%4.%5.%6.%7.%8"/>
      <w:lvlJc w:val="left"/>
      <w:pPr>
        <w:ind w:left="1342" w:hanging="1440"/>
      </w:pPr>
      <w:rPr>
        <w:rFonts w:hint="default"/>
      </w:rPr>
    </w:lvl>
    <w:lvl w:ilvl="8">
      <w:start w:val="1"/>
      <w:numFmt w:val="decimal"/>
      <w:lvlText w:val="%1.%2.%3.%4.%5.%6.%7.%8.%9"/>
      <w:lvlJc w:val="left"/>
      <w:pPr>
        <w:ind w:left="1328" w:hanging="1440"/>
      </w:pPr>
      <w:rPr>
        <w:rFonts w:hint="default"/>
      </w:rPr>
    </w:lvl>
  </w:abstractNum>
  <w:abstractNum w:abstractNumId="13" w15:restartNumberingAfterBreak="0">
    <w:nsid w:val="0DCD1D4B"/>
    <w:multiLevelType w:val="hybridMultilevel"/>
    <w:tmpl w:val="1354E8AA"/>
    <w:lvl w:ilvl="0" w:tplc="08090003">
      <w:start w:val="1"/>
      <w:numFmt w:val="bullet"/>
      <w:lvlText w:val="o"/>
      <w:lvlJc w:val="left"/>
      <w:pPr>
        <w:ind w:left="720" w:hanging="360"/>
      </w:pPr>
      <w:rPr>
        <w:rFonts w:ascii="Courier New" w:hAnsi="Courier New" w:cs="Courier New" w:hint="default"/>
      </w:rPr>
    </w:lvl>
    <w:lvl w:ilvl="1" w:tplc="68A4BD38">
      <w:numFmt w:val="bullet"/>
      <w:lvlText w:val="-"/>
      <w:lvlJc w:val="left"/>
      <w:pPr>
        <w:ind w:left="1440" w:hanging="360"/>
      </w:pPr>
      <w:rPr>
        <w:rFonts w:ascii="Traditional Arabic" w:eastAsiaTheme="minorHAnsi" w:hAnsi="Traditional Arabic" w:cs="Traditional Arabic"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10678B"/>
    <w:multiLevelType w:val="hybridMultilevel"/>
    <w:tmpl w:val="6CD0DC38"/>
    <w:lvl w:ilvl="0" w:tplc="9F1A31CA">
      <w:numFmt w:val="bullet"/>
      <w:lvlText w:val="-"/>
      <w:lvlJc w:val="left"/>
      <w:pPr>
        <w:ind w:left="920" w:hanging="5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7F7446"/>
    <w:multiLevelType w:val="hybridMultilevel"/>
    <w:tmpl w:val="DBEA5F38"/>
    <w:lvl w:ilvl="0" w:tplc="9F1A31CA">
      <w:numFmt w:val="bullet"/>
      <w:lvlText w:val="-"/>
      <w:lvlJc w:val="left"/>
      <w:pPr>
        <w:ind w:left="920" w:hanging="5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203C51"/>
    <w:multiLevelType w:val="hybridMultilevel"/>
    <w:tmpl w:val="7640E3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846919"/>
    <w:multiLevelType w:val="hybridMultilevel"/>
    <w:tmpl w:val="55027E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18401B"/>
    <w:multiLevelType w:val="hybridMultilevel"/>
    <w:tmpl w:val="E1D64B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9EB28C0"/>
    <w:multiLevelType w:val="hybridMultilevel"/>
    <w:tmpl w:val="2F6E1662"/>
    <w:lvl w:ilvl="0" w:tplc="2CF2A280">
      <w:start w:val="1"/>
      <w:numFmt w:val="bullet"/>
      <w:lvlText w:val="•"/>
      <w:lvlJc w:val="left"/>
      <w:pPr>
        <w:tabs>
          <w:tab w:val="num" w:pos="720"/>
        </w:tabs>
        <w:ind w:left="720" w:hanging="360"/>
      </w:pPr>
      <w:rPr>
        <w:rFonts w:ascii="Arial" w:hAnsi="Arial" w:hint="default"/>
      </w:rPr>
    </w:lvl>
    <w:lvl w:ilvl="1" w:tplc="B40CD220" w:tentative="1">
      <w:start w:val="1"/>
      <w:numFmt w:val="bullet"/>
      <w:lvlText w:val="•"/>
      <w:lvlJc w:val="left"/>
      <w:pPr>
        <w:tabs>
          <w:tab w:val="num" w:pos="1440"/>
        </w:tabs>
        <w:ind w:left="1440" w:hanging="360"/>
      </w:pPr>
      <w:rPr>
        <w:rFonts w:ascii="Arial" w:hAnsi="Arial" w:hint="default"/>
      </w:rPr>
    </w:lvl>
    <w:lvl w:ilvl="2" w:tplc="A61C33F2" w:tentative="1">
      <w:start w:val="1"/>
      <w:numFmt w:val="bullet"/>
      <w:lvlText w:val="•"/>
      <w:lvlJc w:val="left"/>
      <w:pPr>
        <w:tabs>
          <w:tab w:val="num" w:pos="2160"/>
        </w:tabs>
        <w:ind w:left="2160" w:hanging="360"/>
      </w:pPr>
      <w:rPr>
        <w:rFonts w:ascii="Arial" w:hAnsi="Arial" w:hint="default"/>
      </w:rPr>
    </w:lvl>
    <w:lvl w:ilvl="3" w:tplc="1D7A2330" w:tentative="1">
      <w:start w:val="1"/>
      <w:numFmt w:val="bullet"/>
      <w:lvlText w:val="•"/>
      <w:lvlJc w:val="left"/>
      <w:pPr>
        <w:tabs>
          <w:tab w:val="num" w:pos="2880"/>
        </w:tabs>
        <w:ind w:left="2880" w:hanging="360"/>
      </w:pPr>
      <w:rPr>
        <w:rFonts w:ascii="Arial" w:hAnsi="Arial" w:hint="default"/>
      </w:rPr>
    </w:lvl>
    <w:lvl w:ilvl="4" w:tplc="49ACCADC" w:tentative="1">
      <w:start w:val="1"/>
      <w:numFmt w:val="bullet"/>
      <w:lvlText w:val="•"/>
      <w:lvlJc w:val="left"/>
      <w:pPr>
        <w:tabs>
          <w:tab w:val="num" w:pos="3600"/>
        </w:tabs>
        <w:ind w:left="3600" w:hanging="360"/>
      </w:pPr>
      <w:rPr>
        <w:rFonts w:ascii="Arial" w:hAnsi="Arial" w:hint="default"/>
      </w:rPr>
    </w:lvl>
    <w:lvl w:ilvl="5" w:tplc="D2B62650" w:tentative="1">
      <w:start w:val="1"/>
      <w:numFmt w:val="bullet"/>
      <w:lvlText w:val="•"/>
      <w:lvlJc w:val="left"/>
      <w:pPr>
        <w:tabs>
          <w:tab w:val="num" w:pos="4320"/>
        </w:tabs>
        <w:ind w:left="4320" w:hanging="360"/>
      </w:pPr>
      <w:rPr>
        <w:rFonts w:ascii="Arial" w:hAnsi="Arial" w:hint="default"/>
      </w:rPr>
    </w:lvl>
    <w:lvl w:ilvl="6" w:tplc="12D25CB2" w:tentative="1">
      <w:start w:val="1"/>
      <w:numFmt w:val="bullet"/>
      <w:lvlText w:val="•"/>
      <w:lvlJc w:val="left"/>
      <w:pPr>
        <w:tabs>
          <w:tab w:val="num" w:pos="5040"/>
        </w:tabs>
        <w:ind w:left="5040" w:hanging="360"/>
      </w:pPr>
      <w:rPr>
        <w:rFonts w:ascii="Arial" w:hAnsi="Arial" w:hint="default"/>
      </w:rPr>
    </w:lvl>
    <w:lvl w:ilvl="7" w:tplc="824AFA52" w:tentative="1">
      <w:start w:val="1"/>
      <w:numFmt w:val="bullet"/>
      <w:lvlText w:val="•"/>
      <w:lvlJc w:val="left"/>
      <w:pPr>
        <w:tabs>
          <w:tab w:val="num" w:pos="5760"/>
        </w:tabs>
        <w:ind w:left="5760" w:hanging="360"/>
      </w:pPr>
      <w:rPr>
        <w:rFonts w:ascii="Arial" w:hAnsi="Arial" w:hint="default"/>
      </w:rPr>
    </w:lvl>
    <w:lvl w:ilvl="8" w:tplc="C170A0D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2D5BB5"/>
    <w:multiLevelType w:val="hybridMultilevel"/>
    <w:tmpl w:val="0D3642C0"/>
    <w:lvl w:ilvl="0" w:tplc="7E30572E">
      <w:start w:val="1"/>
      <w:numFmt w:val="lowerLetter"/>
      <w:lvlText w:val="%1)"/>
      <w:lvlJc w:val="left"/>
      <w:pPr>
        <w:ind w:left="1211" w:hanging="360"/>
      </w:pPr>
      <w:rPr>
        <w:rFont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47C91DE3"/>
    <w:multiLevelType w:val="hybridMultilevel"/>
    <w:tmpl w:val="8294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3B0759"/>
    <w:multiLevelType w:val="hybridMultilevel"/>
    <w:tmpl w:val="106A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55AA5"/>
    <w:multiLevelType w:val="hybridMultilevel"/>
    <w:tmpl w:val="5B7293C8"/>
    <w:lvl w:ilvl="0" w:tplc="C254A1DE">
      <w:start w:val="1"/>
      <w:numFmt w:val="bullet"/>
      <w:lvlText w:val="•"/>
      <w:lvlJc w:val="left"/>
      <w:pPr>
        <w:tabs>
          <w:tab w:val="num" w:pos="720"/>
        </w:tabs>
        <w:ind w:left="720" w:hanging="360"/>
      </w:pPr>
      <w:rPr>
        <w:rFonts w:ascii="Arial" w:hAnsi="Arial" w:hint="default"/>
      </w:rPr>
    </w:lvl>
    <w:lvl w:ilvl="1" w:tplc="44FC03F6" w:tentative="1">
      <w:start w:val="1"/>
      <w:numFmt w:val="bullet"/>
      <w:lvlText w:val="•"/>
      <w:lvlJc w:val="left"/>
      <w:pPr>
        <w:tabs>
          <w:tab w:val="num" w:pos="1440"/>
        </w:tabs>
        <w:ind w:left="1440" w:hanging="360"/>
      </w:pPr>
      <w:rPr>
        <w:rFonts w:ascii="Arial" w:hAnsi="Arial" w:hint="default"/>
      </w:rPr>
    </w:lvl>
    <w:lvl w:ilvl="2" w:tplc="4F68ADBA" w:tentative="1">
      <w:start w:val="1"/>
      <w:numFmt w:val="bullet"/>
      <w:lvlText w:val="•"/>
      <w:lvlJc w:val="left"/>
      <w:pPr>
        <w:tabs>
          <w:tab w:val="num" w:pos="2160"/>
        </w:tabs>
        <w:ind w:left="2160" w:hanging="360"/>
      </w:pPr>
      <w:rPr>
        <w:rFonts w:ascii="Arial" w:hAnsi="Arial" w:hint="default"/>
      </w:rPr>
    </w:lvl>
    <w:lvl w:ilvl="3" w:tplc="2C4A78D4" w:tentative="1">
      <w:start w:val="1"/>
      <w:numFmt w:val="bullet"/>
      <w:lvlText w:val="•"/>
      <w:lvlJc w:val="left"/>
      <w:pPr>
        <w:tabs>
          <w:tab w:val="num" w:pos="2880"/>
        </w:tabs>
        <w:ind w:left="2880" w:hanging="360"/>
      </w:pPr>
      <w:rPr>
        <w:rFonts w:ascii="Arial" w:hAnsi="Arial" w:hint="default"/>
      </w:rPr>
    </w:lvl>
    <w:lvl w:ilvl="4" w:tplc="CB9CD042" w:tentative="1">
      <w:start w:val="1"/>
      <w:numFmt w:val="bullet"/>
      <w:lvlText w:val="•"/>
      <w:lvlJc w:val="left"/>
      <w:pPr>
        <w:tabs>
          <w:tab w:val="num" w:pos="3600"/>
        </w:tabs>
        <w:ind w:left="3600" w:hanging="360"/>
      </w:pPr>
      <w:rPr>
        <w:rFonts w:ascii="Arial" w:hAnsi="Arial" w:hint="default"/>
      </w:rPr>
    </w:lvl>
    <w:lvl w:ilvl="5" w:tplc="FB6AC48A" w:tentative="1">
      <w:start w:val="1"/>
      <w:numFmt w:val="bullet"/>
      <w:lvlText w:val="•"/>
      <w:lvlJc w:val="left"/>
      <w:pPr>
        <w:tabs>
          <w:tab w:val="num" w:pos="4320"/>
        </w:tabs>
        <w:ind w:left="4320" w:hanging="360"/>
      </w:pPr>
      <w:rPr>
        <w:rFonts w:ascii="Arial" w:hAnsi="Arial" w:hint="default"/>
      </w:rPr>
    </w:lvl>
    <w:lvl w:ilvl="6" w:tplc="6BDEAD6A" w:tentative="1">
      <w:start w:val="1"/>
      <w:numFmt w:val="bullet"/>
      <w:lvlText w:val="•"/>
      <w:lvlJc w:val="left"/>
      <w:pPr>
        <w:tabs>
          <w:tab w:val="num" w:pos="5040"/>
        </w:tabs>
        <w:ind w:left="5040" w:hanging="360"/>
      </w:pPr>
      <w:rPr>
        <w:rFonts w:ascii="Arial" w:hAnsi="Arial" w:hint="default"/>
      </w:rPr>
    </w:lvl>
    <w:lvl w:ilvl="7" w:tplc="4DBC9384" w:tentative="1">
      <w:start w:val="1"/>
      <w:numFmt w:val="bullet"/>
      <w:lvlText w:val="•"/>
      <w:lvlJc w:val="left"/>
      <w:pPr>
        <w:tabs>
          <w:tab w:val="num" w:pos="5760"/>
        </w:tabs>
        <w:ind w:left="5760" w:hanging="360"/>
      </w:pPr>
      <w:rPr>
        <w:rFonts w:ascii="Arial" w:hAnsi="Arial" w:hint="default"/>
      </w:rPr>
    </w:lvl>
    <w:lvl w:ilvl="8" w:tplc="D1809C5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566D26"/>
    <w:multiLevelType w:val="hybridMultilevel"/>
    <w:tmpl w:val="3120F988"/>
    <w:lvl w:ilvl="0" w:tplc="7E30572E">
      <w:start w:val="1"/>
      <w:numFmt w:val="lowerLetter"/>
      <w:lvlText w:val="%1)"/>
      <w:lvlJc w:val="left"/>
      <w:pPr>
        <w:ind w:left="2771" w:hanging="360"/>
      </w:pPr>
      <w:rPr>
        <w:rFonts w:hint="default"/>
      </w:rPr>
    </w:lvl>
    <w:lvl w:ilvl="1" w:tplc="08090019" w:tentative="1">
      <w:start w:val="1"/>
      <w:numFmt w:val="lowerLetter"/>
      <w:lvlText w:val="%2."/>
      <w:lvlJc w:val="left"/>
      <w:pPr>
        <w:ind w:left="3491" w:hanging="360"/>
      </w:pPr>
    </w:lvl>
    <w:lvl w:ilvl="2" w:tplc="0809001B" w:tentative="1">
      <w:start w:val="1"/>
      <w:numFmt w:val="lowerRoman"/>
      <w:lvlText w:val="%3."/>
      <w:lvlJc w:val="right"/>
      <w:pPr>
        <w:ind w:left="4211" w:hanging="180"/>
      </w:pPr>
    </w:lvl>
    <w:lvl w:ilvl="3" w:tplc="0809000F" w:tentative="1">
      <w:start w:val="1"/>
      <w:numFmt w:val="decimal"/>
      <w:lvlText w:val="%4."/>
      <w:lvlJc w:val="left"/>
      <w:pPr>
        <w:ind w:left="4931" w:hanging="360"/>
      </w:pPr>
    </w:lvl>
    <w:lvl w:ilvl="4" w:tplc="08090019" w:tentative="1">
      <w:start w:val="1"/>
      <w:numFmt w:val="lowerLetter"/>
      <w:lvlText w:val="%5."/>
      <w:lvlJc w:val="left"/>
      <w:pPr>
        <w:ind w:left="5651" w:hanging="360"/>
      </w:pPr>
    </w:lvl>
    <w:lvl w:ilvl="5" w:tplc="0809001B" w:tentative="1">
      <w:start w:val="1"/>
      <w:numFmt w:val="lowerRoman"/>
      <w:lvlText w:val="%6."/>
      <w:lvlJc w:val="right"/>
      <w:pPr>
        <w:ind w:left="6371" w:hanging="180"/>
      </w:pPr>
    </w:lvl>
    <w:lvl w:ilvl="6" w:tplc="0809000F" w:tentative="1">
      <w:start w:val="1"/>
      <w:numFmt w:val="decimal"/>
      <w:lvlText w:val="%7."/>
      <w:lvlJc w:val="left"/>
      <w:pPr>
        <w:ind w:left="7091" w:hanging="360"/>
      </w:pPr>
    </w:lvl>
    <w:lvl w:ilvl="7" w:tplc="08090019" w:tentative="1">
      <w:start w:val="1"/>
      <w:numFmt w:val="lowerLetter"/>
      <w:lvlText w:val="%8."/>
      <w:lvlJc w:val="left"/>
      <w:pPr>
        <w:ind w:left="7811" w:hanging="360"/>
      </w:pPr>
    </w:lvl>
    <w:lvl w:ilvl="8" w:tplc="0809001B" w:tentative="1">
      <w:start w:val="1"/>
      <w:numFmt w:val="lowerRoman"/>
      <w:lvlText w:val="%9."/>
      <w:lvlJc w:val="right"/>
      <w:pPr>
        <w:ind w:left="8531" w:hanging="180"/>
      </w:pPr>
    </w:lvl>
  </w:abstractNum>
  <w:abstractNum w:abstractNumId="27" w15:restartNumberingAfterBreak="0">
    <w:nsid w:val="5A57040F"/>
    <w:multiLevelType w:val="hybridMultilevel"/>
    <w:tmpl w:val="1B40CA20"/>
    <w:lvl w:ilvl="0" w:tplc="08090003">
      <w:start w:val="1"/>
      <w:numFmt w:val="bullet"/>
      <w:lvlText w:val="o"/>
      <w:lvlJc w:val="left"/>
      <w:pPr>
        <w:ind w:left="720" w:hanging="360"/>
      </w:pPr>
      <w:rPr>
        <w:rFonts w:ascii="Courier New" w:hAnsi="Courier New" w:cs="Courier New" w:hint="default"/>
      </w:rPr>
    </w:lvl>
    <w:lvl w:ilvl="1" w:tplc="EA88F762">
      <w:numFmt w:val="bullet"/>
      <w:lvlText w:val="-"/>
      <w:lvlJc w:val="left"/>
      <w:pPr>
        <w:ind w:left="1440" w:hanging="360"/>
      </w:pPr>
      <w:rPr>
        <w:rFonts w:ascii="Traditional Arabic" w:eastAsiaTheme="minorHAnsi" w:hAnsi="Traditional Arabic" w:cs="Traditional Arabic" w:hint="default"/>
        <w:sz w:val="2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651894"/>
    <w:multiLevelType w:val="multilevel"/>
    <w:tmpl w:val="6CFC717C"/>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1041" w:hanging="615"/>
      </w:pPr>
      <w:rPr>
        <w:rFonts w:cs="Times New Roman" w:hint="default"/>
        <w:b w:val="0"/>
        <w:bCs w:val="0"/>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29" w15:restartNumberingAfterBreak="0">
    <w:nsid w:val="5FA51622"/>
    <w:multiLevelType w:val="hybridMultilevel"/>
    <w:tmpl w:val="870C7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531053"/>
    <w:multiLevelType w:val="hybridMultilevel"/>
    <w:tmpl w:val="FBA23ED0"/>
    <w:lvl w:ilvl="0" w:tplc="1D3A9D5C">
      <w:start w:val="1"/>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D0B61"/>
    <w:multiLevelType w:val="hybridMultilevel"/>
    <w:tmpl w:val="6614AB62"/>
    <w:lvl w:ilvl="0" w:tplc="6FE41CE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3A50AF"/>
    <w:multiLevelType w:val="hybridMultilevel"/>
    <w:tmpl w:val="0E74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A62DAB"/>
    <w:multiLevelType w:val="hybridMultilevel"/>
    <w:tmpl w:val="1AA8EE48"/>
    <w:lvl w:ilvl="0" w:tplc="F200A576">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8345589">
    <w:abstractNumId w:val="9"/>
  </w:num>
  <w:num w:numId="2" w16cid:durableId="1774472849">
    <w:abstractNumId w:val="7"/>
  </w:num>
  <w:num w:numId="3" w16cid:durableId="923494626">
    <w:abstractNumId w:val="6"/>
  </w:num>
  <w:num w:numId="4" w16cid:durableId="442574474">
    <w:abstractNumId w:val="5"/>
  </w:num>
  <w:num w:numId="5" w16cid:durableId="1628318554">
    <w:abstractNumId w:val="4"/>
  </w:num>
  <w:num w:numId="6" w16cid:durableId="2075542342">
    <w:abstractNumId w:val="8"/>
  </w:num>
  <w:num w:numId="7" w16cid:durableId="1174762821">
    <w:abstractNumId w:val="3"/>
  </w:num>
  <w:num w:numId="8" w16cid:durableId="201795547">
    <w:abstractNumId w:val="2"/>
  </w:num>
  <w:num w:numId="9" w16cid:durableId="355010693">
    <w:abstractNumId w:val="1"/>
  </w:num>
  <w:num w:numId="10" w16cid:durableId="844200481">
    <w:abstractNumId w:val="0"/>
  </w:num>
  <w:num w:numId="11" w16cid:durableId="1104838316">
    <w:abstractNumId w:val="14"/>
  </w:num>
  <w:num w:numId="12" w16cid:durableId="1950425125">
    <w:abstractNumId w:val="24"/>
  </w:num>
  <w:num w:numId="13" w16cid:durableId="424151608">
    <w:abstractNumId w:val="31"/>
  </w:num>
  <w:num w:numId="14" w16cid:durableId="508064420">
    <w:abstractNumId w:val="29"/>
  </w:num>
  <w:num w:numId="15" w16cid:durableId="1675842533">
    <w:abstractNumId w:val="15"/>
    <w:lvlOverride w:ilvl="0">
      <w:lvl w:ilvl="0" w:tplc="9F1A31CA">
        <w:numFmt w:val="bullet"/>
        <w:lvlText w:val="-"/>
        <w:lvlJc w:val="left"/>
        <w:pPr>
          <w:ind w:left="920" w:hanging="560"/>
        </w:pPr>
        <w:rPr>
          <w:rFonts w:ascii="Calibri" w:eastAsia="Times New Roman" w:hAnsi="Calibri" w:cs="Calibri" w:hint="default"/>
        </w:rPr>
      </w:lvl>
    </w:lvlOverride>
  </w:num>
  <w:num w:numId="16" w16cid:durableId="1641109520">
    <w:abstractNumId w:val="16"/>
    <w:lvlOverride w:ilvl="0">
      <w:lvl w:ilvl="0" w:tplc="9F1A31CA">
        <w:numFmt w:val="bullet"/>
        <w:lvlText w:val="-"/>
        <w:lvlJc w:val="left"/>
        <w:pPr>
          <w:ind w:left="920" w:hanging="560"/>
        </w:pPr>
        <w:rPr>
          <w:rFonts w:ascii="Calibri" w:eastAsia="Times New Roman" w:hAnsi="Calibri" w:cs="Calibri" w:hint="default"/>
        </w:rPr>
      </w:lvl>
    </w:lvlOverride>
  </w:num>
  <w:num w:numId="17" w16cid:durableId="1989438808">
    <w:abstractNumId w:val="18"/>
  </w:num>
  <w:num w:numId="18" w16cid:durableId="296762178">
    <w:abstractNumId w:val="28"/>
  </w:num>
  <w:num w:numId="19" w16cid:durableId="818619002">
    <w:abstractNumId w:val="30"/>
    <w:lvlOverride w:ilvl="0">
      <w:lvl w:ilvl="0" w:tplc="1D3A9D5C">
        <w:start w:val="1"/>
        <w:numFmt w:val="bullet"/>
        <w:lvlText w:val="-"/>
        <w:lvlJc w:val="left"/>
        <w:pPr>
          <w:ind w:left="720" w:hanging="360"/>
        </w:pPr>
        <w:rPr>
          <w:rFonts w:ascii="Calibri" w:eastAsia="Times New Roman" w:hAnsi="Calibri" w:cs="Calibri" w:hint="default"/>
        </w:rPr>
      </w:lvl>
    </w:lvlOverride>
  </w:num>
  <w:num w:numId="20" w16cid:durableId="526023012">
    <w:abstractNumId w:val="20"/>
  </w:num>
  <w:num w:numId="21" w16cid:durableId="1299650887">
    <w:abstractNumId w:val="26"/>
  </w:num>
  <w:num w:numId="22" w16cid:durableId="1757432342">
    <w:abstractNumId w:val="22"/>
  </w:num>
  <w:num w:numId="23" w16cid:durableId="1386757395">
    <w:abstractNumId w:val="12"/>
  </w:num>
  <w:num w:numId="24" w16cid:durableId="759527251">
    <w:abstractNumId w:val="33"/>
  </w:num>
  <w:num w:numId="25" w16cid:durableId="2139687042">
    <w:abstractNumId w:val="10"/>
  </w:num>
  <w:num w:numId="26" w16cid:durableId="2059083057">
    <w:abstractNumId w:val="17"/>
  </w:num>
  <w:num w:numId="27" w16cid:durableId="614752330">
    <w:abstractNumId w:val="27"/>
  </w:num>
  <w:num w:numId="28" w16cid:durableId="902789593">
    <w:abstractNumId w:val="11"/>
  </w:num>
  <w:num w:numId="29" w16cid:durableId="1132360305">
    <w:abstractNumId w:val="32"/>
  </w:num>
  <w:num w:numId="30" w16cid:durableId="868298905">
    <w:abstractNumId w:val="13"/>
  </w:num>
  <w:num w:numId="31" w16cid:durableId="581379302">
    <w:abstractNumId w:val="21"/>
  </w:num>
  <w:num w:numId="32" w16cid:durableId="1196893997">
    <w:abstractNumId w:val="25"/>
  </w:num>
  <w:num w:numId="33" w16cid:durableId="183595474">
    <w:abstractNumId w:val="23"/>
  </w:num>
  <w:num w:numId="34" w16cid:durableId="13552250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A6"/>
    <w:rsid w:val="000359E9"/>
    <w:rsid w:val="00037C06"/>
    <w:rsid w:val="000418A0"/>
    <w:rsid w:val="00043FF5"/>
    <w:rsid w:val="000617E6"/>
    <w:rsid w:val="0006468A"/>
    <w:rsid w:val="00070143"/>
    <w:rsid w:val="00073BBC"/>
    <w:rsid w:val="00090574"/>
    <w:rsid w:val="000961F3"/>
    <w:rsid w:val="000B2097"/>
    <w:rsid w:val="000C1C0E"/>
    <w:rsid w:val="000C548A"/>
    <w:rsid w:val="000D7913"/>
    <w:rsid w:val="001002BF"/>
    <w:rsid w:val="00107DD7"/>
    <w:rsid w:val="00133544"/>
    <w:rsid w:val="001565A8"/>
    <w:rsid w:val="00191059"/>
    <w:rsid w:val="001968D4"/>
    <w:rsid w:val="001B6E2B"/>
    <w:rsid w:val="001C0169"/>
    <w:rsid w:val="001C0C21"/>
    <w:rsid w:val="001C3A4C"/>
    <w:rsid w:val="001D1D50"/>
    <w:rsid w:val="001D64C7"/>
    <w:rsid w:val="001D6745"/>
    <w:rsid w:val="001E446E"/>
    <w:rsid w:val="001F7339"/>
    <w:rsid w:val="002154EE"/>
    <w:rsid w:val="002276D2"/>
    <w:rsid w:val="0023283D"/>
    <w:rsid w:val="00236460"/>
    <w:rsid w:val="00254393"/>
    <w:rsid w:val="0026373E"/>
    <w:rsid w:val="002640FA"/>
    <w:rsid w:val="00271C43"/>
    <w:rsid w:val="002826BD"/>
    <w:rsid w:val="00290728"/>
    <w:rsid w:val="002926DB"/>
    <w:rsid w:val="00293D33"/>
    <w:rsid w:val="002978F4"/>
    <w:rsid w:val="002B028D"/>
    <w:rsid w:val="002C3F32"/>
    <w:rsid w:val="002E6541"/>
    <w:rsid w:val="00322D4B"/>
    <w:rsid w:val="00331E11"/>
    <w:rsid w:val="00333948"/>
    <w:rsid w:val="00334924"/>
    <w:rsid w:val="0033708F"/>
    <w:rsid w:val="003409BC"/>
    <w:rsid w:val="003417EA"/>
    <w:rsid w:val="00344870"/>
    <w:rsid w:val="00357185"/>
    <w:rsid w:val="00375F26"/>
    <w:rsid w:val="003806CD"/>
    <w:rsid w:val="00383829"/>
    <w:rsid w:val="003B0D04"/>
    <w:rsid w:val="003E19E5"/>
    <w:rsid w:val="003F4B29"/>
    <w:rsid w:val="003F5182"/>
    <w:rsid w:val="003F69CB"/>
    <w:rsid w:val="003F72D9"/>
    <w:rsid w:val="00407C53"/>
    <w:rsid w:val="00420F8A"/>
    <w:rsid w:val="004265BA"/>
    <w:rsid w:val="0042686F"/>
    <w:rsid w:val="004317D8"/>
    <w:rsid w:val="0043260A"/>
    <w:rsid w:val="00434183"/>
    <w:rsid w:val="00437BA5"/>
    <w:rsid w:val="004413DF"/>
    <w:rsid w:val="00443869"/>
    <w:rsid w:val="00447EC3"/>
    <w:rsid w:val="00447F32"/>
    <w:rsid w:val="00452F6B"/>
    <w:rsid w:val="00453CEA"/>
    <w:rsid w:val="00457137"/>
    <w:rsid w:val="00463A01"/>
    <w:rsid w:val="004703EA"/>
    <w:rsid w:val="00483F07"/>
    <w:rsid w:val="004916B7"/>
    <w:rsid w:val="00491BA9"/>
    <w:rsid w:val="00494057"/>
    <w:rsid w:val="004A02B8"/>
    <w:rsid w:val="004A0D2B"/>
    <w:rsid w:val="004A4701"/>
    <w:rsid w:val="004B7334"/>
    <w:rsid w:val="004E0979"/>
    <w:rsid w:val="004E11DC"/>
    <w:rsid w:val="004F03BD"/>
    <w:rsid w:val="004F0D26"/>
    <w:rsid w:val="004F6BF7"/>
    <w:rsid w:val="004F7EC4"/>
    <w:rsid w:val="005130DE"/>
    <w:rsid w:val="00513157"/>
    <w:rsid w:val="00517287"/>
    <w:rsid w:val="005201A6"/>
    <w:rsid w:val="00525DDD"/>
    <w:rsid w:val="00532C24"/>
    <w:rsid w:val="005341CA"/>
    <w:rsid w:val="005409AC"/>
    <w:rsid w:val="005434E0"/>
    <w:rsid w:val="0054528A"/>
    <w:rsid w:val="005467A2"/>
    <w:rsid w:val="00546BC4"/>
    <w:rsid w:val="005546CF"/>
    <w:rsid w:val="0055516A"/>
    <w:rsid w:val="005801E5"/>
    <w:rsid w:val="0058491B"/>
    <w:rsid w:val="005850CA"/>
    <w:rsid w:val="00592EA5"/>
    <w:rsid w:val="005A3170"/>
    <w:rsid w:val="005B6481"/>
    <w:rsid w:val="005F0CD2"/>
    <w:rsid w:val="0062552C"/>
    <w:rsid w:val="006459E7"/>
    <w:rsid w:val="00650D1B"/>
    <w:rsid w:val="00660DEA"/>
    <w:rsid w:val="00661023"/>
    <w:rsid w:val="00677396"/>
    <w:rsid w:val="0069200F"/>
    <w:rsid w:val="00692FE7"/>
    <w:rsid w:val="006A65CB"/>
    <w:rsid w:val="006B12E5"/>
    <w:rsid w:val="006B369F"/>
    <w:rsid w:val="006C3242"/>
    <w:rsid w:val="006C6EBB"/>
    <w:rsid w:val="006C7CC0"/>
    <w:rsid w:val="006F363C"/>
    <w:rsid w:val="006F63F7"/>
    <w:rsid w:val="007025C7"/>
    <w:rsid w:val="00706D7A"/>
    <w:rsid w:val="007136BA"/>
    <w:rsid w:val="00714909"/>
    <w:rsid w:val="00722A06"/>
    <w:rsid w:val="00722F0D"/>
    <w:rsid w:val="007379AC"/>
    <w:rsid w:val="0074420E"/>
    <w:rsid w:val="007648A6"/>
    <w:rsid w:val="0077110E"/>
    <w:rsid w:val="00783E26"/>
    <w:rsid w:val="007A6684"/>
    <w:rsid w:val="007B0AA0"/>
    <w:rsid w:val="007C3AB0"/>
    <w:rsid w:val="007C3BC7"/>
    <w:rsid w:val="007C3BCD"/>
    <w:rsid w:val="007D4ACF"/>
    <w:rsid w:val="007E1F68"/>
    <w:rsid w:val="007E521C"/>
    <w:rsid w:val="007F0787"/>
    <w:rsid w:val="007F102C"/>
    <w:rsid w:val="007F62F1"/>
    <w:rsid w:val="00810B7B"/>
    <w:rsid w:val="00815302"/>
    <w:rsid w:val="0082358A"/>
    <w:rsid w:val="008235CD"/>
    <w:rsid w:val="008247DE"/>
    <w:rsid w:val="008339C0"/>
    <w:rsid w:val="00836081"/>
    <w:rsid w:val="00840B10"/>
    <w:rsid w:val="008453B4"/>
    <w:rsid w:val="008513CB"/>
    <w:rsid w:val="00861FA3"/>
    <w:rsid w:val="00874E9F"/>
    <w:rsid w:val="00886976"/>
    <w:rsid w:val="00894439"/>
    <w:rsid w:val="008A7F84"/>
    <w:rsid w:val="008B5656"/>
    <w:rsid w:val="009045C4"/>
    <w:rsid w:val="0091702E"/>
    <w:rsid w:val="00923B0C"/>
    <w:rsid w:val="00924F46"/>
    <w:rsid w:val="00935AAC"/>
    <w:rsid w:val="0094021C"/>
    <w:rsid w:val="009473A3"/>
    <w:rsid w:val="00952F86"/>
    <w:rsid w:val="00953B9F"/>
    <w:rsid w:val="00964329"/>
    <w:rsid w:val="00982B28"/>
    <w:rsid w:val="00994DC1"/>
    <w:rsid w:val="009D313F"/>
    <w:rsid w:val="00A308FD"/>
    <w:rsid w:val="00A35DF4"/>
    <w:rsid w:val="00A369C4"/>
    <w:rsid w:val="00A47A5A"/>
    <w:rsid w:val="00A63AE6"/>
    <w:rsid w:val="00A63C8C"/>
    <w:rsid w:val="00A6683B"/>
    <w:rsid w:val="00A67F05"/>
    <w:rsid w:val="00A71499"/>
    <w:rsid w:val="00A75BCC"/>
    <w:rsid w:val="00A80C2F"/>
    <w:rsid w:val="00A84F20"/>
    <w:rsid w:val="00A864A5"/>
    <w:rsid w:val="00A90343"/>
    <w:rsid w:val="00A94B9F"/>
    <w:rsid w:val="00A973FD"/>
    <w:rsid w:val="00A97F94"/>
    <w:rsid w:val="00AA0C67"/>
    <w:rsid w:val="00AA1F6A"/>
    <w:rsid w:val="00AA7EA2"/>
    <w:rsid w:val="00AB5A56"/>
    <w:rsid w:val="00AE612D"/>
    <w:rsid w:val="00AF3C2F"/>
    <w:rsid w:val="00B03099"/>
    <w:rsid w:val="00B05BC8"/>
    <w:rsid w:val="00B14143"/>
    <w:rsid w:val="00B30F5E"/>
    <w:rsid w:val="00B6088A"/>
    <w:rsid w:val="00B628A5"/>
    <w:rsid w:val="00B64B47"/>
    <w:rsid w:val="00B84464"/>
    <w:rsid w:val="00B94E36"/>
    <w:rsid w:val="00B95654"/>
    <w:rsid w:val="00B97F32"/>
    <w:rsid w:val="00BA04B2"/>
    <w:rsid w:val="00BA6274"/>
    <w:rsid w:val="00BA64E0"/>
    <w:rsid w:val="00BB3A68"/>
    <w:rsid w:val="00C002DE"/>
    <w:rsid w:val="00C007CB"/>
    <w:rsid w:val="00C0602B"/>
    <w:rsid w:val="00C224DA"/>
    <w:rsid w:val="00C31BB0"/>
    <w:rsid w:val="00C53BF8"/>
    <w:rsid w:val="00C66157"/>
    <w:rsid w:val="00C67444"/>
    <w:rsid w:val="00C674FE"/>
    <w:rsid w:val="00C67501"/>
    <w:rsid w:val="00C75633"/>
    <w:rsid w:val="00C90949"/>
    <w:rsid w:val="00CE2EE1"/>
    <w:rsid w:val="00CE3349"/>
    <w:rsid w:val="00CE36E5"/>
    <w:rsid w:val="00CE4360"/>
    <w:rsid w:val="00CF27F5"/>
    <w:rsid w:val="00CF378B"/>
    <w:rsid w:val="00CF3FFD"/>
    <w:rsid w:val="00CF46DF"/>
    <w:rsid w:val="00D06069"/>
    <w:rsid w:val="00D10096"/>
    <w:rsid w:val="00D10CCF"/>
    <w:rsid w:val="00D13941"/>
    <w:rsid w:val="00D17531"/>
    <w:rsid w:val="00D23F5F"/>
    <w:rsid w:val="00D3023A"/>
    <w:rsid w:val="00D30B50"/>
    <w:rsid w:val="00D31009"/>
    <w:rsid w:val="00D33E21"/>
    <w:rsid w:val="00D43F7D"/>
    <w:rsid w:val="00D52816"/>
    <w:rsid w:val="00D63735"/>
    <w:rsid w:val="00D73A9A"/>
    <w:rsid w:val="00D77D0F"/>
    <w:rsid w:val="00D8446E"/>
    <w:rsid w:val="00DA1CF0"/>
    <w:rsid w:val="00DB084E"/>
    <w:rsid w:val="00DC1E02"/>
    <w:rsid w:val="00DC24B4"/>
    <w:rsid w:val="00DC5FB0"/>
    <w:rsid w:val="00DF16DC"/>
    <w:rsid w:val="00E07BD0"/>
    <w:rsid w:val="00E336AB"/>
    <w:rsid w:val="00E43267"/>
    <w:rsid w:val="00E45211"/>
    <w:rsid w:val="00E473C5"/>
    <w:rsid w:val="00E564DE"/>
    <w:rsid w:val="00E61BE8"/>
    <w:rsid w:val="00E83FF1"/>
    <w:rsid w:val="00E92863"/>
    <w:rsid w:val="00E945BF"/>
    <w:rsid w:val="00E979B2"/>
    <w:rsid w:val="00EB796D"/>
    <w:rsid w:val="00EC7797"/>
    <w:rsid w:val="00ED40DD"/>
    <w:rsid w:val="00EE48E8"/>
    <w:rsid w:val="00F03DA6"/>
    <w:rsid w:val="00F058DC"/>
    <w:rsid w:val="00F24FC4"/>
    <w:rsid w:val="00F2676C"/>
    <w:rsid w:val="00F363FE"/>
    <w:rsid w:val="00F37927"/>
    <w:rsid w:val="00F50E3F"/>
    <w:rsid w:val="00F74691"/>
    <w:rsid w:val="00F803E5"/>
    <w:rsid w:val="00F82EA4"/>
    <w:rsid w:val="00F84366"/>
    <w:rsid w:val="00F85089"/>
    <w:rsid w:val="00F974C5"/>
    <w:rsid w:val="00FA3763"/>
    <w:rsid w:val="00FA6F46"/>
    <w:rsid w:val="00FC0E94"/>
    <w:rsid w:val="00FC121B"/>
    <w:rsid w:val="00FC4592"/>
    <w:rsid w:val="00FD4E37"/>
    <w:rsid w:val="00FD527F"/>
    <w:rsid w:val="00FD5EE7"/>
    <w:rsid w:val="00FE5872"/>
    <w:rsid w:val="00FE7FCA"/>
    <w:rsid w:val="00FF31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04069E"/>
  <w15:chartTrackingRefBased/>
  <w15:docId w15:val="{5FAFE073-B978-4A09-A5CE-11AFB42FF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A06"/>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0617E6"/>
    <w:pPr>
      <w:keepNext/>
      <w:keepLines/>
      <w:spacing w:before="360" w:after="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0617E6"/>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_i"/>
    <w:basedOn w:val="Normal"/>
    <w:qFormat/>
    <w:rsid w:val="00F974C5"/>
    <w:pPr>
      <w:keepNext/>
      <w:keepLines/>
      <w:spacing w:before="160"/>
    </w:pPr>
    <w:rPr>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_No"/>
    <w:basedOn w:val="AgendaItem"/>
    <w:qFormat/>
    <w:rsid w:val="00F974C5"/>
  </w:style>
  <w:style w:type="paragraph" w:customStyle="1" w:styleId="Annextitle">
    <w:name w:val="Annex_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_No"/>
    <w:basedOn w:val="Normal"/>
    <w:qFormat/>
    <w:rsid w:val="00F974C5"/>
    <w:pPr>
      <w:keepNext/>
      <w:keepLines/>
      <w:spacing w:before="360"/>
      <w:jc w:val="center"/>
    </w:pPr>
    <w:rPr>
      <w:sz w:val="26"/>
      <w:szCs w:val="26"/>
      <w:lang w:bidi="ar-SY"/>
    </w:rPr>
  </w:style>
  <w:style w:type="paragraph" w:customStyle="1" w:styleId="Appendixtitle">
    <w:name w:val="Appendix_title"/>
    <w:basedOn w:val="Normal"/>
    <w:qFormat/>
    <w:rsid w:val="00F974C5"/>
    <w:pPr>
      <w:keepNext/>
      <w:keepLines/>
      <w:spacing w:after="360"/>
      <w:jc w:val="center"/>
    </w:pPr>
    <w:rPr>
      <w:b/>
      <w:bCs/>
      <w:sz w:val="28"/>
      <w:szCs w:val="28"/>
    </w:rPr>
  </w:style>
  <w:style w:type="paragraph" w:customStyle="1" w:styleId="ArticleNo">
    <w:name w:val="Article_No"/>
    <w:basedOn w:val="Normal"/>
    <w:qFormat/>
    <w:rsid w:val="00F974C5"/>
    <w:pPr>
      <w:keepNext/>
      <w:keepLines/>
      <w:spacing w:after="360"/>
      <w:jc w:val="center"/>
    </w:pPr>
    <w:rPr>
      <w:sz w:val="26"/>
      <w:szCs w:val="26"/>
      <w:lang w:bidi="ar-SY"/>
    </w:rPr>
  </w:style>
  <w:style w:type="paragraph" w:customStyle="1" w:styleId="Articletitle">
    <w:name w:val="Article_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_No"/>
    <w:basedOn w:val="Normal"/>
    <w:qFormat/>
    <w:rsid w:val="00F974C5"/>
    <w:pPr>
      <w:keepNext/>
      <w:keepLines/>
      <w:spacing w:before="600"/>
      <w:jc w:val="center"/>
    </w:pPr>
    <w:rPr>
      <w:sz w:val="28"/>
      <w:szCs w:val="28"/>
      <w:lang w:bidi="ar-SY"/>
    </w:rPr>
  </w:style>
  <w:style w:type="paragraph" w:customStyle="1" w:styleId="Chaptertitle">
    <w:name w:val="Chapter_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1"/>
    <w:basedOn w:val="Normal"/>
    <w:qFormat/>
    <w:rsid w:val="00F974C5"/>
    <w:pPr>
      <w:spacing w:before="80"/>
      <w:ind w:left="794" w:hanging="794"/>
      <w:outlineLvl w:val="0"/>
    </w:pPr>
    <w:rPr>
      <w:lang w:bidi="ar-SY"/>
    </w:rPr>
  </w:style>
  <w:style w:type="paragraph" w:customStyle="1" w:styleId="enumlev2">
    <w:name w:val="enumlev2"/>
    <w:basedOn w:val="Normal"/>
    <w:next w:val="enumlev1"/>
    <w:qFormat/>
    <w:rsid w:val="00F974C5"/>
    <w:pPr>
      <w:spacing w:before="80"/>
      <w:ind w:left="1588" w:hanging="794"/>
      <w:outlineLvl w:val="1"/>
    </w:pPr>
  </w:style>
  <w:style w:type="paragraph" w:customStyle="1" w:styleId="enumlev3">
    <w:name w:val="enumlev3"/>
    <w:basedOn w:val="Normal"/>
    <w:qFormat/>
    <w:rsid w:val="008A7F84"/>
    <w:pPr>
      <w:spacing w:before="80"/>
      <w:ind w:left="2382" w:hanging="794"/>
      <w:outlineLvl w:val="2"/>
    </w:pPr>
    <w:rPr>
      <w:lang w:bidi="ar-SY"/>
    </w:rPr>
  </w:style>
  <w:style w:type="paragraph" w:customStyle="1" w:styleId="Figurelegend">
    <w:name w:val="Figure_legend"/>
    <w:basedOn w:val="Normal"/>
    <w:qFormat/>
    <w:rsid w:val="00F974C5"/>
    <w:pPr>
      <w:spacing w:before="60"/>
    </w:pPr>
    <w:rPr>
      <w:lang w:bidi="ar-SY"/>
    </w:rPr>
  </w:style>
  <w:style w:type="paragraph" w:styleId="FootnoteText">
    <w:name w:val="footnote text"/>
    <w:basedOn w:val="Normal"/>
    <w:link w:val="FootnoteTextChar"/>
    <w:unhideWhenUsed/>
    <w:qFormat/>
    <w:rsid w:val="002E6541"/>
    <w:pPr>
      <w:spacing w:before="60" w:line="168" w:lineRule="auto"/>
    </w:pPr>
    <w:rPr>
      <w:sz w:val="20"/>
      <w:szCs w:val="26"/>
    </w:rPr>
  </w:style>
  <w:style w:type="character" w:styleId="FootnoteReference">
    <w:name w:val="footnote reference"/>
    <w:aliases w:val="Footnote_Reference,Appel note de bas de p,Footnote Reference/,Footnote symbol,Ref,de nota al pi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_No"/>
    <w:basedOn w:val="Normal"/>
    <w:qFormat/>
    <w:rsid w:val="00F974C5"/>
    <w:pPr>
      <w:keepNext/>
      <w:keepLines/>
      <w:spacing w:before="360"/>
      <w:jc w:val="center"/>
    </w:pPr>
    <w:rPr>
      <w:sz w:val="26"/>
      <w:szCs w:val="26"/>
    </w:rPr>
  </w:style>
  <w:style w:type="paragraph" w:customStyle="1" w:styleId="Parttitle">
    <w:name w:val="Part_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_1"/>
    <w:basedOn w:val="Normal"/>
    <w:qFormat/>
    <w:rsid w:val="00F974C5"/>
    <w:pPr>
      <w:keepNext/>
      <w:spacing w:before="360" w:after="240"/>
      <w:jc w:val="center"/>
    </w:pPr>
    <w:rPr>
      <w:b/>
      <w:bCs/>
      <w:sz w:val="26"/>
      <w:szCs w:val="26"/>
      <w:lang w:bidi="ar-SY"/>
    </w:rPr>
  </w:style>
  <w:style w:type="paragraph" w:customStyle="1" w:styleId="Section2">
    <w:name w:val="Section_2"/>
    <w:basedOn w:val="Section1"/>
    <w:qFormat/>
    <w:rsid w:val="00F974C5"/>
    <w:pPr>
      <w:spacing w:before="240"/>
    </w:pPr>
    <w:rPr>
      <w:b w:val="0"/>
      <w:bCs w:val="0"/>
    </w:rPr>
  </w:style>
  <w:style w:type="paragraph" w:customStyle="1" w:styleId="SectionNo">
    <w:name w:val="Section_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_No"/>
    <w:basedOn w:val="Normal"/>
    <w:qFormat/>
    <w:rsid w:val="00F974C5"/>
    <w:pPr>
      <w:keepNext/>
      <w:spacing w:before="240"/>
      <w:jc w:val="center"/>
    </w:pPr>
    <w:rPr>
      <w:lang w:bidi="ar-SY"/>
    </w:rPr>
  </w:style>
  <w:style w:type="paragraph" w:customStyle="1" w:styleId="Figuretitle">
    <w:name w:val="Figure_title"/>
    <w:basedOn w:val="Normal"/>
    <w:qFormat/>
    <w:rsid w:val="00F974C5"/>
    <w:pPr>
      <w:keepNext/>
      <w:spacing w:after="240"/>
      <w:jc w:val="center"/>
    </w:pPr>
    <w:rPr>
      <w:b/>
      <w:bCs/>
    </w:rPr>
  </w:style>
  <w:style w:type="paragraph" w:customStyle="1" w:styleId="TableNo">
    <w:name w:val="Table_No"/>
    <w:basedOn w:val="Normal"/>
    <w:qFormat/>
    <w:rsid w:val="00F974C5"/>
    <w:pPr>
      <w:keepNext/>
      <w:spacing w:before="240"/>
      <w:jc w:val="center"/>
    </w:pPr>
    <w:rPr>
      <w:lang w:bidi="ar-SY"/>
    </w:rPr>
  </w:style>
  <w:style w:type="paragraph" w:customStyle="1" w:styleId="Tabletitle">
    <w:name w:val="Table_title"/>
    <w:basedOn w:val="TableNo"/>
    <w:qFormat/>
    <w:rsid w:val="00F974C5"/>
    <w:pPr>
      <w:spacing w:before="120" w:after="240"/>
    </w:pPr>
    <w:rPr>
      <w:b/>
      <w:bCs/>
    </w:rPr>
  </w:style>
  <w:style w:type="paragraph" w:customStyle="1" w:styleId="Tablehead">
    <w:name w:val="Table_head"/>
    <w:basedOn w:val="Normal"/>
    <w:qFormat/>
    <w:rsid w:val="00F974C5"/>
    <w:pPr>
      <w:keepNext/>
      <w:spacing w:before="60" w:after="60" w:line="260" w:lineRule="exact"/>
      <w:jc w:val="center"/>
    </w:pPr>
    <w:rPr>
      <w:b/>
      <w:bCs/>
      <w:sz w:val="20"/>
      <w:szCs w:val="20"/>
    </w:rPr>
  </w:style>
  <w:style w:type="paragraph" w:customStyle="1" w:styleId="Tabletexte">
    <w:name w:val="Table_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_No"/>
    <w:basedOn w:val="Normal"/>
    <w:qFormat/>
    <w:rsid w:val="00F974C5"/>
    <w:pPr>
      <w:keepNext/>
      <w:spacing w:before="360"/>
      <w:jc w:val="center"/>
    </w:pPr>
    <w:rPr>
      <w:sz w:val="26"/>
      <w:szCs w:val="26"/>
      <w:lang w:bidi="ar-SY"/>
    </w:rPr>
  </w:style>
  <w:style w:type="paragraph" w:customStyle="1" w:styleId="Volumetitle">
    <w:name w:val="Volume_title"/>
    <w:basedOn w:val="VolumeNo"/>
    <w:qFormat/>
    <w:rsid w:val="00F974C5"/>
    <w:pPr>
      <w:spacing w:before="120" w:after="360"/>
    </w:pPr>
    <w:rPr>
      <w:b/>
      <w:bCs/>
      <w:sz w:val="28"/>
      <w:szCs w:val="28"/>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_No"/>
    <w:basedOn w:val="Normal"/>
    <w:qFormat/>
    <w:rsid w:val="00F974C5"/>
    <w:pPr>
      <w:keepNext/>
      <w:keepLines/>
      <w:spacing w:before="360"/>
      <w:jc w:val="center"/>
    </w:pPr>
    <w:rPr>
      <w:sz w:val="26"/>
      <w:szCs w:val="26"/>
    </w:rPr>
  </w:style>
  <w:style w:type="paragraph" w:customStyle="1" w:styleId="Opiniontitle">
    <w:name w:val="Opinion_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661023"/>
    <w:rPr>
      <w:rFonts w:ascii="Calibri" w:eastAsia="Calibri" w:hAnsi="Calibri" w:cs="Arial"/>
      <w:noProof/>
      <w:color w:val="5B9BD5" w:themeColor="accent1"/>
      <w:sz w:val="18"/>
      <w:u w:val="single"/>
      <w:lang w:val="en-GB" w:eastAsia="en-US"/>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_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_legend"/>
    <w:basedOn w:val="Normal"/>
    <w:qFormat/>
    <w:rsid w:val="00F974C5"/>
    <w:pPr>
      <w:spacing w:before="80"/>
    </w:pPr>
    <w:rPr>
      <w:lang w:bidi="ar-SY"/>
    </w:rPr>
  </w:style>
  <w:style w:type="paragraph" w:customStyle="1" w:styleId="Headingb">
    <w:name w:val="Heading_b"/>
    <w:basedOn w:val="Normal"/>
    <w:qFormat/>
    <w:rsid w:val="008339C0"/>
    <w:pPr>
      <w:keepNext/>
      <w:spacing w:before="240"/>
      <w:ind w:left="1134" w:hanging="1134"/>
    </w:pPr>
    <w:rPr>
      <w:b/>
      <w:bCs/>
      <w:sz w:val="24"/>
      <w:szCs w:val="24"/>
    </w:rPr>
  </w:style>
  <w:style w:type="table" w:styleId="GridTable5Dark-Accent1">
    <w:name w:val="Grid Table 5 Dark Accent 1"/>
    <w:basedOn w:val="TableNormal"/>
    <w:uiPriority w:val="50"/>
    <w:rsid w:val="00E61B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ubtitle0">
    <w:name w:val="Sub_title"/>
    <w:basedOn w:val="Normal"/>
    <w:qFormat/>
    <w:rsid w:val="007B0AA0"/>
    <w:rPr>
      <w:sz w:val="30"/>
      <w:szCs w:val="30"/>
      <w:lang w:bidi="ar-EG"/>
    </w:rPr>
  </w:style>
  <w:style w:type="table" w:customStyle="1" w:styleId="TableGrid1">
    <w:name w:val="Table Grid1"/>
    <w:basedOn w:val="TableNormal"/>
    <w:next w:val="TableGrid"/>
    <w:uiPriority w:val="39"/>
    <w:rsid w:val="007B0AA0"/>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0DEA"/>
    <w:rPr>
      <w:color w:val="605E5C"/>
      <w:shd w:val="clear" w:color="auto" w:fill="E1DFDD"/>
    </w:rPr>
  </w:style>
  <w:style w:type="paragraph" w:styleId="Index7">
    <w:name w:val="index 7"/>
    <w:basedOn w:val="Normal"/>
    <w:next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698"/>
      <w:jc w:val="left"/>
      <w:textAlignment w:val="baseline"/>
    </w:pPr>
    <w:rPr>
      <w:rFonts w:ascii="Times New Roman" w:eastAsia="Times New Roman" w:hAnsi="CG Times" w:cs="Simplified Arabic" w:hint="cs"/>
      <w:sz w:val="24"/>
      <w:szCs w:val="30"/>
    </w:rPr>
  </w:style>
  <w:style w:type="paragraph" w:styleId="Index6">
    <w:name w:val="index 6"/>
    <w:basedOn w:val="Normal"/>
    <w:next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415"/>
      <w:jc w:val="left"/>
      <w:textAlignment w:val="baseline"/>
    </w:pPr>
    <w:rPr>
      <w:rFonts w:ascii="Times New Roman" w:eastAsia="Times New Roman" w:hAnsi="CG Times" w:cs="Simplified Arabic" w:hint="cs"/>
      <w:sz w:val="24"/>
      <w:szCs w:val="30"/>
    </w:rPr>
  </w:style>
  <w:style w:type="paragraph" w:styleId="Index5">
    <w:name w:val="index 5"/>
    <w:basedOn w:val="Normal"/>
    <w:next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1132"/>
      <w:jc w:val="left"/>
      <w:textAlignment w:val="baseline"/>
    </w:pPr>
    <w:rPr>
      <w:rFonts w:ascii="Times New Roman" w:eastAsia="Times New Roman" w:hAnsi="CG Times" w:cs="Simplified Arabic" w:hint="cs"/>
      <w:sz w:val="24"/>
      <w:szCs w:val="30"/>
    </w:rPr>
  </w:style>
  <w:style w:type="paragraph" w:styleId="Index4">
    <w:name w:val="index 4"/>
    <w:basedOn w:val="Normal"/>
    <w:next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849"/>
      <w:jc w:val="left"/>
      <w:textAlignment w:val="baseline"/>
    </w:pPr>
    <w:rPr>
      <w:rFonts w:ascii="Times New Roman" w:eastAsia="Times New Roman" w:hAnsi="CG Times" w:cs="Simplified Arabic" w:hint="cs"/>
      <w:sz w:val="24"/>
      <w:szCs w:val="30"/>
    </w:rPr>
  </w:style>
  <w:style w:type="paragraph" w:styleId="Index3">
    <w:name w:val="index 3"/>
    <w:basedOn w:val="Normal"/>
    <w:next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6"/>
      <w:jc w:val="left"/>
      <w:textAlignment w:val="baseline"/>
    </w:pPr>
    <w:rPr>
      <w:rFonts w:ascii="Times New Roman" w:eastAsia="Times New Roman" w:hAnsi="CG Times" w:cs="Simplified Arabic" w:hint="cs"/>
      <w:sz w:val="24"/>
      <w:szCs w:val="30"/>
    </w:rPr>
  </w:style>
  <w:style w:type="paragraph" w:styleId="Index2">
    <w:name w:val="index 2"/>
    <w:basedOn w:val="Normal"/>
    <w:next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283"/>
      <w:jc w:val="left"/>
      <w:textAlignment w:val="baseline"/>
    </w:pPr>
    <w:rPr>
      <w:rFonts w:ascii="Times New Roman" w:eastAsia="Times New Roman" w:hAnsi="CG Times" w:cs="Simplified Arabic" w:hint="cs"/>
      <w:sz w:val="24"/>
      <w:szCs w:val="30"/>
    </w:rPr>
  </w:style>
  <w:style w:type="paragraph" w:styleId="Index1">
    <w:name w:val="index 1"/>
    <w:basedOn w:val="Normal"/>
    <w:next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sz w:val="24"/>
      <w:szCs w:val="30"/>
    </w:rPr>
  </w:style>
  <w:style w:type="character" w:styleId="LineNumber">
    <w:name w:val="line number"/>
    <w:basedOn w:val="DefaultParagraphFont"/>
    <w:rsid w:val="00722A06"/>
    <w:rPr>
      <w:rFonts w:asciiTheme="minorHAnsi" w:hAnsiTheme="minorHAnsi"/>
      <w:sz w:val="24"/>
    </w:rPr>
  </w:style>
  <w:style w:type="paragraph" w:styleId="IndexHeading">
    <w:name w:val="index heading"/>
    <w:basedOn w:val="Normal"/>
    <w:next w:val="Index1"/>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sz w:val="24"/>
      <w:szCs w:val="30"/>
    </w:rPr>
  </w:style>
  <w:style w:type="paragraph" w:styleId="NormalIndent">
    <w:name w:val="Normal Indent"/>
    <w:basedOn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7"/>
      <w:jc w:val="left"/>
      <w:textAlignment w:val="baseline"/>
    </w:pPr>
    <w:rPr>
      <w:rFonts w:ascii="Times New Roman" w:eastAsia="Times New Roman" w:hAnsi="CG Times" w:cs="Simplified Arabic" w:hint="cs"/>
      <w:sz w:val="24"/>
      <w:szCs w:val="30"/>
    </w:rPr>
  </w:style>
  <w:style w:type="paragraph" w:customStyle="1" w:styleId="Head">
    <w:name w:val="Head"/>
    <w:basedOn w:val="Normal"/>
    <w:rsid w:val="00722A06"/>
    <w:pPr>
      <w:tabs>
        <w:tab w:val="clear" w:pos="794"/>
        <w:tab w:val="left" w:pos="567"/>
        <w:tab w:val="left" w:pos="1134"/>
        <w:tab w:val="left" w:pos="1701"/>
        <w:tab w:val="left" w:pos="2268"/>
        <w:tab w:val="left" w:pos="2835"/>
        <w:tab w:val="left" w:pos="6663"/>
      </w:tabs>
      <w:bidi w:val="0"/>
      <w:spacing w:before="0" w:line="240" w:lineRule="auto"/>
      <w:jc w:val="left"/>
    </w:pPr>
    <w:rPr>
      <w:rFonts w:ascii="Times New Roman" w:eastAsia="Times New Roman" w:hAnsi="CG Times" w:cs="Simplified Arabic" w:hint="cs"/>
      <w:sz w:val="24"/>
      <w:szCs w:val="30"/>
    </w:rPr>
  </w:style>
  <w:style w:type="paragraph" w:customStyle="1" w:styleId="toc0">
    <w:name w:val="toc 0"/>
    <w:basedOn w:val="Normal"/>
    <w:next w:val="TOC1"/>
    <w:rsid w:val="00722A06"/>
    <w:pPr>
      <w:tabs>
        <w:tab w:val="clear" w:pos="794"/>
        <w:tab w:val="right" w:pos="9781"/>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b/>
      <w:sz w:val="24"/>
      <w:szCs w:val="30"/>
    </w:rPr>
  </w:style>
  <w:style w:type="paragraph" w:styleId="List">
    <w:name w:val="List"/>
    <w:basedOn w:val="Normal"/>
    <w:rsid w:val="00722A06"/>
    <w:pPr>
      <w:tabs>
        <w:tab w:val="clear" w:pos="794"/>
        <w:tab w:val="left" w:pos="567"/>
        <w:tab w:val="left" w:pos="1134"/>
        <w:tab w:val="left" w:pos="1701"/>
        <w:tab w:val="left" w:pos="2127"/>
        <w:tab w:val="left" w:pos="2268"/>
        <w:tab w:val="left" w:pos="2835"/>
      </w:tabs>
      <w:overflowPunct w:val="0"/>
      <w:autoSpaceDE w:val="0"/>
      <w:autoSpaceDN w:val="0"/>
      <w:bidi w:val="0"/>
      <w:adjustRightInd w:val="0"/>
      <w:spacing w:line="240" w:lineRule="auto"/>
      <w:ind w:left="2127" w:hanging="2127"/>
      <w:jc w:val="left"/>
      <w:textAlignment w:val="baseline"/>
    </w:pPr>
    <w:rPr>
      <w:rFonts w:ascii="Times New Roman" w:eastAsia="Times New Roman" w:hAnsi="CG Times" w:cs="Simplified Arabic" w:hint="cs"/>
      <w:sz w:val="24"/>
      <w:szCs w:val="30"/>
    </w:rPr>
  </w:style>
  <w:style w:type="paragraph" w:customStyle="1" w:styleId="Part">
    <w:name w:val="Part"/>
    <w:basedOn w:val="Normal"/>
    <w:next w:val="Normal"/>
    <w:rsid w:val="00722A06"/>
    <w:pPr>
      <w:tabs>
        <w:tab w:val="clear" w:pos="794"/>
      </w:tabs>
      <w:overflowPunct w:val="0"/>
      <w:autoSpaceDE w:val="0"/>
      <w:autoSpaceDN w:val="0"/>
      <w:bidi w:val="0"/>
      <w:adjustRightInd w:val="0"/>
      <w:spacing w:before="600" w:line="240" w:lineRule="auto"/>
      <w:jc w:val="center"/>
      <w:textAlignment w:val="baseline"/>
    </w:pPr>
    <w:rPr>
      <w:rFonts w:ascii="Times New Roman" w:eastAsia="Times New Roman" w:hAnsi="CG Times" w:cs="Simplified Arabic" w:hint="cs"/>
      <w:sz w:val="28"/>
      <w:szCs w:val="30"/>
    </w:rPr>
  </w:style>
  <w:style w:type="paragraph" w:customStyle="1" w:styleId="meeting">
    <w:name w:val="meeting"/>
    <w:basedOn w:val="Head"/>
    <w:next w:val="Head"/>
    <w:rsid w:val="00722A06"/>
    <w:pPr>
      <w:tabs>
        <w:tab w:val="left" w:pos="7371"/>
      </w:tabs>
      <w:spacing w:after="567"/>
    </w:pPr>
  </w:style>
  <w:style w:type="paragraph" w:customStyle="1" w:styleId="Subject">
    <w:name w:val="Subject"/>
    <w:basedOn w:val="Normal"/>
    <w:next w:val="Source"/>
    <w:rsid w:val="00722A06"/>
    <w:pPr>
      <w:tabs>
        <w:tab w:val="clear" w:pos="794"/>
        <w:tab w:val="left" w:pos="567"/>
        <w:tab w:val="left" w:pos="1134"/>
        <w:tab w:val="left" w:pos="1701"/>
        <w:tab w:val="left" w:pos="2268"/>
        <w:tab w:val="left" w:pos="2835"/>
      </w:tabs>
      <w:overflowPunct w:val="0"/>
      <w:autoSpaceDE w:val="0"/>
      <w:autoSpaceDN w:val="0"/>
      <w:bidi w:val="0"/>
      <w:adjustRightInd w:val="0"/>
      <w:spacing w:before="0" w:line="240" w:lineRule="auto"/>
      <w:ind w:left="1134" w:hanging="1134"/>
      <w:jc w:val="left"/>
      <w:textAlignment w:val="baseline"/>
    </w:pPr>
    <w:rPr>
      <w:rFonts w:ascii="Times New Roman" w:eastAsia="Times New Roman" w:hAnsi="CG Times" w:cs="Simplified Arabic" w:hint="cs"/>
      <w:sz w:val="24"/>
      <w:szCs w:val="30"/>
    </w:rPr>
  </w:style>
  <w:style w:type="paragraph" w:customStyle="1" w:styleId="Object">
    <w:name w:val="Object"/>
    <w:basedOn w:val="Subject"/>
    <w:next w:val="Subject"/>
    <w:rsid w:val="00722A06"/>
  </w:style>
  <w:style w:type="paragraph" w:customStyle="1" w:styleId="Data">
    <w:name w:val="Data"/>
    <w:basedOn w:val="Subject"/>
    <w:next w:val="Subject"/>
    <w:rsid w:val="00722A06"/>
  </w:style>
  <w:style w:type="paragraph" w:customStyle="1" w:styleId="FirstFooter">
    <w:name w:val="FirstFooter"/>
    <w:basedOn w:val="Footer"/>
    <w:rsid w:val="00722A06"/>
    <w:pPr>
      <w:tabs>
        <w:tab w:val="clear" w:pos="794"/>
        <w:tab w:val="clear" w:pos="4153"/>
        <w:tab w:val="clear" w:pos="8306"/>
        <w:tab w:val="left" w:pos="5954"/>
        <w:tab w:val="right" w:pos="9639"/>
      </w:tabs>
      <w:overflowPunct w:val="0"/>
      <w:autoSpaceDE w:val="0"/>
      <w:autoSpaceDN w:val="0"/>
      <w:adjustRightInd w:val="0"/>
      <w:textAlignment w:val="baseline"/>
    </w:pPr>
    <w:rPr>
      <w:rFonts w:ascii="Times New Roman" w:hAnsi="CG Times" w:cs="Simplified Arabic" w:hint="cs"/>
      <w:noProof/>
      <w:sz w:val="16"/>
      <w:szCs w:val="30"/>
      <w:lang w:eastAsia="zh-CN"/>
    </w:rPr>
  </w:style>
  <w:style w:type="character" w:styleId="FollowedHyperlink">
    <w:name w:val="FollowedHyperlink"/>
    <w:basedOn w:val="DefaultParagraphFont"/>
    <w:uiPriority w:val="99"/>
    <w:rsid w:val="00722A06"/>
    <w:rPr>
      <w:color w:val="800080"/>
      <w:u w:val="single"/>
    </w:rPr>
  </w:style>
  <w:style w:type="paragraph" w:customStyle="1" w:styleId="Title4">
    <w:name w:val="Title 4"/>
    <w:basedOn w:val="Title3"/>
    <w:next w:val="Heading1"/>
    <w:rsid w:val="00722A06"/>
    <w:pPr>
      <w:keepNext w:val="0"/>
      <w:framePr w:hSpace="180" w:wrap="around" w:vAnchor="page" w:hAnchor="page" w:x="1821" w:y="2317"/>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b/>
      <w:sz w:val="32"/>
      <w:szCs w:val="32"/>
    </w:rPr>
  </w:style>
  <w:style w:type="paragraph" w:customStyle="1" w:styleId="dnum">
    <w:name w:val="dnum"/>
    <w:basedOn w:val="Normal"/>
    <w:rsid w:val="00722A06"/>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b/>
      <w:bCs/>
      <w:sz w:val="24"/>
      <w:szCs w:val="30"/>
    </w:rPr>
  </w:style>
  <w:style w:type="paragraph" w:customStyle="1" w:styleId="ddate">
    <w:name w:val="ddate"/>
    <w:basedOn w:val="Normal"/>
    <w:rsid w:val="00722A06"/>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textAlignment w:val="baseline"/>
    </w:pPr>
    <w:rPr>
      <w:rFonts w:ascii="Times New Roman" w:eastAsia="Times New Roman" w:hAnsi="CG Times" w:cs="Simplified Arabic" w:hint="cs"/>
      <w:b/>
      <w:bCs/>
      <w:sz w:val="24"/>
      <w:szCs w:val="30"/>
    </w:rPr>
  </w:style>
  <w:style w:type="paragraph" w:customStyle="1" w:styleId="dorlang">
    <w:name w:val="dorlang"/>
    <w:basedOn w:val="Normal"/>
    <w:rsid w:val="00722A06"/>
    <w:pPr>
      <w:framePr w:hSpace="181" w:wrap="around" w:vAnchor="page" w:hAnchor="margin" w:y="852"/>
      <w:shd w:val="solid" w:color="FFFFFF" w:fill="FFFFFF"/>
      <w:tabs>
        <w:tab w:val="clear" w:pos="794"/>
        <w:tab w:val="left" w:pos="567"/>
        <w:tab w:val="left" w:pos="1134"/>
        <w:tab w:val="left" w:pos="1701"/>
        <w:tab w:val="left" w:pos="1871"/>
        <w:tab w:val="left" w:pos="2268"/>
        <w:tab w:val="left" w:pos="2835"/>
      </w:tabs>
      <w:overflowPunct w:val="0"/>
      <w:autoSpaceDE w:val="0"/>
      <w:autoSpaceDN w:val="0"/>
      <w:bidi w:val="0"/>
      <w:adjustRightInd w:val="0"/>
      <w:spacing w:before="0" w:line="240" w:lineRule="auto"/>
      <w:jc w:val="left"/>
      <w:textAlignment w:val="baseline"/>
    </w:pPr>
    <w:rPr>
      <w:rFonts w:ascii="Times New Roman" w:eastAsia="Times New Roman" w:hAnsi="CG Times" w:cs="Simplified Arabic" w:hint="cs"/>
      <w:b/>
      <w:bCs/>
      <w:sz w:val="24"/>
      <w:szCs w:val="30"/>
    </w:rPr>
  </w:style>
  <w:style w:type="paragraph" w:customStyle="1" w:styleId="Annexref">
    <w:name w:val="Annex_ref"/>
    <w:basedOn w:val="Normal"/>
    <w:next w:val="Annextitle"/>
    <w:qFormat/>
    <w:rsid w:val="00722A06"/>
    <w:pPr>
      <w:keepNext/>
      <w:keepLines/>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center"/>
      <w:textAlignment w:val="baseline"/>
    </w:pPr>
    <w:rPr>
      <w:rFonts w:ascii="Times New Roman" w:eastAsia="Times New Roman" w:hAnsi="CG Times" w:cs="Simplified Arabic" w:hint="cs"/>
      <w:sz w:val="24"/>
      <w:szCs w:val="30"/>
    </w:rPr>
  </w:style>
  <w:style w:type="paragraph" w:customStyle="1" w:styleId="Figure">
    <w:name w:val="Figure"/>
    <w:basedOn w:val="Normal"/>
    <w:next w:val="Figuretitle"/>
    <w:qFormat/>
    <w:rsid w:val="000617E6"/>
    <w:pPr>
      <w:tabs>
        <w:tab w:val="clear" w:pos="794"/>
        <w:tab w:val="left" w:pos="567"/>
        <w:tab w:val="left" w:pos="1134"/>
        <w:tab w:val="left" w:pos="1701"/>
        <w:tab w:val="left" w:pos="2268"/>
        <w:tab w:val="left" w:pos="2835"/>
      </w:tabs>
      <w:overflowPunct w:val="0"/>
      <w:autoSpaceDE w:val="0"/>
      <w:autoSpaceDN w:val="0"/>
      <w:bidi w:val="0"/>
      <w:adjustRightInd w:val="0"/>
      <w:spacing w:after="240" w:line="240" w:lineRule="auto"/>
      <w:jc w:val="center"/>
      <w:textAlignment w:val="baseline"/>
    </w:pPr>
    <w:rPr>
      <w:rFonts w:eastAsia="Times New Roman" w:hint="cs"/>
    </w:rPr>
  </w:style>
  <w:style w:type="paragraph" w:customStyle="1" w:styleId="Tabletext">
    <w:name w:val="Table_text"/>
    <w:basedOn w:val="Normal"/>
    <w:link w:val="TabletextChar"/>
    <w:qFormat/>
    <w:rsid w:val="00722A06"/>
    <w:pPr>
      <w:tabs>
        <w:tab w:val="clear" w:pos="794"/>
      </w:tabs>
      <w:overflowPunct w:val="0"/>
      <w:autoSpaceDE w:val="0"/>
      <w:autoSpaceDN w:val="0"/>
      <w:bidi w:val="0"/>
      <w:adjustRightInd w:val="0"/>
      <w:spacing w:before="60" w:after="60" w:line="240" w:lineRule="auto"/>
      <w:jc w:val="left"/>
      <w:textAlignment w:val="baseline"/>
    </w:pPr>
    <w:rPr>
      <w:rFonts w:ascii="Times New Roman" w:eastAsia="Times New Roman" w:hAnsi="CG Times" w:cs="Simplified Arabic"/>
      <w:szCs w:val="30"/>
    </w:rPr>
  </w:style>
  <w:style w:type="paragraph" w:customStyle="1" w:styleId="Figurewithouttitle">
    <w:name w:val="Figure_without_title"/>
    <w:basedOn w:val="Figure"/>
    <w:next w:val="Normalaftertitle"/>
    <w:rsid w:val="00722A06"/>
  </w:style>
  <w:style w:type="character" w:styleId="PageNumber">
    <w:name w:val="page number"/>
    <w:basedOn w:val="DefaultParagraphFont"/>
    <w:rsid w:val="00722A06"/>
    <w:rPr>
      <w:rFonts w:ascii="Calibri" w:hAnsi="Calibri"/>
    </w:rPr>
  </w:style>
  <w:style w:type="paragraph" w:customStyle="1" w:styleId="Partref">
    <w:name w:val="Part_ref"/>
    <w:basedOn w:val="Annexref"/>
    <w:next w:val="Normalaftertitle"/>
    <w:rsid w:val="00722A06"/>
  </w:style>
  <w:style w:type="paragraph" w:customStyle="1" w:styleId="Recref">
    <w:name w:val="Rec_ref"/>
    <w:basedOn w:val="Rectitle"/>
    <w:next w:val="Recdate"/>
    <w:rsid w:val="00722A06"/>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textAlignment w:val="baseline"/>
    </w:pPr>
    <w:rPr>
      <w:rFonts w:ascii="Times New Roman" w:eastAsia="Times New Roman" w:hAnsi="Times New Roman" w:cs="Simplified Arabic" w:hint="cs"/>
      <w:b w:val="0"/>
      <w:bCs w:val="0"/>
      <w:sz w:val="24"/>
      <w:szCs w:val="30"/>
    </w:rPr>
  </w:style>
  <w:style w:type="paragraph" w:customStyle="1" w:styleId="Recdate">
    <w:name w:val="Rec_date"/>
    <w:basedOn w:val="Recref"/>
    <w:next w:val="Normalaftertitle"/>
    <w:rsid w:val="00722A06"/>
    <w:pPr>
      <w:jc w:val="right"/>
    </w:pPr>
    <w:rPr>
      <w:sz w:val="22"/>
    </w:rPr>
  </w:style>
  <w:style w:type="paragraph" w:customStyle="1" w:styleId="Questiondate">
    <w:name w:val="Question_date"/>
    <w:basedOn w:val="Recdate"/>
    <w:next w:val="Normalaftertitle"/>
    <w:rsid w:val="00722A06"/>
  </w:style>
  <w:style w:type="paragraph" w:customStyle="1" w:styleId="QuestionNo">
    <w:name w:val="Question_No"/>
    <w:basedOn w:val="RecNo"/>
    <w:next w:val="Questiontitle"/>
    <w:rsid w:val="00722A06"/>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720" w:after="0" w:line="240" w:lineRule="auto"/>
      <w:textAlignment w:val="baseline"/>
    </w:pPr>
    <w:rPr>
      <w:rFonts w:ascii="Times New Roman" w:eastAsia="Times New Roman" w:hAnsi="CG Times" w:cs="Simplified Arabic" w:hint="cs"/>
      <w:sz w:val="28"/>
      <w:szCs w:val="30"/>
    </w:rPr>
  </w:style>
  <w:style w:type="paragraph" w:customStyle="1" w:styleId="Questionref">
    <w:name w:val="Question_ref"/>
    <w:basedOn w:val="Recref"/>
    <w:next w:val="Questiondate"/>
    <w:rsid w:val="00722A06"/>
  </w:style>
  <w:style w:type="paragraph" w:customStyle="1" w:styleId="Questiontitle">
    <w:name w:val="Question_title"/>
    <w:basedOn w:val="Rectitle"/>
    <w:next w:val="Questionref"/>
    <w:rsid w:val="00722A06"/>
    <w:pPr>
      <w:keepNext w:val="0"/>
      <w:keepLines w:val="0"/>
      <w:tabs>
        <w:tab w:val="clear" w:pos="794"/>
        <w:tab w:val="left" w:pos="567"/>
        <w:tab w:val="left" w:pos="1134"/>
        <w:tab w:val="left" w:pos="1701"/>
        <w:tab w:val="left" w:pos="2268"/>
        <w:tab w:val="left" w:pos="2835"/>
      </w:tabs>
      <w:overflowPunct w:val="0"/>
      <w:autoSpaceDE w:val="0"/>
      <w:autoSpaceDN w:val="0"/>
      <w:bidi w:val="0"/>
      <w:adjustRightInd w:val="0"/>
      <w:spacing w:before="240" w:after="0" w:line="240" w:lineRule="auto"/>
      <w:textAlignment w:val="baseline"/>
    </w:pPr>
    <w:rPr>
      <w:rFonts w:ascii="Times New Roman" w:eastAsia="Times New Roman" w:hAnsi="CG Times" w:cs="Simplified Arabic" w:hint="cs"/>
      <w:bCs w:val="0"/>
      <w:szCs w:val="30"/>
    </w:rPr>
  </w:style>
  <w:style w:type="paragraph" w:customStyle="1" w:styleId="Reftext">
    <w:name w:val="Ref_text"/>
    <w:basedOn w:val="Normal"/>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ind w:left="567" w:hanging="567"/>
      <w:jc w:val="left"/>
      <w:textAlignment w:val="baseline"/>
    </w:pPr>
    <w:rPr>
      <w:rFonts w:ascii="Times New Roman" w:eastAsia="Times New Roman" w:hAnsi="CG Times" w:cs="Simplified Arabic" w:hint="cs"/>
      <w:sz w:val="24"/>
      <w:szCs w:val="30"/>
    </w:rPr>
  </w:style>
  <w:style w:type="paragraph" w:customStyle="1" w:styleId="Resdate">
    <w:name w:val="Res_date"/>
    <w:basedOn w:val="Recdate"/>
    <w:next w:val="Normalaftertitle"/>
    <w:rsid w:val="00722A06"/>
  </w:style>
  <w:style w:type="paragraph" w:customStyle="1" w:styleId="Resref">
    <w:name w:val="Res_ref"/>
    <w:basedOn w:val="Recref"/>
    <w:next w:val="Resdate"/>
    <w:rsid w:val="00722A06"/>
  </w:style>
  <w:style w:type="paragraph" w:customStyle="1" w:styleId="Sectiontitle0">
    <w:name w:val="Section_title"/>
    <w:basedOn w:val="Normal"/>
    <w:next w:val="Normalaftertitle"/>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sz w:val="28"/>
      <w:szCs w:val="30"/>
    </w:rPr>
  </w:style>
  <w:style w:type="paragraph" w:customStyle="1" w:styleId="Tableref">
    <w:name w:val="Table_ref"/>
    <w:basedOn w:val="Normal"/>
    <w:next w:val="Tabletitle"/>
    <w:rsid w:val="00722A06"/>
    <w:pPr>
      <w:keepNext/>
      <w:tabs>
        <w:tab w:val="clear" w:pos="794"/>
        <w:tab w:val="left" w:pos="567"/>
        <w:tab w:val="left" w:pos="1134"/>
        <w:tab w:val="left" w:pos="1701"/>
        <w:tab w:val="left" w:pos="2268"/>
        <w:tab w:val="left" w:pos="2835"/>
      </w:tabs>
      <w:overflowPunct w:val="0"/>
      <w:autoSpaceDE w:val="0"/>
      <w:autoSpaceDN w:val="0"/>
      <w:bidi w:val="0"/>
      <w:adjustRightInd w:val="0"/>
      <w:spacing w:before="567" w:line="240" w:lineRule="auto"/>
      <w:jc w:val="center"/>
      <w:textAlignment w:val="baseline"/>
    </w:pPr>
    <w:rPr>
      <w:rFonts w:ascii="Times New Roman" w:eastAsia="Times New Roman" w:hAnsi="CG Times" w:cs="Simplified Arabic" w:hint="cs"/>
      <w:sz w:val="24"/>
      <w:szCs w:val="30"/>
    </w:rPr>
  </w:style>
  <w:style w:type="paragraph" w:customStyle="1" w:styleId="Artheading">
    <w:name w:val="Art_heading"/>
    <w:basedOn w:val="Normal"/>
    <w:next w:val="Normalaftertitle"/>
    <w:qFormat/>
    <w:rsid w:val="00722A06"/>
    <w:pPr>
      <w:keepNext/>
      <w:keepLines/>
      <w:tabs>
        <w:tab w:val="clear" w:pos="794"/>
      </w:tabs>
      <w:overflowPunct w:val="0"/>
      <w:autoSpaceDE w:val="0"/>
      <w:autoSpaceDN w:val="0"/>
      <w:bidi w:val="0"/>
      <w:adjustRightInd w:val="0"/>
      <w:spacing w:before="360" w:line="240" w:lineRule="auto"/>
      <w:jc w:val="center"/>
      <w:textAlignment w:val="baseline"/>
    </w:pPr>
    <w:rPr>
      <w:rFonts w:ascii="Times New Roman" w:eastAsia="Times New Roman" w:hAnsi="CG Times" w:cs="Simplified Arabic" w:hint="cs"/>
      <w:b/>
      <w:sz w:val="24"/>
      <w:szCs w:val="30"/>
    </w:rPr>
  </w:style>
  <w:style w:type="paragraph" w:customStyle="1" w:styleId="ArtNo">
    <w:name w:val="Art_No"/>
    <w:basedOn w:val="Normal"/>
    <w:next w:val="Arttitle"/>
    <w:qFormat/>
    <w:rsid w:val="00722A06"/>
    <w:pPr>
      <w:keepNext/>
      <w:keepLines/>
      <w:tabs>
        <w:tab w:val="clear" w:pos="794"/>
      </w:tabs>
      <w:overflowPunct w:val="0"/>
      <w:autoSpaceDE w:val="0"/>
      <w:autoSpaceDN w:val="0"/>
      <w:bidi w:val="0"/>
      <w:adjustRightInd w:val="0"/>
      <w:spacing w:before="480" w:line="240" w:lineRule="auto"/>
      <w:jc w:val="center"/>
      <w:textAlignment w:val="baseline"/>
    </w:pPr>
    <w:rPr>
      <w:rFonts w:ascii="Times New Roman" w:eastAsia="Times New Roman" w:hAnsi="CG Times" w:cs="Simplified Arabic" w:hint="cs"/>
      <w:sz w:val="28"/>
      <w:szCs w:val="30"/>
    </w:rPr>
  </w:style>
  <w:style w:type="paragraph" w:customStyle="1" w:styleId="Arttitle">
    <w:name w:val="Art_title"/>
    <w:basedOn w:val="Normal"/>
    <w:next w:val="Normal"/>
    <w:qFormat/>
    <w:rsid w:val="00722A06"/>
    <w:pPr>
      <w:keepNext/>
      <w:keepLines/>
      <w:tabs>
        <w:tab w:val="clear" w:pos="794"/>
      </w:tabs>
      <w:overflowPunct w:val="0"/>
      <w:autoSpaceDE w:val="0"/>
      <w:autoSpaceDN w:val="0"/>
      <w:bidi w:val="0"/>
      <w:adjustRightInd w:val="0"/>
      <w:spacing w:after="240" w:line="240" w:lineRule="auto"/>
      <w:jc w:val="center"/>
      <w:textAlignment w:val="baseline"/>
    </w:pPr>
    <w:rPr>
      <w:rFonts w:ascii="Times New Roman" w:eastAsia="Times New Roman" w:hAnsi="CG Times" w:cs="Simplified Arabic" w:hint="cs"/>
      <w:b/>
      <w:sz w:val="28"/>
      <w:szCs w:val="30"/>
    </w:rPr>
  </w:style>
  <w:style w:type="paragraph" w:customStyle="1" w:styleId="ChapNo">
    <w:name w:val="Chap_No"/>
    <w:basedOn w:val="ArtNo"/>
    <w:next w:val="Chaptitle"/>
    <w:qFormat/>
    <w:rsid w:val="00722A06"/>
  </w:style>
  <w:style w:type="paragraph" w:customStyle="1" w:styleId="Chaptitle">
    <w:name w:val="Chap_title"/>
    <w:basedOn w:val="Arttitle"/>
    <w:next w:val="Normal"/>
    <w:qFormat/>
    <w:rsid w:val="00722A06"/>
  </w:style>
  <w:style w:type="paragraph" w:customStyle="1" w:styleId="call0">
    <w:name w:val="call"/>
    <w:basedOn w:val="Normal"/>
    <w:next w:val="Normal"/>
    <w:rsid w:val="00344870"/>
    <w:pPr>
      <w:keepNext/>
      <w:keepLines/>
      <w:tabs>
        <w:tab w:val="clear" w:pos="794"/>
        <w:tab w:val="left" w:pos="567"/>
        <w:tab w:val="left" w:pos="1134"/>
        <w:tab w:val="left" w:pos="1701"/>
        <w:tab w:val="left" w:pos="2268"/>
        <w:tab w:val="left" w:pos="2835"/>
      </w:tabs>
      <w:overflowPunct w:val="0"/>
      <w:autoSpaceDE w:val="0"/>
      <w:autoSpaceDN w:val="0"/>
      <w:bidi w:val="0"/>
      <w:adjustRightInd w:val="0"/>
      <w:spacing w:before="160"/>
      <w:ind w:left="794" w:hanging="357"/>
      <w:jc w:val="left"/>
      <w:textAlignment w:val="baseline"/>
    </w:pPr>
    <w:rPr>
      <w:rFonts w:eastAsia="Times New Roman" w:hint="cs"/>
      <w:i/>
      <w:iCs/>
    </w:rPr>
  </w:style>
  <w:style w:type="paragraph" w:styleId="NormalWeb">
    <w:name w:val="Normal (Web)"/>
    <w:basedOn w:val="Normal"/>
    <w:uiPriority w:val="99"/>
    <w:semiHidden/>
    <w:unhideWhenUsed/>
    <w:rsid w:val="00722A06"/>
    <w:pPr>
      <w:tabs>
        <w:tab w:val="clear" w:pos="794"/>
      </w:tabs>
      <w:bidi w:val="0"/>
      <w:spacing w:before="100" w:beforeAutospacing="1" w:after="100" w:afterAutospacing="1" w:line="240" w:lineRule="auto"/>
      <w:jc w:val="left"/>
    </w:pPr>
    <w:rPr>
      <w:rFonts w:ascii="Times New Roman" w:eastAsia="Times New Roman" w:hAnsi="Times New Roman" w:cs="Simplified Arabic" w:hint="cs"/>
      <w:sz w:val="24"/>
      <w:szCs w:val="24"/>
    </w:rPr>
  </w:style>
  <w:style w:type="character" w:styleId="CommentReference">
    <w:name w:val="annotation reference"/>
    <w:basedOn w:val="DefaultParagraphFont"/>
    <w:semiHidden/>
    <w:unhideWhenUsed/>
    <w:rsid w:val="00722A06"/>
    <w:rPr>
      <w:sz w:val="16"/>
      <w:szCs w:val="16"/>
    </w:rPr>
  </w:style>
  <w:style w:type="paragraph" w:styleId="CommentText">
    <w:name w:val="annotation text"/>
    <w:basedOn w:val="Normal"/>
    <w:link w:val="CommentTextChar"/>
    <w:unhideWhenUsed/>
    <w:rsid w:val="00722A06"/>
    <w:pPr>
      <w:tabs>
        <w:tab w:val="clear" w:pos="794"/>
        <w:tab w:val="left" w:pos="567"/>
        <w:tab w:val="left" w:pos="1134"/>
        <w:tab w:val="left" w:pos="1701"/>
        <w:tab w:val="left" w:pos="2268"/>
        <w:tab w:val="left" w:pos="2835"/>
      </w:tabs>
      <w:overflowPunct w:val="0"/>
      <w:autoSpaceDE w:val="0"/>
      <w:autoSpaceDN w:val="0"/>
      <w:bidi w:val="0"/>
      <w:adjustRightInd w:val="0"/>
      <w:spacing w:line="240" w:lineRule="auto"/>
      <w:jc w:val="left"/>
      <w:textAlignment w:val="baseline"/>
    </w:pPr>
    <w:rPr>
      <w:rFonts w:ascii="Times New Roman" w:eastAsia="Times New Roman" w:hAnsi="CG Times" w:cs="Simplified Arabic" w:hint="cs"/>
      <w:sz w:val="20"/>
      <w:szCs w:val="30"/>
    </w:rPr>
  </w:style>
  <w:style w:type="character" w:customStyle="1" w:styleId="CommentTextChar">
    <w:name w:val="Comment Text Char"/>
    <w:basedOn w:val="DefaultParagraphFont"/>
    <w:link w:val="CommentText"/>
    <w:rsid w:val="00722A06"/>
    <w:rPr>
      <w:rFonts w:ascii="Times New Roman" w:eastAsia="Times New Roman" w:hAnsi="CG Times" w:cs="Simplified Arabic"/>
      <w:sz w:val="20"/>
      <w:szCs w:val="30"/>
    </w:rPr>
  </w:style>
  <w:style w:type="paragraph" w:styleId="CommentSubject">
    <w:name w:val="annotation subject"/>
    <w:basedOn w:val="CommentText"/>
    <w:next w:val="CommentText"/>
    <w:link w:val="CommentSubjectChar"/>
    <w:semiHidden/>
    <w:unhideWhenUsed/>
    <w:rsid w:val="00722A06"/>
    <w:rPr>
      <w:b/>
      <w:bCs/>
    </w:rPr>
  </w:style>
  <w:style w:type="character" w:customStyle="1" w:styleId="CommentSubjectChar">
    <w:name w:val="Comment Subject Char"/>
    <w:basedOn w:val="CommentTextChar"/>
    <w:link w:val="CommentSubject"/>
    <w:semiHidden/>
    <w:rsid w:val="00722A06"/>
    <w:rPr>
      <w:rFonts w:ascii="Times New Roman" w:eastAsia="Times New Roman" w:hAnsi="CG Times" w:cs="Simplified Arabic"/>
      <w:b/>
      <w:bCs/>
      <w:sz w:val="20"/>
      <w:szCs w:val="30"/>
    </w:rPr>
  </w:style>
  <w:style w:type="paragraph" w:styleId="Revision">
    <w:name w:val="Revision"/>
    <w:hidden/>
    <w:uiPriority w:val="99"/>
    <w:semiHidden/>
    <w:rsid w:val="00722A06"/>
    <w:pPr>
      <w:spacing w:after="0" w:line="240" w:lineRule="auto"/>
    </w:pPr>
    <w:rPr>
      <w:rFonts w:ascii="Calibri" w:eastAsia="Times New Roman" w:hAnsi="Calibri" w:cs="Times New Roman"/>
      <w:sz w:val="24"/>
      <w:szCs w:val="20"/>
    </w:rPr>
  </w:style>
  <w:style w:type="character" w:styleId="Mention">
    <w:name w:val="Mention"/>
    <w:basedOn w:val="DefaultParagraphFont"/>
    <w:uiPriority w:val="99"/>
    <w:unhideWhenUsed/>
    <w:rsid w:val="00722A06"/>
    <w:rPr>
      <w:color w:val="2B579A"/>
      <w:shd w:val="clear" w:color="auto" w:fill="E1DFDD"/>
    </w:rPr>
  </w:style>
  <w:style w:type="paragraph" w:customStyle="1" w:styleId="FigureNo0">
    <w:name w:val="Figure No"/>
    <w:basedOn w:val="Normal"/>
    <w:qFormat/>
    <w:rsid w:val="00722A06"/>
    <w:pPr>
      <w:keepNext/>
      <w:spacing w:before="240"/>
      <w:jc w:val="center"/>
    </w:pPr>
    <w:rPr>
      <w:lang w:bidi="ar-SY"/>
    </w:rPr>
  </w:style>
  <w:style w:type="paragraph" w:customStyle="1" w:styleId="HeadingI0">
    <w:name w:val="Heading I"/>
    <w:basedOn w:val="Normal"/>
    <w:qFormat/>
    <w:rsid w:val="00722A06"/>
    <w:pPr>
      <w:keepNext/>
      <w:keepLines/>
      <w:spacing w:before="160"/>
    </w:pPr>
    <w:rPr>
      <w:b/>
      <w:bCs/>
      <w:i/>
      <w:iCs/>
      <w:color w:val="002060"/>
    </w:rPr>
  </w:style>
  <w:style w:type="paragraph" w:customStyle="1" w:styleId="AnnexNo0">
    <w:name w:val="Annex No"/>
    <w:basedOn w:val="AgendaItem"/>
    <w:qFormat/>
    <w:rsid w:val="00722A06"/>
  </w:style>
  <w:style w:type="paragraph" w:customStyle="1" w:styleId="Annextitle0">
    <w:name w:val="Annex title"/>
    <w:basedOn w:val="AnnexNo0"/>
    <w:qFormat/>
    <w:rsid w:val="00722A06"/>
    <w:pPr>
      <w:keepNext/>
      <w:keepLines/>
      <w:spacing w:before="120" w:after="360"/>
    </w:pPr>
    <w:rPr>
      <w:b/>
      <w:bCs/>
      <w:sz w:val="28"/>
      <w:szCs w:val="28"/>
    </w:rPr>
  </w:style>
  <w:style w:type="paragraph" w:customStyle="1" w:styleId="AppendixNo0">
    <w:name w:val="Appendix No"/>
    <w:basedOn w:val="Normal"/>
    <w:qFormat/>
    <w:rsid w:val="00722A06"/>
    <w:pPr>
      <w:keepNext/>
      <w:keepLines/>
      <w:spacing w:before="360"/>
      <w:jc w:val="center"/>
    </w:pPr>
    <w:rPr>
      <w:sz w:val="26"/>
      <w:szCs w:val="26"/>
      <w:lang w:bidi="ar-SY"/>
    </w:rPr>
  </w:style>
  <w:style w:type="paragraph" w:customStyle="1" w:styleId="Appendixtitle0">
    <w:name w:val="Appendix title"/>
    <w:basedOn w:val="Normal"/>
    <w:qFormat/>
    <w:rsid w:val="00722A06"/>
    <w:pPr>
      <w:keepNext/>
      <w:keepLines/>
      <w:spacing w:after="360"/>
      <w:jc w:val="center"/>
    </w:pPr>
    <w:rPr>
      <w:b/>
      <w:bCs/>
      <w:sz w:val="28"/>
      <w:szCs w:val="28"/>
    </w:rPr>
  </w:style>
  <w:style w:type="paragraph" w:customStyle="1" w:styleId="ArticleNo0">
    <w:name w:val="Article No"/>
    <w:basedOn w:val="Normal"/>
    <w:qFormat/>
    <w:rsid w:val="00722A06"/>
    <w:pPr>
      <w:keepNext/>
      <w:keepLines/>
      <w:spacing w:after="360"/>
      <w:jc w:val="center"/>
    </w:pPr>
    <w:rPr>
      <w:sz w:val="26"/>
      <w:szCs w:val="26"/>
      <w:lang w:bidi="ar-SY"/>
    </w:rPr>
  </w:style>
  <w:style w:type="paragraph" w:customStyle="1" w:styleId="Articletitle0">
    <w:name w:val="Article title"/>
    <w:basedOn w:val="ArticleNo0"/>
    <w:qFormat/>
    <w:rsid w:val="00722A06"/>
    <w:rPr>
      <w:b/>
      <w:bCs/>
      <w:sz w:val="28"/>
      <w:szCs w:val="28"/>
    </w:rPr>
  </w:style>
  <w:style w:type="character" w:customStyle="1" w:styleId="CallChar">
    <w:name w:val="Call Char"/>
    <w:basedOn w:val="DefaultParagraphFont"/>
    <w:link w:val="Call"/>
    <w:locked/>
    <w:rsid w:val="00722A06"/>
    <w:rPr>
      <w:rFonts w:ascii="Dubai" w:hAnsi="Dubai" w:cs="Dubai"/>
      <w:i/>
      <w:iCs/>
    </w:rPr>
  </w:style>
  <w:style w:type="paragraph" w:customStyle="1" w:styleId="ChapterNo0">
    <w:name w:val="Chapter No"/>
    <w:basedOn w:val="Normal"/>
    <w:qFormat/>
    <w:rsid w:val="00722A06"/>
    <w:pPr>
      <w:keepNext/>
      <w:keepLines/>
      <w:spacing w:before="600"/>
      <w:jc w:val="center"/>
    </w:pPr>
    <w:rPr>
      <w:sz w:val="28"/>
      <w:szCs w:val="28"/>
      <w:lang w:bidi="ar-SY"/>
    </w:rPr>
  </w:style>
  <w:style w:type="paragraph" w:customStyle="1" w:styleId="Chaptertitle0">
    <w:name w:val="Chapter title"/>
    <w:basedOn w:val="Heading1"/>
    <w:qFormat/>
    <w:rsid w:val="00722A06"/>
    <w:pPr>
      <w:pBdr>
        <w:left w:val="single" w:sz="4" w:space="4" w:color="auto"/>
        <w:bottom w:val="single" w:sz="4" w:space="1" w:color="auto"/>
      </w:pBdr>
      <w:spacing w:after="600"/>
    </w:pPr>
    <w:rPr>
      <w:lang w:bidi="ar-EG"/>
    </w:rPr>
  </w:style>
  <w:style w:type="paragraph" w:customStyle="1" w:styleId="enumlev10">
    <w:name w:val="enumlev 1"/>
    <w:basedOn w:val="Normal"/>
    <w:qFormat/>
    <w:rsid w:val="00C90949"/>
    <w:pPr>
      <w:spacing w:before="80" w:after="80"/>
      <w:ind w:left="794" w:hanging="794"/>
      <w:outlineLvl w:val="0"/>
    </w:pPr>
    <w:rPr>
      <w:lang w:bidi="ar-SY"/>
    </w:rPr>
  </w:style>
  <w:style w:type="paragraph" w:customStyle="1" w:styleId="enumlev20">
    <w:name w:val="enumlev 2"/>
    <w:basedOn w:val="Normal"/>
    <w:next w:val="enumlev10"/>
    <w:qFormat/>
    <w:rsid w:val="00722A06"/>
    <w:pPr>
      <w:spacing w:before="80"/>
      <w:ind w:left="1588" w:hanging="794"/>
      <w:outlineLvl w:val="1"/>
    </w:pPr>
  </w:style>
  <w:style w:type="paragraph" w:customStyle="1" w:styleId="enumlev30">
    <w:name w:val="enumlev 3"/>
    <w:basedOn w:val="Normal"/>
    <w:qFormat/>
    <w:rsid w:val="00722A06"/>
    <w:pPr>
      <w:spacing w:before="80"/>
      <w:ind w:left="2382" w:hanging="794"/>
      <w:outlineLvl w:val="2"/>
    </w:pPr>
    <w:rPr>
      <w:lang w:bidi="ar-SY"/>
    </w:rPr>
  </w:style>
  <w:style w:type="paragraph" w:customStyle="1" w:styleId="Figurelegend0">
    <w:name w:val="Figure legend"/>
    <w:basedOn w:val="Normal"/>
    <w:qFormat/>
    <w:rsid w:val="00722A06"/>
    <w:pPr>
      <w:spacing w:before="60"/>
    </w:pPr>
    <w:rPr>
      <w:lang w:bidi="ar-SY"/>
    </w:rPr>
  </w:style>
  <w:style w:type="character" w:customStyle="1" w:styleId="NormalaftertitleChar">
    <w:name w:val="Normal after title Char"/>
    <w:basedOn w:val="DefaultParagraphFont"/>
    <w:link w:val="Normalaftertitle"/>
    <w:rsid w:val="00722A06"/>
    <w:rPr>
      <w:rFonts w:ascii="Dubai" w:hAnsi="Dubai" w:cs="Dubai"/>
      <w:lang w:bidi="ar-SY"/>
    </w:rPr>
  </w:style>
  <w:style w:type="paragraph" w:customStyle="1" w:styleId="PartNo0">
    <w:name w:val="Part No"/>
    <w:basedOn w:val="Normal"/>
    <w:qFormat/>
    <w:rsid w:val="00722A06"/>
    <w:pPr>
      <w:keepNext/>
      <w:keepLines/>
      <w:spacing w:before="360"/>
      <w:jc w:val="center"/>
    </w:pPr>
    <w:rPr>
      <w:sz w:val="26"/>
      <w:szCs w:val="26"/>
    </w:rPr>
  </w:style>
  <w:style w:type="paragraph" w:customStyle="1" w:styleId="Parttitle0">
    <w:name w:val="Part title"/>
    <w:basedOn w:val="PartNo0"/>
    <w:qFormat/>
    <w:rsid w:val="00722A06"/>
    <w:pPr>
      <w:spacing w:before="120" w:after="360"/>
    </w:pPr>
    <w:rPr>
      <w:b/>
      <w:bCs/>
      <w:sz w:val="28"/>
      <w:szCs w:val="28"/>
    </w:rPr>
  </w:style>
  <w:style w:type="paragraph" w:customStyle="1" w:styleId="Section10">
    <w:name w:val="Section 1"/>
    <w:basedOn w:val="Normal"/>
    <w:qFormat/>
    <w:rsid w:val="00722A06"/>
    <w:pPr>
      <w:keepNext/>
      <w:spacing w:before="360" w:after="240"/>
      <w:jc w:val="center"/>
    </w:pPr>
    <w:rPr>
      <w:b/>
      <w:bCs/>
      <w:sz w:val="26"/>
      <w:szCs w:val="26"/>
      <w:lang w:bidi="ar-SY"/>
    </w:rPr>
  </w:style>
  <w:style w:type="paragraph" w:customStyle="1" w:styleId="Section20">
    <w:name w:val="Section 2"/>
    <w:basedOn w:val="Section10"/>
    <w:qFormat/>
    <w:rsid w:val="00722A06"/>
    <w:pPr>
      <w:spacing w:before="240"/>
    </w:pPr>
    <w:rPr>
      <w:b w:val="0"/>
      <w:bCs w:val="0"/>
    </w:rPr>
  </w:style>
  <w:style w:type="paragraph" w:customStyle="1" w:styleId="SectionNo0">
    <w:name w:val="Section No"/>
    <w:basedOn w:val="Normal"/>
    <w:qFormat/>
    <w:rsid w:val="00722A06"/>
    <w:pPr>
      <w:keepNext/>
      <w:keepLines/>
      <w:spacing w:before="360"/>
      <w:jc w:val="center"/>
    </w:pPr>
    <w:rPr>
      <w:sz w:val="26"/>
      <w:szCs w:val="26"/>
    </w:rPr>
  </w:style>
  <w:style w:type="paragraph" w:customStyle="1" w:styleId="Figuretitle0">
    <w:name w:val="Figure title"/>
    <w:basedOn w:val="Normal"/>
    <w:qFormat/>
    <w:rsid w:val="00722A06"/>
    <w:pPr>
      <w:keepNext/>
      <w:spacing w:after="240"/>
      <w:jc w:val="center"/>
    </w:pPr>
    <w:rPr>
      <w:b/>
      <w:bCs/>
    </w:rPr>
  </w:style>
  <w:style w:type="paragraph" w:customStyle="1" w:styleId="TableNo0">
    <w:name w:val="Table No"/>
    <w:basedOn w:val="Normal"/>
    <w:qFormat/>
    <w:rsid w:val="00722A06"/>
    <w:pPr>
      <w:keepNext/>
      <w:spacing w:before="240"/>
      <w:jc w:val="center"/>
    </w:pPr>
    <w:rPr>
      <w:b/>
      <w:bCs/>
      <w:lang w:bidi="ar-SY"/>
    </w:rPr>
  </w:style>
  <w:style w:type="paragraph" w:customStyle="1" w:styleId="Tabletitle0">
    <w:name w:val="Table title"/>
    <w:basedOn w:val="TableNo0"/>
    <w:qFormat/>
    <w:rsid w:val="00722A06"/>
    <w:pPr>
      <w:spacing w:before="120" w:after="240"/>
    </w:pPr>
    <w:rPr>
      <w:b w:val="0"/>
      <w:bCs w:val="0"/>
    </w:rPr>
  </w:style>
  <w:style w:type="paragraph" w:customStyle="1" w:styleId="TableHead0">
    <w:name w:val="Table Head"/>
    <w:basedOn w:val="Normal"/>
    <w:qFormat/>
    <w:rsid w:val="00722A06"/>
    <w:pPr>
      <w:keepNext/>
      <w:spacing w:before="60" w:after="60" w:line="260" w:lineRule="exact"/>
      <w:jc w:val="center"/>
    </w:pPr>
    <w:rPr>
      <w:b/>
      <w:bCs/>
      <w:sz w:val="20"/>
      <w:szCs w:val="20"/>
    </w:rPr>
  </w:style>
  <w:style w:type="paragraph" w:customStyle="1" w:styleId="Tabletexte0">
    <w:name w:val="Table texte"/>
    <w:basedOn w:val="Normal"/>
    <w:qFormat/>
    <w:rsid w:val="00722A06"/>
    <w:pPr>
      <w:spacing w:before="60" w:after="60" w:line="260" w:lineRule="exact"/>
    </w:pPr>
    <w:rPr>
      <w:sz w:val="20"/>
      <w:szCs w:val="20"/>
      <w:lang w:bidi="ar-SY"/>
    </w:rPr>
  </w:style>
  <w:style w:type="paragraph" w:customStyle="1" w:styleId="VolumeNo0">
    <w:name w:val="Volume No"/>
    <w:basedOn w:val="Normal"/>
    <w:qFormat/>
    <w:rsid w:val="00722A06"/>
    <w:pPr>
      <w:keepNext/>
      <w:spacing w:before="360"/>
      <w:jc w:val="center"/>
    </w:pPr>
    <w:rPr>
      <w:sz w:val="26"/>
      <w:szCs w:val="26"/>
      <w:lang w:bidi="ar-SY"/>
    </w:rPr>
  </w:style>
  <w:style w:type="paragraph" w:customStyle="1" w:styleId="Volumetitle0">
    <w:name w:val="Volume title"/>
    <w:basedOn w:val="VolumeNo0"/>
    <w:qFormat/>
    <w:rsid w:val="00722A06"/>
    <w:pPr>
      <w:spacing w:before="120" w:after="360"/>
    </w:pPr>
    <w:rPr>
      <w:b/>
      <w:bCs/>
      <w:sz w:val="28"/>
      <w:szCs w:val="28"/>
    </w:rPr>
  </w:style>
  <w:style w:type="paragraph" w:styleId="Title">
    <w:name w:val="Title"/>
    <w:aliases w:val="Title right"/>
    <w:basedOn w:val="Normal"/>
    <w:next w:val="Normal"/>
    <w:link w:val="TitleChar"/>
    <w:uiPriority w:val="10"/>
    <w:rsid w:val="00722A06"/>
    <w:pPr>
      <w:keepNext/>
      <w:spacing w:before="36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22A06"/>
    <w:rPr>
      <w:rFonts w:ascii="Dubai" w:eastAsiaTheme="majorEastAsia" w:hAnsi="Dubai" w:cs="Dubai"/>
      <w:b/>
      <w:bCs/>
      <w:color w:val="FF0000"/>
      <w:kern w:val="28"/>
      <w:sz w:val="28"/>
      <w:szCs w:val="40"/>
    </w:rPr>
  </w:style>
  <w:style w:type="paragraph" w:customStyle="1" w:styleId="OpinionNo0">
    <w:name w:val="Opinion No"/>
    <w:basedOn w:val="Normal"/>
    <w:qFormat/>
    <w:rsid w:val="00722A06"/>
    <w:pPr>
      <w:keepNext/>
      <w:keepLines/>
      <w:spacing w:before="360"/>
      <w:jc w:val="center"/>
    </w:pPr>
    <w:rPr>
      <w:sz w:val="26"/>
      <w:szCs w:val="26"/>
    </w:rPr>
  </w:style>
  <w:style w:type="paragraph" w:customStyle="1" w:styleId="Opiniontitle0">
    <w:name w:val="Opinion title"/>
    <w:basedOn w:val="Normal"/>
    <w:qFormat/>
    <w:rsid w:val="00722A06"/>
    <w:pPr>
      <w:keepNext/>
      <w:keepLines/>
      <w:spacing w:after="360"/>
      <w:jc w:val="center"/>
    </w:pPr>
    <w:rPr>
      <w:b/>
      <w:bCs/>
      <w:sz w:val="28"/>
      <w:szCs w:val="28"/>
    </w:rPr>
  </w:style>
  <w:style w:type="paragraph" w:customStyle="1" w:styleId="Footnotetexte0">
    <w:name w:val="Footnote texte"/>
    <w:basedOn w:val="Normal"/>
    <w:qFormat/>
    <w:rsid w:val="00722A06"/>
    <w:pPr>
      <w:tabs>
        <w:tab w:val="clear" w:pos="794"/>
        <w:tab w:val="left" w:pos="397"/>
      </w:tabs>
      <w:spacing w:before="60" w:line="168" w:lineRule="auto"/>
      <w:ind w:left="397" w:hanging="397"/>
    </w:pPr>
    <w:rPr>
      <w:sz w:val="20"/>
      <w:szCs w:val="20"/>
    </w:rPr>
  </w:style>
  <w:style w:type="paragraph" w:customStyle="1" w:styleId="Tablelegend0">
    <w:name w:val="Table legend"/>
    <w:basedOn w:val="Normal"/>
    <w:qFormat/>
    <w:rsid w:val="00722A06"/>
    <w:pPr>
      <w:spacing w:before="80"/>
    </w:pPr>
    <w:rPr>
      <w:lang w:bidi="ar-SY"/>
    </w:rPr>
  </w:style>
  <w:style w:type="paragraph" w:customStyle="1" w:styleId="Headingb0">
    <w:name w:val="Heading b"/>
    <w:basedOn w:val="Normal"/>
    <w:qFormat/>
    <w:rsid w:val="000617E6"/>
    <w:pPr>
      <w:keepNext/>
      <w:spacing w:before="240"/>
      <w:ind w:left="1134" w:hanging="1134"/>
    </w:pPr>
    <w:rPr>
      <w:b/>
      <w:bCs/>
    </w:rPr>
  </w:style>
  <w:style w:type="paragraph" w:customStyle="1" w:styleId="Tabletexte13">
    <w:name w:val="Table texte 13"/>
    <w:basedOn w:val="Tabletexte0"/>
    <w:qFormat/>
    <w:rsid w:val="00722A06"/>
    <w:pPr>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40" w:after="40"/>
      <w:jc w:val="left"/>
    </w:pPr>
    <w:rPr>
      <w:rFonts w:ascii="Calibri" w:eastAsia="SimSun" w:hAnsi="Calibri" w:cs="Traditional Arabic"/>
      <w:szCs w:val="26"/>
      <w:lang w:val="fr-CH" w:bidi="ar-EG"/>
    </w:rPr>
  </w:style>
  <w:style w:type="paragraph" w:customStyle="1" w:styleId="resn">
    <w:name w:val="res_n"/>
    <w:basedOn w:val="Normal"/>
    <w:rsid w:val="00722A06"/>
    <w:rPr>
      <w:lang w:bidi="ar-EG"/>
    </w:rPr>
  </w:style>
  <w:style w:type="paragraph" w:customStyle="1" w:styleId="TableNo1">
    <w:name w:val="Table _No"/>
    <w:basedOn w:val="Normal"/>
    <w:qFormat/>
    <w:rsid w:val="00722A06"/>
    <w:pPr>
      <w:tabs>
        <w:tab w:val="clear" w:pos="794"/>
      </w:tabs>
      <w:spacing w:before="60" w:after="60" w:line="300" w:lineRule="exact"/>
      <w:jc w:val="left"/>
    </w:pPr>
    <w:rPr>
      <w:rFonts w:eastAsia="Times New Roman"/>
      <w:b/>
      <w:bCs/>
      <w:color w:val="002060"/>
      <w:sz w:val="32"/>
      <w:szCs w:val="40"/>
    </w:rPr>
  </w:style>
  <w:style w:type="character" w:customStyle="1" w:styleId="TabletextChar">
    <w:name w:val="Table_text Char"/>
    <w:basedOn w:val="DefaultParagraphFont"/>
    <w:link w:val="Tabletext"/>
    <w:locked/>
    <w:rsid w:val="00722A06"/>
    <w:rPr>
      <w:rFonts w:ascii="Times New Roman" w:eastAsia="Times New Roman" w:hAnsi="CG Times" w:cs="Simplified Arabic"/>
      <w:szCs w:val="30"/>
    </w:rPr>
  </w:style>
  <w:style w:type="paragraph" w:customStyle="1" w:styleId="font5">
    <w:name w:val="font5"/>
    <w:basedOn w:val="Normal"/>
    <w:rsid w:val="00722A06"/>
    <w:pPr>
      <w:tabs>
        <w:tab w:val="clear" w:pos="794"/>
      </w:tabs>
      <w:bidi w:val="0"/>
      <w:spacing w:before="100" w:beforeAutospacing="1" w:after="100" w:afterAutospacing="1" w:line="240" w:lineRule="auto"/>
      <w:jc w:val="left"/>
    </w:pPr>
    <w:rPr>
      <w:rFonts w:eastAsia="Times New Roman" w:cs="Calibri"/>
      <w:b/>
      <w:bCs/>
      <w:color w:val="000000"/>
      <w:sz w:val="12"/>
      <w:szCs w:val="12"/>
    </w:rPr>
  </w:style>
  <w:style w:type="paragraph" w:customStyle="1" w:styleId="xl119">
    <w:name w:val="xl119"/>
    <w:basedOn w:val="Normal"/>
    <w:rsid w:val="00722A06"/>
    <w:pP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20">
    <w:name w:val="xl120"/>
    <w:basedOn w:val="Normal"/>
    <w:rsid w:val="00722A06"/>
    <w:pP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21">
    <w:name w:val="xl121"/>
    <w:basedOn w:val="Normal"/>
    <w:rsid w:val="00722A06"/>
    <w:pPr>
      <w:tabs>
        <w:tab w:val="clear" w:pos="794"/>
      </w:tabs>
      <w:bidi w:val="0"/>
      <w:spacing w:before="100" w:beforeAutospacing="1" w:after="100" w:afterAutospacing="1" w:line="240" w:lineRule="auto"/>
      <w:jc w:val="left"/>
      <w:textAlignment w:val="center"/>
    </w:pPr>
    <w:rPr>
      <w:rFonts w:eastAsia="Times New Roman" w:cs="Calibri"/>
      <w:b/>
      <w:bCs/>
      <w:sz w:val="24"/>
      <w:szCs w:val="24"/>
    </w:rPr>
  </w:style>
  <w:style w:type="paragraph" w:customStyle="1" w:styleId="xl122">
    <w:name w:val="xl122"/>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16"/>
      <w:szCs w:val="16"/>
    </w:rPr>
  </w:style>
  <w:style w:type="paragraph" w:customStyle="1" w:styleId="xl123">
    <w:name w:val="xl123"/>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24">
    <w:name w:val="xl124"/>
    <w:basedOn w:val="Normal"/>
    <w:rsid w:val="00722A06"/>
    <w:pPr>
      <w:tabs>
        <w:tab w:val="clear" w:pos="794"/>
      </w:tabs>
      <w:bidi w:val="0"/>
      <w:spacing w:before="100" w:beforeAutospacing="1" w:after="100" w:afterAutospacing="1" w:line="240" w:lineRule="auto"/>
      <w:jc w:val="center"/>
      <w:textAlignment w:val="center"/>
    </w:pPr>
    <w:rPr>
      <w:rFonts w:eastAsia="Times New Roman" w:cs="Calibri"/>
      <w:b/>
      <w:bCs/>
      <w:color w:val="000000"/>
      <w:sz w:val="16"/>
      <w:szCs w:val="16"/>
    </w:rPr>
  </w:style>
  <w:style w:type="paragraph" w:customStyle="1" w:styleId="xl125">
    <w:name w:val="xl125"/>
    <w:basedOn w:val="Normal"/>
    <w:rsid w:val="00722A06"/>
    <w:pPr>
      <w:tabs>
        <w:tab w:val="clear" w:pos="794"/>
      </w:tabs>
      <w:bidi w:val="0"/>
      <w:spacing w:before="100" w:beforeAutospacing="1" w:after="100" w:afterAutospacing="1" w:line="240" w:lineRule="auto"/>
      <w:jc w:val="center"/>
      <w:textAlignment w:val="center"/>
    </w:pPr>
    <w:rPr>
      <w:rFonts w:eastAsia="Times New Roman" w:cs="Calibri"/>
      <w:b/>
      <w:bCs/>
      <w:color w:val="000000"/>
      <w:sz w:val="16"/>
      <w:szCs w:val="16"/>
    </w:rPr>
  </w:style>
  <w:style w:type="paragraph" w:customStyle="1" w:styleId="xl126">
    <w:name w:val="xl126"/>
    <w:basedOn w:val="Normal"/>
    <w:rsid w:val="00722A06"/>
    <w:pPr>
      <w:pBdr>
        <w:top w:val="single" w:sz="4" w:space="0" w:color="000099"/>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27">
    <w:name w:val="xl127"/>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14"/>
      <w:szCs w:val="14"/>
    </w:rPr>
  </w:style>
  <w:style w:type="paragraph" w:customStyle="1" w:styleId="xl128">
    <w:name w:val="xl128"/>
    <w:basedOn w:val="Normal"/>
    <w:rsid w:val="00722A06"/>
    <w:pPr>
      <w:pBdr>
        <w:bottom w:val="single" w:sz="4" w:space="0" w:color="000099"/>
      </w:pBd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29">
    <w:name w:val="xl129"/>
    <w:basedOn w:val="Normal"/>
    <w:rsid w:val="00722A06"/>
    <w:pPr>
      <w:tabs>
        <w:tab w:val="clear" w:pos="794"/>
      </w:tabs>
      <w:bidi w:val="0"/>
      <w:spacing w:before="100" w:beforeAutospacing="1" w:after="100" w:afterAutospacing="1" w:line="240" w:lineRule="auto"/>
      <w:jc w:val="center"/>
      <w:textAlignment w:val="center"/>
    </w:pPr>
    <w:rPr>
      <w:rFonts w:eastAsia="Times New Roman" w:cs="Calibri"/>
      <w:b/>
      <w:bCs/>
      <w:color w:val="000000"/>
      <w:sz w:val="14"/>
      <w:szCs w:val="14"/>
    </w:rPr>
  </w:style>
  <w:style w:type="paragraph" w:customStyle="1" w:styleId="xl130">
    <w:name w:val="xl130"/>
    <w:basedOn w:val="Normal"/>
    <w:rsid w:val="00722A06"/>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1">
    <w:name w:val="xl131"/>
    <w:basedOn w:val="Normal"/>
    <w:rsid w:val="00722A06"/>
    <w:pPr>
      <w:pBdr>
        <w:right w:val="single" w:sz="4" w:space="0" w:color="000099"/>
      </w:pBd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2">
    <w:name w:val="xl132"/>
    <w:basedOn w:val="Normal"/>
    <w:rsid w:val="00722A06"/>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3">
    <w:name w:val="xl133"/>
    <w:basedOn w:val="Normal"/>
    <w:rsid w:val="00722A06"/>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4">
    <w:name w:val="xl134"/>
    <w:basedOn w:val="Normal"/>
    <w:rsid w:val="00722A06"/>
    <w:pPr>
      <w:tabs>
        <w:tab w:val="clear" w:pos="794"/>
      </w:tabs>
      <w:bidi w:val="0"/>
      <w:spacing w:before="100" w:beforeAutospacing="1" w:after="100" w:afterAutospacing="1" w:line="240" w:lineRule="auto"/>
      <w:jc w:val="center"/>
      <w:textAlignment w:val="center"/>
    </w:pPr>
    <w:rPr>
      <w:rFonts w:eastAsia="Times New Roman" w:cs="Calibri"/>
      <w:b/>
      <w:bCs/>
      <w:color w:val="000000"/>
      <w:sz w:val="24"/>
      <w:szCs w:val="24"/>
    </w:rPr>
  </w:style>
  <w:style w:type="paragraph" w:customStyle="1" w:styleId="xl135">
    <w:name w:val="xl135"/>
    <w:basedOn w:val="Normal"/>
    <w:rsid w:val="00722A06"/>
    <w:pPr>
      <w:pBdr>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36">
    <w:name w:val="xl136"/>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37">
    <w:name w:val="xl137"/>
    <w:basedOn w:val="Normal"/>
    <w:rsid w:val="00722A06"/>
    <w:pPr>
      <w:tabs>
        <w:tab w:val="clear" w:pos="794"/>
      </w:tabs>
      <w:bidi w:val="0"/>
      <w:spacing w:before="100" w:beforeAutospacing="1" w:after="100" w:afterAutospacing="1" w:line="240" w:lineRule="auto"/>
      <w:jc w:val="left"/>
      <w:textAlignment w:val="center"/>
    </w:pPr>
    <w:rPr>
      <w:rFonts w:eastAsia="Times New Roman" w:cs="Calibri"/>
      <w:b/>
      <w:bCs/>
      <w:color w:val="000000"/>
      <w:sz w:val="24"/>
      <w:szCs w:val="24"/>
    </w:rPr>
  </w:style>
  <w:style w:type="paragraph" w:customStyle="1" w:styleId="xl138">
    <w:name w:val="xl138"/>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39">
    <w:name w:val="xl139"/>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0">
    <w:name w:val="xl140"/>
    <w:basedOn w:val="Normal"/>
    <w:rsid w:val="00722A06"/>
    <w:pPr>
      <w:tabs>
        <w:tab w:val="clear" w:pos="794"/>
      </w:tabs>
      <w:bidi w:val="0"/>
      <w:spacing w:before="100" w:beforeAutospacing="1" w:after="100" w:afterAutospacing="1" w:line="240" w:lineRule="auto"/>
      <w:jc w:val="left"/>
      <w:textAlignment w:val="center"/>
    </w:pPr>
    <w:rPr>
      <w:rFonts w:eastAsia="Times New Roman" w:cs="Calibri"/>
      <w:b/>
      <w:bCs/>
      <w:color w:val="000000"/>
      <w:sz w:val="24"/>
      <w:szCs w:val="24"/>
    </w:rPr>
  </w:style>
  <w:style w:type="paragraph" w:customStyle="1" w:styleId="xl141">
    <w:name w:val="xl141"/>
    <w:basedOn w:val="Normal"/>
    <w:rsid w:val="00722A06"/>
    <w:pPr>
      <w:pBdr>
        <w:top w:val="single" w:sz="4" w:space="0" w:color="auto"/>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2">
    <w:name w:val="xl142"/>
    <w:basedOn w:val="Normal"/>
    <w:rsid w:val="00722A06"/>
    <w:pPr>
      <w:pBdr>
        <w:top w:val="single" w:sz="4" w:space="0" w:color="auto"/>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3">
    <w:name w:val="xl143"/>
    <w:basedOn w:val="Normal"/>
    <w:rsid w:val="00722A06"/>
    <w:pPr>
      <w:pBdr>
        <w:top w:val="single" w:sz="4" w:space="0" w:color="auto"/>
      </w:pBdr>
      <w:tabs>
        <w:tab w:val="clear" w:pos="794"/>
      </w:tabs>
      <w:bidi w:val="0"/>
      <w:spacing w:before="100" w:beforeAutospacing="1" w:after="100" w:afterAutospacing="1" w:line="240" w:lineRule="auto"/>
      <w:jc w:val="left"/>
      <w:textAlignment w:val="center"/>
    </w:pPr>
    <w:rPr>
      <w:rFonts w:eastAsia="Times New Roman" w:cs="Calibri"/>
      <w:b/>
      <w:bCs/>
      <w:color w:val="000000"/>
      <w:sz w:val="24"/>
      <w:szCs w:val="24"/>
    </w:rPr>
  </w:style>
  <w:style w:type="paragraph" w:customStyle="1" w:styleId="xl144">
    <w:name w:val="xl144"/>
    <w:basedOn w:val="Normal"/>
    <w:rsid w:val="00722A06"/>
    <w:pPr>
      <w:pBdr>
        <w:top w:val="single" w:sz="4" w:space="0" w:color="auto"/>
      </w:pBd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5">
    <w:name w:val="xl145"/>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16"/>
      <w:szCs w:val="16"/>
    </w:rPr>
  </w:style>
  <w:style w:type="paragraph" w:customStyle="1" w:styleId="xl146">
    <w:name w:val="xl146"/>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0000"/>
      <w:sz w:val="24"/>
      <w:szCs w:val="24"/>
    </w:rPr>
  </w:style>
  <w:style w:type="paragraph" w:customStyle="1" w:styleId="xl147">
    <w:name w:val="xl147"/>
    <w:basedOn w:val="Normal"/>
    <w:rsid w:val="00722A06"/>
    <w:pPr>
      <w:tabs>
        <w:tab w:val="clear" w:pos="794"/>
      </w:tabs>
      <w:bidi w:val="0"/>
      <w:spacing w:before="100" w:beforeAutospacing="1" w:after="100" w:afterAutospacing="1" w:line="240" w:lineRule="auto"/>
      <w:jc w:val="left"/>
      <w:textAlignment w:val="center"/>
    </w:pPr>
    <w:rPr>
      <w:rFonts w:eastAsia="Times New Roman" w:cs="Calibri"/>
      <w:color w:val="0070C0"/>
      <w:sz w:val="14"/>
      <w:szCs w:val="14"/>
    </w:rPr>
  </w:style>
  <w:style w:type="paragraph" w:customStyle="1" w:styleId="xl148">
    <w:name w:val="xl148"/>
    <w:basedOn w:val="Normal"/>
    <w:rsid w:val="00722A06"/>
    <w:pPr>
      <w:pBdr>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49">
    <w:name w:val="xl149"/>
    <w:basedOn w:val="Normal"/>
    <w:rsid w:val="00722A06"/>
    <w:pPr>
      <w:pBdr>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50">
    <w:name w:val="xl150"/>
    <w:basedOn w:val="Normal"/>
    <w:rsid w:val="00722A06"/>
    <w:pPr>
      <w:tabs>
        <w:tab w:val="clear" w:pos="794"/>
      </w:tabs>
      <w:bidi w:val="0"/>
      <w:spacing w:before="100" w:beforeAutospacing="1" w:after="100" w:afterAutospacing="1" w:line="240" w:lineRule="auto"/>
      <w:jc w:val="left"/>
      <w:textAlignment w:val="center"/>
    </w:pPr>
    <w:rPr>
      <w:rFonts w:eastAsia="Times New Roman" w:cs="Calibri"/>
      <w:sz w:val="24"/>
      <w:szCs w:val="24"/>
    </w:rPr>
  </w:style>
  <w:style w:type="paragraph" w:customStyle="1" w:styleId="xl151">
    <w:name w:val="xl151"/>
    <w:basedOn w:val="Normal"/>
    <w:rsid w:val="00722A06"/>
    <w:pPr>
      <w:tabs>
        <w:tab w:val="clear" w:pos="794"/>
      </w:tabs>
      <w:bidi w:val="0"/>
      <w:spacing w:before="100" w:beforeAutospacing="1" w:after="100" w:afterAutospacing="1" w:line="240" w:lineRule="auto"/>
      <w:jc w:val="left"/>
      <w:textAlignment w:val="center"/>
    </w:pPr>
    <w:rPr>
      <w:rFonts w:eastAsia="Times New Roman" w:cs="Calibri"/>
      <w:b/>
      <w:bCs/>
      <w:sz w:val="24"/>
      <w:szCs w:val="24"/>
    </w:rPr>
  </w:style>
  <w:style w:type="paragraph" w:customStyle="1" w:styleId="xl152">
    <w:name w:val="xl152"/>
    <w:basedOn w:val="Normal"/>
    <w:rsid w:val="00722A06"/>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sz w:val="24"/>
      <w:szCs w:val="24"/>
    </w:rPr>
  </w:style>
  <w:style w:type="paragraph" w:customStyle="1" w:styleId="xl153">
    <w:name w:val="xl153"/>
    <w:basedOn w:val="Normal"/>
    <w:rsid w:val="00722A06"/>
    <w:pPr>
      <w:pBdr>
        <w:top w:val="single" w:sz="4" w:space="0" w:color="000099"/>
        <w:bottom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sz w:val="24"/>
      <w:szCs w:val="24"/>
    </w:rPr>
  </w:style>
  <w:style w:type="paragraph" w:customStyle="1" w:styleId="xl154">
    <w:name w:val="xl154"/>
    <w:basedOn w:val="Normal"/>
    <w:rsid w:val="00722A06"/>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rPr>
  </w:style>
  <w:style w:type="paragraph" w:customStyle="1" w:styleId="xl155">
    <w:name w:val="xl155"/>
    <w:basedOn w:val="Normal"/>
    <w:rsid w:val="00722A06"/>
    <w:pPr>
      <w:pBdr>
        <w:top w:val="single" w:sz="4" w:space="0" w:color="000099"/>
        <w:bottom w:val="single" w:sz="4" w:space="0" w:color="000099"/>
      </w:pBdr>
      <w:tabs>
        <w:tab w:val="clear" w:pos="794"/>
      </w:tabs>
      <w:bidi w:val="0"/>
      <w:spacing w:before="100" w:beforeAutospacing="1" w:after="100" w:afterAutospacing="1" w:line="240" w:lineRule="auto"/>
      <w:jc w:val="left"/>
      <w:textAlignment w:val="center"/>
    </w:pPr>
    <w:rPr>
      <w:rFonts w:eastAsia="Times New Roman" w:cs="Calibri"/>
      <w:b/>
      <w:bCs/>
      <w:color w:val="0070C0"/>
    </w:rPr>
  </w:style>
  <w:style w:type="paragraph" w:customStyle="1" w:styleId="xl156">
    <w:name w:val="xl156"/>
    <w:basedOn w:val="Normal"/>
    <w:rsid w:val="00722A06"/>
    <w:pPr>
      <w:tabs>
        <w:tab w:val="clear" w:pos="794"/>
      </w:tabs>
      <w:bidi w:val="0"/>
      <w:spacing w:before="100" w:beforeAutospacing="1" w:after="100" w:afterAutospacing="1" w:line="240" w:lineRule="auto"/>
      <w:jc w:val="center"/>
    </w:pPr>
    <w:rPr>
      <w:rFonts w:eastAsia="Times New Roman" w:cs="Calibri"/>
      <w:color w:val="000000"/>
      <w:sz w:val="32"/>
      <w:szCs w:val="32"/>
    </w:rPr>
  </w:style>
  <w:style w:type="paragraph" w:customStyle="1" w:styleId="xl157">
    <w:name w:val="xl157"/>
    <w:basedOn w:val="Normal"/>
    <w:rsid w:val="00722A06"/>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58">
    <w:name w:val="xl158"/>
    <w:basedOn w:val="Normal"/>
    <w:rsid w:val="00722A06"/>
    <w:pPr>
      <w:pBdr>
        <w:top w:val="single" w:sz="4" w:space="0" w:color="000099"/>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59">
    <w:name w:val="xl159"/>
    <w:basedOn w:val="Normal"/>
    <w:rsid w:val="00722A06"/>
    <w:pPr>
      <w:pBdr>
        <w:top w:val="single" w:sz="4" w:space="0" w:color="000099"/>
        <w:bottom w:val="single" w:sz="4" w:space="0" w:color="000099"/>
      </w:pBdr>
      <w:tabs>
        <w:tab w:val="clear" w:pos="794"/>
      </w:tabs>
      <w:bidi w:val="0"/>
      <w:spacing w:before="100" w:beforeAutospacing="1" w:after="100" w:afterAutospacing="1" w:line="240" w:lineRule="auto"/>
      <w:jc w:val="left"/>
      <w:textAlignment w:val="center"/>
    </w:pPr>
    <w:rPr>
      <w:rFonts w:ascii="Traditional Arabic" w:eastAsia="Times New Roman" w:hAnsi="Traditional Arabic"/>
      <w:color w:val="000000"/>
      <w:sz w:val="24"/>
      <w:szCs w:val="24"/>
    </w:rPr>
  </w:style>
  <w:style w:type="paragraph" w:customStyle="1" w:styleId="xl160">
    <w:name w:val="xl160"/>
    <w:basedOn w:val="Normal"/>
    <w:rsid w:val="00722A06"/>
    <w:pPr>
      <w:pBdr>
        <w:top w:val="single" w:sz="4" w:space="0" w:color="000099"/>
        <w:bottom w:val="single" w:sz="4" w:space="0" w:color="000099"/>
        <w:right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1">
    <w:name w:val="xl161"/>
    <w:basedOn w:val="Normal"/>
    <w:rsid w:val="00722A06"/>
    <w:pPr>
      <w:pBdr>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2">
    <w:name w:val="xl162"/>
    <w:basedOn w:val="Normal"/>
    <w:rsid w:val="00722A06"/>
    <w:pPr>
      <w:pBdr>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3">
    <w:name w:val="xl163"/>
    <w:basedOn w:val="Normal"/>
    <w:rsid w:val="00722A06"/>
    <w:pPr>
      <w:pBdr>
        <w:bottom w:val="single" w:sz="4" w:space="0" w:color="000099"/>
      </w:pBdr>
      <w:tabs>
        <w:tab w:val="clear" w:pos="794"/>
      </w:tabs>
      <w:bidi w:val="0"/>
      <w:spacing w:before="100" w:beforeAutospacing="1" w:after="100" w:afterAutospacing="1" w:line="240" w:lineRule="auto"/>
      <w:jc w:val="center"/>
      <w:textAlignment w:val="center"/>
    </w:pPr>
    <w:rPr>
      <w:rFonts w:ascii="Traditional Arabic" w:eastAsia="Times New Roman" w:hAnsi="Traditional Arabic"/>
      <w:b/>
      <w:bCs/>
      <w:color w:val="000000"/>
      <w:sz w:val="24"/>
      <w:szCs w:val="24"/>
    </w:rPr>
  </w:style>
  <w:style w:type="paragraph" w:customStyle="1" w:styleId="xl164">
    <w:name w:val="xl164"/>
    <w:basedOn w:val="Normal"/>
    <w:rsid w:val="00722A06"/>
    <w:pP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65">
    <w:name w:val="xl165"/>
    <w:basedOn w:val="Normal"/>
    <w:rsid w:val="00722A06"/>
    <w:pPr>
      <w:tabs>
        <w:tab w:val="clear" w:pos="794"/>
      </w:tabs>
      <w:bidi w:val="0"/>
      <w:spacing w:before="100" w:beforeAutospacing="1" w:after="100" w:afterAutospacing="1" w:line="240" w:lineRule="auto"/>
      <w:jc w:val="right"/>
      <w:textAlignment w:val="center"/>
    </w:pPr>
    <w:rPr>
      <w:rFonts w:ascii="Traditional Arabic" w:eastAsia="Times New Roman" w:hAnsi="Traditional Arabic"/>
      <w:sz w:val="24"/>
      <w:szCs w:val="24"/>
    </w:rPr>
  </w:style>
  <w:style w:type="paragraph" w:customStyle="1" w:styleId="xl166">
    <w:name w:val="xl166"/>
    <w:basedOn w:val="Normal"/>
    <w:rsid w:val="00722A06"/>
    <w:pPr>
      <w:tabs>
        <w:tab w:val="clear" w:pos="794"/>
      </w:tabs>
      <w:bidi w:val="0"/>
      <w:spacing w:before="100" w:beforeAutospacing="1" w:after="100" w:afterAutospacing="1" w:line="240" w:lineRule="auto"/>
      <w:jc w:val="right"/>
      <w:textAlignment w:val="center"/>
    </w:pPr>
    <w:rPr>
      <w:rFonts w:ascii="Traditional Arabic" w:eastAsia="Times New Roman" w:hAnsi="Traditional Arabic"/>
      <w:sz w:val="24"/>
      <w:szCs w:val="24"/>
    </w:rPr>
  </w:style>
  <w:style w:type="paragraph" w:customStyle="1" w:styleId="xl167">
    <w:name w:val="xl167"/>
    <w:basedOn w:val="Normal"/>
    <w:rsid w:val="00722A06"/>
    <w:pPr>
      <w:pBdr>
        <w:top w:val="single" w:sz="4" w:space="0" w:color="000099"/>
        <w:bottom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b/>
      <w:bCs/>
      <w:color w:val="0070C0"/>
      <w:sz w:val="24"/>
      <w:szCs w:val="24"/>
    </w:rPr>
  </w:style>
  <w:style w:type="paragraph" w:customStyle="1" w:styleId="xl168">
    <w:name w:val="xl168"/>
    <w:basedOn w:val="Normal"/>
    <w:rsid w:val="00722A06"/>
    <w:pPr>
      <w:pBdr>
        <w:top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69">
    <w:name w:val="xl169"/>
    <w:basedOn w:val="Normal"/>
    <w:rsid w:val="00722A06"/>
    <w:pPr>
      <w:pBdr>
        <w:top w:val="single" w:sz="4" w:space="0" w:color="auto"/>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70">
    <w:name w:val="xl170"/>
    <w:basedOn w:val="Normal"/>
    <w:rsid w:val="00722A06"/>
    <w:pPr>
      <w:pBdr>
        <w:top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color w:val="000000"/>
      <w:sz w:val="24"/>
      <w:szCs w:val="24"/>
    </w:rPr>
  </w:style>
  <w:style w:type="paragraph" w:customStyle="1" w:styleId="xl171">
    <w:name w:val="xl171"/>
    <w:basedOn w:val="Normal"/>
    <w:rsid w:val="00722A06"/>
    <w:pPr>
      <w:pBdr>
        <w:top w:val="single" w:sz="4" w:space="0" w:color="000099"/>
        <w:bottom w:val="single" w:sz="4" w:space="0" w:color="000099"/>
      </w:pBdr>
      <w:tabs>
        <w:tab w:val="clear" w:pos="794"/>
      </w:tabs>
      <w:bidi w:val="0"/>
      <w:spacing w:before="100" w:beforeAutospacing="1" w:after="100" w:afterAutospacing="1" w:line="240" w:lineRule="auto"/>
      <w:jc w:val="right"/>
      <w:textAlignment w:val="center"/>
    </w:pPr>
    <w:rPr>
      <w:rFonts w:ascii="Traditional Arabic" w:eastAsia="Times New Roman" w:hAnsi="Traditional Arabic"/>
      <w:b/>
      <w:bCs/>
      <w:color w:val="0070C0"/>
    </w:rPr>
  </w:style>
  <w:style w:type="paragraph" w:customStyle="1" w:styleId="4">
    <w:name w:val=".4"/>
    <w:basedOn w:val="Normal"/>
    <w:rsid w:val="00815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6412735">
      <w:bodyDiv w:val="1"/>
      <w:marLeft w:val="0"/>
      <w:marRight w:val="0"/>
      <w:marTop w:val="0"/>
      <w:marBottom w:val="0"/>
      <w:divBdr>
        <w:top w:val="none" w:sz="0" w:space="0" w:color="auto"/>
        <w:left w:val="none" w:sz="0" w:space="0" w:color="auto"/>
        <w:bottom w:val="none" w:sz="0" w:space="0" w:color="auto"/>
        <w:right w:val="none" w:sz="0" w:space="0" w:color="auto"/>
      </w:divBdr>
    </w:div>
    <w:div w:id="96516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header" Target="header1.xml"/><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www.itu.int/en/council/Documents/basic-texts-2023/DEC-005-A.pdf" TargetMode="External"/><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hyperlink" Target="https://www.itu.int/md/S25-CL-C-0064/e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2.xm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s://www.itu.int/md/S25-CL-C-0064/en" TargetMode="External"/><Relationship Id="rId51" Type="http://schemas.openxmlformats.org/officeDocument/2006/relationships/header" Target="header3.xml"/><Relationship Id="rId72" Type="http://schemas.openxmlformats.org/officeDocument/2006/relationships/image" Target="media/image51.png"/><Relationship Id="rId80" Type="http://schemas.openxmlformats.org/officeDocument/2006/relationships/footer" Target="footer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u.int/en/council/Documents/basic-texts-2023/RES-071-A.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footer" Target="footer1.xml"/><Relationship Id="rId57" Type="http://schemas.openxmlformats.org/officeDocument/2006/relationships/image" Target="media/image36.png"/><Relationship Id="rId10" Type="http://schemas.openxmlformats.org/officeDocument/2006/relationships/hyperlink" Target="https://www.itu.int/en/council/Documents/basic-texts-2023/Convention-A.pdf" TargetMode="External"/><Relationship Id="rId31" Type="http://schemas.openxmlformats.org/officeDocument/2006/relationships/hyperlink" Target="https://www.itu.int/md/S25-CWGFHR20-C-0008/en" TargetMode="External"/><Relationship Id="rId44" Type="http://schemas.openxmlformats.org/officeDocument/2006/relationships/image" Target="media/image28.png"/><Relationship Id="rId52" Type="http://schemas.openxmlformats.org/officeDocument/2006/relationships/footer" Target="footer3.xm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footer" Target="footer4.xml"/><Relationship Id="rId8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s://www.itu.int/en/council/Documents/basic-texts-2023/Constitution-A.pdf" TargetMode="External"/><Relationship Id="rId13" Type="http://schemas.openxmlformats.org/officeDocument/2006/relationships/hyperlink" Target="https://www.itu.int/en/council/Documents/basic-texts-2023/RES-151-A.pdf" TargetMode="External"/><Relationship Id="rId18" Type="http://schemas.openxmlformats.org/officeDocument/2006/relationships/image" Target="media/image4.png"/><Relationship Id="rId39" Type="http://schemas.openxmlformats.org/officeDocument/2006/relationships/image" Target="media/image23.emf"/><Relationship Id="rId34" Type="http://schemas.openxmlformats.org/officeDocument/2006/relationships/hyperlink" Target="https://www.itu.int/md/S25-CL-C-0064/en" TargetMode="External"/><Relationship Id="rId50" Type="http://schemas.openxmlformats.org/officeDocument/2006/relationships/footer" Target="footer2.xml"/><Relationship Id="rId55" Type="http://schemas.openxmlformats.org/officeDocument/2006/relationships/image" Target="media/image34.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5.png"/><Relationship Id="rId61" Type="http://schemas.openxmlformats.org/officeDocument/2006/relationships/image" Target="media/image40.png"/><Relationship Id="rId8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5\SG\PA_Council%2020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PA_Council 2025.dotx</Template>
  <TotalTime>13</TotalTime>
  <Pages>49</Pages>
  <Words>3310</Words>
  <Characters>18782</Characters>
  <Application>Microsoft Office Word</Application>
  <DocSecurity>0</DocSecurity>
  <Lines>368</Lines>
  <Paragraphs>162</Paragraphs>
  <ScaleCrop>false</ScaleCrop>
  <HeadingPairs>
    <vt:vector size="2" baseType="variant">
      <vt:variant>
        <vt:lpstr>Title</vt:lpstr>
      </vt:variant>
      <vt:variant>
        <vt:i4>1</vt:i4>
      </vt:variant>
    </vt:vector>
  </HeadingPairs>
  <TitlesOfParts>
    <vt:vector size="1" baseType="lpstr">
      <vt:lpstr>Draft biennial budget of the Union for 2026-2027</vt:lpstr>
    </vt:vector>
  </TitlesOfParts>
  <Company>International Telecommunication Union</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biennial budget of the Union for 2026-2027</dc:title>
  <dc:subject>ITU Council 2025</dc:subject>
  <cp:keywords>C2025, C25, Council-25</cp:keywords>
  <dc:description/>
  <dcterms:created xsi:type="dcterms:W3CDTF">2025-05-30T14:19:00Z</dcterms:created>
  <dcterms:modified xsi:type="dcterms:W3CDTF">2025-05-30T14:32:00Z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4764bc0ed8aab6cc3f228418da0bf4d692034987165b3c327d8e9737cd820415</vt:lpwstr>
  </property>
</Properties>
</file>