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82E0C" w14:paraId="158F0957" w14:textId="77777777" w:rsidTr="00C538FC">
        <w:trPr>
          <w:cantSplit/>
          <w:trHeight w:val="23"/>
        </w:trPr>
        <w:tc>
          <w:tcPr>
            <w:tcW w:w="3969" w:type="dxa"/>
            <w:vMerge w:val="restart"/>
            <w:tcMar>
              <w:left w:w="0" w:type="dxa"/>
            </w:tcMar>
          </w:tcPr>
          <w:p w14:paraId="445D3520" w14:textId="3208125E" w:rsidR="00FE57F6" w:rsidRPr="00B82E0C" w:rsidRDefault="00BB6FD8" w:rsidP="006759C2">
            <w:pPr>
              <w:tabs>
                <w:tab w:val="left" w:pos="851"/>
              </w:tabs>
              <w:spacing w:before="0" w:line="240" w:lineRule="atLeast"/>
              <w:rPr>
                <w:b/>
              </w:rPr>
            </w:pPr>
            <w:bookmarkStart w:id="0" w:name="_Hlk133421839"/>
            <w:r w:rsidRPr="00B82E0C">
              <w:rPr>
                <w:b/>
              </w:rPr>
              <w:t>Orden del día</w:t>
            </w:r>
            <w:r w:rsidR="00FE57F6" w:rsidRPr="00B82E0C">
              <w:rPr>
                <w:b/>
              </w:rPr>
              <w:t xml:space="preserve">: </w:t>
            </w:r>
            <w:r w:rsidR="006759C2" w:rsidRPr="00B82E0C">
              <w:rPr>
                <w:b/>
              </w:rPr>
              <w:t>ADM 1</w:t>
            </w:r>
          </w:p>
        </w:tc>
        <w:tc>
          <w:tcPr>
            <w:tcW w:w="5245" w:type="dxa"/>
          </w:tcPr>
          <w:p w14:paraId="46CBDAA0" w14:textId="4A49AA0E" w:rsidR="00FE57F6" w:rsidRPr="00B82E0C" w:rsidRDefault="00FE57F6" w:rsidP="00C538FC">
            <w:pPr>
              <w:tabs>
                <w:tab w:val="left" w:pos="851"/>
              </w:tabs>
              <w:spacing w:before="0" w:line="240" w:lineRule="atLeast"/>
              <w:jc w:val="right"/>
              <w:rPr>
                <w:b/>
              </w:rPr>
            </w:pPr>
            <w:r w:rsidRPr="00B82E0C">
              <w:rPr>
                <w:b/>
              </w:rPr>
              <w:t>Document</w:t>
            </w:r>
            <w:r w:rsidR="00F24B71" w:rsidRPr="00B82E0C">
              <w:rPr>
                <w:b/>
              </w:rPr>
              <w:t>o</w:t>
            </w:r>
            <w:r w:rsidRPr="00B82E0C">
              <w:rPr>
                <w:b/>
              </w:rPr>
              <w:t xml:space="preserve"> </w:t>
            </w:r>
            <w:proofErr w:type="spellStart"/>
            <w:r w:rsidRPr="00B82E0C">
              <w:rPr>
                <w:b/>
              </w:rPr>
              <w:t>C2</w:t>
            </w:r>
            <w:r w:rsidR="00BB6FD8" w:rsidRPr="00B82E0C">
              <w:rPr>
                <w:b/>
              </w:rPr>
              <w:t>5</w:t>
            </w:r>
            <w:proofErr w:type="spellEnd"/>
            <w:r w:rsidRPr="00B82E0C">
              <w:rPr>
                <w:b/>
              </w:rPr>
              <w:t>/</w:t>
            </w:r>
            <w:r w:rsidR="00DD5BF0" w:rsidRPr="00B82E0C">
              <w:rPr>
                <w:b/>
              </w:rPr>
              <w:t>46</w:t>
            </w:r>
            <w:r w:rsidRPr="00B82E0C">
              <w:rPr>
                <w:b/>
              </w:rPr>
              <w:t>-</w:t>
            </w:r>
            <w:r w:rsidR="00F24B71" w:rsidRPr="00B82E0C">
              <w:rPr>
                <w:b/>
              </w:rPr>
              <w:t>S</w:t>
            </w:r>
          </w:p>
        </w:tc>
      </w:tr>
      <w:tr w:rsidR="00FE57F6" w:rsidRPr="00B82E0C" w14:paraId="11A06A8D" w14:textId="77777777" w:rsidTr="00C538FC">
        <w:trPr>
          <w:cantSplit/>
        </w:trPr>
        <w:tc>
          <w:tcPr>
            <w:tcW w:w="3969" w:type="dxa"/>
            <w:vMerge/>
          </w:tcPr>
          <w:p w14:paraId="2B660096" w14:textId="77777777" w:rsidR="00FE57F6" w:rsidRPr="00B82E0C" w:rsidRDefault="00FE57F6" w:rsidP="00C538FC">
            <w:pPr>
              <w:tabs>
                <w:tab w:val="left" w:pos="851"/>
              </w:tabs>
              <w:spacing w:line="240" w:lineRule="atLeast"/>
              <w:rPr>
                <w:b/>
              </w:rPr>
            </w:pPr>
          </w:p>
        </w:tc>
        <w:tc>
          <w:tcPr>
            <w:tcW w:w="5245" w:type="dxa"/>
          </w:tcPr>
          <w:p w14:paraId="033133E4" w14:textId="78662F85" w:rsidR="00FE57F6" w:rsidRPr="00B82E0C" w:rsidRDefault="00DD5BF0" w:rsidP="00C538FC">
            <w:pPr>
              <w:tabs>
                <w:tab w:val="left" w:pos="851"/>
              </w:tabs>
              <w:spacing w:before="0"/>
              <w:jc w:val="right"/>
              <w:rPr>
                <w:b/>
              </w:rPr>
            </w:pPr>
            <w:r w:rsidRPr="00B82E0C">
              <w:rPr>
                <w:b/>
              </w:rPr>
              <w:t>22 de abril de 2025</w:t>
            </w:r>
          </w:p>
        </w:tc>
      </w:tr>
      <w:tr w:rsidR="00FE57F6" w:rsidRPr="00B82E0C" w14:paraId="0F0E8C9E" w14:textId="77777777" w:rsidTr="00C538FC">
        <w:trPr>
          <w:cantSplit/>
          <w:trHeight w:val="23"/>
        </w:trPr>
        <w:tc>
          <w:tcPr>
            <w:tcW w:w="3969" w:type="dxa"/>
            <w:vMerge/>
          </w:tcPr>
          <w:p w14:paraId="522469F5" w14:textId="77777777" w:rsidR="00FE57F6" w:rsidRPr="00B82E0C" w:rsidRDefault="00FE57F6" w:rsidP="00C538FC">
            <w:pPr>
              <w:tabs>
                <w:tab w:val="left" w:pos="851"/>
              </w:tabs>
              <w:spacing w:line="240" w:lineRule="atLeast"/>
              <w:rPr>
                <w:b/>
              </w:rPr>
            </w:pPr>
          </w:p>
        </w:tc>
        <w:tc>
          <w:tcPr>
            <w:tcW w:w="5245" w:type="dxa"/>
          </w:tcPr>
          <w:p w14:paraId="5A01B877" w14:textId="77777777" w:rsidR="00FE57F6" w:rsidRPr="00B82E0C" w:rsidRDefault="00F24B71" w:rsidP="00C538FC">
            <w:pPr>
              <w:tabs>
                <w:tab w:val="left" w:pos="851"/>
              </w:tabs>
              <w:spacing w:before="0" w:line="240" w:lineRule="atLeast"/>
              <w:jc w:val="right"/>
              <w:rPr>
                <w:b/>
                <w:bCs/>
              </w:rPr>
            </w:pPr>
            <w:r w:rsidRPr="00B82E0C">
              <w:rPr>
                <w:rFonts w:cstheme="minorHAnsi"/>
                <w:b/>
                <w:bCs/>
              </w:rPr>
              <w:t>Original: inglés</w:t>
            </w:r>
          </w:p>
        </w:tc>
      </w:tr>
      <w:tr w:rsidR="00FE57F6" w:rsidRPr="00B82E0C" w14:paraId="1AE11DF6" w14:textId="77777777" w:rsidTr="00C538FC">
        <w:trPr>
          <w:cantSplit/>
          <w:trHeight w:val="23"/>
        </w:trPr>
        <w:tc>
          <w:tcPr>
            <w:tcW w:w="3969" w:type="dxa"/>
          </w:tcPr>
          <w:p w14:paraId="3C3545A4" w14:textId="77777777" w:rsidR="00FE57F6" w:rsidRPr="00B82E0C" w:rsidRDefault="00FE57F6" w:rsidP="00C538FC">
            <w:pPr>
              <w:tabs>
                <w:tab w:val="left" w:pos="851"/>
              </w:tabs>
              <w:spacing w:line="240" w:lineRule="atLeast"/>
              <w:rPr>
                <w:b/>
              </w:rPr>
            </w:pPr>
          </w:p>
        </w:tc>
        <w:tc>
          <w:tcPr>
            <w:tcW w:w="5245" w:type="dxa"/>
          </w:tcPr>
          <w:p w14:paraId="62BD7FEA" w14:textId="77777777" w:rsidR="00FE57F6" w:rsidRPr="00B82E0C" w:rsidRDefault="00FE57F6" w:rsidP="00C538FC">
            <w:pPr>
              <w:tabs>
                <w:tab w:val="left" w:pos="851"/>
              </w:tabs>
              <w:spacing w:before="0" w:line="240" w:lineRule="atLeast"/>
              <w:jc w:val="right"/>
              <w:rPr>
                <w:b/>
              </w:rPr>
            </w:pPr>
          </w:p>
        </w:tc>
      </w:tr>
      <w:tr w:rsidR="00FE57F6" w:rsidRPr="00B82E0C" w14:paraId="46CB8FBF" w14:textId="77777777" w:rsidTr="00C538FC">
        <w:trPr>
          <w:cantSplit/>
        </w:trPr>
        <w:tc>
          <w:tcPr>
            <w:tcW w:w="9214" w:type="dxa"/>
            <w:gridSpan w:val="2"/>
            <w:tcMar>
              <w:left w:w="0" w:type="dxa"/>
            </w:tcMar>
          </w:tcPr>
          <w:p w14:paraId="494713B3" w14:textId="77777777" w:rsidR="00FE57F6" w:rsidRPr="00B82E0C" w:rsidRDefault="00157AC4" w:rsidP="00C538FC">
            <w:pPr>
              <w:pStyle w:val="Source"/>
              <w:jc w:val="left"/>
              <w:rPr>
                <w:sz w:val="34"/>
                <w:szCs w:val="34"/>
              </w:rPr>
            </w:pPr>
            <w:r w:rsidRPr="00B82E0C">
              <w:rPr>
                <w:rFonts w:cstheme="minorHAnsi"/>
                <w:sz w:val="34"/>
                <w:szCs w:val="34"/>
              </w:rPr>
              <w:t>Informe de la Secretaria General</w:t>
            </w:r>
          </w:p>
        </w:tc>
      </w:tr>
      <w:tr w:rsidR="00FE57F6" w:rsidRPr="00B82E0C" w14:paraId="2F57CC32" w14:textId="77777777" w:rsidTr="00C538FC">
        <w:trPr>
          <w:cantSplit/>
        </w:trPr>
        <w:tc>
          <w:tcPr>
            <w:tcW w:w="9214" w:type="dxa"/>
            <w:gridSpan w:val="2"/>
            <w:tcMar>
              <w:left w:w="0" w:type="dxa"/>
            </w:tcMar>
          </w:tcPr>
          <w:p w14:paraId="0A566470" w14:textId="3CA69FCA" w:rsidR="00FE57F6" w:rsidRPr="00B82E0C" w:rsidRDefault="00CB317B" w:rsidP="00DD5BF0">
            <w:pPr>
              <w:pStyle w:val="Subtitle"/>
              <w:framePr w:hSpace="0" w:wrap="auto" w:vAnchor="margin" w:hAnchor="text" w:xAlign="left" w:yAlign="inline"/>
            </w:pPr>
            <w:bookmarkStart w:id="1" w:name="_Hlk163638570"/>
            <w:r w:rsidRPr="00B82E0C">
              <w:t>PASIVO DEL SEGURO MÉDICO POSTERIOR A LA SEPARACIÓN DEL SERVICIO (</w:t>
            </w:r>
            <w:proofErr w:type="spellStart"/>
            <w:r w:rsidRPr="00B82E0C">
              <w:t>ASHI</w:t>
            </w:r>
            <w:proofErr w:type="spellEnd"/>
            <w:r w:rsidRPr="00B82E0C">
              <w:t>)</w:t>
            </w:r>
            <w:bookmarkEnd w:id="1"/>
          </w:p>
        </w:tc>
      </w:tr>
      <w:tr w:rsidR="00FE57F6" w:rsidRPr="00B82E0C" w14:paraId="4DD48412" w14:textId="77777777" w:rsidTr="00C538FC">
        <w:trPr>
          <w:cantSplit/>
        </w:trPr>
        <w:tc>
          <w:tcPr>
            <w:tcW w:w="9214" w:type="dxa"/>
            <w:gridSpan w:val="2"/>
            <w:tcBorders>
              <w:top w:val="single" w:sz="4" w:space="0" w:color="auto"/>
              <w:bottom w:val="single" w:sz="4" w:space="0" w:color="auto"/>
            </w:tcBorders>
            <w:tcMar>
              <w:left w:w="0" w:type="dxa"/>
            </w:tcMar>
          </w:tcPr>
          <w:p w14:paraId="564153C8" w14:textId="77777777" w:rsidR="00FE57F6" w:rsidRPr="00B82E0C" w:rsidRDefault="00F24B71" w:rsidP="00C538FC">
            <w:pPr>
              <w:spacing w:before="160"/>
              <w:rPr>
                <w:b/>
                <w:bCs/>
                <w:sz w:val="26"/>
                <w:szCs w:val="26"/>
              </w:rPr>
            </w:pPr>
            <w:r w:rsidRPr="00B82E0C">
              <w:rPr>
                <w:b/>
                <w:bCs/>
                <w:sz w:val="26"/>
                <w:szCs w:val="26"/>
              </w:rPr>
              <w:t>Finalidad</w:t>
            </w:r>
          </w:p>
          <w:p w14:paraId="233813A6" w14:textId="2C11317F" w:rsidR="00FE57F6" w:rsidRPr="00B82E0C" w:rsidRDefault="00DD5BF0" w:rsidP="00061B90">
            <w:pPr>
              <w:jc w:val="both"/>
            </w:pPr>
            <w:r w:rsidRPr="00B82E0C">
              <w:t>En el presente documento se presenta la situación del pasivo del seguro médico posterior a la separación del servicio (</w:t>
            </w:r>
            <w:proofErr w:type="spellStart"/>
            <w:r w:rsidRPr="00B82E0C">
              <w:t>ASHI</w:t>
            </w:r>
            <w:proofErr w:type="spellEnd"/>
            <w:r w:rsidRPr="00B82E0C">
              <w:t xml:space="preserve">) al 31 de diciembre de 2024, en consonancia con la solicitud formulada por el Consejo en su reunión de 2014 de que se le presentaran informes anuales de la UIT sobre el pasivo del </w:t>
            </w:r>
            <w:proofErr w:type="spellStart"/>
            <w:r w:rsidRPr="00B82E0C">
              <w:t>ASHI</w:t>
            </w:r>
            <w:proofErr w:type="spellEnd"/>
            <w:r w:rsidRPr="00B82E0C">
              <w:t>.</w:t>
            </w:r>
          </w:p>
          <w:p w14:paraId="395681AD" w14:textId="77777777" w:rsidR="00FE57F6" w:rsidRPr="00B82E0C" w:rsidRDefault="00F24B71" w:rsidP="00C538FC">
            <w:pPr>
              <w:spacing w:before="160"/>
              <w:rPr>
                <w:b/>
                <w:bCs/>
                <w:sz w:val="26"/>
                <w:szCs w:val="26"/>
              </w:rPr>
            </w:pPr>
            <w:r w:rsidRPr="00B82E0C">
              <w:rPr>
                <w:b/>
                <w:bCs/>
                <w:sz w:val="26"/>
                <w:szCs w:val="26"/>
              </w:rPr>
              <w:t xml:space="preserve">Acción solicitada </w:t>
            </w:r>
            <w:r w:rsidR="00677A97" w:rsidRPr="00B82E0C">
              <w:rPr>
                <w:b/>
                <w:bCs/>
                <w:sz w:val="26"/>
                <w:szCs w:val="26"/>
              </w:rPr>
              <w:t>al</w:t>
            </w:r>
            <w:r w:rsidRPr="00B82E0C">
              <w:rPr>
                <w:b/>
                <w:bCs/>
                <w:sz w:val="26"/>
                <w:szCs w:val="26"/>
              </w:rPr>
              <w:t xml:space="preserve"> Consejo</w:t>
            </w:r>
          </w:p>
          <w:p w14:paraId="46B9906E" w14:textId="0F9A1020" w:rsidR="00F92BED" w:rsidRPr="00B82E0C" w:rsidRDefault="00DD5BF0" w:rsidP="00DD5BF0">
            <w:pPr>
              <w:spacing w:before="160"/>
              <w:rPr>
                <w:szCs w:val="24"/>
              </w:rPr>
            </w:pPr>
            <w:r w:rsidRPr="00B82E0C">
              <w:rPr>
                <w:szCs w:val="24"/>
              </w:rPr>
              <w:t xml:space="preserve">Se invita al Consejo a </w:t>
            </w:r>
            <w:r w:rsidRPr="00B82E0C">
              <w:rPr>
                <w:b/>
                <w:bCs/>
                <w:szCs w:val="24"/>
              </w:rPr>
              <w:t xml:space="preserve">tomar nota </w:t>
            </w:r>
            <w:r w:rsidRPr="00B82E0C">
              <w:rPr>
                <w:szCs w:val="24"/>
              </w:rPr>
              <w:t>de este documento.</w:t>
            </w:r>
          </w:p>
          <w:p w14:paraId="57E6A9D8" w14:textId="77777777" w:rsidR="00F92BED" w:rsidRPr="00B82E0C" w:rsidRDefault="00F92BED" w:rsidP="00F92BED">
            <w:pPr>
              <w:spacing w:before="160"/>
              <w:rPr>
                <w:b/>
                <w:bCs/>
                <w:sz w:val="26"/>
                <w:szCs w:val="26"/>
              </w:rPr>
            </w:pPr>
            <w:r w:rsidRPr="00B82E0C">
              <w:rPr>
                <w:b/>
                <w:bCs/>
                <w:sz w:val="26"/>
                <w:szCs w:val="26"/>
              </w:rPr>
              <w:t>Vínculo(s) pertinente(s) con el Plan Estratégico</w:t>
            </w:r>
          </w:p>
          <w:p w14:paraId="470EB429" w14:textId="74F9E0EF" w:rsidR="00F92BED" w:rsidRPr="00B82E0C" w:rsidRDefault="00DD5BF0" w:rsidP="00DD5BF0">
            <w:r w:rsidRPr="00B82E0C">
              <w:t>n/a</w:t>
            </w:r>
          </w:p>
          <w:p w14:paraId="1A2269EE" w14:textId="77777777" w:rsidR="00F92BED" w:rsidRPr="00B82E0C" w:rsidRDefault="00F92BED" w:rsidP="00F92BED">
            <w:pPr>
              <w:spacing w:before="160"/>
              <w:rPr>
                <w:b/>
                <w:bCs/>
                <w:sz w:val="26"/>
                <w:szCs w:val="26"/>
              </w:rPr>
            </w:pPr>
            <w:r w:rsidRPr="00B82E0C">
              <w:rPr>
                <w:b/>
                <w:bCs/>
                <w:sz w:val="26"/>
                <w:szCs w:val="26"/>
              </w:rPr>
              <w:t>Repercusiones financieras</w:t>
            </w:r>
          </w:p>
          <w:p w14:paraId="35468B8E" w14:textId="39789407" w:rsidR="00F92BED" w:rsidRPr="00B82E0C" w:rsidRDefault="00DD5BF0" w:rsidP="00DD5BF0">
            <w:r w:rsidRPr="00B82E0C">
              <w:t>Con cargo al presupuesto asignado para 2024-2025.</w:t>
            </w:r>
          </w:p>
          <w:p w14:paraId="6E6493FC" w14:textId="77777777" w:rsidR="00FE57F6" w:rsidRPr="00B82E0C" w:rsidRDefault="00FE57F6" w:rsidP="00C538FC">
            <w:pPr>
              <w:spacing w:before="160"/>
              <w:rPr>
                <w:caps/>
                <w:sz w:val="22"/>
              </w:rPr>
            </w:pPr>
            <w:r w:rsidRPr="00B82E0C">
              <w:rPr>
                <w:sz w:val="22"/>
              </w:rPr>
              <w:t>__________________</w:t>
            </w:r>
          </w:p>
          <w:p w14:paraId="238E1CBD" w14:textId="77777777" w:rsidR="00FE57F6" w:rsidRPr="00B82E0C" w:rsidRDefault="00F24B71" w:rsidP="00C538FC">
            <w:pPr>
              <w:spacing w:before="160"/>
              <w:rPr>
                <w:b/>
                <w:bCs/>
                <w:sz w:val="26"/>
                <w:szCs w:val="26"/>
              </w:rPr>
            </w:pPr>
            <w:r w:rsidRPr="00B82E0C">
              <w:rPr>
                <w:b/>
                <w:bCs/>
                <w:sz w:val="26"/>
                <w:szCs w:val="26"/>
              </w:rPr>
              <w:t>Referencia</w:t>
            </w:r>
            <w:r w:rsidR="00F92BED" w:rsidRPr="00B82E0C">
              <w:rPr>
                <w:b/>
                <w:bCs/>
                <w:sz w:val="26"/>
                <w:szCs w:val="26"/>
              </w:rPr>
              <w:t>s</w:t>
            </w:r>
            <w:r w:rsidR="00D375E0" w:rsidRPr="00B82E0C">
              <w:rPr>
                <w:sz w:val="26"/>
                <w:szCs w:val="26"/>
              </w:rPr>
              <w:t xml:space="preserve"> </w:t>
            </w:r>
          </w:p>
          <w:p w14:paraId="1DF1519C" w14:textId="4D1647A0" w:rsidR="00FE57F6" w:rsidRPr="00B82E0C" w:rsidRDefault="00DD5BF0" w:rsidP="00DD5BF0">
            <w:pPr>
              <w:spacing w:after="160"/>
              <w:rPr>
                <w:i/>
                <w:iCs/>
                <w:sz w:val="22"/>
                <w:szCs w:val="22"/>
              </w:rPr>
            </w:pPr>
            <w:r w:rsidRPr="00B82E0C">
              <w:rPr>
                <w:i/>
                <w:iCs/>
                <w:sz w:val="22"/>
                <w:szCs w:val="22"/>
              </w:rPr>
              <w:t xml:space="preserve">Documento </w:t>
            </w:r>
            <w:hyperlink r:id="rId6" w:history="1">
              <w:proofErr w:type="spellStart"/>
              <w:r w:rsidRPr="00B82E0C">
                <w:rPr>
                  <w:rStyle w:val="Hyperlink"/>
                  <w:i/>
                  <w:iCs/>
                  <w:sz w:val="22"/>
                  <w:szCs w:val="22"/>
                </w:rPr>
                <w:t>C24</w:t>
              </w:r>
              <w:proofErr w:type="spellEnd"/>
              <w:r w:rsidRPr="00B82E0C">
                <w:rPr>
                  <w:rStyle w:val="Hyperlink"/>
                  <w:i/>
                  <w:iCs/>
                  <w:sz w:val="22"/>
                  <w:szCs w:val="22"/>
                </w:rPr>
                <w:t>/46</w:t>
              </w:r>
            </w:hyperlink>
            <w:r w:rsidRPr="00B82E0C">
              <w:rPr>
                <w:i/>
                <w:iCs/>
                <w:sz w:val="22"/>
                <w:szCs w:val="22"/>
              </w:rPr>
              <w:t xml:space="preserve"> y </w:t>
            </w:r>
            <w:hyperlink r:id="rId7" w:history="1">
              <w:r w:rsidRPr="00B82E0C">
                <w:rPr>
                  <w:rStyle w:val="Hyperlink"/>
                  <w:i/>
                  <w:iCs/>
                  <w:sz w:val="22"/>
                  <w:szCs w:val="22"/>
                </w:rPr>
                <w:t>Decisión 5</w:t>
              </w:r>
            </w:hyperlink>
            <w:r w:rsidRPr="00B82E0C">
              <w:rPr>
                <w:i/>
                <w:iCs/>
                <w:sz w:val="22"/>
                <w:szCs w:val="22"/>
              </w:rPr>
              <w:t xml:space="preserve"> (Rev. Bucarest, 2022) de la Conferencia de Plenipotenciarios</w:t>
            </w:r>
          </w:p>
        </w:tc>
      </w:tr>
      <w:bookmarkEnd w:id="0"/>
    </w:tbl>
    <w:p w14:paraId="6CDB7B6E" w14:textId="77777777" w:rsidR="00093EEB" w:rsidRPr="00B82E0C" w:rsidRDefault="00093EEB"/>
    <w:p w14:paraId="3B1B2372" w14:textId="77777777" w:rsidR="001559F5" w:rsidRPr="00B82E0C" w:rsidRDefault="001559F5">
      <w:pPr>
        <w:tabs>
          <w:tab w:val="clear" w:pos="567"/>
          <w:tab w:val="clear" w:pos="1134"/>
          <w:tab w:val="clear" w:pos="1701"/>
          <w:tab w:val="clear" w:pos="2268"/>
          <w:tab w:val="clear" w:pos="2835"/>
        </w:tabs>
        <w:overflowPunct/>
        <w:autoSpaceDE/>
        <w:autoSpaceDN/>
        <w:adjustRightInd/>
        <w:spacing w:before="0"/>
        <w:textAlignment w:val="auto"/>
      </w:pPr>
      <w:r w:rsidRPr="00B82E0C">
        <w:br w:type="page"/>
      </w:r>
    </w:p>
    <w:p w14:paraId="47C8E2EC" w14:textId="77777777" w:rsidR="00DD5BF0" w:rsidRPr="00B82E0C" w:rsidRDefault="00DD5BF0" w:rsidP="00DD5BF0">
      <w:pPr>
        <w:pStyle w:val="Heading1"/>
      </w:pPr>
      <w:r w:rsidRPr="00B82E0C">
        <w:lastRenderedPageBreak/>
        <w:t>1</w:t>
      </w:r>
      <w:r w:rsidRPr="00B82E0C">
        <w:tab/>
        <w:t>Introducción</w:t>
      </w:r>
    </w:p>
    <w:p w14:paraId="00B66210" w14:textId="77777777" w:rsidR="00DD5BF0" w:rsidRPr="00B82E0C" w:rsidRDefault="00DD5BF0" w:rsidP="00061B90">
      <w:pPr>
        <w:jc w:val="both"/>
      </w:pPr>
      <w:r w:rsidRPr="00B82E0C">
        <w:t>1.1</w:t>
      </w:r>
      <w:r w:rsidRPr="00B82E0C">
        <w:tab/>
        <w:t>En 2010 los activos netos de la UIT pasaron de un saldo positivo a un saldo negativo debido a la forma en que las obligaciones del seguro médico posterior a la separación del servicio (</w:t>
      </w:r>
      <w:proofErr w:type="spellStart"/>
      <w:r w:rsidRPr="00B82E0C">
        <w:t>ASHI</w:t>
      </w:r>
      <w:proofErr w:type="spellEnd"/>
      <w:r w:rsidRPr="00B82E0C">
        <w:t>) se tratan con arreglo a las normas internacionales de contabilidad para el sector público (</w:t>
      </w:r>
      <w:proofErr w:type="spellStart"/>
      <w:r w:rsidRPr="00B82E0C">
        <w:t>NICSP</w:t>
      </w:r>
      <w:proofErr w:type="spellEnd"/>
      <w:r w:rsidRPr="00B82E0C">
        <w:t>), que exigen el reconocimiento obligatorio del valor presente de la obligación futura.</w:t>
      </w:r>
    </w:p>
    <w:p w14:paraId="6FDCA99F" w14:textId="63E97794" w:rsidR="00DD5BF0" w:rsidRPr="00B82E0C" w:rsidRDefault="00DD5BF0" w:rsidP="00061B90">
      <w:pPr>
        <w:jc w:val="both"/>
      </w:pPr>
      <w:r w:rsidRPr="00B82E0C">
        <w:t>1.2</w:t>
      </w:r>
      <w:r w:rsidRPr="00B82E0C">
        <w:tab/>
        <w:t xml:space="preserve">El programa </w:t>
      </w:r>
      <w:proofErr w:type="spellStart"/>
      <w:r w:rsidRPr="00B82E0C">
        <w:t>ASHI</w:t>
      </w:r>
      <w:proofErr w:type="spellEnd"/>
      <w:r w:rsidRPr="00B82E0C">
        <w:t xml:space="preserve"> autofinanciado, creado en 1967, permite a los empleados con derecho a ello conservar su seguro médico tras la jubilación. El número creciente de jubilados afiliados y el aumento constante de los gastos médicos han elevado notablemente los costes del programa, que comparten la Unión y el personal.</w:t>
      </w:r>
    </w:p>
    <w:p w14:paraId="7F64203C" w14:textId="77777777" w:rsidR="00DD5BF0" w:rsidRPr="00B82E0C" w:rsidRDefault="00DD5BF0" w:rsidP="00061B90">
      <w:pPr>
        <w:jc w:val="both"/>
      </w:pPr>
      <w:r w:rsidRPr="00B82E0C">
        <w:t>1.3</w:t>
      </w:r>
      <w:r w:rsidRPr="00B82E0C">
        <w:tab/>
        <w:t xml:space="preserve">El pasivo del </w:t>
      </w:r>
      <w:proofErr w:type="spellStart"/>
      <w:r w:rsidRPr="00B82E0C">
        <w:t>ASHI</w:t>
      </w:r>
      <w:proofErr w:type="spellEnd"/>
      <w:r w:rsidRPr="00B82E0C">
        <w:t xml:space="preserve"> se calcula como el valor actual de lo que la UIT debería abonar en caso de cese de actividad a la fecha de cierre. Si bien esta situación es muy improbable, la Unión está tratando de aumentar la cobertura del fondo y reducir así las obligaciones conexas. Se han tomado las medidas indicadas en la sección 4 para tratar de que el plan de seguro médico vuelva a registrar superávit con el fin de poder garantizar una cobertura basada en los ingresos corrientes y atribuir recursos disponibles para financiar el pasivo actuarial de obligaciones futuras.</w:t>
      </w:r>
    </w:p>
    <w:p w14:paraId="3F35A3B2" w14:textId="77777777" w:rsidR="00DD5BF0" w:rsidRPr="00B82E0C" w:rsidRDefault="00DD5BF0" w:rsidP="00DD5BF0">
      <w:pPr>
        <w:pStyle w:val="Heading1"/>
      </w:pPr>
      <w:r w:rsidRPr="00B82E0C">
        <w:t>2</w:t>
      </w:r>
      <w:r w:rsidRPr="00B82E0C">
        <w:tab/>
        <w:t>Plan médico de salud en vigor en la UIT</w:t>
      </w:r>
    </w:p>
    <w:p w14:paraId="07D5ADEC" w14:textId="77777777" w:rsidR="00DD5BF0" w:rsidRPr="00B82E0C" w:rsidRDefault="00DD5BF0" w:rsidP="00061B90">
      <w:pPr>
        <w:jc w:val="both"/>
      </w:pPr>
      <w:r w:rsidRPr="00B82E0C">
        <w:t>2.1</w:t>
      </w:r>
      <w:r w:rsidRPr="00B82E0C">
        <w:tab/>
        <w:t>La UIT forma parte de la Mutualidad de Seguros del personal de las Naciones Unidas contra Enfermedad y Accidentes (UNSMIS). UNSMIS agrupa a varios fondos y programas de las Naciones Unidas, así como organismos especializados de las Naciones Unidas con sede en Ginebra, proporcionando cobertura al personal de la Oficina de las Naciones Unidas en Ginebra, la Oficina del Alto Comisionado de las Naciones Unidas para los Refugiados y la Organización Meteorológica Mundial, como también del PNUD, la UNICEF, la UNCTAD, etc.</w:t>
      </w:r>
    </w:p>
    <w:p w14:paraId="2B7DEA70" w14:textId="0E9D4B99" w:rsidR="00DD5BF0" w:rsidRPr="00B82E0C" w:rsidRDefault="00DD5BF0" w:rsidP="00061B90">
      <w:pPr>
        <w:jc w:val="both"/>
      </w:pPr>
      <w:r w:rsidRPr="00B82E0C">
        <w:t>2.2</w:t>
      </w:r>
      <w:r w:rsidRPr="00B82E0C">
        <w:tab/>
        <w:t>el Plan de la UNSMIS se basa en una contribución salarial del 3,4 % del salario del personal activo o la pensión del personal jubilado. La UIT también contribuye al plan de seguro médico igualando la contribución pagada por el personal activo y pagando 2/3 de la contribución de los jubilados.</w:t>
      </w:r>
    </w:p>
    <w:p w14:paraId="18978AE7" w14:textId="77777777" w:rsidR="00DD5BF0" w:rsidRPr="00B82E0C" w:rsidRDefault="00DD5BF0" w:rsidP="00061B90">
      <w:pPr>
        <w:jc w:val="both"/>
      </w:pPr>
      <w:r w:rsidRPr="00B82E0C">
        <w:t>2.3</w:t>
      </w:r>
      <w:r w:rsidRPr="00B82E0C">
        <w:tab/>
        <w:t>El seguimiento de la contención de los costes está gestionado por el Comité Ejecutivo de UNSMIS, de la que la UIT es miembro.</w:t>
      </w:r>
    </w:p>
    <w:p w14:paraId="08B88CF3" w14:textId="77777777" w:rsidR="00DD5BF0" w:rsidRPr="00B82E0C" w:rsidRDefault="00DD5BF0" w:rsidP="00DD5BF0">
      <w:pPr>
        <w:pStyle w:val="Heading1"/>
      </w:pPr>
      <w:r w:rsidRPr="00B82E0C">
        <w:t>3</w:t>
      </w:r>
      <w:r w:rsidRPr="00B82E0C">
        <w:tab/>
        <w:t xml:space="preserve">Evolución del pasivo del </w:t>
      </w:r>
      <w:proofErr w:type="spellStart"/>
      <w:r w:rsidRPr="00B82E0C">
        <w:t>ASHI</w:t>
      </w:r>
      <w:proofErr w:type="spellEnd"/>
      <w:r w:rsidRPr="00B82E0C">
        <w:t xml:space="preserve"> en 2024</w:t>
      </w:r>
    </w:p>
    <w:p w14:paraId="50FEC4E4" w14:textId="7F055F49" w:rsidR="00DD5BF0" w:rsidRPr="00B82E0C" w:rsidRDefault="00DD5BF0" w:rsidP="00061B90">
      <w:pPr>
        <w:spacing w:after="120"/>
        <w:jc w:val="both"/>
      </w:pPr>
      <w:r w:rsidRPr="00B82E0C">
        <w:t>3.1</w:t>
      </w:r>
      <w:r w:rsidRPr="00B82E0C">
        <w:tab/>
        <w:t xml:space="preserve">La evolución del pasivo del </w:t>
      </w:r>
      <w:proofErr w:type="spellStart"/>
      <w:r w:rsidRPr="00B82E0C">
        <w:t>ASHI</w:t>
      </w:r>
      <w:proofErr w:type="spellEnd"/>
      <w:r w:rsidRPr="00B82E0C">
        <w:t xml:space="preserve"> desde 2010 se ha traducido en unos activos netos cada vez más negativos a medida que se registraban las pérdidas actuariales en los activos netos en su totalidad. A finales de 2024 el pasivo del </w:t>
      </w:r>
      <w:proofErr w:type="spellStart"/>
      <w:r w:rsidRPr="00B82E0C">
        <w:t>ASHI</w:t>
      </w:r>
      <w:proofErr w:type="spellEnd"/>
      <w:r w:rsidRPr="00B82E0C">
        <w:t xml:space="preserve"> aumentó en 40,6 millones CHF como consecuencia de la variación de la tasa de descuento, que pasó de un 1,9</w:t>
      </w:r>
      <w:r w:rsidR="006759C2" w:rsidRPr="00B82E0C">
        <w:t> </w:t>
      </w:r>
      <w:r w:rsidRPr="00B82E0C">
        <w:t>% en 2023 a un 1,40</w:t>
      </w:r>
      <w:r w:rsidR="006759C2" w:rsidRPr="00B82E0C">
        <w:t> </w:t>
      </w:r>
      <w:r w:rsidRPr="00B82E0C">
        <w:t>% en 2024, y del cambio de las hipótesis.</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36"/>
        <w:gridCol w:w="1701"/>
        <w:gridCol w:w="1724"/>
      </w:tblGrid>
      <w:tr w:rsidR="00DD5BF0" w:rsidRPr="00B82E0C" w14:paraId="45B551C7" w14:textId="77777777" w:rsidTr="00334A84">
        <w:trPr>
          <w:trHeight w:val="528"/>
          <w:jc w:val="center"/>
        </w:trPr>
        <w:tc>
          <w:tcPr>
            <w:tcW w:w="5901" w:type="dxa"/>
            <w:tcBorders>
              <w:top w:val="single" w:sz="4" w:space="0" w:color="auto"/>
              <w:bottom w:val="single" w:sz="4" w:space="0" w:color="auto"/>
              <w:right w:val="single" w:sz="4" w:space="0" w:color="auto"/>
            </w:tcBorders>
            <w:shd w:val="clear" w:color="auto" w:fill="auto"/>
            <w:vAlign w:val="center"/>
            <w:hideMark/>
          </w:tcPr>
          <w:p w14:paraId="58D439B7" w14:textId="6553CC8E" w:rsidR="00DD5BF0" w:rsidRPr="00B82E0C" w:rsidRDefault="00DD5BF0" w:rsidP="00DD5BF0">
            <w:pPr>
              <w:pStyle w:val="Tabletext"/>
              <w:keepNext/>
              <w:keepLines/>
              <w:rPr>
                <w:b/>
                <w:bCs/>
              </w:rPr>
            </w:pPr>
            <w:r w:rsidRPr="00B82E0C">
              <w:rPr>
                <w:b/>
                <w:bCs/>
              </w:rPr>
              <w:lastRenderedPageBreak/>
              <w:t xml:space="preserve">Importes de los compromisos correspondientes al Plan </w:t>
            </w:r>
            <w:proofErr w:type="spellStart"/>
            <w:r w:rsidRPr="00B82E0C">
              <w:rPr>
                <w:b/>
                <w:bCs/>
              </w:rPr>
              <w:t>ASHI</w:t>
            </w:r>
            <w:proofErr w:type="spellEnd"/>
            <w:r w:rsidRPr="00B82E0C">
              <w:rPr>
                <w:b/>
                <w:bCs/>
              </w:rPr>
              <w:t xml:space="preserve"> al 31 de diciembre en el Estado de la situación financiera (en</w:t>
            </w:r>
            <w:r w:rsidR="00334A84" w:rsidRPr="00B82E0C">
              <w:rPr>
                <w:b/>
                <w:bCs/>
              </w:rPr>
              <w:t> </w:t>
            </w:r>
            <w:r w:rsidRPr="00B82E0C">
              <w:rPr>
                <w:b/>
                <w:bCs/>
              </w:rPr>
              <w:t>miles de francos suizos)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707FB" w14:textId="77777777" w:rsidR="00DD5BF0" w:rsidRPr="00B82E0C" w:rsidRDefault="00DD5BF0" w:rsidP="00DD5BF0">
            <w:pPr>
              <w:pStyle w:val="Tabletext"/>
              <w:keepNext/>
              <w:keepLines/>
              <w:jc w:val="center"/>
              <w:rPr>
                <w:b/>
                <w:bCs/>
              </w:rPr>
            </w:pPr>
            <w:r w:rsidRPr="00B82E0C">
              <w:rPr>
                <w:b/>
                <w:bCs/>
              </w:rPr>
              <w:t>31.12.2024</w:t>
            </w:r>
          </w:p>
        </w:tc>
        <w:tc>
          <w:tcPr>
            <w:tcW w:w="1759" w:type="dxa"/>
            <w:tcBorders>
              <w:top w:val="single" w:sz="4" w:space="0" w:color="auto"/>
              <w:left w:val="single" w:sz="4" w:space="0" w:color="auto"/>
              <w:bottom w:val="single" w:sz="4" w:space="0" w:color="auto"/>
            </w:tcBorders>
            <w:vAlign w:val="center"/>
          </w:tcPr>
          <w:p w14:paraId="68BA149A" w14:textId="77777777" w:rsidR="00DD5BF0" w:rsidRPr="00B82E0C" w:rsidRDefault="00DD5BF0" w:rsidP="00DD5BF0">
            <w:pPr>
              <w:pStyle w:val="Tabletext"/>
              <w:keepNext/>
              <w:keepLines/>
              <w:jc w:val="center"/>
              <w:rPr>
                <w:b/>
                <w:bCs/>
              </w:rPr>
            </w:pPr>
            <w:r w:rsidRPr="00B82E0C">
              <w:rPr>
                <w:b/>
                <w:bCs/>
              </w:rPr>
              <w:t>31.12.2023</w:t>
            </w:r>
          </w:p>
        </w:tc>
      </w:tr>
      <w:tr w:rsidR="00DD5BF0" w:rsidRPr="00B82E0C" w14:paraId="74310D5B" w14:textId="77777777" w:rsidTr="00334A84">
        <w:trPr>
          <w:trHeight w:val="264"/>
          <w:jc w:val="center"/>
        </w:trPr>
        <w:tc>
          <w:tcPr>
            <w:tcW w:w="5901" w:type="dxa"/>
            <w:tcBorders>
              <w:top w:val="single" w:sz="4" w:space="0" w:color="auto"/>
              <w:right w:val="single" w:sz="4" w:space="0" w:color="auto"/>
            </w:tcBorders>
            <w:shd w:val="clear" w:color="auto" w:fill="auto"/>
            <w:hideMark/>
          </w:tcPr>
          <w:p w14:paraId="580F2678" w14:textId="77777777" w:rsidR="00DD5BF0" w:rsidRPr="00B82E0C" w:rsidRDefault="00DD5BF0" w:rsidP="00DD5BF0">
            <w:pPr>
              <w:pStyle w:val="Tabletext"/>
              <w:keepNext/>
              <w:keepLines/>
            </w:pPr>
            <w:r w:rsidRPr="00B82E0C">
              <w:t>Balance al 1 de enero</w:t>
            </w:r>
          </w:p>
        </w:tc>
        <w:tc>
          <w:tcPr>
            <w:tcW w:w="1701" w:type="dxa"/>
            <w:tcBorders>
              <w:top w:val="single" w:sz="4" w:space="0" w:color="auto"/>
              <w:left w:val="single" w:sz="4" w:space="0" w:color="auto"/>
              <w:right w:val="single" w:sz="4" w:space="0" w:color="auto"/>
            </w:tcBorders>
            <w:shd w:val="clear" w:color="auto" w:fill="auto"/>
          </w:tcPr>
          <w:p w14:paraId="5843A801" w14:textId="77777777" w:rsidR="00DD5BF0" w:rsidRPr="00B82E0C" w:rsidRDefault="00DD5BF0" w:rsidP="00DD5BF0">
            <w:pPr>
              <w:pStyle w:val="Tabletext"/>
              <w:keepNext/>
              <w:keepLines/>
              <w:jc w:val="center"/>
            </w:pPr>
            <w:r w:rsidRPr="00B82E0C">
              <w:t>375 271</w:t>
            </w:r>
          </w:p>
        </w:tc>
        <w:tc>
          <w:tcPr>
            <w:tcW w:w="1759" w:type="dxa"/>
            <w:tcBorders>
              <w:top w:val="single" w:sz="4" w:space="0" w:color="auto"/>
              <w:left w:val="single" w:sz="4" w:space="0" w:color="auto"/>
            </w:tcBorders>
          </w:tcPr>
          <w:p w14:paraId="3691031C" w14:textId="77777777" w:rsidR="00DD5BF0" w:rsidRPr="00B82E0C" w:rsidRDefault="00DD5BF0" w:rsidP="00DD5BF0">
            <w:pPr>
              <w:pStyle w:val="Tabletext"/>
              <w:keepNext/>
              <w:keepLines/>
              <w:jc w:val="center"/>
            </w:pPr>
            <w:r w:rsidRPr="00B82E0C">
              <w:t>344 102</w:t>
            </w:r>
          </w:p>
        </w:tc>
      </w:tr>
      <w:tr w:rsidR="00DD5BF0" w:rsidRPr="00B82E0C" w14:paraId="5E1B6165" w14:textId="77777777" w:rsidTr="00334A84">
        <w:trPr>
          <w:trHeight w:val="264"/>
          <w:jc w:val="center"/>
        </w:trPr>
        <w:tc>
          <w:tcPr>
            <w:tcW w:w="5901" w:type="dxa"/>
            <w:tcBorders>
              <w:right w:val="single" w:sz="4" w:space="0" w:color="auto"/>
            </w:tcBorders>
            <w:shd w:val="clear" w:color="auto" w:fill="auto"/>
          </w:tcPr>
          <w:p w14:paraId="18DA4124" w14:textId="77777777" w:rsidR="00DD5BF0" w:rsidRPr="00B82E0C" w:rsidRDefault="00DD5BF0" w:rsidP="00DD5BF0">
            <w:pPr>
              <w:pStyle w:val="Tabletext"/>
              <w:tabs>
                <w:tab w:val="left" w:pos="421"/>
              </w:tabs>
            </w:pPr>
            <w:r w:rsidRPr="00B82E0C">
              <w:t>–</w:t>
            </w:r>
            <w:r w:rsidRPr="00B82E0C">
              <w:tab/>
              <w:t>Coste neto actual del servicio</w:t>
            </w:r>
          </w:p>
        </w:tc>
        <w:tc>
          <w:tcPr>
            <w:tcW w:w="1701" w:type="dxa"/>
            <w:tcBorders>
              <w:left w:val="single" w:sz="4" w:space="0" w:color="auto"/>
              <w:right w:val="single" w:sz="4" w:space="0" w:color="auto"/>
            </w:tcBorders>
            <w:shd w:val="clear" w:color="auto" w:fill="auto"/>
          </w:tcPr>
          <w:p w14:paraId="0801B6E8" w14:textId="77777777" w:rsidR="00DD5BF0" w:rsidRPr="00B82E0C" w:rsidRDefault="00DD5BF0" w:rsidP="00DD5BF0">
            <w:pPr>
              <w:pStyle w:val="Tabletext"/>
              <w:keepNext/>
              <w:keepLines/>
              <w:jc w:val="center"/>
            </w:pPr>
            <w:r w:rsidRPr="00B82E0C">
              <w:t>11 095</w:t>
            </w:r>
          </w:p>
        </w:tc>
        <w:tc>
          <w:tcPr>
            <w:tcW w:w="1759" w:type="dxa"/>
            <w:tcBorders>
              <w:left w:val="single" w:sz="4" w:space="0" w:color="auto"/>
            </w:tcBorders>
          </w:tcPr>
          <w:p w14:paraId="44D297EE" w14:textId="77777777" w:rsidR="00DD5BF0" w:rsidRPr="00B82E0C" w:rsidRDefault="00DD5BF0" w:rsidP="00DD5BF0">
            <w:pPr>
              <w:pStyle w:val="Tabletext"/>
              <w:keepNext/>
              <w:keepLines/>
              <w:jc w:val="center"/>
            </w:pPr>
            <w:r w:rsidRPr="00B82E0C">
              <w:t>10 165</w:t>
            </w:r>
          </w:p>
        </w:tc>
      </w:tr>
      <w:tr w:rsidR="00DD5BF0" w:rsidRPr="00B82E0C" w14:paraId="79BCA5E4" w14:textId="77777777" w:rsidTr="00334A84">
        <w:trPr>
          <w:trHeight w:val="264"/>
          <w:jc w:val="center"/>
        </w:trPr>
        <w:tc>
          <w:tcPr>
            <w:tcW w:w="5901" w:type="dxa"/>
            <w:tcBorders>
              <w:bottom w:val="single" w:sz="4" w:space="0" w:color="auto"/>
              <w:right w:val="single" w:sz="4" w:space="0" w:color="auto"/>
            </w:tcBorders>
            <w:shd w:val="clear" w:color="auto" w:fill="auto"/>
          </w:tcPr>
          <w:p w14:paraId="5B745B06" w14:textId="77777777" w:rsidR="00DD5BF0" w:rsidRPr="00B82E0C" w:rsidRDefault="00DD5BF0" w:rsidP="00DD5BF0">
            <w:pPr>
              <w:pStyle w:val="Tabletext"/>
              <w:tabs>
                <w:tab w:val="left" w:pos="421"/>
              </w:tabs>
            </w:pPr>
            <w:r w:rsidRPr="00B82E0C">
              <w:t>–</w:t>
            </w:r>
            <w:r w:rsidRPr="00B82E0C">
              <w:tab/>
              <w:t>Cargas financieras</w:t>
            </w:r>
          </w:p>
        </w:tc>
        <w:tc>
          <w:tcPr>
            <w:tcW w:w="1701" w:type="dxa"/>
            <w:tcBorders>
              <w:left w:val="single" w:sz="4" w:space="0" w:color="auto"/>
              <w:bottom w:val="single" w:sz="4" w:space="0" w:color="auto"/>
              <w:right w:val="single" w:sz="4" w:space="0" w:color="auto"/>
            </w:tcBorders>
            <w:shd w:val="clear" w:color="auto" w:fill="auto"/>
          </w:tcPr>
          <w:p w14:paraId="19D4CE46" w14:textId="77777777" w:rsidR="00DD5BF0" w:rsidRPr="00B82E0C" w:rsidRDefault="00DD5BF0" w:rsidP="00DD5BF0">
            <w:pPr>
              <w:pStyle w:val="Tabletext"/>
              <w:keepNext/>
              <w:keepLines/>
              <w:jc w:val="center"/>
            </w:pPr>
            <w:r w:rsidRPr="00B82E0C">
              <w:t>7 046</w:t>
            </w:r>
          </w:p>
        </w:tc>
        <w:tc>
          <w:tcPr>
            <w:tcW w:w="1759" w:type="dxa"/>
            <w:tcBorders>
              <w:left w:val="single" w:sz="4" w:space="0" w:color="auto"/>
              <w:bottom w:val="single" w:sz="4" w:space="0" w:color="auto"/>
            </w:tcBorders>
          </w:tcPr>
          <w:p w14:paraId="13FA05C9" w14:textId="77777777" w:rsidR="00DD5BF0" w:rsidRPr="00B82E0C" w:rsidRDefault="00DD5BF0" w:rsidP="00DD5BF0">
            <w:pPr>
              <w:pStyle w:val="Tabletext"/>
              <w:keepNext/>
              <w:keepLines/>
              <w:jc w:val="center"/>
            </w:pPr>
            <w:r w:rsidRPr="00B82E0C">
              <w:t>8 489</w:t>
            </w:r>
          </w:p>
        </w:tc>
      </w:tr>
      <w:tr w:rsidR="00DD5BF0" w:rsidRPr="00B82E0C" w14:paraId="3125A21F" w14:textId="77777777" w:rsidTr="00334A84">
        <w:trPr>
          <w:trHeight w:val="336"/>
          <w:jc w:val="center"/>
        </w:trPr>
        <w:tc>
          <w:tcPr>
            <w:tcW w:w="5901" w:type="dxa"/>
            <w:tcBorders>
              <w:top w:val="single" w:sz="4" w:space="0" w:color="auto"/>
              <w:left w:val="single" w:sz="4" w:space="0" w:color="auto"/>
              <w:bottom w:val="single" w:sz="4" w:space="0" w:color="auto"/>
              <w:right w:val="single" w:sz="4" w:space="0" w:color="auto"/>
            </w:tcBorders>
            <w:shd w:val="clear" w:color="auto" w:fill="auto"/>
            <w:hideMark/>
          </w:tcPr>
          <w:p w14:paraId="55350CAB" w14:textId="77777777" w:rsidR="00DD5BF0" w:rsidRPr="00B82E0C" w:rsidRDefault="00DD5BF0" w:rsidP="00DD5BF0">
            <w:pPr>
              <w:pStyle w:val="Tabletext"/>
              <w:keepNext/>
              <w:keepLines/>
              <w:rPr>
                <w:b/>
                <w:bCs/>
              </w:rPr>
            </w:pPr>
            <w:r w:rsidRPr="00B82E0C">
              <w:rPr>
                <w:b/>
                <w:bCs/>
              </w:rPr>
              <w:t>Total gastos reconocidos en el Estado del rendimiento financiero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33EB3D" w14:textId="77777777" w:rsidR="00DD5BF0" w:rsidRPr="00B82E0C" w:rsidRDefault="00DD5BF0" w:rsidP="00DD5BF0">
            <w:pPr>
              <w:pStyle w:val="Tabletext"/>
              <w:keepNext/>
              <w:keepLines/>
              <w:jc w:val="center"/>
              <w:rPr>
                <w:b/>
                <w:bCs/>
              </w:rPr>
            </w:pPr>
            <w:r w:rsidRPr="00B82E0C">
              <w:rPr>
                <w:b/>
                <w:bCs/>
              </w:rPr>
              <w:t>18 141</w:t>
            </w:r>
          </w:p>
        </w:tc>
        <w:tc>
          <w:tcPr>
            <w:tcW w:w="1759" w:type="dxa"/>
            <w:tcBorders>
              <w:top w:val="single" w:sz="4" w:space="0" w:color="auto"/>
              <w:left w:val="single" w:sz="4" w:space="0" w:color="auto"/>
              <w:bottom w:val="single" w:sz="4" w:space="0" w:color="auto"/>
              <w:right w:val="single" w:sz="4" w:space="0" w:color="auto"/>
            </w:tcBorders>
          </w:tcPr>
          <w:p w14:paraId="35D46B50" w14:textId="77777777" w:rsidR="00DD5BF0" w:rsidRPr="00B82E0C" w:rsidRDefault="00DD5BF0" w:rsidP="00DD5BF0">
            <w:pPr>
              <w:pStyle w:val="Tabletext"/>
              <w:keepNext/>
              <w:keepLines/>
              <w:jc w:val="center"/>
              <w:rPr>
                <w:b/>
                <w:bCs/>
              </w:rPr>
            </w:pPr>
            <w:r w:rsidRPr="00B82E0C">
              <w:rPr>
                <w:b/>
                <w:bCs/>
              </w:rPr>
              <w:t>18 654</w:t>
            </w:r>
          </w:p>
        </w:tc>
      </w:tr>
      <w:tr w:rsidR="00DD5BF0" w:rsidRPr="00B82E0C" w14:paraId="6ECFA7DF" w14:textId="77777777" w:rsidTr="00334A84">
        <w:trPr>
          <w:trHeight w:val="336"/>
          <w:jc w:val="center"/>
        </w:trPr>
        <w:tc>
          <w:tcPr>
            <w:tcW w:w="5901" w:type="dxa"/>
            <w:tcBorders>
              <w:top w:val="single" w:sz="4" w:space="0" w:color="auto"/>
              <w:bottom w:val="nil"/>
              <w:right w:val="single" w:sz="4" w:space="0" w:color="auto"/>
            </w:tcBorders>
            <w:shd w:val="clear" w:color="auto" w:fill="auto"/>
          </w:tcPr>
          <w:p w14:paraId="0BC952BC" w14:textId="77777777" w:rsidR="00DD5BF0" w:rsidRPr="00B82E0C" w:rsidRDefault="00DD5BF0" w:rsidP="00DD5BF0">
            <w:pPr>
              <w:pStyle w:val="Tabletext"/>
              <w:tabs>
                <w:tab w:val="left" w:pos="421"/>
              </w:tabs>
              <w:ind w:left="418" w:hanging="418"/>
            </w:pPr>
            <w:r w:rsidRPr="00B82E0C">
              <w:t>–</w:t>
            </w:r>
            <w:r w:rsidRPr="00B82E0C">
              <w:tab/>
              <w:t>Obligación debida a los cambios en las hipótesis demográficas</w:t>
            </w:r>
          </w:p>
        </w:tc>
        <w:tc>
          <w:tcPr>
            <w:tcW w:w="1701" w:type="dxa"/>
            <w:tcBorders>
              <w:top w:val="single" w:sz="4" w:space="0" w:color="auto"/>
              <w:left w:val="single" w:sz="4" w:space="0" w:color="auto"/>
              <w:bottom w:val="nil"/>
              <w:right w:val="single" w:sz="4" w:space="0" w:color="auto"/>
            </w:tcBorders>
            <w:shd w:val="clear" w:color="auto" w:fill="auto"/>
          </w:tcPr>
          <w:p w14:paraId="4577B71C" w14:textId="77777777" w:rsidR="00DD5BF0" w:rsidRPr="00B82E0C" w:rsidRDefault="00DD5BF0" w:rsidP="00DD5BF0">
            <w:pPr>
              <w:pStyle w:val="Tabletext"/>
              <w:keepNext/>
              <w:keepLines/>
              <w:jc w:val="center"/>
            </w:pPr>
            <w:r w:rsidRPr="00B82E0C">
              <w:t>10 602</w:t>
            </w:r>
          </w:p>
        </w:tc>
        <w:tc>
          <w:tcPr>
            <w:tcW w:w="1759" w:type="dxa"/>
            <w:tcBorders>
              <w:top w:val="single" w:sz="4" w:space="0" w:color="auto"/>
              <w:left w:val="single" w:sz="4" w:space="0" w:color="auto"/>
              <w:bottom w:val="nil"/>
            </w:tcBorders>
          </w:tcPr>
          <w:p w14:paraId="1CB88B96" w14:textId="77777777" w:rsidR="00DD5BF0" w:rsidRPr="00B82E0C" w:rsidRDefault="00DD5BF0" w:rsidP="00DD5BF0">
            <w:pPr>
              <w:pStyle w:val="Tabletext"/>
              <w:keepNext/>
              <w:keepLines/>
              <w:jc w:val="center"/>
            </w:pPr>
            <w:r w:rsidRPr="00B82E0C">
              <w:t>(574)</w:t>
            </w:r>
          </w:p>
        </w:tc>
      </w:tr>
      <w:tr w:rsidR="00DD5BF0" w:rsidRPr="00B82E0C" w14:paraId="1B4BEBDC" w14:textId="77777777" w:rsidTr="00334A84">
        <w:trPr>
          <w:trHeight w:val="336"/>
          <w:jc w:val="center"/>
        </w:trPr>
        <w:tc>
          <w:tcPr>
            <w:tcW w:w="5901" w:type="dxa"/>
            <w:tcBorders>
              <w:top w:val="nil"/>
              <w:bottom w:val="nil"/>
              <w:right w:val="single" w:sz="4" w:space="0" w:color="auto"/>
            </w:tcBorders>
            <w:shd w:val="clear" w:color="auto" w:fill="auto"/>
          </w:tcPr>
          <w:p w14:paraId="2F680090" w14:textId="77777777" w:rsidR="00DD5BF0" w:rsidRPr="00B82E0C" w:rsidRDefault="00DD5BF0" w:rsidP="00DD5BF0">
            <w:pPr>
              <w:pStyle w:val="Tabletext"/>
              <w:tabs>
                <w:tab w:val="left" w:pos="421"/>
              </w:tabs>
              <w:ind w:left="418" w:hanging="418"/>
            </w:pPr>
            <w:r w:rsidRPr="00B82E0C">
              <w:t>–</w:t>
            </w:r>
            <w:r w:rsidRPr="00B82E0C">
              <w:tab/>
              <w:t>Obligación debida a cambios de hipótesis financieras</w:t>
            </w:r>
          </w:p>
        </w:tc>
        <w:tc>
          <w:tcPr>
            <w:tcW w:w="1701" w:type="dxa"/>
            <w:tcBorders>
              <w:top w:val="nil"/>
              <w:left w:val="single" w:sz="4" w:space="0" w:color="auto"/>
              <w:bottom w:val="nil"/>
              <w:right w:val="single" w:sz="4" w:space="0" w:color="auto"/>
            </w:tcBorders>
            <w:shd w:val="clear" w:color="auto" w:fill="auto"/>
          </w:tcPr>
          <w:p w14:paraId="43EA532D" w14:textId="77777777" w:rsidR="00DD5BF0" w:rsidRPr="00B82E0C" w:rsidRDefault="00DD5BF0" w:rsidP="00DD5BF0">
            <w:pPr>
              <w:pStyle w:val="Tabletext"/>
              <w:keepNext/>
              <w:keepLines/>
              <w:jc w:val="center"/>
            </w:pPr>
            <w:r w:rsidRPr="00B82E0C">
              <w:t>20 636</w:t>
            </w:r>
          </w:p>
        </w:tc>
        <w:tc>
          <w:tcPr>
            <w:tcW w:w="1759" w:type="dxa"/>
            <w:tcBorders>
              <w:top w:val="nil"/>
              <w:left w:val="single" w:sz="4" w:space="0" w:color="auto"/>
              <w:bottom w:val="nil"/>
            </w:tcBorders>
          </w:tcPr>
          <w:p w14:paraId="0F85CE67" w14:textId="77777777" w:rsidR="00DD5BF0" w:rsidRPr="00B82E0C" w:rsidRDefault="00DD5BF0" w:rsidP="00DD5BF0">
            <w:pPr>
              <w:pStyle w:val="Tabletext"/>
              <w:keepNext/>
              <w:keepLines/>
              <w:jc w:val="center"/>
            </w:pPr>
            <w:r w:rsidRPr="00B82E0C">
              <w:t>24 687</w:t>
            </w:r>
          </w:p>
        </w:tc>
      </w:tr>
      <w:tr w:rsidR="00DD5BF0" w:rsidRPr="00B82E0C" w14:paraId="004C4274" w14:textId="77777777" w:rsidTr="00334A84">
        <w:trPr>
          <w:trHeight w:val="336"/>
          <w:jc w:val="center"/>
        </w:trPr>
        <w:tc>
          <w:tcPr>
            <w:tcW w:w="5901" w:type="dxa"/>
            <w:tcBorders>
              <w:top w:val="nil"/>
              <w:bottom w:val="single" w:sz="4" w:space="0" w:color="auto"/>
              <w:right w:val="single" w:sz="4" w:space="0" w:color="auto"/>
            </w:tcBorders>
            <w:shd w:val="clear" w:color="auto" w:fill="auto"/>
          </w:tcPr>
          <w:p w14:paraId="4AA4115E" w14:textId="77777777" w:rsidR="00DD5BF0" w:rsidRPr="00B82E0C" w:rsidRDefault="00DD5BF0" w:rsidP="00DD5BF0">
            <w:pPr>
              <w:pStyle w:val="Tabletext"/>
              <w:tabs>
                <w:tab w:val="left" w:pos="421"/>
              </w:tabs>
              <w:ind w:left="418" w:hanging="418"/>
            </w:pPr>
            <w:r w:rsidRPr="00B82E0C">
              <w:t>–</w:t>
            </w:r>
            <w:r w:rsidRPr="00B82E0C">
              <w:tab/>
              <w:t>Obligación debida a la evolución del ejercicio</w:t>
            </w:r>
          </w:p>
        </w:tc>
        <w:tc>
          <w:tcPr>
            <w:tcW w:w="1701" w:type="dxa"/>
            <w:tcBorders>
              <w:top w:val="nil"/>
              <w:left w:val="single" w:sz="4" w:space="0" w:color="auto"/>
              <w:bottom w:val="single" w:sz="4" w:space="0" w:color="auto"/>
              <w:right w:val="single" w:sz="4" w:space="0" w:color="auto"/>
            </w:tcBorders>
            <w:shd w:val="clear" w:color="auto" w:fill="auto"/>
          </w:tcPr>
          <w:p w14:paraId="133B10B4" w14:textId="77777777" w:rsidR="00DD5BF0" w:rsidRPr="00B82E0C" w:rsidRDefault="00DD5BF0" w:rsidP="00DD5BF0">
            <w:pPr>
              <w:pStyle w:val="Tabletext"/>
              <w:keepNext/>
              <w:keepLines/>
              <w:jc w:val="center"/>
            </w:pPr>
            <w:r w:rsidRPr="00B82E0C">
              <w:t>1 511</w:t>
            </w:r>
          </w:p>
        </w:tc>
        <w:tc>
          <w:tcPr>
            <w:tcW w:w="1759" w:type="dxa"/>
            <w:tcBorders>
              <w:top w:val="nil"/>
              <w:left w:val="single" w:sz="4" w:space="0" w:color="auto"/>
              <w:bottom w:val="single" w:sz="4" w:space="0" w:color="auto"/>
            </w:tcBorders>
          </w:tcPr>
          <w:p w14:paraId="5BFC7CCA" w14:textId="77777777" w:rsidR="00DD5BF0" w:rsidRPr="00B82E0C" w:rsidRDefault="00DD5BF0" w:rsidP="00DD5BF0">
            <w:pPr>
              <w:pStyle w:val="Tabletext"/>
              <w:keepNext/>
              <w:keepLines/>
              <w:jc w:val="center"/>
            </w:pPr>
            <w:r w:rsidRPr="00B82E0C">
              <w:t>(4 589)</w:t>
            </w:r>
          </w:p>
        </w:tc>
      </w:tr>
      <w:tr w:rsidR="00DD5BF0" w:rsidRPr="00B82E0C" w14:paraId="6873DED0" w14:textId="77777777" w:rsidTr="00334A84">
        <w:trPr>
          <w:trHeight w:val="336"/>
          <w:jc w:val="center"/>
        </w:trPr>
        <w:tc>
          <w:tcPr>
            <w:tcW w:w="5901" w:type="dxa"/>
            <w:tcBorders>
              <w:top w:val="single" w:sz="4" w:space="0" w:color="auto"/>
              <w:bottom w:val="nil"/>
              <w:right w:val="single" w:sz="4" w:space="0" w:color="auto"/>
            </w:tcBorders>
            <w:shd w:val="clear" w:color="auto" w:fill="auto"/>
          </w:tcPr>
          <w:p w14:paraId="089E134B" w14:textId="77777777" w:rsidR="00DD5BF0" w:rsidRPr="00B82E0C" w:rsidRDefault="00DD5BF0" w:rsidP="00DD5BF0">
            <w:pPr>
              <w:pStyle w:val="Tabletext"/>
              <w:keepNext/>
              <w:keepLines/>
              <w:rPr>
                <w:b/>
              </w:rPr>
            </w:pPr>
            <w:r w:rsidRPr="00B82E0C">
              <w:rPr>
                <w:b/>
              </w:rPr>
              <w:t>Pérdidas actuariales reconocidas en los activos netos</w:t>
            </w:r>
          </w:p>
        </w:tc>
        <w:tc>
          <w:tcPr>
            <w:tcW w:w="1701" w:type="dxa"/>
            <w:tcBorders>
              <w:top w:val="single" w:sz="4" w:space="0" w:color="auto"/>
              <w:left w:val="single" w:sz="4" w:space="0" w:color="auto"/>
              <w:bottom w:val="nil"/>
              <w:right w:val="single" w:sz="4" w:space="0" w:color="auto"/>
            </w:tcBorders>
            <w:shd w:val="clear" w:color="auto" w:fill="auto"/>
          </w:tcPr>
          <w:p w14:paraId="3356CBBC" w14:textId="77777777" w:rsidR="00DD5BF0" w:rsidRPr="00B82E0C" w:rsidRDefault="00DD5BF0" w:rsidP="00DD5BF0">
            <w:pPr>
              <w:pStyle w:val="Tabletext"/>
              <w:keepNext/>
              <w:keepLines/>
              <w:jc w:val="center"/>
              <w:rPr>
                <w:b/>
              </w:rPr>
            </w:pPr>
            <w:r w:rsidRPr="00B82E0C">
              <w:rPr>
                <w:b/>
              </w:rPr>
              <w:t>32 748</w:t>
            </w:r>
          </w:p>
        </w:tc>
        <w:tc>
          <w:tcPr>
            <w:tcW w:w="1759" w:type="dxa"/>
            <w:tcBorders>
              <w:top w:val="single" w:sz="4" w:space="0" w:color="auto"/>
              <w:left w:val="single" w:sz="4" w:space="0" w:color="auto"/>
              <w:bottom w:val="nil"/>
            </w:tcBorders>
          </w:tcPr>
          <w:p w14:paraId="23D2C8F3" w14:textId="77777777" w:rsidR="00DD5BF0" w:rsidRPr="00B82E0C" w:rsidRDefault="00DD5BF0" w:rsidP="00DD5BF0">
            <w:pPr>
              <w:pStyle w:val="Tabletext"/>
              <w:keepNext/>
              <w:keepLines/>
              <w:jc w:val="center"/>
              <w:rPr>
                <w:b/>
              </w:rPr>
            </w:pPr>
            <w:r w:rsidRPr="00B82E0C">
              <w:rPr>
                <w:b/>
              </w:rPr>
              <w:t>19 524</w:t>
            </w:r>
          </w:p>
        </w:tc>
      </w:tr>
      <w:tr w:rsidR="00DD5BF0" w:rsidRPr="00B82E0C" w14:paraId="0C560624" w14:textId="77777777" w:rsidTr="00334A84">
        <w:trPr>
          <w:trHeight w:val="336"/>
          <w:jc w:val="center"/>
        </w:trPr>
        <w:tc>
          <w:tcPr>
            <w:tcW w:w="5901" w:type="dxa"/>
            <w:tcBorders>
              <w:top w:val="nil"/>
              <w:bottom w:val="single" w:sz="4" w:space="0" w:color="auto"/>
              <w:right w:val="single" w:sz="4" w:space="0" w:color="auto"/>
            </w:tcBorders>
            <w:shd w:val="clear" w:color="auto" w:fill="auto"/>
            <w:vAlign w:val="bottom"/>
          </w:tcPr>
          <w:p w14:paraId="4037D387" w14:textId="77777777" w:rsidR="00DD5BF0" w:rsidRPr="00B82E0C" w:rsidRDefault="00DD5BF0" w:rsidP="00DD5BF0">
            <w:pPr>
              <w:pStyle w:val="Tabletext"/>
              <w:keepNext/>
              <w:keepLines/>
              <w:rPr>
                <w:b/>
              </w:rPr>
            </w:pPr>
            <w:r w:rsidRPr="00B82E0C">
              <w:rPr>
                <w:b/>
              </w:rPr>
              <w:t>Contribuciones durante el ejercicio</w:t>
            </w:r>
          </w:p>
        </w:tc>
        <w:tc>
          <w:tcPr>
            <w:tcW w:w="1701" w:type="dxa"/>
            <w:tcBorders>
              <w:top w:val="nil"/>
              <w:left w:val="single" w:sz="4" w:space="0" w:color="auto"/>
              <w:bottom w:val="single" w:sz="4" w:space="0" w:color="auto"/>
              <w:right w:val="single" w:sz="4" w:space="0" w:color="auto"/>
            </w:tcBorders>
            <w:shd w:val="clear" w:color="auto" w:fill="auto"/>
          </w:tcPr>
          <w:p w14:paraId="38BAAAE0" w14:textId="77777777" w:rsidR="00DD5BF0" w:rsidRPr="00B82E0C" w:rsidRDefault="00DD5BF0" w:rsidP="00DD5BF0">
            <w:pPr>
              <w:pStyle w:val="Tabletext"/>
              <w:keepNext/>
              <w:keepLines/>
              <w:jc w:val="center"/>
              <w:rPr>
                <w:b/>
              </w:rPr>
            </w:pPr>
            <w:r w:rsidRPr="00B82E0C">
              <w:rPr>
                <w:b/>
              </w:rPr>
              <w:t>(10 325)</w:t>
            </w:r>
          </w:p>
        </w:tc>
        <w:tc>
          <w:tcPr>
            <w:tcW w:w="1759" w:type="dxa"/>
            <w:tcBorders>
              <w:top w:val="nil"/>
              <w:left w:val="single" w:sz="4" w:space="0" w:color="auto"/>
              <w:bottom w:val="single" w:sz="4" w:space="0" w:color="auto"/>
            </w:tcBorders>
          </w:tcPr>
          <w:p w14:paraId="6C3A1C21" w14:textId="77777777" w:rsidR="00DD5BF0" w:rsidRPr="00B82E0C" w:rsidRDefault="00DD5BF0" w:rsidP="00DD5BF0">
            <w:pPr>
              <w:pStyle w:val="Tabletext"/>
              <w:keepNext/>
              <w:keepLines/>
              <w:jc w:val="center"/>
              <w:rPr>
                <w:b/>
              </w:rPr>
            </w:pPr>
            <w:r w:rsidRPr="00B82E0C">
              <w:rPr>
                <w:b/>
              </w:rPr>
              <w:t>(7 009)</w:t>
            </w:r>
          </w:p>
        </w:tc>
      </w:tr>
      <w:tr w:rsidR="00DD5BF0" w:rsidRPr="00B82E0C" w14:paraId="06533EAA" w14:textId="77777777" w:rsidTr="00334A84">
        <w:trPr>
          <w:trHeight w:val="336"/>
          <w:jc w:val="center"/>
        </w:trPr>
        <w:tc>
          <w:tcPr>
            <w:tcW w:w="5901" w:type="dxa"/>
            <w:tcBorders>
              <w:top w:val="single" w:sz="4" w:space="0" w:color="auto"/>
              <w:right w:val="single" w:sz="4" w:space="0" w:color="auto"/>
            </w:tcBorders>
            <w:shd w:val="clear" w:color="auto" w:fill="auto"/>
          </w:tcPr>
          <w:p w14:paraId="5B365922" w14:textId="77777777" w:rsidR="00DD5BF0" w:rsidRPr="00B82E0C" w:rsidRDefault="00DD5BF0" w:rsidP="00DD5BF0">
            <w:pPr>
              <w:pStyle w:val="Tabletext"/>
              <w:keepNext/>
              <w:keepLines/>
              <w:rPr>
                <w:b/>
              </w:rPr>
            </w:pPr>
            <w:r w:rsidRPr="00B82E0C">
              <w:rPr>
                <w:b/>
              </w:rPr>
              <w:t xml:space="preserve">Importe de las obligaciones correspondientes al Plan </w:t>
            </w:r>
            <w:proofErr w:type="spellStart"/>
            <w:r w:rsidRPr="00B82E0C">
              <w:rPr>
                <w:b/>
              </w:rPr>
              <w:t>ASHI</w:t>
            </w:r>
            <w:proofErr w:type="spellEnd"/>
            <w:r w:rsidRPr="00B82E0C">
              <w:rPr>
                <w:b/>
              </w:rPr>
              <w:t xml:space="preserve"> al 31 de diciembre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06672F" w14:textId="77777777" w:rsidR="00DD5BF0" w:rsidRPr="00B82E0C" w:rsidRDefault="00DD5BF0" w:rsidP="00DD5BF0">
            <w:pPr>
              <w:pStyle w:val="Tabletext"/>
              <w:keepNext/>
              <w:keepLines/>
              <w:jc w:val="center"/>
              <w:rPr>
                <w:b/>
              </w:rPr>
            </w:pPr>
            <w:r w:rsidRPr="00B82E0C">
              <w:rPr>
                <w:b/>
              </w:rPr>
              <w:t>415 835</w:t>
            </w:r>
          </w:p>
        </w:tc>
        <w:tc>
          <w:tcPr>
            <w:tcW w:w="1759" w:type="dxa"/>
            <w:tcBorders>
              <w:top w:val="single" w:sz="4" w:space="0" w:color="auto"/>
              <w:left w:val="single" w:sz="4" w:space="0" w:color="auto"/>
            </w:tcBorders>
          </w:tcPr>
          <w:p w14:paraId="43B15D40" w14:textId="77777777" w:rsidR="00DD5BF0" w:rsidRPr="00B82E0C" w:rsidRDefault="00DD5BF0" w:rsidP="00DD5BF0">
            <w:pPr>
              <w:pStyle w:val="Tabletext"/>
              <w:keepNext/>
              <w:keepLines/>
              <w:jc w:val="center"/>
              <w:rPr>
                <w:b/>
              </w:rPr>
            </w:pPr>
            <w:r w:rsidRPr="00B82E0C">
              <w:rPr>
                <w:b/>
              </w:rPr>
              <w:t>375 271</w:t>
            </w:r>
          </w:p>
        </w:tc>
      </w:tr>
    </w:tbl>
    <w:p w14:paraId="707D61A1" w14:textId="77777777" w:rsidR="00061B90" w:rsidRDefault="00061B90" w:rsidP="00061B90">
      <w:pPr>
        <w:pStyle w:val="Tablefin"/>
      </w:pPr>
      <w:bookmarkStart w:id="2" w:name="_Hlk38446011"/>
    </w:p>
    <w:p w14:paraId="50005F43" w14:textId="0BEF257A" w:rsidR="00DD5BF0" w:rsidRPr="00B82E0C" w:rsidRDefault="00DD5BF0" w:rsidP="00061B90">
      <w:pPr>
        <w:jc w:val="both"/>
      </w:pPr>
      <w:r w:rsidRPr="00B82E0C">
        <w:t>3.2</w:t>
      </w:r>
      <w:r w:rsidRPr="00B82E0C">
        <w:tab/>
        <w:t>Los costes de servicio representan el aumento en el valor actual de la obligación por prestaciones definidas resultante del servicio prestado por los empleados en el periodo actual.</w:t>
      </w:r>
    </w:p>
    <w:p w14:paraId="3953726B" w14:textId="77777777" w:rsidR="00DD5BF0" w:rsidRPr="00B82E0C" w:rsidRDefault="00DD5BF0" w:rsidP="00061B90">
      <w:pPr>
        <w:jc w:val="both"/>
      </w:pPr>
      <w:r w:rsidRPr="00B82E0C">
        <w:t>3.3</w:t>
      </w:r>
      <w:r w:rsidRPr="00B82E0C">
        <w:tab/>
        <w:t xml:space="preserve">A raíz de una decisión del Grupo Especial de las Naciones Unidas sobre normas de contabilidad, desde 2016 todos los organismos de las Naciones Unidas han armonizado todas las hipótesis relativas a la valoración del </w:t>
      </w:r>
      <w:proofErr w:type="spellStart"/>
      <w:r w:rsidRPr="00B82E0C">
        <w:t>ASHI</w:t>
      </w:r>
      <w:proofErr w:type="spellEnd"/>
      <w:r w:rsidRPr="00B82E0C">
        <w:t>.</w:t>
      </w:r>
    </w:p>
    <w:bookmarkEnd w:id="2"/>
    <w:p w14:paraId="51594DFC" w14:textId="21AF5481" w:rsidR="00DD5BF0" w:rsidRPr="00B82E0C" w:rsidRDefault="00DD5BF0" w:rsidP="00061B90">
      <w:pPr>
        <w:jc w:val="both"/>
      </w:pPr>
      <w:r w:rsidRPr="00B82E0C">
        <w:t>3.4</w:t>
      </w:r>
      <w:r w:rsidRPr="00B82E0C">
        <w:tab/>
        <w:t xml:space="preserve">Entre los supuestos que se tienen en cuenta en la valoración actuarial, la tasa de descuento (basada en el rendimiento de las obligaciones corporativas AA), el incremento de los costes médicos y el aumento de los salarios son los factores que más incidencia tienen. El descenso de la tasa de descuento o el incremento de los costes médicos se traducen en un aumento del pasivo del </w:t>
      </w:r>
      <w:proofErr w:type="spellStart"/>
      <w:r w:rsidRPr="00B82E0C">
        <w:t>ASHI</w:t>
      </w:r>
      <w:proofErr w:type="spellEnd"/>
      <w:r w:rsidRPr="00B82E0C">
        <w:t xml:space="preserve">, mientras que el incremento salarial tiene como consecuencia un aumento de las contribuciones de los miembros y de la UIT, y del apoyo a la financiación del pasivo del </w:t>
      </w:r>
      <w:proofErr w:type="spellStart"/>
      <w:r w:rsidRPr="00B82E0C">
        <w:t>ASHI</w:t>
      </w:r>
      <w:proofErr w:type="spellEnd"/>
      <w:r w:rsidRPr="00B82E0C">
        <w:t>.</w:t>
      </w:r>
    </w:p>
    <w:p w14:paraId="6A119197" w14:textId="77777777" w:rsidR="00DD5BF0" w:rsidRPr="00B82E0C" w:rsidRDefault="00DD5BF0" w:rsidP="00061B90">
      <w:pPr>
        <w:jc w:val="both"/>
      </w:pPr>
      <w:r w:rsidRPr="00B82E0C">
        <w:t>3.5</w:t>
      </w:r>
      <w:r w:rsidRPr="00B82E0C">
        <w:tab/>
        <w:t xml:space="preserve">En la valoración del </w:t>
      </w:r>
      <w:proofErr w:type="spellStart"/>
      <w:r w:rsidRPr="00B82E0C">
        <w:t>ASHI</w:t>
      </w:r>
      <w:proofErr w:type="spellEnd"/>
      <w:r w:rsidRPr="00B82E0C">
        <w:t xml:space="preserve"> se utilizan dos categorías de hipótesis: demográficas y financieras. En 2024, la tasa de descuento se redujo del 1,9 % al 1,4 %, lo que modificó las hipótesis financieras y se tradujo en una pérdida de 20,6 millones CHF en 2024, en comparación con una pérdida de 24,6 millones en 2023. Un segundo elemento con una influencia importante en el pasivo del </w:t>
      </w:r>
      <w:proofErr w:type="spellStart"/>
      <w:r w:rsidRPr="00B82E0C">
        <w:t>ASHI</w:t>
      </w:r>
      <w:proofErr w:type="spellEnd"/>
      <w:r w:rsidRPr="00B82E0C">
        <w:t xml:space="preserve"> es la modificación de las hipótesis demográficas. El análisis de los datos proporcionados por UNSMIS muestra una disminución de la ganancia actuarial de 0,6 millones CHF en 2023 a una pérdida de 10,6 millones CHF en 2024. Además, la actualización del estudio evolutivo resultó en una pérdida de 1,5 millones CHF en 2024, en comparación con los 4,6 millones CHF de ganancia en 2023.</w:t>
      </w:r>
    </w:p>
    <w:p w14:paraId="3F0B2DEA" w14:textId="77777777" w:rsidR="00DD5BF0" w:rsidRPr="00B82E0C" w:rsidRDefault="00DD5BF0" w:rsidP="00061B90">
      <w:pPr>
        <w:jc w:val="both"/>
      </w:pPr>
      <w:r w:rsidRPr="00B82E0C">
        <w:t>3.6</w:t>
      </w:r>
      <w:r w:rsidRPr="00B82E0C">
        <w:tab/>
        <w:t xml:space="preserve">Habida cuenta de cómo se calcula, el pasivo </w:t>
      </w:r>
      <w:proofErr w:type="spellStart"/>
      <w:r w:rsidRPr="00B82E0C">
        <w:t>ASHI</w:t>
      </w:r>
      <w:proofErr w:type="spellEnd"/>
      <w:r w:rsidRPr="00B82E0C">
        <w:t xml:space="preserve"> es volátil por naturaleza. Como se muestra en el siguiente cuadro, en 2022 alcanzó su nivel más bajo en diez años y, debido principalmente a la modificación de las hipótesis demográficas, el pasivo del </w:t>
      </w:r>
      <w:proofErr w:type="spellStart"/>
      <w:r w:rsidRPr="00B82E0C">
        <w:t>ASHI</w:t>
      </w:r>
      <w:proofErr w:type="spellEnd"/>
      <w:r w:rsidRPr="00B82E0C">
        <w:t xml:space="preserve"> volvió a aumentar en 2024.</w:t>
      </w:r>
    </w:p>
    <w:p w14:paraId="2AED3E9A" w14:textId="77777777" w:rsidR="00DD5BF0" w:rsidRPr="00B82E0C" w:rsidRDefault="00DD5BF0" w:rsidP="00061B90">
      <w:pPr>
        <w:jc w:val="both"/>
      </w:pPr>
      <w:r w:rsidRPr="00B82E0C">
        <w:lastRenderedPageBreak/>
        <w:t>3.7</w:t>
      </w:r>
      <w:r w:rsidRPr="00B82E0C">
        <w:tab/>
        <w:t xml:space="preserve">A pesar de esta disminución de la tasa de descuento al 31 de diciembre de 2024, el pasivo del </w:t>
      </w:r>
      <w:proofErr w:type="spellStart"/>
      <w:r w:rsidRPr="00B82E0C">
        <w:t>ASHI</w:t>
      </w:r>
      <w:proofErr w:type="spellEnd"/>
      <w:r w:rsidRPr="00B82E0C">
        <w:t xml:space="preserve"> ha disminuido un 34,2 % en comparación con su nivel más elevado en 2020.</w:t>
      </w:r>
    </w:p>
    <w:p w14:paraId="6A87768E" w14:textId="77777777" w:rsidR="00DD5BF0" w:rsidRPr="00B82E0C" w:rsidRDefault="00DD5BF0" w:rsidP="00061B90">
      <w:pPr>
        <w:spacing w:after="120"/>
        <w:jc w:val="both"/>
        <w:rPr>
          <w:b/>
          <w:bCs/>
        </w:rPr>
      </w:pPr>
      <w:r w:rsidRPr="00B82E0C">
        <w:t>3.8</w:t>
      </w:r>
      <w:r w:rsidRPr="00B82E0C">
        <w:tab/>
        <w:t xml:space="preserve">En el cuadro siguiente se muestra la evolución de estos supuestos y del pasivo del </w:t>
      </w:r>
      <w:proofErr w:type="spellStart"/>
      <w:r w:rsidRPr="00B82E0C">
        <w:t>ASHI</w:t>
      </w:r>
      <w:proofErr w:type="spellEnd"/>
      <w:r w:rsidRPr="00B82E0C">
        <w:t>.</w:t>
      </w:r>
    </w:p>
    <w:tbl>
      <w:tblPr>
        <w:tblW w:w="9190" w:type="dxa"/>
        <w:jc w:val="center"/>
        <w:tblLayout w:type="fixed"/>
        <w:tblLook w:val="04A0" w:firstRow="1" w:lastRow="0" w:firstColumn="1" w:lastColumn="0" w:noHBand="0" w:noVBand="1"/>
      </w:tblPr>
      <w:tblGrid>
        <w:gridCol w:w="1833"/>
        <w:gridCol w:w="1050"/>
        <w:gridCol w:w="1050"/>
        <w:gridCol w:w="1051"/>
        <w:gridCol w:w="1052"/>
        <w:gridCol w:w="1051"/>
        <w:gridCol w:w="1051"/>
        <w:gridCol w:w="1052"/>
      </w:tblGrid>
      <w:tr w:rsidR="00DD5BF0" w:rsidRPr="00B82E0C" w14:paraId="5F28C369" w14:textId="77777777" w:rsidTr="003F33B2">
        <w:trPr>
          <w:trHeight w:val="435"/>
          <w:jc w:val="center"/>
        </w:trPr>
        <w:tc>
          <w:tcPr>
            <w:tcW w:w="1833" w:type="dxa"/>
            <w:tcBorders>
              <w:top w:val="single" w:sz="8" w:space="0" w:color="auto"/>
              <w:left w:val="single" w:sz="8" w:space="0" w:color="auto"/>
              <w:bottom w:val="nil"/>
              <w:right w:val="single" w:sz="4" w:space="0" w:color="auto"/>
            </w:tcBorders>
            <w:shd w:val="clear" w:color="auto" w:fill="auto"/>
            <w:vAlign w:val="center"/>
            <w:hideMark/>
          </w:tcPr>
          <w:p w14:paraId="69DC12E7" w14:textId="77777777" w:rsidR="00DD5BF0" w:rsidRPr="00B82E0C" w:rsidRDefault="00DD5BF0" w:rsidP="00DD5BF0">
            <w:pPr>
              <w:pStyle w:val="Tablehead"/>
            </w:pPr>
            <w:r w:rsidRPr="00B82E0C">
              <w:t> </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3ACE28A5" w14:textId="77777777" w:rsidR="00DD5BF0" w:rsidRPr="00B82E0C" w:rsidRDefault="00DD5BF0" w:rsidP="00DD5BF0">
            <w:pPr>
              <w:pStyle w:val="Tablehead"/>
            </w:pPr>
            <w:r w:rsidRPr="00B82E0C">
              <w:t>2018</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14:paraId="11FA1E08" w14:textId="77777777" w:rsidR="00DD5BF0" w:rsidRPr="00B82E0C" w:rsidRDefault="00DD5BF0" w:rsidP="00DD5BF0">
            <w:pPr>
              <w:pStyle w:val="Tablehead"/>
            </w:pPr>
            <w:r w:rsidRPr="00B82E0C">
              <w:t>2019</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14:paraId="435ED573" w14:textId="77777777" w:rsidR="00DD5BF0" w:rsidRPr="00B82E0C" w:rsidRDefault="00DD5BF0" w:rsidP="00DD5BF0">
            <w:pPr>
              <w:pStyle w:val="Tablehead"/>
            </w:pPr>
            <w:r w:rsidRPr="00B82E0C">
              <w:t>2020</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282F6DA0" w14:textId="77777777" w:rsidR="00DD5BF0" w:rsidRPr="00B82E0C" w:rsidRDefault="00DD5BF0" w:rsidP="00DD5BF0">
            <w:pPr>
              <w:pStyle w:val="Tablehead"/>
            </w:pPr>
            <w:r w:rsidRPr="00B82E0C">
              <w:t>2021</w:t>
            </w:r>
          </w:p>
        </w:tc>
        <w:tc>
          <w:tcPr>
            <w:tcW w:w="1051" w:type="dxa"/>
            <w:tcBorders>
              <w:top w:val="single" w:sz="8" w:space="0" w:color="auto"/>
              <w:left w:val="nil"/>
              <w:bottom w:val="single" w:sz="8" w:space="0" w:color="auto"/>
              <w:right w:val="single" w:sz="8" w:space="0" w:color="auto"/>
            </w:tcBorders>
            <w:vAlign w:val="center"/>
          </w:tcPr>
          <w:p w14:paraId="3E8D6C97" w14:textId="77777777" w:rsidR="00DD5BF0" w:rsidRPr="00B82E0C" w:rsidRDefault="00DD5BF0" w:rsidP="00DD5BF0">
            <w:pPr>
              <w:pStyle w:val="Tablehead"/>
            </w:pPr>
            <w:r w:rsidRPr="00B82E0C">
              <w:t>2022</w:t>
            </w:r>
          </w:p>
        </w:tc>
        <w:tc>
          <w:tcPr>
            <w:tcW w:w="1051" w:type="dxa"/>
            <w:tcBorders>
              <w:top w:val="single" w:sz="8" w:space="0" w:color="auto"/>
              <w:left w:val="nil"/>
              <w:bottom w:val="single" w:sz="8" w:space="0" w:color="auto"/>
              <w:right w:val="single" w:sz="4" w:space="0" w:color="auto"/>
            </w:tcBorders>
            <w:vAlign w:val="center"/>
          </w:tcPr>
          <w:p w14:paraId="528BB20C" w14:textId="77777777" w:rsidR="00DD5BF0" w:rsidRPr="00B82E0C" w:rsidRDefault="00DD5BF0" w:rsidP="00DD5BF0">
            <w:pPr>
              <w:pStyle w:val="Tablehead"/>
            </w:pPr>
            <w:r w:rsidRPr="00B82E0C">
              <w:t>2023</w:t>
            </w:r>
          </w:p>
        </w:tc>
        <w:tc>
          <w:tcPr>
            <w:tcW w:w="1052" w:type="dxa"/>
            <w:tcBorders>
              <w:top w:val="single" w:sz="8" w:space="0" w:color="auto"/>
              <w:left w:val="single" w:sz="4" w:space="0" w:color="auto"/>
              <w:bottom w:val="single" w:sz="8" w:space="0" w:color="auto"/>
              <w:right w:val="single" w:sz="8" w:space="0" w:color="auto"/>
            </w:tcBorders>
            <w:vAlign w:val="center"/>
          </w:tcPr>
          <w:p w14:paraId="543A645A" w14:textId="77777777" w:rsidR="00DD5BF0" w:rsidRPr="00B82E0C" w:rsidRDefault="00DD5BF0" w:rsidP="00DD5BF0">
            <w:pPr>
              <w:pStyle w:val="Tablehead"/>
            </w:pPr>
            <w:r w:rsidRPr="00B82E0C">
              <w:t>2024</w:t>
            </w:r>
          </w:p>
        </w:tc>
      </w:tr>
      <w:tr w:rsidR="00DD5BF0" w:rsidRPr="00B82E0C" w14:paraId="06EB1F69" w14:textId="77777777" w:rsidTr="003F33B2">
        <w:trPr>
          <w:trHeight w:val="480"/>
          <w:jc w:val="center"/>
        </w:trPr>
        <w:tc>
          <w:tcPr>
            <w:tcW w:w="1833" w:type="dxa"/>
            <w:tcBorders>
              <w:top w:val="nil"/>
              <w:left w:val="single" w:sz="8" w:space="0" w:color="auto"/>
              <w:bottom w:val="nil"/>
              <w:right w:val="single" w:sz="4" w:space="0" w:color="auto"/>
            </w:tcBorders>
            <w:shd w:val="clear" w:color="auto" w:fill="auto"/>
            <w:vAlign w:val="center"/>
            <w:hideMark/>
          </w:tcPr>
          <w:p w14:paraId="39DD7082" w14:textId="77777777" w:rsidR="00DD5BF0" w:rsidRPr="00B82E0C" w:rsidRDefault="00DD5BF0" w:rsidP="00DD5BF0">
            <w:pPr>
              <w:pStyle w:val="Tabletext"/>
            </w:pPr>
            <w:r w:rsidRPr="00B82E0C">
              <w:t>Tasa de descuento</w:t>
            </w:r>
          </w:p>
        </w:tc>
        <w:tc>
          <w:tcPr>
            <w:tcW w:w="1050" w:type="dxa"/>
            <w:tcBorders>
              <w:top w:val="nil"/>
              <w:left w:val="nil"/>
              <w:bottom w:val="nil"/>
              <w:right w:val="single" w:sz="8" w:space="0" w:color="auto"/>
            </w:tcBorders>
            <w:shd w:val="clear" w:color="auto" w:fill="auto"/>
            <w:noWrap/>
            <w:vAlign w:val="center"/>
            <w:hideMark/>
          </w:tcPr>
          <w:p w14:paraId="7F31EB23" w14:textId="5E49AB22" w:rsidR="00DD5BF0" w:rsidRPr="00B82E0C" w:rsidRDefault="00DD5BF0" w:rsidP="00DD5BF0">
            <w:pPr>
              <w:pStyle w:val="Tabletext"/>
              <w:jc w:val="center"/>
            </w:pPr>
            <w:r w:rsidRPr="00B82E0C">
              <w:t>1,20</w:t>
            </w:r>
            <w:r w:rsidR="00F54CD5" w:rsidRPr="00B82E0C">
              <w:t> </w:t>
            </w:r>
            <w:r w:rsidRPr="00B82E0C">
              <w:t>%</w:t>
            </w:r>
          </w:p>
        </w:tc>
        <w:tc>
          <w:tcPr>
            <w:tcW w:w="1050" w:type="dxa"/>
            <w:tcBorders>
              <w:top w:val="nil"/>
              <w:left w:val="nil"/>
              <w:bottom w:val="nil"/>
              <w:right w:val="single" w:sz="8" w:space="0" w:color="auto"/>
            </w:tcBorders>
            <w:shd w:val="clear" w:color="auto" w:fill="auto"/>
            <w:noWrap/>
            <w:vAlign w:val="center"/>
            <w:hideMark/>
          </w:tcPr>
          <w:p w14:paraId="39169B98" w14:textId="2E7AB4A3" w:rsidR="00DD5BF0" w:rsidRPr="00B82E0C" w:rsidRDefault="00DD5BF0" w:rsidP="00DD5BF0">
            <w:pPr>
              <w:pStyle w:val="Tabletext"/>
              <w:jc w:val="center"/>
            </w:pPr>
            <w:r w:rsidRPr="00B82E0C">
              <w:t>0,60</w:t>
            </w:r>
            <w:r w:rsidR="00F54CD5" w:rsidRPr="00B82E0C">
              <w:t> </w:t>
            </w:r>
            <w:r w:rsidRPr="00B82E0C">
              <w:t>%</w:t>
            </w:r>
          </w:p>
        </w:tc>
        <w:tc>
          <w:tcPr>
            <w:tcW w:w="1051" w:type="dxa"/>
            <w:tcBorders>
              <w:top w:val="nil"/>
              <w:left w:val="nil"/>
              <w:bottom w:val="nil"/>
              <w:right w:val="single" w:sz="8" w:space="0" w:color="auto"/>
            </w:tcBorders>
            <w:shd w:val="clear" w:color="auto" w:fill="auto"/>
            <w:noWrap/>
            <w:vAlign w:val="center"/>
            <w:hideMark/>
          </w:tcPr>
          <w:p w14:paraId="335BF60E" w14:textId="7A8BEC38" w:rsidR="00DD5BF0" w:rsidRPr="00B82E0C" w:rsidRDefault="00DD5BF0" w:rsidP="00DD5BF0">
            <w:pPr>
              <w:pStyle w:val="Tabletext"/>
              <w:jc w:val="center"/>
            </w:pPr>
            <w:r w:rsidRPr="00B82E0C">
              <w:t>0,20</w:t>
            </w:r>
            <w:r w:rsidR="00F54CD5" w:rsidRPr="00B82E0C">
              <w:t> </w:t>
            </w:r>
            <w:r w:rsidRPr="00B82E0C">
              <w:t>%</w:t>
            </w:r>
          </w:p>
        </w:tc>
        <w:tc>
          <w:tcPr>
            <w:tcW w:w="1052" w:type="dxa"/>
            <w:tcBorders>
              <w:top w:val="nil"/>
              <w:left w:val="nil"/>
              <w:bottom w:val="nil"/>
              <w:right w:val="single" w:sz="8" w:space="0" w:color="auto"/>
            </w:tcBorders>
            <w:shd w:val="clear" w:color="auto" w:fill="auto"/>
            <w:noWrap/>
            <w:vAlign w:val="center"/>
            <w:hideMark/>
          </w:tcPr>
          <w:p w14:paraId="69FB36C6" w14:textId="3B62BEF0" w:rsidR="00DD5BF0" w:rsidRPr="00B82E0C" w:rsidRDefault="00DD5BF0" w:rsidP="00DD5BF0">
            <w:pPr>
              <w:pStyle w:val="Tabletext"/>
              <w:jc w:val="center"/>
            </w:pPr>
            <w:r w:rsidRPr="00B82E0C">
              <w:t>0,5</w:t>
            </w:r>
            <w:r w:rsidR="00F54CD5" w:rsidRPr="00B82E0C">
              <w:t>0 %</w:t>
            </w:r>
          </w:p>
        </w:tc>
        <w:tc>
          <w:tcPr>
            <w:tcW w:w="1051" w:type="dxa"/>
            <w:tcBorders>
              <w:top w:val="nil"/>
              <w:left w:val="nil"/>
              <w:bottom w:val="nil"/>
              <w:right w:val="single" w:sz="8" w:space="0" w:color="auto"/>
            </w:tcBorders>
            <w:vAlign w:val="center"/>
          </w:tcPr>
          <w:p w14:paraId="657132E7" w14:textId="7FF10380" w:rsidR="00DD5BF0" w:rsidRPr="00B82E0C" w:rsidRDefault="00DD5BF0" w:rsidP="00DD5BF0">
            <w:pPr>
              <w:pStyle w:val="Tabletext"/>
              <w:jc w:val="center"/>
            </w:pPr>
            <w:r w:rsidRPr="00B82E0C">
              <w:t>2,5</w:t>
            </w:r>
            <w:r w:rsidR="00F54CD5" w:rsidRPr="00B82E0C">
              <w:t>0 %</w:t>
            </w:r>
          </w:p>
        </w:tc>
        <w:tc>
          <w:tcPr>
            <w:tcW w:w="1051" w:type="dxa"/>
            <w:tcBorders>
              <w:top w:val="nil"/>
              <w:left w:val="nil"/>
              <w:bottom w:val="nil"/>
              <w:right w:val="single" w:sz="4" w:space="0" w:color="auto"/>
            </w:tcBorders>
            <w:vAlign w:val="center"/>
          </w:tcPr>
          <w:p w14:paraId="42BAB41D" w14:textId="5DC87495" w:rsidR="00DD5BF0" w:rsidRPr="00B82E0C" w:rsidRDefault="00DD5BF0" w:rsidP="00DD5BF0">
            <w:pPr>
              <w:pStyle w:val="Tabletext"/>
              <w:jc w:val="center"/>
            </w:pPr>
            <w:r w:rsidRPr="00B82E0C">
              <w:t>1,9</w:t>
            </w:r>
            <w:r w:rsidR="00F54CD5" w:rsidRPr="00B82E0C">
              <w:t>0 %</w:t>
            </w:r>
          </w:p>
        </w:tc>
        <w:tc>
          <w:tcPr>
            <w:tcW w:w="1052" w:type="dxa"/>
            <w:tcBorders>
              <w:top w:val="nil"/>
              <w:left w:val="single" w:sz="4" w:space="0" w:color="auto"/>
              <w:bottom w:val="nil"/>
              <w:right w:val="single" w:sz="8" w:space="0" w:color="auto"/>
            </w:tcBorders>
            <w:vAlign w:val="center"/>
          </w:tcPr>
          <w:p w14:paraId="0F9CA178" w14:textId="5BC287DC" w:rsidR="00DD5BF0" w:rsidRPr="00B82E0C" w:rsidRDefault="00DD5BF0" w:rsidP="00DD5BF0">
            <w:pPr>
              <w:pStyle w:val="Tabletext"/>
              <w:jc w:val="center"/>
            </w:pPr>
            <w:r w:rsidRPr="00B82E0C">
              <w:t>1,4</w:t>
            </w:r>
            <w:r w:rsidR="00F54CD5" w:rsidRPr="00B82E0C">
              <w:t>0 %</w:t>
            </w:r>
          </w:p>
        </w:tc>
      </w:tr>
      <w:tr w:rsidR="00DD5BF0" w:rsidRPr="00B82E0C" w14:paraId="79498D1E" w14:textId="77777777" w:rsidTr="003F33B2">
        <w:trPr>
          <w:trHeight w:val="420"/>
          <w:jc w:val="center"/>
        </w:trPr>
        <w:tc>
          <w:tcPr>
            <w:tcW w:w="1833" w:type="dxa"/>
            <w:tcBorders>
              <w:top w:val="nil"/>
              <w:left w:val="single" w:sz="8" w:space="0" w:color="auto"/>
              <w:right w:val="single" w:sz="4" w:space="0" w:color="auto"/>
            </w:tcBorders>
            <w:shd w:val="clear" w:color="auto" w:fill="auto"/>
            <w:vAlign w:val="center"/>
            <w:hideMark/>
          </w:tcPr>
          <w:p w14:paraId="0520B612" w14:textId="77777777" w:rsidR="00DD5BF0" w:rsidRPr="00B82E0C" w:rsidRDefault="00DD5BF0" w:rsidP="00DD5BF0">
            <w:pPr>
              <w:pStyle w:val="Tabletext"/>
            </w:pPr>
            <w:r w:rsidRPr="00B82E0C">
              <w:t>Aumento de los costes médicos</w:t>
            </w:r>
          </w:p>
        </w:tc>
        <w:tc>
          <w:tcPr>
            <w:tcW w:w="1050" w:type="dxa"/>
            <w:tcBorders>
              <w:top w:val="nil"/>
              <w:left w:val="nil"/>
              <w:bottom w:val="nil"/>
              <w:right w:val="single" w:sz="8" w:space="0" w:color="auto"/>
            </w:tcBorders>
            <w:shd w:val="clear" w:color="auto" w:fill="auto"/>
            <w:vAlign w:val="center"/>
            <w:hideMark/>
          </w:tcPr>
          <w:p w14:paraId="52F5897C" w14:textId="4B372220" w:rsidR="00DD5BF0" w:rsidRPr="00B82E0C" w:rsidRDefault="00DD5BF0" w:rsidP="00DD5BF0">
            <w:pPr>
              <w:pStyle w:val="Tabletext"/>
              <w:jc w:val="center"/>
            </w:pPr>
            <w:r w:rsidRPr="00B82E0C">
              <w:t>3,90</w:t>
            </w:r>
            <w:r w:rsidR="00F54CD5" w:rsidRPr="00B82E0C">
              <w:t> </w:t>
            </w:r>
            <w:r w:rsidRPr="00B82E0C">
              <w:t>%</w:t>
            </w:r>
          </w:p>
        </w:tc>
        <w:tc>
          <w:tcPr>
            <w:tcW w:w="1050" w:type="dxa"/>
            <w:tcBorders>
              <w:top w:val="nil"/>
              <w:left w:val="nil"/>
              <w:bottom w:val="nil"/>
              <w:right w:val="single" w:sz="8" w:space="0" w:color="auto"/>
            </w:tcBorders>
            <w:shd w:val="clear" w:color="auto" w:fill="auto"/>
            <w:vAlign w:val="center"/>
            <w:hideMark/>
          </w:tcPr>
          <w:p w14:paraId="30A835AF" w14:textId="3470A762" w:rsidR="00DD5BF0" w:rsidRPr="00B82E0C" w:rsidRDefault="00DD5BF0" w:rsidP="00DD5BF0">
            <w:pPr>
              <w:pStyle w:val="Tabletext"/>
              <w:jc w:val="center"/>
            </w:pPr>
            <w:r w:rsidRPr="00B82E0C">
              <w:t>3,00</w:t>
            </w:r>
            <w:r w:rsidR="00F54CD5" w:rsidRPr="00B82E0C">
              <w:t> </w:t>
            </w:r>
            <w:r w:rsidRPr="00B82E0C">
              <w:t>%</w:t>
            </w:r>
          </w:p>
        </w:tc>
        <w:tc>
          <w:tcPr>
            <w:tcW w:w="1051" w:type="dxa"/>
            <w:tcBorders>
              <w:top w:val="nil"/>
              <w:left w:val="nil"/>
              <w:bottom w:val="nil"/>
              <w:right w:val="single" w:sz="8" w:space="0" w:color="auto"/>
            </w:tcBorders>
            <w:shd w:val="clear" w:color="auto" w:fill="auto"/>
            <w:vAlign w:val="center"/>
            <w:hideMark/>
          </w:tcPr>
          <w:p w14:paraId="40205A08" w14:textId="64F228F0" w:rsidR="00DD5BF0" w:rsidRPr="00B82E0C" w:rsidRDefault="00DD5BF0" w:rsidP="00DD5BF0">
            <w:pPr>
              <w:pStyle w:val="Tabletext"/>
              <w:jc w:val="center"/>
            </w:pPr>
            <w:r w:rsidRPr="00B82E0C">
              <w:t>2,80</w:t>
            </w:r>
            <w:r w:rsidR="00F54CD5" w:rsidRPr="00B82E0C">
              <w:t> </w:t>
            </w:r>
            <w:r w:rsidRPr="00B82E0C">
              <w:t>%</w:t>
            </w:r>
          </w:p>
        </w:tc>
        <w:tc>
          <w:tcPr>
            <w:tcW w:w="1052" w:type="dxa"/>
            <w:tcBorders>
              <w:top w:val="nil"/>
              <w:left w:val="nil"/>
              <w:bottom w:val="nil"/>
              <w:right w:val="single" w:sz="8" w:space="0" w:color="auto"/>
            </w:tcBorders>
            <w:shd w:val="clear" w:color="auto" w:fill="auto"/>
            <w:vAlign w:val="center"/>
            <w:hideMark/>
          </w:tcPr>
          <w:p w14:paraId="342ACE7B" w14:textId="2B9AA6BC" w:rsidR="00DD5BF0" w:rsidRPr="00B82E0C" w:rsidRDefault="00DD5BF0" w:rsidP="00DD5BF0">
            <w:pPr>
              <w:pStyle w:val="Tabletext"/>
              <w:jc w:val="center"/>
            </w:pPr>
            <w:r w:rsidRPr="00B82E0C">
              <w:t>2,5</w:t>
            </w:r>
            <w:r w:rsidR="00F54CD5" w:rsidRPr="00B82E0C">
              <w:t>0 %</w:t>
            </w:r>
          </w:p>
        </w:tc>
        <w:tc>
          <w:tcPr>
            <w:tcW w:w="1051" w:type="dxa"/>
            <w:tcBorders>
              <w:top w:val="nil"/>
              <w:left w:val="nil"/>
              <w:bottom w:val="nil"/>
              <w:right w:val="single" w:sz="8" w:space="0" w:color="auto"/>
            </w:tcBorders>
            <w:vAlign w:val="center"/>
          </w:tcPr>
          <w:p w14:paraId="69401BE6" w14:textId="522B1C25" w:rsidR="00DD5BF0" w:rsidRPr="00B82E0C" w:rsidRDefault="00DD5BF0" w:rsidP="00DD5BF0">
            <w:pPr>
              <w:pStyle w:val="Tabletext"/>
              <w:jc w:val="center"/>
            </w:pPr>
            <w:r w:rsidRPr="00B82E0C">
              <w:t>2,8</w:t>
            </w:r>
            <w:r w:rsidR="00F54CD5" w:rsidRPr="00B82E0C">
              <w:t>0 %</w:t>
            </w:r>
          </w:p>
        </w:tc>
        <w:tc>
          <w:tcPr>
            <w:tcW w:w="1051" w:type="dxa"/>
            <w:tcBorders>
              <w:top w:val="nil"/>
              <w:left w:val="nil"/>
              <w:bottom w:val="nil"/>
              <w:right w:val="single" w:sz="4" w:space="0" w:color="auto"/>
            </w:tcBorders>
            <w:vAlign w:val="center"/>
          </w:tcPr>
          <w:p w14:paraId="5B7B30E0" w14:textId="69C76C1E" w:rsidR="00DD5BF0" w:rsidRPr="00B82E0C" w:rsidRDefault="00DD5BF0" w:rsidP="00DD5BF0">
            <w:pPr>
              <w:pStyle w:val="Tabletext"/>
              <w:jc w:val="center"/>
            </w:pPr>
            <w:r w:rsidRPr="00B82E0C">
              <w:t>2,6</w:t>
            </w:r>
            <w:r w:rsidR="00F54CD5" w:rsidRPr="00B82E0C">
              <w:t>0 %</w:t>
            </w:r>
          </w:p>
        </w:tc>
        <w:tc>
          <w:tcPr>
            <w:tcW w:w="1052" w:type="dxa"/>
            <w:tcBorders>
              <w:top w:val="nil"/>
              <w:left w:val="single" w:sz="4" w:space="0" w:color="auto"/>
              <w:bottom w:val="nil"/>
              <w:right w:val="single" w:sz="8" w:space="0" w:color="auto"/>
            </w:tcBorders>
            <w:vAlign w:val="center"/>
          </w:tcPr>
          <w:p w14:paraId="200EF7EA" w14:textId="60A4DF05" w:rsidR="00DD5BF0" w:rsidRPr="00B82E0C" w:rsidRDefault="00DD5BF0" w:rsidP="00DD5BF0">
            <w:pPr>
              <w:pStyle w:val="Tabletext"/>
              <w:jc w:val="center"/>
            </w:pPr>
            <w:r w:rsidRPr="00B82E0C">
              <w:t>2,4</w:t>
            </w:r>
            <w:r w:rsidR="00F54CD5" w:rsidRPr="00B82E0C">
              <w:t>0 %</w:t>
            </w:r>
          </w:p>
        </w:tc>
      </w:tr>
      <w:tr w:rsidR="00DD5BF0" w:rsidRPr="00B82E0C" w14:paraId="3C4A92D3" w14:textId="77777777" w:rsidTr="003F33B2">
        <w:trPr>
          <w:trHeight w:val="420"/>
          <w:jc w:val="center"/>
        </w:trPr>
        <w:tc>
          <w:tcPr>
            <w:tcW w:w="1833" w:type="dxa"/>
            <w:tcBorders>
              <w:top w:val="nil"/>
              <w:left w:val="single" w:sz="8" w:space="0" w:color="auto"/>
              <w:right w:val="single" w:sz="4" w:space="0" w:color="auto"/>
            </w:tcBorders>
            <w:shd w:val="clear" w:color="auto" w:fill="auto"/>
            <w:hideMark/>
          </w:tcPr>
          <w:p w14:paraId="15B7B22F" w14:textId="77777777" w:rsidR="00DD5BF0" w:rsidRPr="00B82E0C" w:rsidRDefault="00DD5BF0" w:rsidP="00DD5BF0">
            <w:pPr>
              <w:pStyle w:val="Tabletext"/>
            </w:pPr>
            <w:r w:rsidRPr="00B82E0C">
              <w:t>Aumento de los salarios</w:t>
            </w:r>
          </w:p>
        </w:tc>
        <w:tc>
          <w:tcPr>
            <w:tcW w:w="1050" w:type="dxa"/>
            <w:tcBorders>
              <w:top w:val="nil"/>
              <w:left w:val="nil"/>
              <w:bottom w:val="nil"/>
              <w:right w:val="single" w:sz="8" w:space="0" w:color="auto"/>
            </w:tcBorders>
            <w:shd w:val="clear" w:color="auto" w:fill="auto"/>
            <w:vAlign w:val="center"/>
            <w:hideMark/>
          </w:tcPr>
          <w:p w14:paraId="433B7956" w14:textId="1D24F93F" w:rsidR="00DD5BF0" w:rsidRPr="00B82E0C" w:rsidRDefault="00DD5BF0" w:rsidP="00DD5BF0">
            <w:pPr>
              <w:pStyle w:val="Tabletext"/>
              <w:jc w:val="center"/>
            </w:pPr>
            <w:r w:rsidRPr="00B82E0C">
              <w:t>3,50</w:t>
            </w:r>
            <w:r w:rsidR="00F54CD5" w:rsidRPr="00B82E0C">
              <w:t> </w:t>
            </w:r>
            <w:r w:rsidRPr="00B82E0C">
              <w:t>%</w:t>
            </w:r>
          </w:p>
        </w:tc>
        <w:tc>
          <w:tcPr>
            <w:tcW w:w="1050" w:type="dxa"/>
            <w:tcBorders>
              <w:top w:val="nil"/>
              <w:left w:val="nil"/>
              <w:bottom w:val="nil"/>
              <w:right w:val="single" w:sz="8" w:space="0" w:color="auto"/>
            </w:tcBorders>
            <w:shd w:val="clear" w:color="auto" w:fill="auto"/>
            <w:vAlign w:val="center"/>
            <w:hideMark/>
          </w:tcPr>
          <w:p w14:paraId="5BAA9DED" w14:textId="60D23018" w:rsidR="00DD5BF0" w:rsidRPr="00B82E0C" w:rsidRDefault="00DD5BF0" w:rsidP="00DD5BF0">
            <w:pPr>
              <w:pStyle w:val="Tabletext"/>
              <w:jc w:val="center"/>
            </w:pPr>
            <w:r w:rsidRPr="00B82E0C">
              <w:t>3,00</w:t>
            </w:r>
            <w:r w:rsidR="00F54CD5" w:rsidRPr="00B82E0C">
              <w:t> </w:t>
            </w:r>
            <w:r w:rsidRPr="00B82E0C">
              <w:t>%</w:t>
            </w:r>
          </w:p>
        </w:tc>
        <w:tc>
          <w:tcPr>
            <w:tcW w:w="1051" w:type="dxa"/>
            <w:tcBorders>
              <w:top w:val="nil"/>
              <w:left w:val="nil"/>
              <w:bottom w:val="nil"/>
              <w:right w:val="single" w:sz="8" w:space="0" w:color="auto"/>
            </w:tcBorders>
            <w:shd w:val="clear" w:color="auto" w:fill="auto"/>
            <w:vAlign w:val="center"/>
            <w:hideMark/>
          </w:tcPr>
          <w:p w14:paraId="3B796417" w14:textId="39195E1F" w:rsidR="00DD5BF0" w:rsidRPr="00B82E0C" w:rsidRDefault="00DD5BF0" w:rsidP="00DD5BF0">
            <w:pPr>
              <w:pStyle w:val="Tabletext"/>
              <w:jc w:val="center"/>
            </w:pPr>
            <w:r w:rsidRPr="00B82E0C">
              <w:t>3,00</w:t>
            </w:r>
            <w:r w:rsidR="00F54CD5" w:rsidRPr="00B82E0C">
              <w:t> </w:t>
            </w:r>
            <w:r w:rsidRPr="00B82E0C">
              <w:t>%</w:t>
            </w:r>
          </w:p>
        </w:tc>
        <w:tc>
          <w:tcPr>
            <w:tcW w:w="1052" w:type="dxa"/>
            <w:tcBorders>
              <w:top w:val="nil"/>
              <w:left w:val="nil"/>
              <w:bottom w:val="nil"/>
              <w:right w:val="single" w:sz="8" w:space="0" w:color="auto"/>
            </w:tcBorders>
            <w:shd w:val="clear" w:color="auto" w:fill="auto"/>
            <w:vAlign w:val="center"/>
            <w:hideMark/>
          </w:tcPr>
          <w:p w14:paraId="3B019BC6" w14:textId="705859E3" w:rsidR="00DD5BF0" w:rsidRPr="00B82E0C" w:rsidRDefault="00DD5BF0" w:rsidP="00DD5BF0">
            <w:pPr>
              <w:pStyle w:val="Tabletext"/>
              <w:jc w:val="center"/>
            </w:pPr>
            <w:r w:rsidRPr="00B82E0C">
              <w:t>3,0</w:t>
            </w:r>
            <w:r w:rsidR="00F54CD5" w:rsidRPr="00B82E0C">
              <w:t>0 %</w:t>
            </w:r>
          </w:p>
        </w:tc>
        <w:tc>
          <w:tcPr>
            <w:tcW w:w="1051" w:type="dxa"/>
            <w:tcBorders>
              <w:top w:val="nil"/>
              <w:left w:val="nil"/>
              <w:bottom w:val="nil"/>
              <w:right w:val="single" w:sz="8" w:space="0" w:color="auto"/>
            </w:tcBorders>
            <w:vAlign w:val="center"/>
          </w:tcPr>
          <w:p w14:paraId="47C1D777" w14:textId="4C084551" w:rsidR="00DD5BF0" w:rsidRPr="00B82E0C" w:rsidRDefault="00DD5BF0" w:rsidP="00DD5BF0">
            <w:pPr>
              <w:pStyle w:val="Tabletext"/>
              <w:jc w:val="center"/>
            </w:pPr>
            <w:r w:rsidRPr="00B82E0C">
              <w:t>3,0</w:t>
            </w:r>
            <w:r w:rsidR="00F54CD5" w:rsidRPr="00B82E0C">
              <w:t>0 %</w:t>
            </w:r>
          </w:p>
        </w:tc>
        <w:tc>
          <w:tcPr>
            <w:tcW w:w="1051" w:type="dxa"/>
            <w:tcBorders>
              <w:top w:val="nil"/>
              <w:left w:val="nil"/>
              <w:bottom w:val="nil"/>
              <w:right w:val="single" w:sz="4" w:space="0" w:color="auto"/>
            </w:tcBorders>
            <w:vAlign w:val="center"/>
          </w:tcPr>
          <w:p w14:paraId="7273D694" w14:textId="7078C043" w:rsidR="00DD5BF0" w:rsidRPr="00B82E0C" w:rsidRDefault="00DD5BF0" w:rsidP="00DD5BF0">
            <w:pPr>
              <w:pStyle w:val="Tabletext"/>
              <w:jc w:val="center"/>
            </w:pPr>
            <w:r w:rsidRPr="00B82E0C">
              <w:t>3,1</w:t>
            </w:r>
            <w:r w:rsidR="00F54CD5" w:rsidRPr="00B82E0C">
              <w:t>0 %</w:t>
            </w:r>
          </w:p>
        </w:tc>
        <w:tc>
          <w:tcPr>
            <w:tcW w:w="1052" w:type="dxa"/>
            <w:tcBorders>
              <w:top w:val="nil"/>
              <w:left w:val="single" w:sz="4" w:space="0" w:color="auto"/>
              <w:bottom w:val="nil"/>
              <w:right w:val="single" w:sz="8" w:space="0" w:color="auto"/>
            </w:tcBorders>
            <w:vAlign w:val="center"/>
          </w:tcPr>
          <w:p w14:paraId="60FBF09D" w14:textId="0FEA6682" w:rsidR="00DD5BF0" w:rsidRPr="00B82E0C" w:rsidRDefault="00DD5BF0" w:rsidP="00DD5BF0">
            <w:pPr>
              <w:pStyle w:val="Tabletext"/>
              <w:jc w:val="center"/>
            </w:pPr>
            <w:r w:rsidRPr="00B82E0C">
              <w:t>3,1</w:t>
            </w:r>
            <w:r w:rsidR="00F54CD5" w:rsidRPr="00B82E0C">
              <w:t>0 %</w:t>
            </w:r>
          </w:p>
        </w:tc>
      </w:tr>
      <w:tr w:rsidR="00DD5BF0" w:rsidRPr="00B82E0C" w14:paraId="3F0304A9" w14:textId="77777777" w:rsidTr="003F33B2">
        <w:trPr>
          <w:trHeight w:val="345"/>
          <w:jc w:val="center"/>
        </w:trPr>
        <w:tc>
          <w:tcPr>
            <w:tcW w:w="1833" w:type="dxa"/>
            <w:tcBorders>
              <w:left w:val="single" w:sz="8" w:space="0" w:color="auto"/>
              <w:bottom w:val="single" w:sz="8" w:space="0" w:color="000000"/>
              <w:right w:val="single" w:sz="4" w:space="0" w:color="auto"/>
            </w:tcBorders>
            <w:shd w:val="clear" w:color="auto" w:fill="auto"/>
            <w:vAlign w:val="center"/>
            <w:hideMark/>
          </w:tcPr>
          <w:p w14:paraId="13EF6FB0" w14:textId="77777777" w:rsidR="00DD5BF0" w:rsidRPr="00B82E0C" w:rsidRDefault="00DD5BF0" w:rsidP="00DD5BF0">
            <w:pPr>
              <w:pStyle w:val="Tabletext"/>
            </w:pPr>
            <w:r w:rsidRPr="00B82E0C">
              <w:t xml:space="preserve">Pasivo del </w:t>
            </w:r>
            <w:proofErr w:type="spellStart"/>
            <w:r w:rsidRPr="00B82E0C">
              <w:t>ASHI</w:t>
            </w:r>
            <w:proofErr w:type="spellEnd"/>
            <w:r w:rsidRPr="00B82E0C">
              <w:t xml:space="preserve"> al final del ejercicio</w:t>
            </w:r>
          </w:p>
        </w:tc>
        <w:tc>
          <w:tcPr>
            <w:tcW w:w="1050" w:type="dxa"/>
            <w:tcBorders>
              <w:top w:val="nil"/>
              <w:left w:val="nil"/>
              <w:bottom w:val="single" w:sz="8" w:space="0" w:color="auto"/>
              <w:right w:val="single" w:sz="8" w:space="0" w:color="auto"/>
            </w:tcBorders>
            <w:shd w:val="clear" w:color="auto" w:fill="auto"/>
            <w:vAlign w:val="center"/>
            <w:hideMark/>
          </w:tcPr>
          <w:p w14:paraId="639C6DE7" w14:textId="77777777" w:rsidR="00DD5BF0" w:rsidRPr="00B82E0C" w:rsidRDefault="00DD5BF0" w:rsidP="00DD5BF0">
            <w:pPr>
              <w:pStyle w:val="Tabletext"/>
              <w:jc w:val="center"/>
            </w:pPr>
            <w:r w:rsidRPr="00B82E0C">
              <w:t>552 240</w:t>
            </w:r>
          </w:p>
        </w:tc>
        <w:tc>
          <w:tcPr>
            <w:tcW w:w="1050" w:type="dxa"/>
            <w:tcBorders>
              <w:top w:val="nil"/>
              <w:left w:val="nil"/>
              <w:bottom w:val="single" w:sz="8" w:space="0" w:color="auto"/>
              <w:right w:val="single" w:sz="8" w:space="0" w:color="auto"/>
            </w:tcBorders>
            <w:shd w:val="clear" w:color="auto" w:fill="auto"/>
            <w:vAlign w:val="center"/>
            <w:hideMark/>
          </w:tcPr>
          <w:p w14:paraId="03313540" w14:textId="77777777" w:rsidR="00DD5BF0" w:rsidRPr="00B82E0C" w:rsidRDefault="00DD5BF0" w:rsidP="00DD5BF0">
            <w:pPr>
              <w:pStyle w:val="Tabletext"/>
              <w:jc w:val="center"/>
            </w:pPr>
            <w:r w:rsidRPr="00B82E0C">
              <w:t>611 896</w:t>
            </w:r>
          </w:p>
        </w:tc>
        <w:tc>
          <w:tcPr>
            <w:tcW w:w="1051" w:type="dxa"/>
            <w:tcBorders>
              <w:top w:val="nil"/>
              <w:left w:val="nil"/>
              <w:bottom w:val="single" w:sz="8" w:space="0" w:color="auto"/>
              <w:right w:val="single" w:sz="8" w:space="0" w:color="auto"/>
            </w:tcBorders>
            <w:shd w:val="clear" w:color="auto" w:fill="auto"/>
            <w:vAlign w:val="center"/>
            <w:hideMark/>
          </w:tcPr>
          <w:p w14:paraId="11D4952B" w14:textId="77777777" w:rsidR="00DD5BF0" w:rsidRPr="00B82E0C" w:rsidRDefault="00DD5BF0" w:rsidP="00DD5BF0">
            <w:pPr>
              <w:pStyle w:val="Tabletext"/>
              <w:jc w:val="center"/>
            </w:pPr>
            <w:r w:rsidRPr="00B82E0C">
              <w:t>631 870</w:t>
            </w:r>
          </w:p>
        </w:tc>
        <w:tc>
          <w:tcPr>
            <w:tcW w:w="1052" w:type="dxa"/>
            <w:tcBorders>
              <w:top w:val="nil"/>
              <w:left w:val="nil"/>
              <w:bottom w:val="single" w:sz="8" w:space="0" w:color="auto"/>
              <w:right w:val="single" w:sz="8" w:space="0" w:color="auto"/>
            </w:tcBorders>
            <w:shd w:val="clear" w:color="auto" w:fill="auto"/>
            <w:noWrap/>
            <w:vAlign w:val="center"/>
            <w:hideMark/>
          </w:tcPr>
          <w:p w14:paraId="236B5FF4" w14:textId="77777777" w:rsidR="00DD5BF0" w:rsidRPr="00B82E0C" w:rsidRDefault="00DD5BF0" w:rsidP="00DD5BF0">
            <w:pPr>
              <w:pStyle w:val="Tabletext"/>
              <w:jc w:val="center"/>
            </w:pPr>
            <w:r w:rsidRPr="00B82E0C">
              <w:t>564 636</w:t>
            </w:r>
          </w:p>
        </w:tc>
        <w:tc>
          <w:tcPr>
            <w:tcW w:w="1051" w:type="dxa"/>
            <w:tcBorders>
              <w:top w:val="nil"/>
              <w:left w:val="nil"/>
              <w:bottom w:val="single" w:sz="8" w:space="0" w:color="auto"/>
              <w:right w:val="single" w:sz="8" w:space="0" w:color="auto"/>
            </w:tcBorders>
            <w:vAlign w:val="center"/>
          </w:tcPr>
          <w:p w14:paraId="694CC923" w14:textId="77777777" w:rsidR="00DD5BF0" w:rsidRPr="00B82E0C" w:rsidRDefault="00DD5BF0" w:rsidP="00DD5BF0">
            <w:pPr>
              <w:pStyle w:val="Tabletext"/>
              <w:jc w:val="center"/>
            </w:pPr>
            <w:r w:rsidRPr="00B82E0C">
              <w:t>344 102</w:t>
            </w:r>
          </w:p>
        </w:tc>
        <w:tc>
          <w:tcPr>
            <w:tcW w:w="1051" w:type="dxa"/>
            <w:tcBorders>
              <w:top w:val="nil"/>
              <w:left w:val="nil"/>
              <w:bottom w:val="single" w:sz="8" w:space="0" w:color="auto"/>
              <w:right w:val="single" w:sz="4" w:space="0" w:color="auto"/>
            </w:tcBorders>
            <w:vAlign w:val="center"/>
          </w:tcPr>
          <w:p w14:paraId="41CD3814" w14:textId="77777777" w:rsidR="00DD5BF0" w:rsidRPr="00B82E0C" w:rsidRDefault="00DD5BF0" w:rsidP="00DD5BF0">
            <w:pPr>
              <w:pStyle w:val="Tabletext"/>
              <w:jc w:val="center"/>
            </w:pPr>
            <w:r w:rsidRPr="00B82E0C">
              <w:t>375 271</w:t>
            </w:r>
          </w:p>
        </w:tc>
        <w:tc>
          <w:tcPr>
            <w:tcW w:w="1052" w:type="dxa"/>
            <w:tcBorders>
              <w:top w:val="nil"/>
              <w:left w:val="single" w:sz="4" w:space="0" w:color="auto"/>
              <w:bottom w:val="single" w:sz="8" w:space="0" w:color="auto"/>
              <w:right w:val="single" w:sz="8" w:space="0" w:color="auto"/>
            </w:tcBorders>
            <w:vAlign w:val="center"/>
          </w:tcPr>
          <w:p w14:paraId="78ED3479" w14:textId="77777777" w:rsidR="00DD5BF0" w:rsidRPr="00B82E0C" w:rsidRDefault="00DD5BF0" w:rsidP="00DD5BF0">
            <w:pPr>
              <w:pStyle w:val="Tabletext"/>
              <w:jc w:val="center"/>
            </w:pPr>
            <w:r w:rsidRPr="00B82E0C">
              <w:t>415 835</w:t>
            </w:r>
          </w:p>
        </w:tc>
      </w:tr>
    </w:tbl>
    <w:p w14:paraId="52DA421F" w14:textId="77777777" w:rsidR="00DD5BF0" w:rsidRPr="00B82E0C" w:rsidRDefault="00DD5BF0" w:rsidP="00DD5BF0">
      <w:pPr>
        <w:pStyle w:val="Heading1"/>
      </w:pPr>
      <w:r w:rsidRPr="00B82E0C">
        <w:t>4</w:t>
      </w:r>
      <w:r w:rsidRPr="00B82E0C">
        <w:tab/>
        <w:t>Medidas adoptadas</w:t>
      </w:r>
    </w:p>
    <w:p w14:paraId="1A278864" w14:textId="77777777" w:rsidR="00DD5BF0" w:rsidRPr="00B82E0C" w:rsidRDefault="00DD5BF0" w:rsidP="00061B90">
      <w:pPr>
        <w:jc w:val="both"/>
      </w:pPr>
      <w:r w:rsidRPr="00B82E0C">
        <w:t>4.1</w:t>
      </w:r>
      <w:r w:rsidRPr="00B82E0C">
        <w:tab/>
        <w:t xml:space="preserve">Desde 2010 la financiación del pasivo actuarial del </w:t>
      </w:r>
      <w:proofErr w:type="spellStart"/>
      <w:r w:rsidRPr="00B82E0C">
        <w:t>ASHI</w:t>
      </w:r>
      <w:proofErr w:type="spellEnd"/>
      <w:r w:rsidRPr="00B82E0C">
        <w:t xml:space="preserve"> ha sido objeto de preocupación. Se han adoptado medidas para garantizar la financiación constante de las prestaciones del seguro médico sobre la base de los ingresos corrientes, así como la financiación a largo plazo del pasivo del </w:t>
      </w:r>
      <w:proofErr w:type="spellStart"/>
      <w:r w:rsidRPr="00B82E0C">
        <w:t>ASHI</w:t>
      </w:r>
      <w:proofErr w:type="spellEnd"/>
      <w:r w:rsidRPr="00B82E0C">
        <w:t xml:space="preserve"> acumulado.</w:t>
      </w:r>
    </w:p>
    <w:p w14:paraId="79A811BB" w14:textId="77777777" w:rsidR="00DD5BF0" w:rsidRPr="00B82E0C" w:rsidRDefault="00DD5BF0" w:rsidP="00061B90">
      <w:pPr>
        <w:jc w:val="both"/>
      </w:pPr>
      <w:r w:rsidRPr="00B82E0C">
        <w:t>4.2</w:t>
      </w:r>
      <w:r w:rsidRPr="00B82E0C">
        <w:tab/>
        <w:t>Cabe señalar que la estimación de las contribuciones de la UIT al seguro médico para los funcionarios en activo y jubilados se incluye en el presupuesto bienal presentado al Consejo.</w:t>
      </w:r>
    </w:p>
    <w:p w14:paraId="3FBD35FC" w14:textId="77777777" w:rsidR="00DD5BF0" w:rsidRPr="00B82E0C" w:rsidRDefault="00DD5BF0" w:rsidP="00DD5BF0">
      <w:pPr>
        <w:pStyle w:val="Headingb"/>
      </w:pPr>
      <w:r w:rsidRPr="00B82E0C">
        <w:t xml:space="preserve">Creación de fondos para la financiación a largo plazo del pasivo actuarial del </w:t>
      </w:r>
      <w:proofErr w:type="spellStart"/>
      <w:r w:rsidRPr="00B82E0C">
        <w:t>ASHI</w:t>
      </w:r>
      <w:proofErr w:type="spellEnd"/>
    </w:p>
    <w:p w14:paraId="58CCD28C" w14:textId="77777777" w:rsidR="00DD5BF0" w:rsidRPr="00B82E0C" w:rsidRDefault="00DD5BF0" w:rsidP="00061B90">
      <w:pPr>
        <w:jc w:val="both"/>
      </w:pPr>
      <w:r w:rsidRPr="00B82E0C">
        <w:t>4.3</w:t>
      </w:r>
      <w:r w:rsidRPr="00B82E0C">
        <w:tab/>
        <w:t xml:space="preserve">Al 31 de diciembre de 2024, el Fondo </w:t>
      </w:r>
      <w:proofErr w:type="spellStart"/>
      <w:r w:rsidRPr="00B82E0C">
        <w:t>ASHI</w:t>
      </w:r>
      <w:proofErr w:type="spellEnd"/>
      <w:r w:rsidRPr="00B82E0C">
        <w:t xml:space="preserve"> ascendía a 15 millones CHF. Desde su creación en 2013, se han aportado al fondo 9 millones CHF de conformidad con diversas Resoluciones presupuestarias, y otros 6 millones CHF procedentes del superávit de la ejecución presupuestaria.</w:t>
      </w:r>
    </w:p>
    <w:p w14:paraId="44B62212" w14:textId="77777777" w:rsidR="00DD5BF0" w:rsidRPr="00B82E0C" w:rsidRDefault="00DD5BF0" w:rsidP="00061B90">
      <w:pPr>
        <w:jc w:val="both"/>
      </w:pPr>
      <w:r w:rsidRPr="00B82E0C">
        <w:t>4.4</w:t>
      </w:r>
      <w:r w:rsidRPr="00B82E0C">
        <w:tab/>
        <w:t xml:space="preserve">La magnitud de las obligaciones del </w:t>
      </w:r>
      <w:proofErr w:type="spellStart"/>
      <w:r w:rsidRPr="00B82E0C">
        <w:t>ASHI</w:t>
      </w:r>
      <w:proofErr w:type="spellEnd"/>
      <w:r w:rsidRPr="00B82E0C">
        <w:t xml:space="preserve"> y las actuales restricciones presupuestarias no permiten por ahora financiar más rápido las obligaciones del </w:t>
      </w:r>
      <w:proofErr w:type="spellStart"/>
      <w:r w:rsidRPr="00B82E0C">
        <w:t>ASHI</w:t>
      </w:r>
      <w:proofErr w:type="spellEnd"/>
      <w:r w:rsidRPr="00B82E0C">
        <w:t xml:space="preserve">. Por consiguiente, la evolución del pasivo del </w:t>
      </w:r>
      <w:proofErr w:type="spellStart"/>
      <w:r w:rsidRPr="00B82E0C">
        <w:t>ASHI</w:t>
      </w:r>
      <w:proofErr w:type="spellEnd"/>
      <w:r w:rsidRPr="00B82E0C">
        <w:t xml:space="preserve"> seguirá vigilándose de cerca.</w:t>
      </w:r>
    </w:p>
    <w:p w14:paraId="1A45E4E2" w14:textId="77777777" w:rsidR="00DD5BF0" w:rsidRPr="00B82E0C" w:rsidRDefault="00DD5BF0" w:rsidP="00061B90">
      <w:pPr>
        <w:jc w:val="both"/>
      </w:pPr>
      <w:r w:rsidRPr="00B82E0C">
        <w:t>4.5</w:t>
      </w:r>
      <w:r w:rsidRPr="00B82E0C">
        <w:tab/>
        <w:t>A fin de ayudar a las organizaciones de las Naciones Unidas a financiar su pasivo a largo plazo, el Grupo de Trabajo Interinstitucional sobre el seguro médico posterior a la separación del servicio, creado por el Secretario General de las naciones Unidas, ha propuesto a la Asamblea General de las Naciones Unidas (</w:t>
      </w:r>
      <w:proofErr w:type="spellStart"/>
      <w:r w:rsidRPr="00B82E0C">
        <w:t>AGNU</w:t>
      </w:r>
      <w:proofErr w:type="spellEnd"/>
      <w:r w:rsidRPr="00B82E0C">
        <w:t>) la creación de una reserva financiera específica para cada organización, que se financiará mediante una contribución del 5,35 % de la masa salarial de los funcionarios contratados a partir del 1 de enero de 2022.</w:t>
      </w:r>
    </w:p>
    <w:p w14:paraId="066A6B80" w14:textId="77777777" w:rsidR="00DD5BF0" w:rsidRPr="00B82E0C" w:rsidRDefault="00DD5BF0" w:rsidP="00061B90">
      <w:pPr>
        <w:jc w:val="both"/>
      </w:pPr>
      <w:r w:rsidRPr="00B82E0C">
        <w:t>4.6</w:t>
      </w:r>
      <w:r w:rsidRPr="00B82E0C">
        <w:tab/>
        <w:t xml:space="preserve">Aún está pendiente una decisión final de la Asamblea General de las Naciones Unidas y la propuesta del Grupo de Trabajo no ha sido implementada. La DCI llevó a asimismo a cabo un examen del </w:t>
      </w:r>
      <w:proofErr w:type="spellStart"/>
      <w:r w:rsidRPr="00B82E0C">
        <w:t>ASHI</w:t>
      </w:r>
      <w:proofErr w:type="spellEnd"/>
      <w:r w:rsidRPr="00B82E0C">
        <w:t xml:space="preserve"> de todas las organizaciones de las naciones Unidas. Ese Informe contiene algunas recomendaciones relativas principalmente a la estrategia de financiación a largo plazo.</w:t>
      </w:r>
    </w:p>
    <w:p w14:paraId="3BAAC639" w14:textId="77777777" w:rsidR="00DD5BF0" w:rsidRPr="00B82E0C" w:rsidRDefault="00DD5BF0" w:rsidP="00DD5BF0">
      <w:pPr>
        <w:pStyle w:val="Heading1"/>
      </w:pPr>
      <w:r w:rsidRPr="00B82E0C">
        <w:lastRenderedPageBreak/>
        <w:t>5</w:t>
      </w:r>
      <w:r w:rsidRPr="00B82E0C">
        <w:tab/>
        <w:t>Conclusión</w:t>
      </w:r>
    </w:p>
    <w:p w14:paraId="21833F71" w14:textId="2E6B4878" w:rsidR="00DD5BF0" w:rsidRPr="00B82E0C" w:rsidRDefault="00DD5BF0" w:rsidP="00061B90">
      <w:pPr>
        <w:jc w:val="both"/>
      </w:pPr>
      <w:r w:rsidRPr="00B82E0C">
        <w:t>5.1</w:t>
      </w:r>
      <w:r w:rsidRPr="00B82E0C">
        <w:tab/>
        <w:t xml:space="preserve">Independientemente del plan médico, la financiación de las obligaciones del </w:t>
      </w:r>
      <w:proofErr w:type="spellStart"/>
      <w:r w:rsidRPr="00B82E0C">
        <w:t>ASHI</w:t>
      </w:r>
      <w:proofErr w:type="spellEnd"/>
      <w:r w:rsidRPr="00B82E0C">
        <w:t xml:space="preserve"> sigue siendo un problema para muchas organizaciones del sistema de las Naciones Unidas.</w:t>
      </w:r>
    </w:p>
    <w:p w14:paraId="43259782" w14:textId="4BA34C24" w:rsidR="00DD5BF0" w:rsidRPr="00B82E0C" w:rsidRDefault="00DD5BF0" w:rsidP="00061B90">
      <w:pPr>
        <w:jc w:val="both"/>
      </w:pPr>
      <w:bookmarkStart w:id="3" w:name="_Hlk38447710"/>
      <w:r w:rsidRPr="00B82E0C">
        <w:t>5.2</w:t>
      </w:r>
      <w:r w:rsidRPr="00B82E0C">
        <w:tab/>
      </w:r>
      <w:bookmarkEnd w:id="3"/>
      <w:r w:rsidRPr="00B82E0C">
        <w:t xml:space="preserve">Tras considerar detenidamente las recomendaciones formuladas por el Grupo de Trabajo del </w:t>
      </w:r>
      <w:proofErr w:type="spellStart"/>
      <w:r w:rsidRPr="00B82E0C">
        <w:t>ASHI</w:t>
      </w:r>
      <w:proofErr w:type="spellEnd"/>
      <w:r w:rsidRPr="00B82E0C">
        <w:t xml:space="preserve"> de las Naciones Unidas (creado en virtud de la Resolución A/RES/68/244 de la Asamblea General) y conforme a las recomendaciones formuladas por la DCI y el </w:t>
      </w:r>
      <w:proofErr w:type="spellStart"/>
      <w:r w:rsidRPr="00B82E0C">
        <w:t>CAIG</w:t>
      </w:r>
      <w:proofErr w:type="spellEnd"/>
      <w:r w:rsidRPr="00B82E0C">
        <w:t xml:space="preserve">, la Secretaria General de la UIT decidió abordar el problema de la financiación del pasivo del </w:t>
      </w:r>
      <w:proofErr w:type="spellStart"/>
      <w:r w:rsidRPr="00B82E0C">
        <w:t>ASHI</w:t>
      </w:r>
      <w:proofErr w:type="spellEnd"/>
      <w:r w:rsidRPr="00B82E0C">
        <w:t xml:space="preserve"> integrando en el próximo presupuesto un 5,35 % del sueldo base para el nuevo personal contratado a partir del 1 de enero de 2026.</w:t>
      </w:r>
    </w:p>
    <w:p w14:paraId="7508D81C" w14:textId="585897D0" w:rsidR="00F92BED" w:rsidRPr="00B82E0C" w:rsidRDefault="00DD5BF0" w:rsidP="00061B90">
      <w:pPr>
        <w:jc w:val="both"/>
      </w:pPr>
      <w:r w:rsidRPr="00B82E0C">
        <w:t xml:space="preserve">También cabe destacar que la aplicación de esta propuesta contribuiría a un enfoque más sostenible y fiscalmente responsable de la gestión del pasivo del </w:t>
      </w:r>
      <w:proofErr w:type="spellStart"/>
      <w:r w:rsidRPr="00B82E0C">
        <w:t>ASHI</w:t>
      </w:r>
      <w:proofErr w:type="spellEnd"/>
      <w:r w:rsidRPr="00B82E0C">
        <w:t>. Si bien la actual resolución presupuestaria suele asignar 1 millón CHF por bienio, el mecanismo revisado, basado en la participación del personal real, generaría aproximadamente</w:t>
      </w:r>
      <w:r w:rsidR="00B82E0C" w:rsidRPr="00B82E0C">
        <w:t xml:space="preserve"> </w:t>
      </w:r>
      <w:r w:rsidRPr="00B82E0C">
        <w:t>600 000 CHF por bienio. Esta reducción de</w:t>
      </w:r>
      <w:r w:rsidR="00B82E0C" w:rsidRPr="00B82E0C">
        <w:t xml:space="preserve"> </w:t>
      </w:r>
      <w:r w:rsidRPr="00B82E0C">
        <w:t>400 000 CHF refleja un ajuste más exacto entre la financiación y las recuperaciones reales, aumentando así la previsibilidad presupuestaria a largo plazo y mejorando la integridad de la financiación del pasivo a lo largo del tiempo.</w:t>
      </w:r>
    </w:p>
    <w:p w14:paraId="6F579E88" w14:textId="77777777" w:rsidR="00F92BED" w:rsidRPr="00B82E0C" w:rsidRDefault="00F92BED" w:rsidP="00DD5BF0"/>
    <w:p w14:paraId="0F69CB0F" w14:textId="77777777" w:rsidR="00F92BED" w:rsidRPr="00F92BED" w:rsidRDefault="00F92BED" w:rsidP="00DD5BF0">
      <w:pPr>
        <w:jc w:val="center"/>
      </w:pPr>
      <w:r w:rsidRPr="00B82E0C">
        <w:t>______________</w:t>
      </w:r>
    </w:p>
    <w:sectPr w:rsidR="00F92BED" w:rsidRPr="00F92BED"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92D7E" w14:textId="77777777" w:rsidR="00DD5BF0" w:rsidRDefault="00DD5BF0">
      <w:r>
        <w:separator/>
      </w:r>
    </w:p>
  </w:endnote>
  <w:endnote w:type="continuationSeparator" w:id="0">
    <w:p w14:paraId="041C83D3" w14:textId="77777777" w:rsidR="00DD5BF0" w:rsidRDefault="00D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B86BCCB" w14:textId="77777777" w:rsidTr="00E31DCE">
      <w:trPr>
        <w:jc w:val="center"/>
      </w:trPr>
      <w:tc>
        <w:tcPr>
          <w:tcW w:w="1803" w:type="dxa"/>
          <w:vAlign w:val="center"/>
        </w:tcPr>
        <w:p w14:paraId="40A58F0F" w14:textId="44C85B3F" w:rsidR="003273A4" w:rsidRDefault="002946E2" w:rsidP="006759C2">
          <w:pPr>
            <w:pStyle w:val="Header"/>
            <w:jc w:val="left"/>
            <w:rPr>
              <w:noProof/>
            </w:rPr>
          </w:pPr>
          <w:r>
            <w:rPr>
              <w:noProof/>
            </w:rPr>
            <w:t>gDoc</w:t>
          </w:r>
          <w:r w:rsidR="006759C2" w:rsidRPr="006759C2">
            <w:rPr>
              <w:noProof/>
            </w:rPr>
            <w:t>2500980</w:t>
          </w:r>
        </w:p>
      </w:tc>
      <w:tc>
        <w:tcPr>
          <w:tcW w:w="8261" w:type="dxa"/>
        </w:tcPr>
        <w:p w14:paraId="2A6E10C9" w14:textId="647E5C73"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6759C2">
            <w:rPr>
              <w:bCs/>
            </w:rPr>
            <w:t>46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B05A66A"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CD81391" w14:textId="77777777" w:rsidTr="00E31DCE">
      <w:trPr>
        <w:jc w:val="center"/>
      </w:trPr>
      <w:tc>
        <w:tcPr>
          <w:tcW w:w="1803" w:type="dxa"/>
          <w:vAlign w:val="center"/>
        </w:tcPr>
        <w:p w14:paraId="51DF3F7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C921FBA" w14:textId="3B435AF3"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DD5BF0">
            <w:rPr>
              <w:bCs/>
            </w:rPr>
            <w:t>46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587351DA"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FB778" w14:textId="77777777" w:rsidR="00DD5BF0" w:rsidRDefault="00DD5BF0">
      <w:r>
        <w:t>____________________</w:t>
      </w:r>
    </w:p>
  </w:footnote>
  <w:footnote w:type="continuationSeparator" w:id="0">
    <w:p w14:paraId="22C0D4DE" w14:textId="77777777" w:rsidR="00DD5BF0" w:rsidRDefault="00DD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6DDD7BBD" w14:textId="77777777" w:rsidTr="00666D09">
      <w:trPr>
        <w:trHeight w:val="1104"/>
        <w:jc w:val="center"/>
      </w:trPr>
      <w:tc>
        <w:tcPr>
          <w:tcW w:w="5998" w:type="dxa"/>
          <w:vAlign w:val="center"/>
        </w:tcPr>
        <w:p w14:paraId="37109741"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CFB9471" wp14:editId="7A7A804C">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12875BE8" w14:textId="77777777" w:rsidR="00666D09" w:rsidRDefault="00666D09" w:rsidP="001559F5">
          <w:pPr>
            <w:pStyle w:val="Header"/>
            <w:jc w:val="right"/>
            <w:rPr>
              <w:rFonts w:ascii="Arial" w:hAnsi="Arial" w:cs="Arial"/>
              <w:b/>
              <w:bCs/>
              <w:color w:val="009CD6"/>
              <w:szCs w:val="18"/>
            </w:rPr>
          </w:pPr>
        </w:p>
      </w:tc>
    </w:tr>
  </w:tbl>
  <w:p w14:paraId="64E10528"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98EE3A" wp14:editId="2DF80269">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416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F0"/>
    <w:rsid w:val="000007D1"/>
    <w:rsid w:val="0006007D"/>
    <w:rsid w:val="00061B90"/>
    <w:rsid w:val="00093EEB"/>
    <w:rsid w:val="000B0D00"/>
    <w:rsid w:val="000B7C15"/>
    <w:rsid w:val="000D1D0F"/>
    <w:rsid w:val="000E3F07"/>
    <w:rsid w:val="000F5290"/>
    <w:rsid w:val="0010165C"/>
    <w:rsid w:val="00123FCB"/>
    <w:rsid w:val="00146BFB"/>
    <w:rsid w:val="001559F5"/>
    <w:rsid w:val="00157AC4"/>
    <w:rsid w:val="0016169C"/>
    <w:rsid w:val="001B6E2B"/>
    <w:rsid w:val="001F14A2"/>
    <w:rsid w:val="00275632"/>
    <w:rsid w:val="002801AA"/>
    <w:rsid w:val="002946E2"/>
    <w:rsid w:val="002C3F32"/>
    <w:rsid w:val="002C4676"/>
    <w:rsid w:val="002C70B0"/>
    <w:rsid w:val="002F3CC4"/>
    <w:rsid w:val="003032E2"/>
    <w:rsid w:val="0031300A"/>
    <w:rsid w:val="003273A4"/>
    <w:rsid w:val="00334A84"/>
    <w:rsid w:val="0034796E"/>
    <w:rsid w:val="00473962"/>
    <w:rsid w:val="004B5D49"/>
    <w:rsid w:val="004D3A3C"/>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59C2"/>
    <w:rsid w:val="00677A97"/>
    <w:rsid w:val="006C1B56"/>
    <w:rsid w:val="006D4761"/>
    <w:rsid w:val="00726872"/>
    <w:rsid w:val="00760F1C"/>
    <w:rsid w:val="007657F0"/>
    <w:rsid w:val="0077110E"/>
    <w:rsid w:val="0077252D"/>
    <w:rsid w:val="007955DA"/>
    <w:rsid w:val="007E5DD3"/>
    <w:rsid w:val="007F350B"/>
    <w:rsid w:val="00820BE4"/>
    <w:rsid w:val="008451E8"/>
    <w:rsid w:val="008F40AB"/>
    <w:rsid w:val="008F6ABC"/>
    <w:rsid w:val="00913B9C"/>
    <w:rsid w:val="00927F93"/>
    <w:rsid w:val="00956E77"/>
    <w:rsid w:val="009A338E"/>
    <w:rsid w:val="009F4811"/>
    <w:rsid w:val="00A1392C"/>
    <w:rsid w:val="00A94438"/>
    <w:rsid w:val="00AA390C"/>
    <w:rsid w:val="00B0200A"/>
    <w:rsid w:val="00B060DF"/>
    <w:rsid w:val="00B574DB"/>
    <w:rsid w:val="00B826C2"/>
    <w:rsid w:val="00B8298E"/>
    <w:rsid w:val="00B82E0C"/>
    <w:rsid w:val="00BB6FD8"/>
    <w:rsid w:val="00BD0723"/>
    <w:rsid w:val="00BD2518"/>
    <w:rsid w:val="00BF1D1C"/>
    <w:rsid w:val="00C20C59"/>
    <w:rsid w:val="00C2727F"/>
    <w:rsid w:val="00C538FC"/>
    <w:rsid w:val="00C55B1F"/>
    <w:rsid w:val="00CB317B"/>
    <w:rsid w:val="00CF1A67"/>
    <w:rsid w:val="00D2750E"/>
    <w:rsid w:val="00D375E0"/>
    <w:rsid w:val="00D47D06"/>
    <w:rsid w:val="00D50A36"/>
    <w:rsid w:val="00D62446"/>
    <w:rsid w:val="00DA4EA2"/>
    <w:rsid w:val="00DC3D3E"/>
    <w:rsid w:val="00DD5BF0"/>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54CD5"/>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908EA1"/>
  <w15:docId w15:val="{F8E292F5-BD0F-4116-AEB5-7BD458B1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61B90"/>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Tablefin">
    <w:name w:val="Table_fin"/>
    <w:basedOn w:val="Tabletext"/>
    <w:rsid w:val="00061B9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taging.itu.int/en/council/Documents/basic-texts-2023/DEC-005-E.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4-CL-C-0046/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38</TotalTime>
  <Pages>5</Pages>
  <Words>1748</Words>
  <Characters>8762</Characters>
  <Application>Microsoft Office Word</Application>
  <DocSecurity>0</DocSecurity>
  <Lines>224</Lines>
  <Paragraphs>143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10367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Pasivo del seguro médico posterior a la separación del servicio (ASHI)</dc:title>
  <dc:subject>Consejo 2025 de la UIT</dc:subject>
  <cp:keywords>C2025, C25, Council-25</cp:keywords>
  <dc:description/>
  <cp:lastPrinted>2006-03-24T09:51:00Z</cp:lastPrinted>
  <dcterms:created xsi:type="dcterms:W3CDTF">2025-05-02T10:40:00Z</dcterms:created>
  <dcterms:modified xsi:type="dcterms:W3CDTF">2025-05-02T16:29:00Z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