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821" w:tblpY="2314"/>
        <w:tblW w:w="9214" w:type="dxa"/>
        <w:tblLayout w:type="fixed"/>
        <w:tblLook w:val="0000" w:firstRow="0" w:lastRow="0" w:firstColumn="0" w:lastColumn="0" w:noHBand="0" w:noVBand="0"/>
      </w:tblPr>
      <w:tblGrid>
        <w:gridCol w:w="3969"/>
        <w:gridCol w:w="5245"/>
      </w:tblGrid>
      <w:tr w:rsidR="00D72F49" w:rsidRPr="00813E5E" w14:paraId="3B42BE4B" w14:textId="77777777" w:rsidTr="00D72F49">
        <w:trPr>
          <w:cantSplit/>
          <w:trHeight w:val="23"/>
        </w:trPr>
        <w:tc>
          <w:tcPr>
            <w:tcW w:w="3969" w:type="dxa"/>
            <w:vMerge w:val="restart"/>
            <w:tcMar>
              <w:left w:w="0" w:type="dxa"/>
            </w:tcMar>
          </w:tcPr>
          <w:p w14:paraId="3F3AA710" w14:textId="526149B0" w:rsidR="00D72F49" w:rsidRPr="00E85629" w:rsidRDefault="00D72F49" w:rsidP="00D72F49">
            <w:pPr>
              <w:tabs>
                <w:tab w:val="left" w:pos="851"/>
              </w:tabs>
              <w:spacing w:before="0" w:line="240" w:lineRule="atLeast"/>
              <w:rPr>
                <w:b/>
              </w:rPr>
            </w:pPr>
            <w:r w:rsidRPr="00122CE1">
              <w:rPr>
                <w:b/>
              </w:rPr>
              <w:t>Point de l'ordre du jour</w:t>
            </w:r>
            <w:r>
              <w:rPr>
                <w:b/>
              </w:rPr>
              <w:t>:</w:t>
            </w:r>
            <w:r w:rsidR="00EE0F49">
              <w:rPr>
                <w:b/>
              </w:rPr>
              <w:t xml:space="preserve"> ADM 1</w:t>
            </w:r>
          </w:p>
        </w:tc>
        <w:tc>
          <w:tcPr>
            <w:tcW w:w="5245" w:type="dxa"/>
          </w:tcPr>
          <w:p w14:paraId="4827D5D2" w14:textId="4B12B218" w:rsidR="00D72F49" w:rsidRPr="00E85629" w:rsidRDefault="00D72F49" w:rsidP="00D72F49">
            <w:pPr>
              <w:tabs>
                <w:tab w:val="left" w:pos="851"/>
              </w:tabs>
              <w:spacing w:before="0" w:line="240" w:lineRule="atLeast"/>
              <w:jc w:val="right"/>
              <w:rPr>
                <w:b/>
              </w:rPr>
            </w:pPr>
            <w:r>
              <w:rPr>
                <w:b/>
              </w:rPr>
              <w:t>Document C2</w:t>
            </w:r>
            <w:r w:rsidR="00FC6D7D">
              <w:rPr>
                <w:b/>
              </w:rPr>
              <w:t>5</w:t>
            </w:r>
            <w:r>
              <w:rPr>
                <w:b/>
              </w:rPr>
              <w:t>/</w:t>
            </w:r>
            <w:r w:rsidR="00EE0F49">
              <w:rPr>
                <w:b/>
              </w:rPr>
              <w:t>46</w:t>
            </w:r>
            <w:r>
              <w:rPr>
                <w:b/>
              </w:rPr>
              <w:t>-F</w:t>
            </w:r>
          </w:p>
        </w:tc>
      </w:tr>
      <w:tr w:rsidR="00D72F49" w:rsidRPr="00C049D7" w14:paraId="360A3175" w14:textId="77777777" w:rsidTr="00D72F49">
        <w:trPr>
          <w:cantSplit/>
        </w:trPr>
        <w:tc>
          <w:tcPr>
            <w:tcW w:w="3969" w:type="dxa"/>
            <w:vMerge/>
          </w:tcPr>
          <w:p w14:paraId="0A8B1765" w14:textId="77777777" w:rsidR="00D72F49" w:rsidRPr="00813E5E" w:rsidRDefault="00D72F49" w:rsidP="00D72F49">
            <w:pPr>
              <w:tabs>
                <w:tab w:val="left" w:pos="851"/>
              </w:tabs>
              <w:spacing w:line="240" w:lineRule="atLeast"/>
              <w:rPr>
                <w:b/>
              </w:rPr>
            </w:pPr>
          </w:p>
        </w:tc>
        <w:tc>
          <w:tcPr>
            <w:tcW w:w="5245" w:type="dxa"/>
          </w:tcPr>
          <w:p w14:paraId="150D307F" w14:textId="32765F9D" w:rsidR="00D72F49" w:rsidRPr="00FC6D7D" w:rsidRDefault="00EE0F49" w:rsidP="00D72F49">
            <w:pPr>
              <w:tabs>
                <w:tab w:val="left" w:pos="851"/>
              </w:tabs>
              <w:spacing w:before="0"/>
              <w:jc w:val="right"/>
              <w:rPr>
                <w:b/>
                <w:lang w:val="en-GB"/>
              </w:rPr>
            </w:pPr>
            <w:r>
              <w:rPr>
                <w:b/>
              </w:rPr>
              <w:t>22 avril 2025</w:t>
            </w:r>
          </w:p>
        </w:tc>
      </w:tr>
      <w:tr w:rsidR="00D72F49" w:rsidRPr="00813E5E" w14:paraId="261A2D7C" w14:textId="77777777" w:rsidTr="00D72F49">
        <w:trPr>
          <w:cantSplit/>
          <w:trHeight w:val="23"/>
        </w:trPr>
        <w:tc>
          <w:tcPr>
            <w:tcW w:w="3969" w:type="dxa"/>
            <w:vMerge/>
          </w:tcPr>
          <w:p w14:paraId="40182D9F" w14:textId="77777777" w:rsidR="00D72F49" w:rsidRPr="00FC6D7D" w:rsidRDefault="00D72F49" w:rsidP="00D72F49">
            <w:pPr>
              <w:tabs>
                <w:tab w:val="left" w:pos="851"/>
              </w:tabs>
              <w:spacing w:line="240" w:lineRule="atLeast"/>
              <w:rPr>
                <w:b/>
                <w:lang w:val="en-GB"/>
              </w:rPr>
            </w:pPr>
          </w:p>
        </w:tc>
        <w:tc>
          <w:tcPr>
            <w:tcW w:w="5245" w:type="dxa"/>
          </w:tcPr>
          <w:p w14:paraId="7A9AF79D" w14:textId="77777777" w:rsidR="00D72F49" w:rsidRPr="00E85629" w:rsidRDefault="00D72F49" w:rsidP="00D72F49">
            <w:pPr>
              <w:tabs>
                <w:tab w:val="left" w:pos="851"/>
              </w:tabs>
              <w:spacing w:before="0" w:line="240" w:lineRule="atLeast"/>
              <w:jc w:val="right"/>
              <w:rPr>
                <w:b/>
              </w:rPr>
            </w:pPr>
            <w:r w:rsidRPr="00122CE1">
              <w:rPr>
                <w:b/>
                <w:lang w:val="fr-CH"/>
              </w:rPr>
              <w:t>Original: anglais</w:t>
            </w:r>
          </w:p>
        </w:tc>
      </w:tr>
      <w:tr w:rsidR="00D72F49" w:rsidRPr="00813E5E" w14:paraId="57B13A68" w14:textId="77777777" w:rsidTr="00D72F49">
        <w:trPr>
          <w:cantSplit/>
          <w:trHeight w:val="23"/>
        </w:trPr>
        <w:tc>
          <w:tcPr>
            <w:tcW w:w="3969" w:type="dxa"/>
          </w:tcPr>
          <w:p w14:paraId="554FB3CE" w14:textId="77777777" w:rsidR="00D72F49" w:rsidRPr="00813E5E" w:rsidRDefault="00D72F49" w:rsidP="00D72F49">
            <w:pPr>
              <w:tabs>
                <w:tab w:val="left" w:pos="851"/>
              </w:tabs>
              <w:spacing w:line="240" w:lineRule="atLeast"/>
              <w:rPr>
                <w:b/>
              </w:rPr>
            </w:pPr>
          </w:p>
        </w:tc>
        <w:tc>
          <w:tcPr>
            <w:tcW w:w="5245" w:type="dxa"/>
          </w:tcPr>
          <w:p w14:paraId="6DB1C3CB" w14:textId="77777777" w:rsidR="00D72F49" w:rsidRDefault="00D72F49" w:rsidP="00D72F49">
            <w:pPr>
              <w:tabs>
                <w:tab w:val="left" w:pos="851"/>
              </w:tabs>
              <w:spacing w:before="0" w:line="240" w:lineRule="atLeast"/>
              <w:jc w:val="right"/>
              <w:rPr>
                <w:b/>
              </w:rPr>
            </w:pPr>
          </w:p>
        </w:tc>
      </w:tr>
      <w:tr w:rsidR="00D72F49" w:rsidRPr="00122CE1" w14:paraId="25643D01" w14:textId="77777777" w:rsidTr="00D72F49">
        <w:trPr>
          <w:cantSplit/>
        </w:trPr>
        <w:tc>
          <w:tcPr>
            <w:tcW w:w="9214" w:type="dxa"/>
            <w:gridSpan w:val="2"/>
            <w:tcMar>
              <w:left w:w="0" w:type="dxa"/>
            </w:tcMar>
          </w:tcPr>
          <w:p w14:paraId="451A84C4" w14:textId="77777777" w:rsidR="00D72F49" w:rsidRPr="00C42437" w:rsidRDefault="00D72F49" w:rsidP="00D72F49">
            <w:pPr>
              <w:pStyle w:val="Source"/>
              <w:jc w:val="left"/>
              <w:rPr>
                <w:sz w:val="34"/>
                <w:szCs w:val="34"/>
                <w:lang w:val="fr-CH"/>
              </w:rPr>
            </w:pPr>
            <w:r w:rsidRPr="00D72F49">
              <w:rPr>
                <w:rFonts w:cstheme="minorHAnsi"/>
                <w:color w:val="000000"/>
                <w:sz w:val="34"/>
                <w:szCs w:val="34"/>
              </w:rPr>
              <w:t xml:space="preserve">Rapport </w:t>
            </w:r>
            <w:r w:rsidR="00E95647">
              <w:rPr>
                <w:rFonts w:cstheme="minorHAnsi"/>
                <w:color w:val="000000"/>
                <w:sz w:val="34"/>
                <w:szCs w:val="34"/>
              </w:rPr>
              <w:t xml:space="preserve">de la </w:t>
            </w:r>
            <w:r w:rsidRPr="00D72F49">
              <w:rPr>
                <w:rFonts w:cstheme="minorHAnsi"/>
                <w:color w:val="000000"/>
                <w:sz w:val="34"/>
                <w:szCs w:val="34"/>
              </w:rPr>
              <w:t>Secrétaire général</w:t>
            </w:r>
            <w:r w:rsidR="00E95647">
              <w:rPr>
                <w:rFonts w:cstheme="minorHAnsi"/>
                <w:color w:val="000000"/>
                <w:sz w:val="34"/>
                <w:szCs w:val="34"/>
              </w:rPr>
              <w:t>e</w:t>
            </w:r>
          </w:p>
        </w:tc>
      </w:tr>
      <w:tr w:rsidR="00D72F49" w:rsidRPr="00813E5E" w14:paraId="39882439" w14:textId="77777777" w:rsidTr="00D72F49">
        <w:trPr>
          <w:cantSplit/>
        </w:trPr>
        <w:tc>
          <w:tcPr>
            <w:tcW w:w="9214" w:type="dxa"/>
            <w:gridSpan w:val="2"/>
            <w:tcMar>
              <w:left w:w="0" w:type="dxa"/>
            </w:tcMar>
          </w:tcPr>
          <w:p w14:paraId="11851520" w14:textId="2B5D6934" w:rsidR="00D72F49" w:rsidRPr="00EE0F49" w:rsidRDefault="00A538ED" w:rsidP="00D72F49">
            <w:pPr>
              <w:pStyle w:val="Subtitle"/>
              <w:framePr w:hSpace="0" w:wrap="auto" w:hAnchor="text" w:xAlign="left" w:yAlign="inline"/>
              <w:rPr>
                <w:sz w:val="32"/>
                <w:szCs w:val="32"/>
                <w:lang w:val="fr-FR"/>
              </w:rPr>
            </w:pPr>
            <w:r w:rsidRPr="00EE0F49">
              <w:rPr>
                <w:rFonts w:cstheme="minorHAnsi"/>
                <w:sz w:val="32"/>
                <w:szCs w:val="32"/>
                <w:lang w:val="fr-FR"/>
              </w:rPr>
              <w:t>PASSIFS DE L'ASSURANCE MALADIE APRÈS LA CESSATION DE SERVICE</w:t>
            </w:r>
            <w:r>
              <w:rPr>
                <w:rFonts w:cstheme="minorHAnsi"/>
                <w:sz w:val="32"/>
                <w:szCs w:val="32"/>
                <w:lang w:val="fr-FR"/>
              </w:rPr>
              <w:t> </w:t>
            </w:r>
            <w:r w:rsidRPr="00EE0F49">
              <w:rPr>
                <w:rFonts w:cstheme="minorHAnsi"/>
                <w:sz w:val="32"/>
                <w:szCs w:val="32"/>
                <w:lang w:val="fr-FR"/>
              </w:rPr>
              <w:t>(ASHI)</w:t>
            </w:r>
          </w:p>
        </w:tc>
      </w:tr>
      <w:tr w:rsidR="00D72F49" w:rsidRPr="00813E5E" w14:paraId="5E57EA1B" w14:textId="77777777" w:rsidTr="00D72F49">
        <w:trPr>
          <w:cantSplit/>
        </w:trPr>
        <w:tc>
          <w:tcPr>
            <w:tcW w:w="9214" w:type="dxa"/>
            <w:gridSpan w:val="2"/>
            <w:tcBorders>
              <w:top w:val="single" w:sz="4" w:space="0" w:color="auto"/>
              <w:bottom w:val="single" w:sz="4" w:space="0" w:color="auto"/>
            </w:tcBorders>
            <w:tcMar>
              <w:left w:w="0" w:type="dxa"/>
            </w:tcMar>
          </w:tcPr>
          <w:p w14:paraId="36E27001" w14:textId="77777777" w:rsidR="00D72F49" w:rsidRPr="0099485B" w:rsidRDefault="00F37FE5" w:rsidP="00D72F49">
            <w:pPr>
              <w:spacing w:before="160"/>
              <w:rPr>
                <w:b/>
                <w:bCs/>
                <w:sz w:val="26"/>
                <w:szCs w:val="26"/>
                <w:lang w:val="fr-CH"/>
              </w:rPr>
            </w:pPr>
            <w:r>
              <w:rPr>
                <w:b/>
                <w:bCs/>
                <w:sz w:val="26"/>
                <w:szCs w:val="26"/>
                <w:lang w:val="fr-CH"/>
              </w:rPr>
              <w:t>Objet</w:t>
            </w:r>
          </w:p>
          <w:p w14:paraId="27EFB347" w14:textId="4EE91993" w:rsidR="00D72F49" w:rsidRPr="0099485B" w:rsidRDefault="00EE0F49" w:rsidP="00D72F49">
            <w:pPr>
              <w:rPr>
                <w:lang w:val="fr-CH"/>
              </w:rPr>
            </w:pPr>
            <w:r w:rsidRPr="00EE0F49">
              <w:rPr>
                <w:lang w:val="fr-CH"/>
              </w:rPr>
              <w:t>Le présent document fait le point sur la situation concernant les passifs de l'</w:t>
            </w:r>
            <w:r w:rsidR="00C67BE5">
              <w:rPr>
                <w:lang w:val="fr-CH"/>
              </w:rPr>
              <w:t>a</w:t>
            </w:r>
            <w:r w:rsidRPr="00EE0F49">
              <w:rPr>
                <w:lang w:val="fr-CH"/>
              </w:rPr>
              <w:t>ssurance maladie après la cessation de service (ASHI) au 31 décembre 2024, conformément à la demande formulée par le Conseil à sa session de 2014 pour que l'UIT lui soumette des rapports annuels sur les passifs de l'ASHI.</w:t>
            </w:r>
          </w:p>
          <w:p w14:paraId="31BD6743" w14:textId="77777777" w:rsidR="00D72F49" w:rsidRPr="00122CE1" w:rsidRDefault="00D72F49" w:rsidP="00D72F49">
            <w:pPr>
              <w:spacing w:before="160"/>
              <w:rPr>
                <w:b/>
                <w:bCs/>
                <w:sz w:val="26"/>
                <w:szCs w:val="26"/>
                <w:lang w:val="fr-CH"/>
              </w:rPr>
            </w:pPr>
            <w:proofErr w:type="gramStart"/>
            <w:r w:rsidRPr="00122CE1">
              <w:rPr>
                <w:b/>
                <w:bCs/>
                <w:sz w:val="26"/>
                <w:szCs w:val="26"/>
                <w:lang w:val="fr-CH"/>
              </w:rPr>
              <w:t>Suite à</w:t>
            </w:r>
            <w:proofErr w:type="gramEnd"/>
            <w:r w:rsidRPr="00122CE1">
              <w:rPr>
                <w:b/>
                <w:bCs/>
                <w:sz w:val="26"/>
                <w:szCs w:val="26"/>
                <w:lang w:val="fr-CH"/>
              </w:rPr>
              <w:t xml:space="preserve"> donner par le Conseil</w:t>
            </w:r>
          </w:p>
          <w:p w14:paraId="4A2F3F38" w14:textId="382783FE" w:rsidR="00D72F49" w:rsidRPr="00122CE1" w:rsidRDefault="00EE0F49" w:rsidP="00D72F49">
            <w:pPr>
              <w:rPr>
                <w:lang w:val="fr-CH"/>
              </w:rPr>
            </w:pPr>
            <w:r w:rsidRPr="00EE0F49">
              <w:rPr>
                <w:lang w:val="fr-CH"/>
              </w:rPr>
              <w:t xml:space="preserve">Le Conseil est invité à </w:t>
            </w:r>
            <w:r w:rsidRPr="00EE0F49">
              <w:rPr>
                <w:b/>
                <w:bCs/>
                <w:lang w:val="fr-CH"/>
              </w:rPr>
              <w:t>prendre note</w:t>
            </w:r>
            <w:r w:rsidRPr="00EE0F49">
              <w:rPr>
                <w:lang w:val="fr-CH"/>
              </w:rPr>
              <w:t xml:space="preserve"> du présent document.</w:t>
            </w:r>
          </w:p>
          <w:p w14:paraId="119924EF" w14:textId="77777777" w:rsidR="00D72F49" w:rsidRPr="00122CE1" w:rsidRDefault="00D72F49" w:rsidP="00D72F49">
            <w:pPr>
              <w:spacing w:before="160"/>
              <w:rPr>
                <w:b/>
                <w:bCs/>
                <w:sz w:val="26"/>
                <w:szCs w:val="26"/>
                <w:lang w:val="fr-CH"/>
              </w:rPr>
            </w:pPr>
            <w:r w:rsidRPr="00122CE1">
              <w:rPr>
                <w:b/>
                <w:bCs/>
                <w:sz w:val="26"/>
                <w:szCs w:val="26"/>
                <w:lang w:val="fr-CH"/>
              </w:rPr>
              <w:t xml:space="preserve">Lien(s) pertinent(s) avec le </w:t>
            </w:r>
            <w:r w:rsidR="00F37FE5">
              <w:rPr>
                <w:b/>
                <w:bCs/>
                <w:sz w:val="26"/>
                <w:szCs w:val="26"/>
                <w:lang w:val="fr-CH"/>
              </w:rPr>
              <w:t>p</w:t>
            </w:r>
            <w:r w:rsidRPr="00122CE1">
              <w:rPr>
                <w:b/>
                <w:bCs/>
                <w:sz w:val="26"/>
                <w:szCs w:val="26"/>
                <w:lang w:val="fr-CH"/>
              </w:rPr>
              <w:t>lan stratégique</w:t>
            </w:r>
          </w:p>
          <w:p w14:paraId="3B2A9348" w14:textId="2C7DFE43" w:rsidR="00D72F49" w:rsidRPr="00122CE1" w:rsidRDefault="00EE0F49" w:rsidP="00D72F49">
            <w:pPr>
              <w:rPr>
                <w:lang w:val="fr-CH"/>
              </w:rPr>
            </w:pPr>
            <w:r>
              <w:rPr>
                <w:lang w:val="fr-CH"/>
              </w:rPr>
              <w:t>Sans objet.</w:t>
            </w:r>
          </w:p>
          <w:p w14:paraId="6B60FC4F" w14:textId="77777777" w:rsidR="00E95647" w:rsidRDefault="00D72F49" w:rsidP="00D72F49">
            <w:pPr>
              <w:spacing w:before="160"/>
              <w:rPr>
                <w:b/>
                <w:bCs/>
                <w:sz w:val="26"/>
                <w:szCs w:val="26"/>
                <w:lang w:val="fr-CH"/>
              </w:rPr>
            </w:pPr>
            <w:r w:rsidRPr="00122CE1">
              <w:rPr>
                <w:b/>
                <w:bCs/>
                <w:sz w:val="26"/>
                <w:szCs w:val="26"/>
                <w:lang w:val="fr-CH"/>
              </w:rPr>
              <w:t>Incidences financières</w:t>
            </w:r>
          </w:p>
          <w:p w14:paraId="02BC43A9" w14:textId="7040F216" w:rsidR="00D72F49" w:rsidRPr="00882919" w:rsidRDefault="00EE0F49" w:rsidP="00882919">
            <w:pPr>
              <w:rPr>
                <w:szCs w:val="24"/>
              </w:rPr>
            </w:pPr>
            <w:r w:rsidRPr="00EE0F49">
              <w:rPr>
                <w:szCs w:val="24"/>
              </w:rPr>
              <w:t>Les coûts sont couverts par le budget alloué pour la période 2024-2025.</w:t>
            </w:r>
          </w:p>
          <w:p w14:paraId="0B7C5FAC" w14:textId="77777777" w:rsidR="00D72F49" w:rsidRPr="00813E5E" w:rsidRDefault="00D72F49" w:rsidP="00D72F49">
            <w:pPr>
              <w:spacing w:before="160"/>
              <w:rPr>
                <w:caps/>
                <w:sz w:val="22"/>
              </w:rPr>
            </w:pPr>
            <w:r w:rsidRPr="00813E5E">
              <w:rPr>
                <w:sz w:val="22"/>
              </w:rPr>
              <w:t>____________</w:t>
            </w:r>
            <w:r>
              <w:rPr>
                <w:sz w:val="22"/>
              </w:rPr>
              <w:t>______</w:t>
            </w:r>
          </w:p>
          <w:p w14:paraId="3D6F0295" w14:textId="77777777" w:rsidR="00D72F49" w:rsidRDefault="00D72F49" w:rsidP="00D72F49">
            <w:pPr>
              <w:spacing w:before="160"/>
              <w:rPr>
                <w:b/>
                <w:bCs/>
                <w:sz w:val="26"/>
                <w:szCs w:val="26"/>
              </w:rPr>
            </w:pPr>
            <w:r w:rsidRPr="00F16BAB">
              <w:rPr>
                <w:b/>
                <w:bCs/>
                <w:sz w:val="26"/>
                <w:szCs w:val="26"/>
              </w:rPr>
              <w:t>Références</w:t>
            </w:r>
          </w:p>
          <w:p w14:paraId="66C2E855" w14:textId="39067F2C" w:rsidR="00D72F49" w:rsidRPr="00A538ED" w:rsidRDefault="00EE0F49" w:rsidP="00D72F49">
            <w:pPr>
              <w:spacing w:after="160"/>
              <w:rPr>
                <w:i/>
                <w:iCs/>
                <w:sz w:val="22"/>
                <w:szCs w:val="22"/>
              </w:rPr>
            </w:pPr>
            <w:hyperlink r:id="rId6" w:history="1">
              <w:r w:rsidRPr="00A538ED">
                <w:rPr>
                  <w:rStyle w:val="Hyperlink"/>
                  <w:rFonts w:eastAsia="Times New Roman" w:cs="Times New Roman"/>
                  <w:i/>
                  <w:iCs/>
                  <w:sz w:val="22"/>
                </w:rPr>
                <w:t>Document C24/46</w:t>
              </w:r>
            </w:hyperlink>
            <w:r w:rsidRPr="00A538ED">
              <w:rPr>
                <w:i/>
                <w:iCs/>
                <w:sz w:val="22"/>
                <w:szCs w:val="22"/>
              </w:rPr>
              <w:t xml:space="preserve"> et </w:t>
            </w:r>
            <w:hyperlink r:id="rId7" w:history="1">
              <w:r w:rsidRPr="00A538ED">
                <w:rPr>
                  <w:rStyle w:val="Hyperlink"/>
                  <w:rFonts w:eastAsia="Times New Roman" w:cs="Times New Roman"/>
                  <w:i/>
                  <w:iCs/>
                  <w:sz w:val="22"/>
                </w:rPr>
                <w:t>Décision 5</w:t>
              </w:r>
            </w:hyperlink>
            <w:r w:rsidRPr="00A538ED">
              <w:rPr>
                <w:i/>
                <w:iCs/>
                <w:sz w:val="22"/>
                <w:szCs w:val="22"/>
              </w:rPr>
              <w:t xml:space="preserve"> (Rév. Bucarest, 2022) de la Conférence de plénipotentiaires.</w:t>
            </w:r>
          </w:p>
        </w:tc>
      </w:tr>
    </w:tbl>
    <w:p w14:paraId="055722BA" w14:textId="77777777" w:rsidR="00A51849" w:rsidRDefault="00A51849">
      <w:pPr>
        <w:tabs>
          <w:tab w:val="clear" w:pos="567"/>
          <w:tab w:val="clear" w:pos="1134"/>
          <w:tab w:val="clear" w:pos="1701"/>
          <w:tab w:val="clear" w:pos="2268"/>
          <w:tab w:val="clear" w:pos="2835"/>
        </w:tabs>
        <w:overflowPunct/>
        <w:autoSpaceDE/>
        <w:autoSpaceDN/>
        <w:adjustRightInd/>
        <w:spacing w:before="0"/>
        <w:textAlignment w:val="auto"/>
      </w:pPr>
      <w:r>
        <w:br w:type="page"/>
      </w:r>
    </w:p>
    <w:p w14:paraId="4EE3B85F" w14:textId="77777777" w:rsidR="00EE0F49" w:rsidRDefault="00EE0F49" w:rsidP="00EE0F49">
      <w:pPr>
        <w:pStyle w:val="Heading1"/>
      </w:pPr>
      <w:r>
        <w:lastRenderedPageBreak/>
        <w:t>1</w:t>
      </w:r>
      <w:r>
        <w:tab/>
        <w:t>Introduction</w:t>
      </w:r>
    </w:p>
    <w:p w14:paraId="11250090" w14:textId="77777777" w:rsidR="00EE0F49" w:rsidRDefault="00EE0F49" w:rsidP="0023341E">
      <w:pPr>
        <w:jc w:val="both"/>
      </w:pPr>
      <w:r>
        <w:t>1.1</w:t>
      </w:r>
      <w:r>
        <w:tab/>
        <w:t>En 2010, l'actif net de l'UIT est passé d'un solde positif à un solde négatif en raison des modalités de traitement des engagements concernant l'assurance maladie après la cessation de service (ASHI) conformément aux normes comptables pour le secteur public international (IPSAS), qui nécessitent l'obligation de comptabiliser la valeur actuelle des engagements futurs.</w:t>
      </w:r>
    </w:p>
    <w:p w14:paraId="539344F1" w14:textId="77777777" w:rsidR="00EE0F49" w:rsidRDefault="00EE0F49" w:rsidP="0023341E">
      <w:pPr>
        <w:jc w:val="both"/>
      </w:pPr>
      <w:r>
        <w:t>1.2</w:t>
      </w:r>
      <w:r>
        <w:tab/>
        <w:t>Le programme ASHI, programme autofinancé qui a été créé en 1967, permet aux fonctionnaires remplissant les conditions de maintenir leur assurance maladie après leur départ à la retraite. Le nombre croissant de retraités couverts et l'augmentation constante des frais médicaux ont entraîné une hausse considérable des coûts du programme, qui sont répartis entre l'Union et les fonctionnaires.</w:t>
      </w:r>
    </w:p>
    <w:p w14:paraId="53C8A6F8" w14:textId="26FC9303" w:rsidR="00EE0F49" w:rsidRDefault="00EE0F49" w:rsidP="0023341E">
      <w:pPr>
        <w:jc w:val="both"/>
      </w:pPr>
      <w:r>
        <w:t>1.3</w:t>
      </w:r>
      <w:r>
        <w:tab/>
        <w:t xml:space="preserve">Les passifs de l'ASHI sont calculés en tant que valeur actuelle de ce que l'UIT devrait payer dans l'éventualité d'une cessation d'activité à la date de clôture. Bien qu'il soit très peu probable que cette situation se produise, l'Union cherche à accroître les actifs de ce </w:t>
      </w:r>
      <w:r w:rsidRPr="00006070">
        <w:t>fonds</w:t>
      </w:r>
      <w:r>
        <w:t xml:space="preserve"> et, ainsi, à réduire les engagements correspondants. Les mesures décrites au §</w:t>
      </w:r>
      <w:r w:rsidR="00BF693C">
        <w:t> </w:t>
      </w:r>
      <w:r>
        <w:t>4 ont été prises pour revenir à une situation où le régime d'assurance maladie serait excédentaire, afin à la fois de garantir la couverture des prestations actuelles par répartition et d'affecter des ressources pour couvrir les passifs actuariels au titre des engagements futurs.</w:t>
      </w:r>
    </w:p>
    <w:p w14:paraId="53BA54A1" w14:textId="77777777" w:rsidR="00EE0F49" w:rsidRDefault="00EE0F49" w:rsidP="00EE0F49">
      <w:pPr>
        <w:pStyle w:val="Heading1"/>
      </w:pPr>
      <w:r>
        <w:t>2</w:t>
      </w:r>
      <w:r>
        <w:tab/>
        <w:t>Régime d'assurance maladie en place à l'UIT</w:t>
      </w:r>
    </w:p>
    <w:p w14:paraId="2E4D8AD7" w14:textId="44D524B0" w:rsidR="00EE0F49" w:rsidRDefault="00EE0F49" w:rsidP="0023341E">
      <w:pPr>
        <w:jc w:val="both"/>
      </w:pPr>
      <w:r>
        <w:t>2.1</w:t>
      </w:r>
      <w:r>
        <w:tab/>
        <w:t xml:space="preserve">L'UIT fait partie de l'Assurance mutuelle contre la maladie et les accidents du personnel des Nations Unies (UNSMIS). Le régime de l'UNSMIS regroupe plusieurs </w:t>
      </w:r>
      <w:r w:rsidRPr="00006070">
        <w:t>fonds et</w:t>
      </w:r>
      <w:r>
        <w:t xml:space="preserve"> programmes des Nations Unies, ainsi que des organisations et institutions spécialisées des Nations</w:t>
      </w:r>
      <w:r w:rsidR="00BF693C">
        <w:t> </w:t>
      </w:r>
      <w:r>
        <w:t>Unies basées à Genève et fournit une couverture au personnel de l'Office des Nations</w:t>
      </w:r>
      <w:r w:rsidR="00BF693C">
        <w:t> </w:t>
      </w:r>
      <w:r>
        <w:t>Unies à Genève, du Haut-Commissariat des Nations Unies pour les réfugiés (HCR) et de l'Organisation météorologique mondiale (OMM) mais aussi du PNUD, de l'UNICEF, de la</w:t>
      </w:r>
      <w:r w:rsidR="00BF693C">
        <w:t> </w:t>
      </w:r>
      <w:r>
        <w:t>CNUCED, etc.</w:t>
      </w:r>
    </w:p>
    <w:p w14:paraId="6FD43896" w14:textId="77777777" w:rsidR="00EE0F49" w:rsidRDefault="00EE0F49" w:rsidP="0023341E">
      <w:pPr>
        <w:jc w:val="both"/>
      </w:pPr>
      <w:r>
        <w:t>2.2</w:t>
      </w:r>
      <w:r>
        <w:tab/>
        <w:t>Le régime de l'UNSMIS repose sur une cotisation correspondant à 3,4% des traitements ou de la pension de retraite. En outre, l'UIT contribue au régime d'assurance maladie en versant des contributions équivalentes aux cotisations versées par les fonctionnaires actifs et en finançant les 2/3 du montant des cotisations des retraités.</w:t>
      </w:r>
    </w:p>
    <w:p w14:paraId="3B8BD491" w14:textId="77777777" w:rsidR="00EE0F49" w:rsidRDefault="00EE0F49" w:rsidP="0023341E">
      <w:pPr>
        <w:jc w:val="both"/>
      </w:pPr>
      <w:r>
        <w:t>2.3</w:t>
      </w:r>
      <w:r>
        <w:tab/>
        <w:t>Le suivi de la maîtrise des coûts relève à présent de la responsabilité du Comité exécutif de l'UNSMIS, au sein duquel l'UIT dispose d'un siège en sa qualité de membre.</w:t>
      </w:r>
    </w:p>
    <w:p w14:paraId="7E66A519" w14:textId="77777777" w:rsidR="00EE0F49" w:rsidRDefault="00EE0F49" w:rsidP="00EE0F49">
      <w:pPr>
        <w:pStyle w:val="Heading1"/>
      </w:pPr>
      <w:r>
        <w:t>3</w:t>
      </w:r>
      <w:r>
        <w:tab/>
        <w:t>Évolution des passifs de l'ASHI en 2024</w:t>
      </w:r>
    </w:p>
    <w:p w14:paraId="632FEADF" w14:textId="0B131C65" w:rsidR="006A11AE" w:rsidRDefault="00EE0F49" w:rsidP="0023341E">
      <w:pPr>
        <w:spacing w:after="120"/>
        <w:jc w:val="both"/>
      </w:pPr>
      <w:r>
        <w:t>3.1</w:t>
      </w:r>
      <w:r>
        <w:tab/>
        <w:t xml:space="preserve">L'évolution des passifs de l'ASHI depuis 2010 s'est traduite par un actif net négatif de plus en plus </w:t>
      </w:r>
      <w:proofErr w:type="gramStart"/>
      <w:r>
        <w:t>élevé</w:t>
      </w:r>
      <w:proofErr w:type="gramEnd"/>
      <w:r>
        <w:t>, étant donné que les pertes actuarielles ont été intégralement comptabilisées à l'actif net. Fin 2024, les passifs de l'ASHI ont augmenté de 40,6 millions CHF en raison de la diminution du taux d'actualisation, qui est passé de 1,9% en 2023 à 1,40% en</w:t>
      </w:r>
      <w:r w:rsidR="00BF693C">
        <w:t> </w:t>
      </w:r>
      <w:r>
        <w:t>2024, et de la modification des hypothèses.</w:t>
      </w:r>
    </w:p>
    <w:tbl>
      <w:tblPr>
        <w:tblW w:w="9361"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901"/>
        <w:gridCol w:w="1701"/>
        <w:gridCol w:w="1759"/>
      </w:tblGrid>
      <w:tr w:rsidR="00EE0F49" w:rsidRPr="00C9352F" w14:paraId="735F8D31" w14:textId="77777777" w:rsidTr="0023341E">
        <w:trPr>
          <w:cantSplit/>
          <w:trHeight w:val="528"/>
          <w:jc w:val="center"/>
        </w:trPr>
        <w:tc>
          <w:tcPr>
            <w:tcW w:w="5901" w:type="dxa"/>
            <w:tcBorders>
              <w:top w:val="single" w:sz="4" w:space="0" w:color="auto"/>
              <w:bottom w:val="single" w:sz="4" w:space="0" w:color="auto"/>
              <w:right w:val="single" w:sz="4" w:space="0" w:color="auto"/>
            </w:tcBorders>
            <w:shd w:val="clear" w:color="auto" w:fill="auto"/>
            <w:vAlign w:val="center"/>
            <w:hideMark/>
          </w:tcPr>
          <w:p w14:paraId="285B6207" w14:textId="77777777" w:rsidR="00EE0F49" w:rsidRPr="00EE0F49" w:rsidRDefault="00EE0F49" w:rsidP="0023341E">
            <w:pPr>
              <w:pStyle w:val="Tablehead"/>
              <w:keepNext/>
              <w:keepLines/>
              <w:jc w:val="left"/>
            </w:pPr>
            <w:r w:rsidRPr="00EE0F49">
              <w:lastRenderedPageBreak/>
              <w:t>Montants des engagements au titre du plan ASHI au 31 décembre dans l'état de la situation financière (en milliers CHF)</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C62C9" w14:textId="77777777" w:rsidR="00EE0F49" w:rsidRPr="00EE0F49" w:rsidRDefault="00EE0F49" w:rsidP="0023341E">
            <w:pPr>
              <w:pStyle w:val="Tablehead"/>
              <w:keepNext/>
              <w:keepLines/>
            </w:pPr>
            <w:r w:rsidRPr="00EE0F49">
              <w:t>31.12.2024</w:t>
            </w:r>
          </w:p>
        </w:tc>
        <w:tc>
          <w:tcPr>
            <w:tcW w:w="1759" w:type="dxa"/>
            <w:tcBorders>
              <w:top w:val="single" w:sz="4" w:space="0" w:color="auto"/>
              <w:left w:val="single" w:sz="4" w:space="0" w:color="auto"/>
              <w:bottom w:val="single" w:sz="4" w:space="0" w:color="auto"/>
            </w:tcBorders>
            <w:vAlign w:val="center"/>
          </w:tcPr>
          <w:p w14:paraId="3FF69FDC" w14:textId="77777777" w:rsidR="00EE0F49" w:rsidRPr="00EE0F49" w:rsidRDefault="00EE0F49" w:rsidP="0023341E">
            <w:pPr>
              <w:pStyle w:val="Tablehead"/>
              <w:keepNext/>
              <w:keepLines/>
            </w:pPr>
            <w:r w:rsidRPr="00EE0F49">
              <w:t>31.12.2023</w:t>
            </w:r>
          </w:p>
        </w:tc>
      </w:tr>
      <w:tr w:rsidR="00EE0F49" w:rsidRPr="00B2608E" w14:paraId="58E8A885" w14:textId="77777777" w:rsidTr="0023341E">
        <w:trPr>
          <w:cantSplit/>
          <w:trHeight w:val="264"/>
          <w:jc w:val="center"/>
        </w:trPr>
        <w:tc>
          <w:tcPr>
            <w:tcW w:w="5901" w:type="dxa"/>
            <w:tcBorders>
              <w:top w:val="single" w:sz="4" w:space="0" w:color="auto"/>
              <w:right w:val="single" w:sz="4" w:space="0" w:color="auto"/>
            </w:tcBorders>
            <w:shd w:val="clear" w:color="auto" w:fill="auto"/>
            <w:hideMark/>
          </w:tcPr>
          <w:p w14:paraId="33B87B93" w14:textId="77777777" w:rsidR="00EE0F49" w:rsidRPr="00B2608E" w:rsidRDefault="00EE0F49" w:rsidP="00EE0F49">
            <w:pPr>
              <w:pStyle w:val="Tabletext"/>
            </w:pPr>
            <w:r>
              <w:t>Solde au 1er janvier</w:t>
            </w:r>
          </w:p>
        </w:tc>
        <w:tc>
          <w:tcPr>
            <w:tcW w:w="1701" w:type="dxa"/>
            <w:tcBorders>
              <w:top w:val="single" w:sz="4" w:space="0" w:color="auto"/>
              <w:left w:val="single" w:sz="4" w:space="0" w:color="auto"/>
              <w:right w:val="single" w:sz="4" w:space="0" w:color="auto"/>
            </w:tcBorders>
            <w:shd w:val="clear" w:color="auto" w:fill="auto"/>
          </w:tcPr>
          <w:p w14:paraId="47698A19" w14:textId="58EAAD71" w:rsidR="00EE0F49" w:rsidRPr="00B2608E" w:rsidRDefault="00EE0F49" w:rsidP="00EE0F49">
            <w:pPr>
              <w:pStyle w:val="Tabletext"/>
              <w:jc w:val="center"/>
            </w:pPr>
            <w:r>
              <w:t>375 271</w:t>
            </w:r>
          </w:p>
        </w:tc>
        <w:tc>
          <w:tcPr>
            <w:tcW w:w="1759" w:type="dxa"/>
            <w:tcBorders>
              <w:top w:val="single" w:sz="4" w:space="0" w:color="auto"/>
              <w:left w:val="single" w:sz="4" w:space="0" w:color="auto"/>
            </w:tcBorders>
          </w:tcPr>
          <w:p w14:paraId="36E3B6CD" w14:textId="06AB4DFE" w:rsidR="00EE0F49" w:rsidRPr="00B2608E" w:rsidRDefault="00EE0F49" w:rsidP="00EE0F49">
            <w:pPr>
              <w:pStyle w:val="Tabletext"/>
              <w:jc w:val="center"/>
            </w:pPr>
            <w:r>
              <w:t>344 102</w:t>
            </w:r>
          </w:p>
        </w:tc>
      </w:tr>
      <w:tr w:rsidR="00EE0F49" w:rsidRPr="00B2608E" w14:paraId="55E7D181" w14:textId="77777777" w:rsidTr="0023341E">
        <w:trPr>
          <w:cantSplit/>
          <w:trHeight w:val="264"/>
          <w:jc w:val="center"/>
        </w:trPr>
        <w:tc>
          <w:tcPr>
            <w:tcW w:w="5901" w:type="dxa"/>
            <w:tcBorders>
              <w:right w:val="single" w:sz="4" w:space="0" w:color="auto"/>
            </w:tcBorders>
            <w:shd w:val="clear" w:color="auto" w:fill="auto"/>
          </w:tcPr>
          <w:p w14:paraId="7095CC2E" w14:textId="77777777" w:rsidR="00EE0F49" w:rsidRPr="00B2608E" w:rsidRDefault="00EE0F49" w:rsidP="00EE0F49">
            <w:pPr>
              <w:pStyle w:val="Tabletext"/>
              <w:tabs>
                <w:tab w:val="left" w:pos="277"/>
              </w:tabs>
            </w:pPr>
            <w:r>
              <w:t>–</w:t>
            </w:r>
            <w:r>
              <w:tab/>
              <w:t>Coût net des services actuels</w:t>
            </w:r>
          </w:p>
        </w:tc>
        <w:tc>
          <w:tcPr>
            <w:tcW w:w="1701" w:type="dxa"/>
            <w:tcBorders>
              <w:left w:val="single" w:sz="4" w:space="0" w:color="auto"/>
              <w:right w:val="single" w:sz="4" w:space="0" w:color="auto"/>
            </w:tcBorders>
            <w:shd w:val="clear" w:color="auto" w:fill="auto"/>
          </w:tcPr>
          <w:p w14:paraId="3DC7070F" w14:textId="5E053139" w:rsidR="00EE0F49" w:rsidRPr="00B2608E" w:rsidRDefault="00EE0F49" w:rsidP="00EE0F49">
            <w:pPr>
              <w:pStyle w:val="Tabletext"/>
              <w:jc w:val="center"/>
            </w:pPr>
            <w:r>
              <w:t>11 095</w:t>
            </w:r>
          </w:p>
        </w:tc>
        <w:tc>
          <w:tcPr>
            <w:tcW w:w="1759" w:type="dxa"/>
            <w:tcBorders>
              <w:left w:val="single" w:sz="4" w:space="0" w:color="auto"/>
            </w:tcBorders>
          </w:tcPr>
          <w:p w14:paraId="17669827" w14:textId="2F5A671A" w:rsidR="00EE0F49" w:rsidRPr="00B2608E" w:rsidRDefault="00EE0F49" w:rsidP="00EE0F49">
            <w:pPr>
              <w:pStyle w:val="Tabletext"/>
              <w:jc w:val="center"/>
            </w:pPr>
            <w:r>
              <w:t>10 165</w:t>
            </w:r>
          </w:p>
        </w:tc>
      </w:tr>
      <w:tr w:rsidR="00EE0F49" w:rsidRPr="00B2608E" w14:paraId="0B9E0EAC" w14:textId="77777777" w:rsidTr="0023341E">
        <w:trPr>
          <w:cantSplit/>
          <w:trHeight w:val="264"/>
          <w:jc w:val="center"/>
        </w:trPr>
        <w:tc>
          <w:tcPr>
            <w:tcW w:w="5901" w:type="dxa"/>
            <w:tcBorders>
              <w:bottom w:val="single" w:sz="4" w:space="0" w:color="auto"/>
              <w:right w:val="single" w:sz="4" w:space="0" w:color="auto"/>
            </w:tcBorders>
            <w:shd w:val="clear" w:color="auto" w:fill="auto"/>
          </w:tcPr>
          <w:p w14:paraId="395D2AB0" w14:textId="77777777" w:rsidR="00EE0F49" w:rsidRPr="00B2608E" w:rsidRDefault="00EE0F49" w:rsidP="00EE0F49">
            <w:pPr>
              <w:pStyle w:val="Tabletext"/>
              <w:tabs>
                <w:tab w:val="left" w:pos="277"/>
              </w:tabs>
            </w:pPr>
            <w:r>
              <w:t>–</w:t>
            </w:r>
            <w:r>
              <w:tab/>
              <w:t>Charge financière</w:t>
            </w:r>
          </w:p>
        </w:tc>
        <w:tc>
          <w:tcPr>
            <w:tcW w:w="1701" w:type="dxa"/>
            <w:tcBorders>
              <w:left w:val="single" w:sz="4" w:space="0" w:color="auto"/>
              <w:bottom w:val="single" w:sz="4" w:space="0" w:color="auto"/>
              <w:right w:val="single" w:sz="4" w:space="0" w:color="auto"/>
            </w:tcBorders>
            <w:shd w:val="clear" w:color="auto" w:fill="auto"/>
          </w:tcPr>
          <w:p w14:paraId="463B8032" w14:textId="68AE3F77" w:rsidR="00EE0F49" w:rsidRPr="00B2608E" w:rsidRDefault="00EE0F49" w:rsidP="00EE0F49">
            <w:pPr>
              <w:pStyle w:val="Tabletext"/>
              <w:jc w:val="center"/>
            </w:pPr>
            <w:r>
              <w:t>7 046</w:t>
            </w:r>
          </w:p>
        </w:tc>
        <w:tc>
          <w:tcPr>
            <w:tcW w:w="1759" w:type="dxa"/>
            <w:tcBorders>
              <w:left w:val="single" w:sz="4" w:space="0" w:color="auto"/>
              <w:bottom w:val="single" w:sz="4" w:space="0" w:color="auto"/>
            </w:tcBorders>
          </w:tcPr>
          <w:p w14:paraId="73B1EB55" w14:textId="2E7967A1" w:rsidR="00EE0F49" w:rsidRPr="00B2608E" w:rsidRDefault="00EE0F49" w:rsidP="00EE0F49">
            <w:pPr>
              <w:pStyle w:val="Tabletext"/>
              <w:jc w:val="center"/>
            </w:pPr>
            <w:r>
              <w:t>8 489</w:t>
            </w:r>
          </w:p>
        </w:tc>
      </w:tr>
      <w:tr w:rsidR="00EE0F49" w:rsidRPr="00C9352F" w14:paraId="1C5F17DF" w14:textId="77777777" w:rsidTr="0023341E">
        <w:trPr>
          <w:cantSplit/>
          <w:trHeight w:val="336"/>
          <w:jc w:val="center"/>
        </w:trPr>
        <w:tc>
          <w:tcPr>
            <w:tcW w:w="5901" w:type="dxa"/>
            <w:tcBorders>
              <w:top w:val="single" w:sz="4" w:space="0" w:color="auto"/>
              <w:left w:val="single" w:sz="4" w:space="0" w:color="auto"/>
              <w:bottom w:val="single" w:sz="4" w:space="0" w:color="auto"/>
              <w:right w:val="single" w:sz="4" w:space="0" w:color="auto"/>
            </w:tcBorders>
            <w:shd w:val="clear" w:color="auto" w:fill="auto"/>
            <w:hideMark/>
          </w:tcPr>
          <w:p w14:paraId="49A59A73" w14:textId="77777777" w:rsidR="00EE0F49" w:rsidRPr="00EE0F49" w:rsidRDefault="00EE0F49" w:rsidP="00EE0F49">
            <w:pPr>
              <w:pStyle w:val="Tabletext"/>
              <w:rPr>
                <w:b/>
                <w:bCs/>
              </w:rPr>
            </w:pPr>
            <w:r w:rsidRPr="00EE0F49">
              <w:rPr>
                <w:b/>
                <w:bCs/>
              </w:rPr>
              <w:t>Total des charges comptabilisées dans l'état de la performance financière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230FEE" w14:textId="5846F3C4" w:rsidR="00EE0F49" w:rsidRPr="00EE0F49" w:rsidRDefault="00EE0F49" w:rsidP="00EE0F49">
            <w:pPr>
              <w:pStyle w:val="Tabletext"/>
              <w:jc w:val="center"/>
              <w:rPr>
                <w:b/>
                <w:bCs/>
              </w:rPr>
            </w:pPr>
            <w:r w:rsidRPr="00EE0F49">
              <w:rPr>
                <w:b/>
                <w:bCs/>
              </w:rPr>
              <w:t>18</w:t>
            </w:r>
            <w:r>
              <w:rPr>
                <w:b/>
                <w:bCs/>
              </w:rPr>
              <w:t xml:space="preserve"> </w:t>
            </w:r>
            <w:r w:rsidRPr="00EE0F49">
              <w:rPr>
                <w:b/>
                <w:bCs/>
              </w:rPr>
              <w:t>141</w:t>
            </w:r>
          </w:p>
        </w:tc>
        <w:tc>
          <w:tcPr>
            <w:tcW w:w="1759" w:type="dxa"/>
            <w:tcBorders>
              <w:top w:val="single" w:sz="4" w:space="0" w:color="auto"/>
              <w:left w:val="single" w:sz="4" w:space="0" w:color="auto"/>
              <w:bottom w:val="single" w:sz="4" w:space="0" w:color="auto"/>
              <w:right w:val="single" w:sz="4" w:space="0" w:color="auto"/>
            </w:tcBorders>
          </w:tcPr>
          <w:p w14:paraId="69271BB7" w14:textId="3F890E8B" w:rsidR="00EE0F49" w:rsidRPr="00EE0F49" w:rsidRDefault="00EE0F49" w:rsidP="00EE0F49">
            <w:pPr>
              <w:pStyle w:val="Tabletext"/>
              <w:jc w:val="center"/>
              <w:rPr>
                <w:b/>
                <w:bCs/>
              </w:rPr>
            </w:pPr>
            <w:r w:rsidRPr="00EE0F49">
              <w:rPr>
                <w:b/>
                <w:bCs/>
              </w:rPr>
              <w:t>18</w:t>
            </w:r>
            <w:r>
              <w:rPr>
                <w:b/>
                <w:bCs/>
              </w:rPr>
              <w:t xml:space="preserve"> </w:t>
            </w:r>
            <w:r w:rsidRPr="00EE0F49">
              <w:rPr>
                <w:b/>
                <w:bCs/>
              </w:rPr>
              <w:t>654</w:t>
            </w:r>
          </w:p>
        </w:tc>
      </w:tr>
      <w:tr w:rsidR="00EE0F49" w:rsidRPr="00B2608E" w14:paraId="70254F56" w14:textId="77777777" w:rsidTr="0023341E">
        <w:trPr>
          <w:cantSplit/>
          <w:trHeight w:val="336"/>
          <w:jc w:val="center"/>
        </w:trPr>
        <w:tc>
          <w:tcPr>
            <w:tcW w:w="5901" w:type="dxa"/>
            <w:tcBorders>
              <w:top w:val="single" w:sz="4" w:space="0" w:color="auto"/>
              <w:bottom w:val="nil"/>
              <w:right w:val="single" w:sz="4" w:space="0" w:color="auto"/>
            </w:tcBorders>
            <w:shd w:val="clear" w:color="auto" w:fill="auto"/>
          </w:tcPr>
          <w:p w14:paraId="07237811" w14:textId="77777777" w:rsidR="00EE0F49" w:rsidRPr="00B2608E" w:rsidRDefault="00EE0F49" w:rsidP="00EE0F49">
            <w:pPr>
              <w:pStyle w:val="Tabletext"/>
              <w:tabs>
                <w:tab w:val="left" w:pos="311"/>
              </w:tabs>
              <w:ind w:left="311" w:hanging="311"/>
            </w:pPr>
            <w:r>
              <w:t>–</w:t>
            </w:r>
            <w:r>
              <w:tab/>
              <w:t>Obligation due à des changements d'hypothèses démographiques</w:t>
            </w:r>
          </w:p>
        </w:tc>
        <w:tc>
          <w:tcPr>
            <w:tcW w:w="1701" w:type="dxa"/>
            <w:tcBorders>
              <w:top w:val="single" w:sz="4" w:space="0" w:color="auto"/>
              <w:left w:val="single" w:sz="4" w:space="0" w:color="auto"/>
              <w:bottom w:val="nil"/>
              <w:right w:val="single" w:sz="4" w:space="0" w:color="auto"/>
            </w:tcBorders>
            <w:shd w:val="clear" w:color="auto" w:fill="auto"/>
          </w:tcPr>
          <w:p w14:paraId="76C1E489" w14:textId="595323B1" w:rsidR="00EE0F49" w:rsidRPr="00B2608E" w:rsidRDefault="00EE0F49" w:rsidP="00EE0F49">
            <w:pPr>
              <w:pStyle w:val="Tabletext"/>
              <w:jc w:val="center"/>
            </w:pPr>
            <w:r>
              <w:t>10</w:t>
            </w:r>
            <w:r w:rsidR="00BF693C">
              <w:t xml:space="preserve"> </w:t>
            </w:r>
            <w:r>
              <w:t>602</w:t>
            </w:r>
          </w:p>
        </w:tc>
        <w:tc>
          <w:tcPr>
            <w:tcW w:w="1759" w:type="dxa"/>
            <w:tcBorders>
              <w:top w:val="single" w:sz="4" w:space="0" w:color="auto"/>
              <w:left w:val="single" w:sz="4" w:space="0" w:color="auto"/>
              <w:bottom w:val="nil"/>
            </w:tcBorders>
          </w:tcPr>
          <w:p w14:paraId="07695D19" w14:textId="77777777" w:rsidR="00EE0F49" w:rsidRPr="00B2608E" w:rsidRDefault="00EE0F49" w:rsidP="00EE0F49">
            <w:pPr>
              <w:pStyle w:val="Tabletext"/>
              <w:jc w:val="center"/>
            </w:pPr>
            <w:r>
              <w:t>(574)</w:t>
            </w:r>
          </w:p>
        </w:tc>
      </w:tr>
      <w:tr w:rsidR="00EE0F49" w:rsidRPr="00B2608E" w14:paraId="7D7B64A3" w14:textId="77777777" w:rsidTr="0023341E">
        <w:trPr>
          <w:cantSplit/>
          <w:trHeight w:val="336"/>
          <w:jc w:val="center"/>
        </w:trPr>
        <w:tc>
          <w:tcPr>
            <w:tcW w:w="5901" w:type="dxa"/>
            <w:tcBorders>
              <w:top w:val="nil"/>
              <w:bottom w:val="nil"/>
              <w:right w:val="single" w:sz="4" w:space="0" w:color="auto"/>
            </w:tcBorders>
            <w:shd w:val="clear" w:color="auto" w:fill="auto"/>
          </w:tcPr>
          <w:p w14:paraId="62618C7A" w14:textId="77777777" w:rsidR="00EE0F49" w:rsidRPr="00B2608E" w:rsidRDefault="00EE0F49" w:rsidP="00EE0F49">
            <w:pPr>
              <w:pStyle w:val="Tabletext"/>
              <w:tabs>
                <w:tab w:val="left" w:pos="311"/>
              </w:tabs>
              <w:ind w:left="720" w:hanging="720"/>
            </w:pPr>
            <w:r>
              <w:t>–</w:t>
            </w:r>
            <w:r>
              <w:tab/>
              <w:t>Obligation due à des changements d'hypothèses financières</w:t>
            </w:r>
          </w:p>
        </w:tc>
        <w:tc>
          <w:tcPr>
            <w:tcW w:w="1701" w:type="dxa"/>
            <w:tcBorders>
              <w:top w:val="nil"/>
              <w:left w:val="single" w:sz="4" w:space="0" w:color="auto"/>
              <w:bottom w:val="nil"/>
              <w:right w:val="single" w:sz="4" w:space="0" w:color="auto"/>
            </w:tcBorders>
            <w:shd w:val="clear" w:color="auto" w:fill="auto"/>
          </w:tcPr>
          <w:p w14:paraId="5357166F" w14:textId="7C5E77D6" w:rsidR="00EE0F49" w:rsidRPr="00B2608E" w:rsidRDefault="00EE0F49" w:rsidP="00EE0F49">
            <w:pPr>
              <w:pStyle w:val="Tabletext"/>
              <w:jc w:val="center"/>
            </w:pPr>
            <w:r>
              <w:t>20</w:t>
            </w:r>
            <w:r w:rsidR="00BF693C">
              <w:t xml:space="preserve"> </w:t>
            </w:r>
            <w:r>
              <w:t>636</w:t>
            </w:r>
          </w:p>
        </w:tc>
        <w:tc>
          <w:tcPr>
            <w:tcW w:w="1759" w:type="dxa"/>
            <w:tcBorders>
              <w:top w:val="nil"/>
              <w:left w:val="single" w:sz="4" w:space="0" w:color="auto"/>
              <w:bottom w:val="nil"/>
            </w:tcBorders>
          </w:tcPr>
          <w:p w14:paraId="4F0492AA" w14:textId="74020C1D" w:rsidR="00EE0F49" w:rsidRPr="00B2608E" w:rsidRDefault="00EE0F49" w:rsidP="00EE0F49">
            <w:pPr>
              <w:pStyle w:val="Tabletext"/>
              <w:jc w:val="center"/>
            </w:pPr>
            <w:r>
              <w:t>24</w:t>
            </w:r>
            <w:r w:rsidR="00BF693C">
              <w:t xml:space="preserve"> </w:t>
            </w:r>
            <w:r>
              <w:t>687</w:t>
            </w:r>
          </w:p>
        </w:tc>
      </w:tr>
      <w:tr w:rsidR="00EE0F49" w:rsidRPr="00B2608E" w14:paraId="7B63734B" w14:textId="77777777" w:rsidTr="0023341E">
        <w:trPr>
          <w:cantSplit/>
          <w:trHeight w:val="336"/>
          <w:jc w:val="center"/>
        </w:trPr>
        <w:tc>
          <w:tcPr>
            <w:tcW w:w="5901" w:type="dxa"/>
            <w:tcBorders>
              <w:top w:val="nil"/>
              <w:bottom w:val="single" w:sz="4" w:space="0" w:color="auto"/>
              <w:right w:val="single" w:sz="4" w:space="0" w:color="auto"/>
            </w:tcBorders>
            <w:shd w:val="clear" w:color="auto" w:fill="auto"/>
          </w:tcPr>
          <w:p w14:paraId="01D0BC1A" w14:textId="77777777" w:rsidR="00EE0F49" w:rsidRPr="00B2608E" w:rsidRDefault="00EE0F49" w:rsidP="00EE0F49">
            <w:pPr>
              <w:pStyle w:val="Tabletext"/>
              <w:tabs>
                <w:tab w:val="left" w:pos="311"/>
              </w:tabs>
              <w:ind w:left="720" w:hanging="720"/>
            </w:pPr>
            <w:r>
              <w:t>–</w:t>
            </w:r>
            <w:r>
              <w:tab/>
              <w:t>Obligation due à l'expérience acquise pendant l'exercice</w:t>
            </w:r>
          </w:p>
        </w:tc>
        <w:tc>
          <w:tcPr>
            <w:tcW w:w="1701" w:type="dxa"/>
            <w:tcBorders>
              <w:top w:val="nil"/>
              <w:left w:val="single" w:sz="4" w:space="0" w:color="auto"/>
              <w:bottom w:val="single" w:sz="4" w:space="0" w:color="auto"/>
              <w:right w:val="single" w:sz="4" w:space="0" w:color="auto"/>
            </w:tcBorders>
            <w:shd w:val="clear" w:color="auto" w:fill="auto"/>
          </w:tcPr>
          <w:p w14:paraId="3FCCE0BA" w14:textId="48281737" w:rsidR="00EE0F49" w:rsidRPr="00B2608E" w:rsidRDefault="00EE0F49" w:rsidP="00EE0F49">
            <w:pPr>
              <w:pStyle w:val="Tabletext"/>
              <w:jc w:val="center"/>
            </w:pPr>
            <w:r>
              <w:t>1</w:t>
            </w:r>
            <w:r w:rsidR="00BF693C">
              <w:t xml:space="preserve"> </w:t>
            </w:r>
            <w:r>
              <w:t>511</w:t>
            </w:r>
          </w:p>
        </w:tc>
        <w:tc>
          <w:tcPr>
            <w:tcW w:w="1759" w:type="dxa"/>
            <w:tcBorders>
              <w:top w:val="nil"/>
              <w:left w:val="single" w:sz="4" w:space="0" w:color="auto"/>
              <w:bottom w:val="single" w:sz="4" w:space="0" w:color="auto"/>
            </w:tcBorders>
          </w:tcPr>
          <w:p w14:paraId="31D60AA7" w14:textId="0E6DFA50" w:rsidR="00EE0F49" w:rsidRPr="00B2608E" w:rsidRDefault="00EE0F49" w:rsidP="00EE0F49">
            <w:pPr>
              <w:pStyle w:val="Tabletext"/>
              <w:jc w:val="center"/>
            </w:pPr>
            <w:r>
              <w:t>(4</w:t>
            </w:r>
            <w:r w:rsidR="00BF693C">
              <w:t xml:space="preserve"> </w:t>
            </w:r>
            <w:r>
              <w:t>589)</w:t>
            </w:r>
          </w:p>
        </w:tc>
      </w:tr>
      <w:tr w:rsidR="00EE0F49" w:rsidRPr="00D02A51" w14:paraId="540FCAD0" w14:textId="77777777" w:rsidTr="0023341E">
        <w:trPr>
          <w:cantSplit/>
          <w:trHeight w:val="336"/>
          <w:jc w:val="center"/>
        </w:trPr>
        <w:tc>
          <w:tcPr>
            <w:tcW w:w="5901" w:type="dxa"/>
            <w:tcBorders>
              <w:top w:val="single" w:sz="4" w:space="0" w:color="auto"/>
              <w:bottom w:val="nil"/>
              <w:right w:val="single" w:sz="4" w:space="0" w:color="auto"/>
            </w:tcBorders>
            <w:shd w:val="clear" w:color="auto" w:fill="auto"/>
          </w:tcPr>
          <w:p w14:paraId="314B0127" w14:textId="77777777" w:rsidR="00EE0F49" w:rsidRPr="00D02A51" w:rsidRDefault="00EE0F49" w:rsidP="00EE0F49">
            <w:pPr>
              <w:pStyle w:val="Tabletext"/>
              <w:rPr>
                <w:b/>
              </w:rPr>
            </w:pPr>
            <w:r>
              <w:rPr>
                <w:b/>
              </w:rPr>
              <w:t>Pertes actuarielles comptabilisées à l'actif net</w:t>
            </w:r>
          </w:p>
        </w:tc>
        <w:tc>
          <w:tcPr>
            <w:tcW w:w="1701" w:type="dxa"/>
            <w:tcBorders>
              <w:top w:val="single" w:sz="4" w:space="0" w:color="auto"/>
              <w:left w:val="single" w:sz="4" w:space="0" w:color="auto"/>
              <w:bottom w:val="nil"/>
              <w:right w:val="single" w:sz="4" w:space="0" w:color="auto"/>
            </w:tcBorders>
            <w:shd w:val="clear" w:color="auto" w:fill="auto"/>
          </w:tcPr>
          <w:p w14:paraId="25780737" w14:textId="4E355878" w:rsidR="00EE0F49" w:rsidRPr="00D02A51" w:rsidRDefault="00EE0F49" w:rsidP="00EE0F49">
            <w:pPr>
              <w:pStyle w:val="Tabletext"/>
              <w:jc w:val="center"/>
              <w:rPr>
                <w:b/>
              </w:rPr>
            </w:pPr>
            <w:r>
              <w:rPr>
                <w:b/>
              </w:rPr>
              <w:t>32 748</w:t>
            </w:r>
          </w:p>
        </w:tc>
        <w:tc>
          <w:tcPr>
            <w:tcW w:w="1759" w:type="dxa"/>
            <w:tcBorders>
              <w:top w:val="single" w:sz="4" w:space="0" w:color="auto"/>
              <w:left w:val="single" w:sz="4" w:space="0" w:color="auto"/>
              <w:bottom w:val="nil"/>
            </w:tcBorders>
          </w:tcPr>
          <w:p w14:paraId="08B99EDA" w14:textId="7CEDF44B" w:rsidR="00EE0F49" w:rsidRPr="00D02A51" w:rsidRDefault="00EE0F49" w:rsidP="00EE0F49">
            <w:pPr>
              <w:pStyle w:val="Tabletext"/>
              <w:jc w:val="center"/>
              <w:rPr>
                <w:b/>
              </w:rPr>
            </w:pPr>
            <w:r>
              <w:rPr>
                <w:b/>
              </w:rPr>
              <w:t>19 524</w:t>
            </w:r>
          </w:p>
        </w:tc>
      </w:tr>
      <w:tr w:rsidR="00EE0F49" w:rsidRPr="00D02A51" w14:paraId="445CEF40" w14:textId="77777777" w:rsidTr="0023341E">
        <w:trPr>
          <w:cantSplit/>
          <w:trHeight w:val="336"/>
          <w:jc w:val="center"/>
        </w:trPr>
        <w:tc>
          <w:tcPr>
            <w:tcW w:w="5901" w:type="dxa"/>
            <w:tcBorders>
              <w:top w:val="nil"/>
              <w:bottom w:val="single" w:sz="4" w:space="0" w:color="auto"/>
              <w:right w:val="single" w:sz="4" w:space="0" w:color="auto"/>
            </w:tcBorders>
            <w:shd w:val="clear" w:color="auto" w:fill="auto"/>
            <w:vAlign w:val="bottom"/>
          </w:tcPr>
          <w:p w14:paraId="7CE4818C" w14:textId="77777777" w:rsidR="00EE0F49" w:rsidRPr="00D02A51" w:rsidRDefault="00EE0F49" w:rsidP="00EE0F49">
            <w:pPr>
              <w:pStyle w:val="Tabletext"/>
              <w:rPr>
                <w:b/>
              </w:rPr>
            </w:pPr>
            <w:r>
              <w:rPr>
                <w:b/>
              </w:rPr>
              <w:t>Cotisations pendant l'exercice</w:t>
            </w:r>
          </w:p>
        </w:tc>
        <w:tc>
          <w:tcPr>
            <w:tcW w:w="1701" w:type="dxa"/>
            <w:tcBorders>
              <w:top w:val="nil"/>
              <w:left w:val="single" w:sz="4" w:space="0" w:color="auto"/>
              <w:bottom w:val="single" w:sz="4" w:space="0" w:color="auto"/>
              <w:right w:val="single" w:sz="4" w:space="0" w:color="auto"/>
            </w:tcBorders>
            <w:shd w:val="clear" w:color="auto" w:fill="auto"/>
          </w:tcPr>
          <w:p w14:paraId="654ADEF4" w14:textId="569DA9FB" w:rsidR="00EE0F49" w:rsidRPr="00D02A51" w:rsidRDefault="00EE0F49" w:rsidP="00EE0F49">
            <w:pPr>
              <w:pStyle w:val="Tabletext"/>
              <w:jc w:val="center"/>
              <w:rPr>
                <w:b/>
              </w:rPr>
            </w:pPr>
            <w:r>
              <w:rPr>
                <w:b/>
              </w:rPr>
              <w:t>(10 325)</w:t>
            </w:r>
          </w:p>
        </w:tc>
        <w:tc>
          <w:tcPr>
            <w:tcW w:w="1759" w:type="dxa"/>
            <w:tcBorders>
              <w:top w:val="nil"/>
              <w:left w:val="single" w:sz="4" w:space="0" w:color="auto"/>
              <w:bottom w:val="single" w:sz="4" w:space="0" w:color="auto"/>
            </w:tcBorders>
          </w:tcPr>
          <w:p w14:paraId="045823AA" w14:textId="7B0887EA" w:rsidR="00EE0F49" w:rsidRPr="00D02A51" w:rsidRDefault="00EE0F49" w:rsidP="00EE0F49">
            <w:pPr>
              <w:pStyle w:val="Tabletext"/>
              <w:jc w:val="center"/>
              <w:rPr>
                <w:b/>
              </w:rPr>
            </w:pPr>
            <w:r>
              <w:rPr>
                <w:b/>
              </w:rPr>
              <w:t>(7 009)</w:t>
            </w:r>
          </w:p>
        </w:tc>
      </w:tr>
      <w:tr w:rsidR="00EE0F49" w:rsidRPr="00D02A51" w14:paraId="63DA72EC" w14:textId="77777777" w:rsidTr="0023341E">
        <w:trPr>
          <w:cantSplit/>
          <w:trHeight w:val="336"/>
          <w:jc w:val="center"/>
        </w:trPr>
        <w:tc>
          <w:tcPr>
            <w:tcW w:w="5901" w:type="dxa"/>
            <w:tcBorders>
              <w:top w:val="single" w:sz="4" w:space="0" w:color="auto"/>
              <w:right w:val="single" w:sz="4" w:space="0" w:color="auto"/>
            </w:tcBorders>
            <w:shd w:val="clear" w:color="auto" w:fill="auto"/>
          </w:tcPr>
          <w:p w14:paraId="3C533075" w14:textId="77777777" w:rsidR="00EE0F49" w:rsidRPr="00D02A51" w:rsidRDefault="00EE0F49" w:rsidP="00EE0F49">
            <w:pPr>
              <w:pStyle w:val="Tabletext"/>
              <w:rPr>
                <w:b/>
              </w:rPr>
            </w:pPr>
            <w:r>
              <w:rPr>
                <w:b/>
              </w:rPr>
              <w:t>Montant des engagements au titre du plan ASHI au 31 décembre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E76D9E9" w14:textId="6D6D8CA5" w:rsidR="00EE0F49" w:rsidRPr="00D02A51" w:rsidRDefault="00EE0F49" w:rsidP="00EE0F49">
            <w:pPr>
              <w:pStyle w:val="Tabletext"/>
              <w:jc w:val="center"/>
              <w:rPr>
                <w:b/>
              </w:rPr>
            </w:pPr>
            <w:r>
              <w:rPr>
                <w:b/>
              </w:rPr>
              <w:t>415 835</w:t>
            </w:r>
          </w:p>
        </w:tc>
        <w:tc>
          <w:tcPr>
            <w:tcW w:w="1759" w:type="dxa"/>
            <w:tcBorders>
              <w:top w:val="single" w:sz="4" w:space="0" w:color="auto"/>
              <w:left w:val="single" w:sz="4" w:space="0" w:color="auto"/>
            </w:tcBorders>
          </w:tcPr>
          <w:p w14:paraId="10929E95" w14:textId="3B37A355" w:rsidR="00EE0F49" w:rsidRPr="00D02A51" w:rsidRDefault="00EE0F49" w:rsidP="00EE0F49">
            <w:pPr>
              <w:pStyle w:val="Tabletext"/>
              <w:jc w:val="center"/>
              <w:rPr>
                <w:b/>
              </w:rPr>
            </w:pPr>
            <w:r>
              <w:rPr>
                <w:b/>
              </w:rPr>
              <w:t>375 271</w:t>
            </w:r>
          </w:p>
        </w:tc>
      </w:tr>
    </w:tbl>
    <w:p w14:paraId="6A2FD382" w14:textId="77777777" w:rsidR="0023341E" w:rsidRDefault="0023341E" w:rsidP="0023341E">
      <w:pPr>
        <w:pStyle w:val="Tablefin"/>
      </w:pPr>
    </w:p>
    <w:p w14:paraId="179920FB" w14:textId="7D7AC6F6" w:rsidR="00EE0F49" w:rsidRDefault="00EE0F49" w:rsidP="0023341E">
      <w:pPr>
        <w:jc w:val="both"/>
      </w:pPr>
      <w:r>
        <w:t>3.2</w:t>
      </w:r>
      <w:r>
        <w:tab/>
        <w:t>Les coûts des prestations représentent l'augmentation de la valeur actuelle des engagements au titre des prestations définies résultant des services rendus par les employés pendant l'exercice en cours.</w:t>
      </w:r>
    </w:p>
    <w:p w14:paraId="6892FDFF" w14:textId="77777777" w:rsidR="00EE0F49" w:rsidRDefault="00EE0F49" w:rsidP="0023341E">
      <w:pPr>
        <w:jc w:val="both"/>
      </w:pPr>
      <w:r>
        <w:t>3.3</w:t>
      </w:r>
      <w:r>
        <w:tab/>
        <w:t>Depuis 2016, et en application d'une décision du Groupe d'action des Nations Unies pour la mise en œuvre des normes, toutes les hypothèses relatives à l'évaluation de l'ASHI utilisées par les institutions des Nations Unies ont été harmonisées.</w:t>
      </w:r>
    </w:p>
    <w:p w14:paraId="6A26FE0B" w14:textId="77777777" w:rsidR="00EE0F49" w:rsidRDefault="00EE0F49" w:rsidP="0023341E">
      <w:pPr>
        <w:jc w:val="both"/>
      </w:pPr>
      <w:r>
        <w:t>3.4</w:t>
      </w:r>
      <w:r>
        <w:tab/>
        <w:t>Parmi les hypothèses utilisées pour l'évaluation actuarielle, le taux d'actualisation (reposant sur le rendement des obligations des entreprises notées AA), la hausse des coûts médicaux et l'augmentation des traitements sont celles dont l'incidence est la plus forte. Une baisse du taux d'actualisation ou une augmentation des coûts médicaux se traduit par une hausse des passifs de l'ASHI, tandis qu'une augmentation des traitements entraîne une hausse des cotisations versées par les membres et l'UIT et a un effet positif sur le financement des passifs de l'ASHI.</w:t>
      </w:r>
    </w:p>
    <w:p w14:paraId="74ECE71A" w14:textId="0094FB3F" w:rsidR="00EE0F49" w:rsidRDefault="00EE0F49" w:rsidP="0023341E">
      <w:pPr>
        <w:jc w:val="both"/>
      </w:pPr>
      <w:r>
        <w:t>3.5</w:t>
      </w:r>
      <w:r>
        <w:tab/>
        <w:t>Deux catégories d'hypothèses sont retenues pour l'évaluation de l'ASHI: les hypothèses démographiques et les hypothèses financières. En 2024, le taux d</w:t>
      </w:r>
      <w:r w:rsidR="00006070">
        <w:t>'</w:t>
      </w:r>
      <w:r>
        <w:t>actualisation est passé de 1,9% à 1,4%, ce qui a contribué à la modification des hypothèses financières avec pour conséquence une perte de 20,6 millions CHF en 2024, contre une perte de</w:t>
      </w:r>
      <w:r w:rsidR="00BF693C">
        <w:t> </w:t>
      </w:r>
      <w:r>
        <w:t>24,6</w:t>
      </w:r>
      <w:r w:rsidR="00BF693C">
        <w:t> </w:t>
      </w:r>
      <w:r>
        <w:t>millions CHF en 2023. Un deuxième élément qui a contribué de manière significative à la hausse des passifs de l'ASHI est la modification des hypothèses démographiques. L'analyse des données fournies par l'UNSMIS a montré une diminution des gains actuariels, ces derniers passant d'un montant positif de 0,6 million CHF en 2023 à une perte de</w:t>
      </w:r>
      <w:r w:rsidR="00BF693C">
        <w:t> </w:t>
      </w:r>
      <w:r>
        <w:t>10,6</w:t>
      </w:r>
      <w:r w:rsidR="00BF693C">
        <w:t> </w:t>
      </w:r>
      <w:r>
        <w:t>millions CHF en 2024. En outre, la mise à jour de l'étude d'expérience a entraîné une perte de 1,5 million CHF en 2024, alors que l'année 2023 a connu un gain de</w:t>
      </w:r>
      <w:r w:rsidR="00BF693C">
        <w:t> </w:t>
      </w:r>
      <w:r>
        <w:t>4,6</w:t>
      </w:r>
      <w:r w:rsidR="00BF693C">
        <w:t> </w:t>
      </w:r>
      <w:r>
        <w:t>millions</w:t>
      </w:r>
      <w:r w:rsidR="00BF693C">
        <w:t> </w:t>
      </w:r>
      <w:r>
        <w:t>CHF.</w:t>
      </w:r>
    </w:p>
    <w:p w14:paraId="3F6ABAFE" w14:textId="77777777" w:rsidR="00EE0F49" w:rsidRDefault="00EE0F49" w:rsidP="0023341E">
      <w:pPr>
        <w:keepLines/>
        <w:jc w:val="both"/>
      </w:pPr>
      <w:r>
        <w:lastRenderedPageBreak/>
        <w:t>3.6</w:t>
      </w:r>
      <w:r>
        <w:tab/>
        <w:t>Au vu de leur mode de calcul, les passifs de l'ASHI sont volatiles par nature. Comme il ressort du tableau ci-dessous, en 2022, les passifs de l'ASHI ont atteint leur niveau le plus bas depuis dix ans, avant d'augmenter de nouveau en 2024, principalement en raison de la modification des hypothèses démographiques.</w:t>
      </w:r>
    </w:p>
    <w:p w14:paraId="7C948780" w14:textId="77777777" w:rsidR="00EE0F49" w:rsidRDefault="00EE0F49" w:rsidP="0023341E">
      <w:pPr>
        <w:jc w:val="both"/>
      </w:pPr>
      <w:r>
        <w:t>3.7</w:t>
      </w:r>
      <w:r>
        <w:tab/>
        <w:t>Malgré la diminution du taux d'actualisation au 31 décembre 2024, les passifs de l'ASHI ont accusé une baisse de 34,2% par rapport à 2020, où ils étaient au plus haut.</w:t>
      </w:r>
    </w:p>
    <w:p w14:paraId="67820883" w14:textId="5C9C5C58" w:rsidR="00EE0F49" w:rsidRDefault="00EE0F49" w:rsidP="0023341E">
      <w:pPr>
        <w:spacing w:after="120"/>
        <w:jc w:val="both"/>
      </w:pPr>
      <w:r>
        <w:t>3.8</w:t>
      </w:r>
      <w:r>
        <w:tab/>
        <w:t>L'évolution de ces hypothèses ainsi que des passifs de l'ASHI fait l'objet du tableau ci</w:t>
      </w:r>
      <w:r w:rsidR="00BF693C">
        <w:noBreakHyphen/>
      </w:r>
      <w:r>
        <w:t>dessous.</w:t>
      </w:r>
    </w:p>
    <w:tbl>
      <w:tblPr>
        <w:tblW w:w="9190" w:type="dxa"/>
        <w:jc w:val="center"/>
        <w:tblLayout w:type="fixed"/>
        <w:tblLook w:val="04A0" w:firstRow="1" w:lastRow="0" w:firstColumn="1" w:lastColumn="0" w:noHBand="0" w:noVBand="1"/>
      </w:tblPr>
      <w:tblGrid>
        <w:gridCol w:w="1833"/>
        <w:gridCol w:w="1050"/>
        <w:gridCol w:w="1050"/>
        <w:gridCol w:w="1051"/>
        <w:gridCol w:w="1052"/>
        <w:gridCol w:w="1051"/>
        <w:gridCol w:w="1051"/>
        <w:gridCol w:w="1052"/>
      </w:tblGrid>
      <w:tr w:rsidR="00EE0F49" w:rsidRPr="00B2608E" w14:paraId="79B1E0BB" w14:textId="77777777" w:rsidTr="003E4208">
        <w:trPr>
          <w:trHeight w:val="435"/>
          <w:jc w:val="center"/>
        </w:trPr>
        <w:tc>
          <w:tcPr>
            <w:tcW w:w="1833" w:type="dxa"/>
            <w:tcBorders>
              <w:top w:val="single" w:sz="8" w:space="0" w:color="auto"/>
              <w:left w:val="single" w:sz="8" w:space="0" w:color="auto"/>
              <w:bottom w:val="nil"/>
              <w:right w:val="single" w:sz="4" w:space="0" w:color="auto"/>
            </w:tcBorders>
            <w:shd w:val="clear" w:color="auto" w:fill="auto"/>
            <w:vAlign w:val="center"/>
            <w:hideMark/>
          </w:tcPr>
          <w:p w14:paraId="669C3A7D" w14:textId="5C6C8C94" w:rsidR="00EE0F49" w:rsidRPr="00B2608E" w:rsidRDefault="00EE0F49" w:rsidP="003E4208">
            <w:pPr>
              <w:pStyle w:val="Tablehead"/>
            </w:pP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14:paraId="127CAC0C" w14:textId="77777777" w:rsidR="00EE0F49" w:rsidRPr="00B2608E" w:rsidRDefault="00EE0F49" w:rsidP="003E4208">
            <w:pPr>
              <w:pStyle w:val="Tablehead"/>
            </w:pPr>
            <w:r>
              <w:rPr>
                <w:bCs/>
                <w:color w:val="000000"/>
              </w:rPr>
              <w:t>2018</w:t>
            </w:r>
          </w:p>
        </w:tc>
        <w:tc>
          <w:tcPr>
            <w:tcW w:w="1050" w:type="dxa"/>
            <w:tcBorders>
              <w:top w:val="single" w:sz="8" w:space="0" w:color="auto"/>
              <w:left w:val="nil"/>
              <w:bottom w:val="single" w:sz="8" w:space="0" w:color="auto"/>
              <w:right w:val="single" w:sz="8" w:space="0" w:color="auto"/>
            </w:tcBorders>
            <w:shd w:val="clear" w:color="auto" w:fill="auto"/>
            <w:vAlign w:val="center"/>
            <w:hideMark/>
          </w:tcPr>
          <w:p w14:paraId="53E10BA5" w14:textId="77777777" w:rsidR="00EE0F49" w:rsidRPr="00B2608E" w:rsidRDefault="00EE0F49" w:rsidP="003E4208">
            <w:pPr>
              <w:pStyle w:val="Tablehead"/>
            </w:pPr>
            <w:r>
              <w:rPr>
                <w:bCs/>
                <w:color w:val="000000"/>
              </w:rPr>
              <w:t>2019</w:t>
            </w:r>
          </w:p>
        </w:tc>
        <w:tc>
          <w:tcPr>
            <w:tcW w:w="1051" w:type="dxa"/>
            <w:tcBorders>
              <w:top w:val="single" w:sz="8" w:space="0" w:color="auto"/>
              <w:left w:val="nil"/>
              <w:bottom w:val="single" w:sz="8" w:space="0" w:color="auto"/>
              <w:right w:val="single" w:sz="8" w:space="0" w:color="auto"/>
            </w:tcBorders>
            <w:shd w:val="clear" w:color="auto" w:fill="auto"/>
            <w:noWrap/>
            <w:vAlign w:val="center"/>
            <w:hideMark/>
          </w:tcPr>
          <w:p w14:paraId="7B88971F" w14:textId="77777777" w:rsidR="00EE0F49" w:rsidRPr="00B2608E" w:rsidRDefault="00EE0F49" w:rsidP="003E4208">
            <w:pPr>
              <w:pStyle w:val="Tablehead"/>
            </w:pPr>
            <w:r>
              <w:rPr>
                <w:bCs/>
                <w:color w:val="000000"/>
              </w:rPr>
              <w:t>2020</w:t>
            </w:r>
          </w:p>
        </w:tc>
        <w:tc>
          <w:tcPr>
            <w:tcW w:w="1052" w:type="dxa"/>
            <w:tcBorders>
              <w:top w:val="single" w:sz="8" w:space="0" w:color="auto"/>
              <w:left w:val="nil"/>
              <w:bottom w:val="single" w:sz="8" w:space="0" w:color="auto"/>
              <w:right w:val="single" w:sz="8" w:space="0" w:color="auto"/>
            </w:tcBorders>
            <w:shd w:val="clear" w:color="auto" w:fill="auto"/>
            <w:vAlign w:val="center"/>
            <w:hideMark/>
          </w:tcPr>
          <w:p w14:paraId="421A8CD4" w14:textId="77777777" w:rsidR="00EE0F49" w:rsidRPr="00B2608E" w:rsidRDefault="00EE0F49" w:rsidP="003E4208">
            <w:pPr>
              <w:pStyle w:val="Tablehead"/>
            </w:pPr>
            <w:r>
              <w:rPr>
                <w:bCs/>
                <w:color w:val="000000"/>
              </w:rPr>
              <w:t>2021</w:t>
            </w:r>
          </w:p>
        </w:tc>
        <w:tc>
          <w:tcPr>
            <w:tcW w:w="1051" w:type="dxa"/>
            <w:tcBorders>
              <w:top w:val="single" w:sz="8" w:space="0" w:color="auto"/>
              <w:left w:val="nil"/>
              <w:bottom w:val="single" w:sz="8" w:space="0" w:color="auto"/>
              <w:right w:val="single" w:sz="8" w:space="0" w:color="auto"/>
            </w:tcBorders>
            <w:vAlign w:val="center"/>
          </w:tcPr>
          <w:p w14:paraId="0F997191" w14:textId="77777777" w:rsidR="00EE0F49" w:rsidRPr="00B2608E" w:rsidRDefault="00EE0F49" w:rsidP="003E4208">
            <w:pPr>
              <w:pStyle w:val="Tablehead"/>
            </w:pPr>
            <w:r>
              <w:rPr>
                <w:bCs/>
                <w:color w:val="000000"/>
              </w:rPr>
              <w:t>2022</w:t>
            </w:r>
          </w:p>
        </w:tc>
        <w:tc>
          <w:tcPr>
            <w:tcW w:w="1051" w:type="dxa"/>
            <w:tcBorders>
              <w:top w:val="single" w:sz="8" w:space="0" w:color="auto"/>
              <w:left w:val="nil"/>
              <w:bottom w:val="single" w:sz="8" w:space="0" w:color="auto"/>
              <w:right w:val="single" w:sz="4" w:space="0" w:color="auto"/>
            </w:tcBorders>
            <w:vAlign w:val="center"/>
          </w:tcPr>
          <w:p w14:paraId="0CA68545" w14:textId="77777777" w:rsidR="00EE0F49" w:rsidRPr="00B2608E" w:rsidRDefault="00EE0F49" w:rsidP="003E4208">
            <w:pPr>
              <w:pStyle w:val="Tablehead"/>
            </w:pPr>
            <w:r>
              <w:rPr>
                <w:bCs/>
                <w:color w:val="000000"/>
              </w:rPr>
              <w:t>2023</w:t>
            </w:r>
          </w:p>
        </w:tc>
        <w:tc>
          <w:tcPr>
            <w:tcW w:w="1052" w:type="dxa"/>
            <w:tcBorders>
              <w:top w:val="single" w:sz="8" w:space="0" w:color="auto"/>
              <w:left w:val="single" w:sz="4" w:space="0" w:color="auto"/>
              <w:bottom w:val="single" w:sz="8" w:space="0" w:color="auto"/>
              <w:right w:val="single" w:sz="8" w:space="0" w:color="auto"/>
            </w:tcBorders>
            <w:vAlign w:val="center"/>
          </w:tcPr>
          <w:p w14:paraId="6B536761" w14:textId="77777777" w:rsidR="00EE0F49" w:rsidRPr="00B2608E" w:rsidRDefault="00EE0F49" w:rsidP="003E4208">
            <w:pPr>
              <w:pStyle w:val="Tablehead"/>
            </w:pPr>
            <w:r>
              <w:rPr>
                <w:bCs/>
                <w:color w:val="000000"/>
              </w:rPr>
              <w:t>2024</w:t>
            </w:r>
          </w:p>
        </w:tc>
      </w:tr>
      <w:tr w:rsidR="00EE0F49" w:rsidRPr="00B2608E" w14:paraId="360163BE" w14:textId="77777777" w:rsidTr="003E4208">
        <w:trPr>
          <w:trHeight w:val="480"/>
          <w:jc w:val="center"/>
        </w:trPr>
        <w:tc>
          <w:tcPr>
            <w:tcW w:w="1833" w:type="dxa"/>
            <w:tcBorders>
              <w:top w:val="nil"/>
              <w:left w:val="single" w:sz="8" w:space="0" w:color="auto"/>
              <w:bottom w:val="nil"/>
              <w:right w:val="single" w:sz="4" w:space="0" w:color="auto"/>
            </w:tcBorders>
            <w:shd w:val="clear" w:color="auto" w:fill="auto"/>
            <w:vAlign w:val="center"/>
            <w:hideMark/>
          </w:tcPr>
          <w:p w14:paraId="380766BC" w14:textId="77777777" w:rsidR="00EE0F49" w:rsidRPr="00EE0F49" w:rsidRDefault="00EE0F49" w:rsidP="00EE0F49">
            <w:pPr>
              <w:pStyle w:val="Tabletext"/>
            </w:pPr>
            <w:r w:rsidRPr="00EE0F49">
              <w:t>Taux d'actualisation</w:t>
            </w:r>
          </w:p>
        </w:tc>
        <w:tc>
          <w:tcPr>
            <w:tcW w:w="1050" w:type="dxa"/>
            <w:tcBorders>
              <w:top w:val="nil"/>
              <w:left w:val="nil"/>
              <w:bottom w:val="nil"/>
              <w:right w:val="single" w:sz="8" w:space="0" w:color="auto"/>
            </w:tcBorders>
            <w:shd w:val="clear" w:color="auto" w:fill="auto"/>
            <w:noWrap/>
            <w:vAlign w:val="center"/>
            <w:hideMark/>
          </w:tcPr>
          <w:p w14:paraId="0EFD1D6E" w14:textId="77777777" w:rsidR="00EE0F49" w:rsidRPr="00EE0F49" w:rsidRDefault="00EE0F49" w:rsidP="00EE0F49">
            <w:pPr>
              <w:pStyle w:val="Tabletext"/>
              <w:jc w:val="center"/>
            </w:pPr>
            <w:r w:rsidRPr="00EE0F49">
              <w:t>1,20%</w:t>
            </w:r>
          </w:p>
        </w:tc>
        <w:tc>
          <w:tcPr>
            <w:tcW w:w="1050" w:type="dxa"/>
            <w:tcBorders>
              <w:top w:val="nil"/>
              <w:left w:val="nil"/>
              <w:bottom w:val="nil"/>
              <w:right w:val="single" w:sz="8" w:space="0" w:color="auto"/>
            </w:tcBorders>
            <w:shd w:val="clear" w:color="auto" w:fill="auto"/>
            <w:noWrap/>
            <w:vAlign w:val="center"/>
            <w:hideMark/>
          </w:tcPr>
          <w:p w14:paraId="1F5EC45A" w14:textId="77777777" w:rsidR="00EE0F49" w:rsidRPr="00EE0F49" w:rsidRDefault="00EE0F49" w:rsidP="00EE0F49">
            <w:pPr>
              <w:pStyle w:val="Tabletext"/>
              <w:jc w:val="center"/>
            </w:pPr>
            <w:r w:rsidRPr="00EE0F49">
              <w:t>0,60%</w:t>
            </w:r>
          </w:p>
        </w:tc>
        <w:tc>
          <w:tcPr>
            <w:tcW w:w="1051" w:type="dxa"/>
            <w:tcBorders>
              <w:top w:val="nil"/>
              <w:left w:val="nil"/>
              <w:bottom w:val="nil"/>
              <w:right w:val="single" w:sz="8" w:space="0" w:color="auto"/>
            </w:tcBorders>
            <w:shd w:val="clear" w:color="auto" w:fill="auto"/>
            <w:noWrap/>
            <w:vAlign w:val="center"/>
            <w:hideMark/>
          </w:tcPr>
          <w:p w14:paraId="119F7DCD" w14:textId="77777777" w:rsidR="00EE0F49" w:rsidRPr="00EE0F49" w:rsidRDefault="00EE0F49" w:rsidP="00EE0F49">
            <w:pPr>
              <w:pStyle w:val="Tabletext"/>
              <w:jc w:val="center"/>
            </w:pPr>
            <w:r w:rsidRPr="00EE0F49">
              <w:t>0,20%</w:t>
            </w:r>
          </w:p>
        </w:tc>
        <w:tc>
          <w:tcPr>
            <w:tcW w:w="1052" w:type="dxa"/>
            <w:tcBorders>
              <w:top w:val="nil"/>
              <w:left w:val="nil"/>
              <w:bottom w:val="nil"/>
              <w:right w:val="single" w:sz="8" w:space="0" w:color="auto"/>
            </w:tcBorders>
            <w:shd w:val="clear" w:color="auto" w:fill="auto"/>
            <w:noWrap/>
            <w:vAlign w:val="center"/>
            <w:hideMark/>
          </w:tcPr>
          <w:p w14:paraId="2EA9D16E" w14:textId="77777777" w:rsidR="00EE0F49" w:rsidRPr="00EE0F49" w:rsidRDefault="00EE0F49" w:rsidP="00EE0F49">
            <w:pPr>
              <w:pStyle w:val="Tabletext"/>
              <w:jc w:val="center"/>
            </w:pPr>
            <w:r w:rsidRPr="00EE0F49">
              <w:t>0,50%</w:t>
            </w:r>
          </w:p>
        </w:tc>
        <w:tc>
          <w:tcPr>
            <w:tcW w:w="1051" w:type="dxa"/>
            <w:tcBorders>
              <w:top w:val="nil"/>
              <w:left w:val="nil"/>
              <w:bottom w:val="nil"/>
              <w:right w:val="single" w:sz="8" w:space="0" w:color="auto"/>
            </w:tcBorders>
            <w:vAlign w:val="center"/>
          </w:tcPr>
          <w:p w14:paraId="43D42607" w14:textId="77777777" w:rsidR="00EE0F49" w:rsidRPr="00EE0F49" w:rsidRDefault="00EE0F49" w:rsidP="00EE0F49">
            <w:pPr>
              <w:pStyle w:val="Tabletext"/>
              <w:jc w:val="center"/>
            </w:pPr>
            <w:r w:rsidRPr="00EE0F49">
              <w:t>2,50%</w:t>
            </w:r>
          </w:p>
        </w:tc>
        <w:tc>
          <w:tcPr>
            <w:tcW w:w="1051" w:type="dxa"/>
            <w:tcBorders>
              <w:top w:val="nil"/>
              <w:left w:val="nil"/>
              <w:bottom w:val="nil"/>
              <w:right w:val="single" w:sz="4" w:space="0" w:color="auto"/>
            </w:tcBorders>
            <w:vAlign w:val="center"/>
          </w:tcPr>
          <w:p w14:paraId="3CC3B5CE" w14:textId="77777777" w:rsidR="00EE0F49" w:rsidRPr="00EE0F49" w:rsidRDefault="00EE0F49" w:rsidP="00EE0F49">
            <w:pPr>
              <w:pStyle w:val="Tabletext"/>
              <w:jc w:val="center"/>
            </w:pPr>
            <w:r w:rsidRPr="00EE0F49">
              <w:t>1,90%</w:t>
            </w:r>
          </w:p>
        </w:tc>
        <w:tc>
          <w:tcPr>
            <w:tcW w:w="1052" w:type="dxa"/>
            <w:tcBorders>
              <w:top w:val="nil"/>
              <w:left w:val="single" w:sz="4" w:space="0" w:color="auto"/>
              <w:bottom w:val="nil"/>
              <w:right w:val="single" w:sz="8" w:space="0" w:color="auto"/>
            </w:tcBorders>
            <w:vAlign w:val="center"/>
          </w:tcPr>
          <w:p w14:paraId="3B2282D1" w14:textId="77777777" w:rsidR="00EE0F49" w:rsidRPr="00EE0F49" w:rsidRDefault="00EE0F49" w:rsidP="00EE0F49">
            <w:pPr>
              <w:pStyle w:val="Tabletext"/>
              <w:jc w:val="center"/>
            </w:pPr>
            <w:r w:rsidRPr="00EE0F49">
              <w:t>1,40%</w:t>
            </w:r>
          </w:p>
        </w:tc>
      </w:tr>
      <w:tr w:rsidR="00EE0F49" w:rsidRPr="00B2608E" w14:paraId="65A054DA" w14:textId="77777777" w:rsidTr="003E4208">
        <w:trPr>
          <w:trHeight w:val="420"/>
          <w:jc w:val="center"/>
        </w:trPr>
        <w:tc>
          <w:tcPr>
            <w:tcW w:w="1833" w:type="dxa"/>
            <w:tcBorders>
              <w:top w:val="nil"/>
              <w:left w:val="single" w:sz="8" w:space="0" w:color="auto"/>
              <w:right w:val="single" w:sz="4" w:space="0" w:color="auto"/>
            </w:tcBorders>
            <w:shd w:val="clear" w:color="auto" w:fill="auto"/>
            <w:vAlign w:val="center"/>
            <w:hideMark/>
          </w:tcPr>
          <w:p w14:paraId="6E5C455D" w14:textId="77777777" w:rsidR="00EE0F49" w:rsidRPr="00EE0F49" w:rsidRDefault="00EE0F49" w:rsidP="00EE0F49">
            <w:pPr>
              <w:pStyle w:val="Tabletext"/>
            </w:pPr>
            <w:r w:rsidRPr="00EE0F49">
              <w:t>Hausse des coûts médicaux</w:t>
            </w:r>
          </w:p>
        </w:tc>
        <w:tc>
          <w:tcPr>
            <w:tcW w:w="1050" w:type="dxa"/>
            <w:tcBorders>
              <w:top w:val="nil"/>
              <w:left w:val="nil"/>
              <w:bottom w:val="nil"/>
              <w:right w:val="single" w:sz="8" w:space="0" w:color="auto"/>
            </w:tcBorders>
            <w:shd w:val="clear" w:color="auto" w:fill="auto"/>
            <w:vAlign w:val="center"/>
            <w:hideMark/>
          </w:tcPr>
          <w:p w14:paraId="64DDFCB7" w14:textId="77777777" w:rsidR="00EE0F49" w:rsidRPr="00EE0F49" w:rsidRDefault="00EE0F49" w:rsidP="00EE0F49">
            <w:pPr>
              <w:pStyle w:val="Tabletext"/>
              <w:jc w:val="center"/>
            </w:pPr>
            <w:r w:rsidRPr="00EE0F49">
              <w:t>3,90%</w:t>
            </w:r>
          </w:p>
        </w:tc>
        <w:tc>
          <w:tcPr>
            <w:tcW w:w="1050" w:type="dxa"/>
            <w:tcBorders>
              <w:top w:val="nil"/>
              <w:left w:val="nil"/>
              <w:bottom w:val="nil"/>
              <w:right w:val="single" w:sz="8" w:space="0" w:color="auto"/>
            </w:tcBorders>
            <w:shd w:val="clear" w:color="auto" w:fill="auto"/>
            <w:vAlign w:val="center"/>
            <w:hideMark/>
          </w:tcPr>
          <w:p w14:paraId="3334E31B" w14:textId="77777777" w:rsidR="00EE0F49" w:rsidRPr="00EE0F49" w:rsidRDefault="00EE0F49" w:rsidP="00EE0F49">
            <w:pPr>
              <w:pStyle w:val="Tabletext"/>
              <w:jc w:val="center"/>
            </w:pPr>
            <w:r w:rsidRPr="00EE0F49">
              <w:t>3,00%</w:t>
            </w:r>
          </w:p>
        </w:tc>
        <w:tc>
          <w:tcPr>
            <w:tcW w:w="1051" w:type="dxa"/>
            <w:tcBorders>
              <w:top w:val="nil"/>
              <w:left w:val="nil"/>
              <w:bottom w:val="nil"/>
              <w:right w:val="single" w:sz="8" w:space="0" w:color="auto"/>
            </w:tcBorders>
            <w:shd w:val="clear" w:color="auto" w:fill="auto"/>
            <w:vAlign w:val="center"/>
            <w:hideMark/>
          </w:tcPr>
          <w:p w14:paraId="0EF9487F" w14:textId="77777777" w:rsidR="00EE0F49" w:rsidRPr="00EE0F49" w:rsidRDefault="00EE0F49" w:rsidP="00EE0F49">
            <w:pPr>
              <w:pStyle w:val="Tabletext"/>
              <w:jc w:val="center"/>
            </w:pPr>
            <w:r w:rsidRPr="00EE0F49">
              <w:t>2,80%</w:t>
            </w:r>
          </w:p>
        </w:tc>
        <w:tc>
          <w:tcPr>
            <w:tcW w:w="1052" w:type="dxa"/>
            <w:tcBorders>
              <w:top w:val="nil"/>
              <w:left w:val="nil"/>
              <w:bottom w:val="nil"/>
              <w:right w:val="single" w:sz="8" w:space="0" w:color="auto"/>
            </w:tcBorders>
            <w:shd w:val="clear" w:color="auto" w:fill="auto"/>
            <w:vAlign w:val="center"/>
            <w:hideMark/>
          </w:tcPr>
          <w:p w14:paraId="0C5EE0C5" w14:textId="77777777" w:rsidR="00EE0F49" w:rsidRPr="00EE0F49" w:rsidRDefault="00EE0F49" w:rsidP="00EE0F49">
            <w:pPr>
              <w:pStyle w:val="Tabletext"/>
              <w:jc w:val="center"/>
            </w:pPr>
            <w:r w:rsidRPr="00EE0F49">
              <w:t>2,50%</w:t>
            </w:r>
          </w:p>
        </w:tc>
        <w:tc>
          <w:tcPr>
            <w:tcW w:w="1051" w:type="dxa"/>
            <w:tcBorders>
              <w:top w:val="nil"/>
              <w:left w:val="nil"/>
              <w:bottom w:val="nil"/>
              <w:right w:val="single" w:sz="8" w:space="0" w:color="auto"/>
            </w:tcBorders>
            <w:vAlign w:val="center"/>
          </w:tcPr>
          <w:p w14:paraId="2EE1949F" w14:textId="77777777" w:rsidR="00EE0F49" w:rsidRPr="00EE0F49" w:rsidRDefault="00EE0F49" w:rsidP="00EE0F49">
            <w:pPr>
              <w:pStyle w:val="Tabletext"/>
              <w:jc w:val="center"/>
            </w:pPr>
            <w:r w:rsidRPr="00EE0F49">
              <w:t>2,80%</w:t>
            </w:r>
          </w:p>
        </w:tc>
        <w:tc>
          <w:tcPr>
            <w:tcW w:w="1051" w:type="dxa"/>
            <w:tcBorders>
              <w:top w:val="nil"/>
              <w:left w:val="nil"/>
              <w:bottom w:val="nil"/>
              <w:right w:val="single" w:sz="4" w:space="0" w:color="auto"/>
            </w:tcBorders>
            <w:vAlign w:val="center"/>
          </w:tcPr>
          <w:p w14:paraId="1F0F744D" w14:textId="77777777" w:rsidR="00EE0F49" w:rsidRPr="00EE0F49" w:rsidRDefault="00EE0F49" w:rsidP="00EE0F49">
            <w:pPr>
              <w:pStyle w:val="Tabletext"/>
              <w:jc w:val="center"/>
            </w:pPr>
            <w:r w:rsidRPr="00EE0F49">
              <w:t>2,60%</w:t>
            </w:r>
          </w:p>
        </w:tc>
        <w:tc>
          <w:tcPr>
            <w:tcW w:w="1052" w:type="dxa"/>
            <w:tcBorders>
              <w:top w:val="nil"/>
              <w:left w:val="single" w:sz="4" w:space="0" w:color="auto"/>
              <w:bottom w:val="nil"/>
              <w:right w:val="single" w:sz="8" w:space="0" w:color="auto"/>
            </w:tcBorders>
            <w:vAlign w:val="center"/>
          </w:tcPr>
          <w:p w14:paraId="2EED6DF6" w14:textId="77777777" w:rsidR="00EE0F49" w:rsidRPr="00EE0F49" w:rsidRDefault="00EE0F49" w:rsidP="00EE0F49">
            <w:pPr>
              <w:pStyle w:val="Tabletext"/>
              <w:jc w:val="center"/>
            </w:pPr>
            <w:r w:rsidRPr="00EE0F49">
              <w:t>2,40%</w:t>
            </w:r>
          </w:p>
        </w:tc>
      </w:tr>
      <w:tr w:rsidR="00EE0F49" w:rsidRPr="00B2608E" w14:paraId="19E85367" w14:textId="77777777" w:rsidTr="003E4208">
        <w:trPr>
          <w:trHeight w:val="420"/>
          <w:jc w:val="center"/>
        </w:trPr>
        <w:tc>
          <w:tcPr>
            <w:tcW w:w="1833" w:type="dxa"/>
            <w:tcBorders>
              <w:top w:val="nil"/>
              <w:left w:val="single" w:sz="8" w:space="0" w:color="auto"/>
              <w:right w:val="single" w:sz="4" w:space="0" w:color="auto"/>
            </w:tcBorders>
            <w:shd w:val="clear" w:color="auto" w:fill="auto"/>
            <w:hideMark/>
          </w:tcPr>
          <w:p w14:paraId="52E40AE8" w14:textId="77777777" w:rsidR="00EE0F49" w:rsidRPr="00EE0F49" w:rsidRDefault="00EE0F49" w:rsidP="00EE0F49">
            <w:pPr>
              <w:pStyle w:val="Tabletext"/>
            </w:pPr>
            <w:r w:rsidRPr="00EE0F49">
              <w:t>Augmentation des traitements</w:t>
            </w:r>
          </w:p>
        </w:tc>
        <w:tc>
          <w:tcPr>
            <w:tcW w:w="1050" w:type="dxa"/>
            <w:tcBorders>
              <w:top w:val="nil"/>
              <w:left w:val="nil"/>
              <w:bottom w:val="nil"/>
              <w:right w:val="single" w:sz="8" w:space="0" w:color="auto"/>
            </w:tcBorders>
            <w:shd w:val="clear" w:color="auto" w:fill="auto"/>
            <w:vAlign w:val="center"/>
            <w:hideMark/>
          </w:tcPr>
          <w:p w14:paraId="11834CB6" w14:textId="77777777" w:rsidR="00EE0F49" w:rsidRPr="00EE0F49" w:rsidRDefault="00EE0F49" w:rsidP="00EE0F49">
            <w:pPr>
              <w:pStyle w:val="Tabletext"/>
              <w:jc w:val="center"/>
            </w:pPr>
            <w:r w:rsidRPr="00EE0F49">
              <w:t>3,50%</w:t>
            </w:r>
          </w:p>
        </w:tc>
        <w:tc>
          <w:tcPr>
            <w:tcW w:w="1050" w:type="dxa"/>
            <w:tcBorders>
              <w:top w:val="nil"/>
              <w:left w:val="nil"/>
              <w:bottom w:val="nil"/>
              <w:right w:val="single" w:sz="8" w:space="0" w:color="auto"/>
            </w:tcBorders>
            <w:shd w:val="clear" w:color="auto" w:fill="auto"/>
            <w:vAlign w:val="center"/>
            <w:hideMark/>
          </w:tcPr>
          <w:p w14:paraId="7522A134" w14:textId="77777777" w:rsidR="00EE0F49" w:rsidRPr="00EE0F49" w:rsidRDefault="00EE0F49" w:rsidP="00EE0F49">
            <w:pPr>
              <w:pStyle w:val="Tabletext"/>
              <w:jc w:val="center"/>
            </w:pPr>
            <w:r w:rsidRPr="00EE0F49">
              <w:t>3,00%</w:t>
            </w:r>
          </w:p>
        </w:tc>
        <w:tc>
          <w:tcPr>
            <w:tcW w:w="1051" w:type="dxa"/>
            <w:tcBorders>
              <w:top w:val="nil"/>
              <w:left w:val="nil"/>
              <w:bottom w:val="nil"/>
              <w:right w:val="single" w:sz="8" w:space="0" w:color="auto"/>
            </w:tcBorders>
            <w:shd w:val="clear" w:color="auto" w:fill="auto"/>
            <w:vAlign w:val="center"/>
            <w:hideMark/>
          </w:tcPr>
          <w:p w14:paraId="4C8F45D8" w14:textId="77777777" w:rsidR="00EE0F49" w:rsidRPr="00EE0F49" w:rsidRDefault="00EE0F49" w:rsidP="00EE0F49">
            <w:pPr>
              <w:pStyle w:val="Tabletext"/>
              <w:jc w:val="center"/>
            </w:pPr>
            <w:r w:rsidRPr="00EE0F49">
              <w:t>3,00%</w:t>
            </w:r>
          </w:p>
        </w:tc>
        <w:tc>
          <w:tcPr>
            <w:tcW w:w="1052" w:type="dxa"/>
            <w:tcBorders>
              <w:top w:val="nil"/>
              <w:left w:val="nil"/>
              <w:bottom w:val="nil"/>
              <w:right w:val="single" w:sz="8" w:space="0" w:color="auto"/>
            </w:tcBorders>
            <w:shd w:val="clear" w:color="auto" w:fill="auto"/>
            <w:vAlign w:val="center"/>
            <w:hideMark/>
          </w:tcPr>
          <w:p w14:paraId="2F775659" w14:textId="77777777" w:rsidR="00EE0F49" w:rsidRPr="00EE0F49" w:rsidRDefault="00EE0F49" w:rsidP="00EE0F49">
            <w:pPr>
              <w:pStyle w:val="Tabletext"/>
              <w:jc w:val="center"/>
            </w:pPr>
            <w:r w:rsidRPr="00EE0F49">
              <w:t>3,00%</w:t>
            </w:r>
          </w:p>
        </w:tc>
        <w:tc>
          <w:tcPr>
            <w:tcW w:w="1051" w:type="dxa"/>
            <w:tcBorders>
              <w:top w:val="nil"/>
              <w:left w:val="nil"/>
              <w:bottom w:val="nil"/>
              <w:right w:val="single" w:sz="8" w:space="0" w:color="auto"/>
            </w:tcBorders>
            <w:vAlign w:val="center"/>
          </w:tcPr>
          <w:p w14:paraId="103856DF" w14:textId="77777777" w:rsidR="00EE0F49" w:rsidRPr="00EE0F49" w:rsidRDefault="00EE0F49" w:rsidP="00EE0F49">
            <w:pPr>
              <w:pStyle w:val="Tabletext"/>
              <w:jc w:val="center"/>
            </w:pPr>
            <w:r w:rsidRPr="00EE0F49">
              <w:t>3,00%</w:t>
            </w:r>
          </w:p>
        </w:tc>
        <w:tc>
          <w:tcPr>
            <w:tcW w:w="1051" w:type="dxa"/>
            <w:tcBorders>
              <w:top w:val="nil"/>
              <w:left w:val="nil"/>
              <w:bottom w:val="nil"/>
              <w:right w:val="single" w:sz="4" w:space="0" w:color="auto"/>
            </w:tcBorders>
            <w:vAlign w:val="center"/>
          </w:tcPr>
          <w:p w14:paraId="5C6967E0" w14:textId="77777777" w:rsidR="00EE0F49" w:rsidRPr="00EE0F49" w:rsidRDefault="00EE0F49" w:rsidP="00EE0F49">
            <w:pPr>
              <w:pStyle w:val="Tabletext"/>
              <w:jc w:val="center"/>
            </w:pPr>
            <w:r w:rsidRPr="00EE0F49">
              <w:t>3,10%</w:t>
            </w:r>
          </w:p>
        </w:tc>
        <w:tc>
          <w:tcPr>
            <w:tcW w:w="1052" w:type="dxa"/>
            <w:tcBorders>
              <w:top w:val="nil"/>
              <w:left w:val="single" w:sz="4" w:space="0" w:color="auto"/>
              <w:bottom w:val="nil"/>
              <w:right w:val="single" w:sz="8" w:space="0" w:color="auto"/>
            </w:tcBorders>
            <w:vAlign w:val="center"/>
          </w:tcPr>
          <w:p w14:paraId="52C2E56C" w14:textId="77777777" w:rsidR="00EE0F49" w:rsidRPr="00EE0F49" w:rsidRDefault="00EE0F49" w:rsidP="00EE0F49">
            <w:pPr>
              <w:pStyle w:val="Tabletext"/>
              <w:jc w:val="center"/>
            </w:pPr>
            <w:r w:rsidRPr="00EE0F49">
              <w:t>3,10%</w:t>
            </w:r>
          </w:p>
        </w:tc>
      </w:tr>
      <w:tr w:rsidR="00EE0F49" w:rsidRPr="00B2608E" w14:paraId="64C7303B" w14:textId="77777777" w:rsidTr="003E4208">
        <w:trPr>
          <w:trHeight w:val="345"/>
          <w:jc w:val="center"/>
        </w:trPr>
        <w:tc>
          <w:tcPr>
            <w:tcW w:w="1833" w:type="dxa"/>
            <w:tcBorders>
              <w:left w:val="single" w:sz="8" w:space="0" w:color="auto"/>
              <w:bottom w:val="single" w:sz="8" w:space="0" w:color="000000"/>
              <w:right w:val="single" w:sz="4" w:space="0" w:color="auto"/>
            </w:tcBorders>
            <w:shd w:val="clear" w:color="auto" w:fill="auto"/>
            <w:vAlign w:val="center"/>
            <w:hideMark/>
          </w:tcPr>
          <w:p w14:paraId="00D450DE" w14:textId="77777777" w:rsidR="00EE0F49" w:rsidRPr="00EE0F49" w:rsidRDefault="00EE0F49" w:rsidP="00EE0F49">
            <w:pPr>
              <w:pStyle w:val="Tabletext"/>
            </w:pPr>
            <w:r w:rsidRPr="00EE0F49">
              <w:t>Passifs de l'ASHI à la fin de l'exercice</w:t>
            </w:r>
          </w:p>
        </w:tc>
        <w:tc>
          <w:tcPr>
            <w:tcW w:w="1050" w:type="dxa"/>
            <w:tcBorders>
              <w:top w:val="nil"/>
              <w:left w:val="nil"/>
              <w:bottom w:val="single" w:sz="8" w:space="0" w:color="auto"/>
              <w:right w:val="single" w:sz="8" w:space="0" w:color="auto"/>
            </w:tcBorders>
            <w:shd w:val="clear" w:color="auto" w:fill="auto"/>
            <w:vAlign w:val="center"/>
            <w:hideMark/>
          </w:tcPr>
          <w:p w14:paraId="6C2EFBD5" w14:textId="1F72EC29" w:rsidR="00EE0F49" w:rsidRPr="00EE0F49" w:rsidRDefault="00EE0F49" w:rsidP="00EE0F49">
            <w:pPr>
              <w:pStyle w:val="Tabletext"/>
              <w:jc w:val="center"/>
            </w:pPr>
            <w:r w:rsidRPr="00EE0F49">
              <w:t>552</w:t>
            </w:r>
            <w:r w:rsidR="00BF693C">
              <w:t xml:space="preserve"> </w:t>
            </w:r>
            <w:r w:rsidRPr="00EE0F49">
              <w:t>240</w:t>
            </w:r>
          </w:p>
        </w:tc>
        <w:tc>
          <w:tcPr>
            <w:tcW w:w="1050" w:type="dxa"/>
            <w:tcBorders>
              <w:top w:val="nil"/>
              <w:left w:val="nil"/>
              <w:bottom w:val="single" w:sz="8" w:space="0" w:color="auto"/>
              <w:right w:val="single" w:sz="8" w:space="0" w:color="auto"/>
            </w:tcBorders>
            <w:shd w:val="clear" w:color="auto" w:fill="auto"/>
            <w:vAlign w:val="center"/>
            <w:hideMark/>
          </w:tcPr>
          <w:p w14:paraId="61801A81" w14:textId="5E63252D" w:rsidR="00EE0F49" w:rsidRPr="00EE0F49" w:rsidRDefault="00EE0F49" w:rsidP="00EE0F49">
            <w:pPr>
              <w:pStyle w:val="Tabletext"/>
              <w:jc w:val="center"/>
            </w:pPr>
            <w:r w:rsidRPr="00EE0F49">
              <w:t>611</w:t>
            </w:r>
            <w:r w:rsidR="00BF693C">
              <w:t xml:space="preserve"> </w:t>
            </w:r>
            <w:r w:rsidRPr="00EE0F49">
              <w:t>896</w:t>
            </w:r>
          </w:p>
        </w:tc>
        <w:tc>
          <w:tcPr>
            <w:tcW w:w="1051" w:type="dxa"/>
            <w:tcBorders>
              <w:top w:val="nil"/>
              <w:left w:val="nil"/>
              <w:bottom w:val="single" w:sz="8" w:space="0" w:color="auto"/>
              <w:right w:val="single" w:sz="8" w:space="0" w:color="auto"/>
            </w:tcBorders>
            <w:shd w:val="clear" w:color="auto" w:fill="auto"/>
            <w:vAlign w:val="center"/>
            <w:hideMark/>
          </w:tcPr>
          <w:p w14:paraId="0A85C379" w14:textId="46666005" w:rsidR="00EE0F49" w:rsidRPr="00EE0F49" w:rsidRDefault="00EE0F49" w:rsidP="00EE0F49">
            <w:pPr>
              <w:pStyle w:val="Tabletext"/>
              <w:jc w:val="center"/>
            </w:pPr>
            <w:r w:rsidRPr="00EE0F49">
              <w:t>631</w:t>
            </w:r>
            <w:r w:rsidR="00BF693C">
              <w:t xml:space="preserve"> </w:t>
            </w:r>
            <w:r w:rsidRPr="00EE0F49">
              <w:t>870</w:t>
            </w:r>
          </w:p>
        </w:tc>
        <w:tc>
          <w:tcPr>
            <w:tcW w:w="1052" w:type="dxa"/>
            <w:tcBorders>
              <w:top w:val="nil"/>
              <w:left w:val="nil"/>
              <w:bottom w:val="single" w:sz="8" w:space="0" w:color="auto"/>
              <w:right w:val="single" w:sz="8" w:space="0" w:color="auto"/>
            </w:tcBorders>
            <w:shd w:val="clear" w:color="auto" w:fill="auto"/>
            <w:noWrap/>
            <w:vAlign w:val="center"/>
            <w:hideMark/>
          </w:tcPr>
          <w:p w14:paraId="48A8AF0E" w14:textId="6D420865" w:rsidR="00EE0F49" w:rsidRPr="00EE0F49" w:rsidRDefault="00EE0F49" w:rsidP="00EE0F49">
            <w:pPr>
              <w:pStyle w:val="Tabletext"/>
              <w:jc w:val="center"/>
            </w:pPr>
            <w:r w:rsidRPr="00EE0F49">
              <w:t>564</w:t>
            </w:r>
            <w:r w:rsidR="00BF693C">
              <w:t xml:space="preserve"> </w:t>
            </w:r>
            <w:r w:rsidRPr="00EE0F49">
              <w:t>636</w:t>
            </w:r>
          </w:p>
        </w:tc>
        <w:tc>
          <w:tcPr>
            <w:tcW w:w="1051" w:type="dxa"/>
            <w:tcBorders>
              <w:top w:val="nil"/>
              <w:left w:val="nil"/>
              <w:bottom w:val="single" w:sz="8" w:space="0" w:color="auto"/>
              <w:right w:val="single" w:sz="8" w:space="0" w:color="auto"/>
            </w:tcBorders>
            <w:vAlign w:val="center"/>
          </w:tcPr>
          <w:p w14:paraId="0A508B79" w14:textId="1D76BB84" w:rsidR="00EE0F49" w:rsidRPr="00EE0F49" w:rsidRDefault="00EE0F49" w:rsidP="00EE0F49">
            <w:pPr>
              <w:pStyle w:val="Tabletext"/>
              <w:jc w:val="center"/>
            </w:pPr>
            <w:r w:rsidRPr="00EE0F49">
              <w:t>344</w:t>
            </w:r>
            <w:r w:rsidR="00BF693C">
              <w:t xml:space="preserve"> </w:t>
            </w:r>
            <w:r w:rsidRPr="00EE0F49">
              <w:t>102</w:t>
            </w:r>
          </w:p>
        </w:tc>
        <w:tc>
          <w:tcPr>
            <w:tcW w:w="1051" w:type="dxa"/>
            <w:tcBorders>
              <w:top w:val="nil"/>
              <w:left w:val="nil"/>
              <w:bottom w:val="single" w:sz="8" w:space="0" w:color="auto"/>
              <w:right w:val="single" w:sz="4" w:space="0" w:color="auto"/>
            </w:tcBorders>
            <w:vAlign w:val="center"/>
          </w:tcPr>
          <w:p w14:paraId="4F035D33" w14:textId="1A568E66" w:rsidR="00EE0F49" w:rsidRPr="00EE0F49" w:rsidRDefault="00EE0F49" w:rsidP="00EE0F49">
            <w:pPr>
              <w:pStyle w:val="Tabletext"/>
              <w:jc w:val="center"/>
            </w:pPr>
            <w:r w:rsidRPr="00EE0F49">
              <w:t>375</w:t>
            </w:r>
            <w:r w:rsidR="00BF693C">
              <w:t xml:space="preserve"> </w:t>
            </w:r>
            <w:r w:rsidRPr="00EE0F49">
              <w:t>271</w:t>
            </w:r>
          </w:p>
        </w:tc>
        <w:tc>
          <w:tcPr>
            <w:tcW w:w="1052" w:type="dxa"/>
            <w:tcBorders>
              <w:top w:val="nil"/>
              <w:left w:val="single" w:sz="4" w:space="0" w:color="auto"/>
              <w:bottom w:val="single" w:sz="8" w:space="0" w:color="auto"/>
              <w:right w:val="single" w:sz="8" w:space="0" w:color="auto"/>
            </w:tcBorders>
            <w:vAlign w:val="center"/>
          </w:tcPr>
          <w:p w14:paraId="4F1B48DD" w14:textId="24B2A3BB" w:rsidR="00EE0F49" w:rsidRPr="00EE0F49" w:rsidRDefault="00EE0F49" w:rsidP="00EE0F49">
            <w:pPr>
              <w:pStyle w:val="Tabletext"/>
              <w:jc w:val="center"/>
            </w:pPr>
            <w:r w:rsidRPr="00EE0F49">
              <w:t>415</w:t>
            </w:r>
            <w:r w:rsidR="00BF693C">
              <w:t xml:space="preserve"> </w:t>
            </w:r>
            <w:r w:rsidRPr="00EE0F49">
              <w:t>835</w:t>
            </w:r>
          </w:p>
        </w:tc>
      </w:tr>
    </w:tbl>
    <w:p w14:paraId="72B39E0D" w14:textId="77777777" w:rsidR="00EE0F49" w:rsidRDefault="00EE0F49" w:rsidP="00EE0F49">
      <w:pPr>
        <w:pStyle w:val="Heading1"/>
      </w:pPr>
      <w:r>
        <w:t>4</w:t>
      </w:r>
      <w:r>
        <w:tab/>
        <w:t>Mesures prises</w:t>
      </w:r>
    </w:p>
    <w:p w14:paraId="6FC35314" w14:textId="77777777" w:rsidR="00EE0F49" w:rsidRDefault="00EE0F49" w:rsidP="0023341E">
      <w:pPr>
        <w:jc w:val="both"/>
      </w:pPr>
      <w:r>
        <w:t>4.1</w:t>
      </w:r>
      <w:r>
        <w:tab/>
        <w:t>Depuis 2010, le financement des passifs actuariels de l'ASHI est une préoccupation. Des mesures ont été prises afin de garantir que les prestations actuelles au titre de l'assurance maladie continueront d'être financées par répartition de l'assurance maladie et d'assurer le financement à long terme des passifs accumulés de l'ASHI.</w:t>
      </w:r>
    </w:p>
    <w:p w14:paraId="335717EF" w14:textId="77777777" w:rsidR="00EE0F49" w:rsidRDefault="00EE0F49" w:rsidP="0023341E">
      <w:pPr>
        <w:jc w:val="both"/>
      </w:pPr>
      <w:r>
        <w:t>4.2</w:t>
      </w:r>
      <w:r>
        <w:tab/>
        <w:t>Il est à noter que l'estimation des cotisations versées par l'UIT au titre de l'assurance maladie pour les fonctionnaires en activité et pour les fonctionnaires retraités figure dans le budget biennal présenté au Conseil.</w:t>
      </w:r>
    </w:p>
    <w:p w14:paraId="2F3DF46E" w14:textId="77777777" w:rsidR="00EE0F49" w:rsidRDefault="00EE0F49" w:rsidP="00BF693C">
      <w:pPr>
        <w:pStyle w:val="Headingb"/>
      </w:pPr>
      <w:r>
        <w:t>Création d'un fonds pour financer sur le long terme les passifs actuariels de l'ASHI</w:t>
      </w:r>
    </w:p>
    <w:p w14:paraId="76D6FA2C" w14:textId="06BF03DA" w:rsidR="00EE0F49" w:rsidRDefault="00EE0F49" w:rsidP="0023341E">
      <w:pPr>
        <w:jc w:val="both"/>
      </w:pPr>
      <w:r>
        <w:t>4.3</w:t>
      </w:r>
      <w:r>
        <w:tab/>
        <w:t xml:space="preserve">Au 31 décembre 2024, le Fonds ASHI se chiffrait à 15 millions CHF. Depuis la création du Fonds ASHI en 2013, un montant de 9 millions CHF a été versé au fonds, conformément aux différentes </w:t>
      </w:r>
      <w:r w:rsidR="0067252D">
        <w:t>R</w:t>
      </w:r>
      <w:r>
        <w:t>ésolutions relatives au budget, auquel vient s'ajouter un montant supplémentaire de 6 millions CHF provenant des excédents résultant de l'exécution du budget.</w:t>
      </w:r>
    </w:p>
    <w:p w14:paraId="30485E80" w14:textId="77777777" w:rsidR="00EE0F49" w:rsidRDefault="00EE0F49" w:rsidP="0023341E">
      <w:pPr>
        <w:jc w:val="both"/>
      </w:pPr>
      <w:r>
        <w:t>4.4</w:t>
      </w:r>
      <w:r>
        <w:tab/>
        <w:t>L'importance des engagements au titre de l'ASHI et les restrictions budgétaires actuelles ne permettent pas, pour le moment, de financer plus rapidement les engagements au titre de l'ASHI. En conséquence, l'évolution des passifs de l'ASHI continuera d'être suivie avec beaucoup d'attention.</w:t>
      </w:r>
    </w:p>
    <w:p w14:paraId="635E195B" w14:textId="42301E13" w:rsidR="00EE0F49" w:rsidRDefault="00EE0F49" w:rsidP="0023341E">
      <w:pPr>
        <w:keepLines/>
        <w:jc w:val="both"/>
      </w:pPr>
      <w:r>
        <w:lastRenderedPageBreak/>
        <w:t>4.5</w:t>
      </w:r>
      <w:r>
        <w:tab/>
        <w:t xml:space="preserve">Afin d'aider les organismes du système des Nations Unies à financer à long terme leurs passifs de l'ASHI, le Groupe de travail interinstitutions </w:t>
      </w:r>
      <w:r w:rsidRPr="0067252D">
        <w:t>sur l'assurance maladie après</w:t>
      </w:r>
      <w:r>
        <w:t xml:space="preserve"> la cessation de service, créé à l'initiative du Secrétaire général de l'ONU, a proposé à l'Assemblée générale de l'ONU la création d'une réserve financière spéciale pour chaque organisation, qui serait financée par le prélèvement d'une cotisation correspondant à</w:t>
      </w:r>
      <w:r w:rsidR="00BF693C">
        <w:t> </w:t>
      </w:r>
      <w:r>
        <w:t>5,35% de la masse salariale pour le personnel recruté à partir du 1er janvier 2022.</w:t>
      </w:r>
    </w:p>
    <w:p w14:paraId="2BFFB57D" w14:textId="4B242E43" w:rsidR="00EE0F49" w:rsidRDefault="00EE0F49" w:rsidP="0023341E">
      <w:pPr>
        <w:jc w:val="both"/>
      </w:pPr>
      <w:r>
        <w:t>4.6</w:t>
      </w:r>
      <w:r>
        <w:tab/>
        <w:t xml:space="preserve">Une décision finale de l'Assemblée générale de l'ONU n'a pas encore été prise et la proposition du </w:t>
      </w:r>
      <w:r w:rsidR="00BF693C">
        <w:t>g</w:t>
      </w:r>
      <w:r>
        <w:t xml:space="preserve">roupe de travail n'a pas été mise en œuvre. En outre, le Corps commun d'inspection (CCI) a procédé à un examen de l'ASHI pour toutes les organisations du système des Nations Unies. Le rapport correspondant contient plusieurs </w:t>
      </w:r>
      <w:r w:rsidRPr="0067252D">
        <w:t>recommandations</w:t>
      </w:r>
      <w:r>
        <w:t>, principalement sur la stratégie de financement à long terme.</w:t>
      </w:r>
    </w:p>
    <w:p w14:paraId="0BE258CD" w14:textId="77777777" w:rsidR="00EE0F49" w:rsidRDefault="00EE0F49" w:rsidP="00EE0F49">
      <w:pPr>
        <w:pStyle w:val="Heading1"/>
      </w:pPr>
      <w:r>
        <w:t>5</w:t>
      </w:r>
      <w:r>
        <w:tab/>
        <w:t>Conclusion</w:t>
      </w:r>
    </w:p>
    <w:p w14:paraId="05756287" w14:textId="460FA1D2" w:rsidR="00EE0F49" w:rsidRDefault="00EE0F49" w:rsidP="0023341E">
      <w:pPr>
        <w:jc w:val="both"/>
      </w:pPr>
      <w:r>
        <w:t>5.1</w:t>
      </w:r>
      <w:r>
        <w:tab/>
        <w:t>Indépendamment du régime d'assurance maladie, le financement des engagements au titre de l'ASHI demeure un sujet de préoccupation pour de nombreuses organisations du système des Nations Unies.</w:t>
      </w:r>
    </w:p>
    <w:p w14:paraId="03519569" w14:textId="77777777" w:rsidR="00EE0F49" w:rsidRDefault="00EE0F49" w:rsidP="0023341E">
      <w:pPr>
        <w:jc w:val="both"/>
      </w:pPr>
      <w:r>
        <w:t>5.2</w:t>
      </w:r>
      <w:r>
        <w:tab/>
        <w:t xml:space="preserve">Après un examen approfondi des recommandations formulées par le Groupe de travail des Nations Unies sur l'ASHI (créé en vertu de la Résolution A/RES/68/244 de l'Assemblée générale) et en application des recommandations du CCI et du CCIG, la Secrétaire générale de l'UIT a décidé de répondre aux préoccupations liées au financement des passifs de l'ASHI en intégrant, dans le prochain budget, une cotisation correspondant à 5,35% du traitement de base pour les nouveaux fonctionnaires recrutés à compter du 1er janvier 2026. </w:t>
      </w:r>
    </w:p>
    <w:p w14:paraId="29AA013E" w14:textId="3966BC36" w:rsidR="00EE0F49" w:rsidRDefault="00EE0F49" w:rsidP="0023341E">
      <w:pPr>
        <w:jc w:val="both"/>
      </w:pPr>
      <w:r>
        <w:t xml:space="preserve">Il convient également de souligner que la mise en œuvre de cette proposition permettrait de gérer les passifs de l'ASHI de façon plus durable et plus responsable sur le plan budgétaire. Alors qu'un montant de 1 million CHF est généralement alloué pour chaque exercice biennal dans la Résolution budgétaire en vigueur, le </w:t>
      </w:r>
      <w:r w:rsidRPr="00CB09C1">
        <w:t>mécanisme</w:t>
      </w:r>
      <w:r>
        <w:t xml:space="preserve"> révisé </w:t>
      </w:r>
      <w:r w:rsidR="00BF693C">
        <w:t>–</w:t>
      </w:r>
      <w:r>
        <w:t xml:space="preserve"> fondé sur la participation effective du personnel </w:t>
      </w:r>
      <w:r w:rsidR="00BF693C">
        <w:t>–</w:t>
      </w:r>
      <w:r>
        <w:t xml:space="preserve"> générerait environ 600</w:t>
      </w:r>
      <w:r w:rsidR="0023341E">
        <w:t> </w:t>
      </w:r>
      <w:r>
        <w:t>000 CHF par exercice biennal. Cette diminution de 400</w:t>
      </w:r>
      <w:r w:rsidR="0023341E">
        <w:t> </w:t>
      </w:r>
      <w:r>
        <w:t>000 CHF reflète une meilleure adéquation entre le financement et les recouvrements effectifs, ce qui renforce la prévisibilité budgétaire à long terme et améliore l'intégrité du financement des passifs à terme.</w:t>
      </w:r>
    </w:p>
    <w:p w14:paraId="39BC5CC8" w14:textId="77777777" w:rsidR="0023341E" w:rsidRPr="00EE0F49" w:rsidRDefault="0023341E" w:rsidP="0023341E">
      <w:pPr>
        <w:pStyle w:val="Reasons"/>
      </w:pPr>
    </w:p>
    <w:p w14:paraId="40526905" w14:textId="77777777" w:rsidR="00897553" w:rsidRDefault="006A11AE" w:rsidP="006A11AE">
      <w:pPr>
        <w:jc w:val="center"/>
      </w:pPr>
      <w:r>
        <w:t>______________</w:t>
      </w:r>
    </w:p>
    <w:sectPr w:rsidR="00897553" w:rsidSect="00D72F49">
      <w:headerReference w:type="even" r:id="rId8"/>
      <w:footerReference w:type="even" r:id="rId9"/>
      <w:footerReference w:type="default" r:id="rId10"/>
      <w:headerReference w:type="first" r:id="rId11"/>
      <w:footerReference w:type="first" r:id="rId12"/>
      <w:pgSz w:w="11907" w:h="16840" w:code="9"/>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9483A" w14:textId="77777777" w:rsidR="00DE657B" w:rsidRDefault="00DE657B">
      <w:r>
        <w:separator/>
      </w:r>
    </w:p>
  </w:endnote>
  <w:endnote w:type="continuationSeparator" w:id="0">
    <w:p w14:paraId="08BE95E9" w14:textId="77777777" w:rsidR="00DE657B" w:rsidRDefault="00DE6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E9828" w14:textId="73F26199" w:rsidR="00732045" w:rsidRDefault="00E337C1">
    <w:pPr>
      <w:pStyle w:val="Footer"/>
    </w:pPr>
    <w:fldSimple w:instr=" FILENAME \p \* MERGEFORMAT ">
      <w:r>
        <w:t>P:\FRA\gDoc\SG\C25\2500980F.docx</w:t>
      </w:r>
    </w:fldSimple>
    <w:r w:rsidR="00732045">
      <w:tab/>
    </w:r>
    <w:r w:rsidR="002F1B76">
      <w:fldChar w:fldCharType="begin"/>
    </w:r>
    <w:r w:rsidR="00732045">
      <w:instrText xml:space="preserve"> savedate \@ dd.MM.yy </w:instrText>
    </w:r>
    <w:r w:rsidR="002F1B76">
      <w:fldChar w:fldCharType="separate"/>
    </w:r>
    <w:r w:rsidR="00A538ED">
      <w:t>08.05.25</w:t>
    </w:r>
    <w:r w:rsidR="002F1B76">
      <w:fldChar w:fldCharType="end"/>
    </w:r>
    <w:r w:rsidR="00732045">
      <w:tab/>
    </w:r>
    <w:r w:rsidR="002F1B76">
      <w:fldChar w:fldCharType="begin"/>
    </w:r>
    <w:r w:rsidR="00732045">
      <w:instrText xml:space="preserve"> printdate \@ dd.MM.yy </w:instrText>
    </w:r>
    <w:r w:rsidR="002F1B76">
      <w:fldChar w:fldCharType="separate"/>
    </w:r>
    <w:r>
      <w:t>18.07.00</w:t>
    </w:r>
    <w:r w:rsidR="002F1B7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33BE524" w14:textId="77777777" w:rsidTr="00E31DCE">
      <w:trPr>
        <w:jc w:val="center"/>
      </w:trPr>
      <w:tc>
        <w:tcPr>
          <w:tcW w:w="1803" w:type="dxa"/>
          <w:vAlign w:val="center"/>
        </w:tcPr>
        <w:p w14:paraId="493A8B5C" w14:textId="3645E925" w:rsidR="00A51849" w:rsidRDefault="00EE0F49" w:rsidP="00A51849">
          <w:pPr>
            <w:pStyle w:val="Header"/>
            <w:jc w:val="left"/>
            <w:rPr>
              <w:noProof/>
            </w:rPr>
          </w:pPr>
          <w:r>
            <w:rPr>
              <w:noProof/>
            </w:rPr>
            <w:t>2500980</w:t>
          </w:r>
        </w:p>
      </w:tc>
      <w:tc>
        <w:tcPr>
          <w:tcW w:w="8261" w:type="dxa"/>
        </w:tcPr>
        <w:p w14:paraId="6601197E" w14:textId="283F577D"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EE0F49">
            <w:rPr>
              <w:bCs/>
            </w:rPr>
            <w:t>46</w:t>
          </w:r>
          <w:r w:rsidRPr="00623AE3">
            <w:rPr>
              <w:bCs/>
            </w:rPr>
            <w:t>-</w:t>
          </w:r>
          <w:r w:rsidR="00973F53">
            <w:rPr>
              <w:bCs/>
            </w:rPr>
            <w:t>F</w:t>
          </w:r>
          <w:r>
            <w:rPr>
              <w:bCs/>
            </w:rPr>
            <w:tab/>
          </w:r>
          <w:r>
            <w:fldChar w:fldCharType="begin"/>
          </w:r>
          <w:r>
            <w:instrText>PAGE</w:instrText>
          </w:r>
          <w:r>
            <w:fldChar w:fldCharType="separate"/>
          </w:r>
          <w:r>
            <w:t>1</w:t>
          </w:r>
          <w:r>
            <w:rPr>
              <w:noProof/>
            </w:rPr>
            <w:fldChar w:fldCharType="end"/>
          </w:r>
        </w:p>
      </w:tc>
    </w:tr>
  </w:tbl>
  <w:p w14:paraId="3BD28546" w14:textId="77777777" w:rsidR="00732045" w:rsidRPr="00A51849" w:rsidRDefault="00732045" w:rsidP="00FC6D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A51849" w:rsidRPr="00784011" w14:paraId="57B035DB" w14:textId="77777777" w:rsidTr="00E31DCE">
      <w:trPr>
        <w:jc w:val="center"/>
      </w:trPr>
      <w:tc>
        <w:tcPr>
          <w:tcW w:w="1803" w:type="dxa"/>
          <w:vAlign w:val="center"/>
        </w:tcPr>
        <w:p w14:paraId="5BB343A3" w14:textId="77777777" w:rsidR="00A51849" w:rsidRPr="00FC6D7D" w:rsidRDefault="00FC6D7D" w:rsidP="00A51849">
          <w:pPr>
            <w:pStyle w:val="Header"/>
            <w:jc w:val="left"/>
            <w:rPr>
              <w:noProof/>
              <w:color w:val="0563C1"/>
            </w:rPr>
          </w:pPr>
          <w:hyperlink r:id="rId1" w:history="1">
            <w:r w:rsidRPr="00FC6D7D">
              <w:rPr>
                <w:rStyle w:val="Hyperlink"/>
              </w:rPr>
              <w:t>council.itu.int/2025</w:t>
            </w:r>
          </w:hyperlink>
        </w:p>
      </w:tc>
      <w:tc>
        <w:tcPr>
          <w:tcW w:w="8261" w:type="dxa"/>
        </w:tcPr>
        <w:p w14:paraId="0736ADA5" w14:textId="70AF99A2" w:rsidR="00A51849" w:rsidRPr="00E06FD5" w:rsidRDefault="00A51849" w:rsidP="00C049D7">
          <w:pPr>
            <w:pStyle w:val="Header"/>
            <w:tabs>
              <w:tab w:val="left" w:pos="6731"/>
              <w:tab w:val="right" w:pos="8505"/>
              <w:tab w:val="right" w:pos="9639"/>
            </w:tabs>
            <w:jc w:val="left"/>
            <w:rPr>
              <w:rFonts w:ascii="Arial" w:hAnsi="Arial" w:cs="Arial"/>
              <w:b/>
              <w:bCs/>
              <w:szCs w:val="18"/>
            </w:rPr>
          </w:pPr>
          <w:r>
            <w:rPr>
              <w:bCs/>
            </w:rPr>
            <w:tab/>
          </w:r>
          <w:r w:rsidRPr="00623AE3">
            <w:rPr>
              <w:bCs/>
            </w:rPr>
            <w:t>C</w:t>
          </w:r>
          <w:r>
            <w:rPr>
              <w:bCs/>
            </w:rPr>
            <w:t>2</w:t>
          </w:r>
          <w:r w:rsidR="00FC6D7D">
            <w:rPr>
              <w:bCs/>
            </w:rPr>
            <w:t>5</w:t>
          </w:r>
          <w:r w:rsidRPr="00623AE3">
            <w:rPr>
              <w:bCs/>
            </w:rPr>
            <w:t>/</w:t>
          </w:r>
          <w:r w:rsidR="00EE0F49">
            <w:rPr>
              <w:bCs/>
            </w:rPr>
            <w:t>46</w:t>
          </w:r>
          <w:r w:rsidRPr="00623AE3">
            <w:rPr>
              <w:bCs/>
            </w:rPr>
            <w:t>-</w:t>
          </w:r>
          <w:r w:rsidR="00D72F49">
            <w:rPr>
              <w:bCs/>
            </w:rPr>
            <w:t>F</w:t>
          </w:r>
          <w:r>
            <w:rPr>
              <w:bCs/>
            </w:rPr>
            <w:tab/>
          </w:r>
          <w:r>
            <w:fldChar w:fldCharType="begin"/>
          </w:r>
          <w:r>
            <w:instrText>PAGE</w:instrText>
          </w:r>
          <w:r>
            <w:fldChar w:fldCharType="separate"/>
          </w:r>
          <w:r>
            <w:t>1</w:t>
          </w:r>
          <w:r>
            <w:rPr>
              <w:noProof/>
            </w:rPr>
            <w:fldChar w:fldCharType="end"/>
          </w:r>
        </w:p>
      </w:tc>
    </w:tr>
  </w:tbl>
  <w:p w14:paraId="1E0F0520" w14:textId="77777777" w:rsidR="00732045" w:rsidRPr="00A51849" w:rsidRDefault="00732045" w:rsidP="00FC6D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FCA51" w14:textId="77777777" w:rsidR="00DE657B" w:rsidRDefault="00DE657B">
      <w:r>
        <w:t>____________________</w:t>
      </w:r>
    </w:p>
  </w:footnote>
  <w:footnote w:type="continuationSeparator" w:id="0">
    <w:p w14:paraId="4DE2D229" w14:textId="77777777" w:rsidR="00DE657B" w:rsidRDefault="00DE6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27788" w14:textId="77777777" w:rsidR="00732045" w:rsidRDefault="00732045">
    <w:pPr>
      <w:pStyle w:val="Header"/>
    </w:pPr>
    <w:r>
      <w:t xml:space="preserve">- </w:t>
    </w:r>
    <w:r w:rsidR="00C27A7C">
      <w:fldChar w:fldCharType="begin"/>
    </w:r>
    <w:r w:rsidR="00C27A7C">
      <w:instrText>PAGE</w:instrText>
    </w:r>
    <w:r w:rsidR="00C27A7C">
      <w:fldChar w:fldCharType="separate"/>
    </w:r>
    <w:r>
      <w:rPr>
        <w:noProof/>
      </w:rPr>
      <w:t>2</w:t>
    </w:r>
    <w:r w:rsidR="00C27A7C">
      <w:rPr>
        <w:noProof/>
      </w:rPr>
      <w:fldChar w:fldCharType="end"/>
    </w:r>
    <w:r>
      <w:t xml:space="preserve"> -</w:t>
    </w:r>
  </w:p>
  <w:p w14:paraId="5E608621" w14:textId="77777777" w:rsidR="00732045" w:rsidRDefault="00732045">
    <w:pPr>
      <w:pStyle w:val="Header"/>
    </w:pPr>
    <w:r>
      <w:t>C2001/#-F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gridCol w:w="4703"/>
    </w:tblGrid>
    <w:tr w:rsidR="00524E8D" w:rsidRPr="00784011" w14:paraId="7E18FEB7" w14:textId="77777777" w:rsidTr="00D37B53">
      <w:trPr>
        <w:trHeight w:val="1104"/>
        <w:jc w:val="center"/>
      </w:trPr>
      <w:tc>
        <w:tcPr>
          <w:tcW w:w="5317" w:type="dxa"/>
          <w:vAlign w:val="center"/>
        </w:tcPr>
        <w:p w14:paraId="0667CE3A" w14:textId="77777777" w:rsidR="00524E8D" w:rsidRDefault="00524E8D" w:rsidP="00A51849">
          <w:pPr>
            <w:pStyle w:val="Header"/>
            <w:jc w:val="left"/>
            <w:rPr>
              <w:rFonts w:ascii="Arial" w:hAnsi="Arial" w:cs="Arial"/>
              <w:b/>
              <w:bCs/>
              <w:noProof/>
              <w:color w:val="009CD6"/>
              <w:sz w:val="36"/>
              <w:szCs w:val="36"/>
            </w:rPr>
          </w:pPr>
          <w:r>
            <w:rPr>
              <w:rFonts w:ascii="Arial" w:hAnsi="Arial" w:cs="Arial"/>
              <w:b/>
              <w:bCs/>
              <w:noProof/>
              <w:color w:val="009CD6"/>
              <w:sz w:val="36"/>
              <w:szCs w:val="36"/>
            </w:rPr>
            <w:drawing>
              <wp:inline distT="0" distB="0" distL="0" distR="0" wp14:anchorId="7598EC81" wp14:editId="06B5F7E5">
                <wp:extent cx="3239444" cy="612000"/>
                <wp:effectExtent l="0" t="0" r="0" b="0"/>
                <wp:docPr id="634183481"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83481"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1653"/>
                        <a:stretch/>
                      </pic:blipFill>
                      <pic:spPr bwMode="auto">
                        <a:xfrm>
                          <a:off x="0" y="0"/>
                          <a:ext cx="3239444" cy="612000"/>
                        </a:xfrm>
                        <a:prstGeom prst="rect">
                          <a:avLst/>
                        </a:prstGeom>
                        <a:ln>
                          <a:noFill/>
                        </a:ln>
                        <a:extLst>
                          <a:ext uri="{53640926-AAD7-44D8-BBD7-CCE9431645EC}">
                            <a14:shadowObscured xmlns:a14="http://schemas.microsoft.com/office/drawing/2010/main"/>
                          </a:ext>
                        </a:extLst>
                      </pic:spPr>
                    </pic:pic>
                  </a:graphicData>
                </a:graphic>
              </wp:inline>
            </w:drawing>
          </w:r>
        </w:p>
      </w:tc>
      <w:tc>
        <w:tcPr>
          <w:tcW w:w="4703" w:type="dxa"/>
        </w:tcPr>
        <w:p w14:paraId="575F4CFA" w14:textId="77777777" w:rsidR="00524E8D" w:rsidRDefault="00524E8D" w:rsidP="00A51849">
          <w:pPr>
            <w:pStyle w:val="Header"/>
            <w:jc w:val="right"/>
            <w:rPr>
              <w:rFonts w:ascii="Arial" w:hAnsi="Arial" w:cs="Arial"/>
              <w:b/>
              <w:bCs/>
              <w:color w:val="009CD6"/>
              <w:szCs w:val="18"/>
            </w:rPr>
          </w:pPr>
        </w:p>
      </w:tc>
    </w:tr>
  </w:tbl>
  <w:p w14:paraId="1FF0A1E7" w14:textId="77777777" w:rsidR="00A51849" w:rsidRDefault="00A51849">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0DF3B661" wp14:editId="59A864D4">
              <wp:simplePos x="0" y="0"/>
              <wp:positionH relativeFrom="page">
                <wp:posOffset>12065</wp:posOffset>
              </wp:positionH>
              <wp:positionV relativeFrom="topMargin">
                <wp:posOffset>652450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4E014" id="Rectangle 5" o:spid="_x0000_s1026" style="position:absolute;margin-left:.95pt;margin-top:51.3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" fillcolor="#009cd5" stroked="f">
              <w10:wrap anchorx="page" anchory="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7B"/>
    <w:rsid w:val="00006070"/>
    <w:rsid w:val="00076A2C"/>
    <w:rsid w:val="000D0D0A"/>
    <w:rsid w:val="00103163"/>
    <w:rsid w:val="00106B19"/>
    <w:rsid w:val="001133EF"/>
    <w:rsid w:val="00115D93"/>
    <w:rsid w:val="001247A8"/>
    <w:rsid w:val="001370B2"/>
    <w:rsid w:val="001378C0"/>
    <w:rsid w:val="0018694A"/>
    <w:rsid w:val="001A3287"/>
    <w:rsid w:val="001A6508"/>
    <w:rsid w:val="001D4C31"/>
    <w:rsid w:val="001E4D21"/>
    <w:rsid w:val="00207CD1"/>
    <w:rsid w:val="00212060"/>
    <w:rsid w:val="00226657"/>
    <w:rsid w:val="0023341E"/>
    <w:rsid w:val="002477A2"/>
    <w:rsid w:val="00263A51"/>
    <w:rsid w:val="00267E02"/>
    <w:rsid w:val="002A5D44"/>
    <w:rsid w:val="002A6303"/>
    <w:rsid w:val="002C3F32"/>
    <w:rsid w:val="002C4E3D"/>
    <w:rsid w:val="002E0BC4"/>
    <w:rsid w:val="002F1B76"/>
    <w:rsid w:val="0033568E"/>
    <w:rsid w:val="00355FF5"/>
    <w:rsid w:val="00361350"/>
    <w:rsid w:val="003C3FAE"/>
    <w:rsid w:val="004030B3"/>
    <w:rsid w:val="004038CB"/>
    <w:rsid w:val="0040546F"/>
    <w:rsid w:val="004177BD"/>
    <w:rsid w:val="0042404A"/>
    <w:rsid w:val="00445216"/>
    <w:rsid w:val="0044618F"/>
    <w:rsid w:val="0046769A"/>
    <w:rsid w:val="00475FB3"/>
    <w:rsid w:val="004C37A9"/>
    <w:rsid w:val="004D1D50"/>
    <w:rsid w:val="004F259E"/>
    <w:rsid w:val="00511F1D"/>
    <w:rsid w:val="00520F36"/>
    <w:rsid w:val="00524E8D"/>
    <w:rsid w:val="00534E13"/>
    <w:rsid w:val="00540615"/>
    <w:rsid w:val="00540A6D"/>
    <w:rsid w:val="00566679"/>
    <w:rsid w:val="00571EEA"/>
    <w:rsid w:val="00575417"/>
    <w:rsid w:val="005768E1"/>
    <w:rsid w:val="005B1246"/>
    <w:rsid w:val="005B1938"/>
    <w:rsid w:val="005C3890"/>
    <w:rsid w:val="005F7BFE"/>
    <w:rsid w:val="00600017"/>
    <w:rsid w:val="006235CA"/>
    <w:rsid w:val="0062366E"/>
    <w:rsid w:val="006643AB"/>
    <w:rsid w:val="0067252D"/>
    <w:rsid w:val="006A11AE"/>
    <w:rsid w:val="006C62E0"/>
    <w:rsid w:val="006F0A53"/>
    <w:rsid w:val="007210CD"/>
    <w:rsid w:val="00732045"/>
    <w:rsid w:val="0073275D"/>
    <w:rsid w:val="007369DB"/>
    <w:rsid w:val="0077110E"/>
    <w:rsid w:val="007956C2"/>
    <w:rsid w:val="007A187E"/>
    <w:rsid w:val="007C72C2"/>
    <w:rsid w:val="007D4436"/>
    <w:rsid w:val="007F257A"/>
    <w:rsid w:val="007F3665"/>
    <w:rsid w:val="00800037"/>
    <w:rsid w:val="008165CF"/>
    <w:rsid w:val="0082299A"/>
    <w:rsid w:val="0083391C"/>
    <w:rsid w:val="00861D73"/>
    <w:rsid w:val="00882919"/>
    <w:rsid w:val="00897553"/>
    <w:rsid w:val="008A4E87"/>
    <w:rsid w:val="008D76E6"/>
    <w:rsid w:val="0092392D"/>
    <w:rsid w:val="0093234A"/>
    <w:rsid w:val="00956A78"/>
    <w:rsid w:val="0097363B"/>
    <w:rsid w:val="00973F53"/>
    <w:rsid w:val="00994257"/>
    <w:rsid w:val="009A6BAA"/>
    <w:rsid w:val="009C307F"/>
    <w:rsid w:val="009C353C"/>
    <w:rsid w:val="009F0FB8"/>
    <w:rsid w:val="00A2113E"/>
    <w:rsid w:val="00A23A51"/>
    <w:rsid w:val="00A24607"/>
    <w:rsid w:val="00A25CD3"/>
    <w:rsid w:val="00A51849"/>
    <w:rsid w:val="00A538ED"/>
    <w:rsid w:val="00A709FE"/>
    <w:rsid w:val="00A73C60"/>
    <w:rsid w:val="00A82767"/>
    <w:rsid w:val="00AA332F"/>
    <w:rsid w:val="00AA7BBB"/>
    <w:rsid w:val="00AB64A8"/>
    <w:rsid w:val="00AC0266"/>
    <w:rsid w:val="00AD24EC"/>
    <w:rsid w:val="00B27B00"/>
    <w:rsid w:val="00B309F9"/>
    <w:rsid w:val="00B32B60"/>
    <w:rsid w:val="00B51005"/>
    <w:rsid w:val="00B61619"/>
    <w:rsid w:val="00BB4545"/>
    <w:rsid w:val="00BD5873"/>
    <w:rsid w:val="00BF4B60"/>
    <w:rsid w:val="00BF693C"/>
    <w:rsid w:val="00C049D7"/>
    <w:rsid w:val="00C04BE3"/>
    <w:rsid w:val="00C25D29"/>
    <w:rsid w:val="00C27A7C"/>
    <w:rsid w:val="00C42437"/>
    <w:rsid w:val="00C67BE5"/>
    <w:rsid w:val="00CA08ED"/>
    <w:rsid w:val="00CB09C1"/>
    <w:rsid w:val="00CC6EAA"/>
    <w:rsid w:val="00CF183B"/>
    <w:rsid w:val="00D375CD"/>
    <w:rsid w:val="00D37B53"/>
    <w:rsid w:val="00D4137E"/>
    <w:rsid w:val="00D553A2"/>
    <w:rsid w:val="00D72F49"/>
    <w:rsid w:val="00D774D3"/>
    <w:rsid w:val="00D904E8"/>
    <w:rsid w:val="00DA08C3"/>
    <w:rsid w:val="00DB5A3E"/>
    <w:rsid w:val="00DC22AA"/>
    <w:rsid w:val="00DD1A99"/>
    <w:rsid w:val="00DE657B"/>
    <w:rsid w:val="00DF74DD"/>
    <w:rsid w:val="00E25AD0"/>
    <w:rsid w:val="00E337C1"/>
    <w:rsid w:val="00E4428F"/>
    <w:rsid w:val="00E47427"/>
    <w:rsid w:val="00E7454E"/>
    <w:rsid w:val="00E93668"/>
    <w:rsid w:val="00E95647"/>
    <w:rsid w:val="00EB6350"/>
    <w:rsid w:val="00EE0F49"/>
    <w:rsid w:val="00F15B57"/>
    <w:rsid w:val="00F35EF4"/>
    <w:rsid w:val="00F37FE5"/>
    <w:rsid w:val="00F427DB"/>
    <w:rsid w:val="00FA5EB1"/>
    <w:rsid w:val="00FA7439"/>
    <w:rsid w:val="00FB14AE"/>
    <w:rsid w:val="00FC4EC0"/>
    <w:rsid w:val="00FC6D7D"/>
    <w:rsid w:val="00FF01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69448D"/>
  <w15:docId w15:val="{5328BE91-9F83-46D6-B9ED-8E3C5F41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366E"/>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732045"/>
    <w:pPr>
      <w:keepNext/>
      <w:keepLines/>
      <w:spacing w:before="480"/>
      <w:ind w:left="567" w:hanging="567"/>
      <w:outlineLvl w:val="0"/>
    </w:pPr>
    <w:rPr>
      <w:b/>
      <w:sz w:val="28"/>
    </w:rPr>
  </w:style>
  <w:style w:type="paragraph" w:styleId="Heading2">
    <w:name w:val="heading 2"/>
    <w:basedOn w:val="Heading1"/>
    <w:next w:val="Normal"/>
    <w:qFormat/>
    <w:rsid w:val="00732045"/>
    <w:pPr>
      <w:spacing w:before="320"/>
      <w:outlineLvl w:val="1"/>
    </w:pPr>
    <w:rPr>
      <w:sz w:val="24"/>
    </w:rPr>
  </w:style>
  <w:style w:type="paragraph" w:styleId="Heading3">
    <w:name w:val="heading 3"/>
    <w:basedOn w:val="Heading1"/>
    <w:next w:val="Normal"/>
    <w:qFormat/>
    <w:rsid w:val="00732045"/>
    <w:pPr>
      <w:spacing w:before="200"/>
      <w:outlineLvl w:val="2"/>
    </w:pPr>
    <w:rPr>
      <w:sz w:val="24"/>
    </w:rPr>
  </w:style>
  <w:style w:type="paragraph" w:styleId="Heading4">
    <w:name w:val="heading 4"/>
    <w:basedOn w:val="Heading3"/>
    <w:next w:val="Normal"/>
    <w:qFormat/>
    <w:rsid w:val="00732045"/>
    <w:pPr>
      <w:ind w:left="1134" w:hanging="1134"/>
      <w:outlineLvl w:val="3"/>
    </w:pPr>
  </w:style>
  <w:style w:type="paragraph" w:styleId="Heading5">
    <w:name w:val="heading 5"/>
    <w:basedOn w:val="Heading4"/>
    <w:next w:val="Normal"/>
    <w:qFormat/>
    <w:rsid w:val="00732045"/>
    <w:pPr>
      <w:outlineLvl w:val="4"/>
    </w:pPr>
  </w:style>
  <w:style w:type="paragraph" w:styleId="Heading6">
    <w:name w:val="heading 6"/>
    <w:basedOn w:val="Heading4"/>
    <w:next w:val="Normal"/>
    <w:qFormat/>
    <w:rsid w:val="00732045"/>
    <w:pPr>
      <w:outlineLvl w:val="5"/>
    </w:pPr>
  </w:style>
  <w:style w:type="paragraph" w:styleId="Heading7">
    <w:name w:val="heading 7"/>
    <w:basedOn w:val="Heading4"/>
    <w:next w:val="Normal"/>
    <w:qFormat/>
    <w:rsid w:val="00732045"/>
    <w:pPr>
      <w:ind w:left="1701" w:hanging="1701"/>
      <w:outlineLvl w:val="6"/>
    </w:pPr>
  </w:style>
  <w:style w:type="paragraph" w:styleId="Heading8">
    <w:name w:val="heading 8"/>
    <w:basedOn w:val="Heading4"/>
    <w:next w:val="Normal"/>
    <w:qFormat/>
    <w:rsid w:val="00732045"/>
    <w:pPr>
      <w:ind w:left="1701" w:hanging="1701"/>
      <w:outlineLvl w:val="7"/>
    </w:pPr>
  </w:style>
  <w:style w:type="paragraph" w:styleId="Heading9">
    <w:name w:val="heading 9"/>
    <w:basedOn w:val="Heading4"/>
    <w:next w:val="Normal"/>
    <w:qFormat/>
    <w:rsid w:val="00732045"/>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3">
    <w:name w:val="toc 3"/>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732045"/>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732045"/>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732045"/>
    <w:pPr>
      <w:tabs>
        <w:tab w:val="clear" w:pos="567"/>
        <w:tab w:val="clear" w:pos="1134"/>
        <w:tab w:val="clear" w:pos="1701"/>
        <w:tab w:val="clear" w:pos="2268"/>
        <w:tab w:val="clear" w:pos="2835"/>
        <w:tab w:val="left" w:pos="964"/>
        <w:tab w:val="left" w:pos="8789"/>
        <w:tab w:val="right" w:pos="9639"/>
      </w:tabs>
      <w:ind w:left="964" w:hanging="964"/>
    </w:pPr>
  </w:style>
  <w:style w:type="paragraph" w:styleId="Index7">
    <w:name w:val="index 7"/>
    <w:basedOn w:val="Normal"/>
    <w:next w:val="Normal"/>
    <w:rsid w:val="005C3890"/>
    <w:pPr>
      <w:ind w:left="1698"/>
    </w:pPr>
  </w:style>
  <w:style w:type="paragraph" w:styleId="Index6">
    <w:name w:val="index 6"/>
    <w:basedOn w:val="Normal"/>
    <w:next w:val="Normal"/>
    <w:rsid w:val="005C3890"/>
    <w:pPr>
      <w:ind w:left="1415"/>
    </w:pPr>
  </w:style>
  <w:style w:type="paragraph" w:styleId="Index5">
    <w:name w:val="index 5"/>
    <w:basedOn w:val="Normal"/>
    <w:next w:val="Normal"/>
    <w:rsid w:val="005C3890"/>
    <w:pPr>
      <w:ind w:left="1132"/>
    </w:pPr>
  </w:style>
  <w:style w:type="paragraph" w:styleId="Index4">
    <w:name w:val="index 4"/>
    <w:basedOn w:val="Normal"/>
    <w:next w:val="Normal"/>
    <w:rsid w:val="005C3890"/>
    <w:pPr>
      <w:ind w:left="849"/>
    </w:pPr>
  </w:style>
  <w:style w:type="paragraph" w:styleId="Index3">
    <w:name w:val="index 3"/>
    <w:basedOn w:val="Normal"/>
    <w:next w:val="Normal"/>
    <w:rsid w:val="005C3890"/>
    <w:pPr>
      <w:ind w:left="566"/>
    </w:pPr>
  </w:style>
  <w:style w:type="paragraph" w:styleId="Index2">
    <w:name w:val="index 2"/>
    <w:basedOn w:val="Normal"/>
    <w:next w:val="Normal"/>
    <w:rsid w:val="005C3890"/>
    <w:pPr>
      <w:ind w:left="283"/>
    </w:pPr>
  </w:style>
  <w:style w:type="paragraph" w:styleId="Index1">
    <w:name w:val="index 1"/>
    <w:basedOn w:val="Normal"/>
    <w:next w:val="Normal"/>
    <w:rsid w:val="005C3890"/>
  </w:style>
  <w:style w:type="character" w:styleId="LineNumber">
    <w:name w:val="line number"/>
    <w:basedOn w:val="DefaultParagraphFont"/>
    <w:rsid w:val="005C3890"/>
  </w:style>
  <w:style w:type="paragraph" w:styleId="IndexHeading">
    <w:name w:val="index heading"/>
    <w:basedOn w:val="Normal"/>
    <w:next w:val="Index1"/>
    <w:rsid w:val="005C3890"/>
  </w:style>
  <w:style w:type="paragraph" w:styleId="Footer">
    <w:name w:val="footer"/>
    <w:basedOn w:val="Normal"/>
    <w:rsid w:val="0073204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73204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732045"/>
    <w:rPr>
      <w:rFonts w:ascii="Calibri" w:hAnsi="Calibri"/>
      <w:position w:val="6"/>
      <w:sz w:val="16"/>
    </w:rPr>
  </w:style>
  <w:style w:type="paragraph" w:styleId="FootnoteText">
    <w:name w:val="footnote text"/>
    <w:basedOn w:val="Normal"/>
    <w:rsid w:val="00732045"/>
    <w:pPr>
      <w:keepLines/>
      <w:tabs>
        <w:tab w:val="left" w:pos="256"/>
      </w:tabs>
      <w:ind w:left="256" w:hanging="256"/>
    </w:pPr>
  </w:style>
  <w:style w:type="paragraph" w:styleId="NormalIndent">
    <w:name w:val="Normal Indent"/>
    <w:basedOn w:val="Normal"/>
    <w:rsid w:val="00732045"/>
    <w:pPr>
      <w:ind w:left="567"/>
    </w:pPr>
  </w:style>
  <w:style w:type="paragraph" w:customStyle="1" w:styleId="enumlev1">
    <w:name w:val="enumlev1"/>
    <w:basedOn w:val="Normal"/>
    <w:rsid w:val="00732045"/>
    <w:pPr>
      <w:spacing w:before="86"/>
      <w:ind w:left="567" w:hanging="567"/>
    </w:pPr>
  </w:style>
  <w:style w:type="paragraph" w:customStyle="1" w:styleId="enumlev2">
    <w:name w:val="enumlev2"/>
    <w:basedOn w:val="enumlev1"/>
    <w:rsid w:val="00732045"/>
    <w:pPr>
      <w:ind w:left="1134"/>
    </w:pPr>
  </w:style>
  <w:style w:type="paragraph" w:customStyle="1" w:styleId="enumlev3">
    <w:name w:val="enumlev3"/>
    <w:basedOn w:val="enumlev2"/>
    <w:rsid w:val="00732045"/>
    <w:pPr>
      <w:ind w:left="1701"/>
    </w:pPr>
  </w:style>
  <w:style w:type="paragraph" w:customStyle="1" w:styleId="Equation">
    <w:name w:val="Equation"/>
    <w:basedOn w:val="Normal"/>
    <w:rsid w:val="005C3890"/>
    <w:pPr>
      <w:tabs>
        <w:tab w:val="center" w:pos="4820"/>
        <w:tab w:val="right" w:pos="9639"/>
      </w:tabs>
    </w:pPr>
  </w:style>
  <w:style w:type="paragraph" w:customStyle="1" w:styleId="Head">
    <w:name w:val="Head"/>
    <w:basedOn w:val="Normal"/>
    <w:rsid w:val="005C3890"/>
    <w:pPr>
      <w:tabs>
        <w:tab w:val="left" w:pos="6663"/>
      </w:tabs>
      <w:overflowPunct/>
      <w:autoSpaceDE/>
      <w:autoSpaceDN/>
      <w:adjustRightInd/>
      <w:spacing w:before="0"/>
      <w:textAlignment w:val="auto"/>
    </w:pPr>
  </w:style>
  <w:style w:type="paragraph" w:customStyle="1" w:styleId="Normalaftertitle">
    <w:name w:val="Normal after title"/>
    <w:basedOn w:val="Normal"/>
    <w:next w:val="Normal"/>
    <w:rsid w:val="00732045"/>
    <w:pPr>
      <w:spacing w:before="240"/>
    </w:pPr>
  </w:style>
  <w:style w:type="paragraph" w:customStyle="1" w:styleId="Call">
    <w:name w:val="Call"/>
    <w:basedOn w:val="Normal"/>
    <w:next w:val="Normal"/>
    <w:rsid w:val="00732045"/>
    <w:pPr>
      <w:keepNext/>
      <w:keepLines/>
      <w:tabs>
        <w:tab w:val="clear" w:pos="1134"/>
        <w:tab w:val="clear" w:pos="1701"/>
        <w:tab w:val="clear" w:pos="2268"/>
        <w:tab w:val="clear" w:pos="2835"/>
      </w:tabs>
      <w:spacing w:before="160"/>
      <w:ind w:left="567"/>
    </w:pPr>
    <w:rPr>
      <w:i/>
    </w:rPr>
  </w:style>
  <w:style w:type="paragraph" w:customStyle="1" w:styleId="toc0">
    <w:name w:val="toc 0"/>
    <w:basedOn w:val="Normal"/>
    <w:next w:val="TOC1"/>
    <w:rsid w:val="00732045"/>
    <w:pPr>
      <w:tabs>
        <w:tab w:val="clear" w:pos="567"/>
        <w:tab w:val="clear" w:pos="1134"/>
        <w:tab w:val="clear" w:pos="1701"/>
        <w:tab w:val="clear" w:pos="2268"/>
        <w:tab w:val="clear" w:pos="2835"/>
        <w:tab w:val="right" w:pos="9781"/>
      </w:tabs>
    </w:pPr>
    <w:rPr>
      <w:b/>
    </w:rPr>
  </w:style>
  <w:style w:type="paragraph" w:styleId="List">
    <w:name w:val="List"/>
    <w:basedOn w:val="Normal"/>
    <w:rsid w:val="005C3890"/>
    <w:pPr>
      <w:tabs>
        <w:tab w:val="left" w:pos="2127"/>
      </w:tabs>
      <w:ind w:left="2127" w:hanging="2127"/>
    </w:pPr>
  </w:style>
  <w:style w:type="paragraph" w:customStyle="1" w:styleId="Part">
    <w:name w:val="Part"/>
    <w:basedOn w:val="Normal"/>
    <w:rsid w:val="005C3890"/>
    <w:pPr>
      <w:tabs>
        <w:tab w:val="left" w:pos="1276"/>
      </w:tabs>
      <w:spacing w:before="199"/>
      <w:ind w:left="1701" w:hanging="1701"/>
    </w:pPr>
    <w:rPr>
      <w:caps/>
    </w:rPr>
  </w:style>
  <w:style w:type="paragraph" w:customStyle="1" w:styleId="Reasons">
    <w:name w:val="Reasons"/>
    <w:basedOn w:val="Normal"/>
    <w:qFormat/>
    <w:rsid w:val="00732045"/>
  </w:style>
  <w:style w:type="paragraph" w:customStyle="1" w:styleId="meeting">
    <w:name w:val="meeting"/>
    <w:basedOn w:val="Head"/>
    <w:next w:val="Head"/>
    <w:rsid w:val="005C3890"/>
    <w:pPr>
      <w:tabs>
        <w:tab w:val="left" w:pos="7371"/>
      </w:tabs>
      <w:spacing w:after="567"/>
    </w:pPr>
  </w:style>
  <w:style w:type="paragraph" w:customStyle="1" w:styleId="Subject">
    <w:name w:val="Subject"/>
    <w:basedOn w:val="Normal"/>
    <w:next w:val="Source"/>
    <w:rsid w:val="005C3890"/>
    <w:pPr>
      <w:tabs>
        <w:tab w:val="left" w:pos="709"/>
      </w:tabs>
      <w:spacing w:before="0"/>
      <w:ind w:left="709" w:hanging="709"/>
    </w:pPr>
  </w:style>
  <w:style w:type="paragraph" w:customStyle="1" w:styleId="Source">
    <w:name w:val="Source"/>
    <w:basedOn w:val="Normal"/>
    <w:next w:val="Title1"/>
    <w:rsid w:val="00732045"/>
    <w:pPr>
      <w:spacing w:before="840"/>
      <w:jc w:val="center"/>
    </w:pPr>
    <w:rPr>
      <w:b/>
      <w:sz w:val="28"/>
    </w:rPr>
  </w:style>
  <w:style w:type="paragraph" w:customStyle="1" w:styleId="Object">
    <w:name w:val="Object"/>
    <w:basedOn w:val="Subject"/>
    <w:next w:val="Subject"/>
    <w:rsid w:val="005C3890"/>
  </w:style>
  <w:style w:type="paragraph" w:customStyle="1" w:styleId="Data">
    <w:name w:val="Data"/>
    <w:basedOn w:val="Subject"/>
    <w:next w:val="Subject"/>
    <w:rsid w:val="005C3890"/>
  </w:style>
  <w:style w:type="paragraph" w:customStyle="1" w:styleId="Headingb">
    <w:name w:val="Heading_b"/>
    <w:basedOn w:val="Heading3"/>
    <w:next w:val="Normal"/>
    <w:rsid w:val="00732045"/>
    <w:pPr>
      <w:spacing w:before="160"/>
      <w:outlineLvl w:val="0"/>
    </w:pPr>
  </w:style>
  <w:style w:type="paragraph" w:customStyle="1" w:styleId="Title1">
    <w:name w:val="Title 1"/>
    <w:basedOn w:val="Source"/>
    <w:next w:val="Title2"/>
    <w:rsid w:val="00732045"/>
    <w:pPr>
      <w:spacing w:before="240"/>
    </w:pPr>
    <w:rPr>
      <w:b w:val="0"/>
      <w:caps/>
    </w:rPr>
  </w:style>
  <w:style w:type="paragraph" w:customStyle="1" w:styleId="dnum">
    <w:name w:val="dnum"/>
    <w:basedOn w:val="Normal"/>
    <w:rsid w:val="005C3890"/>
    <w:pPr>
      <w:framePr w:hSpace="181" w:wrap="notBeside" w:vAnchor="page" w:hAnchor="margin" w:x="1" w:y="852"/>
      <w:shd w:val="solid" w:color="FFFFFF" w:fill="FFFFFF"/>
      <w:tabs>
        <w:tab w:val="left" w:pos="1871"/>
      </w:tabs>
    </w:pPr>
    <w:rPr>
      <w:b/>
      <w:bCs/>
    </w:rPr>
  </w:style>
  <w:style w:type="paragraph" w:customStyle="1" w:styleId="FirstFooter">
    <w:name w:val="FirstFooter"/>
    <w:basedOn w:val="Footer"/>
    <w:rsid w:val="00732045"/>
    <w:rPr>
      <w:caps w:val="0"/>
    </w:rPr>
  </w:style>
  <w:style w:type="paragraph" w:customStyle="1" w:styleId="Note">
    <w:name w:val="Note"/>
    <w:basedOn w:val="Normal"/>
    <w:rsid w:val="005C3890"/>
    <w:pPr>
      <w:spacing w:before="80"/>
    </w:pPr>
  </w:style>
  <w:style w:type="paragraph" w:styleId="TOC9">
    <w:name w:val="toc 9"/>
    <w:basedOn w:val="Normal"/>
    <w:next w:val="Normal"/>
    <w:rsid w:val="00732045"/>
    <w:pPr>
      <w:tabs>
        <w:tab w:val="clear" w:pos="567"/>
        <w:tab w:val="clear" w:pos="1134"/>
        <w:tab w:val="clear" w:pos="1701"/>
        <w:tab w:val="clear" w:pos="2268"/>
        <w:tab w:val="clear" w:pos="2835"/>
        <w:tab w:val="right" w:leader="dot" w:pos="9645"/>
      </w:tabs>
      <w:ind w:left="1920"/>
    </w:pPr>
  </w:style>
  <w:style w:type="paragraph" w:customStyle="1" w:styleId="ddate">
    <w:name w:val="ddate"/>
    <w:basedOn w:val="Normal"/>
    <w:rsid w:val="005C3890"/>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5C3890"/>
    <w:pPr>
      <w:framePr w:hSpace="181" w:wrap="notBeside" w:vAnchor="page" w:hAnchor="margin" w:x="1" w:y="852"/>
      <w:shd w:val="solid" w:color="FFFFFF" w:fill="FFFFFF"/>
      <w:tabs>
        <w:tab w:val="left" w:pos="1871"/>
      </w:tabs>
      <w:spacing w:before="0"/>
    </w:pPr>
    <w:rPr>
      <w:b/>
      <w:bCs/>
    </w:rPr>
  </w:style>
  <w:style w:type="character" w:styleId="Hyperlink">
    <w:name w:val="Hyperlink"/>
    <w:basedOn w:val="DefaultParagraphFont"/>
    <w:rsid w:val="00FC6D7D"/>
    <w:rPr>
      <w:rFonts w:eastAsiaTheme="minorHAnsi" w:cstheme="minorBidi"/>
      <w:color w:val="4F81BD" w:themeColor="accent1"/>
      <w:szCs w:val="22"/>
    </w:rPr>
  </w:style>
  <w:style w:type="character" w:styleId="FollowedHyperlink">
    <w:name w:val="FollowedHyperlink"/>
    <w:basedOn w:val="DefaultParagraphFont"/>
    <w:rsid w:val="005C3890"/>
    <w:rPr>
      <w:color w:val="800080"/>
      <w:u w:val="single"/>
    </w:rPr>
  </w:style>
  <w:style w:type="paragraph" w:customStyle="1" w:styleId="AnnexNo">
    <w:name w:val="Annex_No"/>
    <w:basedOn w:val="Normal"/>
    <w:next w:val="Annexref"/>
    <w:rsid w:val="00732045"/>
    <w:pPr>
      <w:spacing w:before="720"/>
      <w:jc w:val="center"/>
    </w:pPr>
    <w:rPr>
      <w:caps/>
      <w:sz w:val="28"/>
    </w:rPr>
  </w:style>
  <w:style w:type="paragraph" w:customStyle="1" w:styleId="Annexref">
    <w:name w:val="Annex_ref"/>
    <w:basedOn w:val="Normal"/>
    <w:next w:val="Annextitle"/>
    <w:rsid w:val="00732045"/>
    <w:pPr>
      <w:jc w:val="center"/>
    </w:pPr>
    <w:rPr>
      <w:sz w:val="28"/>
    </w:rPr>
  </w:style>
  <w:style w:type="paragraph" w:customStyle="1" w:styleId="Annextitle">
    <w:name w:val="Annex_title"/>
    <w:basedOn w:val="Normal"/>
    <w:next w:val="Normal"/>
    <w:rsid w:val="00732045"/>
    <w:pPr>
      <w:spacing w:before="240" w:after="240"/>
      <w:jc w:val="center"/>
    </w:pPr>
    <w:rPr>
      <w:b/>
      <w:sz w:val="28"/>
    </w:rPr>
  </w:style>
  <w:style w:type="paragraph" w:customStyle="1" w:styleId="AppendixNo">
    <w:name w:val="Appendix_No"/>
    <w:basedOn w:val="AnnexNo"/>
    <w:next w:val="Appendixref"/>
    <w:rsid w:val="00732045"/>
  </w:style>
  <w:style w:type="paragraph" w:customStyle="1" w:styleId="Appendixref">
    <w:name w:val="Appendix_ref"/>
    <w:basedOn w:val="Annexref"/>
    <w:next w:val="Appendixtitle"/>
    <w:rsid w:val="00732045"/>
  </w:style>
  <w:style w:type="paragraph" w:customStyle="1" w:styleId="Appendixtitle">
    <w:name w:val="Appendix_title"/>
    <w:basedOn w:val="Annextitle"/>
    <w:next w:val="Normal"/>
    <w:rsid w:val="00732045"/>
  </w:style>
  <w:style w:type="paragraph" w:customStyle="1" w:styleId="Artheading">
    <w:name w:val="Art_heading"/>
    <w:basedOn w:val="Normal"/>
    <w:next w:val="Normalaftertitle"/>
    <w:rsid w:val="0073204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732045"/>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732045"/>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732045"/>
  </w:style>
  <w:style w:type="paragraph" w:customStyle="1" w:styleId="Chaptitle">
    <w:name w:val="Chap_title"/>
    <w:basedOn w:val="Arttitle"/>
    <w:next w:val="Normal"/>
    <w:rsid w:val="00732045"/>
  </w:style>
  <w:style w:type="paragraph" w:customStyle="1" w:styleId="Equationlegend">
    <w:name w:val="Equation_legend"/>
    <w:basedOn w:val="NormalIndent"/>
    <w:rsid w:val="005C3890"/>
    <w:pPr>
      <w:tabs>
        <w:tab w:val="right" w:pos="1531"/>
      </w:tabs>
      <w:spacing w:before="80"/>
      <w:ind w:left="1701" w:hanging="1701"/>
    </w:pPr>
  </w:style>
  <w:style w:type="paragraph" w:customStyle="1" w:styleId="Figure">
    <w:name w:val="Figure"/>
    <w:basedOn w:val="Normal"/>
    <w:next w:val="Figuretitle"/>
    <w:rsid w:val="005C3890"/>
    <w:pPr>
      <w:keepNext/>
      <w:keepLines/>
      <w:spacing w:after="120"/>
      <w:jc w:val="center"/>
    </w:pPr>
  </w:style>
  <w:style w:type="paragraph" w:customStyle="1" w:styleId="Figurelegend">
    <w:name w:val="Figure_legend"/>
    <w:basedOn w:val="Normal"/>
    <w:rsid w:val="00A709FE"/>
    <w:pPr>
      <w:spacing w:before="20" w:after="20"/>
    </w:pPr>
    <w:rPr>
      <w:sz w:val="18"/>
    </w:rPr>
  </w:style>
  <w:style w:type="paragraph" w:customStyle="1" w:styleId="TableNo">
    <w:name w:val="Table_No"/>
    <w:basedOn w:val="Normal"/>
    <w:next w:val="Tabletitle"/>
    <w:rsid w:val="00732045"/>
    <w:pPr>
      <w:keepNext/>
      <w:spacing w:before="560" w:after="120"/>
      <w:jc w:val="center"/>
    </w:pPr>
    <w:rPr>
      <w:caps/>
    </w:rPr>
  </w:style>
  <w:style w:type="paragraph" w:customStyle="1" w:styleId="Tabletitle">
    <w:name w:val="Table_title"/>
    <w:basedOn w:val="TableNo"/>
    <w:next w:val="Tabletext"/>
    <w:rsid w:val="0073204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Figuretitle">
    <w:name w:val="Figure_title"/>
    <w:basedOn w:val="Tabletitle"/>
    <w:next w:val="Normalaftertitle"/>
    <w:rsid w:val="005C3890"/>
    <w:pPr>
      <w:spacing w:before="240" w:after="480"/>
    </w:pPr>
  </w:style>
  <w:style w:type="paragraph" w:customStyle="1" w:styleId="Figurewithouttitle">
    <w:name w:val="Figure_without_title"/>
    <w:basedOn w:val="Figure"/>
    <w:next w:val="Normalaftertitle"/>
    <w:rsid w:val="005C3890"/>
    <w:pPr>
      <w:keepNext w:val="0"/>
      <w:spacing w:after="240"/>
    </w:pPr>
  </w:style>
  <w:style w:type="paragraph" w:customStyle="1" w:styleId="Headingi">
    <w:name w:val="Heading_i"/>
    <w:basedOn w:val="Heading3"/>
    <w:next w:val="Normal"/>
    <w:rsid w:val="00732045"/>
    <w:pPr>
      <w:spacing w:before="160"/>
      <w:outlineLvl w:val="0"/>
    </w:pPr>
    <w:rPr>
      <w:b w:val="0"/>
      <w:i/>
    </w:rPr>
  </w:style>
  <w:style w:type="character" w:styleId="PageNumber">
    <w:name w:val="page number"/>
    <w:basedOn w:val="DefaultParagraphFont"/>
    <w:rsid w:val="00732045"/>
    <w:rPr>
      <w:rFonts w:ascii="Calibri" w:hAnsi="Calibri"/>
    </w:rPr>
  </w:style>
  <w:style w:type="paragraph" w:customStyle="1" w:styleId="PartNo">
    <w:name w:val="Part_No"/>
    <w:basedOn w:val="AnnexNo"/>
    <w:next w:val="Parttitle"/>
    <w:rsid w:val="005C3890"/>
  </w:style>
  <w:style w:type="paragraph" w:customStyle="1" w:styleId="Partref">
    <w:name w:val="Part_ref"/>
    <w:basedOn w:val="Annexref"/>
    <w:next w:val="Normalaftertitle"/>
    <w:rsid w:val="005C3890"/>
  </w:style>
  <w:style w:type="paragraph" w:customStyle="1" w:styleId="Parttitle">
    <w:name w:val="Part_title"/>
    <w:basedOn w:val="Annextitle"/>
    <w:next w:val="Partref"/>
    <w:rsid w:val="005C3890"/>
  </w:style>
  <w:style w:type="paragraph" w:customStyle="1" w:styleId="RecNo">
    <w:name w:val="Rec_No"/>
    <w:basedOn w:val="Normal"/>
    <w:next w:val="Rectitle"/>
    <w:rsid w:val="00732045"/>
    <w:pPr>
      <w:spacing w:before="720"/>
      <w:jc w:val="center"/>
    </w:pPr>
    <w:rPr>
      <w:caps/>
      <w:sz w:val="28"/>
    </w:rPr>
  </w:style>
  <w:style w:type="paragraph" w:customStyle="1" w:styleId="Rectitle">
    <w:name w:val="Rec_title"/>
    <w:basedOn w:val="Normal"/>
    <w:next w:val="Heading1"/>
    <w:rsid w:val="00732045"/>
    <w:pPr>
      <w:spacing w:before="240"/>
      <w:jc w:val="center"/>
    </w:pPr>
    <w:rPr>
      <w:b/>
      <w:sz w:val="28"/>
    </w:rPr>
  </w:style>
  <w:style w:type="paragraph" w:customStyle="1" w:styleId="Recref">
    <w:name w:val="Rec_ref"/>
    <w:basedOn w:val="Rectitle"/>
    <w:next w:val="Recdate"/>
    <w:rsid w:val="005C3890"/>
    <w:pPr>
      <w:spacing w:before="120"/>
    </w:pPr>
    <w:rPr>
      <w:rFonts w:ascii="Times New Roman" w:hAnsi="Times New Roman"/>
      <w:b w:val="0"/>
      <w:sz w:val="24"/>
    </w:rPr>
  </w:style>
  <w:style w:type="paragraph" w:customStyle="1" w:styleId="Recdate">
    <w:name w:val="Rec_date"/>
    <w:basedOn w:val="Recref"/>
    <w:next w:val="Normalaftertitle"/>
    <w:rsid w:val="005C3890"/>
    <w:pPr>
      <w:jc w:val="right"/>
    </w:pPr>
    <w:rPr>
      <w:sz w:val="22"/>
    </w:rPr>
  </w:style>
  <w:style w:type="paragraph" w:customStyle="1" w:styleId="Questiondate">
    <w:name w:val="Question_date"/>
    <w:basedOn w:val="Recdate"/>
    <w:next w:val="Normalaftertitle"/>
    <w:rsid w:val="005C3890"/>
  </w:style>
  <w:style w:type="paragraph" w:customStyle="1" w:styleId="QuestionNo">
    <w:name w:val="Question_No"/>
    <w:basedOn w:val="RecNo"/>
    <w:next w:val="Questiontitle"/>
    <w:rsid w:val="005C3890"/>
  </w:style>
  <w:style w:type="paragraph" w:customStyle="1" w:styleId="Questionref">
    <w:name w:val="Question_ref"/>
    <w:basedOn w:val="Recref"/>
    <w:next w:val="Questiondate"/>
    <w:rsid w:val="005C3890"/>
  </w:style>
  <w:style w:type="paragraph" w:customStyle="1" w:styleId="Questiontitle">
    <w:name w:val="Question_title"/>
    <w:basedOn w:val="Rectitle"/>
    <w:next w:val="Questionref"/>
    <w:rsid w:val="005C3890"/>
  </w:style>
  <w:style w:type="paragraph" w:customStyle="1" w:styleId="Reftext">
    <w:name w:val="Ref_text"/>
    <w:basedOn w:val="Normal"/>
    <w:rsid w:val="00732045"/>
    <w:pPr>
      <w:ind w:left="567" w:hanging="567"/>
    </w:pPr>
  </w:style>
  <w:style w:type="paragraph" w:customStyle="1" w:styleId="Reftitle">
    <w:name w:val="Ref_title"/>
    <w:basedOn w:val="Normal"/>
    <w:next w:val="Reftext"/>
    <w:rsid w:val="00732045"/>
    <w:pPr>
      <w:spacing w:before="480"/>
      <w:jc w:val="center"/>
    </w:pPr>
    <w:rPr>
      <w:caps/>
      <w:sz w:val="28"/>
    </w:rPr>
  </w:style>
  <w:style w:type="paragraph" w:customStyle="1" w:styleId="Repdate">
    <w:name w:val="Rep_date"/>
    <w:basedOn w:val="Recdate"/>
    <w:next w:val="Normalaftertitle"/>
    <w:rsid w:val="005C3890"/>
  </w:style>
  <w:style w:type="paragraph" w:customStyle="1" w:styleId="RepNo">
    <w:name w:val="Rep_No"/>
    <w:basedOn w:val="RecNo"/>
    <w:next w:val="Reptitle"/>
    <w:rsid w:val="005C3890"/>
  </w:style>
  <w:style w:type="paragraph" w:customStyle="1" w:styleId="Repref">
    <w:name w:val="Rep_ref"/>
    <w:basedOn w:val="Recref"/>
    <w:next w:val="Repdate"/>
    <w:rsid w:val="005C3890"/>
  </w:style>
  <w:style w:type="paragraph" w:customStyle="1" w:styleId="Reptitle">
    <w:name w:val="Rep_title"/>
    <w:basedOn w:val="Rectitle"/>
    <w:next w:val="Repref"/>
    <w:rsid w:val="005C3890"/>
  </w:style>
  <w:style w:type="paragraph" w:customStyle="1" w:styleId="Resdate">
    <w:name w:val="Res_date"/>
    <w:basedOn w:val="Recdate"/>
    <w:next w:val="Normalaftertitle"/>
    <w:rsid w:val="005C3890"/>
  </w:style>
  <w:style w:type="paragraph" w:customStyle="1" w:styleId="ResNo">
    <w:name w:val="Res_No"/>
    <w:basedOn w:val="AnnexNo"/>
    <w:next w:val="Restitle"/>
    <w:rsid w:val="00732045"/>
  </w:style>
  <w:style w:type="paragraph" w:customStyle="1" w:styleId="Resref">
    <w:name w:val="Res_ref"/>
    <w:basedOn w:val="Recref"/>
    <w:next w:val="Resdate"/>
    <w:rsid w:val="005C3890"/>
  </w:style>
  <w:style w:type="paragraph" w:customStyle="1" w:styleId="Restitle">
    <w:name w:val="Res_title"/>
    <w:basedOn w:val="Annextitle"/>
    <w:next w:val="Normal"/>
    <w:rsid w:val="00732045"/>
  </w:style>
  <w:style w:type="paragraph" w:customStyle="1" w:styleId="SectionNo">
    <w:name w:val="Section_No"/>
    <w:basedOn w:val="AnnexNo"/>
    <w:next w:val="Sectiontitle"/>
    <w:rsid w:val="005C3890"/>
  </w:style>
  <w:style w:type="paragraph" w:customStyle="1" w:styleId="Sectiontitle">
    <w:name w:val="Section_title"/>
    <w:basedOn w:val="Normal"/>
    <w:next w:val="Normalaftertitle"/>
    <w:rsid w:val="005C3890"/>
    <w:rPr>
      <w:sz w:val="28"/>
    </w:rPr>
  </w:style>
  <w:style w:type="paragraph" w:customStyle="1" w:styleId="SpecialFooter">
    <w:name w:val="Special Footer"/>
    <w:basedOn w:val="Footer"/>
    <w:rsid w:val="005C3890"/>
    <w:pPr>
      <w:tabs>
        <w:tab w:val="left" w:pos="567"/>
        <w:tab w:val="left" w:pos="1134"/>
        <w:tab w:val="left" w:pos="1701"/>
        <w:tab w:val="left" w:pos="2268"/>
        <w:tab w:val="left" w:pos="2835"/>
      </w:tabs>
      <w:jc w:val="both"/>
    </w:pPr>
    <w:rPr>
      <w:caps w:val="0"/>
      <w:noProof w:val="0"/>
    </w:rPr>
  </w:style>
  <w:style w:type="paragraph" w:customStyle="1" w:styleId="Tabletext">
    <w:name w:val="Table_text"/>
    <w:basedOn w:val="Normal"/>
    <w:rsid w:val="00732045"/>
    <w:pPr>
      <w:tabs>
        <w:tab w:val="clear" w:pos="567"/>
        <w:tab w:val="clear" w:pos="1134"/>
        <w:tab w:val="clear" w:pos="1701"/>
        <w:tab w:val="clear" w:pos="2268"/>
        <w:tab w:val="clear" w:pos="2835"/>
      </w:tabs>
      <w:spacing w:before="60" w:after="60"/>
    </w:pPr>
    <w:rPr>
      <w:sz w:val="22"/>
    </w:rPr>
  </w:style>
  <w:style w:type="paragraph" w:customStyle="1" w:styleId="Tablehead">
    <w:name w:val="Table_head"/>
    <w:basedOn w:val="Tabletext"/>
    <w:rsid w:val="00732045"/>
    <w:pPr>
      <w:spacing w:before="120" w:after="120"/>
      <w:jc w:val="center"/>
    </w:pPr>
    <w:rPr>
      <w:b/>
    </w:rPr>
  </w:style>
  <w:style w:type="paragraph" w:customStyle="1" w:styleId="Tablelegend">
    <w:name w:val="Table_legend"/>
    <w:basedOn w:val="Tabletext"/>
    <w:rsid w:val="00732045"/>
    <w:pPr>
      <w:spacing w:before="120"/>
    </w:pPr>
  </w:style>
  <w:style w:type="paragraph" w:customStyle="1" w:styleId="Tableref">
    <w:name w:val="Table_ref"/>
    <w:basedOn w:val="Normal"/>
    <w:next w:val="Tabletitle"/>
    <w:rsid w:val="005C3890"/>
    <w:pPr>
      <w:keepNext/>
      <w:spacing w:before="567"/>
      <w:jc w:val="center"/>
    </w:pPr>
  </w:style>
  <w:style w:type="paragraph" w:customStyle="1" w:styleId="Title2">
    <w:name w:val="Title 2"/>
    <w:basedOn w:val="Source"/>
    <w:next w:val="Title3"/>
    <w:rsid w:val="00732045"/>
    <w:pPr>
      <w:spacing w:before="240"/>
    </w:pPr>
    <w:rPr>
      <w:b w:val="0"/>
      <w:caps/>
    </w:rPr>
  </w:style>
  <w:style w:type="paragraph" w:customStyle="1" w:styleId="Title3">
    <w:name w:val="Title 3"/>
    <w:basedOn w:val="Title2"/>
    <w:next w:val="Normalaftertitle"/>
    <w:rsid w:val="00732045"/>
    <w:rPr>
      <w:caps w:val="0"/>
    </w:rPr>
  </w:style>
  <w:style w:type="paragraph" w:customStyle="1" w:styleId="Title4">
    <w:name w:val="Title 4"/>
    <w:basedOn w:val="Title3"/>
    <w:next w:val="Heading1"/>
    <w:rsid w:val="005C3890"/>
    <w:rPr>
      <w:b/>
    </w:rPr>
  </w:style>
  <w:style w:type="paragraph" w:customStyle="1" w:styleId="FigureNo">
    <w:name w:val="Figure_No"/>
    <w:basedOn w:val="Normal"/>
    <w:next w:val="Figuretitle"/>
    <w:rsid w:val="005C3890"/>
    <w:pPr>
      <w:keepNext/>
      <w:keepLines/>
      <w:spacing w:before="240" w:after="120"/>
      <w:jc w:val="center"/>
    </w:pPr>
    <w:rPr>
      <w:caps/>
    </w:rPr>
  </w:style>
  <w:style w:type="paragraph" w:customStyle="1" w:styleId="firstfooter0">
    <w:name w:val="firstfooter"/>
    <w:basedOn w:val="Normal"/>
    <w:rsid w:val="0073204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Subtitle">
    <w:name w:val="Sub_title"/>
    <w:basedOn w:val="Normal"/>
    <w:qFormat/>
    <w:rsid w:val="00A51849"/>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A51849"/>
    <w:rPr>
      <w:rFonts w:ascii="Calibri" w:hAnsi="Calibri"/>
      <w:sz w:val="18"/>
      <w:lang w:val="fr-FR" w:eastAsia="en-US"/>
    </w:rPr>
  </w:style>
  <w:style w:type="table" w:styleId="TableGrid">
    <w:name w:val="Table Grid"/>
    <w:basedOn w:val="TableNormal"/>
    <w:uiPriority w:val="39"/>
    <w:rsid w:val="00A51849"/>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95647"/>
    <w:rPr>
      <w:rFonts w:ascii="Calibri" w:hAnsi="Calibri"/>
      <w:sz w:val="24"/>
      <w:lang w:val="fr-FR" w:eastAsia="en-US"/>
    </w:rPr>
  </w:style>
  <w:style w:type="character" w:styleId="PlaceholderText">
    <w:name w:val="Placeholder Text"/>
    <w:basedOn w:val="DefaultParagraphFont"/>
    <w:uiPriority w:val="99"/>
    <w:semiHidden/>
    <w:rsid w:val="00FC6D7D"/>
    <w:rPr>
      <w:color w:val="666666"/>
    </w:rPr>
  </w:style>
  <w:style w:type="character" w:styleId="UnresolvedMention">
    <w:name w:val="Unresolved Mention"/>
    <w:basedOn w:val="DefaultParagraphFont"/>
    <w:uiPriority w:val="99"/>
    <w:semiHidden/>
    <w:unhideWhenUsed/>
    <w:rsid w:val="00FC6D7D"/>
    <w:rPr>
      <w:color w:val="605E5C"/>
      <w:shd w:val="clear" w:color="auto" w:fill="E1DFDD"/>
    </w:rPr>
  </w:style>
  <w:style w:type="paragraph" w:customStyle="1" w:styleId="Tablefin">
    <w:name w:val="Table_fin"/>
    <w:basedOn w:val="Tabletext"/>
    <w:rsid w:val="0023341E"/>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tu.int/en/council/Documents/basic-texts-2023/DEC-005-F.pdf"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S24-CL-C-0046/fr"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SG\PF_Council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PF_Council25.dotx</Template>
  <TotalTime>2</TotalTime>
  <Pages>5</Pages>
  <Words>1747</Words>
  <Characters>9515</Characters>
  <Application>Microsoft Office Word</Application>
  <DocSecurity>0</DocSecurity>
  <Lines>232</Lines>
  <Paragraphs>142</Paragraphs>
  <ScaleCrop>false</ScaleCrop>
  <HeadingPairs>
    <vt:vector size="2" baseType="variant">
      <vt:variant>
        <vt:lpstr>Title</vt:lpstr>
      </vt:variant>
      <vt:variant>
        <vt:i4>1</vt:i4>
      </vt:variant>
    </vt:vector>
  </HeadingPairs>
  <TitlesOfParts>
    <vt:vector size="1" baseType="lpstr">
      <vt:lpstr/>
    </vt:vector>
  </TitlesOfParts>
  <Manager>Secrétariat général - Pool</Manager>
  <Company>Union internationale des télécommunications (UIT)</Company>
  <LinksUpToDate>false</LinksUpToDate>
  <CharactersWithSpaces>11120</CharactersWithSpaces>
  <SharedDoc>false</SharedDoc>
  <HLinks>
    <vt:vector size="6" baseType="variant">
      <vt:variant>
        <vt:i4>3342371</vt:i4>
      </vt:variant>
      <vt:variant>
        <vt:i4>24</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Passifs de l'assurance maladie après la cessation de service (ASHI)</dc:title>
  <dc:subject>Conseil 2025 de l'UIT</dc:subject>
  <cp:keywords>C2025, C25, Council-25</cp:keywords>
  <dc:description/>
  <cp:lastPrinted>2000-07-18T08:55:00Z</cp:lastPrinted>
  <dcterms:created xsi:type="dcterms:W3CDTF">2025-05-13T14:39:00Z</dcterms:created>
  <dcterms:modified xsi:type="dcterms:W3CDTF">2025-05-13T14:41:00Z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C17/-F</vt:lpwstr>
  </property>
  <property fmtid="{D5CDD505-2E9C-101B-9397-08002B2CF9AE}" pid="3" name="Docdate">
    <vt:lpwstr>janvier 2017</vt:lpwstr>
  </property>
  <property fmtid="{D5CDD505-2E9C-101B-9397-08002B2CF9AE}" pid="4" name="Docorlang">
    <vt:lpwstr>Original: anglais</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3b117b70c20e9b2783321a6b7cab6c2f080bb257cb74c6787543e88ec12dc3bd</vt:lpwstr>
  </property>
</Properties>
</file>