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B2608E" w14:paraId="3E1C2769" w14:textId="77777777" w:rsidTr="57AE38F1">
        <w:trPr>
          <w:cantSplit/>
          <w:trHeight w:val="23"/>
        </w:trPr>
        <w:tc>
          <w:tcPr>
            <w:tcW w:w="3969" w:type="dxa"/>
            <w:vMerge w:val="restart"/>
            <w:tcMar>
              <w:left w:w="0" w:type="dxa"/>
            </w:tcMar>
          </w:tcPr>
          <w:p w14:paraId="7147B863" w14:textId="1E626EF4" w:rsidR="00AD3606" w:rsidRPr="00B2608E"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r w:rsidRPr="00B2608E">
              <w:rPr>
                <w:b/>
              </w:rPr>
              <w:t xml:space="preserve">Agenda item: </w:t>
            </w:r>
            <w:r w:rsidR="00A27359" w:rsidRPr="00B2608E">
              <w:rPr>
                <w:b/>
              </w:rPr>
              <w:t>ADM</w:t>
            </w:r>
            <w:r w:rsidR="00FD4349" w:rsidRPr="00B2608E">
              <w:rPr>
                <w:b/>
              </w:rPr>
              <w:t xml:space="preserve"> 1</w:t>
            </w:r>
          </w:p>
        </w:tc>
        <w:tc>
          <w:tcPr>
            <w:tcW w:w="5245" w:type="dxa"/>
          </w:tcPr>
          <w:p w14:paraId="6779937E" w14:textId="224C5212" w:rsidR="00AD3606" w:rsidRPr="00B2608E" w:rsidRDefault="090B9EE1" w:rsidP="57AE38F1">
            <w:pPr>
              <w:tabs>
                <w:tab w:val="left" w:pos="851"/>
              </w:tabs>
              <w:spacing w:before="0" w:line="240" w:lineRule="atLeast"/>
              <w:jc w:val="right"/>
              <w:rPr>
                <w:b/>
                <w:bCs/>
              </w:rPr>
            </w:pPr>
            <w:r w:rsidRPr="57AE38F1">
              <w:rPr>
                <w:b/>
                <w:bCs/>
              </w:rPr>
              <w:t xml:space="preserve">Document </w:t>
            </w:r>
            <w:proofErr w:type="spellStart"/>
            <w:r w:rsidRPr="57AE38F1">
              <w:rPr>
                <w:b/>
                <w:bCs/>
              </w:rPr>
              <w:t>C2</w:t>
            </w:r>
            <w:r w:rsidR="390D83D2" w:rsidRPr="57AE38F1">
              <w:rPr>
                <w:b/>
                <w:bCs/>
              </w:rPr>
              <w:t>5</w:t>
            </w:r>
            <w:proofErr w:type="spellEnd"/>
            <w:r w:rsidRPr="57AE38F1">
              <w:rPr>
                <w:b/>
                <w:bCs/>
              </w:rPr>
              <w:t>/</w:t>
            </w:r>
            <w:r w:rsidR="76436716" w:rsidRPr="57AE38F1">
              <w:rPr>
                <w:b/>
                <w:bCs/>
              </w:rPr>
              <w:t>46</w:t>
            </w:r>
            <w:r w:rsidRPr="57AE38F1">
              <w:rPr>
                <w:b/>
                <w:bCs/>
              </w:rPr>
              <w:t>-E</w:t>
            </w:r>
          </w:p>
        </w:tc>
      </w:tr>
      <w:tr w:rsidR="00AD3606" w:rsidRPr="00B2608E" w14:paraId="3E3F9DA5" w14:textId="77777777" w:rsidTr="57AE38F1">
        <w:trPr>
          <w:cantSplit/>
        </w:trPr>
        <w:tc>
          <w:tcPr>
            <w:tcW w:w="3969" w:type="dxa"/>
            <w:vMerge/>
          </w:tcPr>
          <w:p w14:paraId="5920AA6E" w14:textId="77777777" w:rsidR="00AD3606" w:rsidRPr="00B2608E" w:rsidRDefault="00AD3606" w:rsidP="00AD3606">
            <w:pPr>
              <w:tabs>
                <w:tab w:val="left" w:pos="851"/>
              </w:tabs>
              <w:spacing w:line="240" w:lineRule="atLeast"/>
              <w:rPr>
                <w:b/>
              </w:rPr>
            </w:pPr>
            <w:bookmarkStart w:id="6" w:name="ddate" w:colFirst="1" w:colLast="1"/>
            <w:bookmarkEnd w:id="0"/>
            <w:bookmarkEnd w:id="1"/>
          </w:p>
        </w:tc>
        <w:tc>
          <w:tcPr>
            <w:tcW w:w="5245" w:type="dxa"/>
          </w:tcPr>
          <w:p w14:paraId="55371C25" w14:textId="6C0490F7" w:rsidR="00AD3606" w:rsidRPr="00B2608E" w:rsidRDefault="00053F6E" w:rsidP="00AD3606">
            <w:pPr>
              <w:tabs>
                <w:tab w:val="left" w:pos="851"/>
              </w:tabs>
              <w:spacing w:before="0"/>
              <w:jc w:val="right"/>
              <w:rPr>
                <w:b/>
              </w:rPr>
            </w:pPr>
            <w:r>
              <w:rPr>
                <w:b/>
              </w:rPr>
              <w:t>22 April</w:t>
            </w:r>
            <w:r w:rsidR="00021AB4" w:rsidRPr="00B2608E">
              <w:rPr>
                <w:b/>
              </w:rPr>
              <w:t xml:space="preserve"> 2025</w:t>
            </w:r>
          </w:p>
        </w:tc>
      </w:tr>
      <w:tr w:rsidR="00AD3606" w:rsidRPr="00B2608E" w14:paraId="75730376" w14:textId="77777777" w:rsidTr="57AE38F1">
        <w:trPr>
          <w:cantSplit/>
          <w:trHeight w:val="23"/>
        </w:trPr>
        <w:tc>
          <w:tcPr>
            <w:tcW w:w="3969" w:type="dxa"/>
            <w:vMerge/>
          </w:tcPr>
          <w:p w14:paraId="298F937E" w14:textId="77777777" w:rsidR="00AD3606" w:rsidRPr="00B2608E" w:rsidRDefault="00AD3606" w:rsidP="00AD3606">
            <w:pPr>
              <w:tabs>
                <w:tab w:val="left" w:pos="851"/>
              </w:tabs>
              <w:spacing w:line="240" w:lineRule="atLeast"/>
              <w:rPr>
                <w:b/>
              </w:rPr>
            </w:pPr>
            <w:bookmarkStart w:id="7" w:name="dorlang" w:colFirst="1" w:colLast="1"/>
            <w:bookmarkEnd w:id="6"/>
          </w:p>
        </w:tc>
        <w:tc>
          <w:tcPr>
            <w:tcW w:w="5245" w:type="dxa"/>
          </w:tcPr>
          <w:p w14:paraId="041A065E" w14:textId="77777777" w:rsidR="00AD3606" w:rsidRPr="00B2608E" w:rsidRDefault="00AD3606" w:rsidP="00AD3606">
            <w:pPr>
              <w:tabs>
                <w:tab w:val="left" w:pos="851"/>
              </w:tabs>
              <w:spacing w:before="0" w:line="240" w:lineRule="atLeast"/>
              <w:jc w:val="right"/>
              <w:rPr>
                <w:b/>
              </w:rPr>
            </w:pPr>
            <w:r w:rsidRPr="00B2608E">
              <w:rPr>
                <w:b/>
              </w:rPr>
              <w:t>Original: English</w:t>
            </w:r>
          </w:p>
        </w:tc>
      </w:tr>
      <w:tr w:rsidR="00472BAD" w:rsidRPr="00B2608E" w14:paraId="14DA91C4" w14:textId="77777777" w:rsidTr="57AE38F1">
        <w:trPr>
          <w:cantSplit/>
          <w:trHeight w:val="23"/>
        </w:trPr>
        <w:tc>
          <w:tcPr>
            <w:tcW w:w="3969" w:type="dxa"/>
          </w:tcPr>
          <w:p w14:paraId="5858B25D" w14:textId="77777777" w:rsidR="00472BAD" w:rsidRPr="00B2608E" w:rsidRDefault="00472BAD" w:rsidP="00AD3606">
            <w:pPr>
              <w:tabs>
                <w:tab w:val="left" w:pos="851"/>
              </w:tabs>
              <w:spacing w:line="240" w:lineRule="atLeast"/>
              <w:rPr>
                <w:b/>
              </w:rPr>
            </w:pPr>
          </w:p>
        </w:tc>
        <w:tc>
          <w:tcPr>
            <w:tcW w:w="5245" w:type="dxa"/>
          </w:tcPr>
          <w:p w14:paraId="5DBF7439" w14:textId="77777777" w:rsidR="00472BAD" w:rsidRPr="00B2608E" w:rsidRDefault="00472BAD" w:rsidP="00AD3606">
            <w:pPr>
              <w:tabs>
                <w:tab w:val="left" w:pos="851"/>
              </w:tabs>
              <w:spacing w:before="0" w:line="240" w:lineRule="atLeast"/>
              <w:jc w:val="right"/>
              <w:rPr>
                <w:b/>
              </w:rPr>
            </w:pPr>
          </w:p>
        </w:tc>
      </w:tr>
      <w:tr w:rsidR="00AD3606" w:rsidRPr="00B2608E" w14:paraId="2481FF59" w14:textId="77777777" w:rsidTr="57AE38F1">
        <w:trPr>
          <w:cantSplit/>
        </w:trPr>
        <w:tc>
          <w:tcPr>
            <w:tcW w:w="9214" w:type="dxa"/>
            <w:gridSpan w:val="2"/>
            <w:tcMar>
              <w:left w:w="0" w:type="dxa"/>
            </w:tcMar>
          </w:tcPr>
          <w:p w14:paraId="2016C4A0" w14:textId="77777777" w:rsidR="00AD3606" w:rsidRPr="00B2608E" w:rsidRDefault="00AD3606" w:rsidP="000F7289">
            <w:pPr>
              <w:pStyle w:val="Source"/>
              <w:framePr w:hSpace="0" w:wrap="auto" w:vAnchor="margin" w:hAnchor="text" w:xAlign="left" w:yAlign="inline"/>
            </w:pPr>
            <w:bookmarkStart w:id="8" w:name="dsource" w:colFirst="0" w:colLast="0"/>
            <w:bookmarkEnd w:id="7"/>
            <w:r w:rsidRPr="00B2608E">
              <w:t>Report by the Secretary-General</w:t>
            </w:r>
          </w:p>
        </w:tc>
      </w:tr>
      <w:tr w:rsidR="00AD3606" w:rsidRPr="00B2608E" w14:paraId="3A759762" w14:textId="77777777" w:rsidTr="57AE38F1">
        <w:trPr>
          <w:cantSplit/>
        </w:trPr>
        <w:tc>
          <w:tcPr>
            <w:tcW w:w="9214" w:type="dxa"/>
            <w:gridSpan w:val="2"/>
            <w:tcMar>
              <w:left w:w="0" w:type="dxa"/>
            </w:tcMar>
          </w:tcPr>
          <w:p w14:paraId="2A2DCF47" w14:textId="4CA328BD" w:rsidR="00AD3606" w:rsidRPr="00B2608E" w:rsidRDefault="0015471B" w:rsidP="000F7289">
            <w:pPr>
              <w:pStyle w:val="Subtitle"/>
              <w:framePr w:hSpace="0" w:wrap="auto" w:xAlign="left" w:yAlign="inline"/>
            </w:pPr>
            <w:bookmarkStart w:id="9" w:name="_Hlk163638570"/>
            <w:bookmarkStart w:id="10" w:name="dtitle1" w:colFirst="0" w:colLast="0"/>
            <w:bookmarkEnd w:id="8"/>
            <w:r w:rsidRPr="00B2608E">
              <w:t>The After-Service Health Insurance (ASHI) liability</w:t>
            </w:r>
            <w:bookmarkEnd w:id="9"/>
          </w:p>
        </w:tc>
      </w:tr>
      <w:tr w:rsidR="00AD3606" w:rsidRPr="00B2608E" w14:paraId="72B25568" w14:textId="77777777" w:rsidTr="57AE38F1">
        <w:trPr>
          <w:cantSplit/>
        </w:trPr>
        <w:tc>
          <w:tcPr>
            <w:tcW w:w="9214" w:type="dxa"/>
            <w:gridSpan w:val="2"/>
            <w:tcBorders>
              <w:top w:val="single" w:sz="4" w:space="0" w:color="auto"/>
              <w:bottom w:val="single" w:sz="4" w:space="0" w:color="auto"/>
            </w:tcBorders>
            <w:tcMar>
              <w:left w:w="0" w:type="dxa"/>
            </w:tcMar>
          </w:tcPr>
          <w:p w14:paraId="4C3D541B" w14:textId="1024FD2F" w:rsidR="00AD3606" w:rsidRPr="00B2608E" w:rsidRDefault="00F16BAB" w:rsidP="00F16BAB">
            <w:pPr>
              <w:spacing w:before="160"/>
              <w:rPr>
                <w:b/>
                <w:bCs/>
                <w:sz w:val="26"/>
                <w:szCs w:val="26"/>
              </w:rPr>
            </w:pPr>
            <w:r w:rsidRPr="00B2608E">
              <w:rPr>
                <w:b/>
                <w:bCs/>
                <w:sz w:val="26"/>
                <w:szCs w:val="26"/>
              </w:rPr>
              <w:t>Purpose</w:t>
            </w:r>
          </w:p>
          <w:p w14:paraId="67D070EA" w14:textId="420388BD" w:rsidR="00AD3606" w:rsidRPr="00B2608E" w:rsidRDefault="006D13D5" w:rsidP="00AF6909">
            <w:pPr>
              <w:jc w:val="both"/>
            </w:pPr>
            <w:r w:rsidRPr="00B2608E">
              <w:t>This document presents the situation of the after-service health insurance (ASHI) liability as of 31 December 2024, in line with the request made by the Council at its 2014 session to receive annual reports from ITU on the ASHI liability.</w:t>
            </w:r>
          </w:p>
          <w:p w14:paraId="4288AA6F" w14:textId="77777777" w:rsidR="00AD3606" w:rsidRPr="00B2608E" w:rsidRDefault="00AD3606" w:rsidP="00F16BAB">
            <w:pPr>
              <w:spacing w:before="160"/>
              <w:rPr>
                <w:b/>
                <w:bCs/>
                <w:sz w:val="26"/>
                <w:szCs w:val="26"/>
              </w:rPr>
            </w:pPr>
            <w:r w:rsidRPr="00B2608E">
              <w:rPr>
                <w:b/>
                <w:bCs/>
                <w:sz w:val="26"/>
                <w:szCs w:val="26"/>
              </w:rPr>
              <w:t>Action required</w:t>
            </w:r>
            <w:r w:rsidR="00F16BAB" w:rsidRPr="00B2608E">
              <w:rPr>
                <w:b/>
                <w:bCs/>
                <w:sz w:val="26"/>
                <w:szCs w:val="26"/>
              </w:rPr>
              <w:t xml:space="preserve"> by the Council</w:t>
            </w:r>
          </w:p>
          <w:p w14:paraId="0FFF2D9B" w14:textId="57A1BC4E" w:rsidR="00722551" w:rsidRPr="00B2608E" w:rsidRDefault="00AF6909" w:rsidP="00722551">
            <w:r w:rsidRPr="00B2608E">
              <w:t xml:space="preserve">The Council is invited to </w:t>
            </w:r>
            <w:r w:rsidRPr="00B2608E">
              <w:rPr>
                <w:b/>
                <w:bCs/>
              </w:rPr>
              <w:t xml:space="preserve">take note </w:t>
            </w:r>
            <w:r w:rsidRPr="00B2608E">
              <w:t>of this document.</w:t>
            </w:r>
          </w:p>
          <w:p w14:paraId="4B855F83" w14:textId="7E0F2BB7" w:rsidR="00722551" w:rsidRPr="00B2608E" w:rsidRDefault="00722551" w:rsidP="00722551">
            <w:pPr>
              <w:spacing w:before="160"/>
              <w:rPr>
                <w:b/>
                <w:bCs/>
                <w:sz w:val="26"/>
                <w:szCs w:val="26"/>
              </w:rPr>
            </w:pPr>
            <w:r w:rsidRPr="00B2608E">
              <w:rPr>
                <w:b/>
                <w:bCs/>
                <w:sz w:val="26"/>
                <w:szCs w:val="26"/>
              </w:rPr>
              <w:t>Relevant link</w:t>
            </w:r>
            <w:r w:rsidR="004B25A1" w:rsidRPr="00B2608E">
              <w:rPr>
                <w:b/>
                <w:bCs/>
                <w:sz w:val="26"/>
                <w:szCs w:val="26"/>
              </w:rPr>
              <w:t>(s)</w:t>
            </w:r>
            <w:r w:rsidRPr="00B2608E">
              <w:rPr>
                <w:b/>
                <w:bCs/>
                <w:sz w:val="26"/>
                <w:szCs w:val="26"/>
              </w:rPr>
              <w:t xml:space="preserve"> with the Strategic Plan</w:t>
            </w:r>
          </w:p>
          <w:p w14:paraId="56ADF403" w14:textId="0E53D3F0" w:rsidR="00722551" w:rsidRPr="00B2608E" w:rsidRDefault="00AF6909" w:rsidP="00722551">
            <w:r w:rsidRPr="00B2608E">
              <w:t>n/a</w:t>
            </w:r>
          </w:p>
          <w:p w14:paraId="6A77059B" w14:textId="270D1307" w:rsidR="00722551" w:rsidRPr="00B2608E" w:rsidRDefault="00722551" w:rsidP="00722551">
            <w:pPr>
              <w:spacing w:before="160"/>
              <w:rPr>
                <w:b/>
                <w:bCs/>
                <w:sz w:val="26"/>
                <w:szCs w:val="26"/>
              </w:rPr>
            </w:pPr>
            <w:r w:rsidRPr="00B2608E">
              <w:rPr>
                <w:b/>
                <w:bCs/>
                <w:sz w:val="26"/>
                <w:szCs w:val="26"/>
              </w:rPr>
              <w:t>Financial implications</w:t>
            </w:r>
          </w:p>
          <w:p w14:paraId="731F0870" w14:textId="70A1D52A" w:rsidR="00453079" w:rsidRPr="00B2608E" w:rsidRDefault="00DF405B" w:rsidP="00F16BAB">
            <w:pPr>
              <w:spacing w:before="160"/>
              <w:rPr>
                <w:szCs w:val="24"/>
              </w:rPr>
            </w:pPr>
            <w:r w:rsidRPr="00B2608E">
              <w:rPr>
                <w:szCs w:val="24"/>
              </w:rPr>
              <w:t>Within the allocated budget 2024-2025</w:t>
            </w:r>
            <w:r w:rsidR="00B2608E">
              <w:rPr>
                <w:szCs w:val="24"/>
              </w:rPr>
              <w:t>.</w:t>
            </w:r>
          </w:p>
          <w:p w14:paraId="08939791" w14:textId="77777777" w:rsidR="00C0458D" w:rsidRPr="00B2608E" w:rsidRDefault="00C0458D">
            <w:r w:rsidRPr="00B2608E">
              <w:t>_______________</w:t>
            </w:r>
          </w:p>
          <w:p w14:paraId="212A584A" w14:textId="77777777" w:rsidR="00AD3606" w:rsidRPr="00B2608E" w:rsidRDefault="00AD3606" w:rsidP="00F16BAB">
            <w:pPr>
              <w:spacing w:before="160"/>
              <w:rPr>
                <w:b/>
                <w:bCs/>
                <w:sz w:val="26"/>
                <w:szCs w:val="26"/>
              </w:rPr>
            </w:pPr>
            <w:r w:rsidRPr="00B2608E">
              <w:rPr>
                <w:b/>
                <w:bCs/>
                <w:sz w:val="26"/>
                <w:szCs w:val="26"/>
              </w:rPr>
              <w:t>References</w:t>
            </w:r>
          </w:p>
          <w:p w14:paraId="7089D4B7" w14:textId="3F482696" w:rsidR="00AD3606" w:rsidRPr="00312E53" w:rsidRDefault="00B2608E" w:rsidP="00F16BAB">
            <w:pPr>
              <w:spacing w:after="160"/>
              <w:rPr>
                <w:i/>
                <w:iCs/>
                <w:sz w:val="22"/>
                <w:szCs w:val="22"/>
              </w:rPr>
            </w:pPr>
            <w:r w:rsidRPr="00312E53">
              <w:rPr>
                <w:i/>
                <w:iCs/>
                <w:sz w:val="22"/>
                <w:szCs w:val="22"/>
              </w:rPr>
              <w:t xml:space="preserve">Document </w:t>
            </w:r>
            <w:hyperlink r:id="rId11" w:history="1">
              <w:r w:rsidR="003D659A" w:rsidRPr="00312E53">
                <w:rPr>
                  <w:rStyle w:val="Hyperlink"/>
                  <w:i/>
                  <w:iCs/>
                  <w:sz w:val="22"/>
                  <w:szCs w:val="22"/>
                </w:rPr>
                <w:t>C2</w:t>
              </w:r>
              <w:r w:rsidR="00FD4349" w:rsidRPr="00312E53">
                <w:rPr>
                  <w:rStyle w:val="Hyperlink"/>
                  <w:i/>
                  <w:iCs/>
                  <w:sz w:val="22"/>
                  <w:szCs w:val="22"/>
                </w:rPr>
                <w:t>4</w:t>
              </w:r>
              <w:r w:rsidR="003D659A" w:rsidRPr="00312E53">
                <w:rPr>
                  <w:rStyle w:val="Hyperlink"/>
                  <w:i/>
                  <w:iCs/>
                  <w:sz w:val="22"/>
                  <w:szCs w:val="22"/>
                </w:rPr>
                <w:t>/46</w:t>
              </w:r>
            </w:hyperlink>
            <w:r w:rsidR="003D659A" w:rsidRPr="00312E53">
              <w:rPr>
                <w:i/>
                <w:iCs/>
                <w:sz w:val="22"/>
                <w:szCs w:val="22"/>
              </w:rPr>
              <w:t xml:space="preserve"> and </w:t>
            </w:r>
            <w:hyperlink r:id="rId12" w:history="1">
              <w:r w:rsidR="003D659A" w:rsidRPr="00312E53">
                <w:rPr>
                  <w:rStyle w:val="Hyperlink"/>
                  <w:i/>
                  <w:iCs/>
                  <w:sz w:val="22"/>
                  <w:szCs w:val="22"/>
                </w:rPr>
                <w:t>Decision 5</w:t>
              </w:r>
            </w:hyperlink>
            <w:r w:rsidR="003D659A" w:rsidRPr="00312E53">
              <w:rPr>
                <w:i/>
                <w:iCs/>
                <w:sz w:val="22"/>
                <w:szCs w:val="22"/>
              </w:rPr>
              <w:t xml:space="preserve"> (Rev. Bucharest, 2022)</w:t>
            </w:r>
            <w:r w:rsidRPr="00312E53">
              <w:rPr>
                <w:i/>
                <w:iCs/>
                <w:sz w:val="22"/>
                <w:szCs w:val="22"/>
              </w:rPr>
              <w:t xml:space="preserve"> of the Plenipotentiary Conference</w:t>
            </w:r>
          </w:p>
        </w:tc>
      </w:tr>
    </w:tbl>
    <w:p w14:paraId="3E836A65" w14:textId="77777777" w:rsidR="00E227F3" w:rsidRPr="00B2608E"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1" w:name="_Hlk133421428"/>
      <w:bookmarkEnd w:id="2"/>
      <w:bookmarkEnd w:id="10"/>
    </w:p>
    <w:bookmarkEnd w:id="3"/>
    <w:bookmarkEnd w:id="4"/>
    <w:p w14:paraId="52958905" w14:textId="77777777" w:rsidR="0090147A" w:rsidRPr="00B2608E"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B2608E">
        <w:br w:type="page"/>
      </w:r>
    </w:p>
    <w:bookmarkEnd w:id="5"/>
    <w:bookmarkEnd w:id="11"/>
    <w:p w14:paraId="013F7DF6" w14:textId="77777777" w:rsidR="00115B8E" w:rsidRPr="00B2608E" w:rsidRDefault="00115B8E" w:rsidP="00B2608E">
      <w:pPr>
        <w:pStyle w:val="Heading1"/>
      </w:pPr>
      <w:r w:rsidRPr="00B2608E">
        <w:lastRenderedPageBreak/>
        <w:t>1</w:t>
      </w:r>
      <w:r w:rsidRPr="00B2608E">
        <w:tab/>
        <w:t>Introduction</w:t>
      </w:r>
    </w:p>
    <w:p w14:paraId="7BCFE60F" w14:textId="77777777" w:rsidR="00115B8E" w:rsidRPr="00B2608E" w:rsidRDefault="00115B8E" w:rsidP="00B2608E">
      <w:pPr>
        <w:jc w:val="both"/>
      </w:pPr>
      <w:r w:rsidRPr="00B2608E">
        <w:t>1.1</w:t>
      </w:r>
      <w:r w:rsidRPr="00B2608E">
        <w:tab/>
        <w:t>In 2010, ITU net assets have evolved from a positive to a negative balance due to the way the after-service health insurance (ASHI) obligation is treated under the International Public Sector Accounting Standards (IPSAS) rules, which require mandatory recognition of the present value of the future obligation.</w:t>
      </w:r>
    </w:p>
    <w:p w14:paraId="71B9C748" w14:textId="77777777" w:rsidR="00115B8E" w:rsidRPr="00B2608E" w:rsidRDefault="00115B8E" w:rsidP="00B2608E">
      <w:pPr>
        <w:jc w:val="both"/>
      </w:pPr>
      <w:r w:rsidRPr="00B2608E">
        <w:t>1.2</w:t>
      </w:r>
      <w:r w:rsidRPr="00B2608E">
        <w:tab/>
        <w:t>The self-funded ASHI programme, set up in 1967, allows eligible employees to keep their health insurance after retirement. The growing number of retirees covered, and the ever higher medical costs have led to a significant increase in programme costs, which are shared between the Union and the staff.</w:t>
      </w:r>
    </w:p>
    <w:p w14:paraId="7F1F07DE" w14:textId="77777777" w:rsidR="00115B8E" w:rsidRPr="00B2608E" w:rsidRDefault="00115B8E" w:rsidP="00B2608E">
      <w:pPr>
        <w:jc w:val="both"/>
      </w:pPr>
      <w:r w:rsidRPr="00B2608E">
        <w:t>1.3</w:t>
      </w:r>
      <w:r w:rsidRPr="00B2608E">
        <w:tab/>
        <w:t>The ASHI liability is calculated as the present value of what ITU would have to pay in the event of cessation of activity at the closing date. Although such a situation is highly improbable, the Union is aiming at increasing the fund coverage and thus reducing the related obligation. Actions set out in Section 4 have been taken to return to a situation where the health insurance plan achieves surpluses so that it can both ensure coverage of current benefits on a pay-as-you-go basis and allocate resources to cover the actuarial liability for future obligations.</w:t>
      </w:r>
    </w:p>
    <w:p w14:paraId="647DD372" w14:textId="77777777" w:rsidR="00115B8E" w:rsidRPr="00B2608E" w:rsidRDefault="00115B8E" w:rsidP="00B2608E">
      <w:pPr>
        <w:pStyle w:val="Heading1"/>
      </w:pPr>
      <w:r>
        <w:t>2</w:t>
      </w:r>
      <w:r>
        <w:tab/>
        <w:t>Health medical plan in place at ITU</w:t>
      </w:r>
    </w:p>
    <w:p w14:paraId="4A25A9BC" w14:textId="44EF0705" w:rsidR="00115B8E" w:rsidRPr="00B2608E" w:rsidRDefault="00115B8E" w:rsidP="57AE38F1">
      <w:pPr>
        <w:jc w:val="both"/>
        <w:rPr>
          <w:lang w:val="en-US"/>
        </w:rPr>
      </w:pPr>
      <w:r>
        <w:t>2.1</w:t>
      </w:r>
      <w:r>
        <w:tab/>
        <w:t xml:space="preserve">ITU </w:t>
      </w:r>
      <w:r w:rsidR="14738549">
        <w:t>is</w:t>
      </w:r>
      <w:r>
        <w:t xml:space="preserve"> part of the United Nations Staff Mutual Insurance Society (UNSMIS).</w:t>
      </w:r>
      <w:r w:rsidRPr="2CF96F94">
        <w:rPr>
          <w:lang w:val="en-US"/>
        </w:rPr>
        <w:t xml:space="preserve"> UNSMIS brings together several </w:t>
      </w:r>
      <w:r w:rsidR="4E1895AE" w:rsidRPr="2CF96F94">
        <w:rPr>
          <w:lang w:val="en-US"/>
        </w:rPr>
        <w:t xml:space="preserve">UN funds and </w:t>
      </w:r>
      <w:proofErr w:type="spellStart"/>
      <w:r w:rsidR="4E1895AE" w:rsidRPr="2CF96F94">
        <w:rPr>
          <w:lang w:val="en-US"/>
        </w:rPr>
        <w:t>programmes</w:t>
      </w:r>
      <w:proofErr w:type="spellEnd"/>
      <w:r w:rsidR="4E1895AE" w:rsidRPr="2CF96F94">
        <w:rPr>
          <w:lang w:val="en-US"/>
        </w:rPr>
        <w:t xml:space="preserve"> as well </w:t>
      </w:r>
      <w:r w:rsidR="106CB18D" w:rsidRPr="2CF96F94">
        <w:rPr>
          <w:lang w:val="en-US"/>
        </w:rPr>
        <w:t>as</w:t>
      </w:r>
      <w:r w:rsidRPr="2CF96F94">
        <w:rPr>
          <w:lang w:val="en-US"/>
        </w:rPr>
        <w:t xml:space="preserve"> specialized agencies of the United Nations based in Geneva, providing coverage for the staff of the United Nations Office at Geneva, the Office of the United Nations High Commissioner for Refugees (UNHCR) and the World Meteorological Organization (WMO)</w:t>
      </w:r>
      <w:r w:rsidR="771BF70B" w:rsidRPr="2CF96F94">
        <w:rPr>
          <w:lang w:val="en-US"/>
        </w:rPr>
        <w:t xml:space="preserve"> but also</w:t>
      </w:r>
      <w:r w:rsidR="00DA206B">
        <w:rPr>
          <w:lang w:val="en-US"/>
        </w:rPr>
        <w:t xml:space="preserve"> </w:t>
      </w:r>
      <w:r w:rsidR="008B3C1C" w:rsidRPr="2CF96F94">
        <w:rPr>
          <w:lang w:val="en-US"/>
        </w:rPr>
        <w:t>UNDP,</w:t>
      </w:r>
      <w:r w:rsidR="771BF70B" w:rsidRPr="2CF96F94">
        <w:rPr>
          <w:lang w:val="en-US"/>
        </w:rPr>
        <w:t xml:space="preserve"> UNICEF, UNCTAD</w:t>
      </w:r>
      <w:r w:rsidR="2B753887" w:rsidRPr="2CF96F94">
        <w:rPr>
          <w:lang w:val="en-US"/>
        </w:rPr>
        <w:t>, etc</w:t>
      </w:r>
      <w:r w:rsidR="0015471B">
        <w:rPr>
          <w:lang w:val="en-US"/>
        </w:rPr>
        <w:t>.</w:t>
      </w:r>
    </w:p>
    <w:p w14:paraId="21ED6BAA" w14:textId="4348425A" w:rsidR="00115B8E" w:rsidRPr="00B2608E" w:rsidRDefault="00115B8E" w:rsidP="00B2608E">
      <w:pPr>
        <w:jc w:val="both"/>
        <w:rPr>
          <w:rFonts w:cs="Calibri"/>
        </w:rPr>
      </w:pPr>
      <w:r w:rsidRPr="57AE38F1">
        <w:rPr>
          <w:rFonts w:cs="Calibri"/>
        </w:rPr>
        <w:t>2.2</w:t>
      </w:r>
      <w:r>
        <w:tab/>
      </w:r>
      <w:r w:rsidR="005D79AD" w:rsidRPr="57AE38F1">
        <w:rPr>
          <w:rFonts w:cs="Calibri"/>
        </w:rPr>
        <w:t>The UNSMIS plan is based on a salary-based contribution of 3.4 per cent</w:t>
      </w:r>
      <w:r w:rsidR="00BE036C">
        <w:rPr>
          <w:rFonts w:cs="Calibri"/>
        </w:rPr>
        <w:t xml:space="preserve"> of the staff</w:t>
      </w:r>
      <w:r w:rsidR="00C160A3">
        <w:rPr>
          <w:rFonts w:cs="Calibri"/>
        </w:rPr>
        <w:t xml:space="preserve"> salary or the retiree pension</w:t>
      </w:r>
      <w:r w:rsidR="005D79AD" w:rsidRPr="57AE38F1">
        <w:rPr>
          <w:rFonts w:cs="Calibri"/>
        </w:rPr>
        <w:t xml:space="preserve">. The ITU is also </w:t>
      </w:r>
      <w:r w:rsidR="008B3C1C" w:rsidRPr="57AE38F1">
        <w:rPr>
          <w:rFonts w:cs="Calibri"/>
        </w:rPr>
        <w:t>contributing</w:t>
      </w:r>
      <w:r w:rsidR="00DA206B">
        <w:rPr>
          <w:rFonts w:cs="Calibri"/>
        </w:rPr>
        <w:t xml:space="preserve"> </w:t>
      </w:r>
      <w:r w:rsidR="005D79AD" w:rsidRPr="57AE38F1">
        <w:rPr>
          <w:rFonts w:cs="Calibri"/>
        </w:rPr>
        <w:t xml:space="preserve">to the health insurance plan </w:t>
      </w:r>
      <w:r w:rsidR="00F14444">
        <w:rPr>
          <w:rFonts w:cs="Calibri"/>
        </w:rPr>
        <w:t xml:space="preserve">by </w:t>
      </w:r>
      <w:r w:rsidR="00B860DB">
        <w:rPr>
          <w:rFonts w:cs="Calibri"/>
        </w:rPr>
        <w:t xml:space="preserve">matching the </w:t>
      </w:r>
      <w:r w:rsidR="0097166F">
        <w:rPr>
          <w:rFonts w:cs="Calibri"/>
        </w:rPr>
        <w:t xml:space="preserve">contribution paid by the </w:t>
      </w:r>
      <w:r w:rsidR="005D79AD" w:rsidRPr="57AE38F1">
        <w:rPr>
          <w:rFonts w:cs="Calibri"/>
        </w:rPr>
        <w:t>active staff and</w:t>
      </w:r>
      <w:r w:rsidR="00F14444">
        <w:rPr>
          <w:rFonts w:cs="Calibri"/>
        </w:rPr>
        <w:t xml:space="preserve"> </w:t>
      </w:r>
      <w:r w:rsidR="00F73CB1">
        <w:rPr>
          <w:rFonts w:cs="Calibri"/>
        </w:rPr>
        <w:t xml:space="preserve">by </w:t>
      </w:r>
      <w:r w:rsidR="00F14444">
        <w:rPr>
          <w:rFonts w:cs="Calibri"/>
        </w:rPr>
        <w:t>paying</w:t>
      </w:r>
      <w:r w:rsidR="005D79AD" w:rsidRPr="57AE38F1">
        <w:rPr>
          <w:rFonts w:cs="Calibri"/>
        </w:rPr>
        <w:t xml:space="preserve"> 2/3 </w:t>
      </w:r>
      <w:r w:rsidR="00F14444">
        <w:rPr>
          <w:rFonts w:cs="Calibri"/>
        </w:rPr>
        <w:t xml:space="preserve">of the contribution </w:t>
      </w:r>
      <w:r w:rsidR="005D79AD" w:rsidRPr="57AE38F1">
        <w:rPr>
          <w:rFonts w:cs="Calibri"/>
        </w:rPr>
        <w:t>for retirees.</w:t>
      </w:r>
      <w:r w:rsidRPr="57AE38F1">
        <w:rPr>
          <w:rFonts w:cs="Calibri"/>
        </w:rPr>
        <w:t xml:space="preserve"> </w:t>
      </w:r>
    </w:p>
    <w:p w14:paraId="22AFE536" w14:textId="17DC2163" w:rsidR="005D79AD" w:rsidRPr="00B2608E" w:rsidRDefault="00115B8E" w:rsidP="00B2608E">
      <w:pPr>
        <w:jc w:val="both"/>
        <w:rPr>
          <w:rFonts w:cs="Calibri"/>
        </w:rPr>
      </w:pPr>
      <w:r w:rsidRPr="00B2608E">
        <w:rPr>
          <w:rFonts w:cs="Calibri"/>
        </w:rPr>
        <w:t>2.3</w:t>
      </w:r>
      <w:r w:rsidRPr="00B2608E">
        <w:rPr>
          <w:rFonts w:cs="Calibri"/>
        </w:rPr>
        <w:tab/>
      </w:r>
      <w:r w:rsidR="005D79AD" w:rsidRPr="00B2608E">
        <w:rPr>
          <w:rFonts w:cs="Calibri"/>
        </w:rPr>
        <w:t>The follow-up of the cost containment is managed by the UNSMIS Executive Committee, where ITU as a member has a seat.</w:t>
      </w:r>
    </w:p>
    <w:p w14:paraId="63606796" w14:textId="77777777" w:rsidR="00115B8E" w:rsidRPr="00B2608E" w:rsidRDefault="00115B8E" w:rsidP="00B2608E">
      <w:pPr>
        <w:pStyle w:val="Heading1"/>
      </w:pPr>
      <w:r w:rsidRPr="00B2608E">
        <w:t>3</w:t>
      </w:r>
      <w:r w:rsidRPr="00B2608E">
        <w:tab/>
        <w:t>Evolution of the ASHI liability in 2024</w:t>
      </w:r>
    </w:p>
    <w:p w14:paraId="0472DCB5" w14:textId="3E090A88" w:rsidR="00115B8E" w:rsidRDefault="00115B8E" w:rsidP="007A751D">
      <w:pPr>
        <w:jc w:val="both"/>
      </w:pPr>
      <w:r w:rsidRPr="00B2608E">
        <w:t>3.1</w:t>
      </w:r>
      <w:r w:rsidRPr="00B2608E">
        <w:tab/>
        <w:t>The evolution of the ASHI liability since 2010 has resulted in increasingly negative net assets as the actuarial losses were recorded in full against the net assets. At the end of 2024, the ASHI liability increased by CHF 40.6 million as a result of the change</w:t>
      </w:r>
      <w:r w:rsidR="00102C4E" w:rsidRPr="00B2608E">
        <w:t>s</w:t>
      </w:r>
      <w:r w:rsidRPr="00B2608E">
        <w:t xml:space="preserve"> in the discount rate, which decreased from 1.9 per cent in 2023 to 1.40 per cent in 2024, and the change in the assumptions.</w:t>
      </w:r>
    </w:p>
    <w:p w14:paraId="513AE6DB" w14:textId="77777777" w:rsidR="007A751D" w:rsidRPr="00B2608E" w:rsidRDefault="007A751D" w:rsidP="007A751D">
      <w:pPr>
        <w:jc w:val="both"/>
      </w:pPr>
    </w:p>
    <w:tbl>
      <w:tblPr>
        <w:tblW w:w="9361"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901"/>
        <w:gridCol w:w="1701"/>
        <w:gridCol w:w="1759"/>
      </w:tblGrid>
      <w:tr w:rsidR="004753D1" w:rsidRPr="00C9352F" w14:paraId="3D75F605" w14:textId="77777777" w:rsidTr="57AE38F1">
        <w:trPr>
          <w:trHeight w:val="528"/>
          <w:jc w:val="center"/>
        </w:trPr>
        <w:tc>
          <w:tcPr>
            <w:tcW w:w="5901" w:type="dxa"/>
            <w:tcBorders>
              <w:top w:val="single" w:sz="4" w:space="0" w:color="auto"/>
              <w:bottom w:val="single" w:sz="4" w:space="0" w:color="auto"/>
              <w:right w:val="single" w:sz="4" w:space="0" w:color="auto"/>
            </w:tcBorders>
            <w:shd w:val="clear" w:color="auto" w:fill="auto"/>
            <w:vAlign w:val="center"/>
            <w:hideMark/>
          </w:tcPr>
          <w:p w14:paraId="4589BEDB" w14:textId="77777777" w:rsidR="00115B8E" w:rsidRPr="00C9352F" w:rsidRDefault="00115B8E" w:rsidP="007A751D">
            <w:pPr>
              <w:pStyle w:val="Tablehead"/>
              <w:keepNext/>
              <w:keepLines/>
              <w:jc w:val="left"/>
              <w:rPr>
                <w:lang w:val="en-US"/>
              </w:rPr>
            </w:pPr>
            <w:r w:rsidRPr="00C9352F">
              <w:rPr>
                <w:lang w:val="en-US"/>
              </w:rPr>
              <w:lastRenderedPageBreak/>
              <w:t xml:space="preserve">Amounts of obligations under the ASHI plan </w:t>
            </w:r>
            <w:proofErr w:type="gramStart"/>
            <w:r w:rsidRPr="00C9352F">
              <w:rPr>
                <w:lang w:val="en-US"/>
              </w:rPr>
              <w:t>at</w:t>
            </w:r>
            <w:proofErr w:type="gramEnd"/>
            <w:r w:rsidRPr="00C9352F">
              <w:rPr>
                <w:lang w:val="en-US"/>
              </w:rPr>
              <w:t xml:space="preserve"> 31 December in the statement of financial position</w:t>
            </w:r>
            <w:r w:rsidRPr="00C9352F">
              <w:rPr>
                <w:lang w:val="en-US"/>
              </w:rPr>
              <w:br/>
              <w:t>(in thousands of Swiss francs)</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6BACC0" w14:textId="77777777" w:rsidR="00115B8E" w:rsidRPr="00C9352F" w:rsidRDefault="00115B8E" w:rsidP="007A751D">
            <w:pPr>
              <w:pStyle w:val="Tablehead"/>
              <w:keepNext/>
              <w:keepLines/>
              <w:rPr>
                <w:lang w:val="en-US"/>
              </w:rPr>
            </w:pPr>
            <w:r w:rsidRPr="00C9352F">
              <w:rPr>
                <w:lang w:val="en-US"/>
              </w:rPr>
              <w:t>31.12.2024</w:t>
            </w:r>
          </w:p>
        </w:tc>
        <w:tc>
          <w:tcPr>
            <w:tcW w:w="1759" w:type="dxa"/>
            <w:tcBorders>
              <w:top w:val="single" w:sz="4" w:space="0" w:color="auto"/>
              <w:left w:val="single" w:sz="4" w:space="0" w:color="auto"/>
              <w:bottom w:val="single" w:sz="4" w:space="0" w:color="auto"/>
            </w:tcBorders>
            <w:vAlign w:val="center"/>
          </w:tcPr>
          <w:p w14:paraId="4DCF2FBF" w14:textId="77777777" w:rsidR="00115B8E" w:rsidRPr="00C9352F" w:rsidRDefault="00115B8E" w:rsidP="007A751D">
            <w:pPr>
              <w:pStyle w:val="Tablehead"/>
              <w:keepNext/>
              <w:keepLines/>
              <w:rPr>
                <w:lang w:val="en-US"/>
              </w:rPr>
            </w:pPr>
            <w:r w:rsidRPr="00C9352F">
              <w:rPr>
                <w:lang w:val="en-US"/>
              </w:rPr>
              <w:t>31.12.2023</w:t>
            </w:r>
          </w:p>
        </w:tc>
      </w:tr>
      <w:tr w:rsidR="004753D1" w:rsidRPr="00B2608E" w14:paraId="7F69BE1B" w14:textId="77777777" w:rsidTr="57AE38F1">
        <w:trPr>
          <w:trHeight w:val="264"/>
          <w:jc w:val="center"/>
        </w:trPr>
        <w:tc>
          <w:tcPr>
            <w:tcW w:w="5901" w:type="dxa"/>
            <w:tcBorders>
              <w:top w:val="single" w:sz="4" w:space="0" w:color="auto"/>
              <w:right w:val="single" w:sz="4" w:space="0" w:color="auto"/>
            </w:tcBorders>
            <w:shd w:val="clear" w:color="auto" w:fill="auto"/>
            <w:hideMark/>
          </w:tcPr>
          <w:p w14:paraId="716C0417" w14:textId="4DF1D8AB" w:rsidR="00115B8E" w:rsidRPr="00B2608E" w:rsidRDefault="00115B8E" w:rsidP="007A751D">
            <w:pPr>
              <w:pStyle w:val="Tabletext"/>
              <w:keepNext/>
              <w:keepLines/>
            </w:pPr>
            <w:r w:rsidRPr="00B2608E">
              <w:t xml:space="preserve">Balance </w:t>
            </w:r>
            <w:proofErr w:type="gramStart"/>
            <w:r w:rsidRPr="00B2608E">
              <w:t>at</w:t>
            </w:r>
            <w:proofErr w:type="gramEnd"/>
            <w:r w:rsidRPr="00B2608E">
              <w:t xml:space="preserve"> 1 </w:t>
            </w:r>
            <w:r w:rsidR="004753D1" w:rsidRPr="00B2608E">
              <w:t>January</w:t>
            </w:r>
          </w:p>
        </w:tc>
        <w:tc>
          <w:tcPr>
            <w:tcW w:w="1701" w:type="dxa"/>
            <w:tcBorders>
              <w:top w:val="single" w:sz="4" w:space="0" w:color="auto"/>
              <w:left w:val="single" w:sz="4" w:space="0" w:color="auto"/>
              <w:right w:val="single" w:sz="4" w:space="0" w:color="auto"/>
            </w:tcBorders>
            <w:shd w:val="clear" w:color="auto" w:fill="auto"/>
          </w:tcPr>
          <w:p w14:paraId="57E5E43C" w14:textId="0520D160" w:rsidR="00115B8E" w:rsidRPr="00B2608E" w:rsidRDefault="00115B8E" w:rsidP="007A751D">
            <w:pPr>
              <w:pStyle w:val="Tabletext"/>
              <w:keepNext/>
              <w:keepLines/>
              <w:jc w:val="center"/>
            </w:pPr>
            <w:r w:rsidRPr="00B2608E">
              <w:t>375</w:t>
            </w:r>
            <w:r w:rsidR="00C9352F">
              <w:t> </w:t>
            </w:r>
            <w:r w:rsidRPr="00B2608E">
              <w:t>271</w:t>
            </w:r>
          </w:p>
        </w:tc>
        <w:tc>
          <w:tcPr>
            <w:tcW w:w="1759" w:type="dxa"/>
            <w:tcBorders>
              <w:top w:val="single" w:sz="4" w:space="0" w:color="auto"/>
              <w:left w:val="single" w:sz="4" w:space="0" w:color="auto"/>
            </w:tcBorders>
          </w:tcPr>
          <w:p w14:paraId="2971B1A2" w14:textId="2B2C2F83" w:rsidR="00115B8E" w:rsidRPr="00B2608E" w:rsidRDefault="00115B8E" w:rsidP="007A751D">
            <w:pPr>
              <w:pStyle w:val="Tabletext"/>
              <w:keepNext/>
              <w:keepLines/>
              <w:jc w:val="center"/>
            </w:pPr>
            <w:r w:rsidRPr="00B2608E">
              <w:t>344</w:t>
            </w:r>
            <w:r w:rsidR="00C9352F">
              <w:t> </w:t>
            </w:r>
            <w:r w:rsidRPr="00B2608E">
              <w:t>102</w:t>
            </w:r>
          </w:p>
        </w:tc>
      </w:tr>
      <w:tr w:rsidR="004753D1" w:rsidRPr="00B2608E" w14:paraId="3024F00E" w14:textId="77777777" w:rsidTr="57AE38F1">
        <w:trPr>
          <w:trHeight w:val="264"/>
          <w:jc w:val="center"/>
        </w:trPr>
        <w:tc>
          <w:tcPr>
            <w:tcW w:w="5901" w:type="dxa"/>
            <w:tcBorders>
              <w:right w:val="single" w:sz="4" w:space="0" w:color="auto"/>
            </w:tcBorders>
            <w:shd w:val="clear" w:color="auto" w:fill="auto"/>
          </w:tcPr>
          <w:p w14:paraId="46AEEC8A" w14:textId="18AF772F" w:rsidR="004753D1" w:rsidRPr="00B2608E" w:rsidRDefault="431788E2" w:rsidP="007A751D">
            <w:pPr>
              <w:pStyle w:val="Tabletext"/>
              <w:keepNext/>
              <w:keepLines/>
            </w:pPr>
            <w:r>
              <w:t>–</w:t>
            </w:r>
            <w:r w:rsidR="00D02A51">
              <w:tab/>
            </w:r>
            <w:r w:rsidR="5FD75FC5">
              <w:t>Net Current Service Cost</w:t>
            </w:r>
          </w:p>
        </w:tc>
        <w:tc>
          <w:tcPr>
            <w:tcW w:w="1701" w:type="dxa"/>
            <w:tcBorders>
              <w:left w:val="single" w:sz="4" w:space="0" w:color="auto"/>
              <w:right w:val="single" w:sz="4" w:space="0" w:color="auto"/>
            </w:tcBorders>
            <w:shd w:val="clear" w:color="auto" w:fill="auto"/>
          </w:tcPr>
          <w:p w14:paraId="3FB54DCA" w14:textId="5C9B8EA0" w:rsidR="004753D1" w:rsidRPr="00B2608E" w:rsidRDefault="004753D1" w:rsidP="007A751D">
            <w:pPr>
              <w:pStyle w:val="Tabletext"/>
              <w:keepNext/>
              <w:keepLines/>
              <w:jc w:val="center"/>
            </w:pPr>
            <w:r w:rsidRPr="00B2608E">
              <w:t>11</w:t>
            </w:r>
            <w:r w:rsidR="00C9352F">
              <w:t> </w:t>
            </w:r>
            <w:r w:rsidRPr="00B2608E">
              <w:t>095</w:t>
            </w:r>
          </w:p>
        </w:tc>
        <w:tc>
          <w:tcPr>
            <w:tcW w:w="1759" w:type="dxa"/>
            <w:tcBorders>
              <w:left w:val="single" w:sz="4" w:space="0" w:color="auto"/>
            </w:tcBorders>
          </w:tcPr>
          <w:p w14:paraId="29760830" w14:textId="6F8C5283" w:rsidR="004753D1" w:rsidRPr="00B2608E" w:rsidRDefault="004753D1" w:rsidP="007A751D">
            <w:pPr>
              <w:pStyle w:val="Tabletext"/>
              <w:keepNext/>
              <w:keepLines/>
              <w:jc w:val="center"/>
            </w:pPr>
            <w:r w:rsidRPr="00B2608E">
              <w:t>10</w:t>
            </w:r>
            <w:r w:rsidR="00C9352F">
              <w:t> </w:t>
            </w:r>
            <w:r w:rsidRPr="00B2608E">
              <w:t>165</w:t>
            </w:r>
          </w:p>
        </w:tc>
      </w:tr>
      <w:tr w:rsidR="004753D1" w:rsidRPr="00B2608E" w14:paraId="6F92180B" w14:textId="77777777" w:rsidTr="57AE38F1">
        <w:trPr>
          <w:trHeight w:val="264"/>
          <w:jc w:val="center"/>
        </w:trPr>
        <w:tc>
          <w:tcPr>
            <w:tcW w:w="5901" w:type="dxa"/>
            <w:tcBorders>
              <w:bottom w:val="single" w:sz="4" w:space="0" w:color="auto"/>
              <w:right w:val="single" w:sz="4" w:space="0" w:color="auto"/>
            </w:tcBorders>
            <w:shd w:val="clear" w:color="auto" w:fill="auto"/>
          </w:tcPr>
          <w:p w14:paraId="4852526D" w14:textId="17466F32" w:rsidR="004753D1" w:rsidRPr="00B2608E" w:rsidRDefault="431788E2" w:rsidP="007A751D">
            <w:pPr>
              <w:pStyle w:val="Tabletext"/>
              <w:keepNext/>
              <w:keepLines/>
            </w:pPr>
            <w:r>
              <w:t>–</w:t>
            </w:r>
            <w:r w:rsidR="00D02A51">
              <w:tab/>
            </w:r>
            <w:r w:rsidR="5FD75FC5">
              <w:t>Finance charge</w:t>
            </w:r>
          </w:p>
        </w:tc>
        <w:tc>
          <w:tcPr>
            <w:tcW w:w="1701" w:type="dxa"/>
            <w:tcBorders>
              <w:left w:val="single" w:sz="4" w:space="0" w:color="auto"/>
              <w:bottom w:val="single" w:sz="4" w:space="0" w:color="auto"/>
              <w:right w:val="single" w:sz="4" w:space="0" w:color="auto"/>
            </w:tcBorders>
            <w:shd w:val="clear" w:color="auto" w:fill="auto"/>
          </w:tcPr>
          <w:p w14:paraId="19310055" w14:textId="266361F2" w:rsidR="004753D1" w:rsidRPr="00B2608E" w:rsidRDefault="004753D1" w:rsidP="007A751D">
            <w:pPr>
              <w:pStyle w:val="Tabletext"/>
              <w:keepNext/>
              <w:keepLines/>
              <w:jc w:val="center"/>
            </w:pPr>
            <w:r w:rsidRPr="00B2608E">
              <w:t>7</w:t>
            </w:r>
            <w:r w:rsidR="00C9352F">
              <w:t> </w:t>
            </w:r>
            <w:r w:rsidRPr="00B2608E">
              <w:t>046</w:t>
            </w:r>
          </w:p>
        </w:tc>
        <w:tc>
          <w:tcPr>
            <w:tcW w:w="1759" w:type="dxa"/>
            <w:tcBorders>
              <w:left w:val="single" w:sz="4" w:space="0" w:color="auto"/>
              <w:bottom w:val="single" w:sz="4" w:space="0" w:color="auto"/>
            </w:tcBorders>
          </w:tcPr>
          <w:p w14:paraId="07E68377" w14:textId="247E179F" w:rsidR="004753D1" w:rsidRPr="00B2608E" w:rsidRDefault="004753D1" w:rsidP="007A751D">
            <w:pPr>
              <w:pStyle w:val="Tabletext"/>
              <w:keepNext/>
              <w:keepLines/>
              <w:jc w:val="center"/>
            </w:pPr>
            <w:r w:rsidRPr="00B2608E">
              <w:t>8</w:t>
            </w:r>
            <w:r w:rsidR="00C9352F">
              <w:t> </w:t>
            </w:r>
            <w:r w:rsidRPr="00B2608E">
              <w:t>489</w:t>
            </w:r>
          </w:p>
        </w:tc>
      </w:tr>
      <w:tr w:rsidR="004753D1" w:rsidRPr="00C9352F" w14:paraId="35A098A0" w14:textId="77777777" w:rsidTr="57AE38F1">
        <w:trPr>
          <w:trHeight w:val="336"/>
          <w:jc w:val="center"/>
        </w:trPr>
        <w:tc>
          <w:tcPr>
            <w:tcW w:w="5901" w:type="dxa"/>
            <w:tcBorders>
              <w:top w:val="single" w:sz="4" w:space="0" w:color="auto"/>
              <w:left w:val="single" w:sz="4" w:space="0" w:color="auto"/>
              <w:bottom w:val="single" w:sz="4" w:space="0" w:color="auto"/>
              <w:right w:val="single" w:sz="4" w:space="0" w:color="auto"/>
            </w:tcBorders>
            <w:shd w:val="clear" w:color="auto" w:fill="auto"/>
            <w:hideMark/>
          </w:tcPr>
          <w:p w14:paraId="16AEFE02" w14:textId="77777777" w:rsidR="00115B8E" w:rsidRPr="00C9352F" w:rsidRDefault="00115B8E" w:rsidP="007A751D">
            <w:pPr>
              <w:pStyle w:val="Tablehead"/>
              <w:keepNext/>
              <w:keepLines/>
              <w:jc w:val="left"/>
            </w:pPr>
            <w:r w:rsidRPr="00C9352F">
              <w:t>Total expenses recognized in the statement of financial performance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253514A" w14:textId="4ACD4AEB" w:rsidR="00115B8E" w:rsidRPr="00C9352F" w:rsidRDefault="00115B8E" w:rsidP="007A751D">
            <w:pPr>
              <w:pStyle w:val="Tablehead"/>
              <w:keepNext/>
              <w:keepLines/>
            </w:pPr>
            <w:r w:rsidRPr="00C9352F">
              <w:t>18</w:t>
            </w:r>
            <w:r w:rsidR="00C9352F">
              <w:t> </w:t>
            </w:r>
            <w:r w:rsidRPr="00C9352F">
              <w:t>141</w:t>
            </w:r>
          </w:p>
        </w:tc>
        <w:tc>
          <w:tcPr>
            <w:tcW w:w="1759" w:type="dxa"/>
            <w:tcBorders>
              <w:top w:val="single" w:sz="4" w:space="0" w:color="auto"/>
              <w:left w:val="single" w:sz="4" w:space="0" w:color="auto"/>
              <w:bottom w:val="single" w:sz="4" w:space="0" w:color="auto"/>
              <w:right w:val="single" w:sz="4" w:space="0" w:color="auto"/>
            </w:tcBorders>
          </w:tcPr>
          <w:p w14:paraId="6162776C" w14:textId="1E583680" w:rsidR="00115B8E" w:rsidRPr="00C9352F" w:rsidRDefault="00115B8E" w:rsidP="007A751D">
            <w:pPr>
              <w:pStyle w:val="Tablehead"/>
              <w:keepNext/>
              <w:keepLines/>
            </w:pPr>
            <w:r w:rsidRPr="00C9352F">
              <w:t>18</w:t>
            </w:r>
            <w:r w:rsidR="00C9352F">
              <w:t> </w:t>
            </w:r>
            <w:r w:rsidRPr="00C9352F">
              <w:t>654</w:t>
            </w:r>
          </w:p>
        </w:tc>
      </w:tr>
      <w:tr w:rsidR="004753D1" w:rsidRPr="00B2608E" w14:paraId="0620EE12" w14:textId="77777777" w:rsidTr="57AE38F1">
        <w:trPr>
          <w:trHeight w:val="336"/>
          <w:jc w:val="center"/>
        </w:trPr>
        <w:tc>
          <w:tcPr>
            <w:tcW w:w="5901" w:type="dxa"/>
            <w:tcBorders>
              <w:top w:val="single" w:sz="4" w:space="0" w:color="auto"/>
              <w:bottom w:val="nil"/>
              <w:right w:val="single" w:sz="4" w:space="0" w:color="auto"/>
            </w:tcBorders>
            <w:shd w:val="clear" w:color="auto" w:fill="auto"/>
          </w:tcPr>
          <w:p w14:paraId="16536E48" w14:textId="1119ECAF" w:rsidR="004753D1" w:rsidRPr="00B2608E" w:rsidRDefault="00D02A51" w:rsidP="007A751D">
            <w:pPr>
              <w:pStyle w:val="Tabletext"/>
              <w:keepNext/>
              <w:keepLines/>
            </w:pPr>
            <w:r>
              <w:t>–</w:t>
            </w:r>
            <w:r>
              <w:tab/>
            </w:r>
            <w:r w:rsidR="004753D1" w:rsidRPr="00B2608E">
              <w:t xml:space="preserve">Obligation due to the changes in </w:t>
            </w:r>
            <w:r w:rsidR="00E408F8">
              <w:t>d</w:t>
            </w:r>
            <w:r w:rsidR="004753D1" w:rsidRPr="00B2608E">
              <w:t>emographic assumptions</w:t>
            </w:r>
          </w:p>
        </w:tc>
        <w:tc>
          <w:tcPr>
            <w:tcW w:w="1701" w:type="dxa"/>
            <w:tcBorders>
              <w:top w:val="single" w:sz="4" w:space="0" w:color="auto"/>
              <w:left w:val="single" w:sz="4" w:space="0" w:color="auto"/>
              <w:bottom w:val="nil"/>
              <w:right w:val="single" w:sz="4" w:space="0" w:color="auto"/>
            </w:tcBorders>
            <w:shd w:val="clear" w:color="auto" w:fill="auto"/>
          </w:tcPr>
          <w:p w14:paraId="19BA8E4F" w14:textId="6F2221EB" w:rsidR="004753D1" w:rsidRPr="00B2608E" w:rsidRDefault="004753D1" w:rsidP="007A751D">
            <w:pPr>
              <w:pStyle w:val="Tabletext"/>
              <w:keepNext/>
              <w:keepLines/>
              <w:jc w:val="center"/>
            </w:pPr>
            <w:r w:rsidRPr="00B2608E">
              <w:t>10</w:t>
            </w:r>
            <w:r w:rsidR="00C9352F">
              <w:t> </w:t>
            </w:r>
            <w:r w:rsidRPr="00B2608E">
              <w:t>602</w:t>
            </w:r>
          </w:p>
        </w:tc>
        <w:tc>
          <w:tcPr>
            <w:tcW w:w="1759" w:type="dxa"/>
            <w:tcBorders>
              <w:top w:val="single" w:sz="4" w:space="0" w:color="auto"/>
              <w:left w:val="single" w:sz="4" w:space="0" w:color="auto"/>
              <w:bottom w:val="nil"/>
            </w:tcBorders>
          </w:tcPr>
          <w:p w14:paraId="24F2317C" w14:textId="33511E9E" w:rsidR="004753D1" w:rsidRPr="00B2608E" w:rsidRDefault="004753D1" w:rsidP="007A751D">
            <w:pPr>
              <w:pStyle w:val="Tabletext"/>
              <w:keepNext/>
              <w:keepLines/>
              <w:jc w:val="center"/>
            </w:pPr>
            <w:r w:rsidRPr="00B2608E">
              <w:t>(574)</w:t>
            </w:r>
          </w:p>
        </w:tc>
      </w:tr>
      <w:tr w:rsidR="004753D1" w:rsidRPr="00B2608E" w14:paraId="4B7891CC" w14:textId="77777777" w:rsidTr="57AE38F1">
        <w:trPr>
          <w:trHeight w:val="336"/>
          <w:jc w:val="center"/>
        </w:trPr>
        <w:tc>
          <w:tcPr>
            <w:tcW w:w="5901" w:type="dxa"/>
            <w:tcBorders>
              <w:top w:val="nil"/>
              <w:bottom w:val="nil"/>
              <w:right w:val="single" w:sz="4" w:space="0" w:color="auto"/>
            </w:tcBorders>
            <w:shd w:val="clear" w:color="auto" w:fill="auto"/>
          </w:tcPr>
          <w:p w14:paraId="427CF058" w14:textId="66BA4994" w:rsidR="004753D1" w:rsidRPr="00B2608E" w:rsidRDefault="00D02A51" w:rsidP="007A751D">
            <w:pPr>
              <w:pStyle w:val="Tabletext"/>
              <w:keepNext/>
              <w:keepLines/>
            </w:pPr>
            <w:r>
              <w:t>–</w:t>
            </w:r>
            <w:r>
              <w:tab/>
            </w:r>
            <w:r w:rsidR="004753D1" w:rsidRPr="00B2608E">
              <w:t xml:space="preserve">Obligation due to changes in </w:t>
            </w:r>
            <w:r w:rsidR="00E408F8">
              <w:t>f</w:t>
            </w:r>
            <w:r w:rsidR="004753D1" w:rsidRPr="00B2608E">
              <w:t>inancial assumptions</w:t>
            </w:r>
          </w:p>
        </w:tc>
        <w:tc>
          <w:tcPr>
            <w:tcW w:w="1701" w:type="dxa"/>
            <w:tcBorders>
              <w:top w:val="nil"/>
              <w:left w:val="single" w:sz="4" w:space="0" w:color="auto"/>
              <w:bottom w:val="nil"/>
              <w:right w:val="single" w:sz="4" w:space="0" w:color="auto"/>
            </w:tcBorders>
            <w:shd w:val="clear" w:color="auto" w:fill="auto"/>
          </w:tcPr>
          <w:p w14:paraId="4E1D2CD8" w14:textId="37333A90" w:rsidR="004753D1" w:rsidRPr="00B2608E" w:rsidRDefault="004753D1" w:rsidP="007A751D">
            <w:pPr>
              <w:pStyle w:val="Tabletext"/>
              <w:keepNext/>
              <w:keepLines/>
              <w:jc w:val="center"/>
            </w:pPr>
            <w:r w:rsidRPr="00B2608E">
              <w:t>20</w:t>
            </w:r>
            <w:r w:rsidR="00C9352F">
              <w:t> </w:t>
            </w:r>
            <w:r w:rsidRPr="00B2608E">
              <w:t>636</w:t>
            </w:r>
          </w:p>
        </w:tc>
        <w:tc>
          <w:tcPr>
            <w:tcW w:w="1759" w:type="dxa"/>
            <w:tcBorders>
              <w:top w:val="nil"/>
              <w:left w:val="single" w:sz="4" w:space="0" w:color="auto"/>
              <w:bottom w:val="nil"/>
            </w:tcBorders>
          </w:tcPr>
          <w:p w14:paraId="504E423E" w14:textId="0212C86C" w:rsidR="004753D1" w:rsidRPr="00B2608E" w:rsidRDefault="004753D1" w:rsidP="007A751D">
            <w:pPr>
              <w:pStyle w:val="Tabletext"/>
              <w:keepNext/>
              <w:keepLines/>
              <w:jc w:val="center"/>
            </w:pPr>
            <w:r w:rsidRPr="00B2608E">
              <w:t>24</w:t>
            </w:r>
            <w:r w:rsidR="00C9352F">
              <w:t> </w:t>
            </w:r>
            <w:r w:rsidRPr="00B2608E">
              <w:t>687</w:t>
            </w:r>
          </w:p>
        </w:tc>
      </w:tr>
      <w:tr w:rsidR="004753D1" w:rsidRPr="00B2608E" w14:paraId="531785FC" w14:textId="77777777" w:rsidTr="57AE38F1">
        <w:trPr>
          <w:trHeight w:val="336"/>
          <w:jc w:val="center"/>
        </w:trPr>
        <w:tc>
          <w:tcPr>
            <w:tcW w:w="5901" w:type="dxa"/>
            <w:tcBorders>
              <w:top w:val="nil"/>
              <w:bottom w:val="single" w:sz="4" w:space="0" w:color="auto"/>
              <w:right w:val="single" w:sz="4" w:space="0" w:color="auto"/>
            </w:tcBorders>
            <w:shd w:val="clear" w:color="auto" w:fill="auto"/>
          </w:tcPr>
          <w:p w14:paraId="3C16DB0A" w14:textId="178B8442" w:rsidR="004753D1" w:rsidRPr="00B2608E" w:rsidRDefault="00D02A51" w:rsidP="007A751D">
            <w:pPr>
              <w:pStyle w:val="Tabletext"/>
              <w:keepNext/>
              <w:keepLines/>
            </w:pPr>
            <w:r>
              <w:t>–</w:t>
            </w:r>
            <w:r>
              <w:tab/>
            </w:r>
            <w:r w:rsidR="004753D1" w:rsidRPr="00B2608E">
              <w:t>Obligation due to experience during the period</w:t>
            </w:r>
          </w:p>
        </w:tc>
        <w:tc>
          <w:tcPr>
            <w:tcW w:w="1701" w:type="dxa"/>
            <w:tcBorders>
              <w:top w:val="nil"/>
              <w:left w:val="single" w:sz="4" w:space="0" w:color="auto"/>
              <w:bottom w:val="single" w:sz="4" w:space="0" w:color="auto"/>
              <w:right w:val="single" w:sz="4" w:space="0" w:color="auto"/>
            </w:tcBorders>
            <w:shd w:val="clear" w:color="auto" w:fill="auto"/>
          </w:tcPr>
          <w:p w14:paraId="53DDE39A" w14:textId="737CA698" w:rsidR="004753D1" w:rsidRPr="00B2608E" w:rsidRDefault="004753D1" w:rsidP="007A751D">
            <w:pPr>
              <w:pStyle w:val="Tabletext"/>
              <w:keepNext/>
              <w:keepLines/>
              <w:jc w:val="center"/>
            </w:pPr>
            <w:r w:rsidRPr="00B2608E">
              <w:t>1</w:t>
            </w:r>
            <w:r w:rsidR="00C9352F">
              <w:t> </w:t>
            </w:r>
            <w:r w:rsidRPr="00B2608E">
              <w:t>511</w:t>
            </w:r>
          </w:p>
        </w:tc>
        <w:tc>
          <w:tcPr>
            <w:tcW w:w="1759" w:type="dxa"/>
            <w:tcBorders>
              <w:top w:val="nil"/>
              <w:left w:val="single" w:sz="4" w:space="0" w:color="auto"/>
              <w:bottom w:val="single" w:sz="4" w:space="0" w:color="auto"/>
            </w:tcBorders>
          </w:tcPr>
          <w:p w14:paraId="0271640A" w14:textId="4F9A9574" w:rsidR="004753D1" w:rsidRPr="00B2608E" w:rsidRDefault="00E81B9A" w:rsidP="007A751D">
            <w:pPr>
              <w:pStyle w:val="Tabletext"/>
              <w:keepNext/>
              <w:keepLines/>
              <w:jc w:val="center"/>
            </w:pPr>
            <w:r w:rsidRPr="00B2608E">
              <w:t>(</w:t>
            </w:r>
            <w:r w:rsidR="004753D1" w:rsidRPr="00B2608E">
              <w:t>4</w:t>
            </w:r>
            <w:r w:rsidR="00C9352F">
              <w:t> </w:t>
            </w:r>
            <w:r w:rsidR="004753D1" w:rsidRPr="00B2608E">
              <w:t>589)</w:t>
            </w:r>
          </w:p>
        </w:tc>
      </w:tr>
      <w:tr w:rsidR="004753D1" w:rsidRPr="00D02A51" w14:paraId="0B92CDF8" w14:textId="77777777" w:rsidTr="57AE38F1">
        <w:trPr>
          <w:trHeight w:val="336"/>
          <w:jc w:val="center"/>
        </w:trPr>
        <w:tc>
          <w:tcPr>
            <w:tcW w:w="5901" w:type="dxa"/>
            <w:tcBorders>
              <w:top w:val="single" w:sz="4" w:space="0" w:color="auto"/>
              <w:bottom w:val="nil"/>
              <w:right w:val="single" w:sz="4" w:space="0" w:color="auto"/>
            </w:tcBorders>
            <w:shd w:val="clear" w:color="auto" w:fill="auto"/>
          </w:tcPr>
          <w:p w14:paraId="1D528D26" w14:textId="66661974" w:rsidR="004753D1" w:rsidRPr="00D02A51" w:rsidRDefault="004753D1" w:rsidP="007A751D">
            <w:pPr>
              <w:pStyle w:val="Tabletext"/>
              <w:keepNext/>
              <w:keepLines/>
              <w:rPr>
                <w:b/>
                <w:bCs/>
              </w:rPr>
            </w:pPr>
            <w:r w:rsidRPr="00D02A51">
              <w:rPr>
                <w:b/>
                <w:bCs/>
              </w:rPr>
              <w:t>Actuarial losses recognized in net assets</w:t>
            </w:r>
          </w:p>
        </w:tc>
        <w:tc>
          <w:tcPr>
            <w:tcW w:w="1701" w:type="dxa"/>
            <w:tcBorders>
              <w:top w:val="single" w:sz="4" w:space="0" w:color="auto"/>
              <w:left w:val="single" w:sz="4" w:space="0" w:color="auto"/>
              <w:bottom w:val="nil"/>
              <w:right w:val="single" w:sz="4" w:space="0" w:color="auto"/>
            </w:tcBorders>
            <w:shd w:val="clear" w:color="auto" w:fill="auto"/>
          </w:tcPr>
          <w:p w14:paraId="02FDB117" w14:textId="3CDFBFE6" w:rsidR="004753D1" w:rsidRPr="00D02A51" w:rsidRDefault="004753D1" w:rsidP="007A751D">
            <w:pPr>
              <w:pStyle w:val="Tabletext"/>
              <w:keepNext/>
              <w:keepLines/>
              <w:jc w:val="center"/>
              <w:rPr>
                <w:b/>
                <w:bCs/>
              </w:rPr>
            </w:pPr>
            <w:r w:rsidRPr="00D02A51">
              <w:rPr>
                <w:b/>
                <w:bCs/>
              </w:rPr>
              <w:t>32</w:t>
            </w:r>
            <w:r w:rsidR="00C9352F" w:rsidRPr="00D02A51">
              <w:rPr>
                <w:b/>
                <w:bCs/>
              </w:rPr>
              <w:t> </w:t>
            </w:r>
            <w:r w:rsidRPr="00D02A51">
              <w:rPr>
                <w:b/>
                <w:bCs/>
              </w:rPr>
              <w:t>748</w:t>
            </w:r>
          </w:p>
        </w:tc>
        <w:tc>
          <w:tcPr>
            <w:tcW w:w="1759" w:type="dxa"/>
            <w:tcBorders>
              <w:top w:val="single" w:sz="4" w:space="0" w:color="auto"/>
              <w:left w:val="single" w:sz="4" w:space="0" w:color="auto"/>
              <w:bottom w:val="nil"/>
            </w:tcBorders>
          </w:tcPr>
          <w:p w14:paraId="597F815E" w14:textId="7F0ACC76" w:rsidR="004753D1" w:rsidRPr="00D02A51" w:rsidRDefault="004753D1" w:rsidP="007A751D">
            <w:pPr>
              <w:pStyle w:val="Tabletext"/>
              <w:keepNext/>
              <w:keepLines/>
              <w:jc w:val="center"/>
              <w:rPr>
                <w:b/>
                <w:bCs/>
              </w:rPr>
            </w:pPr>
            <w:r w:rsidRPr="00D02A51">
              <w:rPr>
                <w:b/>
                <w:bCs/>
              </w:rPr>
              <w:t>19</w:t>
            </w:r>
            <w:r w:rsidR="00C9352F" w:rsidRPr="00D02A51">
              <w:rPr>
                <w:b/>
                <w:bCs/>
              </w:rPr>
              <w:t> </w:t>
            </w:r>
            <w:r w:rsidRPr="00D02A51">
              <w:rPr>
                <w:b/>
                <w:bCs/>
              </w:rPr>
              <w:t>524</w:t>
            </w:r>
          </w:p>
        </w:tc>
      </w:tr>
      <w:tr w:rsidR="004753D1" w:rsidRPr="00D02A51" w14:paraId="35D54352" w14:textId="77777777" w:rsidTr="57AE38F1">
        <w:trPr>
          <w:trHeight w:val="336"/>
          <w:jc w:val="center"/>
        </w:trPr>
        <w:tc>
          <w:tcPr>
            <w:tcW w:w="5901" w:type="dxa"/>
            <w:tcBorders>
              <w:top w:val="nil"/>
              <w:bottom w:val="single" w:sz="4" w:space="0" w:color="auto"/>
              <w:right w:val="single" w:sz="4" w:space="0" w:color="auto"/>
            </w:tcBorders>
            <w:shd w:val="clear" w:color="auto" w:fill="auto"/>
            <w:vAlign w:val="bottom"/>
          </w:tcPr>
          <w:p w14:paraId="0687EFF4" w14:textId="7CB5E725" w:rsidR="004753D1" w:rsidRPr="00D02A51" w:rsidRDefault="004753D1" w:rsidP="007A751D">
            <w:pPr>
              <w:pStyle w:val="Tabletext"/>
              <w:keepNext/>
              <w:keepLines/>
              <w:rPr>
                <w:b/>
                <w:bCs/>
              </w:rPr>
            </w:pPr>
            <w:r w:rsidRPr="00D02A51">
              <w:rPr>
                <w:b/>
                <w:bCs/>
              </w:rPr>
              <w:t>Contributions during the period</w:t>
            </w:r>
          </w:p>
        </w:tc>
        <w:tc>
          <w:tcPr>
            <w:tcW w:w="1701" w:type="dxa"/>
            <w:tcBorders>
              <w:top w:val="nil"/>
              <w:left w:val="single" w:sz="4" w:space="0" w:color="auto"/>
              <w:bottom w:val="single" w:sz="4" w:space="0" w:color="auto"/>
              <w:right w:val="single" w:sz="4" w:space="0" w:color="auto"/>
            </w:tcBorders>
            <w:shd w:val="clear" w:color="auto" w:fill="auto"/>
          </w:tcPr>
          <w:p w14:paraId="280D1731" w14:textId="6FE63C0A" w:rsidR="004753D1" w:rsidRPr="00D02A51" w:rsidRDefault="004753D1" w:rsidP="007A751D">
            <w:pPr>
              <w:pStyle w:val="Tabletext"/>
              <w:keepNext/>
              <w:keepLines/>
              <w:jc w:val="center"/>
              <w:rPr>
                <w:b/>
                <w:bCs/>
              </w:rPr>
            </w:pPr>
            <w:r w:rsidRPr="00D02A51">
              <w:rPr>
                <w:b/>
                <w:bCs/>
              </w:rPr>
              <w:t>(10</w:t>
            </w:r>
            <w:r w:rsidR="00C9352F" w:rsidRPr="00D02A51">
              <w:rPr>
                <w:b/>
                <w:bCs/>
              </w:rPr>
              <w:t> </w:t>
            </w:r>
            <w:r w:rsidRPr="00D02A51">
              <w:rPr>
                <w:b/>
                <w:bCs/>
              </w:rPr>
              <w:t>325)</w:t>
            </w:r>
          </w:p>
        </w:tc>
        <w:tc>
          <w:tcPr>
            <w:tcW w:w="1759" w:type="dxa"/>
            <w:tcBorders>
              <w:top w:val="nil"/>
              <w:left w:val="single" w:sz="4" w:space="0" w:color="auto"/>
              <w:bottom w:val="single" w:sz="4" w:space="0" w:color="auto"/>
            </w:tcBorders>
          </w:tcPr>
          <w:p w14:paraId="193F8B72" w14:textId="313F3859" w:rsidR="004753D1" w:rsidRPr="00D02A51" w:rsidRDefault="004753D1" w:rsidP="007A751D">
            <w:pPr>
              <w:pStyle w:val="Tabletext"/>
              <w:keepNext/>
              <w:keepLines/>
              <w:jc w:val="center"/>
              <w:rPr>
                <w:b/>
                <w:bCs/>
              </w:rPr>
            </w:pPr>
            <w:r w:rsidRPr="00D02A51">
              <w:rPr>
                <w:b/>
                <w:bCs/>
              </w:rPr>
              <w:t>(7</w:t>
            </w:r>
            <w:r w:rsidR="00C9352F" w:rsidRPr="00D02A51">
              <w:rPr>
                <w:b/>
                <w:bCs/>
              </w:rPr>
              <w:t> </w:t>
            </w:r>
            <w:r w:rsidRPr="00D02A51">
              <w:rPr>
                <w:b/>
                <w:bCs/>
              </w:rPr>
              <w:t>009)</w:t>
            </w:r>
          </w:p>
        </w:tc>
      </w:tr>
      <w:tr w:rsidR="004753D1" w:rsidRPr="00D02A51" w14:paraId="58E0A72F" w14:textId="77777777" w:rsidTr="57AE38F1">
        <w:trPr>
          <w:trHeight w:val="336"/>
          <w:jc w:val="center"/>
        </w:trPr>
        <w:tc>
          <w:tcPr>
            <w:tcW w:w="5901" w:type="dxa"/>
            <w:tcBorders>
              <w:top w:val="single" w:sz="4" w:space="0" w:color="auto"/>
              <w:right w:val="single" w:sz="4" w:space="0" w:color="auto"/>
            </w:tcBorders>
            <w:shd w:val="clear" w:color="auto" w:fill="auto"/>
          </w:tcPr>
          <w:p w14:paraId="60D62430" w14:textId="4ACBB555" w:rsidR="004753D1" w:rsidRPr="00D02A51" w:rsidRDefault="004753D1" w:rsidP="007A751D">
            <w:pPr>
              <w:pStyle w:val="Tabletext"/>
              <w:keepNext/>
              <w:keepLines/>
              <w:rPr>
                <w:b/>
                <w:bCs/>
              </w:rPr>
            </w:pPr>
            <w:proofErr w:type="gramStart"/>
            <w:r w:rsidRPr="00D02A51">
              <w:rPr>
                <w:b/>
                <w:bCs/>
              </w:rPr>
              <w:t>Amount</w:t>
            </w:r>
            <w:proofErr w:type="gramEnd"/>
            <w:r w:rsidRPr="00D02A51">
              <w:rPr>
                <w:b/>
                <w:bCs/>
              </w:rPr>
              <w:t xml:space="preserve"> of obligations under the ASHI plan </w:t>
            </w:r>
            <w:proofErr w:type="gramStart"/>
            <w:r w:rsidRPr="00D02A51">
              <w:rPr>
                <w:b/>
                <w:bCs/>
              </w:rPr>
              <w:t>at</w:t>
            </w:r>
            <w:proofErr w:type="gramEnd"/>
            <w:r w:rsidRPr="00D02A51">
              <w:rPr>
                <w:b/>
                <w:bCs/>
              </w:rPr>
              <w:t xml:space="preserve"> 31 December</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2372460" w14:textId="74EE5A73" w:rsidR="004753D1" w:rsidRPr="00D02A51" w:rsidRDefault="004753D1" w:rsidP="007A751D">
            <w:pPr>
              <w:pStyle w:val="Tabletext"/>
              <w:keepNext/>
              <w:keepLines/>
              <w:jc w:val="center"/>
              <w:rPr>
                <w:b/>
                <w:bCs/>
              </w:rPr>
            </w:pPr>
            <w:r w:rsidRPr="00D02A51">
              <w:rPr>
                <w:b/>
                <w:bCs/>
              </w:rPr>
              <w:t>415</w:t>
            </w:r>
            <w:r w:rsidR="00C9352F" w:rsidRPr="00D02A51">
              <w:rPr>
                <w:b/>
                <w:bCs/>
              </w:rPr>
              <w:t> </w:t>
            </w:r>
            <w:r w:rsidRPr="00D02A51">
              <w:rPr>
                <w:b/>
                <w:bCs/>
              </w:rPr>
              <w:t>835</w:t>
            </w:r>
          </w:p>
        </w:tc>
        <w:tc>
          <w:tcPr>
            <w:tcW w:w="1759" w:type="dxa"/>
            <w:tcBorders>
              <w:top w:val="single" w:sz="4" w:space="0" w:color="auto"/>
              <w:left w:val="single" w:sz="4" w:space="0" w:color="auto"/>
            </w:tcBorders>
          </w:tcPr>
          <w:p w14:paraId="687B2FAB" w14:textId="5B75F6BF" w:rsidR="004753D1" w:rsidRPr="00D02A51" w:rsidRDefault="004753D1" w:rsidP="007A751D">
            <w:pPr>
              <w:pStyle w:val="Tabletext"/>
              <w:keepNext/>
              <w:keepLines/>
              <w:jc w:val="center"/>
              <w:rPr>
                <w:b/>
                <w:bCs/>
              </w:rPr>
            </w:pPr>
            <w:r w:rsidRPr="00D02A51">
              <w:rPr>
                <w:b/>
                <w:bCs/>
              </w:rPr>
              <w:t>375</w:t>
            </w:r>
            <w:r w:rsidR="00C9352F" w:rsidRPr="00D02A51">
              <w:rPr>
                <w:b/>
                <w:bCs/>
              </w:rPr>
              <w:t> </w:t>
            </w:r>
            <w:r w:rsidRPr="00D02A51">
              <w:rPr>
                <w:b/>
                <w:bCs/>
              </w:rPr>
              <w:t>271</w:t>
            </w:r>
          </w:p>
        </w:tc>
      </w:tr>
    </w:tbl>
    <w:p w14:paraId="6CB51EEA" w14:textId="77777777" w:rsidR="007A751D" w:rsidRDefault="007A751D" w:rsidP="007A751D">
      <w:pPr>
        <w:pStyle w:val="Tablefin"/>
      </w:pPr>
      <w:bookmarkStart w:id="12" w:name="_Hlk38446011"/>
    </w:p>
    <w:p w14:paraId="6C25EFFC" w14:textId="6167F880" w:rsidR="00115B8E" w:rsidRPr="00B2608E" w:rsidRDefault="00115B8E" w:rsidP="007A751D">
      <w:pPr>
        <w:jc w:val="both"/>
        <w:rPr>
          <w:szCs w:val="24"/>
        </w:rPr>
      </w:pPr>
      <w:r w:rsidRPr="00B2608E">
        <w:t>3.</w:t>
      </w:r>
      <w:r w:rsidR="00102C4E" w:rsidRPr="00B2608E">
        <w:t>2</w:t>
      </w:r>
      <w:r w:rsidRPr="00B2608E">
        <w:tab/>
        <w:t>The service costs represent the increase in the present value of the defined benefit obligation resulting from employee service in the current period.</w:t>
      </w:r>
    </w:p>
    <w:p w14:paraId="067477CF" w14:textId="196AD625" w:rsidR="00115B8E" w:rsidRPr="00B2608E" w:rsidRDefault="00115B8E" w:rsidP="007A751D">
      <w:pPr>
        <w:jc w:val="both"/>
        <w:rPr>
          <w:szCs w:val="24"/>
        </w:rPr>
      </w:pPr>
      <w:r w:rsidRPr="00B2608E">
        <w:rPr>
          <w:szCs w:val="24"/>
        </w:rPr>
        <w:t>3.</w:t>
      </w:r>
      <w:r w:rsidR="00102C4E" w:rsidRPr="00B2608E">
        <w:rPr>
          <w:szCs w:val="24"/>
        </w:rPr>
        <w:t>3</w:t>
      </w:r>
      <w:r w:rsidRPr="00B2608E">
        <w:rPr>
          <w:szCs w:val="24"/>
        </w:rPr>
        <w:tab/>
        <w:t>Further to a decision of the UN task force on accounting standards, since 2016 all the assumptions related to the ASHI valuation have been harmonized among the UN agencies.</w:t>
      </w:r>
    </w:p>
    <w:bookmarkEnd w:id="12"/>
    <w:p w14:paraId="3D24EAFC" w14:textId="0BE03B37" w:rsidR="00115B8E" w:rsidRPr="00B2608E" w:rsidRDefault="00115B8E" w:rsidP="007A751D">
      <w:pPr>
        <w:jc w:val="both"/>
      </w:pPr>
      <w:r w:rsidRPr="00B2608E">
        <w:rPr>
          <w:szCs w:val="24"/>
        </w:rPr>
        <w:t>3.</w:t>
      </w:r>
      <w:r w:rsidR="00102C4E" w:rsidRPr="00B2608E">
        <w:rPr>
          <w:szCs w:val="24"/>
        </w:rPr>
        <w:t>4</w:t>
      </w:r>
      <w:r w:rsidRPr="00B2608E">
        <w:rPr>
          <w:szCs w:val="24"/>
        </w:rPr>
        <w:tab/>
      </w:r>
      <w:r w:rsidRPr="00B2608E">
        <w:t>Among the assumptions used in the actuarial valuation, the discount rate (based on returns on AA corporate obligations), the increase of medical costs and the increase of salary have the most significant impacts. A decrease in the discount rate or an increase in medical costs results in an increase in the ASHI liability, whereas an increase of salary results in an increase of the members’ and ITU’s contributions and support to the funding of the ASHI liability.</w:t>
      </w:r>
    </w:p>
    <w:p w14:paraId="4C579485" w14:textId="032CDC82" w:rsidR="00115B8E" w:rsidRPr="00B2608E" w:rsidRDefault="00115B8E" w:rsidP="007A751D">
      <w:pPr>
        <w:jc w:val="both"/>
      </w:pPr>
      <w:r w:rsidRPr="00B2608E">
        <w:t>3.</w:t>
      </w:r>
      <w:r w:rsidR="00102C4E" w:rsidRPr="00B2608E">
        <w:t>5</w:t>
      </w:r>
      <w:r w:rsidRPr="00B2608E">
        <w:tab/>
        <w:t xml:space="preserve">Two categories of assumptions are used in the ASHI </w:t>
      </w:r>
      <w:r w:rsidR="002B2A3E">
        <w:t>valuation:</w:t>
      </w:r>
      <w:r w:rsidRPr="00B2608E">
        <w:t xml:space="preserve"> demographic and financial. In 2024, the discount rate was decreased from 1.9 per cent to 1.4 per cent, which </w:t>
      </w:r>
      <w:r w:rsidR="00102C4E" w:rsidRPr="00B2608E">
        <w:t xml:space="preserve">contributed to the change in financial assumptions that resulted in </w:t>
      </w:r>
      <w:r w:rsidRPr="00B2608E">
        <w:t>CHF</w:t>
      </w:r>
      <w:r w:rsidR="0093746D" w:rsidRPr="00B2608E">
        <w:t xml:space="preserve"> </w:t>
      </w:r>
      <w:r w:rsidR="00102C4E" w:rsidRPr="00B2608E">
        <w:t>20</w:t>
      </w:r>
      <w:r w:rsidR="0093746D" w:rsidRPr="00B2608E">
        <w:t>.6</w:t>
      </w:r>
      <w:r w:rsidRPr="00B2608E">
        <w:t xml:space="preserve"> million </w:t>
      </w:r>
      <w:r w:rsidR="00E81B9A" w:rsidRPr="00B2608E">
        <w:t xml:space="preserve">loss </w:t>
      </w:r>
      <w:r w:rsidRPr="00B2608E">
        <w:t xml:space="preserve">in 2024 as compared to </w:t>
      </w:r>
      <w:r w:rsidR="00E81B9A" w:rsidRPr="00B2608E">
        <w:t xml:space="preserve">a loss of </w:t>
      </w:r>
      <w:r w:rsidRPr="00B2608E">
        <w:t>CHF 24.6 million in 2023. A second element with a significant impact on the ASH</w:t>
      </w:r>
      <w:r w:rsidR="0093746D" w:rsidRPr="00B2608E">
        <w:t>I</w:t>
      </w:r>
      <w:r w:rsidRPr="00B2608E">
        <w:t xml:space="preserve"> liability</w:t>
      </w:r>
      <w:r w:rsidR="00E81B9A" w:rsidRPr="00B2608E">
        <w:t xml:space="preserve"> increase </w:t>
      </w:r>
      <w:r w:rsidRPr="00B2608E">
        <w:t xml:space="preserve">is the change in demographic assumptions. </w:t>
      </w:r>
      <w:r w:rsidR="00E81B9A" w:rsidRPr="00B2608E">
        <w:t xml:space="preserve">The </w:t>
      </w:r>
      <w:r w:rsidRPr="00B2608E">
        <w:t>analysis of the data provided by UNSMIS showed a decrease of actuarial gain from CHF 0.6 million in 202</w:t>
      </w:r>
      <w:r w:rsidR="0093746D" w:rsidRPr="00B2608E">
        <w:t>3</w:t>
      </w:r>
      <w:r w:rsidRPr="00B2608E">
        <w:t xml:space="preserve"> to a loss of CHF 10.6 million in 202</w:t>
      </w:r>
      <w:r w:rsidR="0093746D" w:rsidRPr="00B2608E">
        <w:t>4</w:t>
      </w:r>
      <w:r w:rsidRPr="00B2608E">
        <w:t>. In addition, the update of the Experience study resulted in a CHF 1.5 million loss in 2024, as compared to a CHF 4.6 million gain in 2023.</w:t>
      </w:r>
    </w:p>
    <w:p w14:paraId="56E99D63" w14:textId="61D4BC18" w:rsidR="00115B8E" w:rsidRPr="00B2608E" w:rsidRDefault="00115B8E" w:rsidP="007A751D">
      <w:pPr>
        <w:jc w:val="both"/>
      </w:pPr>
      <w:r w:rsidRPr="00B2608E">
        <w:t>3.</w:t>
      </w:r>
      <w:r w:rsidR="00E81B9A" w:rsidRPr="00B2608E">
        <w:t>6</w:t>
      </w:r>
      <w:r w:rsidRPr="00B2608E">
        <w:tab/>
        <w:t>Considering how it is calculated, the ASHI liability is volatile by nature. As shown in the table below, in 2022 it reached its lowest level for ten years and due mainly to the change in demographic assumptions, the ASHI liability increased again in 2024.</w:t>
      </w:r>
    </w:p>
    <w:p w14:paraId="5B47CE75" w14:textId="3B2E173E" w:rsidR="00115B8E" w:rsidRPr="00B2608E" w:rsidRDefault="00115B8E" w:rsidP="007A751D">
      <w:pPr>
        <w:jc w:val="both"/>
      </w:pPr>
      <w:r>
        <w:t>3.</w:t>
      </w:r>
      <w:r w:rsidR="00E81B9A">
        <w:t>7</w:t>
      </w:r>
      <w:r>
        <w:tab/>
        <w:t xml:space="preserve">Despite this decrease in the discount rate as </w:t>
      </w:r>
      <w:r w:rsidR="5224E52D">
        <w:t>of</w:t>
      </w:r>
      <w:r>
        <w:t xml:space="preserve"> 31 December 2024, the ASHI liability has decreased by 34.2 per cent compared to 2020 when it was at the highest level.</w:t>
      </w:r>
    </w:p>
    <w:p w14:paraId="6CC84321" w14:textId="07679CC2" w:rsidR="00115B8E" w:rsidRPr="00B2608E" w:rsidRDefault="00115B8E" w:rsidP="00DA206B">
      <w:pPr>
        <w:keepNext/>
        <w:spacing w:after="120"/>
        <w:jc w:val="both"/>
        <w:rPr>
          <w:b/>
          <w:bCs/>
        </w:rPr>
      </w:pPr>
      <w:r w:rsidRPr="00B2608E">
        <w:rPr>
          <w:szCs w:val="24"/>
        </w:rPr>
        <w:lastRenderedPageBreak/>
        <w:t>3.</w:t>
      </w:r>
      <w:r w:rsidR="00E81B9A" w:rsidRPr="00B2608E">
        <w:rPr>
          <w:szCs w:val="24"/>
        </w:rPr>
        <w:t>8</w:t>
      </w:r>
      <w:r w:rsidRPr="00B2608E">
        <w:rPr>
          <w:szCs w:val="24"/>
        </w:rPr>
        <w:tab/>
        <w:t>The evolution of these assumptions and of the ASHI liability are illustrated in the table below.</w:t>
      </w:r>
    </w:p>
    <w:tbl>
      <w:tblPr>
        <w:tblW w:w="9190" w:type="dxa"/>
        <w:jc w:val="center"/>
        <w:tblLayout w:type="fixed"/>
        <w:tblLook w:val="04A0" w:firstRow="1" w:lastRow="0" w:firstColumn="1" w:lastColumn="0" w:noHBand="0" w:noVBand="1"/>
      </w:tblPr>
      <w:tblGrid>
        <w:gridCol w:w="1833"/>
        <w:gridCol w:w="1050"/>
        <w:gridCol w:w="1050"/>
        <w:gridCol w:w="1051"/>
        <w:gridCol w:w="1052"/>
        <w:gridCol w:w="1051"/>
        <w:gridCol w:w="1051"/>
        <w:gridCol w:w="1052"/>
      </w:tblGrid>
      <w:tr w:rsidR="00115B8E" w:rsidRPr="00B2608E" w14:paraId="36EB9E6A" w14:textId="77777777" w:rsidTr="003F2400">
        <w:trPr>
          <w:trHeight w:val="435"/>
          <w:jc w:val="center"/>
        </w:trPr>
        <w:tc>
          <w:tcPr>
            <w:tcW w:w="1833" w:type="dxa"/>
            <w:tcBorders>
              <w:top w:val="single" w:sz="8" w:space="0" w:color="auto"/>
              <w:left w:val="single" w:sz="8" w:space="0" w:color="auto"/>
              <w:bottom w:val="nil"/>
              <w:right w:val="single" w:sz="4" w:space="0" w:color="auto"/>
            </w:tcBorders>
            <w:shd w:val="clear" w:color="auto" w:fill="auto"/>
            <w:vAlign w:val="center"/>
            <w:hideMark/>
          </w:tcPr>
          <w:p w14:paraId="59C44704" w14:textId="77777777" w:rsidR="00115B8E" w:rsidRPr="00B2608E" w:rsidRDefault="00115B8E" w:rsidP="003F2400">
            <w:pPr>
              <w:pStyle w:val="Tablehead"/>
            </w:pPr>
            <w:r w:rsidRPr="00B2608E">
              <w:t> </w:t>
            </w:r>
          </w:p>
        </w:tc>
        <w:tc>
          <w:tcPr>
            <w:tcW w:w="1050" w:type="dxa"/>
            <w:tcBorders>
              <w:top w:val="single" w:sz="8" w:space="0" w:color="auto"/>
              <w:left w:val="nil"/>
              <w:bottom w:val="single" w:sz="8" w:space="0" w:color="auto"/>
              <w:right w:val="single" w:sz="8" w:space="0" w:color="auto"/>
            </w:tcBorders>
            <w:shd w:val="clear" w:color="auto" w:fill="auto"/>
            <w:noWrap/>
            <w:vAlign w:val="center"/>
            <w:hideMark/>
          </w:tcPr>
          <w:p w14:paraId="59E5525F" w14:textId="77777777" w:rsidR="00115B8E" w:rsidRPr="00B2608E" w:rsidRDefault="00115B8E" w:rsidP="003F2400">
            <w:pPr>
              <w:pStyle w:val="Tablehead"/>
            </w:pPr>
            <w:r w:rsidRPr="00B2608E">
              <w:t>2018</w:t>
            </w:r>
          </w:p>
        </w:tc>
        <w:tc>
          <w:tcPr>
            <w:tcW w:w="1050" w:type="dxa"/>
            <w:tcBorders>
              <w:top w:val="single" w:sz="8" w:space="0" w:color="auto"/>
              <w:left w:val="nil"/>
              <w:bottom w:val="single" w:sz="8" w:space="0" w:color="auto"/>
              <w:right w:val="single" w:sz="8" w:space="0" w:color="auto"/>
            </w:tcBorders>
            <w:shd w:val="clear" w:color="auto" w:fill="auto"/>
            <w:vAlign w:val="center"/>
            <w:hideMark/>
          </w:tcPr>
          <w:p w14:paraId="4D95F242" w14:textId="77777777" w:rsidR="00115B8E" w:rsidRPr="00B2608E" w:rsidRDefault="00115B8E" w:rsidP="003F2400">
            <w:pPr>
              <w:pStyle w:val="Tablehead"/>
            </w:pPr>
            <w:r w:rsidRPr="00B2608E">
              <w:t>2019</w:t>
            </w:r>
          </w:p>
        </w:tc>
        <w:tc>
          <w:tcPr>
            <w:tcW w:w="1051" w:type="dxa"/>
            <w:tcBorders>
              <w:top w:val="single" w:sz="8" w:space="0" w:color="auto"/>
              <w:left w:val="nil"/>
              <w:bottom w:val="single" w:sz="8" w:space="0" w:color="auto"/>
              <w:right w:val="single" w:sz="8" w:space="0" w:color="auto"/>
            </w:tcBorders>
            <w:shd w:val="clear" w:color="auto" w:fill="auto"/>
            <w:noWrap/>
            <w:vAlign w:val="center"/>
            <w:hideMark/>
          </w:tcPr>
          <w:p w14:paraId="0C7BAF76" w14:textId="77777777" w:rsidR="00115B8E" w:rsidRPr="00B2608E" w:rsidRDefault="00115B8E" w:rsidP="003F2400">
            <w:pPr>
              <w:pStyle w:val="Tablehead"/>
            </w:pPr>
            <w:r w:rsidRPr="00B2608E">
              <w:t>2020</w:t>
            </w:r>
          </w:p>
        </w:tc>
        <w:tc>
          <w:tcPr>
            <w:tcW w:w="1052" w:type="dxa"/>
            <w:tcBorders>
              <w:top w:val="single" w:sz="8" w:space="0" w:color="auto"/>
              <w:left w:val="nil"/>
              <w:bottom w:val="single" w:sz="8" w:space="0" w:color="auto"/>
              <w:right w:val="single" w:sz="8" w:space="0" w:color="auto"/>
            </w:tcBorders>
            <w:shd w:val="clear" w:color="auto" w:fill="auto"/>
            <w:vAlign w:val="center"/>
            <w:hideMark/>
          </w:tcPr>
          <w:p w14:paraId="00070169" w14:textId="77777777" w:rsidR="00115B8E" w:rsidRPr="00B2608E" w:rsidRDefault="00115B8E" w:rsidP="003F2400">
            <w:pPr>
              <w:pStyle w:val="Tablehead"/>
            </w:pPr>
            <w:r w:rsidRPr="00B2608E">
              <w:t>2021</w:t>
            </w:r>
          </w:p>
        </w:tc>
        <w:tc>
          <w:tcPr>
            <w:tcW w:w="1051" w:type="dxa"/>
            <w:tcBorders>
              <w:top w:val="single" w:sz="8" w:space="0" w:color="auto"/>
              <w:left w:val="nil"/>
              <w:bottom w:val="single" w:sz="8" w:space="0" w:color="auto"/>
              <w:right w:val="single" w:sz="8" w:space="0" w:color="auto"/>
            </w:tcBorders>
            <w:vAlign w:val="center"/>
          </w:tcPr>
          <w:p w14:paraId="27CDCDD2" w14:textId="77777777" w:rsidR="00115B8E" w:rsidRPr="00B2608E" w:rsidRDefault="00115B8E" w:rsidP="003F2400">
            <w:pPr>
              <w:pStyle w:val="Tablehead"/>
            </w:pPr>
            <w:r w:rsidRPr="00B2608E">
              <w:t>2022</w:t>
            </w:r>
          </w:p>
        </w:tc>
        <w:tc>
          <w:tcPr>
            <w:tcW w:w="1051" w:type="dxa"/>
            <w:tcBorders>
              <w:top w:val="single" w:sz="8" w:space="0" w:color="auto"/>
              <w:left w:val="nil"/>
              <w:bottom w:val="single" w:sz="8" w:space="0" w:color="auto"/>
              <w:right w:val="single" w:sz="4" w:space="0" w:color="auto"/>
            </w:tcBorders>
            <w:vAlign w:val="center"/>
          </w:tcPr>
          <w:p w14:paraId="1D5DBF5E" w14:textId="77777777" w:rsidR="00115B8E" w:rsidRPr="00B2608E" w:rsidRDefault="00115B8E" w:rsidP="003F2400">
            <w:pPr>
              <w:pStyle w:val="Tablehead"/>
            </w:pPr>
            <w:r w:rsidRPr="00B2608E">
              <w:t>2023</w:t>
            </w:r>
          </w:p>
        </w:tc>
        <w:tc>
          <w:tcPr>
            <w:tcW w:w="1052" w:type="dxa"/>
            <w:tcBorders>
              <w:top w:val="single" w:sz="8" w:space="0" w:color="auto"/>
              <w:left w:val="single" w:sz="4" w:space="0" w:color="auto"/>
              <w:bottom w:val="single" w:sz="8" w:space="0" w:color="auto"/>
              <w:right w:val="single" w:sz="8" w:space="0" w:color="auto"/>
            </w:tcBorders>
            <w:vAlign w:val="center"/>
          </w:tcPr>
          <w:p w14:paraId="3083449A" w14:textId="77777777" w:rsidR="00115B8E" w:rsidRPr="00B2608E" w:rsidRDefault="00115B8E" w:rsidP="003F2400">
            <w:pPr>
              <w:pStyle w:val="Tablehead"/>
            </w:pPr>
            <w:r w:rsidRPr="00B2608E">
              <w:t>2024</w:t>
            </w:r>
          </w:p>
        </w:tc>
      </w:tr>
      <w:tr w:rsidR="00115B8E" w:rsidRPr="00B2608E" w14:paraId="24FBBA94" w14:textId="77777777" w:rsidTr="003F2400">
        <w:trPr>
          <w:trHeight w:val="480"/>
          <w:jc w:val="center"/>
        </w:trPr>
        <w:tc>
          <w:tcPr>
            <w:tcW w:w="1833" w:type="dxa"/>
            <w:tcBorders>
              <w:top w:val="nil"/>
              <w:left w:val="single" w:sz="8" w:space="0" w:color="auto"/>
              <w:bottom w:val="nil"/>
              <w:right w:val="single" w:sz="4" w:space="0" w:color="auto"/>
            </w:tcBorders>
            <w:shd w:val="clear" w:color="auto" w:fill="auto"/>
            <w:vAlign w:val="center"/>
            <w:hideMark/>
          </w:tcPr>
          <w:p w14:paraId="08291384" w14:textId="77777777" w:rsidR="00115B8E" w:rsidRPr="00B2608E" w:rsidRDefault="00115B8E" w:rsidP="003F2400">
            <w:pPr>
              <w:pStyle w:val="Tabletext"/>
            </w:pPr>
            <w:r w:rsidRPr="00B2608E">
              <w:t>Discount rate</w:t>
            </w:r>
          </w:p>
        </w:tc>
        <w:tc>
          <w:tcPr>
            <w:tcW w:w="1050" w:type="dxa"/>
            <w:tcBorders>
              <w:top w:val="nil"/>
              <w:left w:val="nil"/>
              <w:bottom w:val="nil"/>
              <w:right w:val="single" w:sz="8" w:space="0" w:color="auto"/>
            </w:tcBorders>
            <w:shd w:val="clear" w:color="auto" w:fill="auto"/>
            <w:noWrap/>
            <w:vAlign w:val="center"/>
            <w:hideMark/>
          </w:tcPr>
          <w:p w14:paraId="2ADE5B9D" w14:textId="77777777" w:rsidR="00115B8E" w:rsidRPr="00B2608E" w:rsidRDefault="00115B8E" w:rsidP="003F2400">
            <w:pPr>
              <w:pStyle w:val="Tabletext"/>
              <w:jc w:val="center"/>
            </w:pPr>
            <w:r w:rsidRPr="00B2608E">
              <w:t>1.20%</w:t>
            </w:r>
          </w:p>
        </w:tc>
        <w:tc>
          <w:tcPr>
            <w:tcW w:w="1050" w:type="dxa"/>
            <w:tcBorders>
              <w:top w:val="nil"/>
              <w:left w:val="nil"/>
              <w:bottom w:val="nil"/>
              <w:right w:val="single" w:sz="8" w:space="0" w:color="auto"/>
            </w:tcBorders>
            <w:shd w:val="clear" w:color="auto" w:fill="auto"/>
            <w:noWrap/>
            <w:vAlign w:val="center"/>
            <w:hideMark/>
          </w:tcPr>
          <w:p w14:paraId="2F6D5367" w14:textId="77777777" w:rsidR="00115B8E" w:rsidRPr="00B2608E" w:rsidRDefault="00115B8E" w:rsidP="003F2400">
            <w:pPr>
              <w:pStyle w:val="Tabletext"/>
              <w:jc w:val="center"/>
            </w:pPr>
            <w:r w:rsidRPr="00B2608E">
              <w:t>0.60%</w:t>
            </w:r>
          </w:p>
        </w:tc>
        <w:tc>
          <w:tcPr>
            <w:tcW w:w="1051" w:type="dxa"/>
            <w:tcBorders>
              <w:top w:val="nil"/>
              <w:left w:val="nil"/>
              <w:bottom w:val="nil"/>
              <w:right w:val="single" w:sz="8" w:space="0" w:color="auto"/>
            </w:tcBorders>
            <w:shd w:val="clear" w:color="auto" w:fill="auto"/>
            <w:noWrap/>
            <w:vAlign w:val="center"/>
            <w:hideMark/>
          </w:tcPr>
          <w:p w14:paraId="10256732" w14:textId="77777777" w:rsidR="00115B8E" w:rsidRPr="00B2608E" w:rsidRDefault="00115B8E" w:rsidP="003F2400">
            <w:pPr>
              <w:pStyle w:val="Tabletext"/>
              <w:jc w:val="center"/>
            </w:pPr>
            <w:r w:rsidRPr="00B2608E">
              <w:t>0.20%</w:t>
            </w:r>
          </w:p>
        </w:tc>
        <w:tc>
          <w:tcPr>
            <w:tcW w:w="1052" w:type="dxa"/>
            <w:tcBorders>
              <w:top w:val="nil"/>
              <w:left w:val="nil"/>
              <w:bottom w:val="nil"/>
              <w:right w:val="single" w:sz="8" w:space="0" w:color="auto"/>
            </w:tcBorders>
            <w:shd w:val="clear" w:color="auto" w:fill="auto"/>
            <w:noWrap/>
            <w:vAlign w:val="center"/>
            <w:hideMark/>
          </w:tcPr>
          <w:p w14:paraId="05F4954D" w14:textId="77777777" w:rsidR="00115B8E" w:rsidRPr="00B2608E" w:rsidRDefault="00115B8E" w:rsidP="003F2400">
            <w:pPr>
              <w:pStyle w:val="Tabletext"/>
              <w:jc w:val="center"/>
            </w:pPr>
            <w:r w:rsidRPr="00B2608E">
              <w:t>0.50%</w:t>
            </w:r>
          </w:p>
        </w:tc>
        <w:tc>
          <w:tcPr>
            <w:tcW w:w="1051" w:type="dxa"/>
            <w:tcBorders>
              <w:top w:val="nil"/>
              <w:left w:val="nil"/>
              <w:bottom w:val="nil"/>
              <w:right w:val="single" w:sz="8" w:space="0" w:color="auto"/>
            </w:tcBorders>
            <w:vAlign w:val="center"/>
          </w:tcPr>
          <w:p w14:paraId="13105DED" w14:textId="77777777" w:rsidR="00115B8E" w:rsidRPr="00B2608E" w:rsidRDefault="00115B8E" w:rsidP="003F2400">
            <w:pPr>
              <w:pStyle w:val="Tabletext"/>
              <w:jc w:val="center"/>
            </w:pPr>
            <w:r w:rsidRPr="00B2608E">
              <w:t>2.50%</w:t>
            </w:r>
          </w:p>
        </w:tc>
        <w:tc>
          <w:tcPr>
            <w:tcW w:w="1051" w:type="dxa"/>
            <w:tcBorders>
              <w:top w:val="nil"/>
              <w:left w:val="nil"/>
              <w:bottom w:val="nil"/>
              <w:right w:val="single" w:sz="4" w:space="0" w:color="auto"/>
            </w:tcBorders>
            <w:vAlign w:val="center"/>
          </w:tcPr>
          <w:p w14:paraId="75F0145A" w14:textId="77777777" w:rsidR="00115B8E" w:rsidRPr="00B2608E" w:rsidRDefault="00115B8E" w:rsidP="003F2400">
            <w:pPr>
              <w:pStyle w:val="Tabletext"/>
              <w:jc w:val="center"/>
            </w:pPr>
            <w:r w:rsidRPr="00B2608E">
              <w:t>1.90%</w:t>
            </w:r>
          </w:p>
        </w:tc>
        <w:tc>
          <w:tcPr>
            <w:tcW w:w="1052" w:type="dxa"/>
            <w:tcBorders>
              <w:top w:val="nil"/>
              <w:left w:val="single" w:sz="4" w:space="0" w:color="auto"/>
              <w:bottom w:val="nil"/>
              <w:right w:val="single" w:sz="8" w:space="0" w:color="auto"/>
            </w:tcBorders>
            <w:vAlign w:val="center"/>
          </w:tcPr>
          <w:p w14:paraId="1649B6EF" w14:textId="77777777" w:rsidR="00115B8E" w:rsidRPr="00B2608E" w:rsidRDefault="00115B8E" w:rsidP="003F2400">
            <w:pPr>
              <w:pStyle w:val="Tabletext"/>
              <w:jc w:val="center"/>
            </w:pPr>
            <w:r w:rsidRPr="00B2608E">
              <w:t>1.40%</w:t>
            </w:r>
          </w:p>
        </w:tc>
      </w:tr>
      <w:tr w:rsidR="00115B8E" w:rsidRPr="00B2608E" w14:paraId="5F98164E" w14:textId="77777777" w:rsidTr="003F2400">
        <w:trPr>
          <w:trHeight w:val="420"/>
          <w:jc w:val="center"/>
        </w:trPr>
        <w:tc>
          <w:tcPr>
            <w:tcW w:w="1833" w:type="dxa"/>
            <w:tcBorders>
              <w:top w:val="nil"/>
              <w:left w:val="single" w:sz="8" w:space="0" w:color="auto"/>
              <w:right w:val="single" w:sz="4" w:space="0" w:color="auto"/>
            </w:tcBorders>
            <w:shd w:val="clear" w:color="auto" w:fill="auto"/>
            <w:vAlign w:val="center"/>
            <w:hideMark/>
          </w:tcPr>
          <w:p w14:paraId="68318BBE" w14:textId="77777777" w:rsidR="00115B8E" w:rsidRPr="00B2608E" w:rsidRDefault="00115B8E" w:rsidP="003F2400">
            <w:pPr>
              <w:pStyle w:val="Tabletext"/>
            </w:pPr>
            <w:r w:rsidRPr="00B2608E">
              <w:t>Increase in medical costs</w:t>
            </w:r>
          </w:p>
        </w:tc>
        <w:tc>
          <w:tcPr>
            <w:tcW w:w="1050" w:type="dxa"/>
            <w:tcBorders>
              <w:top w:val="nil"/>
              <w:left w:val="nil"/>
              <w:bottom w:val="nil"/>
              <w:right w:val="single" w:sz="8" w:space="0" w:color="auto"/>
            </w:tcBorders>
            <w:shd w:val="clear" w:color="auto" w:fill="auto"/>
            <w:vAlign w:val="center"/>
            <w:hideMark/>
          </w:tcPr>
          <w:p w14:paraId="4FCAD8E8" w14:textId="77777777" w:rsidR="00115B8E" w:rsidRPr="003F2400" w:rsidRDefault="00115B8E" w:rsidP="003F2400">
            <w:pPr>
              <w:pStyle w:val="Tabletext"/>
              <w:jc w:val="center"/>
            </w:pPr>
            <w:r w:rsidRPr="003F2400">
              <w:t>3.90%</w:t>
            </w:r>
          </w:p>
        </w:tc>
        <w:tc>
          <w:tcPr>
            <w:tcW w:w="1050" w:type="dxa"/>
            <w:tcBorders>
              <w:top w:val="nil"/>
              <w:left w:val="nil"/>
              <w:bottom w:val="nil"/>
              <w:right w:val="single" w:sz="8" w:space="0" w:color="auto"/>
            </w:tcBorders>
            <w:shd w:val="clear" w:color="auto" w:fill="auto"/>
            <w:vAlign w:val="center"/>
            <w:hideMark/>
          </w:tcPr>
          <w:p w14:paraId="33F010CD" w14:textId="77777777" w:rsidR="00115B8E" w:rsidRPr="003F2400" w:rsidRDefault="00115B8E" w:rsidP="003F2400">
            <w:pPr>
              <w:pStyle w:val="Tabletext"/>
              <w:jc w:val="center"/>
            </w:pPr>
            <w:r w:rsidRPr="003F2400">
              <w:t>3.00%</w:t>
            </w:r>
          </w:p>
        </w:tc>
        <w:tc>
          <w:tcPr>
            <w:tcW w:w="1051" w:type="dxa"/>
            <w:tcBorders>
              <w:top w:val="nil"/>
              <w:left w:val="nil"/>
              <w:bottom w:val="nil"/>
              <w:right w:val="single" w:sz="8" w:space="0" w:color="auto"/>
            </w:tcBorders>
            <w:shd w:val="clear" w:color="auto" w:fill="auto"/>
            <w:vAlign w:val="center"/>
            <w:hideMark/>
          </w:tcPr>
          <w:p w14:paraId="1BC15E1E" w14:textId="77777777" w:rsidR="00115B8E" w:rsidRPr="003F2400" w:rsidRDefault="00115B8E" w:rsidP="003F2400">
            <w:pPr>
              <w:pStyle w:val="Tabletext"/>
              <w:jc w:val="center"/>
            </w:pPr>
            <w:r w:rsidRPr="003F2400">
              <w:t>2.80%</w:t>
            </w:r>
          </w:p>
        </w:tc>
        <w:tc>
          <w:tcPr>
            <w:tcW w:w="1052" w:type="dxa"/>
            <w:tcBorders>
              <w:top w:val="nil"/>
              <w:left w:val="nil"/>
              <w:bottom w:val="nil"/>
              <w:right w:val="single" w:sz="8" w:space="0" w:color="auto"/>
            </w:tcBorders>
            <w:shd w:val="clear" w:color="auto" w:fill="auto"/>
            <w:vAlign w:val="center"/>
            <w:hideMark/>
          </w:tcPr>
          <w:p w14:paraId="64446FFA" w14:textId="77777777" w:rsidR="00115B8E" w:rsidRPr="003F2400" w:rsidRDefault="00115B8E" w:rsidP="003F2400">
            <w:pPr>
              <w:pStyle w:val="Tabletext"/>
              <w:jc w:val="center"/>
            </w:pPr>
            <w:r w:rsidRPr="003F2400">
              <w:t>2.50%</w:t>
            </w:r>
          </w:p>
        </w:tc>
        <w:tc>
          <w:tcPr>
            <w:tcW w:w="1051" w:type="dxa"/>
            <w:tcBorders>
              <w:top w:val="nil"/>
              <w:left w:val="nil"/>
              <w:bottom w:val="nil"/>
              <w:right w:val="single" w:sz="8" w:space="0" w:color="auto"/>
            </w:tcBorders>
            <w:vAlign w:val="center"/>
          </w:tcPr>
          <w:p w14:paraId="3088A3CF" w14:textId="77777777" w:rsidR="00115B8E" w:rsidRPr="003F2400" w:rsidRDefault="00115B8E" w:rsidP="003F2400">
            <w:pPr>
              <w:pStyle w:val="Tabletext"/>
              <w:jc w:val="center"/>
            </w:pPr>
            <w:r w:rsidRPr="003F2400">
              <w:t>2.80%</w:t>
            </w:r>
          </w:p>
        </w:tc>
        <w:tc>
          <w:tcPr>
            <w:tcW w:w="1051" w:type="dxa"/>
            <w:tcBorders>
              <w:top w:val="nil"/>
              <w:left w:val="nil"/>
              <w:bottom w:val="nil"/>
              <w:right w:val="single" w:sz="4" w:space="0" w:color="auto"/>
            </w:tcBorders>
            <w:vAlign w:val="center"/>
          </w:tcPr>
          <w:p w14:paraId="05011BD0" w14:textId="77777777" w:rsidR="00115B8E" w:rsidRPr="003F2400" w:rsidRDefault="00115B8E" w:rsidP="003F2400">
            <w:pPr>
              <w:pStyle w:val="Tabletext"/>
              <w:jc w:val="center"/>
            </w:pPr>
            <w:r w:rsidRPr="003F2400">
              <w:t>2.60%</w:t>
            </w:r>
          </w:p>
        </w:tc>
        <w:tc>
          <w:tcPr>
            <w:tcW w:w="1052" w:type="dxa"/>
            <w:tcBorders>
              <w:top w:val="nil"/>
              <w:left w:val="single" w:sz="4" w:space="0" w:color="auto"/>
              <w:bottom w:val="nil"/>
              <w:right w:val="single" w:sz="8" w:space="0" w:color="auto"/>
            </w:tcBorders>
            <w:vAlign w:val="center"/>
          </w:tcPr>
          <w:p w14:paraId="1694A559" w14:textId="77777777" w:rsidR="00115B8E" w:rsidRPr="003F2400" w:rsidRDefault="00115B8E" w:rsidP="003F2400">
            <w:pPr>
              <w:pStyle w:val="Tabletext"/>
              <w:jc w:val="center"/>
            </w:pPr>
            <w:r w:rsidRPr="003F2400">
              <w:t>2.40%</w:t>
            </w:r>
          </w:p>
        </w:tc>
      </w:tr>
      <w:tr w:rsidR="00115B8E" w:rsidRPr="00B2608E" w14:paraId="7231175C" w14:textId="77777777" w:rsidTr="003F2400">
        <w:trPr>
          <w:trHeight w:val="420"/>
          <w:jc w:val="center"/>
        </w:trPr>
        <w:tc>
          <w:tcPr>
            <w:tcW w:w="1833" w:type="dxa"/>
            <w:tcBorders>
              <w:top w:val="nil"/>
              <w:left w:val="single" w:sz="8" w:space="0" w:color="auto"/>
              <w:right w:val="single" w:sz="4" w:space="0" w:color="auto"/>
            </w:tcBorders>
            <w:shd w:val="clear" w:color="auto" w:fill="auto"/>
            <w:hideMark/>
          </w:tcPr>
          <w:p w14:paraId="5AB61A46" w14:textId="7719263A" w:rsidR="00115B8E" w:rsidRPr="00B2608E" w:rsidRDefault="00115B8E" w:rsidP="003F2400">
            <w:pPr>
              <w:pStyle w:val="Tabletext"/>
            </w:pPr>
            <w:r w:rsidRPr="00B2608E">
              <w:t>Salary increase</w:t>
            </w:r>
          </w:p>
        </w:tc>
        <w:tc>
          <w:tcPr>
            <w:tcW w:w="1050" w:type="dxa"/>
            <w:tcBorders>
              <w:top w:val="nil"/>
              <w:left w:val="nil"/>
              <w:bottom w:val="nil"/>
              <w:right w:val="single" w:sz="8" w:space="0" w:color="auto"/>
            </w:tcBorders>
            <w:shd w:val="clear" w:color="auto" w:fill="auto"/>
            <w:vAlign w:val="center"/>
            <w:hideMark/>
          </w:tcPr>
          <w:p w14:paraId="171AD410" w14:textId="77777777" w:rsidR="00115B8E" w:rsidRPr="003F2400" w:rsidRDefault="00115B8E" w:rsidP="003F2400">
            <w:pPr>
              <w:pStyle w:val="Tabletext"/>
              <w:jc w:val="center"/>
            </w:pPr>
            <w:r w:rsidRPr="003F2400">
              <w:t>3.50%</w:t>
            </w:r>
          </w:p>
        </w:tc>
        <w:tc>
          <w:tcPr>
            <w:tcW w:w="1050" w:type="dxa"/>
            <w:tcBorders>
              <w:top w:val="nil"/>
              <w:left w:val="nil"/>
              <w:bottom w:val="nil"/>
              <w:right w:val="single" w:sz="8" w:space="0" w:color="auto"/>
            </w:tcBorders>
            <w:shd w:val="clear" w:color="auto" w:fill="auto"/>
            <w:vAlign w:val="center"/>
            <w:hideMark/>
          </w:tcPr>
          <w:p w14:paraId="7B461B1D" w14:textId="77777777" w:rsidR="00115B8E" w:rsidRPr="003F2400" w:rsidRDefault="00115B8E" w:rsidP="003F2400">
            <w:pPr>
              <w:pStyle w:val="Tabletext"/>
              <w:jc w:val="center"/>
            </w:pPr>
            <w:r w:rsidRPr="003F2400">
              <w:t>3.00%</w:t>
            </w:r>
          </w:p>
        </w:tc>
        <w:tc>
          <w:tcPr>
            <w:tcW w:w="1051" w:type="dxa"/>
            <w:tcBorders>
              <w:top w:val="nil"/>
              <w:left w:val="nil"/>
              <w:bottom w:val="nil"/>
              <w:right w:val="single" w:sz="8" w:space="0" w:color="auto"/>
            </w:tcBorders>
            <w:shd w:val="clear" w:color="auto" w:fill="auto"/>
            <w:vAlign w:val="center"/>
            <w:hideMark/>
          </w:tcPr>
          <w:p w14:paraId="4B8B154E" w14:textId="77777777" w:rsidR="00115B8E" w:rsidRPr="003F2400" w:rsidRDefault="00115B8E" w:rsidP="003F2400">
            <w:pPr>
              <w:pStyle w:val="Tabletext"/>
              <w:jc w:val="center"/>
            </w:pPr>
            <w:r w:rsidRPr="003F2400">
              <w:t>3.00%</w:t>
            </w:r>
          </w:p>
        </w:tc>
        <w:tc>
          <w:tcPr>
            <w:tcW w:w="1052" w:type="dxa"/>
            <w:tcBorders>
              <w:top w:val="nil"/>
              <w:left w:val="nil"/>
              <w:bottom w:val="nil"/>
              <w:right w:val="single" w:sz="8" w:space="0" w:color="auto"/>
            </w:tcBorders>
            <w:shd w:val="clear" w:color="auto" w:fill="auto"/>
            <w:vAlign w:val="center"/>
            <w:hideMark/>
          </w:tcPr>
          <w:p w14:paraId="31BD2F39" w14:textId="77777777" w:rsidR="00115B8E" w:rsidRPr="003F2400" w:rsidRDefault="00115B8E" w:rsidP="003F2400">
            <w:pPr>
              <w:pStyle w:val="Tabletext"/>
              <w:jc w:val="center"/>
            </w:pPr>
            <w:r w:rsidRPr="003F2400">
              <w:t>3.00%</w:t>
            </w:r>
          </w:p>
        </w:tc>
        <w:tc>
          <w:tcPr>
            <w:tcW w:w="1051" w:type="dxa"/>
            <w:tcBorders>
              <w:top w:val="nil"/>
              <w:left w:val="nil"/>
              <w:bottom w:val="nil"/>
              <w:right w:val="single" w:sz="8" w:space="0" w:color="auto"/>
            </w:tcBorders>
            <w:vAlign w:val="center"/>
          </w:tcPr>
          <w:p w14:paraId="41C96809" w14:textId="77777777" w:rsidR="00115B8E" w:rsidRPr="003F2400" w:rsidRDefault="00115B8E" w:rsidP="003F2400">
            <w:pPr>
              <w:pStyle w:val="Tabletext"/>
              <w:jc w:val="center"/>
            </w:pPr>
            <w:r w:rsidRPr="003F2400">
              <w:t>3.00%</w:t>
            </w:r>
          </w:p>
        </w:tc>
        <w:tc>
          <w:tcPr>
            <w:tcW w:w="1051" w:type="dxa"/>
            <w:tcBorders>
              <w:top w:val="nil"/>
              <w:left w:val="nil"/>
              <w:bottom w:val="nil"/>
              <w:right w:val="single" w:sz="4" w:space="0" w:color="auto"/>
            </w:tcBorders>
            <w:vAlign w:val="center"/>
          </w:tcPr>
          <w:p w14:paraId="66A9024D" w14:textId="77777777" w:rsidR="00115B8E" w:rsidRPr="003F2400" w:rsidRDefault="00115B8E" w:rsidP="003F2400">
            <w:pPr>
              <w:pStyle w:val="Tabletext"/>
              <w:jc w:val="center"/>
            </w:pPr>
            <w:r w:rsidRPr="003F2400">
              <w:t>3.10%</w:t>
            </w:r>
          </w:p>
        </w:tc>
        <w:tc>
          <w:tcPr>
            <w:tcW w:w="1052" w:type="dxa"/>
            <w:tcBorders>
              <w:top w:val="nil"/>
              <w:left w:val="single" w:sz="4" w:space="0" w:color="auto"/>
              <w:bottom w:val="nil"/>
              <w:right w:val="single" w:sz="8" w:space="0" w:color="auto"/>
            </w:tcBorders>
            <w:vAlign w:val="center"/>
          </w:tcPr>
          <w:p w14:paraId="7CCA266D" w14:textId="77777777" w:rsidR="00115B8E" w:rsidRPr="003F2400" w:rsidRDefault="00115B8E" w:rsidP="003F2400">
            <w:pPr>
              <w:pStyle w:val="Tabletext"/>
              <w:jc w:val="center"/>
            </w:pPr>
            <w:r w:rsidRPr="003F2400">
              <w:t>3.10%</w:t>
            </w:r>
          </w:p>
        </w:tc>
      </w:tr>
      <w:tr w:rsidR="00115B8E" w:rsidRPr="00B2608E" w14:paraId="48D38393" w14:textId="77777777" w:rsidTr="003F2400">
        <w:trPr>
          <w:trHeight w:val="345"/>
          <w:jc w:val="center"/>
        </w:trPr>
        <w:tc>
          <w:tcPr>
            <w:tcW w:w="1833" w:type="dxa"/>
            <w:tcBorders>
              <w:left w:val="single" w:sz="8" w:space="0" w:color="auto"/>
              <w:bottom w:val="single" w:sz="8" w:space="0" w:color="000000"/>
              <w:right w:val="single" w:sz="4" w:space="0" w:color="auto"/>
            </w:tcBorders>
            <w:shd w:val="clear" w:color="auto" w:fill="auto"/>
            <w:vAlign w:val="center"/>
            <w:hideMark/>
          </w:tcPr>
          <w:p w14:paraId="605A16B0" w14:textId="11317D19" w:rsidR="00115B8E" w:rsidRPr="00B2608E" w:rsidRDefault="003F2400" w:rsidP="003F2400">
            <w:pPr>
              <w:pStyle w:val="Tabletext"/>
            </w:pPr>
            <w:r w:rsidRPr="00B2608E">
              <w:t xml:space="preserve">ASHI liability at </w:t>
            </w:r>
            <w:r w:rsidR="00DA206B">
              <w:t>year-end</w:t>
            </w:r>
          </w:p>
        </w:tc>
        <w:tc>
          <w:tcPr>
            <w:tcW w:w="1050" w:type="dxa"/>
            <w:tcBorders>
              <w:top w:val="nil"/>
              <w:left w:val="nil"/>
              <w:bottom w:val="single" w:sz="8" w:space="0" w:color="auto"/>
              <w:right w:val="single" w:sz="8" w:space="0" w:color="auto"/>
            </w:tcBorders>
            <w:shd w:val="clear" w:color="auto" w:fill="auto"/>
            <w:vAlign w:val="center"/>
            <w:hideMark/>
          </w:tcPr>
          <w:p w14:paraId="7B2537EC" w14:textId="06550A9B" w:rsidR="00115B8E" w:rsidRPr="003F2400" w:rsidRDefault="00115B8E" w:rsidP="003F2400">
            <w:pPr>
              <w:pStyle w:val="Tabletext"/>
              <w:jc w:val="center"/>
            </w:pPr>
            <w:r w:rsidRPr="003F2400">
              <w:t>552</w:t>
            </w:r>
            <w:r w:rsidR="003F2400" w:rsidRPr="003F2400">
              <w:t> </w:t>
            </w:r>
            <w:r w:rsidRPr="003F2400">
              <w:t>240</w:t>
            </w:r>
          </w:p>
        </w:tc>
        <w:tc>
          <w:tcPr>
            <w:tcW w:w="1050" w:type="dxa"/>
            <w:tcBorders>
              <w:top w:val="nil"/>
              <w:left w:val="nil"/>
              <w:bottom w:val="single" w:sz="8" w:space="0" w:color="auto"/>
              <w:right w:val="single" w:sz="8" w:space="0" w:color="auto"/>
            </w:tcBorders>
            <w:shd w:val="clear" w:color="auto" w:fill="auto"/>
            <w:vAlign w:val="center"/>
            <w:hideMark/>
          </w:tcPr>
          <w:p w14:paraId="5DDF5EB4" w14:textId="05AC36C0" w:rsidR="00115B8E" w:rsidRPr="003F2400" w:rsidRDefault="00115B8E" w:rsidP="003F2400">
            <w:pPr>
              <w:pStyle w:val="Tabletext"/>
              <w:jc w:val="center"/>
            </w:pPr>
            <w:r w:rsidRPr="003F2400">
              <w:t>611</w:t>
            </w:r>
            <w:r w:rsidR="003F2400" w:rsidRPr="003F2400">
              <w:t> </w:t>
            </w:r>
            <w:r w:rsidRPr="003F2400">
              <w:t>896</w:t>
            </w:r>
          </w:p>
        </w:tc>
        <w:tc>
          <w:tcPr>
            <w:tcW w:w="1051" w:type="dxa"/>
            <w:tcBorders>
              <w:top w:val="nil"/>
              <w:left w:val="nil"/>
              <w:bottom w:val="single" w:sz="8" w:space="0" w:color="auto"/>
              <w:right w:val="single" w:sz="8" w:space="0" w:color="auto"/>
            </w:tcBorders>
            <w:shd w:val="clear" w:color="auto" w:fill="auto"/>
            <w:vAlign w:val="center"/>
            <w:hideMark/>
          </w:tcPr>
          <w:p w14:paraId="5D4116E6" w14:textId="026F8E72" w:rsidR="00115B8E" w:rsidRPr="003F2400" w:rsidRDefault="00115B8E" w:rsidP="003F2400">
            <w:pPr>
              <w:pStyle w:val="Tabletext"/>
              <w:jc w:val="center"/>
            </w:pPr>
            <w:r w:rsidRPr="003F2400">
              <w:t>631</w:t>
            </w:r>
            <w:r w:rsidR="003F2400" w:rsidRPr="003F2400">
              <w:t> </w:t>
            </w:r>
            <w:r w:rsidRPr="003F2400">
              <w:t>870</w:t>
            </w:r>
          </w:p>
        </w:tc>
        <w:tc>
          <w:tcPr>
            <w:tcW w:w="1052" w:type="dxa"/>
            <w:tcBorders>
              <w:top w:val="nil"/>
              <w:left w:val="nil"/>
              <w:bottom w:val="single" w:sz="8" w:space="0" w:color="auto"/>
              <w:right w:val="single" w:sz="8" w:space="0" w:color="auto"/>
            </w:tcBorders>
            <w:shd w:val="clear" w:color="auto" w:fill="auto"/>
            <w:noWrap/>
            <w:vAlign w:val="center"/>
            <w:hideMark/>
          </w:tcPr>
          <w:p w14:paraId="25186AE5" w14:textId="1506A612" w:rsidR="00115B8E" w:rsidRPr="003F2400" w:rsidRDefault="00115B8E" w:rsidP="003F2400">
            <w:pPr>
              <w:pStyle w:val="Tabletext"/>
              <w:jc w:val="center"/>
            </w:pPr>
            <w:r w:rsidRPr="003F2400">
              <w:t>564</w:t>
            </w:r>
            <w:r w:rsidR="003F2400" w:rsidRPr="003F2400">
              <w:t> </w:t>
            </w:r>
            <w:r w:rsidRPr="003F2400">
              <w:t>636</w:t>
            </w:r>
          </w:p>
        </w:tc>
        <w:tc>
          <w:tcPr>
            <w:tcW w:w="1051" w:type="dxa"/>
            <w:tcBorders>
              <w:top w:val="nil"/>
              <w:left w:val="nil"/>
              <w:bottom w:val="single" w:sz="8" w:space="0" w:color="auto"/>
              <w:right w:val="single" w:sz="8" w:space="0" w:color="auto"/>
            </w:tcBorders>
            <w:vAlign w:val="center"/>
          </w:tcPr>
          <w:p w14:paraId="34C997E7" w14:textId="7E4D2A9D" w:rsidR="00115B8E" w:rsidRPr="003F2400" w:rsidRDefault="00115B8E" w:rsidP="003F2400">
            <w:pPr>
              <w:pStyle w:val="Tabletext"/>
              <w:jc w:val="center"/>
            </w:pPr>
            <w:r w:rsidRPr="003F2400">
              <w:t>344</w:t>
            </w:r>
            <w:r w:rsidR="003F2400" w:rsidRPr="003F2400">
              <w:t> </w:t>
            </w:r>
            <w:r w:rsidRPr="003F2400">
              <w:t>102</w:t>
            </w:r>
          </w:p>
        </w:tc>
        <w:tc>
          <w:tcPr>
            <w:tcW w:w="1051" w:type="dxa"/>
            <w:tcBorders>
              <w:top w:val="nil"/>
              <w:left w:val="nil"/>
              <w:bottom w:val="single" w:sz="8" w:space="0" w:color="auto"/>
              <w:right w:val="single" w:sz="4" w:space="0" w:color="auto"/>
            </w:tcBorders>
            <w:vAlign w:val="center"/>
          </w:tcPr>
          <w:p w14:paraId="34D5420D" w14:textId="58BE405B" w:rsidR="00115B8E" w:rsidRPr="003F2400" w:rsidRDefault="00115B8E" w:rsidP="003F2400">
            <w:pPr>
              <w:pStyle w:val="Tabletext"/>
              <w:jc w:val="center"/>
            </w:pPr>
            <w:r w:rsidRPr="003F2400">
              <w:t>375</w:t>
            </w:r>
            <w:r w:rsidR="003F2400" w:rsidRPr="003F2400">
              <w:t> </w:t>
            </w:r>
            <w:r w:rsidRPr="003F2400">
              <w:t>271</w:t>
            </w:r>
          </w:p>
        </w:tc>
        <w:tc>
          <w:tcPr>
            <w:tcW w:w="1052" w:type="dxa"/>
            <w:tcBorders>
              <w:top w:val="nil"/>
              <w:left w:val="single" w:sz="4" w:space="0" w:color="auto"/>
              <w:bottom w:val="single" w:sz="8" w:space="0" w:color="auto"/>
              <w:right w:val="single" w:sz="8" w:space="0" w:color="auto"/>
            </w:tcBorders>
            <w:vAlign w:val="center"/>
          </w:tcPr>
          <w:p w14:paraId="7453AAFC" w14:textId="4720FAD8" w:rsidR="00115B8E" w:rsidRPr="003F2400" w:rsidRDefault="00115B8E" w:rsidP="003F2400">
            <w:pPr>
              <w:pStyle w:val="Tabletext"/>
              <w:jc w:val="center"/>
            </w:pPr>
            <w:r w:rsidRPr="003F2400">
              <w:t>415</w:t>
            </w:r>
            <w:r w:rsidR="003F2400" w:rsidRPr="003F2400">
              <w:t> </w:t>
            </w:r>
            <w:r w:rsidRPr="003F2400">
              <w:t>835</w:t>
            </w:r>
          </w:p>
        </w:tc>
      </w:tr>
    </w:tbl>
    <w:p w14:paraId="2F6D94A1" w14:textId="77777777" w:rsidR="00DA206B" w:rsidRDefault="00DA206B" w:rsidP="00DA206B">
      <w:pPr>
        <w:pStyle w:val="Tablefin"/>
      </w:pPr>
    </w:p>
    <w:p w14:paraId="756B8C52" w14:textId="3298EA9F" w:rsidR="00115B8E" w:rsidRPr="00B2608E" w:rsidRDefault="00115B8E" w:rsidP="007A751D">
      <w:pPr>
        <w:pStyle w:val="Heading1"/>
      </w:pPr>
      <w:r w:rsidRPr="00B2608E">
        <w:t>4</w:t>
      </w:r>
      <w:r w:rsidRPr="00B2608E">
        <w:tab/>
        <w:t>Actions taken</w:t>
      </w:r>
    </w:p>
    <w:p w14:paraId="39F31189" w14:textId="77777777" w:rsidR="00115B8E" w:rsidRPr="00B2608E" w:rsidRDefault="00115B8E" w:rsidP="007A751D">
      <w:pPr>
        <w:jc w:val="both"/>
      </w:pPr>
      <w:r w:rsidRPr="00B2608E">
        <w:t>4.1</w:t>
      </w:r>
      <w:r w:rsidRPr="00B2608E">
        <w:tab/>
        <w:t>Since 2010, the funding of the ASHI actuarial liability has been a concern. Measures have been taken to ensure that current health insurance benefits can continue to be financed on a pay-as-you-go basis while assuring long-term funding of the accrued ASHI liability.</w:t>
      </w:r>
    </w:p>
    <w:p w14:paraId="3CF49667" w14:textId="77777777" w:rsidR="00115B8E" w:rsidRPr="00B2608E" w:rsidRDefault="00115B8E" w:rsidP="007A751D">
      <w:pPr>
        <w:jc w:val="both"/>
      </w:pPr>
      <w:r w:rsidRPr="00B2608E">
        <w:t>4.2</w:t>
      </w:r>
      <w:r w:rsidRPr="00B2608E">
        <w:tab/>
        <w:t>It is to be noted that the estimated health insurance contributions from ITU for active staff and retirees are included in the biennial budget presented to the Council.</w:t>
      </w:r>
    </w:p>
    <w:p w14:paraId="0E3ABAE6" w14:textId="77777777" w:rsidR="00115B8E" w:rsidRPr="00B2608E" w:rsidRDefault="00115B8E" w:rsidP="007A751D">
      <w:pPr>
        <w:pStyle w:val="Headingb"/>
      </w:pPr>
      <w:r w:rsidRPr="00B2608E">
        <w:t>Creation of fund for the long-term financing of the ASHI actuarial liability</w:t>
      </w:r>
    </w:p>
    <w:p w14:paraId="7E20B5FC" w14:textId="77777777" w:rsidR="00115B8E" w:rsidRPr="00B2608E" w:rsidRDefault="00115B8E" w:rsidP="007A751D">
      <w:pPr>
        <w:jc w:val="both"/>
      </w:pPr>
      <w:r w:rsidRPr="00B2608E">
        <w:t>4.3</w:t>
      </w:r>
      <w:r w:rsidRPr="00B2608E">
        <w:tab/>
        <w:t>As of 31 December 2024, the ASHI fund amounted to CHF 15 million. Since its creation in 2013, CHF 9 million have been paid into the fund in accordance with the different budget resolutions and a further CHF 6 million from surpluses resulting from budget implementation.</w:t>
      </w:r>
    </w:p>
    <w:p w14:paraId="47F279BC" w14:textId="0E69C2A8" w:rsidR="00115B8E" w:rsidRPr="00B2608E" w:rsidRDefault="00115B8E" w:rsidP="007A751D">
      <w:pPr>
        <w:jc w:val="both"/>
        <w:rPr>
          <w:szCs w:val="24"/>
        </w:rPr>
      </w:pPr>
      <w:r w:rsidRPr="00B2608E">
        <w:rPr>
          <w:szCs w:val="24"/>
        </w:rPr>
        <w:t>4.4</w:t>
      </w:r>
      <w:r w:rsidRPr="00B2608E">
        <w:rPr>
          <w:szCs w:val="24"/>
        </w:rPr>
        <w:tab/>
        <w:t>The magnitude of the ASHI obligation and the current budgetary constraints do not allow a faster financing of the ASHI obligation at present. The evolution of the ASHI liability will</w:t>
      </w:r>
      <w:r w:rsidR="008305FA">
        <w:rPr>
          <w:szCs w:val="24"/>
        </w:rPr>
        <w:t>, therefore,</w:t>
      </w:r>
      <w:r w:rsidRPr="00B2608E">
        <w:rPr>
          <w:szCs w:val="24"/>
        </w:rPr>
        <w:t xml:space="preserve"> continue to be carefully monitored.</w:t>
      </w:r>
    </w:p>
    <w:p w14:paraId="3C34FE6F" w14:textId="77777777" w:rsidR="00115B8E" w:rsidRPr="00B2608E" w:rsidRDefault="00115B8E" w:rsidP="007A751D">
      <w:pPr>
        <w:jc w:val="both"/>
        <w:rPr>
          <w:szCs w:val="24"/>
        </w:rPr>
      </w:pPr>
      <w:r w:rsidRPr="00B2608E">
        <w:rPr>
          <w:color w:val="000000"/>
          <w:szCs w:val="24"/>
        </w:rPr>
        <w:t>4.5</w:t>
      </w:r>
      <w:r w:rsidRPr="00B2608E">
        <w:rPr>
          <w:color w:val="000000"/>
          <w:szCs w:val="24"/>
        </w:rPr>
        <w:tab/>
        <w:t>To assist the UN organizations in financing their long-term liability, the Inter-Agency Working Group on After-Service Health Insurance established by the Secretary-General of the United Nations has proposed to the United Nations General Assembly (UNGA) the creation of a dedicated financial reserve for each organization, financed through a contribution of 5.35 per cent of the salary mass for officials recruited as from 1 January 2022.</w:t>
      </w:r>
    </w:p>
    <w:p w14:paraId="5F80F347" w14:textId="682A3824" w:rsidR="005D79AD" w:rsidRPr="00B2608E" w:rsidRDefault="00115B8E" w:rsidP="007A751D">
      <w:pPr>
        <w:jc w:val="both"/>
        <w:rPr>
          <w:lang w:val="en-US"/>
        </w:rPr>
      </w:pPr>
      <w:r w:rsidRPr="00B2608E">
        <w:rPr>
          <w:rFonts w:asciiTheme="minorHAnsi" w:hAnsiTheme="minorHAnsi" w:cs="Calibri"/>
          <w:szCs w:val="24"/>
          <w:lang w:val="en-US"/>
        </w:rPr>
        <w:t>4.6</w:t>
      </w:r>
      <w:r w:rsidRPr="00B2608E">
        <w:rPr>
          <w:rFonts w:asciiTheme="minorHAnsi" w:hAnsiTheme="minorHAnsi" w:cs="Calibri"/>
          <w:szCs w:val="24"/>
          <w:lang w:val="en-US"/>
        </w:rPr>
        <w:tab/>
      </w:r>
      <w:r w:rsidRPr="00B2608E">
        <w:rPr>
          <w:lang w:val="en-US"/>
        </w:rPr>
        <w:t>A final decision by the UN General Assembly is still pending and the proposal by the Working Group has not been implemented.</w:t>
      </w:r>
      <w:r w:rsidR="005D79AD" w:rsidRPr="00B2608E">
        <w:rPr>
          <w:lang w:val="en-US"/>
        </w:rPr>
        <w:t xml:space="preserve"> JIU also </w:t>
      </w:r>
      <w:r w:rsidR="005D79AD" w:rsidRPr="00B2608E">
        <w:rPr>
          <w:rFonts w:asciiTheme="minorHAnsi" w:hAnsiTheme="minorHAnsi" w:cs="Calibri"/>
          <w:szCs w:val="24"/>
          <w:lang w:val="en-US"/>
        </w:rPr>
        <w:t>conducted a review of the ASHI for all UN organizations. This report contains some recommendation</w:t>
      </w:r>
      <w:r w:rsidR="005D79AD" w:rsidRPr="00B2608E">
        <w:rPr>
          <w:lang w:val="en-US"/>
        </w:rPr>
        <w:t>s mainly on long-term financing strategy</w:t>
      </w:r>
      <w:r w:rsidR="00DA206B">
        <w:rPr>
          <w:lang w:val="en-US"/>
        </w:rPr>
        <w:t>.</w:t>
      </w:r>
    </w:p>
    <w:p w14:paraId="1A604435" w14:textId="77777777" w:rsidR="00115B8E" w:rsidRPr="00B2608E" w:rsidRDefault="00115B8E" w:rsidP="007A751D">
      <w:pPr>
        <w:pStyle w:val="Heading1"/>
      </w:pPr>
      <w:r w:rsidRPr="00B2608E">
        <w:t>5</w:t>
      </w:r>
      <w:r w:rsidRPr="00B2608E">
        <w:tab/>
        <w:t>Conclusion</w:t>
      </w:r>
    </w:p>
    <w:p w14:paraId="7A256F81" w14:textId="24B855F1" w:rsidR="00115B8E" w:rsidRPr="00B2608E" w:rsidRDefault="00115B8E" w:rsidP="007A751D">
      <w:pPr>
        <w:jc w:val="both"/>
      </w:pPr>
      <w:r w:rsidRPr="00B2608E">
        <w:t>5.1</w:t>
      </w:r>
      <w:r w:rsidRPr="00B2608E">
        <w:tab/>
        <w:t xml:space="preserve">Regardless of the medical plan, financing the ASHI obligation remains an issue for many UN system organizations. </w:t>
      </w:r>
    </w:p>
    <w:p w14:paraId="4A341121" w14:textId="54DA3C57" w:rsidR="00CA0D70" w:rsidRDefault="00115B8E" w:rsidP="00312E53">
      <w:pPr>
        <w:jc w:val="both"/>
        <w:rPr>
          <w:color w:val="000000" w:themeColor="text1"/>
        </w:rPr>
      </w:pPr>
      <w:bookmarkStart w:id="13" w:name="_Hlk38447710"/>
      <w:r>
        <w:t>5.2</w:t>
      </w:r>
      <w:r>
        <w:tab/>
      </w:r>
      <w:bookmarkEnd w:id="13"/>
      <w:r w:rsidR="58ADDD17">
        <w:t xml:space="preserve">After a careful review of the recommendations issued by the </w:t>
      </w:r>
      <w:r w:rsidR="093784FB">
        <w:t xml:space="preserve">UN </w:t>
      </w:r>
      <w:r w:rsidR="58ADDD17">
        <w:t xml:space="preserve">ASHI </w:t>
      </w:r>
      <w:r w:rsidR="1C05E471">
        <w:t xml:space="preserve">working </w:t>
      </w:r>
      <w:r w:rsidR="58ADDD17">
        <w:t xml:space="preserve">group </w:t>
      </w:r>
      <w:r w:rsidR="2AE3EF23">
        <w:t xml:space="preserve">(established under General Assembly Resolution A/RES/68/244) </w:t>
      </w:r>
      <w:r w:rsidR="58ADDD17">
        <w:t xml:space="preserve">and further to the recommendations of both JIU and IMAC, the ITU Secretary-General has decided </w:t>
      </w:r>
      <w:r w:rsidR="0616EF57">
        <w:t xml:space="preserve">to </w:t>
      </w:r>
      <w:r w:rsidR="0616EF57" w:rsidRPr="00312E53">
        <w:t xml:space="preserve">address </w:t>
      </w:r>
      <w:r w:rsidR="0616EF57" w:rsidRPr="00312E53">
        <w:lastRenderedPageBreak/>
        <w:t>the concern of the financing of the ASHI l</w:t>
      </w:r>
      <w:r w:rsidR="4762F32B" w:rsidRPr="00312E53">
        <w:t>i</w:t>
      </w:r>
      <w:r w:rsidR="0616EF57" w:rsidRPr="00312E53">
        <w:t>ability</w:t>
      </w:r>
      <w:r w:rsidR="0616EF57">
        <w:t xml:space="preserve"> by</w:t>
      </w:r>
      <w:r w:rsidR="58ADDD17">
        <w:t xml:space="preserve"> integrat</w:t>
      </w:r>
      <w:r w:rsidR="6B6B0AC3">
        <w:t>ing</w:t>
      </w:r>
      <w:r w:rsidR="58ADDD17">
        <w:t xml:space="preserve"> in the next budget a 5.35 </w:t>
      </w:r>
      <w:r w:rsidR="58ADDD17" w:rsidRPr="00312E53">
        <w:t>per</w:t>
      </w:r>
      <w:r w:rsidR="58ADDD17" w:rsidRPr="2B307016">
        <w:rPr>
          <w:color w:val="000000" w:themeColor="text1"/>
        </w:rPr>
        <w:t xml:space="preserve"> cent of the base salary for new staff recruited as from 1 January 2026. </w:t>
      </w:r>
    </w:p>
    <w:p w14:paraId="5E202D96" w14:textId="2F641AF2" w:rsidR="58ADDD17" w:rsidRDefault="00CA0D70" w:rsidP="2CF96F94">
      <w:pPr>
        <w:jc w:val="both"/>
      </w:pPr>
      <w:r w:rsidRPr="00CA0D70">
        <w:t>It is also worth highlighting that the implementation of this proposal would contribute to a more sustainable and fiscally responsible approach to managing the ASHI liability. While the current budget resolution typically allocates CHF</w:t>
      </w:r>
      <w:r w:rsidR="00CE60C5">
        <w:t> </w:t>
      </w:r>
      <w:r w:rsidRPr="00CA0D70">
        <w:t>1</w:t>
      </w:r>
      <w:r w:rsidR="00CE60C5">
        <w:t> </w:t>
      </w:r>
      <w:r w:rsidRPr="00CA0D70">
        <w:t>million per biennium, the revised mechanism</w:t>
      </w:r>
      <w:r w:rsidR="002134C9">
        <w:t xml:space="preserve"> </w:t>
      </w:r>
      <w:r w:rsidRPr="00CA0D70">
        <w:t>—based on actual staff participation—</w:t>
      </w:r>
      <w:r w:rsidR="002134C9">
        <w:t xml:space="preserve"> </w:t>
      </w:r>
      <w:r w:rsidRPr="00CA0D70">
        <w:t>would generate approximately CHF</w:t>
      </w:r>
      <w:r w:rsidR="00CE60C5">
        <w:t> </w:t>
      </w:r>
      <w:r w:rsidRPr="00CA0D70">
        <w:t>600</w:t>
      </w:r>
      <w:r w:rsidR="00312E53">
        <w:t> </w:t>
      </w:r>
      <w:r w:rsidRPr="00CA0D70">
        <w:t>000 per biennium. This reduction of CHF</w:t>
      </w:r>
      <w:r w:rsidR="00497FBA">
        <w:t> </w:t>
      </w:r>
      <w:r w:rsidRPr="00CA0D70">
        <w:t>400</w:t>
      </w:r>
      <w:r w:rsidR="00312E53">
        <w:t> </w:t>
      </w:r>
      <w:r w:rsidRPr="00CA0D70">
        <w:t>000 reflects a more accurate alignment between funding and actual recoveries, thereby enhancing long-term budget predictability and improving the integrity of liability funding over time.</w:t>
      </w:r>
      <w:r w:rsidR="00CE60C5">
        <w:t xml:space="preserve"> </w:t>
      </w:r>
    </w:p>
    <w:p w14:paraId="4525DE4F" w14:textId="77777777" w:rsidR="00312E53" w:rsidRDefault="00312E53" w:rsidP="2CF96F94">
      <w:pPr>
        <w:jc w:val="both"/>
      </w:pPr>
    </w:p>
    <w:p w14:paraId="35C6D0A5" w14:textId="11E279EC" w:rsidR="007A3FCD" w:rsidRPr="00C0458D" w:rsidRDefault="007A3FCD" w:rsidP="007A3FCD">
      <w:pPr>
        <w:jc w:val="center"/>
      </w:pPr>
      <w:r w:rsidRPr="00B2608E">
        <w:t>______________</w:t>
      </w:r>
    </w:p>
    <w:sectPr w:rsidR="007A3FCD" w:rsidRPr="00C0458D" w:rsidSect="00AD3606">
      <w:footerReference w:type="default" r:id="rId13"/>
      <w:headerReference w:type="first" r:id="rId14"/>
      <w:footerReference w:type="first" r:id="rId15"/>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87513" w14:textId="77777777" w:rsidR="00963374" w:rsidRDefault="00963374">
      <w:r>
        <w:separator/>
      </w:r>
    </w:p>
  </w:endnote>
  <w:endnote w:type="continuationSeparator" w:id="0">
    <w:p w14:paraId="39DDC74B" w14:textId="77777777" w:rsidR="00963374" w:rsidRDefault="00963374">
      <w:r>
        <w:continuationSeparator/>
      </w:r>
    </w:p>
  </w:endnote>
  <w:endnote w:type="continuationNotice" w:id="1">
    <w:p w14:paraId="29DC5C73" w14:textId="77777777" w:rsidR="00963374" w:rsidRDefault="0096337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7F9D2920" w14:textId="77777777" w:rsidTr="002B3EC3">
      <w:trPr>
        <w:jc w:val="center"/>
      </w:trPr>
      <w:tc>
        <w:tcPr>
          <w:tcW w:w="1803" w:type="dxa"/>
          <w:vAlign w:val="center"/>
        </w:tcPr>
        <w:p w14:paraId="5B3DDD9A" w14:textId="77777777" w:rsidR="00EE49E8" w:rsidRDefault="00C6520B" w:rsidP="00EE49E8">
          <w:pPr>
            <w:pStyle w:val="Header"/>
            <w:jc w:val="left"/>
            <w:rPr>
              <w:noProof/>
            </w:rPr>
          </w:pPr>
          <w:r>
            <w:rPr>
              <w:noProof/>
            </w:rPr>
            <w:t>gDoc #</w:t>
          </w:r>
        </w:p>
      </w:tc>
      <w:tc>
        <w:tcPr>
          <w:tcW w:w="8261" w:type="dxa"/>
        </w:tcPr>
        <w:p w14:paraId="6F6B3A01" w14:textId="203915B3" w:rsidR="00EE49E8" w:rsidRPr="00E06FD5" w:rsidRDefault="00EE49E8" w:rsidP="007A751D">
          <w:pPr>
            <w:pStyle w:val="Header"/>
            <w:tabs>
              <w:tab w:val="left" w:pos="6739"/>
              <w:tab w:val="right" w:pos="8505"/>
              <w:tab w:val="right" w:pos="9639"/>
            </w:tabs>
            <w:jc w:val="left"/>
            <w:rPr>
              <w:rFonts w:ascii="Arial" w:hAnsi="Arial" w:cs="Arial"/>
              <w:b/>
              <w:bCs/>
              <w:szCs w:val="18"/>
            </w:rPr>
          </w:pPr>
          <w:r>
            <w:rPr>
              <w:bCs/>
            </w:rPr>
            <w:tab/>
          </w:r>
          <w:r w:rsidRPr="00623AE3">
            <w:rPr>
              <w:bCs/>
            </w:rPr>
            <w:t>C</w:t>
          </w:r>
          <w:r>
            <w:rPr>
              <w:bCs/>
            </w:rPr>
            <w:t>2</w:t>
          </w:r>
          <w:r w:rsidR="00C6520B">
            <w:rPr>
              <w:bCs/>
            </w:rPr>
            <w:t>5</w:t>
          </w:r>
          <w:r w:rsidRPr="00623AE3">
            <w:rPr>
              <w:bCs/>
            </w:rPr>
            <w:t>/</w:t>
          </w:r>
          <w:r w:rsidR="00FD4349">
            <w:rPr>
              <w:bCs/>
            </w:rPr>
            <w:t>46</w:t>
          </w:r>
          <w:r w:rsidRPr="00623AE3">
            <w:rPr>
              <w:bCs/>
            </w:rPr>
            <w:t>-E</w:t>
          </w:r>
          <w:r>
            <w:rPr>
              <w:bCs/>
            </w:rPr>
            <w:tab/>
          </w:r>
          <w:r>
            <w:fldChar w:fldCharType="begin"/>
          </w:r>
          <w:r>
            <w:instrText>PAGE</w:instrText>
          </w:r>
          <w:r>
            <w:fldChar w:fldCharType="separate"/>
          </w:r>
          <w:r>
            <w:t>1</w:t>
          </w:r>
          <w:r>
            <w:rPr>
              <w:noProof/>
            </w:rPr>
            <w:fldChar w:fldCharType="end"/>
          </w:r>
        </w:p>
      </w:tc>
    </w:tr>
  </w:tbl>
  <w:p w14:paraId="4B3FBF10"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10B15790" w14:textId="77777777" w:rsidTr="006B77F1">
      <w:trPr>
        <w:jc w:val="center"/>
      </w:trPr>
      <w:tc>
        <w:tcPr>
          <w:tcW w:w="1803" w:type="dxa"/>
          <w:vAlign w:val="center"/>
        </w:tcPr>
        <w:p w14:paraId="1D4130C1" w14:textId="77777777" w:rsidR="00EE49E8" w:rsidRPr="006B77F1" w:rsidRDefault="00BF1FDE" w:rsidP="00EE49E8">
          <w:pPr>
            <w:pStyle w:val="Header"/>
            <w:jc w:val="left"/>
            <w:rPr>
              <w:noProof/>
            </w:rPr>
          </w:pPr>
          <w:hyperlink r:id="rId1" w:history="1">
            <w:r w:rsidRPr="006B77F1">
              <w:rPr>
                <w:rStyle w:val="Hyperlink"/>
                <w:u w:val="none"/>
              </w:rPr>
              <w:t>council.itu.int/2025</w:t>
            </w:r>
          </w:hyperlink>
        </w:p>
      </w:tc>
      <w:tc>
        <w:tcPr>
          <w:tcW w:w="8261" w:type="dxa"/>
        </w:tcPr>
        <w:p w14:paraId="68F817AE" w14:textId="59EC331E" w:rsidR="00EE49E8" w:rsidRPr="00E06FD5" w:rsidRDefault="00EE49E8" w:rsidP="007A751D">
          <w:pPr>
            <w:pStyle w:val="Header"/>
            <w:tabs>
              <w:tab w:val="left" w:pos="6739"/>
              <w:tab w:val="right" w:pos="8505"/>
              <w:tab w:val="right" w:pos="9639"/>
            </w:tabs>
            <w:jc w:val="left"/>
            <w:rPr>
              <w:rFonts w:ascii="Arial" w:hAnsi="Arial" w:cs="Arial"/>
              <w:b/>
              <w:bCs/>
              <w:szCs w:val="18"/>
            </w:rPr>
          </w:pPr>
          <w:r>
            <w:rPr>
              <w:bCs/>
            </w:rPr>
            <w:tab/>
          </w:r>
          <w:r w:rsidRPr="00623AE3">
            <w:rPr>
              <w:bCs/>
            </w:rPr>
            <w:t>C</w:t>
          </w:r>
          <w:r>
            <w:rPr>
              <w:bCs/>
            </w:rPr>
            <w:t>2</w:t>
          </w:r>
          <w:r w:rsidR="00BF1FDE">
            <w:rPr>
              <w:bCs/>
            </w:rPr>
            <w:t>5</w:t>
          </w:r>
          <w:r w:rsidRPr="00623AE3">
            <w:rPr>
              <w:bCs/>
            </w:rPr>
            <w:t>/</w:t>
          </w:r>
          <w:r w:rsidR="00FD4349">
            <w:rPr>
              <w:bCs/>
            </w:rPr>
            <w:t>46</w:t>
          </w:r>
          <w:r w:rsidRPr="00623AE3">
            <w:rPr>
              <w:bCs/>
            </w:rPr>
            <w:t>-E</w:t>
          </w:r>
          <w:r>
            <w:rPr>
              <w:bCs/>
            </w:rPr>
            <w:tab/>
          </w:r>
          <w:r>
            <w:fldChar w:fldCharType="begin"/>
          </w:r>
          <w:r>
            <w:instrText>PAGE</w:instrText>
          </w:r>
          <w:r>
            <w:fldChar w:fldCharType="separate"/>
          </w:r>
          <w:r>
            <w:t>1</w:t>
          </w:r>
          <w:r>
            <w:rPr>
              <w:noProof/>
            </w:rPr>
            <w:fldChar w:fldCharType="end"/>
          </w:r>
        </w:p>
      </w:tc>
    </w:tr>
  </w:tbl>
  <w:p w14:paraId="7E78F19F"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F83AD" w14:textId="77777777" w:rsidR="00963374" w:rsidRDefault="00963374">
      <w:r>
        <w:t>____________________</w:t>
      </w:r>
    </w:p>
  </w:footnote>
  <w:footnote w:type="continuationSeparator" w:id="0">
    <w:p w14:paraId="16B8D63B" w14:textId="77777777" w:rsidR="00963374" w:rsidRDefault="00963374">
      <w:r>
        <w:continuationSeparator/>
      </w:r>
    </w:p>
  </w:footnote>
  <w:footnote w:type="continuationNotice" w:id="1">
    <w:p w14:paraId="1E8B2291" w14:textId="77777777" w:rsidR="00963374" w:rsidRDefault="00963374">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8"/>
      <w:gridCol w:w="4022"/>
    </w:tblGrid>
    <w:tr w:rsidR="00AD3606" w:rsidRPr="00784011" w14:paraId="34A86D35" w14:textId="77777777" w:rsidTr="002B3EC3">
      <w:trPr>
        <w:trHeight w:val="1104"/>
        <w:jc w:val="center"/>
      </w:trPr>
      <w:tc>
        <w:tcPr>
          <w:tcW w:w="4390" w:type="dxa"/>
          <w:vAlign w:val="center"/>
        </w:tcPr>
        <w:p w14:paraId="5AD45E6C" w14:textId="77777777" w:rsidR="00AD3606" w:rsidRPr="009621F8" w:rsidRDefault="003936D3" w:rsidP="00CF4A2B">
          <w:pPr>
            <w:pStyle w:val="Header"/>
            <w:jc w:val="left"/>
            <w:rPr>
              <w:rFonts w:ascii="Arial" w:hAnsi="Arial" w:cs="Arial"/>
              <w:b/>
              <w:bCs/>
              <w:color w:val="009CD6"/>
              <w:sz w:val="36"/>
              <w:szCs w:val="36"/>
            </w:rPr>
          </w:pPr>
          <w:bookmarkStart w:id="14" w:name="_Hlk133422111"/>
          <w:r>
            <w:rPr>
              <w:rFonts w:ascii="Arial" w:hAnsi="Arial" w:cs="Arial"/>
              <w:b/>
              <w:bCs/>
              <w:noProof/>
              <w:color w:val="009CD6"/>
              <w:sz w:val="36"/>
              <w:szCs w:val="36"/>
            </w:rPr>
            <w:drawing>
              <wp:inline distT="0" distB="0" distL="0" distR="0" wp14:anchorId="313B81B2" wp14:editId="52EB5A23">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5630" w:type="dxa"/>
        </w:tcPr>
        <w:p w14:paraId="20374029" w14:textId="77777777" w:rsidR="00AD3606" w:rsidRDefault="00AD3606" w:rsidP="00AD3606">
          <w:pPr>
            <w:pStyle w:val="Header"/>
            <w:jc w:val="right"/>
            <w:rPr>
              <w:rFonts w:ascii="Arial" w:hAnsi="Arial" w:cs="Arial"/>
              <w:b/>
              <w:bCs/>
              <w:color w:val="009CD6"/>
              <w:szCs w:val="18"/>
            </w:rPr>
          </w:pPr>
        </w:p>
        <w:p w14:paraId="02A52018" w14:textId="77777777" w:rsidR="00AD3606" w:rsidRDefault="00AD3606" w:rsidP="00AD3606">
          <w:pPr>
            <w:pStyle w:val="Header"/>
            <w:jc w:val="right"/>
            <w:rPr>
              <w:rFonts w:ascii="Arial" w:hAnsi="Arial" w:cs="Arial"/>
              <w:b/>
              <w:bCs/>
              <w:color w:val="009CD6"/>
              <w:szCs w:val="18"/>
            </w:rPr>
          </w:pPr>
        </w:p>
        <w:p w14:paraId="13CCD8DE" w14:textId="77777777"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4"/>
  <w:p w14:paraId="3C724958" w14:textId="77777777" w:rsidR="00AD3606" w:rsidRDefault="00AD3606">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8240" behindDoc="0" locked="0" layoutInCell="1" allowOverlap="1" wp14:anchorId="29EDCDB4" wp14:editId="1542E4D0">
              <wp:simplePos x="0" y="0"/>
              <wp:positionH relativeFrom="page">
                <wp:posOffset>3810</wp:posOffset>
              </wp:positionH>
              <wp:positionV relativeFrom="topMargin">
                <wp:posOffset>601122</wp:posOffset>
              </wp:positionV>
              <wp:extent cx="108000" cy="396000"/>
              <wp:effectExtent l="0" t="0" r="6350" b="444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00" cy="3960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5C0A22DD">
            <v:rect id="Rectangle 5" style="position:absolute;margin-left:.3pt;margin-top:47.35pt;width:8.5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spid="_x0000_s1026" fillcolor="#009cd5" stroked="f" w14:anchorId="02ABCA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">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FA240E"/>
    <w:multiLevelType w:val="hybridMultilevel"/>
    <w:tmpl w:val="040816AE"/>
    <w:lvl w:ilvl="0" w:tplc="F252BF44">
      <w:start w:val="31"/>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0967387"/>
    <w:multiLevelType w:val="hybridMultilevel"/>
    <w:tmpl w:val="372A9CB4"/>
    <w:lvl w:ilvl="0" w:tplc="80E42CB2">
      <w:start w:val="574"/>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74816267">
    <w:abstractNumId w:val="0"/>
  </w:num>
  <w:num w:numId="2" w16cid:durableId="1074863832">
    <w:abstractNumId w:val="1"/>
  </w:num>
  <w:num w:numId="3" w16cid:durableId="13241596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1F8"/>
    <w:rsid w:val="0002019C"/>
    <w:rsid w:val="000210D4"/>
    <w:rsid w:val="00021AB4"/>
    <w:rsid w:val="00023A67"/>
    <w:rsid w:val="0003518F"/>
    <w:rsid w:val="0004390E"/>
    <w:rsid w:val="00053F6E"/>
    <w:rsid w:val="0006007D"/>
    <w:rsid w:val="00063016"/>
    <w:rsid w:val="000630D3"/>
    <w:rsid w:val="00066701"/>
    <w:rsid w:val="00066795"/>
    <w:rsid w:val="000745AB"/>
    <w:rsid w:val="00076AF6"/>
    <w:rsid w:val="00085CF2"/>
    <w:rsid w:val="00092C80"/>
    <w:rsid w:val="000B061F"/>
    <w:rsid w:val="000B1705"/>
    <w:rsid w:val="000D75B2"/>
    <w:rsid w:val="000E7659"/>
    <w:rsid w:val="000F2C62"/>
    <w:rsid w:val="000F5DDB"/>
    <w:rsid w:val="000F7289"/>
    <w:rsid w:val="00102C4E"/>
    <w:rsid w:val="001121F5"/>
    <w:rsid w:val="00115B8E"/>
    <w:rsid w:val="001400DC"/>
    <w:rsid w:val="00140CE1"/>
    <w:rsid w:val="0015471B"/>
    <w:rsid w:val="0017539C"/>
    <w:rsid w:val="00175AC2"/>
    <w:rsid w:val="0017609F"/>
    <w:rsid w:val="001933AF"/>
    <w:rsid w:val="00197896"/>
    <w:rsid w:val="001A3154"/>
    <w:rsid w:val="001A7D1D"/>
    <w:rsid w:val="001B51DD"/>
    <w:rsid w:val="001C628E"/>
    <w:rsid w:val="001D2309"/>
    <w:rsid w:val="001E0F7B"/>
    <w:rsid w:val="001E3DF8"/>
    <w:rsid w:val="001E5613"/>
    <w:rsid w:val="001F5569"/>
    <w:rsid w:val="001F63C2"/>
    <w:rsid w:val="002119FD"/>
    <w:rsid w:val="00211A27"/>
    <w:rsid w:val="002130E0"/>
    <w:rsid w:val="002134C9"/>
    <w:rsid w:val="002167F7"/>
    <w:rsid w:val="00221F46"/>
    <w:rsid w:val="00250570"/>
    <w:rsid w:val="00264425"/>
    <w:rsid w:val="00265875"/>
    <w:rsid w:val="0027303B"/>
    <w:rsid w:val="0028109B"/>
    <w:rsid w:val="00282622"/>
    <w:rsid w:val="002A2188"/>
    <w:rsid w:val="002B1F58"/>
    <w:rsid w:val="002B2A3E"/>
    <w:rsid w:val="002B3EC3"/>
    <w:rsid w:val="002C1C7A"/>
    <w:rsid w:val="002C54E2"/>
    <w:rsid w:val="002D0E68"/>
    <w:rsid w:val="0030160F"/>
    <w:rsid w:val="00312E53"/>
    <w:rsid w:val="00316B09"/>
    <w:rsid w:val="00316B96"/>
    <w:rsid w:val="00320223"/>
    <w:rsid w:val="00322D0D"/>
    <w:rsid w:val="00361465"/>
    <w:rsid w:val="00365A49"/>
    <w:rsid w:val="003877F5"/>
    <w:rsid w:val="003936D3"/>
    <w:rsid w:val="003942D4"/>
    <w:rsid w:val="003958A8"/>
    <w:rsid w:val="003A165D"/>
    <w:rsid w:val="003B29C2"/>
    <w:rsid w:val="003B6162"/>
    <w:rsid w:val="003C2533"/>
    <w:rsid w:val="003D5A7F"/>
    <w:rsid w:val="003D659A"/>
    <w:rsid w:val="003F2400"/>
    <w:rsid w:val="0040435A"/>
    <w:rsid w:val="00416A24"/>
    <w:rsid w:val="00427BFF"/>
    <w:rsid w:val="00431D9E"/>
    <w:rsid w:val="00433CE8"/>
    <w:rsid w:val="00434A5C"/>
    <w:rsid w:val="00443BEE"/>
    <w:rsid w:val="00453079"/>
    <w:rsid w:val="004544D9"/>
    <w:rsid w:val="00463404"/>
    <w:rsid w:val="004701C7"/>
    <w:rsid w:val="00472BAD"/>
    <w:rsid w:val="004753D1"/>
    <w:rsid w:val="004763F6"/>
    <w:rsid w:val="004811F8"/>
    <w:rsid w:val="00484009"/>
    <w:rsid w:val="00490E72"/>
    <w:rsid w:val="00491157"/>
    <w:rsid w:val="00491BA9"/>
    <w:rsid w:val="004921C8"/>
    <w:rsid w:val="00495B0B"/>
    <w:rsid w:val="00497FBA"/>
    <w:rsid w:val="004A1B8B"/>
    <w:rsid w:val="004B25A1"/>
    <w:rsid w:val="004D1851"/>
    <w:rsid w:val="004D599D"/>
    <w:rsid w:val="004E2EA5"/>
    <w:rsid w:val="004E3AEB"/>
    <w:rsid w:val="0050223C"/>
    <w:rsid w:val="00512379"/>
    <w:rsid w:val="0051283B"/>
    <w:rsid w:val="00520EAD"/>
    <w:rsid w:val="005243FF"/>
    <w:rsid w:val="005260D2"/>
    <w:rsid w:val="0053E8C2"/>
    <w:rsid w:val="00564FBC"/>
    <w:rsid w:val="005800BC"/>
    <w:rsid w:val="00582442"/>
    <w:rsid w:val="005A011E"/>
    <w:rsid w:val="005A16A7"/>
    <w:rsid w:val="005B3F35"/>
    <w:rsid w:val="005D79AD"/>
    <w:rsid w:val="005E28E3"/>
    <w:rsid w:val="005E553F"/>
    <w:rsid w:val="005F3269"/>
    <w:rsid w:val="006217E6"/>
    <w:rsid w:val="00623AE3"/>
    <w:rsid w:val="00626884"/>
    <w:rsid w:val="00630C4D"/>
    <w:rsid w:val="00644EC6"/>
    <w:rsid w:val="0064737F"/>
    <w:rsid w:val="00647AF1"/>
    <w:rsid w:val="006507E0"/>
    <w:rsid w:val="006535F1"/>
    <w:rsid w:val="0065557D"/>
    <w:rsid w:val="00660D50"/>
    <w:rsid w:val="00662984"/>
    <w:rsid w:val="006716BB"/>
    <w:rsid w:val="00674B8C"/>
    <w:rsid w:val="006B1859"/>
    <w:rsid w:val="006B6680"/>
    <w:rsid w:val="006B6DCC"/>
    <w:rsid w:val="006B77F1"/>
    <w:rsid w:val="006C284C"/>
    <w:rsid w:val="006C5ECF"/>
    <w:rsid w:val="006D13D5"/>
    <w:rsid w:val="00702DEF"/>
    <w:rsid w:val="00706861"/>
    <w:rsid w:val="00710E7A"/>
    <w:rsid w:val="00722551"/>
    <w:rsid w:val="00730F2A"/>
    <w:rsid w:val="00733043"/>
    <w:rsid w:val="007338E3"/>
    <w:rsid w:val="00743C5F"/>
    <w:rsid w:val="0075051B"/>
    <w:rsid w:val="007671AB"/>
    <w:rsid w:val="0077110E"/>
    <w:rsid w:val="00785AFE"/>
    <w:rsid w:val="00793188"/>
    <w:rsid w:val="00794D34"/>
    <w:rsid w:val="007A3FCD"/>
    <w:rsid w:val="007A7018"/>
    <w:rsid w:val="007A751D"/>
    <w:rsid w:val="007B19CF"/>
    <w:rsid w:val="007D01AF"/>
    <w:rsid w:val="007E6D98"/>
    <w:rsid w:val="00805E90"/>
    <w:rsid w:val="00813E5E"/>
    <w:rsid w:val="008305FA"/>
    <w:rsid w:val="0083581B"/>
    <w:rsid w:val="00842D94"/>
    <w:rsid w:val="00851FDA"/>
    <w:rsid w:val="00863874"/>
    <w:rsid w:val="00864AFF"/>
    <w:rsid w:val="00865925"/>
    <w:rsid w:val="008B3C1C"/>
    <w:rsid w:val="008B4A6A"/>
    <w:rsid w:val="008C7E27"/>
    <w:rsid w:val="008E3426"/>
    <w:rsid w:val="008F7448"/>
    <w:rsid w:val="0090147A"/>
    <w:rsid w:val="009173EF"/>
    <w:rsid w:val="00932906"/>
    <w:rsid w:val="0093746D"/>
    <w:rsid w:val="00961B0B"/>
    <w:rsid w:val="00962D33"/>
    <w:rsid w:val="00963374"/>
    <w:rsid w:val="00967689"/>
    <w:rsid w:val="0097166F"/>
    <w:rsid w:val="00983748"/>
    <w:rsid w:val="009954FF"/>
    <w:rsid w:val="009A75E5"/>
    <w:rsid w:val="009B2C9F"/>
    <w:rsid w:val="009B38C3"/>
    <w:rsid w:val="009E17BD"/>
    <w:rsid w:val="009E485A"/>
    <w:rsid w:val="009F3BED"/>
    <w:rsid w:val="00A04CEC"/>
    <w:rsid w:val="00A27359"/>
    <w:rsid w:val="00A27F92"/>
    <w:rsid w:val="00A32257"/>
    <w:rsid w:val="00A36D20"/>
    <w:rsid w:val="00A514A4"/>
    <w:rsid w:val="00A5200B"/>
    <w:rsid w:val="00A544AD"/>
    <w:rsid w:val="00A55622"/>
    <w:rsid w:val="00A61FB6"/>
    <w:rsid w:val="00A67B99"/>
    <w:rsid w:val="00A73FA5"/>
    <w:rsid w:val="00A83502"/>
    <w:rsid w:val="00A94BAB"/>
    <w:rsid w:val="00AD15B3"/>
    <w:rsid w:val="00AD3606"/>
    <w:rsid w:val="00AD4A3D"/>
    <w:rsid w:val="00AD677D"/>
    <w:rsid w:val="00AF6909"/>
    <w:rsid w:val="00AF6E49"/>
    <w:rsid w:val="00B04A67"/>
    <w:rsid w:val="00B04E14"/>
    <w:rsid w:val="00B0583C"/>
    <w:rsid w:val="00B2608E"/>
    <w:rsid w:val="00B40A81"/>
    <w:rsid w:val="00B44910"/>
    <w:rsid w:val="00B5611D"/>
    <w:rsid w:val="00B72267"/>
    <w:rsid w:val="00B76EB6"/>
    <w:rsid w:val="00B7737B"/>
    <w:rsid w:val="00B824C8"/>
    <w:rsid w:val="00B84B9D"/>
    <w:rsid w:val="00B860DB"/>
    <w:rsid w:val="00B9131F"/>
    <w:rsid w:val="00B97089"/>
    <w:rsid w:val="00BB0646"/>
    <w:rsid w:val="00BC251A"/>
    <w:rsid w:val="00BD032B"/>
    <w:rsid w:val="00BD0AD5"/>
    <w:rsid w:val="00BD70B1"/>
    <w:rsid w:val="00BE01C6"/>
    <w:rsid w:val="00BE036C"/>
    <w:rsid w:val="00BE2640"/>
    <w:rsid w:val="00BF1FDE"/>
    <w:rsid w:val="00BF7F51"/>
    <w:rsid w:val="00C01189"/>
    <w:rsid w:val="00C0458D"/>
    <w:rsid w:val="00C160A3"/>
    <w:rsid w:val="00C374DE"/>
    <w:rsid w:val="00C41D47"/>
    <w:rsid w:val="00C47AD4"/>
    <w:rsid w:val="00C5070C"/>
    <w:rsid w:val="00C52D81"/>
    <w:rsid w:val="00C55198"/>
    <w:rsid w:val="00C6520B"/>
    <w:rsid w:val="00C6637F"/>
    <w:rsid w:val="00C73519"/>
    <w:rsid w:val="00C7688D"/>
    <w:rsid w:val="00C9352F"/>
    <w:rsid w:val="00CA0D70"/>
    <w:rsid w:val="00CA6393"/>
    <w:rsid w:val="00CA7995"/>
    <w:rsid w:val="00CA7BC9"/>
    <w:rsid w:val="00CB18FF"/>
    <w:rsid w:val="00CC2E85"/>
    <w:rsid w:val="00CD0C08"/>
    <w:rsid w:val="00CD2BB6"/>
    <w:rsid w:val="00CE03FB"/>
    <w:rsid w:val="00CE433C"/>
    <w:rsid w:val="00CE60C5"/>
    <w:rsid w:val="00CF0161"/>
    <w:rsid w:val="00CF33F3"/>
    <w:rsid w:val="00CF4A2B"/>
    <w:rsid w:val="00D024CA"/>
    <w:rsid w:val="00D02A51"/>
    <w:rsid w:val="00D06183"/>
    <w:rsid w:val="00D0664C"/>
    <w:rsid w:val="00D22C42"/>
    <w:rsid w:val="00D32A4E"/>
    <w:rsid w:val="00D46149"/>
    <w:rsid w:val="00D536EA"/>
    <w:rsid w:val="00D65041"/>
    <w:rsid w:val="00DA206B"/>
    <w:rsid w:val="00DB1936"/>
    <w:rsid w:val="00DB384B"/>
    <w:rsid w:val="00DD11ED"/>
    <w:rsid w:val="00DF0189"/>
    <w:rsid w:val="00DF26C9"/>
    <w:rsid w:val="00DF405B"/>
    <w:rsid w:val="00E00A89"/>
    <w:rsid w:val="00E06FD5"/>
    <w:rsid w:val="00E07CEF"/>
    <w:rsid w:val="00E10E80"/>
    <w:rsid w:val="00E124F0"/>
    <w:rsid w:val="00E127BD"/>
    <w:rsid w:val="00E15CE6"/>
    <w:rsid w:val="00E227F3"/>
    <w:rsid w:val="00E34936"/>
    <w:rsid w:val="00E408F8"/>
    <w:rsid w:val="00E431EA"/>
    <w:rsid w:val="00E453D6"/>
    <w:rsid w:val="00E545C6"/>
    <w:rsid w:val="00E60F04"/>
    <w:rsid w:val="00E63207"/>
    <w:rsid w:val="00E65B24"/>
    <w:rsid w:val="00E65B30"/>
    <w:rsid w:val="00E81B9A"/>
    <w:rsid w:val="00E854E4"/>
    <w:rsid w:val="00E86DBF"/>
    <w:rsid w:val="00E92B4F"/>
    <w:rsid w:val="00E969AF"/>
    <w:rsid w:val="00EA7CC7"/>
    <w:rsid w:val="00EA7F22"/>
    <w:rsid w:val="00EB0D6F"/>
    <w:rsid w:val="00EB2232"/>
    <w:rsid w:val="00EC5337"/>
    <w:rsid w:val="00EE49E8"/>
    <w:rsid w:val="00F06364"/>
    <w:rsid w:val="00F14444"/>
    <w:rsid w:val="00F16BAB"/>
    <w:rsid w:val="00F2150A"/>
    <w:rsid w:val="00F231D8"/>
    <w:rsid w:val="00F41209"/>
    <w:rsid w:val="00F44C00"/>
    <w:rsid w:val="00F45D2C"/>
    <w:rsid w:val="00F46C5F"/>
    <w:rsid w:val="00F632C0"/>
    <w:rsid w:val="00F641E1"/>
    <w:rsid w:val="00F73CB1"/>
    <w:rsid w:val="00F85207"/>
    <w:rsid w:val="00F9075A"/>
    <w:rsid w:val="00F94A63"/>
    <w:rsid w:val="00FA12CB"/>
    <w:rsid w:val="00FA1C28"/>
    <w:rsid w:val="00FB1279"/>
    <w:rsid w:val="00FB6B76"/>
    <w:rsid w:val="00FB7596"/>
    <w:rsid w:val="00FC6DFA"/>
    <w:rsid w:val="00FC73AC"/>
    <w:rsid w:val="00FD4349"/>
    <w:rsid w:val="00FE4077"/>
    <w:rsid w:val="00FE500D"/>
    <w:rsid w:val="00FE77D2"/>
    <w:rsid w:val="00FF39B1"/>
    <w:rsid w:val="0616EF57"/>
    <w:rsid w:val="090B9EE1"/>
    <w:rsid w:val="09147E1B"/>
    <w:rsid w:val="093784FB"/>
    <w:rsid w:val="09A63FEA"/>
    <w:rsid w:val="0FB99EA9"/>
    <w:rsid w:val="0FE8947A"/>
    <w:rsid w:val="106CB18D"/>
    <w:rsid w:val="14738549"/>
    <w:rsid w:val="1B4AD638"/>
    <w:rsid w:val="1C05E471"/>
    <w:rsid w:val="1CE84FC6"/>
    <w:rsid w:val="1D710804"/>
    <w:rsid w:val="1F39C3A6"/>
    <w:rsid w:val="1F4CDA54"/>
    <w:rsid w:val="22D138EC"/>
    <w:rsid w:val="23B8B5C4"/>
    <w:rsid w:val="253650F1"/>
    <w:rsid w:val="2AE3EF23"/>
    <w:rsid w:val="2B307016"/>
    <w:rsid w:val="2B753887"/>
    <w:rsid w:val="2BD2E88C"/>
    <w:rsid w:val="2CF96F94"/>
    <w:rsid w:val="30EDC596"/>
    <w:rsid w:val="33BF12A0"/>
    <w:rsid w:val="359474F8"/>
    <w:rsid w:val="37C71B4C"/>
    <w:rsid w:val="390D83D2"/>
    <w:rsid w:val="3CCB971B"/>
    <w:rsid w:val="40AF778B"/>
    <w:rsid w:val="417053A0"/>
    <w:rsid w:val="431788E2"/>
    <w:rsid w:val="43223E9D"/>
    <w:rsid w:val="471A4B62"/>
    <w:rsid w:val="4762F32B"/>
    <w:rsid w:val="4A4378DD"/>
    <w:rsid w:val="4ABFBD18"/>
    <w:rsid w:val="4E1895AE"/>
    <w:rsid w:val="519D7B8D"/>
    <w:rsid w:val="5224E52D"/>
    <w:rsid w:val="5409C611"/>
    <w:rsid w:val="5552D544"/>
    <w:rsid w:val="55576548"/>
    <w:rsid w:val="57AE38F1"/>
    <w:rsid w:val="58ADDD17"/>
    <w:rsid w:val="58C3CFA2"/>
    <w:rsid w:val="58E5739F"/>
    <w:rsid w:val="5B13C5FD"/>
    <w:rsid w:val="5FD75FC5"/>
    <w:rsid w:val="60CF773B"/>
    <w:rsid w:val="645BE3C5"/>
    <w:rsid w:val="66437968"/>
    <w:rsid w:val="67AD3C6D"/>
    <w:rsid w:val="6B6B0AC3"/>
    <w:rsid w:val="6FBB555A"/>
    <w:rsid w:val="74F8C0D0"/>
    <w:rsid w:val="76436716"/>
    <w:rsid w:val="771BF70B"/>
    <w:rsid w:val="78DAAB1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A048E5"/>
  <w15:docId w15:val="{7CADCDE4-D390-461E-85EF-2B7F5C88A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B9131F"/>
    <w:pPr>
      <w:keepNext/>
      <w:keepLines/>
      <w:spacing w:before="360"/>
      <w:ind w:left="567" w:hanging="567"/>
      <w:outlineLvl w:val="0"/>
    </w:pPr>
    <w:rPr>
      <w:b/>
      <w:sz w:val="28"/>
    </w:rPr>
  </w:style>
  <w:style w:type="paragraph" w:styleId="Heading2">
    <w:name w:val="heading 2"/>
    <w:basedOn w:val="Heading1"/>
    <w:next w:val="Normal"/>
    <w:qFormat/>
    <w:rsid w:val="00B9131F"/>
    <w:pPr>
      <w:spacing w:before="240"/>
      <w:outlineLvl w:val="1"/>
    </w:pPr>
    <w:rPr>
      <w:sz w:val="24"/>
    </w:rPr>
  </w:style>
  <w:style w:type="paragraph" w:styleId="Heading3">
    <w:name w:val="heading 3"/>
    <w:basedOn w:val="Heading1"/>
    <w:next w:val="Normal"/>
    <w:qFormat/>
    <w:rsid w:val="00B9131F"/>
    <w:pPr>
      <w:spacing w:before="200"/>
      <w:outlineLvl w:val="2"/>
    </w:pPr>
    <w:rPr>
      <w:sz w:val="24"/>
    </w:rPr>
  </w:style>
  <w:style w:type="paragraph" w:styleId="Heading4">
    <w:name w:val="heading 4"/>
    <w:basedOn w:val="Heading3"/>
    <w:next w:val="Normal"/>
    <w:qFormat/>
    <w:rsid w:val="00B9131F"/>
    <w:pPr>
      <w:ind w:left="1134" w:hanging="1134"/>
      <w:outlineLvl w:val="3"/>
    </w:pPr>
  </w:style>
  <w:style w:type="paragraph" w:styleId="Heading5">
    <w:name w:val="heading 5"/>
    <w:basedOn w:val="Heading4"/>
    <w:next w:val="Normal"/>
    <w:qFormat/>
    <w:rsid w:val="00B9131F"/>
    <w:pPr>
      <w:outlineLvl w:val="4"/>
    </w:pPr>
  </w:style>
  <w:style w:type="paragraph" w:styleId="Heading6">
    <w:name w:val="heading 6"/>
    <w:basedOn w:val="Heading4"/>
    <w:next w:val="Normal"/>
    <w:qFormat/>
    <w:rsid w:val="00B9131F"/>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B9131F"/>
    <w:pPr>
      <w:ind w:left="1701" w:hanging="1701"/>
      <w:outlineLvl w:val="7"/>
    </w:pPr>
  </w:style>
  <w:style w:type="paragraph" w:styleId="Heading9">
    <w:name w:val="heading 9"/>
    <w:basedOn w:val="Heading4"/>
    <w:next w:val="Normal"/>
    <w:qFormat/>
    <w:rsid w:val="00B9131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B9131F"/>
    <w:rPr>
      <w:rFonts w:asciiTheme="minorHAnsi" w:hAnsiTheme="minorHAnsi"/>
      <w:sz w:val="24"/>
    </w:rPr>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qFormat/>
    <w:rsid w:val="001A3154"/>
    <w:pPr>
      <w:spacing w:before="80"/>
      <w:ind w:left="567" w:hanging="567"/>
    </w:pPr>
  </w:style>
  <w:style w:type="paragraph" w:customStyle="1" w:styleId="enumlev2">
    <w:name w:val="enumlev2"/>
    <w:basedOn w:val="enumlev1"/>
    <w:qFormat/>
    <w:rsid w:val="001A3154"/>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0F7289"/>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9131F"/>
    <w:rPr>
      <w:color w:val="4F81BD" w:themeColor="accent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B9131F"/>
    <w:pPr>
      <w:spacing w:before="160"/>
      <w:ind w:left="0" w:firstLine="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221F46"/>
    <w:pPr>
      <w:keepNext/>
      <w:keepLines/>
      <w:spacing w:before="720"/>
      <w:jc w:val="center"/>
    </w:pPr>
    <w:rPr>
      <w:caps/>
      <w:sz w:val="28"/>
    </w:rPr>
  </w:style>
  <w:style w:type="paragraph" w:customStyle="1" w:styleId="Annextitle">
    <w:name w:val="Annex_title"/>
    <w:basedOn w:val="Normal"/>
    <w:next w:val="Normal"/>
    <w:qFormat/>
    <w:rsid w:val="00221F46"/>
    <w:pPr>
      <w:keepNext/>
      <w:keepLines/>
      <w:spacing w:after="240"/>
      <w:jc w:val="center"/>
    </w:pPr>
    <w:rPr>
      <w:b/>
      <w:sz w:val="28"/>
    </w:rPr>
  </w:style>
  <w:style w:type="paragraph" w:customStyle="1" w:styleId="Annexref">
    <w:name w:val="Annex_ref"/>
    <w:basedOn w:val="Normal"/>
    <w:next w:val="Annextitle"/>
    <w:qFormat/>
    <w:rsid w:val="00221F46"/>
    <w:pPr>
      <w:keepNext/>
      <w:keepLines/>
      <w:jc w:val="center"/>
    </w:pPr>
  </w:style>
  <w:style w:type="paragraph" w:customStyle="1" w:styleId="Call">
    <w:name w:val="Call"/>
    <w:basedOn w:val="Normal"/>
    <w:next w:val="Normal"/>
    <w:qFormat/>
    <w:rsid w:val="00F641E1"/>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qFormat/>
    <w:rsid w:val="001A3154"/>
    <w:pPr>
      <w:spacing w:after="240"/>
      <w:jc w:val="center"/>
    </w:pPr>
  </w:style>
  <w:style w:type="paragraph" w:customStyle="1" w:styleId="Figuretitle">
    <w:name w:val="Figure_title"/>
    <w:basedOn w:val="Tabletitle"/>
    <w:next w:val="Normalaftertitle"/>
    <w:qFormat/>
    <w:rsid w:val="001A3154"/>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E127BD"/>
    <w:pPr>
      <w:tabs>
        <w:tab w:val="clear" w:pos="567"/>
        <w:tab w:val="clear" w:pos="1134"/>
        <w:tab w:val="clear" w:pos="1701"/>
        <w:tab w:val="clear" w:pos="2268"/>
        <w:tab w:val="clear" w:pos="2835"/>
        <w:tab w:val="left" w:pos="284"/>
      </w:tabs>
      <w:spacing w:before="60" w:after="60"/>
    </w:pPr>
    <w:rPr>
      <w:sz w:val="22"/>
      <w:szCs w:val="22"/>
    </w:rPr>
  </w:style>
  <w:style w:type="paragraph" w:customStyle="1" w:styleId="Figurelegend">
    <w:name w:val="Figure_legend"/>
    <w:basedOn w:val="Normal"/>
    <w:qFormat/>
    <w:rsid w:val="00B9131F"/>
    <w:pPr>
      <w:spacing w:before="20" w:after="240"/>
    </w:pPr>
    <w:rPr>
      <w:sz w:val="20"/>
    </w:rPr>
  </w:style>
  <w:style w:type="paragraph" w:customStyle="1" w:styleId="FigureNo">
    <w:name w:val="Figure_No"/>
    <w:basedOn w:val="Normal"/>
    <w:next w:val="Figuretitle"/>
    <w:qFormat/>
    <w:rsid w:val="001A3154"/>
    <w:pPr>
      <w:keepNext/>
      <w:keepLines/>
      <w:spacing w:before="480"/>
      <w:jc w:val="center"/>
    </w:pPr>
    <w:rPr>
      <w:caps/>
    </w:rPr>
  </w:style>
  <w:style w:type="paragraph" w:customStyle="1" w:styleId="Figurewithouttitle">
    <w:name w:val="Figure_without_title"/>
    <w:basedOn w:val="Figure"/>
    <w:next w:val="Normalaftertitle"/>
    <w:rsid w:val="001A3154"/>
  </w:style>
  <w:style w:type="paragraph" w:customStyle="1" w:styleId="Headingi">
    <w:name w:val="Heading_i"/>
    <w:basedOn w:val="Heading3"/>
    <w:next w:val="Normal"/>
    <w:rsid w:val="00B9131F"/>
    <w:pPr>
      <w:spacing w:before="160"/>
      <w:ind w:left="0" w:firstLine="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F641E1"/>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rsid w:val="00F641E1"/>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rsid w:val="00F641E1"/>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1A3154"/>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CA7995"/>
    <w:rPr>
      <w:color w:val="666666"/>
    </w:rPr>
  </w:style>
  <w:style w:type="paragraph" w:customStyle="1" w:styleId="Reasons">
    <w:name w:val="Reasons"/>
    <w:basedOn w:val="Normal"/>
    <w:qFormat/>
    <w:rsid w:val="007A3FCD"/>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paragraph" w:customStyle="1" w:styleId="xmsonormal">
    <w:name w:val="x_msonormal"/>
    <w:basedOn w:val="Normal"/>
    <w:uiPriority w:val="99"/>
    <w:rsid w:val="00115B8E"/>
    <w:pPr>
      <w:tabs>
        <w:tab w:val="clear" w:pos="567"/>
        <w:tab w:val="clear" w:pos="1134"/>
        <w:tab w:val="clear" w:pos="1701"/>
        <w:tab w:val="clear" w:pos="2268"/>
        <w:tab w:val="clear" w:pos="2835"/>
      </w:tabs>
      <w:overflowPunct/>
      <w:autoSpaceDE/>
      <w:autoSpaceDN/>
      <w:adjustRightInd/>
      <w:spacing w:before="0"/>
      <w:textAlignment w:val="auto"/>
    </w:pPr>
    <w:rPr>
      <w:rFonts w:ascii="Times New Roman" w:eastAsiaTheme="minorEastAsia" w:hAnsi="Times New Roman"/>
      <w:szCs w:val="24"/>
      <w:lang w:val="en-US" w:eastAsia="zh-CN"/>
    </w:rPr>
  </w:style>
  <w:style w:type="paragraph" w:styleId="CommentText">
    <w:name w:val="annotation text"/>
    <w:basedOn w:val="Normal"/>
    <w:link w:val="CommentTextChar"/>
    <w:unhideWhenUsed/>
    <w:rsid w:val="00115B8E"/>
    <w:rPr>
      <w:sz w:val="20"/>
    </w:rPr>
  </w:style>
  <w:style w:type="character" w:customStyle="1" w:styleId="CommentTextChar">
    <w:name w:val="Comment Text Char"/>
    <w:basedOn w:val="DefaultParagraphFont"/>
    <w:link w:val="CommentText"/>
    <w:rsid w:val="00115B8E"/>
    <w:rPr>
      <w:rFonts w:ascii="Calibri" w:hAnsi="Calibri"/>
      <w:lang w:val="en-GB" w:eastAsia="en-US"/>
    </w:rPr>
  </w:style>
  <w:style w:type="character" w:styleId="CommentReference">
    <w:name w:val="annotation reference"/>
    <w:basedOn w:val="DefaultParagraphFont"/>
    <w:semiHidden/>
    <w:unhideWhenUsed/>
    <w:rsid w:val="00115B8E"/>
    <w:rPr>
      <w:sz w:val="16"/>
      <w:szCs w:val="16"/>
    </w:rPr>
  </w:style>
  <w:style w:type="paragraph" w:styleId="Revision">
    <w:name w:val="Revision"/>
    <w:hidden/>
    <w:uiPriority w:val="99"/>
    <w:semiHidden/>
    <w:rsid w:val="0093746D"/>
    <w:rPr>
      <w:rFonts w:ascii="Calibri" w:hAnsi="Calibri"/>
      <w:sz w:val="24"/>
      <w:lang w:val="en-GB" w:eastAsia="en-US"/>
    </w:rPr>
  </w:style>
  <w:style w:type="paragraph" w:styleId="CommentSubject">
    <w:name w:val="annotation subject"/>
    <w:basedOn w:val="CommentText"/>
    <w:next w:val="CommentText"/>
    <w:link w:val="CommentSubjectChar"/>
    <w:semiHidden/>
    <w:unhideWhenUsed/>
    <w:rsid w:val="000F2C62"/>
    <w:rPr>
      <w:b/>
      <w:bCs/>
    </w:rPr>
  </w:style>
  <w:style w:type="character" w:customStyle="1" w:styleId="CommentSubjectChar">
    <w:name w:val="Comment Subject Char"/>
    <w:basedOn w:val="CommentTextChar"/>
    <w:link w:val="CommentSubject"/>
    <w:semiHidden/>
    <w:rsid w:val="000F2C62"/>
    <w:rPr>
      <w:rFonts w:ascii="Calibri" w:hAnsi="Calibri"/>
      <w:b/>
      <w:bCs/>
      <w:lang w:val="en-GB" w:eastAsia="en-US"/>
    </w:rPr>
  </w:style>
  <w:style w:type="paragraph" w:styleId="ListParagraph">
    <w:name w:val="List Paragraph"/>
    <w:basedOn w:val="Normal"/>
    <w:uiPriority w:val="34"/>
    <w:qFormat/>
    <w:rsid w:val="004753D1"/>
    <w:pPr>
      <w:ind w:left="720"/>
      <w:contextualSpacing/>
    </w:pPr>
  </w:style>
  <w:style w:type="paragraph" w:customStyle="1" w:styleId="Tablefin">
    <w:name w:val="Table_fin"/>
    <w:basedOn w:val="Tabletext"/>
    <w:rsid w:val="007A751D"/>
    <w:pPr>
      <w:spacing w:before="0" w:after="0"/>
    </w:pPr>
  </w:style>
  <w:style w:type="character" w:styleId="Mention">
    <w:name w:val="Mention"/>
    <w:basedOn w:val="DefaultParagraphFont"/>
    <w:uiPriority w:val="99"/>
    <w:unhideWhenUsed/>
    <w:rsid w:val="004701C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648066">
      <w:bodyDiv w:val="1"/>
      <w:marLeft w:val="0"/>
      <w:marRight w:val="0"/>
      <w:marTop w:val="0"/>
      <w:marBottom w:val="0"/>
      <w:divBdr>
        <w:top w:val="none" w:sz="0" w:space="0" w:color="auto"/>
        <w:left w:val="none" w:sz="0" w:space="0" w:color="auto"/>
        <w:bottom w:val="none" w:sz="0" w:space="0" w:color="auto"/>
        <w:right w:val="none" w:sz="0" w:space="0" w:color="auto"/>
      </w:divBdr>
    </w:div>
    <w:div w:id="1598711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aging.itu.int/en/council/Documents/basic-texts-2023/DEC-005-E.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tu.int/md/S24-CL-C-0046/e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B2CC4DF5F10149B2E37F08EDC3AC3A" ma:contentTypeVersion="4" ma:contentTypeDescription="Create a new document." ma:contentTypeScope="" ma:versionID="307ecc74a8eb51dfea6b750f0799606c">
  <xsd:schema xmlns:xsd="http://www.w3.org/2001/XMLSchema" xmlns:xs="http://www.w3.org/2001/XMLSchema" xmlns:p="http://schemas.microsoft.com/office/2006/metadata/properties" xmlns:ns2="a1cf676c-2816-4389-ad5d-0f2e7c7e67c4" targetNamespace="http://schemas.microsoft.com/office/2006/metadata/properties" ma:root="true" ma:fieldsID="80c3ec948e348096898dbd7aed4bed44" ns2:_="">
    <xsd:import namespace="a1cf676c-2816-4389-ad5d-0f2e7c7e67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f676c-2816-4389-ad5d-0f2e7c7e6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B8146E-03A7-4413-9B17-C6B8E5956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f676c-2816-4389-ad5d-0f2e7c7e6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3.xml><?xml version="1.0" encoding="utf-8"?>
<ds:datastoreItem xmlns:ds="http://schemas.openxmlformats.org/officeDocument/2006/customXml" ds:itemID="{EBCB52BA-7AEF-42D4-AF59-959012BFA94A}">
  <ds:schemaRefs>
    <ds:schemaRef ds:uri="http://schemas.microsoft.com/sharepoint/v3/contenttype/forms"/>
  </ds:schemaRefs>
</ds:datastoreItem>
</file>

<file path=customXml/itemProps4.xml><?xml version="1.0" encoding="utf-8"?>
<ds:datastoreItem xmlns:ds="http://schemas.openxmlformats.org/officeDocument/2006/customXml" ds:itemID="{11E2F2AC-2255-4DBF-9278-6619577B4509}">
  <ds:schemaRefs>
    <ds:schemaRef ds:uri="http://purl.org/dc/elements/1.1/"/>
    <ds:schemaRef ds:uri="http://purl.org/dc/terms/"/>
    <ds:schemaRef ds:uri="http://schemas.microsoft.com/office/2006/documentManagement/types"/>
    <ds:schemaRef ds:uri="http://purl.org/dc/dcmitype/"/>
    <ds:schemaRef ds:uri="a1cf676c-2816-4389-ad5d-0f2e7c7e67c4"/>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1518</Words>
  <Characters>7894</Characters>
  <Application>Microsoft Office Word</Application>
  <DocSecurity>0</DocSecurity>
  <Lines>213</Lines>
  <Paragraphs>144</Paragraphs>
  <ScaleCrop>false</ScaleCrop>
  <HeadingPairs>
    <vt:vector size="2" baseType="variant">
      <vt:variant>
        <vt:lpstr>Title</vt:lpstr>
      </vt:variant>
      <vt:variant>
        <vt:i4>1</vt:i4>
      </vt:variant>
    </vt:vector>
  </HeadingPairs>
  <TitlesOfParts>
    <vt:vector size="1" baseType="lpstr">
      <vt:lpstr>Council 2025</vt:lpstr>
    </vt:vector>
  </TitlesOfParts>
  <Manager>General Secretariat</Manager>
  <Company>International Telecommunication Union (ITU)</Company>
  <LinksUpToDate>false</LinksUpToDate>
  <CharactersWithSpaces>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After-Service Health Insurance (ASHI) liability</dc:title>
  <dc:subject>Council 2025</dc:subject>
  <cp:keywords>C25; C2025; Council 2025; ITU160</cp:keywords>
  <dc:description/>
  <cp:lastPrinted>2000-07-18T13:30:00Z</cp:lastPrinted>
  <dcterms:created xsi:type="dcterms:W3CDTF">2025-04-22T19:47:00Z</dcterms:created>
  <dcterms:modified xsi:type="dcterms:W3CDTF">2025-04-22T19:47:00Z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y fmtid="{D5CDD505-2E9C-101B-9397-08002B2CF9AE}" pid="9" name="ContentTypeId">
    <vt:lpwstr>0x01010096B2CC4DF5F10149B2E37F08EDC3AC3A</vt:lpwstr>
  </property>
</Properties>
</file>