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8C298B" w14:paraId="3DEF8EFE" w14:textId="77777777" w:rsidTr="00D72F49">
        <w:trPr>
          <w:cantSplit/>
          <w:trHeight w:val="23"/>
        </w:trPr>
        <w:tc>
          <w:tcPr>
            <w:tcW w:w="3969" w:type="dxa"/>
            <w:vMerge w:val="restart"/>
            <w:tcMar>
              <w:left w:w="0" w:type="dxa"/>
            </w:tcMar>
          </w:tcPr>
          <w:p w14:paraId="73D2D311" w14:textId="19F4FDDF" w:rsidR="00D72F49" w:rsidRPr="008C298B" w:rsidRDefault="00D72F49" w:rsidP="00D72F49">
            <w:pPr>
              <w:tabs>
                <w:tab w:val="left" w:pos="851"/>
              </w:tabs>
              <w:spacing w:before="0" w:line="240" w:lineRule="atLeast"/>
              <w:rPr>
                <w:b/>
              </w:rPr>
            </w:pPr>
            <w:r w:rsidRPr="008C298B">
              <w:rPr>
                <w:b/>
              </w:rPr>
              <w:t>Point de l'ordre du jour:</w:t>
            </w:r>
            <w:r w:rsidR="00C34E65" w:rsidRPr="008C298B">
              <w:rPr>
                <w:b/>
              </w:rPr>
              <w:t xml:space="preserve"> PL 2</w:t>
            </w:r>
          </w:p>
        </w:tc>
        <w:tc>
          <w:tcPr>
            <w:tcW w:w="5245" w:type="dxa"/>
          </w:tcPr>
          <w:p w14:paraId="79F8194D" w14:textId="5C0E7F25" w:rsidR="00D72F49" w:rsidRPr="008C298B" w:rsidRDefault="00D72F49" w:rsidP="00D72F49">
            <w:pPr>
              <w:tabs>
                <w:tab w:val="left" w:pos="851"/>
              </w:tabs>
              <w:spacing w:before="0" w:line="240" w:lineRule="atLeast"/>
              <w:jc w:val="right"/>
              <w:rPr>
                <w:b/>
              </w:rPr>
            </w:pPr>
            <w:r w:rsidRPr="008C298B">
              <w:rPr>
                <w:b/>
              </w:rPr>
              <w:t>Document C2</w:t>
            </w:r>
            <w:r w:rsidR="00FC6D7D" w:rsidRPr="008C298B">
              <w:rPr>
                <w:b/>
              </w:rPr>
              <w:t>5</w:t>
            </w:r>
            <w:r w:rsidRPr="008C298B">
              <w:rPr>
                <w:b/>
              </w:rPr>
              <w:t>/</w:t>
            </w:r>
            <w:r w:rsidR="00C34E65" w:rsidRPr="008C298B">
              <w:rPr>
                <w:b/>
              </w:rPr>
              <w:t>45</w:t>
            </w:r>
            <w:r w:rsidRPr="008C298B">
              <w:rPr>
                <w:b/>
              </w:rPr>
              <w:t>-F</w:t>
            </w:r>
          </w:p>
        </w:tc>
      </w:tr>
      <w:tr w:rsidR="00D72F49" w:rsidRPr="008C298B" w14:paraId="34303D93" w14:textId="77777777" w:rsidTr="00D72F49">
        <w:trPr>
          <w:cantSplit/>
        </w:trPr>
        <w:tc>
          <w:tcPr>
            <w:tcW w:w="3969" w:type="dxa"/>
            <w:vMerge/>
          </w:tcPr>
          <w:p w14:paraId="2A4D6F08" w14:textId="77777777" w:rsidR="00D72F49" w:rsidRPr="008C298B" w:rsidRDefault="00D72F49" w:rsidP="00D72F49">
            <w:pPr>
              <w:tabs>
                <w:tab w:val="left" w:pos="851"/>
              </w:tabs>
              <w:spacing w:line="240" w:lineRule="atLeast"/>
              <w:rPr>
                <w:b/>
              </w:rPr>
            </w:pPr>
          </w:p>
        </w:tc>
        <w:tc>
          <w:tcPr>
            <w:tcW w:w="5245" w:type="dxa"/>
          </w:tcPr>
          <w:p w14:paraId="77A947B1" w14:textId="793929DD" w:rsidR="00D72F49" w:rsidRPr="008C298B" w:rsidRDefault="00C34E65" w:rsidP="00D72F49">
            <w:pPr>
              <w:tabs>
                <w:tab w:val="left" w:pos="851"/>
              </w:tabs>
              <w:spacing w:before="0"/>
              <w:jc w:val="right"/>
              <w:rPr>
                <w:b/>
              </w:rPr>
            </w:pPr>
            <w:r w:rsidRPr="008C298B">
              <w:rPr>
                <w:b/>
              </w:rPr>
              <w:t>19 mai 2025</w:t>
            </w:r>
          </w:p>
        </w:tc>
      </w:tr>
      <w:tr w:rsidR="00D72F49" w:rsidRPr="008C298B" w14:paraId="5519AF13" w14:textId="77777777" w:rsidTr="00D72F49">
        <w:trPr>
          <w:cantSplit/>
          <w:trHeight w:val="23"/>
        </w:trPr>
        <w:tc>
          <w:tcPr>
            <w:tcW w:w="3969" w:type="dxa"/>
            <w:vMerge/>
          </w:tcPr>
          <w:p w14:paraId="39B6F603" w14:textId="77777777" w:rsidR="00D72F49" w:rsidRPr="008C298B" w:rsidRDefault="00D72F49" w:rsidP="00D72F49">
            <w:pPr>
              <w:tabs>
                <w:tab w:val="left" w:pos="851"/>
              </w:tabs>
              <w:spacing w:line="240" w:lineRule="atLeast"/>
              <w:rPr>
                <w:b/>
              </w:rPr>
            </w:pPr>
          </w:p>
        </w:tc>
        <w:tc>
          <w:tcPr>
            <w:tcW w:w="5245" w:type="dxa"/>
          </w:tcPr>
          <w:p w14:paraId="3B08A11D" w14:textId="77777777" w:rsidR="00D72F49" w:rsidRPr="008C298B" w:rsidRDefault="00D72F49" w:rsidP="00D72F49">
            <w:pPr>
              <w:tabs>
                <w:tab w:val="left" w:pos="851"/>
              </w:tabs>
              <w:spacing w:before="0" w:line="240" w:lineRule="atLeast"/>
              <w:jc w:val="right"/>
              <w:rPr>
                <w:b/>
              </w:rPr>
            </w:pPr>
            <w:r w:rsidRPr="008C298B">
              <w:rPr>
                <w:b/>
              </w:rPr>
              <w:t>Original: anglais</w:t>
            </w:r>
          </w:p>
        </w:tc>
      </w:tr>
      <w:tr w:rsidR="00D72F49" w:rsidRPr="008C298B" w14:paraId="0F9F67AB" w14:textId="77777777" w:rsidTr="00D72F49">
        <w:trPr>
          <w:cantSplit/>
          <w:trHeight w:val="23"/>
        </w:trPr>
        <w:tc>
          <w:tcPr>
            <w:tcW w:w="3969" w:type="dxa"/>
          </w:tcPr>
          <w:p w14:paraId="555E4810" w14:textId="77777777" w:rsidR="00D72F49" w:rsidRPr="008C298B" w:rsidRDefault="00D72F49" w:rsidP="00D72F49">
            <w:pPr>
              <w:tabs>
                <w:tab w:val="left" w:pos="851"/>
              </w:tabs>
              <w:spacing w:line="240" w:lineRule="atLeast"/>
              <w:rPr>
                <w:b/>
              </w:rPr>
            </w:pPr>
          </w:p>
        </w:tc>
        <w:tc>
          <w:tcPr>
            <w:tcW w:w="5245" w:type="dxa"/>
          </w:tcPr>
          <w:p w14:paraId="1CFF77B0" w14:textId="77777777" w:rsidR="00D72F49" w:rsidRPr="008C298B" w:rsidRDefault="00D72F49" w:rsidP="00D72F49">
            <w:pPr>
              <w:tabs>
                <w:tab w:val="left" w:pos="851"/>
              </w:tabs>
              <w:spacing w:before="0" w:line="240" w:lineRule="atLeast"/>
              <w:jc w:val="right"/>
              <w:rPr>
                <w:b/>
              </w:rPr>
            </w:pPr>
          </w:p>
        </w:tc>
      </w:tr>
      <w:tr w:rsidR="00D72F49" w:rsidRPr="008C298B" w14:paraId="7494C540" w14:textId="77777777" w:rsidTr="00D72F49">
        <w:trPr>
          <w:cantSplit/>
        </w:trPr>
        <w:tc>
          <w:tcPr>
            <w:tcW w:w="9214" w:type="dxa"/>
            <w:gridSpan w:val="2"/>
            <w:tcMar>
              <w:left w:w="0" w:type="dxa"/>
            </w:tcMar>
          </w:tcPr>
          <w:p w14:paraId="7158BE98" w14:textId="77777777" w:rsidR="00D72F49" w:rsidRPr="008C298B" w:rsidRDefault="00D72F49" w:rsidP="00D72F49">
            <w:pPr>
              <w:pStyle w:val="Source"/>
              <w:jc w:val="left"/>
              <w:rPr>
                <w:sz w:val="34"/>
                <w:szCs w:val="34"/>
              </w:rPr>
            </w:pPr>
            <w:r w:rsidRPr="008C298B">
              <w:rPr>
                <w:rFonts w:cstheme="minorHAnsi"/>
                <w:color w:val="000000"/>
                <w:sz w:val="34"/>
                <w:szCs w:val="34"/>
              </w:rPr>
              <w:t xml:space="preserve">Rapport </w:t>
            </w:r>
            <w:r w:rsidR="00E95647" w:rsidRPr="008C298B">
              <w:rPr>
                <w:rFonts w:cstheme="minorHAnsi"/>
                <w:color w:val="000000"/>
                <w:sz w:val="34"/>
                <w:szCs w:val="34"/>
              </w:rPr>
              <w:t xml:space="preserve">de la </w:t>
            </w:r>
            <w:r w:rsidRPr="008C298B">
              <w:rPr>
                <w:rFonts w:cstheme="minorHAnsi"/>
                <w:color w:val="000000"/>
                <w:sz w:val="34"/>
                <w:szCs w:val="34"/>
              </w:rPr>
              <w:t>Secrétaire général</w:t>
            </w:r>
            <w:r w:rsidR="00E95647" w:rsidRPr="008C298B">
              <w:rPr>
                <w:rFonts w:cstheme="minorHAnsi"/>
                <w:color w:val="000000"/>
                <w:sz w:val="34"/>
                <w:szCs w:val="34"/>
              </w:rPr>
              <w:t>e</w:t>
            </w:r>
          </w:p>
        </w:tc>
      </w:tr>
      <w:tr w:rsidR="00D72F49" w:rsidRPr="008C298B" w14:paraId="25F13C68" w14:textId="77777777" w:rsidTr="00D72F49">
        <w:trPr>
          <w:cantSplit/>
        </w:trPr>
        <w:tc>
          <w:tcPr>
            <w:tcW w:w="9214" w:type="dxa"/>
            <w:gridSpan w:val="2"/>
            <w:tcMar>
              <w:left w:w="0" w:type="dxa"/>
            </w:tcMar>
          </w:tcPr>
          <w:p w14:paraId="0A602828" w14:textId="1B59F8DB" w:rsidR="00D72F49" w:rsidRPr="008C298B" w:rsidRDefault="00FC6F07" w:rsidP="00D72F49">
            <w:pPr>
              <w:pStyle w:val="Subtitle"/>
              <w:framePr w:hSpace="0" w:wrap="auto" w:hAnchor="text" w:xAlign="left" w:yAlign="inline"/>
              <w:rPr>
                <w:sz w:val="32"/>
                <w:szCs w:val="32"/>
                <w:lang w:val="fr-FR"/>
              </w:rPr>
            </w:pPr>
            <w:r w:rsidRPr="008C298B">
              <w:rPr>
                <w:rFonts w:cstheme="minorHAnsi"/>
                <w:sz w:val="32"/>
                <w:szCs w:val="32"/>
                <w:lang w:val="fr-FR"/>
              </w:rPr>
              <w:t>ACTIVITÉS DE L'UIT RELATIVES À LA MISE EN</w:t>
            </w:r>
            <w:r w:rsidRPr="008C298B">
              <w:rPr>
                <w:lang w:val="fr-FR"/>
              </w:rPr>
              <w:t xml:space="preserve"> </w:t>
            </w:r>
            <w:r w:rsidRPr="008C298B">
              <w:rPr>
                <w:rFonts w:cstheme="minorHAnsi"/>
                <w:sz w:val="32"/>
                <w:szCs w:val="32"/>
                <w:lang w:val="fr-FR"/>
              </w:rPr>
              <w:t>ŒUVRE DE LA RÉSOLUTION 1429 DU CONSEIL</w:t>
            </w:r>
          </w:p>
        </w:tc>
      </w:tr>
      <w:tr w:rsidR="00D72F49" w:rsidRPr="008C298B" w14:paraId="3BE51F57" w14:textId="77777777" w:rsidTr="00D72F49">
        <w:trPr>
          <w:cantSplit/>
        </w:trPr>
        <w:tc>
          <w:tcPr>
            <w:tcW w:w="9214" w:type="dxa"/>
            <w:gridSpan w:val="2"/>
            <w:tcBorders>
              <w:top w:val="single" w:sz="4" w:space="0" w:color="auto"/>
              <w:bottom w:val="single" w:sz="4" w:space="0" w:color="auto"/>
            </w:tcBorders>
            <w:tcMar>
              <w:left w:w="0" w:type="dxa"/>
            </w:tcMar>
          </w:tcPr>
          <w:p w14:paraId="32A72C43" w14:textId="77777777" w:rsidR="00D72F49" w:rsidRPr="008C298B" w:rsidRDefault="00F37FE5" w:rsidP="00D72F49">
            <w:pPr>
              <w:spacing w:before="160"/>
              <w:rPr>
                <w:b/>
                <w:bCs/>
                <w:sz w:val="26"/>
                <w:szCs w:val="26"/>
              </w:rPr>
            </w:pPr>
            <w:r w:rsidRPr="008C298B">
              <w:rPr>
                <w:b/>
                <w:bCs/>
                <w:sz w:val="26"/>
                <w:szCs w:val="26"/>
              </w:rPr>
              <w:t>Objet</w:t>
            </w:r>
          </w:p>
          <w:p w14:paraId="5259CEF2" w14:textId="544F7C38" w:rsidR="00D72F49" w:rsidRPr="008C298B" w:rsidRDefault="00C34E65" w:rsidP="00D72F49">
            <w:r w:rsidRPr="008C298B">
              <w:t>Dans le présent rapport, le Conseil est informé des progrès accomplis dans la mise en œuvre de la Résolution 1429 (C25).</w:t>
            </w:r>
          </w:p>
          <w:p w14:paraId="5A64F420" w14:textId="77777777" w:rsidR="00D72F49" w:rsidRPr="008C298B" w:rsidRDefault="00D72F49" w:rsidP="00D72F49">
            <w:pPr>
              <w:spacing w:before="160"/>
              <w:rPr>
                <w:b/>
                <w:bCs/>
                <w:sz w:val="26"/>
                <w:szCs w:val="26"/>
              </w:rPr>
            </w:pPr>
            <w:r w:rsidRPr="008C298B">
              <w:rPr>
                <w:b/>
                <w:bCs/>
                <w:sz w:val="26"/>
                <w:szCs w:val="26"/>
              </w:rPr>
              <w:t>Suite à donner par le Conseil</w:t>
            </w:r>
          </w:p>
          <w:p w14:paraId="6DF66423" w14:textId="46CA2EEA" w:rsidR="00D72F49" w:rsidRPr="008C298B" w:rsidRDefault="00C34E65" w:rsidP="00D72F49">
            <w:r w:rsidRPr="008C298B">
              <w:t xml:space="preserve">Le Conseil est invité à </w:t>
            </w:r>
            <w:r w:rsidRPr="008C298B">
              <w:rPr>
                <w:b/>
                <w:bCs/>
              </w:rPr>
              <w:t>prendre note</w:t>
            </w:r>
            <w:r w:rsidRPr="008C298B">
              <w:t xml:space="preserve"> du rapport.</w:t>
            </w:r>
          </w:p>
          <w:p w14:paraId="206C7DDD" w14:textId="77777777" w:rsidR="00D72F49" w:rsidRPr="008C298B" w:rsidRDefault="00D72F49" w:rsidP="00D72F49">
            <w:pPr>
              <w:spacing w:before="160"/>
              <w:rPr>
                <w:b/>
                <w:bCs/>
                <w:sz w:val="26"/>
                <w:szCs w:val="26"/>
              </w:rPr>
            </w:pPr>
            <w:r w:rsidRPr="008C298B">
              <w:rPr>
                <w:b/>
                <w:bCs/>
                <w:sz w:val="26"/>
                <w:szCs w:val="26"/>
              </w:rPr>
              <w:t xml:space="preserve">Lien(s) pertinent(s) avec le </w:t>
            </w:r>
            <w:r w:rsidR="00F37FE5" w:rsidRPr="008C298B">
              <w:rPr>
                <w:b/>
                <w:bCs/>
                <w:sz w:val="26"/>
                <w:szCs w:val="26"/>
              </w:rPr>
              <w:t>p</w:t>
            </w:r>
            <w:r w:rsidRPr="008C298B">
              <w:rPr>
                <w:b/>
                <w:bCs/>
                <w:sz w:val="26"/>
                <w:szCs w:val="26"/>
              </w:rPr>
              <w:t>lan stratégique</w:t>
            </w:r>
          </w:p>
          <w:p w14:paraId="7D255788" w14:textId="4BAEBFE7" w:rsidR="00D72F49" w:rsidRPr="008C298B" w:rsidRDefault="00C34E65" w:rsidP="005E6590">
            <w:pPr>
              <w:jc w:val="both"/>
            </w:pPr>
            <w:r w:rsidRPr="008C298B">
              <w:t>Transformation numérique durable; engagement en faveur de la durabilité environnementale.</w:t>
            </w:r>
          </w:p>
          <w:p w14:paraId="1C9BEADA" w14:textId="77777777" w:rsidR="00E95647" w:rsidRPr="008C298B" w:rsidRDefault="00D72F49" w:rsidP="00D72F49">
            <w:pPr>
              <w:spacing w:before="160"/>
              <w:rPr>
                <w:b/>
                <w:bCs/>
                <w:sz w:val="26"/>
                <w:szCs w:val="26"/>
              </w:rPr>
            </w:pPr>
            <w:r w:rsidRPr="008C298B">
              <w:rPr>
                <w:b/>
                <w:bCs/>
                <w:sz w:val="26"/>
                <w:szCs w:val="26"/>
              </w:rPr>
              <w:t>Incidences financières</w:t>
            </w:r>
          </w:p>
          <w:p w14:paraId="248D7D25" w14:textId="4ABC669A" w:rsidR="00D72F49" w:rsidRPr="008C298B" w:rsidRDefault="00C34E65" w:rsidP="00882919">
            <w:pPr>
              <w:rPr>
                <w:szCs w:val="24"/>
              </w:rPr>
            </w:pPr>
            <w:r w:rsidRPr="008C298B">
              <w:rPr>
                <w:szCs w:val="24"/>
              </w:rPr>
              <w:t>Dans les limites du budget alloué pour 2024-2025.</w:t>
            </w:r>
          </w:p>
          <w:p w14:paraId="6306C703" w14:textId="77777777" w:rsidR="00D72F49" w:rsidRPr="008C298B" w:rsidRDefault="00D72F49" w:rsidP="00D72F49">
            <w:pPr>
              <w:spacing w:before="160"/>
              <w:rPr>
                <w:caps/>
                <w:sz w:val="22"/>
              </w:rPr>
            </w:pPr>
            <w:r w:rsidRPr="008C298B">
              <w:rPr>
                <w:sz w:val="22"/>
              </w:rPr>
              <w:t>__________________</w:t>
            </w:r>
          </w:p>
          <w:p w14:paraId="160D9E60" w14:textId="77777777" w:rsidR="00D72F49" w:rsidRPr="008C298B" w:rsidRDefault="00D72F49" w:rsidP="00D72F49">
            <w:pPr>
              <w:spacing w:before="160"/>
              <w:rPr>
                <w:b/>
                <w:bCs/>
                <w:sz w:val="26"/>
                <w:szCs w:val="26"/>
              </w:rPr>
            </w:pPr>
            <w:r w:rsidRPr="008C298B">
              <w:rPr>
                <w:b/>
                <w:bCs/>
                <w:sz w:val="26"/>
                <w:szCs w:val="26"/>
              </w:rPr>
              <w:t>Références</w:t>
            </w:r>
          </w:p>
          <w:p w14:paraId="23818C03" w14:textId="423BC919" w:rsidR="00D72F49" w:rsidRPr="00FC6F07" w:rsidRDefault="00C34E65" w:rsidP="00D72F49">
            <w:pPr>
              <w:spacing w:after="160"/>
              <w:rPr>
                <w:i/>
                <w:iCs/>
                <w:sz w:val="22"/>
                <w:szCs w:val="22"/>
              </w:rPr>
            </w:pPr>
            <w:hyperlink r:id="rId7" w:history="1">
              <w:r w:rsidRPr="00FC6F07">
                <w:rPr>
                  <w:rStyle w:val="Hyperlink"/>
                  <w:rFonts w:eastAsia="Times New Roman" w:cs="Times New Roman"/>
                  <w:i/>
                  <w:iCs/>
                  <w:sz w:val="22"/>
                </w:rPr>
                <w:t>Résolution 182</w:t>
              </w:r>
            </w:hyperlink>
            <w:r w:rsidRPr="00FC6F07">
              <w:rPr>
                <w:i/>
                <w:iCs/>
                <w:sz w:val="22"/>
                <w:szCs w:val="22"/>
              </w:rPr>
              <w:t xml:space="preserve"> (Rév. Bucarest, 2022) de la Conférence de plénipotentiaires; Résolutions </w:t>
            </w:r>
            <w:hyperlink r:id="rId8" w:history="1">
              <w:r w:rsidRPr="00FC6F07">
                <w:rPr>
                  <w:rStyle w:val="Hyperlink"/>
                  <w:rFonts w:eastAsia="Times New Roman" w:cs="Times New Roman"/>
                  <w:i/>
                  <w:iCs/>
                  <w:sz w:val="22"/>
                </w:rPr>
                <w:t>73</w:t>
              </w:r>
            </w:hyperlink>
            <w:r w:rsidRPr="00FC6F07">
              <w:rPr>
                <w:i/>
                <w:iCs/>
                <w:sz w:val="22"/>
                <w:szCs w:val="22"/>
              </w:rPr>
              <w:t xml:space="preserve"> et </w:t>
            </w:r>
            <w:hyperlink r:id="rId9" w:history="1">
              <w:r w:rsidRPr="00FC6F07">
                <w:rPr>
                  <w:rStyle w:val="Hyperlink"/>
                  <w:rFonts w:eastAsia="Times New Roman" w:cs="Times New Roman"/>
                  <w:i/>
                  <w:iCs/>
                  <w:sz w:val="22"/>
                </w:rPr>
                <w:t>106</w:t>
              </w:r>
            </w:hyperlink>
            <w:r w:rsidRPr="00FC6F07">
              <w:rPr>
                <w:i/>
                <w:iCs/>
                <w:sz w:val="22"/>
                <w:szCs w:val="22"/>
              </w:rPr>
              <w:t xml:space="preserve"> (Rév. New Delhi, 2024) de l</w:t>
            </w:r>
            <w:r w:rsidR="00A2335D" w:rsidRPr="00FC6F07">
              <w:rPr>
                <w:i/>
                <w:iCs/>
                <w:sz w:val="22"/>
                <w:szCs w:val="22"/>
              </w:rPr>
              <w:t>'</w:t>
            </w:r>
            <w:r w:rsidRPr="00FC6F07">
              <w:rPr>
                <w:i/>
                <w:iCs/>
                <w:sz w:val="22"/>
                <w:szCs w:val="22"/>
              </w:rPr>
              <w:t xml:space="preserve">Assemblée mondiale de normalisation des télécommunications; </w:t>
            </w:r>
            <w:r w:rsidR="00FC6F07">
              <w:rPr>
                <w:i/>
                <w:iCs/>
                <w:sz w:val="22"/>
                <w:szCs w:val="22"/>
              </w:rPr>
              <w:br/>
            </w:r>
            <w:hyperlink r:id="rId10" w:history="1">
              <w:r w:rsidRPr="00FC6F07">
                <w:rPr>
                  <w:rStyle w:val="Hyperlink"/>
                  <w:rFonts w:eastAsia="Times New Roman" w:cs="Times New Roman"/>
                  <w:i/>
                  <w:iCs/>
                  <w:sz w:val="22"/>
                </w:rPr>
                <w:t>Résolution 1429</w:t>
              </w:r>
            </w:hyperlink>
            <w:r w:rsidRPr="00FC6F07">
              <w:rPr>
                <w:i/>
                <w:iCs/>
                <w:sz w:val="22"/>
                <w:szCs w:val="22"/>
              </w:rPr>
              <w:t xml:space="preserve"> (Genève, 2024) du Conseil.</w:t>
            </w:r>
          </w:p>
        </w:tc>
      </w:tr>
    </w:tbl>
    <w:p w14:paraId="185673BD" w14:textId="77777777" w:rsidR="00A51849" w:rsidRPr="008C298B" w:rsidRDefault="00A51849">
      <w:pPr>
        <w:tabs>
          <w:tab w:val="clear" w:pos="567"/>
          <w:tab w:val="clear" w:pos="1134"/>
          <w:tab w:val="clear" w:pos="1701"/>
          <w:tab w:val="clear" w:pos="2268"/>
          <w:tab w:val="clear" w:pos="2835"/>
        </w:tabs>
        <w:overflowPunct/>
        <w:autoSpaceDE/>
        <w:autoSpaceDN/>
        <w:adjustRightInd/>
        <w:spacing w:before="0"/>
        <w:textAlignment w:val="auto"/>
      </w:pPr>
      <w:r w:rsidRPr="008C298B">
        <w:br w:type="page"/>
      </w:r>
    </w:p>
    <w:p w14:paraId="28191A4C" w14:textId="24AD85A6" w:rsidR="00C34E65" w:rsidRPr="008C298B" w:rsidRDefault="00C34E65" w:rsidP="005E6590">
      <w:pPr>
        <w:jc w:val="both"/>
        <w:rPr>
          <w:i/>
          <w:iCs/>
        </w:rPr>
      </w:pPr>
      <w:r w:rsidRPr="008C298B">
        <w:rPr>
          <w:i/>
          <w:iCs/>
        </w:rPr>
        <w:lastRenderedPageBreak/>
        <w:t>Ce document vient compléter l</w:t>
      </w:r>
      <w:r w:rsidR="00A2335D" w:rsidRPr="008C298B">
        <w:rPr>
          <w:i/>
          <w:iCs/>
        </w:rPr>
        <w:t>'</w:t>
      </w:r>
      <w:r w:rsidRPr="008C298B">
        <w:rPr>
          <w:i/>
          <w:iCs/>
        </w:rPr>
        <w:t xml:space="preserve">action en faveur du climat et les activités relatives à la transformation numérique écologiquement durable exposées dans le </w:t>
      </w:r>
      <w:hyperlink r:id="rId11" w:history="1">
        <w:r w:rsidRPr="008C298B">
          <w:rPr>
            <w:rStyle w:val="Hyperlink"/>
            <w:rFonts w:eastAsia="Times New Roman" w:cs="Times New Roman"/>
            <w:i/>
            <w:iCs/>
            <w:szCs w:val="20"/>
          </w:rPr>
          <w:t>Document C25/35</w:t>
        </w:r>
      </w:hyperlink>
      <w:r w:rsidRPr="008C298B">
        <w:rPr>
          <w:i/>
          <w:iCs/>
        </w:rPr>
        <w:t>.</w:t>
      </w:r>
    </w:p>
    <w:p w14:paraId="6612A3AF" w14:textId="77777777" w:rsidR="00C34E65" w:rsidRPr="008C298B" w:rsidRDefault="00C34E65" w:rsidP="005E6590">
      <w:pPr>
        <w:jc w:val="both"/>
      </w:pPr>
      <w:r w:rsidRPr="008C298B">
        <w:t>L'UIT est à l'avant-garde d'initiatives mondiales visant à améliorer l'efficacité environnementale, à promouvoir les économies numériques circulaires, à réduire le volume de déchets d'équipements électriques et électroniques (DEEE) et les émissions de gaz à effet de serre (GES), et à placer le secteur des TIC au premier plan de l'action en faveur du climat et de l'environnement.</w:t>
      </w:r>
    </w:p>
    <w:p w14:paraId="741E54C0" w14:textId="77777777" w:rsidR="00C34E65" w:rsidRPr="008C298B" w:rsidRDefault="00C34E65" w:rsidP="00132327">
      <w:pPr>
        <w:pStyle w:val="Headingb"/>
        <w:tabs>
          <w:tab w:val="clear" w:pos="567"/>
        </w:tabs>
        <w:ind w:left="0" w:firstLine="0"/>
      </w:pPr>
      <w:r w:rsidRPr="008C298B">
        <w:t>Processus de contribution à la Convention cadre des Nations Unies sur les changements climatiques et aux autres plates-formes internationales</w:t>
      </w:r>
    </w:p>
    <w:p w14:paraId="4AA64455" w14:textId="7B47DB21" w:rsidR="00C34E65" w:rsidRPr="008C298B" w:rsidRDefault="00C34E65" w:rsidP="005E6590">
      <w:pPr>
        <w:jc w:val="both"/>
      </w:pPr>
      <w:r w:rsidRPr="008C298B">
        <w:t>Un jalon important a été atteint lors de la 29ème réunion de la Conférence des Parties (COP29) à la Convention-cadre des Nations Unies sur les changements climatiques (CCNUCC). La présidence azerbaïdjanaise de la COP29 a adopté l</w:t>
      </w:r>
      <w:r w:rsidR="00A2335D" w:rsidRPr="008C298B">
        <w:t>'</w:t>
      </w:r>
      <w:r w:rsidRPr="008C298B">
        <w:t>"Action du secteur du numérique pour l'environnement", qui constitue l</w:t>
      </w:r>
      <w:r w:rsidR="00A2335D" w:rsidRPr="008C298B">
        <w:t>'</w:t>
      </w:r>
      <w:r w:rsidRPr="008C298B">
        <w:t>une des 14 initiatives mondiales incluses dans son programme d</w:t>
      </w:r>
      <w:r w:rsidR="00A2335D" w:rsidRPr="008C298B">
        <w:t>'</w:t>
      </w:r>
      <w:r w:rsidRPr="008C298B">
        <w:t>action. Pour la première fois, une Journée du développement du numérique a été annoncée lors d</w:t>
      </w:r>
      <w:r w:rsidR="00A2335D" w:rsidRPr="008C298B">
        <w:t>'</w:t>
      </w:r>
      <w:r w:rsidRPr="008C298B">
        <w:t>une conférence sur le climat. C</w:t>
      </w:r>
      <w:r w:rsidR="00A2335D" w:rsidRPr="008C298B">
        <w:t>'</w:t>
      </w:r>
      <w:r w:rsidRPr="008C298B">
        <w:t>est une façon de reconnaître officiellement le rôle essentiel des technologies numériques dans l'action climatique, tant pour réduire les incidences du secteur que pour faire progresser l</w:t>
      </w:r>
      <w:r w:rsidR="00A2335D" w:rsidRPr="008C298B">
        <w:t>'</w:t>
      </w:r>
      <w:r w:rsidRPr="008C298B">
        <w:t>inclusion numérique.</w:t>
      </w:r>
    </w:p>
    <w:p w14:paraId="67985103" w14:textId="4B4F636B" w:rsidR="00C34E65" w:rsidRPr="008C298B" w:rsidRDefault="00C34E65" w:rsidP="005E6590">
      <w:pPr>
        <w:jc w:val="both"/>
      </w:pPr>
      <w:r w:rsidRPr="008C298B">
        <w:t>Lors de la Journée du développement du numérique, qui s</w:t>
      </w:r>
      <w:r w:rsidR="00A2335D" w:rsidRPr="008C298B">
        <w:t>'</w:t>
      </w:r>
      <w:r w:rsidRPr="008C298B">
        <w:t>est déroulée le 16 novembre 2024, des ministres, des dirigeants du secteur privé et des décideurs se sont réunis lors d'une table ronde de haut niveau afin d'étudier comment tirer parti des technologies numériques pour relever les défis liés au climat et améliorer la préparation et les interventions en cas d</w:t>
      </w:r>
      <w:r w:rsidR="00A2335D" w:rsidRPr="008C298B">
        <w:t>'</w:t>
      </w:r>
      <w:r w:rsidRPr="008C298B">
        <w:t>urgence.</w:t>
      </w:r>
    </w:p>
    <w:p w14:paraId="5968BBA7" w14:textId="239AE6D6" w:rsidR="00C34E65" w:rsidRPr="008C298B" w:rsidRDefault="00C34E65" w:rsidP="005E6590">
      <w:pPr>
        <w:jc w:val="both"/>
      </w:pPr>
      <w:r w:rsidRPr="008C298B">
        <w:t xml:space="preserve">À l'issue de cette journée, les gouvernements, les organisations du secteur privé et les entreprises technologiques ont approuvé la première </w:t>
      </w:r>
      <w:r w:rsidRPr="008C298B">
        <w:rPr>
          <w:rStyle w:val="Hyperlink"/>
          <w:rFonts w:eastAsia="Times New Roman" w:cs="Times New Roman"/>
          <w:szCs w:val="20"/>
        </w:rPr>
        <w:t>D</w:t>
      </w:r>
      <w:hyperlink r:id="rId12" w:anchor="/fr" w:history="1">
        <w:r w:rsidRPr="008C298B">
          <w:rPr>
            <w:rStyle w:val="Hyperlink"/>
            <w:rFonts w:eastAsia="Times New Roman" w:cs="Times New Roman"/>
            <w:szCs w:val="20"/>
          </w:rPr>
          <w:t>éclaration de la COP29 sur l'Action du secteur du numérique pour l'environnement</w:t>
        </w:r>
      </w:hyperlink>
      <w:r w:rsidRPr="008C298B">
        <w:t>. Cette Déclaration constitue un appel à une collaboration sectorielle pour améliorer la surveillance du climat, accélérer le processus de réduction des émissions et renforcer un accès inclusif au numérique, en particulier dans les pays en développement.</w:t>
      </w:r>
    </w:p>
    <w:p w14:paraId="21F3CE29" w14:textId="596FC359" w:rsidR="00C34E65" w:rsidRPr="008C298B" w:rsidRDefault="00C34E65" w:rsidP="005E6590">
      <w:pPr>
        <w:jc w:val="both"/>
      </w:pPr>
      <w:r w:rsidRPr="008C298B">
        <w:t>La Déclaration s</w:t>
      </w:r>
      <w:r w:rsidR="00A2335D" w:rsidRPr="008C298B">
        <w:t>'</w:t>
      </w:r>
      <w:r w:rsidRPr="008C298B">
        <w:t>articule autour de huit objectifs communs:</w:t>
      </w:r>
    </w:p>
    <w:p w14:paraId="2138C23A" w14:textId="08966401" w:rsidR="00C34E65" w:rsidRPr="008C298B" w:rsidRDefault="00C34E65" w:rsidP="005E6590">
      <w:pPr>
        <w:pStyle w:val="enumlev1"/>
        <w:jc w:val="both"/>
      </w:pPr>
      <w:r w:rsidRPr="008C298B">
        <w:t>1)</w:t>
      </w:r>
      <w:r w:rsidRPr="008C298B">
        <w:tab/>
        <w:t>Tirer parti des technologies numériques pour mettre en œuvre des mesures exhaustives à l'échelle mondiale en matière d'émissions de GES, d'efficacité énergétique, de surveillance du climat et de prévisions climatiques, et renforcer les capacités d'intervention en cas d'urgence et la préparation aux situations d'urgence.</w:t>
      </w:r>
    </w:p>
    <w:p w14:paraId="198001EA" w14:textId="0C87400D" w:rsidR="00C34E65" w:rsidRPr="008C298B" w:rsidRDefault="00C34E65" w:rsidP="005E6590">
      <w:pPr>
        <w:pStyle w:val="enumlev1"/>
        <w:jc w:val="both"/>
      </w:pPr>
      <w:r w:rsidRPr="008C298B">
        <w:t>2)</w:t>
      </w:r>
      <w:r w:rsidRPr="008C298B">
        <w:tab/>
        <w:t>Bâtir une infrastructure numérique résiliente face aux incidences des changements climatiques.</w:t>
      </w:r>
    </w:p>
    <w:p w14:paraId="5ED6357D" w14:textId="3BB0E35A" w:rsidR="00C34E65" w:rsidRPr="008C298B" w:rsidRDefault="00C34E65" w:rsidP="005E6590">
      <w:pPr>
        <w:pStyle w:val="enumlev1"/>
        <w:jc w:val="both"/>
      </w:pPr>
      <w:r w:rsidRPr="008C298B">
        <w:t>3)</w:t>
      </w:r>
      <w:r w:rsidRPr="008C298B">
        <w:tab/>
        <w:t>Réduire les incidences des technologies numériques sur le climat et faciliter la réduction des émissions afin d'atteindre la neutralité carbone en alimentant l'infrastructure numérique à l'aide d'une énergie propre, et mettre au point des méthodes de mesure et de surveillance des incidences des technologies sur le climat, tout en diminuant autant que faire se peut l'intensité d'utilisation des ressources et en s'attachant à résoudre les problèmes liés aux déchets électriques et électroniques.</w:t>
      </w:r>
    </w:p>
    <w:p w14:paraId="5ACEE130" w14:textId="0C0EC91E" w:rsidR="00C34E65" w:rsidRPr="008C298B" w:rsidRDefault="00C34E65" w:rsidP="005E6590">
      <w:pPr>
        <w:pStyle w:val="enumlev1"/>
        <w:jc w:val="both"/>
      </w:pPr>
      <w:r w:rsidRPr="008C298B">
        <w:t>4)</w:t>
      </w:r>
      <w:r w:rsidRPr="008C298B">
        <w:tab/>
        <w:t>Rendre les technologies numériques de lutte contre les changements climatiques accessibles aux pays en développement, tout en contribuant à améliorer les compétences numériques des personnes, en particulier des jeunes et des femmes.</w:t>
      </w:r>
    </w:p>
    <w:p w14:paraId="4DA1D40A" w14:textId="2E463A13" w:rsidR="00C34E65" w:rsidRPr="008C298B" w:rsidRDefault="00C34E65" w:rsidP="005E6590">
      <w:pPr>
        <w:pStyle w:val="enumlev1"/>
        <w:jc w:val="both"/>
      </w:pPr>
      <w:r w:rsidRPr="008C298B">
        <w:lastRenderedPageBreak/>
        <w:t>5)</w:t>
      </w:r>
      <w:r w:rsidRPr="008C298B">
        <w:tab/>
        <w:t>Utiliser des données pour comprendre pleinement les incidences des solutions numériques respectueuses de l'environnement et contrôler le respect de la réglementation.</w:t>
      </w:r>
    </w:p>
    <w:p w14:paraId="54506929" w14:textId="572EAAE4" w:rsidR="00C34E65" w:rsidRPr="008C298B" w:rsidRDefault="00C34E65" w:rsidP="005E6590">
      <w:pPr>
        <w:pStyle w:val="enumlev1"/>
        <w:jc w:val="both"/>
      </w:pPr>
      <w:r w:rsidRPr="008C298B">
        <w:t>6)</w:t>
      </w:r>
      <w:r w:rsidRPr="008C298B">
        <w:tab/>
        <w:t>Encourager, compte dûment tenu des droits de propriété intellectuelle, l'innovation durable en mobilisant les fonds pour le climat existants, en investissant dans l'innovation et la recherche-développement, et en utilisant des technologies numériques durables sur le plan environnemental et des infrastructures résilientes.</w:t>
      </w:r>
    </w:p>
    <w:p w14:paraId="2BDF2875" w14:textId="345ECB50" w:rsidR="00C34E65" w:rsidRPr="008C298B" w:rsidRDefault="00C34E65" w:rsidP="005E6590">
      <w:pPr>
        <w:pStyle w:val="enumlev1"/>
        <w:jc w:val="both"/>
      </w:pPr>
      <w:r w:rsidRPr="008C298B">
        <w:t>7)</w:t>
      </w:r>
      <w:r w:rsidRPr="008C298B">
        <w:tab/>
        <w:t>Promouvoir des pratiques de consommation durables.</w:t>
      </w:r>
    </w:p>
    <w:p w14:paraId="2B1FCCD3" w14:textId="33AA97C7" w:rsidR="00C34E65" w:rsidRPr="008C298B" w:rsidRDefault="00C34E65" w:rsidP="005E6590">
      <w:pPr>
        <w:pStyle w:val="enumlev1"/>
        <w:jc w:val="both"/>
      </w:pPr>
      <w:r w:rsidRPr="008C298B">
        <w:t>8)</w:t>
      </w:r>
      <w:r w:rsidRPr="008C298B">
        <w:tab/>
        <w:t>Partager des bonnes pratiques en matière de politiques et de technologies numériques pour réduire les émissions de GES et renforcer l'adaptation et la résilience.</w:t>
      </w:r>
    </w:p>
    <w:p w14:paraId="7E017697" w14:textId="293282B9" w:rsidR="00C34E65" w:rsidRPr="008C298B" w:rsidRDefault="00C34E65" w:rsidP="005E6590">
      <w:pPr>
        <w:jc w:val="both"/>
      </w:pPr>
      <w:r w:rsidRPr="008C298B">
        <w:t>Plus de 30 séances ont été organisées par l</w:t>
      </w:r>
      <w:r w:rsidR="00A2335D" w:rsidRPr="008C298B">
        <w:t>'</w:t>
      </w:r>
      <w:r w:rsidRPr="008C298B">
        <w:t>UIT et ses partenaires dans le cadre du volet "Action du secteur du numérique pour l'environnement" à la COP29. Avec l</w:t>
      </w:r>
      <w:r w:rsidR="00A2335D" w:rsidRPr="008C298B">
        <w:t>'</w:t>
      </w:r>
      <w:r w:rsidRPr="008C298B">
        <w:t>appui du Ministère japonais de l'intérieur et des communications, l</w:t>
      </w:r>
      <w:r w:rsidR="00A2335D" w:rsidRPr="008C298B">
        <w:t>'</w:t>
      </w:r>
      <w:r w:rsidRPr="008C298B">
        <w:t>UIT a également participé aux activités du pavillon sur les normes, afin de mieux faire connaître le rôle des normes internationales.</w:t>
      </w:r>
    </w:p>
    <w:p w14:paraId="192F8B0D" w14:textId="0D70BCE3" w:rsidR="00C34E65" w:rsidRPr="008C298B" w:rsidRDefault="00C34E65" w:rsidP="005E6590">
      <w:pPr>
        <w:jc w:val="both"/>
      </w:pPr>
      <w:r w:rsidRPr="008C298B">
        <w:t>Le secrétariat de l</w:t>
      </w:r>
      <w:r w:rsidR="00A2335D" w:rsidRPr="008C298B">
        <w:t>'</w:t>
      </w:r>
      <w:r w:rsidRPr="008C298B">
        <w:t>UIT collabore avec la présidence brésilienne de la COP30 pour entretenir cette dynamique et donner aux technologies et aux services numériques un rôle plus prépondérant dans le programme en faveur du climat. Le Sommet sur l</w:t>
      </w:r>
      <w:r w:rsidR="00A2335D" w:rsidRPr="008C298B">
        <w:t>'</w:t>
      </w:r>
      <w:r w:rsidRPr="008C298B">
        <w:t>Action du secteur du numérique pour l'environnement, organisé conjointement par l</w:t>
      </w:r>
      <w:r w:rsidR="00A2335D" w:rsidRPr="008C298B">
        <w:t>'</w:t>
      </w:r>
      <w:r w:rsidRPr="008C298B">
        <w:t>UIT et l</w:t>
      </w:r>
      <w:r w:rsidR="00A2335D" w:rsidRPr="008C298B">
        <w:t>'</w:t>
      </w:r>
      <w:r w:rsidRPr="008C298B">
        <w:t>Agence allemande pour l</w:t>
      </w:r>
      <w:r w:rsidR="00A2335D" w:rsidRPr="008C298B">
        <w:t>'</w:t>
      </w:r>
      <w:r w:rsidRPr="008C298B">
        <w:t>environnement (UBA) le 23 mai 2025 à Berlin, permettra de mesurer les progrès accomplis à la mi-parcours grâce aux efforts déployés et de préparer le terrain pour les mois à venir.</w:t>
      </w:r>
    </w:p>
    <w:p w14:paraId="4FF61F81" w14:textId="4CFBB82A" w:rsidR="00C34E65" w:rsidRPr="008C298B" w:rsidRDefault="00C34E65" w:rsidP="005E6590">
      <w:pPr>
        <w:jc w:val="both"/>
      </w:pPr>
      <w:r w:rsidRPr="008C298B">
        <w:t>Après la COP29, l</w:t>
      </w:r>
      <w:r w:rsidR="00A2335D" w:rsidRPr="008C298B">
        <w:t>'</w:t>
      </w:r>
      <w:r w:rsidRPr="008C298B">
        <w:t>UIT a fait la promotion du programme du secteur du numérique pour l'environnement à travers de grandes plates-formes internationales, notamment la Semaine du climat à New York, le Sommet sur l'intelligence artificielle (IA) au service du bien social, le Forum du SMSI, le Colloque mondial des régulateurs de l'UIT, le Colloque sur les indicateurs des télécommunications/TIC dans le monde, le Colloque UIT-ETSI sur la durabilité des TIC: les normes, moteur de l'innovation dans le domaine de l'environnement et le Colloque IEEE/UIT sur le thème "Parvenir à la résilience climatique". Les contributions de l</w:t>
      </w:r>
      <w:r w:rsidR="00A2335D" w:rsidRPr="008C298B">
        <w:t>'</w:t>
      </w:r>
      <w:r w:rsidRPr="008C298B">
        <w:t>UIT portaient notamment sur l</w:t>
      </w:r>
      <w:r w:rsidR="00A2335D" w:rsidRPr="008C298B">
        <w:t>'</w:t>
      </w:r>
      <w:r w:rsidRPr="008C298B">
        <w:t>efficacité environnementale, la durabilité des infrastructures numériques, les normes internationales, la communication et la transparence des données, les incidences environnementales de l</w:t>
      </w:r>
      <w:r w:rsidR="00A2335D" w:rsidRPr="008C298B">
        <w:t>'</w:t>
      </w:r>
      <w:r w:rsidRPr="008C298B">
        <w:t>IA et le rôle de cette technologie dans l</w:t>
      </w:r>
      <w:r w:rsidR="00A2335D" w:rsidRPr="008C298B">
        <w:t>'</w:t>
      </w:r>
      <w:r w:rsidRPr="008C298B">
        <w:t>action pour l'environnement et la réduction des émissions de GES dans le secteur des TIC, et le renforcement du rôle de l</w:t>
      </w:r>
      <w:r w:rsidR="00A2335D" w:rsidRPr="008C298B">
        <w:t>'</w:t>
      </w:r>
      <w:r w:rsidRPr="008C298B">
        <w:t>UIT en matière de durabilité environnementale et de résilience aux changements climatiques.</w:t>
      </w:r>
    </w:p>
    <w:p w14:paraId="30237107" w14:textId="77777777" w:rsidR="00C34E65" w:rsidRPr="008C298B" w:rsidRDefault="00C34E65" w:rsidP="005E6590">
      <w:pPr>
        <w:pStyle w:val="Headingb"/>
        <w:tabs>
          <w:tab w:val="clear" w:pos="567"/>
        </w:tabs>
        <w:ind w:left="0" w:firstLine="0"/>
        <w:jc w:val="both"/>
      </w:pPr>
      <w:r w:rsidRPr="008C298B">
        <w:t>Contribution des TIC à la lutte contre les changements climatiques et à la transformation numérique respectueuse de l'environnement</w:t>
      </w:r>
    </w:p>
    <w:p w14:paraId="5AB3F93A" w14:textId="3DC91E28" w:rsidR="00C34E65" w:rsidRPr="008C298B" w:rsidRDefault="00C34E65" w:rsidP="005E6590">
      <w:pPr>
        <w:jc w:val="both"/>
      </w:pPr>
      <w:r w:rsidRPr="008C298B">
        <w:t>L</w:t>
      </w:r>
      <w:r w:rsidR="00A2335D" w:rsidRPr="008C298B">
        <w:t>'</w:t>
      </w:r>
      <w:r w:rsidRPr="008C298B">
        <w:t>UIT continue d</w:t>
      </w:r>
      <w:r w:rsidR="00A2335D" w:rsidRPr="008C298B">
        <w:t>'</w:t>
      </w:r>
      <w:r w:rsidRPr="008C298B">
        <w:t>approfondir son analyse du rôle des TIC dans l</w:t>
      </w:r>
      <w:r w:rsidR="00A2335D" w:rsidRPr="008C298B">
        <w:t>'</w:t>
      </w:r>
      <w:r w:rsidRPr="008C298B">
        <w:t>efficacité et la bonne gestion sur le plan environnemental. L'</w:t>
      </w:r>
      <w:hyperlink r:id="rId13" w:history="1">
        <w:r w:rsidRPr="008C298B">
          <w:rPr>
            <w:rStyle w:val="Hyperlink"/>
            <w:rFonts w:eastAsia="Times New Roman" w:cs="Times New Roman"/>
            <w:szCs w:val="20"/>
          </w:rPr>
          <w:t>édition 2024 du rapport "Greening Digital Companies"</w:t>
        </w:r>
      </w:hyperlink>
      <w:r w:rsidRPr="008C298B">
        <w:t>, élaboré en collaboration avec la World Benchmarking Alliance, a évalué les émissions de GES et la consommation d</w:t>
      </w:r>
      <w:r w:rsidR="00A2335D" w:rsidRPr="008C298B">
        <w:t>'</w:t>
      </w:r>
      <w:r w:rsidRPr="008C298B">
        <w:t>énergie de 200 entreprises du numérique, en mettant l</w:t>
      </w:r>
      <w:r w:rsidR="00A2335D" w:rsidRPr="008C298B">
        <w:t>'</w:t>
      </w:r>
      <w:r w:rsidRPr="008C298B">
        <w:t xml:space="preserve">accent sur les émissions de niveau 3 et sur l'augmentation de l'empreinte carbone provoquée par l'IA. Le </w:t>
      </w:r>
      <w:hyperlink r:id="rId14" w:history="1">
        <w:r w:rsidRPr="008C298B">
          <w:rPr>
            <w:rStyle w:val="Hyperlink"/>
            <w:rFonts w:eastAsia="Times New Roman" w:cs="Times New Roman"/>
            <w:szCs w:val="20"/>
          </w:rPr>
          <w:t>Tableau de bord du verdissement du numérique</w:t>
        </w:r>
      </w:hyperlink>
      <w:r w:rsidRPr="008C298B">
        <w:t>, présenté à la COP29, permet de surveiller les incidences du secteur des TIC sur le climat.</w:t>
      </w:r>
    </w:p>
    <w:p w14:paraId="456CFE30" w14:textId="512CBCF3" w:rsidR="00C34E65" w:rsidRPr="008C298B" w:rsidRDefault="00C34E65" w:rsidP="005E6590">
      <w:pPr>
        <w:jc w:val="both"/>
      </w:pPr>
      <w:r w:rsidRPr="008C298B">
        <w:lastRenderedPageBreak/>
        <w:t>L'UIT a collaboré avec la Banque mondiale pour élaborer le rapport intitulé "</w:t>
      </w:r>
      <w:hyperlink r:id="rId15" w:history="1">
        <w:r w:rsidRPr="008C298B">
          <w:rPr>
            <w:rStyle w:val="Hyperlink"/>
            <w:rFonts w:eastAsia="Times New Roman" w:cs="Times New Roman"/>
            <w:szCs w:val="20"/>
          </w:rPr>
          <w:t>Measuring the Emissions and Energy Footprint of the ICT Sector</w:t>
        </w:r>
      </w:hyperlink>
      <w:r w:rsidRPr="008C298B">
        <w:t>" (Mesure des émissions et de l'empreinte énergétique du secteur des TIC), qui rassemble les données sur les émissions de GES dans les 30 pays aux niveaux d'émission les plus élevés, ainsi que des études de cas sur les approches réglementaires. Une enquête mondiale menée dans 77 pays a mis en évidence des lacunes dans les prescriptions réglementaires et a révélé un vif intérêt à l'égard d'un groupe de travail de l</w:t>
      </w:r>
      <w:r w:rsidR="00A2335D" w:rsidRPr="008C298B">
        <w:t>'</w:t>
      </w:r>
      <w:r w:rsidRPr="008C298B">
        <w:t>UIT chargé de la surveillance des émissions de GES et de l</w:t>
      </w:r>
      <w:r w:rsidR="00A2335D" w:rsidRPr="008C298B">
        <w:t>'</w:t>
      </w:r>
      <w:r w:rsidRPr="008C298B">
        <w:t>élaboration d</w:t>
      </w:r>
      <w:r w:rsidR="00A2335D" w:rsidRPr="008C298B">
        <w:t>'</w:t>
      </w:r>
      <w:r w:rsidRPr="008C298B">
        <w:t>indicateurs pour les TIC. En réponse à cet intérêt, un "sous-groupe consacré aux indicateurs nationaux de surveillance des émissions de gaz à effet de serre", placé sous la direction de l</w:t>
      </w:r>
      <w:r w:rsidR="00A2335D" w:rsidRPr="008C298B">
        <w:t>'</w:t>
      </w:r>
      <w:r w:rsidRPr="008C298B">
        <w:t>ARCEP, a été créé au sein du Groupe d</w:t>
      </w:r>
      <w:r w:rsidR="00A2335D" w:rsidRPr="008C298B">
        <w:t>'</w:t>
      </w:r>
      <w:r w:rsidRPr="008C298B">
        <w:t>experts de l</w:t>
      </w:r>
      <w:r w:rsidR="00A2335D" w:rsidRPr="008C298B">
        <w:t>'</w:t>
      </w:r>
      <w:r w:rsidRPr="008C298B">
        <w:t>UIT-D sur les indicateurs des télécommunications/TIC (EGTI) afin d</w:t>
      </w:r>
      <w:r w:rsidR="00A2335D" w:rsidRPr="008C298B">
        <w:t>'</w:t>
      </w:r>
      <w:r w:rsidRPr="008C298B">
        <w:t>harmoniser les indicateurs mesurant les incidences environnementales du secteur des TIC au niveau national.</w:t>
      </w:r>
    </w:p>
    <w:p w14:paraId="0160424C" w14:textId="7AEFAEC3" w:rsidR="00C34E65" w:rsidRPr="008C298B" w:rsidRDefault="00C34E65" w:rsidP="005E6590">
      <w:pPr>
        <w:jc w:val="both"/>
      </w:pPr>
      <w:r w:rsidRPr="008C298B">
        <w:t>La poursuite de la collaboration entre la Banque mondiale et l</w:t>
      </w:r>
      <w:r w:rsidR="00A2335D" w:rsidRPr="008C298B">
        <w:t>'</w:t>
      </w:r>
      <w:r w:rsidRPr="008C298B">
        <w:t>ARCEP a abouti à une étude de cas sur les bonnes pratiques visant à aider les pays à recueillir et à communiquer des données environnementales dans le secteur des TIC. Le BDT aide les pays à harmoniser la collecte de données sur les émissions de GES et la consommation d</w:t>
      </w:r>
      <w:r w:rsidR="00A2335D" w:rsidRPr="008C298B">
        <w:t>'</w:t>
      </w:r>
      <w:r w:rsidRPr="008C298B">
        <w:t>énergie dans le secteur des TIC, notamment dans le cadre d</w:t>
      </w:r>
      <w:r w:rsidR="00A2335D" w:rsidRPr="008C298B">
        <w:t>'</w:t>
      </w:r>
      <w:r w:rsidRPr="008C298B">
        <w:t>un nouveau projet soutenu par le Ministère des sciences et des TIC du Gouvernement de la République de Corée.</w:t>
      </w:r>
    </w:p>
    <w:p w14:paraId="64DBFC54" w14:textId="09D706DE" w:rsidR="00C34E65" w:rsidRPr="008C298B" w:rsidRDefault="00C34E65" w:rsidP="005E6590">
      <w:pPr>
        <w:jc w:val="both"/>
      </w:pPr>
      <w:r w:rsidRPr="008C298B">
        <w:t>En 2024, l</w:t>
      </w:r>
      <w:r w:rsidR="00A2335D" w:rsidRPr="008C298B">
        <w:t>'</w:t>
      </w:r>
      <w:r w:rsidRPr="008C298B">
        <w:t>UIT a interrogé les coordonnateurs chargés des statistiques dans les États</w:t>
      </w:r>
      <w:r w:rsidR="00A2335D" w:rsidRPr="008C298B">
        <w:t> </w:t>
      </w:r>
      <w:r w:rsidRPr="008C298B">
        <w:t>Membres, afin de comprendre les efforts et les plans mis en œuvre au niveau national pour surveiller les émissions et la consommation d</w:t>
      </w:r>
      <w:r w:rsidR="00A2335D" w:rsidRPr="008C298B">
        <w:t>'</w:t>
      </w:r>
      <w:r w:rsidRPr="008C298B">
        <w:t>énergie dans le secteur des TIC.</w:t>
      </w:r>
    </w:p>
    <w:p w14:paraId="666C0E7D" w14:textId="5FCF64EC" w:rsidR="00C34E65" w:rsidRPr="008C298B" w:rsidRDefault="00C34E65" w:rsidP="005E6590">
      <w:pPr>
        <w:jc w:val="both"/>
      </w:pPr>
      <w:r w:rsidRPr="008C298B">
        <w:t>En outre, l</w:t>
      </w:r>
      <w:r w:rsidR="00A2335D" w:rsidRPr="008C298B">
        <w:t>'</w:t>
      </w:r>
      <w:r w:rsidRPr="008C298B">
        <w:t>UIT continue d</w:t>
      </w:r>
      <w:r w:rsidR="00A2335D" w:rsidRPr="008C298B">
        <w:t>'</w:t>
      </w:r>
      <w:r w:rsidRPr="008C298B">
        <w:t>élaborer, de promouvoir et de mettre en œuvre des normes internationales propres à renforcer la contribution des TIC à la lutte contre les changements climatiques et l</w:t>
      </w:r>
      <w:r w:rsidR="00A2335D" w:rsidRPr="008C298B">
        <w:t>'</w:t>
      </w:r>
      <w:r w:rsidRPr="008C298B">
        <w:t>action en faveur de l</w:t>
      </w:r>
      <w:r w:rsidR="00A2335D" w:rsidRPr="008C298B">
        <w:t>'</w:t>
      </w:r>
      <w:r w:rsidRPr="008C298B">
        <w:t>environnement. En 2024, la Commission d</w:t>
      </w:r>
      <w:r w:rsidR="00A2335D" w:rsidRPr="008C298B">
        <w:t>'</w:t>
      </w:r>
      <w:r w:rsidRPr="008C298B">
        <w:t>études 5 de l</w:t>
      </w:r>
      <w:r w:rsidR="00A2335D" w:rsidRPr="008C298B">
        <w:t>'</w:t>
      </w:r>
      <w:r w:rsidRPr="008C298B">
        <w:t>UIT-T (Environnement, champs électromagnétiques, action pour le climat et économie circulaire) a approuvé des normes relatives aux orientations concernant les technologies de refroidissement des centres de données dans plusieurs scénarios, la notation de la performance environnementale des smartphones et les passeports numériques de produits pour le secteur des TIC. L</w:t>
      </w:r>
      <w:r w:rsidR="00A2335D" w:rsidRPr="008C298B">
        <w:t>'</w:t>
      </w:r>
      <w:r w:rsidRPr="008C298B">
        <w:t xml:space="preserve">un des principaux résultats attendus en 2024 est le </w:t>
      </w:r>
      <w:hyperlink r:id="rId16" w:history="1">
        <w:r w:rsidRPr="008C298B">
          <w:rPr>
            <w:rStyle w:val="Hyperlink"/>
            <w:rFonts w:eastAsia="Times New Roman" w:cs="Times New Roman"/>
            <w:szCs w:val="20"/>
          </w:rPr>
          <w:t>projet de Recommandation UIT-T L.1472 intitulé "Exigences relatives à la création d'une base de données de l'UIT sur la consommation d'énergie et les émissions de gaz à effet de serre du secteur des TIC"</w:t>
        </w:r>
      </w:hyperlink>
      <w:r w:rsidRPr="008C298B">
        <w:t>, qui définit les exigences relatives à la création d</w:t>
      </w:r>
      <w:r w:rsidR="00A2335D" w:rsidRPr="008C298B">
        <w:t>'</w:t>
      </w:r>
      <w:r w:rsidRPr="008C298B">
        <w:t>une base de données sur la consommation d</w:t>
      </w:r>
      <w:r w:rsidR="00A2335D" w:rsidRPr="008C298B">
        <w:t>'</w:t>
      </w:r>
      <w:r w:rsidRPr="008C298B">
        <w:t>énergie et les émissions de gaz à effet de serre du secteur des TIC, et définit les données qu'il convient de recueillir à l</w:t>
      </w:r>
      <w:r w:rsidR="00A2335D" w:rsidRPr="008C298B">
        <w:t>'</w:t>
      </w:r>
      <w:r w:rsidRPr="008C298B">
        <w:t>échelle nationale et mondiale afin d'éclairer les travaux de l</w:t>
      </w:r>
      <w:r w:rsidR="00A2335D" w:rsidRPr="008C298B">
        <w:t>'</w:t>
      </w:r>
      <w:r w:rsidRPr="008C298B">
        <w:t>UIT.</w:t>
      </w:r>
    </w:p>
    <w:p w14:paraId="5A74ACE5" w14:textId="77777777" w:rsidR="00C34E65" w:rsidRPr="008C298B" w:rsidRDefault="00C34E65" w:rsidP="005E6590">
      <w:pPr>
        <w:jc w:val="both"/>
      </w:pPr>
      <w:r w:rsidRPr="008C298B">
        <w:t>Un projet pilote est actuellement mis en œuvre aux fins suivantes:</w:t>
      </w:r>
    </w:p>
    <w:p w14:paraId="4919C514" w14:textId="163B1AEC" w:rsidR="00C34E65" w:rsidRPr="008C298B" w:rsidRDefault="00C34E65" w:rsidP="005E6590">
      <w:pPr>
        <w:pStyle w:val="enumlev1"/>
        <w:jc w:val="both"/>
      </w:pPr>
      <w:r w:rsidRPr="008C298B">
        <w:t>1)</w:t>
      </w:r>
      <w:r w:rsidRPr="008C298B">
        <w:tab/>
        <w:t>Recueillir de nouvelles données sur la base de la méthode décrite dans le projet de Recommandation L.1472, au-delà de celles figurant dans les rapports de l</w:t>
      </w:r>
      <w:r w:rsidR="00A2335D" w:rsidRPr="008C298B">
        <w:t>'</w:t>
      </w:r>
      <w:r w:rsidRPr="008C298B">
        <w:t>UIT sur les entreprises vertes du numérique et dans des sources telles que le Carbon Disclosure Project (CDP) et les déclarations en matière de développement durable.</w:t>
      </w:r>
    </w:p>
    <w:p w14:paraId="7CAA5BB7" w14:textId="62068EE7" w:rsidR="00C34E65" w:rsidRPr="008C298B" w:rsidRDefault="00C34E65" w:rsidP="005E6590">
      <w:pPr>
        <w:pStyle w:val="enumlev1"/>
        <w:jc w:val="both"/>
      </w:pPr>
      <w:r w:rsidRPr="008C298B">
        <w:t>2)</w:t>
      </w:r>
      <w:r w:rsidRPr="008C298B">
        <w:tab/>
        <w:t>Identifier les écarts entre les données disponibles et les données requises.</w:t>
      </w:r>
    </w:p>
    <w:p w14:paraId="2E8D7850" w14:textId="30A512B4" w:rsidR="00C34E65" w:rsidRPr="008C298B" w:rsidRDefault="00C34E65" w:rsidP="005E6590">
      <w:pPr>
        <w:pStyle w:val="enumlev1"/>
        <w:jc w:val="both"/>
      </w:pPr>
      <w:r w:rsidRPr="008C298B">
        <w:t>3)</w:t>
      </w:r>
      <w:r w:rsidRPr="008C298B">
        <w:tab/>
        <w:t>Étudier la faisabilité de la collecte de données comme indiqué dans le projet de Recommandation L.1472.</w:t>
      </w:r>
    </w:p>
    <w:p w14:paraId="044D6038" w14:textId="5F98C18F" w:rsidR="00C34E65" w:rsidRPr="008C298B" w:rsidRDefault="00C34E65" w:rsidP="005E6590">
      <w:pPr>
        <w:pStyle w:val="enumlev1"/>
        <w:jc w:val="both"/>
      </w:pPr>
      <w:r w:rsidRPr="008C298B">
        <w:lastRenderedPageBreak/>
        <w:t>4)</w:t>
      </w:r>
      <w:r w:rsidRPr="008C298B">
        <w:tab/>
        <w:t>Étudier l'état actuel de la collecte de données à l</w:t>
      </w:r>
      <w:r w:rsidR="00A2335D" w:rsidRPr="008C298B">
        <w:t>'</w:t>
      </w:r>
      <w:r w:rsidRPr="008C298B">
        <w:t>échelle nationale à titre comparatif à l'aide des indicateurs proposés, en s</w:t>
      </w:r>
      <w:r w:rsidR="00A2335D" w:rsidRPr="008C298B">
        <w:t>'</w:t>
      </w:r>
      <w:r w:rsidRPr="008C298B">
        <w:t>appuyant sur des rapports tels que le document intitulé "Mesurer l</w:t>
      </w:r>
      <w:r w:rsidR="00A2335D" w:rsidRPr="008C298B">
        <w:t>'</w:t>
      </w:r>
      <w:r w:rsidRPr="008C298B">
        <w:t>impact environnemental du numérique: étude du cas Arcep – France" (UIT, mars 2025).</w:t>
      </w:r>
    </w:p>
    <w:p w14:paraId="2770FEF1" w14:textId="661EB6CE" w:rsidR="00C34E65" w:rsidRPr="008C298B" w:rsidRDefault="00C34E65" w:rsidP="005E6590">
      <w:pPr>
        <w:jc w:val="both"/>
      </w:pPr>
      <w:r w:rsidRPr="008C298B">
        <w:t>Le sous-groupe du Groupe EGTI consacré aux indicateurs nationaux de surveillance des émissions de gaz à effet de serre collaborera étroitement avec la CE 5 de l</w:t>
      </w:r>
      <w:r w:rsidR="00A2335D" w:rsidRPr="008C298B">
        <w:t>'</w:t>
      </w:r>
      <w:r w:rsidRPr="008C298B">
        <w:t>UIT-T pour améliorer le projet de Recommandation L.1472 et garantir l'harmonisation des méthodes de mesure.</w:t>
      </w:r>
    </w:p>
    <w:p w14:paraId="34F118AD" w14:textId="1F37AC78" w:rsidR="00C34E65" w:rsidRPr="008C298B" w:rsidRDefault="00C34E65" w:rsidP="005E6590">
      <w:pPr>
        <w:jc w:val="both"/>
      </w:pPr>
      <w:r w:rsidRPr="008C298B">
        <w:t>L</w:t>
      </w:r>
      <w:r w:rsidR="00A2335D" w:rsidRPr="008C298B">
        <w:t>'</w:t>
      </w:r>
      <w:r w:rsidRPr="008C298B">
        <w:t>Assemblée mondiale de normalisation des télécommunications (New Delhi, 2024) tenue en Inde a adopté une nouvelle Résolution 106 intitulée "Renforcement des activités de normalisation relatives à la transformation numérique durable". Cette Résolution encourage l'élaboration de Recommandations UIT-T qui tirent parti des technologies, applications, services et plates-formes numériques liés aux télécommunications/TIC, en vue d'accélérer la transformation numérique durable.</w:t>
      </w:r>
    </w:p>
    <w:p w14:paraId="204C765F" w14:textId="75AA2EA5" w:rsidR="00C34E65" w:rsidRPr="008C298B" w:rsidRDefault="00C34E65" w:rsidP="005E6590">
      <w:pPr>
        <w:jc w:val="both"/>
      </w:pPr>
      <w:r w:rsidRPr="008C298B">
        <w:t>La Résolution 73 (Rév. New Delhi, 2024) sur les technologies de l'information et de la communication, l'environnement, les changements climatiques et l'économie circulaire a également été révisée afin de mettre l</w:t>
      </w:r>
      <w:r w:rsidR="00A2335D" w:rsidRPr="008C298B">
        <w:t>'</w:t>
      </w:r>
      <w:r w:rsidRPr="008C298B">
        <w:t>accent sur la réduction des déchets d'équipements électriques et électroniques, la minimisation des incidences environnementales et l'harmonisation des données entre les systèmes nationaux.</w:t>
      </w:r>
    </w:p>
    <w:p w14:paraId="3065E5F7" w14:textId="77777777" w:rsidR="00C34E65" w:rsidRPr="008C298B" w:rsidRDefault="00C34E65" w:rsidP="00C34E65">
      <w:pPr>
        <w:pStyle w:val="Headingb"/>
      </w:pPr>
      <w:r w:rsidRPr="008C298B">
        <w:t>Réduction de l'empreinte environnementale de l'Union</w:t>
      </w:r>
    </w:p>
    <w:p w14:paraId="50340B32" w14:textId="1210582F" w:rsidR="00C34E65" w:rsidRPr="008C298B" w:rsidRDefault="00C34E65" w:rsidP="005E6590">
      <w:pPr>
        <w:jc w:val="both"/>
      </w:pPr>
      <w:r w:rsidRPr="008C298B">
        <w:t>En 2024, l</w:t>
      </w:r>
      <w:r w:rsidR="00A2335D" w:rsidRPr="008C298B">
        <w:t>'</w:t>
      </w:r>
      <w:r w:rsidRPr="008C298B">
        <w:t xml:space="preserve">UIT a renforcé </w:t>
      </w:r>
      <w:hyperlink r:id="rId17" w:history="1">
        <w:r w:rsidRPr="008C298B">
          <w:rPr>
            <w:rStyle w:val="Hyperlink"/>
            <w:rFonts w:eastAsia="Times New Roman" w:cs="Times New Roman"/>
            <w:szCs w:val="20"/>
          </w:rPr>
          <w:t>la gouvernance et le fonctionnement</w:t>
        </w:r>
      </w:hyperlink>
      <w:r w:rsidRPr="008C298B">
        <w:t xml:space="preserve"> de son système de gestion de l</w:t>
      </w:r>
      <w:r w:rsidR="00A2335D" w:rsidRPr="008C298B">
        <w:t>'</w:t>
      </w:r>
      <w:r w:rsidRPr="008C298B">
        <w:t xml:space="preserve">environnement (EMS), conformément aux exigences du Conseil des chefs de secrétariat du système des Nations Unies dans le cadre de la stratégie de coordination de la gestion de la durabilité. Ces travaux comprenaient la révision de la </w:t>
      </w:r>
      <w:hyperlink r:id="rId18" w:history="1">
        <w:r w:rsidRPr="008C298B">
          <w:rPr>
            <w:rStyle w:val="Hyperlink"/>
            <w:rFonts w:eastAsia="Times New Roman" w:cs="Times New Roman"/>
            <w:szCs w:val="20"/>
          </w:rPr>
          <w:t>politique de l'UIT en matière de durabilité environnementale</w:t>
        </w:r>
      </w:hyperlink>
      <w:r w:rsidRPr="008C298B">
        <w:t>, la promotion des travaux du Groupe de travail sur l</w:t>
      </w:r>
      <w:r w:rsidR="00A2335D" w:rsidRPr="008C298B">
        <w:t>'</w:t>
      </w:r>
      <w:r w:rsidRPr="008C298B">
        <w:t>EMS et le renforcement des objectifs environnementaux internes de l</w:t>
      </w:r>
      <w:r w:rsidR="00A2335D" w:rsidRPr="008C298B">
        <w:t>'</w:t>
      </w:r>
      <w:r w:rsidRPr="008C298B">
        <w:t>UIT visant à réduire les émissions de gaz à effet de serre et à améliorer l</w:t>
      </w:r>
      <w:r w:rsidR="00A2335D" w:rsidRPr="008C298B">
        <w:t>'</w:t>
      </w:r>
      <w:r w:rsidRPr="008C298B">
        <w:t>efficacité opérationnelle.</w:t>
      </w:r>
    </w:p>
    <w:p w14:paraId="47A2DE4B" w14:textId="318FFE21" w:rsidR="006A11AE" w:rsidRPr="008C298B" w:rsidRDefault="00C34E65" w:rsidP="005E6590">
      <w:pPr>
        <w:jc w:val="both"/>
      </w:pPr>
      <w:r w:rsidRPr="008C298B">
        <w:t xml:space="preserve">Selon le </w:t>
      </w:r>
      <w:hyperlink r:id="rId19" w:history="1">
        <w:r w:rsidRPr="008C298B">
          <w:rPr>
            <w:rStyle w:val="Hyperlink"/>
            <w:rFonts w:eastAsia="Times New Roman" w:cs="Times New Roman"/>
            <w:szCs w:val="20"/>
          </w:rPr>
          <w:t>dispositif de suivi</w:t>
        </w:r>
      </w:hyperlink>
      <w:r w:rsidRPr="008C298B">
        <w:t xml:space="preserve"> des incidences environnementales du système des Nations Unies mis en œuvre par le PNUE, les émissions de CO</w:t>
      </w:r>
      <w:r w:rsidRPr="008C298B">
        <w:rPr>
          <w:vertAlign w:val="subscript"/>
        </w:rPr>
        <w:t>2</w:t>
      </w:r>
      <w:r w:rsidRPr="008C298B">
        <w:t xml:space="preserve"> de l'UIT sont passées de 1 969 tonnes en 2022 à 2 582 tonnes en 2023. Cela représente une augmentation de 31%, contre 9% dans l</w:t>
      </w:r>
      <w:r w:rsidR="00A2335D" w:rsidRPr="008C298B">
        <w:t>'</w:t>
      </w:r>
      <w:r w:rsidRPr="008C298B">
        <w:t xml:space="preserve">ensemble du système des Nations Unies, selon l'édition 2024 du </w:t>
      </w:r>
      <w:hyperlink r:id="rId20" w:history="1">
        <w:r w:rsidRPr="008C298B">
          <w:rPr>
            <w:rStyle w:val="Hyperlink"/>
            <w:rFonts w:eastAsia="Times New Roman" w:cs="Times New Roman"/>
            <w:szCs w:val="20"/>
          </w:rPr>
          <w:t>rapport annuel "Du bleu au vert"</w:t>
        </w:r>
      </w:hyperlink>
      <w:r w:rsidRPr="008C298B">
        <w:t>. Les vols payés par l</w:t>
      </w:r>
      <w:r w:rsidR="00A2335D" w:rsidRPr="008C298B">
        <w:t>'</w:t>
      </w:r>
      <w:r w:rsidRPr="008C298B">
        <w:t>UIT représentent la majorité des émissions de gaz à effet de serre de l</w:t>
      </w:r>
      <w:r w:rsidR="00A2335D" w:rsidRPr="008C298B">
        <w:t>'</w:t>
      </w:r>
      <w:r w:rsidRPr="008C298B">
        <w:t>organisation. Dans l</w:t>
      </w:r>
      <w:r w:rsidR="00A2335D" w:rsidRPr="008C298B">
        <w:t>'</w:t>
      </w:r>
      <w:r w:rsidRPr="008C298B">
        <w:t>état actuel des choses, l</w:t>
      </w:r>
      <w:r w:rsidR="00A2335D" w:rsidRPr="008C298B">
        <w:t>'</w:t>
      </w:r>
      <w:r w:rsidRPr="008C298B">
        <w:t>UIT n</w:t>
      </w:r>
      <w:r w:rsidR="00A2335D" w:rsidRPr="008C298B">
        <w:t>'</w:t>
      </w:r>
      <w:r w:rsidRPr="008C298B">
        <w:t>est pas en bonne voie pour atteindre l</w:t>
      </w:r>
      <w:r w:rsidR="00A2335D" w:rsidRPr="008C298B">
        <w:t>'</w:t>
      </w:r>
      <w:r w:rsidRPr="008C298B">
        <w:t>objectif de réduction de ses émissions de 45% par rapport à 2010 fixé par le système des Nations Unies, conformément aux recommandations du GIEC. Des mesures correctives sont actuellement à l</w:t>
      </w:r>
      <w:r w:rsidR="00A2335D" w:rsidRPr="008C298B">
        <w:t>'</w:t>
      </w:r>
      <w:r w:rsidRPr="008C298B">
        <w:t>étude.</w:t>
      </w:r>
    </w:p>
    <w:p w14:paraId="27342D51" w14:textId="77777777" w:rsidR="00897553" w:rsidRPr="008C298B" w:rsidRDefault="006A11AE" w:rsidP="006A11AE">
      <w:pPr>
        <w:jc w:val="center"/>
      </w:pPr>
      <w:r w:rsidRPr="008C298B">
        <w:t>______________</w:t>
      </w:r>
    </w:p>
    <w:sectPr w:rsidR="00897553" w:rsidRPr="008C298B" w:rsidSect="00D72F49">
      <w:headerReference w:type="even" r:id="rId21"/>
      <w:footerReference w:type="even" r:id="rId22"/>
      <w:footerReference w:type="default" r:id="rId23"/>
      <w:headerReference w:type="first" r:id="rId24"/>
      <w:footerReference w:type="first" r:id="rId2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F24" w14:textId="77777777" w:rsidR="00127B56" w:rsidRDefault="00127B56">
      <w:r>
        <w:separator/>
      </w:r>
    </w:p>
  </w:endnote>
  <w:endnote w:type="continuationSeparator" w:id="0">
    <w:p w14:paraId="2D4ABDE6" w14:textId="77777777" w:rsidR="00127B56" w:rsidRDefault="0012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B201" w14:textId="42C76E0B" w:rsidR="00732045" w:rsidRPr="00FB74F9" w:rsidRDefault="00E47427">
    <w:pPr>
      <w:pStyle w:val="Footer"/>
      <w:rPr>
        <w:lang w:val="en-GB"/>
      </w:rPr>
    </w:pPr>
    <w:r>
      <w:fldChar w:fldCharType="begin"/>
    </w:r>
    <w:r w:rsidRPr="00FB74F9">
      <w:rPr>
        <w:lang w:val="en-GB"/>
      </w:rPr>
      <w:instrText xml:space="preserve"> FILENAME \p \* MERGEFORMAT </w:instrText>
    </w:r>
    <w:r>
      <w:fldChar w:fldCharType="separate"/>
    </w:r>
    <w:r w:rsidR="00FB74F9" w:rsidRPr="00FB74F9">
      <w:rPr>
        <w:lang w:val="en-GB"/>
      </w:rPr>
      <w:t>P:\FRA\gDoc\SG\C25\2501184F.docx</w:t>
    </w:r>
    <w:r>
      <w:fldChar w:fldCharType="end"/>
    </w:r>
    <w:r w:rsidR="00732045" w:rsidRPr="00FB74F9">
      <w:rPr>
        <w:lang w:val="en-GB"/>
      </w:rPr>
      <w:tab/>
    </w:r>
    <w:r w:rsidR="002F1B76">
      <w:fldChar w:fldCharType="begin"/>
    </w:r>
    <w:r w:rsidR="00732045">
      <w:instrText xml:space="preserve"> savedate \@ dd.MM.yy </w:instrText>
    </w:r>
    <w:r w:rsidR="002F1B76">
      <w:fldChar w:fldCharType="separate"/>
    </w:r>
    <w:r w:rsidR="00003925">
      <w:t>23.05.25</w:t>
    </w:r>
    <w:r w:rsidR="002F1B76">
      <w:fldChar w:fldCharType="end"/>
    </w:r>
    <w:r w:rsidR="00732045" w:rsidRPr="00FB74F9">
      <w:rPr>
        <w:lang w:val="en-GB"/>
      </w:rPr>
      <w:tab/>
    </w:r>
    <w:r w:rsidR="002F1B76">
      <w:fldChar w:fldCharType="begin"/>
    </w:r>
    <w:r w:rsidR="00732045">
      <w:instrText xml:space="preserve"> printdate \@ dd.MM.yy </w:instrText>
    </w:r>
    <w:r w:rsidR="002F1B76">
      <w:fldChar w:fldCharType="separate"/>
    </w:r>
    <w:r w:rsidR="00FB74F9">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5242421" w14:textId="77777777" w:rsidTr="00E31DCE">
      <w:trPr>
        <w:jc w:val="center"/>
      </w:trPr>
      <w:tc>
        <w:tcPr>
          <w:tcW w:w="1803" w:type="dxa"/>
          <w:vAlign w:val="center"/>
        </w:tcPr>
        <w:p w14:paraId="6B70785E" w14:textId="1B5A27B5" w:rsidR="00A51849" w:rsidRDefault="00C34E65" w:rsidP="00A51849">
          <w:pPr>
            <w:pStyle w:val="Header"/>
            <w:jc w:val="left"/>
            <w:rPr>
              <w:noProof/>
            </w:rPr>
          </w:pPr>
          <w:r>
            <w:rPr>
              <w:noProof/>
            </w:rPr>
            <w:t>2501184</w:t>
          </w:r>
        </w:p>
      </w:tc>
      <w:tc>
        <w:tcPr>
          <w:tcW w:w="8261" w:type="dxa"/>
        </w:tcPr>
        <w:p w14:paraId="54C6AE93" w14:textId="0668A5A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C34E65">
            <w:rPr>
              <w:bCs/>
            </w:rPr>
            <w:t>45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68AE0F4"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454A8A7" w14:textId="77777777" w:rsidTr="00E31DCE">
      <w:trPr>
        <w:jc w:val="center"/>
      </w:trPr>
      <w:tc>
        <w:tcPr>
          <w:tcW w:w="1803" w:type="dxa"/>
          <w:vAlign w:val="center"/>
        </w:tcPr>
        <w:p w14:paraId="75C48FF0"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10D2DC28" w14:textId="3AE21D6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C34E65">
            <w:rPr>
              <w:bCs/>
            </w:rPr>
            <w:t>45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ED6B20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84C7" w14:textId="77777777" w:rsidR="00127B56" w:rsidRDefault="00127B56">
      <w:r>
        <w:t>____________________</w:t>
      </w:r>
    </w:p>
  </w:footnote>
  <w:footnote w:type="continuationSeparator" w:id="0">
    <w:p w14:paraId="0224640A" w14:textId="77777777" w:rsidR="00127B56" w:rsidRDefault="00127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D9F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DCCACC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2FAFF550" w14:textId="77777777" w:rsidTr="00D37B53">
      <w:trPr>
        <w:trHeight w:val="1104"/>
        <w:jc w:val="center"/>
      </w:trPr>
      <w:tc>
        <w:tcPr>
          <w:tcW w:w="5317" w:type="dxa"/>
          <w:vAlign w:val="center"/>
        </w:tcPr>
        <w:p w14:paraId="496A02B0"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537392BA" wp14:editId="13D0D193">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02F5EDC9" w14:textId="77777777" w:rsidR="00524E8D" w:rsidRDefault="00524E8D" w:rsidP="00A51849">
          <w:pPr>
            <w:pStyle w:val="Header"/>
            <w:jc w:val="right"/>
            <w:rPr>
              <w:rFonts w:ascii="Arial" w:hAnsi="Arial" w:cs="Arial"/>
              <w:b/>
              <w:bCs/>
              <w:color w:val="009CD6"/>
              <w:szCs w:val="18"/>
            </w:rPr>
          </w:pPr>
        </w:p>
      </w:tc>
    </w:tr>
  </w:tbl>
  <w:p w14:paraId="0C62C7D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D04AC60" wp14:editId="4755ACA7">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42FF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56"/>
    <w:rsid w:val="00003925"/>
    <w:rsid w:val="00045CAC"/>
    <w:rsid w:val="00076A2C"/>
    <w:rsid w:val="000D0D0A"/>
    <w:rsid w:val="00103163"/>
    <w:rsid w:val="00106B19"/>
    <w:rsid w:val="001133EF"/>
    <w:rsid w:val="00115D93"/>
    <w:rsid w:val="001247A8"/>
    <w:rsid w:val="00127B56"/>
    <w:rsid w:val="00132327"/>
    <w:rsid w:val="001370B2"/>
    <w:rsid w:val="001378C0"/>
    <w:rsid w:val="0018694A"/>
    <w:rsid w:val="001A3287"/>
    <w:rsid w:val="001A6508"/>
    <w:rsid w:val="001D4C31"/>
    <w:rsid w:val="001E4D21"/>
    <w:rsid w:val="00207CD1"/>
    <w:rsid w:val="00226657"/>
    <w:rsid w:val="002477A2"/>
    <w:rsid w:val="00263A51"/>
    <w:rsid w:val="00267E02"/>
    <w:rsid w:val="002A5D44"/>
    <w:rsid w:val="002C3F32"/>
    <w:rsid w:val="002C4E3D"/>
    <w:rsid w:val="002E0BC4"/>
    <w:rsid w:val="002F1B76"/>
    <w:rsid w:val="0033568E"/>
    <w:rsid w:val="00355FF5"/>
    <w:rsid w:val="00361350"/>
    <w:rsid w:val="003C3FAE"/>
    <w:rsid w:val="004038CB"/>
    <w:rsid w:val="0040546F"/>
    <w:rsid w:val="004177BD"/>
    <w:rsid w:val="0042404A"/>
    <w:rsid w:val="0044618F"/>
    <w:rsid w:val="0046769A"/>
    <w:rsid w:val="00475FB3"/>
    <w:rsid w:val="004C37A9"/>
    <w:rsid w:val="004D1D50"/>
    <w:rsid w:val="004F259E"/>
    <w:rsid w:val="00511F1D"/>
    <w:rsid w:val="00520F36"/>
    <w:rsid w:val="00524E8D"/>
    <w:rsid w:val="00534E13"/>
    <w:rsid w:val="00540615"/>
    <w:rsid w:val="00540A6D"/>
    <w:rsid w:val="00566679"/>
    <w:rsid w:val="00571EEA"/>
    <w:rsid w:val="00575417"/>
    <w:rsid w:val="005768E1"/>
    <w:rsid w:val="005B1938"/>
    <w:rsid w:val="005C3890"/>
    <w:rsid w:val="005E6590"/>
    <w:rsid w:val="005F7BFE"/>
    <w:rsid w:val="00600017"/>
    <w:rsid w:val="006235CA"/>
    <w:rsid w:val="0062366E"/>
    <w:rsid w:val="00650D1B"/>
    <w:rsid w:val="006643AB"/>
    <w:rsid w:val="006A11AE"/>
    <w:rsid w:val="006C531D"/>
    <w:rsid w:val="006D1B18"/>
    <w:rsid w:val="006F0A53"/>
    <w:rsid w:val="007210CD"/>
    <w:rsid w:val="00732045"/>
    <w:rsid w:val="0073275D"/>
    <w:rsid w:val="007369DB"/>
    <w:rsid w:val="0077110E"/>
    <w:rsid w:val="007956C2"/>
    <w:rsid w:val="007A187E"/>
    <w:rsid w:val="007C72C2"/>
    <w:rsid w:val="007D4436"/>
    <w:rsid w:val="007F257A"/>
    <w:rsid w:val="007F3665"/>
    <w:rsid w:val="00800037"/>
    <w:rsid w:val="0082299A"/>
    <w:rsid w:val="0083391C"/>
    <w:rsid w:val="00861D73"/>
    <w:rsid w:val="00882919"/>
    <w:rsid w:val="00897553"/>
    <w:rsid w:val="008A4E87"/>
    <w:rsid w:val="008C298B"/>
    <w:rsid w:val="008D76E6"/>
    <w:rsid w:val="0092392D"/>
    <w:rsid w:val="0093234A"/>
    <w:rsid w:val="00956A78"/>
    <w:rsid w:val="0097363B"/>
    <w:rsid w:val="00973F53"/>
    <w:rsid w:val="009A6BAA"/>
    <w:rsid w:val="009C307F"/>
    <w:rsid w:val="009C353C"/>
    <w:rsid w:val="009F0FB8"/>
    <w:rsid w:val="00A2113E"/>
    <w:rsid w:val="00A2335D"/>
    <w:rsid w:val="00A23A51"/>
    <w:rsid w:val="00A24607"/>
    <w:rsid w:val="00A25CD3"/>
    <w:rsid w:val="00A51849"/>
    <w:rsid w:val="00A709FE"/>
    <w:rsid w:val="00A73C60"/>
    <w:rsid w:val="00A82767"/>
    <w:rsid w:val="00AA332F"/>
    <w:rsid w:val="00AA7BBB"/>
    <w:rsid w:val="00AB64A8"/>
    <w:rsid w:val="00AC0266"/>
    <w:rsid w:val="00AD24EC"/>
    <w:rsid w:val="00B27B00"/>
    <w:rsid w:val="00B309F9"/>
    <w:rsid w:val="00B32B60"/>
    <w:rsid w:val="00B51005"/>
    <w:rsid w:val="00B61619"/>
    <w:rsid w:val="00BB4545"/>
    <w:rsid w:val="00BD5873"/>
    <w:rsid w:val="00BF4B60"/>
    <w:rsid w:val="00C049D7"/>
    <w:rsid w:val="00C04BE3"/>
    <w:rsid w:val="00C25D29"/>
    <w:rsid w:val="00C27A7C"/>
    <w:rsid w:val="00C34E65"/>
    <w:rsid w:val="00C42437"/>
    <w:rsid w:val="00CA08ED"/>
    <w:rsid w:val="00CC6EAA"/>
    <w:rsid w:val="00CF183B"/>
    <w:rsid w:val="00D375CD"/>
    <w:rsid w:val="00D37B53"/>
    <w:rsid w:val="00D553A2"/>
    <w:rsid w:val="00D72F49"/>
    <w:rsid w:val="00D774D3"/>
    <w:rsid w:val="00D904E8"/>
    <w:rsid w:val="00DA08C3"/>
    <w:rsid w:val="00DB343D"/>
    <w:rsid w:val="00DB5A3E"/>
    <w:rsid w:val="00DC22AA"/>
    <w:rsid w:val="00DD1A99"/>
    <w:rsid w:val="00DF74DD"/>
    <w:rsid w:val="00E25AD0"/>
    <w:rsid w:val="00E4428F"/>
    <w:rsid w:val="00E47427"/>
    <w:rsid w:val="00E93668"/>
    <w:rsid w:val="00E95647"/>
    <w:rsid w:val="00EB6350"/>
    <w:rsid w:val="00F15B57"/>
    <w:rsid w:val="00F35EF4"/>
    <w:rsid w:val="00F37FE5"/>
    <w:rsid w:val="00F427DB"/>
    <w:rsid w:val="00FA5EB1"/>
    <w:rsid w:val="00FA7439"/>
    <w:rsid w:val="00FB74F9"/>
    <w:rsid w:val="00FC4EC0"/>
    <w:rsid w:val="00FC6D7D"/>
    <w:rsid w:val="00FC6F07"/>
    <w:rsid w:val="00FD061C"/>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2172A"/>
  <w15:docId w15:val="{5BB5C39E-582C-45F1-9BCE-94B7A6E9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T-RES-T.73-2024/fr" TargetMode="External"/><Relationship Id="rId13" Type="http://schemas.openxmlformats.org/officeDocument/2006/relationships/hyperlink" Target="https://www.itu.int/en/ITU-D/Environment/Pages/Publications/GDC-24.aspx" TargetMode="External"/><Relationship Id="rId18" Type="http://schemas.openxmlformats.org/officeDocument/2006/relationships/hyperlink" Target="https://www.itu.int/en/action/environment-and-climate-change/Documents/ITU%20Environmental%20Sustainability%20Policy%20%282025%29.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itu.int/en/council/Documents/basic-texts-2023/RES-182-F.pdf" TargetMode="External"/><Relationship Id="rId12" Type="http://schemas.openxmlformats.org/officeDocument/2006/relationships/hyperlink" Target="https://www.itu.int/initiatives/green-digital-action/events/all/cop29/declaration/" TargetMode="External"/><Relationship Id="rId17" Type="http://schemas.openxmlformats.org/officeDocument/2006/relationships/hyperlink" Target="https://www.itu.int/en/action/environment-and-climate-change/Pages/greening-ITU.asp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itu.int/t/aap/recdetails/10858" TargetMode="External"/><Relationship Id="rId20" Type="http://schemas.openxmlformats.org/officeDocument/2006/relationships/hyperlink" Target="https://greeningtheblue.org/interactive-report/2024.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5-CL-C-0035/fr"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itu.int/en/ITU-D/Environment/Pages/Publications/Measuring-Emissions-and-Energy-Footprint-ICT-Sector.aspx" TargetMode="External"/><Relationship Id="rId23" Type="http://schemas.openxmlformats.org/officeDocument/2006/relationships/footer" Target="footer2.xml"/><Relationship Id="rId10" Type="http://schemas.openxmlformats.org/officeDocument/2006/relationships/hyperlink" Target="https://www.itu.int/md/S24-CL-C-0142/fr" TargetMode="External"/><Relationship Id="rId19" Type="http://schemas.openxmlformats.org/officeDocument/2006/relationships/hyperlink" Target="https://greeningtheblue.org/entities/itu" TargetMode="External"/><Relationship Id="rId4" Type="http://schemas.openxmlformats.org/officeDocument/2006/relationships/webSettings" Target="webSettings.xml"/><Relationship Id="rId9" Type="http://schemas.openxmlformats.org/officeDocument/2006/relationships/hyperlink" Target="https://www.itu.int/pub/T-RES-T.106-2024/fr" TargetMode="External"/><Relationship Id="rId14" Type="http://schemas.openxmlformats.org/officeDocument/2006/relationships/hyperlink" Target="https://greeningdigital.itu.in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76F3C-7984-4C96-8091-33E41534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1</TotalTime>
  <Pages>5</Pages>
  <Words>2131</Words>
  <Characters>12073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14153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Activités de l'UIT relatives à la mise en œuvre de la Résolution 1429 du Conseil</dc:title>
  <dc:subject>Conseil 2025 de l'UIT</dc:subject>
  <cp:keywords>C2025, C25, Council-25</cp:keywords>
  <dc:description/>
  <cp:lastPrinted>2000-07-18T08:55:00Z</cp:lastPrinted>
  <dcterms:created xsi:type="dcterms:W3CDTF">2025-05-30T12:27:00Z</dcterms:created>
  <dcterms:modified xsi:type="dcterms:W3CDTF">2025-05-30T12:27:00Z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