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48BE89B" w14:textId="77777777" w:rsidTr="00E31DCE">
        <w:trPr>
          <w:cantSplit/>
          <w:trHeight w:val="23"/>
        </w:trPr>
        <w:tc>
          <w:tcPr>
            <w:tcW w:w="3969" w:type="dxa"/>
            <w:vMerge w:val="restart"/>
            <w:tcMar>
              <w:left w:w="0" w:type="dxa"/>
            </w:tcMar>
          </w:tcPr>
          <w:p w14:paraId="080CB328" w14:textId="59235BFF"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proofErr w:type="spellStart"/>
            <w:r w:rsidR="009476DC">
              <w:rPr>
                <w:rFonts w:cstheme="minorHAnsi" w:hint="eastAsia"/>
                <w:b/>
                <w:bCs/>
                <w:lang w:val="ru-RU" w:eastAsia="zh-CN"/>
              </w:rPr>
              <w:t>PL</w:t>
            </w:r>
            <w:proofErr w:type="spellEnd"/>
            <w:r w:rsidR="009476DC">
              <w:rPr>
                <w:rFonts w:cstheme="minorHAnsi" w:hint="eastAsia"/>
                <w:b/>
                <w:bCs/>
                <w:lang w:val="ru-RU" w:eastAsia="zh-CN"/>
              </w:rPr>
              <w:t xml:space="preserve"> 2</w:t>
            </w:r>
          </w:p>
        </w:tc>
        <w:tc>
          <w:tcPr>
            <w:tcW w:w="5245" w:type="dxa"/>
          </w:tcPr>
          <w:p w14:paraId="6A41ACB7" w14:textId="35DBF9F9"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9476DC">
              <w:rPr>
                <w:rFonts w:hint="eastAsia"/>
                <w:b/>
                <w:lang w:val="fr-CH" w:eastAsia="zh-CN"/>
              </w:rPr>
              <w:t>45</w:t>
            </w:r>
            <w:r w:rsidRPr="00E24D59">
              <w:rPr>
                <w:b/>
                <w:lang w:val="fr-CH"/>
              </w:rPr>
              <w:t>-C</w:t>
            </w:r>
          </w:p>
        </w:tc>
      </w:tr>
      <w:tr w:rsidR="00E24D59" w:rsidRPr="00813E5E" w14:paraId="63A50EAF" w14:textId="77777777" w:rsidTr="00E31DCE">
        <w:trPr>
          <w:cantSplit/>
        </w:trPr>
        <w:tc>
          <w:tcPr>
            <w:tcW w:w="3969" w:type="dxa"/>
            <w:vMerge/>
          </w:tcPr>
          <w:p w14:paraId="36677360"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39C20776" w14:textId="2EC54594" w:rsidR="00E24D59" w:rsidRPr="00E85629" w:rsidRDefault="009476DC" w:rsidP="00E31DCE">
            <w:pPr>
              <w:tabs>
                <w:tab w:val="left" w:pos="851"/>
              </w:tabs>
              <w:spacing w:before="0"/>
              <w:jc w:val="right"/>
              <w:rPr>
                <w:b/>
              </w:rPr>
            </w:pPr>
            <w:r>
              <w:rPr>
                <w:rFonts w:hint="eastAsia"/>
                <w:b/>
                <w:lang w:eastAsia="zh-CN"/>
              </w:rPr>
              <w:t>2025</w:t>
            </w:r>
            <w:r>
              <w:rPr>
                <w:rFonts w:hint="eastAsia"/>
                <w:b/>
                <w:lang w:eastAsia="zh-CN"/>
              </w:rPr>
              <w:t>年</w:t>
            </w:r>
            <w:r w:rsidR="00874AE7">
              <w:rPr>
                <w:rFonts w:hint="eastAsia"/>
                <w:b/>
                <w:lang w:eastAsia="zh-CN"/>
              </w:rPr>
              <w:t>5</w:t>
            </w:r>
            <w:r>
              <w:rPr>
                <w:rFonts w:hint="eastAsia"/>
                <w:b/>
                <w:lang w:eastAsia="zh-CN"/>
              </w:rPr>
              <w:t>月</w:t>
            </w:r>
            <w:r w:rsidR="00874AE7">
              <w:rPr>
                <w:rFonts w:hint="eastAsia"/>
                <w:b/>
                <w:lang w:eastAsia="zh-CN"/>
              </w:rPr>
              <w:t>19</w:t>
            </w:r>
            <w:r>
              <w:rPr>
                <w:rFonts w:hint="eastAsia"/>
                <w:b/>
                <w:lang w:eastAsia="zh-CN"/>
              </w:rPr>
              <w:t>日</w:t>
            </w:r>
          </w:p>
        </w:tc>
      </w:tr>
      <w:tr w:rsidR="00E24D59" w:rsidRPr="00813E5E" w14:paraId="1D02088D" w14:textId="77777777" w:rsidTr="00E31DCE">
        <w:trPr>
          <w:cantSplit/>
          <w:trHeight w:val="23"/>
        </w:trPr>
        <w:tc>
          <w:tcPr>
            <w:tcW w:w="3969" w:type="dxa"/>
            <w:vMerge/>
          </w:tcPr>
          <w:p w14:paraId="4E31411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29AF050" w14:textId="45BD066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9476DC">
              <w:rPr>
                <w:rFonts w:cstheme="minorHAnsi" w:hint="eastAsia"/>
                <w:b/>
                <w:bCs/>
                <w:lang w:val="ru-RU" w:eastAsia="zh-CN"/>
              </w:rPr>
              <w:t>英文</w:t>
            </w:r>
          </w:p>
        </w:tc>
      </w:tr>
      <w:tr w:rsidR="00E24D59" w:rsidRPr="00813E5E" w14:paraId="498FBAA6" w14:textId="77777777" w:rsidTr="00E31DCE">
        <w:trPr>
          <w:cantSplit/>
          <w:trHeight w:val="23"/>
        </w:trPr>
        <w:tc>
          <w:tcPr>
            <w:tcW w:w="3969" w:type="dxa"/>
          </w:tcPr>
          <w:p w14:paraId="720EDABE" w14:textId="77777777" w:rsidR="00E24D59" w:rsidRPr="00813E5E" w:rsidRDefault="00E24D59" w:rsidP="00E31DCE">
            <w:pPr>
              <w:tabs>
                <w:tab w:val="left" w:pos="851"/>
              </w:tabs>
              <w:spacing w:line="240" w:lineRule="atLeast"/>
              <w:rPr>
                <w:b/>
              </w:rPr>
            </w:pPr>
          </w:p>
        </w:tc>
        <w:tc>
          <w:tcPr>
            <w:tcW w:w="5245" w:type="dxa"/>
          </w:tcPr>
          <w:p w14:paraId="3EEA9CD7" w14:textId="77777777" w:rsidR="00E24D59" w:rsidRDefault="00E24D59" w:rsidP="00E31DCE">
            <w:pPr>
              <w:tabs>
                <w:tab w:val="left" w:pos="851"/>
              </w:tabs>
              <w:spacing w:before="0" w:line="240" w:lineRule="atLeast"/>
              <w:jc w:val="right"/>
              <w:rPr>
                <w:b/>
              </w:rPr>
            </w:pPr>
          </w:p>
        </w:tc>
      </w:tr>
      <w:tr w:rsidR="00E24D59" w:rsidRPr="00813E5E" w14:paraId="346026B2" w14:textId="77777777" w:rsidTr="00E31DCE">
        <w:trPr>
          <w:cantSplit/>
        </w:trPr>
        <w:tc>
          <w:tcPr>
            <w:tcW w:w="9214" w:type="dxa"/>
            <w:gridSpan w:val="2"/>
            <w:tcMar>
              <w:left w:w="0" w:type="dxa"/>
            </w:tcMar>
          </w:tcPr>
          <w:p w14:paraId="29F84447"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47B5BB08" w14:textId="77777777" w:rsidTr="00E31DCE">
        <w:trPr>
          <w:cantSplit/>
        </w:trPr>
        <w:tc>
          <w:tcPr>
            <w:tcW w:w="9214" w:type="dxa"/>
            <w:gridSpan w:val="2"/>
            <w:tcMar>
              <w:left w:w="0" w:type="dxa"/>
            </w:tcMar>
          </w:tcPr>
          <w:p w14:paraId="67B93867" w14:textId="2F8D7506" w:rsidR="00E24D59" w:rsidRPr="009476DC" w:rsidRDefault="009476DC" w:rsidP="00E31DCE">
            <w:pPr>
              <w:pStyle w:val="Subtitle"/>
              <w:framePr w:hSpace="0" w:wrap="auto" w:hAnchor="text" w:xAlign="left" w:yAlign="inline"/>
              <w:rPr>
                <w:rFonts w:asciiTheme="minorHAnsi" w:eastAsiaTheme="minorEastAsia" w:hAnsiTheme="minorHAnsi" w:cstheme="minorHAnsi"/>
                <w:lang w:eastAsia="zh-CN"/>
              </w:rPr>
            </w:pPr>
            <w:bookmarkStart w:id="6" w:name="dtitle1" w:colFirst="0" w:colLast="0"/>
            <w:bookmarkEnd w:id="5"/>
            <w:r w:rsidRPr="009476DC">
              <w:rPr>
                <w:rFonts w:asciiTheme="minorHAnsi" w:eastAsiaTheme="minorEastAsia" w:hAnsiTheme="minorHAnsi" w:cstheme="minorHAnsi"/>
                <w:lang w:eastAsia="zh-CN"/>
              </w:rPr>
              <w:t>国际电联在落实理事会第</w:t>
            </w:r>
            <w:r w:rsidRPr="009476DC">
              <w:rPr>
                <w:rFonts w:asciiTheme="minorHAnsi" w:eastAsiaTheme="minorEastAsia" w:hAnsiTheme="minorHAnsi" w:cstheme="minorHAnsi"/>
                <w:lang w:eastAsia="zh-CN"/>
              </w:rPr>
              <w:t>1429</w:t>
            </w:r>
            <w:r w:rsidRPr="009476DC">
              <w:rPr>
                <w:rFonts w:asciiTheme="minorHAnsi" w:eastAsiaTheme="minorEastAsia" w:hAnsiTheme="minorHAnsi" w:cstheme="minorHAnsi"/>
                <w:lang w:eastAsia="zh-CN"/>
              </w:rPr>
              <w:t>号决议方面的活动</w:t>
            </w:r>
          </w:p>
        </w:tc>
      </w:tr>
      <w:tr w:rsidR="00E24D59" w:rsidRPr="00813E5E" w14:paraId="67D6884E" w14:textId="77777777" w:rsidTr="00E31DCE">
        <w:trPr>
          <w:cantSplit/>
        </w:trPr>
        <w:tc>
          <w:tcPr>
            <w:tcW w:w="9214" w:type="dxa"/>
            <w:gridSpan w:val="2"/>
            <w:tcBorders>
              <w:top w:val="single" w:sz="4" w:space="0" w:color="auto"/>
              <w:bottom w:val="single" w:sz="4" w:space="0" w:color="auto"/>
            </w:tcBorders>
            <w:tcMar>
              <w:left w:w="0" w:type="dxa"/>
            </w:tcMar>
          </w:tcPr>
          <w:p w14:paraId="21D5062A" w14:textId="210B61B6" w:rsidR="003F086E" w:rsidRPr="00477D57" w:rsidRDefault="003F086E" w:rsidP="00477D57">
            <w:pPr>
              <w:rPr>
                <w:b/>
                <w:bCs/>
                <w:lang w:eastAsia="zh-CN"/>
              </w:rPr>
            </w:pPr>
            <w:r w:rsidRPr="00477D57">
              <w:rPr>
                <w:b/>
                <w:bCs/>
                <w:lang w:eastAsia="zh-CN"/>
              </w:rPr>
              <w:t>目的</w:t>
            </w:r>
          </w:p>
          <w:p w14:paraId="045A2E16" w14:textId="33A61A39" w:rsidR="003F086E" w:rsidRPr="00477D57" w:rsidRDefault="009476DC" w:rsidP="00380674">
            <w:pPr>
              <w:ind w:firstLineChars="200" w:firstLine="480"/>
              <w:rPr>
                <w:rFonts w:asciiTheme="majorEastAsia" w:eastAsiaTheme="majorEastAsia" w:hAnsiTheme="majorEastAsia"/>
                <w:lang w:eastAsia="zh-CN"/>
              </w:rPr>
            </w:pPr>
            <w:r w:rsidRPr="0090314E">
              <w:rPr>
                <w:rFonts w:hint="eastAsia"/>
                <w:lang w:eastAsia="zh-CN"/>
              </w:rPr>
              <w:t>国际电联在落实理事会第</w:t>
            </w:r>
            <w:r w:rsidRPr="0090314E">
              <w:rPr>
                <w:rFonts w:hint="eastAsia"/>
                <w:lang w:eastAsia="zh-CN"/>
              </w:rPr>
              <w:t>1429</w:t>
            </w:r>
            <w:r w:rsidRPr="0090314E">
              <w:rPr>
                <w:rFonts w:hint="eastAsia"/>
                <w:lang w:eastAsia="zh-CN"/>
              </w:rPr>
              <w:t>号决议方面的活动</w:t>
            </w:r>
            <w:r w:rsidR="00380674">
              <w:rPr>
                <w:rFonts w:hint="eastAsia"/>
                <w:lang w:eastAsia="zh-CN"/>
              </w:rPr>
              <w:t>。</w:t>
            </w:r>
          </w:p>
          <w:p w14:paraId="12A6B7A5" w14:textId="77777777" w:rsidR="003F086E" w:rsidRPr="00477D57" w:rsidRDefault="003F086E" w:rsidP="00477D57">
            <w:pPr>
              <w:rPr>
                <w:b/>
                <w:bCs/>
                <w:lang w:eastAsia="zh-CN"/>
              </w:rPr>
            </w:pPr>
            <w:r w:rsidRPr="00477D57">
              <w:rPr>
                <w:b/>
                <w:bCs/>
                <w:lang w:eastAsia="zh-CN"/>
              </w:rPr>
              <w:t>理事会需采取的行动</w:t>
            </w:r>
          </w:p>
          <w:p w14:paraId="20DFEA84" w14:textId="0D713423" w:rsidR="003F086E" w:rsidRPr="00477D57" w:rsidRDefault="009476DC" w:rsidP="00380674">
            <w:pPr>
              <w:ind w:firstLineChars="200" w:firstLine="480"/>
              <w:rPr>
                <w:rFonts w:asciiTheme="majorEastAsia" w:eastAsiaTheme="majorEastAsia" w:hAnsiTheme="majorEastAsia"/>
                <w:lang w:eastAsia="zh-CN"/>
              </w:rPr>
            </w:pPr>
            <w:r w:rsidRPr="00A94080">
              <w:rPr>
                <w:rFonts w:hint="eastAsia"/>
                <w:lang w:eastAsia="zh-CN"/>
              </w:rPr>
              <w:t>请理事会将本报告</w:t>
            </w:r>
            <w:r w:rsidRPr="00A94080">
              <w:rPr>
                <w:rFonts w:hint="eastAsia"/>
                <w:b/>
                <w:bCs/>
                <w:lang w:eastAsia="zh-CN"/>
              </w:rPr>
              <w:t>记录在案</w:t>
            </w:r>
            <w:r w:rsidRPr="00A94080">
              <w:rPr>
                <w:rFonts w:hint="eastAsia"/>
                <w:lang w:eastAsia="zh-CN"/>
              </w:rPr>
              <w:t>。</w:t>
            </w:r>
          </w:p>
          <w:p w14:paraId="49349EEC"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02C19CD4" w14:textId="611CCF49" w:rsidR="003F086E" w:rsidRPr="00477D57" w:rsidRDefault="009476DC" w:rsidP="00380674">
            <w:pPr>
              <w:ind w:firstLineChars="200" w:firstLine="480"/>
              <w:rPr>
                <w:rFonts w:asciiTheme="majorEastAsia" w:eastAsiaTheme="majorEastAsia" w:hAnsiTheme="majorEastAsia"/>
                <w:lang w:eastAsia="zh-CN"/>
              </w:rPr>
            </w:pPr>
            <w:r w:rsidRPr="00A94080">
              <w:rPr>
                <w:rFonts w:hint="eastAsia"/>
                <w:lang w:eastAsia="zh-CN"/>
              </w:rPr>
              <w:t>可持续的数字化转型</w:t>
            </w:r>
            <w:r>
              <w:rPr>
                <w:rFonts w:hint="eastAsia"/>
                <w:lang w:eastAsia="zh-CN"/>
              </w:rPr>
              <w:t>；</w:t>
            </w:r>
            <w:r w:rsidRPr="00A94080">
              <w:rPr>
                <w:rFonts w:hint="eastAsia"/>
                <w:lang w:eastAsia="zh-CN"/>
              </w:rPr>
              <w:t>致力于环境可持续性。</w:t>
            </w:r>
          </w:p>
          <w:p w14:paraId="58AA235E" w14:textId="77777777" w:rsidR="003F086E" w:rsidRPr="00477D57" w:rsidRDefault="003F086E" w:rsidP="00477D57">
            <w:pPr>
              <w:rPr>
                <w:b/>
                <w:bCs/>
                <w:lang w:eastAsia="zh-CN"/>
              </w:rPr>
            </w:pPr>
            <w:r w:rsidRPr="00477D57">
              <w:rPr>
                <w:b/>
                <w:bCs/>
                <w:lang w:eastAsia="zh-CN"/>
              </w:rPr>
              <w:t>财务影响</w:t>
            </w:r>
          </w:p>
          <w:p w14:paraId="121BA964" w14:textId="0C8C849C" w:rsidR="008F64AD" w:rsidRPr="00477D57" w:rsidRDefault="009476DC" w:rsidP="00380674">
            <w:pPr>
              <w:ind w:firstLineChars="200" w:firstLine="480"/>
              <w:rPr>
                <w:rFonts w:asciiTheme="majorEastAsia" w:eastAsiaTheme="majorEastAsia" w:hAnsiTheme="majorEastAsia"/>
                <w:lang w:eastAsia="zh-CN"/>
              </w:rPr>
            </w:pPr>
            <w:r w:rsidRPr="00A94080">
              <w:rPr>
                <w:rFonts w:hint="eastAsia"/>
                <w:szCs w:val="24"/>
                <w:lang w:eastAsia="zh-CN"/>
              </w:rPr>
              <w:t>在</w:t>
            </w:r>
            <w:r w:rsidRPr="00A94080">
              <w:rPr>
                <w:rFonts w:hint="eastAsia"/>
                <w:szCs w:val="24"/>
                <w:lang w:eastAsia="zh-CN"/>
              </w:rPr>
              <w:t>2024-2025</w:t>
            </w:r>
            <w:r w:rsidRPr="00A94080">
              <w:rPr>
                <w:rFonts w:hint="eastAsia"/>
                <w:szCs w:val="24"/>
                <w:lang w:eastAsia="zh-CN"/>
              </w:rPr>
              <w:t>年</w:t>
            </w:r>
            <w:r>
              <w:rPr>
                <w:rFonts w:hint="eastAsia"/>
                <w:szCs w:val="24"/>
                <w:lang w:eastAsia="zh-CN"/>
              </w:rPr>
              <w:t>的</w:t>
            </w:r>
            <w:r w:rsidRPr="00A94080">
              <w:rPr>
                <w:rFonts w:hint="eastAsia"/>
                <w:szCs w:val="24"/>
                <w:lang w:eastAsia="zh-CN"/>
              </w:rPr>
              <w:t>划拨预算范围内。</w:t>
            </w:r>
          </w:p>
          <w:p w14:paraId="4A3E1C72"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4BD62751" w14:textId="77777777" w:rsidR="00E24D59" w:rsidRPr="00477D57" w:rsidRDefault="00E24D59" w:rsidP="00477D57">
            <w:pPr>
              <w:rPr>
                <w:b/>
                <w:bCs/>
                <w:lang w:eastAsia="zh-CN"/>
              </w:rPr>
            </w:pPr>
            <w:r w:rsidRPr="00477D57">
              <w:rPr>
                <w:rFonts w:hint="eastAsia"/>
                <w:b/>
                <w:bCs/>
                <w:lang w:eastAsia="zh-CN"/>
              </w:rPr>
              <w:t>参考文件</w:t>
            </w:r>
          </w:p>
          <w:p w14:paraId="71AF2976" w14:textId="38C22FE4" w:rsidR="00E24D59" w:rsidRPr="00477D57" w:rsidRDefault="009476DC" w:rsidP="00477D57">
            <w:pPr>
              <w:spacing w:after="120"/>
              <w:rPr>
                <w:rFonts w:asciiTheme="majorEastAsia" w:eastAsiaTheme="majorEastAsia" w:hAnsiTheme="majorEastAsia"/>
                <w:i/>
                <w:iCs/>
                <w:sz w:val="22"/>
                <w:szCs w:val="22"/>
                <w:lang w:eastAsia="zh-CN"/>
              </w:rPr>
            </w:pPr>
            <w:r w:rsidRPr="00A94080">
              <w:rPr>
                <w:rFonts w:asciiTheme="minorHAnsi" w:eastAsia="STKaiti" w:hAnsiTheme="minorHAnsi" w:cs="Microsoft YaHei" w:hint="eastAsia"/>
                <w:sz w:val="22"/>
                <w:szCs w:val="22"/>
                <w:lang w:eastAsia="zh-CN"/>
              </w:rPr>
              <w:t>全权代表大会</w:t>
            </w:r>
            <w:r>
              <w:fldChar w:fldCharType="begin"/>
            </w:r>
            <w:r>
              <w:rPr>
                <w:lang w:eastAsia="zh-CN"/>
              </w:rPr>
              <w:instrText>HYPERLINK "https://www.itu.int/en/council/Documents/basic-texts-2023/RES-182-C.pdf"</w:instrText>
            </w:r>
            <w:r>
              <w:fldChar w:fldCharType="separate"/>
            </w:r>
            <w:r w:rsidRPr="00A94080">
              <w:rPr>
                <w:rStyle w:val="Hyperlink"/>
                <w:rFonts w:asciiTheme="minorHAnsi" w:eastAsia="STKaiti" w:hAnsiTheme="minorHAnsi" w:cs="Microsoft YaHei" w:hint="eastAsia"/>
                <w:sz w:val="22"/>
                <w:szCs w:val="22"/>
                <w:lang w:eastAsia="zh-CN"/>
              </w:rPr>
              <w:t>第</w:t>
            </w:r>
            <w:r w:rsidRPr="00A94080">
              <w:rPr>
                <w:rStyle w:val="Hyperlink"/>
                <w:rFonts w:asciiTheme="minorHAnsi" w:eastAsia="STKaiti" w:hAnsiTheme="minorHAnsi" w:cs="Calibri" w:hint="eastAsia"/>
                <w:sz w:val="22"/>
                <w:szCs w:val="22"/>
                <w:lang w:eastAsia="zh-CN"/>
              </w:rPr>
              <w:t>182</w:t>
            </w:r>
            <w:r w:rsidRPr="00A94080">
              <w:rPr>
                <w:rStyle w:val="Hyperlink"/>
                <w:rFonts w:asciiTheme="minorHAnsi" w:eastAsia="STKaiti" w:hAnsiTheme="minorHAnsi" w:cs="Microsoft YaHei" w:hint="eastAsia"/>
                <w:sz w:val="22"/>
                <w:szCs w:val="22"/>
                <w:lang w:eastAsia="zh-CN"/>
              </w:rPr>
              <w:t>号决议</w:t>
            </w:r>
            <w:r>
              <w:fldChar w:fldCharType="end"/>
            </w:r>
            <w:r w:rsidRPr="00A94080">
              <w:rPr>
                <w:rFonts w:asciiTheme="minorHAnsi" w:eastAsia="STKaiti" w:hAnsiTheme="minorHAnsi" w:cs="Microsoft YaHei" w:hint="eastAsia"/>
                <w:sz w:val="22"/>
                <w:szCs w:val="22"/>
                <w:lang w:eastAsia="zh-CN"/>
              </w:rPr>
              <w:t>（</w:t>
            </w:r>
            <w:r w:rsidRPr="00A94080">
              <w:rPr>
                <w:rFonts w:asciiTheme="minorHAnsi" w:eastAsia="STKaiti" w:hAnsiTheme="minorHAnsi" w:cs="Calibri" w:hint="eastAsia"/>
                <w:sz w:val="22"/>
                <w:szCs w:val="22"/>
                <w:lang w:eastAsia="zh-CN"/>
              </w:rPr>
              <w:t>2022</w:t>
            </w:r>
            <w:r w:rsidRPr="00A94080">
              <w:rPr>
                <w:rFonts w:asciiTheme="minorHAnsi" w:eastAsia="STKaiti" w:hAnsiTheme="minorHAnsi" w:cs="Microsoft YaHei" w:hint="eastAsia"/>
                <w:sz w:val="22"/>
                <w:szCs w:val="22"/>
                <w:lang w:eastAsia="zh-CN"/>
              </w:rPr>
              <w:t>年，布加勒斯特，修订版）</w:t>
            </w:r>
            <w:r>
              <w:rPr>
                <w:rFonts w:asciiTheme="minorHAnsi" w:eastAsia="STKaiti" w:hAnsiTheme="minorHAnsi" w:cs="Calibri" w:hint="eastAsia"/>
                <w:sz w:val="22"/>
                <w:szCs w:val="22"/>
                <w:lang w:eastAsia="zh-CN"/>
              </w:rPr>
              <w:t>；</w:t>
            </w:r>
            <w:r w:rsidRPr="00A94080">
              <w:rPr>
                <w:rFonts w:asciiTheme="minorHAnsi" w:eastAsia="STKaiti" w:hAnsiTheme="minorHAnsi" w:cs="Microsoft YaHei" w:hint="eastAsia"/>
                <w:sz w:val="22"/>
                <w:szCs w:val="22"/>
                <w:lang w:eastAsia="zh-CN"/>
              </w:rPr>
              <w:t>世界电信标准化</w:t>
            </w:r>
            <w:proofErr w:type="gramStart"/>
            <w:r w:rsidRPr="00A94080">
              <w:rPr>
                <w:rFonts w:asciiTheme="minorHAnsi" w:eastAsia="STKaiti" w:hAnsiTheme="minorHAnsi" w:cs="Microsoft YaHei" w:hint="eastAsia"/>
                <w:sz w:val="22"/>
                <w:szCs w:val="22"/>
                <w:lang w:eastAsia="zh-CN"/>
              </w:rPr>
              <w:t>全会第</w:t>
            </w:r>
            <w:proofErr w:type="gramEnd"/>
            <w:r>
              <w:fldChar w:fldCharType="begin"/>
            </w:r>
            <w:r>
              <w:rPr>
                <w:lang w:eastAsia="zh-CN"/>
              </w:rPr>
              <w:instrText>HYPERLINK "https://www.itu.int/pub/T-RES-T.73-2024"</w:instrText>
            </w:r>
            <w:r>
              <w:fldChar w:fldCharType="separate"/>
            </w:r>
            <w:r w:rsidRPr="00A94080">
              <w:rPr>
                <w:rStyle w:val="Hyperlink"/>
                <w:rFonts w:eastAsia="Calibri" w:cs="Calibri"/>
                <w:spacing w:val="2"/>
                <w:sz w:val="22"/>
                <w:szCs w:val="22"/>
                <w:lang w:eastAsia="zh-CN"/>
              </w:rPr>
              <w:t>73</w:t>
            </w:r>
            <w:r>
              <w:fldChar w:fldCharType="end"/>
            </w:r>
            <w:r w:rsidRPr="00A94080">
              <w:rPr>
                <w:rFonts w:asciiTheme="minorHAnsi" w:eastAsia="STKaiti" w:hAnsiTheme="minorHAnsi" w:cs="Microsoft YaHei" w:hint="eastAsia"/>
                <w:sz w:val="22"/>
                <w:szCs w:val="22"/>
                <w:lang w:eastAsia="zh-CN"/>
              </w:rPr>
              <w:t>和</w:t>
            </w:r>
            <w:r>
              <w:fldChar w:fldCharType="begin"/>
            </w:r>
            <w:r>
              <w:rPr>
                <w:lang w:eastAsia="zh-CN"/>
              </w:rPr>
              <w:instrText>HYPERLINK "https://www.itu.int/pub/T-RES-T.106-2024"</w:instrText>
            </w:r>
            <w:r>
              <w:fldChar w:fldCharType="separate"/>
            </w:r>
            <w:r w:rsidRPr="00A94080">
              <w:rPr>
                <w:rStyle w:val="Hyperlink"/>
                <w:rFonts w:eastAsia="Calibri" w:cs="Calibri"/>
                <w:spacing w:val="2"/>
                <w:sz w:val="22"/>
                <w:szCs w:val="22"/>
                <w:lang w:eastAsia="zh-CN"/>
              </w:rPr>
              <w:t>106</w:t>
            </w:r>
            <w:r>
              <w:fldChar w:fldCharType="end"/>
            </w:r>
            <w:r w:rsidRPr="00A94080">
              <w:rPr>
                <w:rFonts w:asciiTheme="minorHAnsi" w:eastAsia="STKaiti" w:hAnsiTheme="minorHAnsi" w:cs="Microsoft YaHei" w:hint="eastAsia"/>
                <w:sz w:val="22"/>
                <w:szCs w:val="22"/>
                <w:lang w:eastAsia="zh-CN"/>
              </w:rPr>
              <w:t>号决议（</w:t>
            </w:r>
            <w:r w:rsidRPr="00A94080">
              <w:rPr>
                <w:rFonts w:asciiTheme="minorHAnsi" w:eastAsia="STKaiti" w:hAnsiTheme="minorHAnsi" w:cs="Calibri" w:hint="eastAsia"/>
                <w:sz w:val="22"/>
                <w:szCs w:val="22"/>
                <w:lang w:eastAsia="zh-CN"/>
              </w:rPr>
              <w:t>2024</w:t>
            </w:r>
            <w:r w:rsidRPr="00A94080">
              <w:rPr>
                <w:rFonts w:asciiTheme="minorHAnsi" w:eastAsia="STKaiti" w:hAnsiTheme="minorHAnsi" w:cs="Microsoft YaHei" w:hint="eastAsia"/>
                <w:sz w:val="22"/>
                <w:szCs w:val="22"/>
                <w:lang w:eastAsia="zh-CN"/>
              </w:rPr>
              <w:t>年</w:t>
            </w:r>
            <w:r>
              <w:rPr>
                <w:rFonts w:asciiTheme="minorHAnsi" w:eastAsia="STKaiti" w:hAnsiTheme="minorHAnsi" w:cs="Microsoft YaHei" w:hint="eastAsia"/>
                <w:sz w:val="22"/>
                <w:szCs w:val="22"/>
                <w:lang w:eastAsia="zh-CN"/>
              </w:rPr>
              <w:t>，</w:t>
            </w:r>
            <w:r w:rsidR="00874AE7">
              <w:rPr>
                <w:rFonts w:asciiTheme="minorHAnsi" w:eastAsia="STKaiti" w:hAnsiTheme="minorHAnsi" w:cs="Microsoft YaHei" w:hint="eastAsia"/>
                <w:sz w:val="22"/>
                <w:szCs w:val="22"/>
                <w:lang w:eastAsia="zh-CN"/>
              </w:rPr>
              <w:t>新</w:t>
            </w:r>
            <w:r w:rsidRPr="00A94080">
              <w:rPr>
                <w:rFonts w:asciiTheme="minorHAnsi" w:eastAsia="STKaiti" w:hAnsiTheme="minorHAnsi" w:cs="Microsoft YaHei" w:hint="eastAsia"/>
                <w:sz w:val="22"/>
                <w:szCs w:val="22"/>
                <w:lang w:eastAsia="zh-CN"/>
              </w:rPr>
              <w:t>德里，修订版）、理事会第</w:t>
            </w:r>
            <w:r>
              <w:fldChar w:fldCharType="begin"/>
            </w:r>
            <w:r>
              <w:rPr>
                <w:lang w:eastAsia="zh-CN"/>
              </w:rPr>
              <w:instrText>HYPERLINK "https://www.itu.int/md/S24-CL-C-0142/en"</w:instrText>
            </w:r>
            <w:r>
              <w:fldChar w:fldCharType="separate"/>
            </w:r>
            <w:r w:rsidRPr="00A94080">
              <w:rPr>
                <w:rStyle w:val="Hyperlink"/>
                <w:rFonts w:eastAsia="Calibri" w:cs="Calibri"/>
                <w:sz w:val="22"/>
                <w:szCs w:val="22"/>
                <w:lang w:eastAsia="zh-CN"/>
              </w:rPr>
              <w:t>1429</w:t>
            </w:r>
            <w:r>
              <w:fldChar w:fldCharType="end"/>
            </w:r>
            <w:r w:rsidRPr="00A94080">
              <w:rPr>
                <w:rFonts w:asciiTheme="minorHAnsi" w:eastAsia="STKaiti" w:hAnsiTheme="minorHAnsi" w:cs="Microsoft YaHei" w:hint="eastAsia"/>
                <w:sz w:val="22"/>
                <w:szCs w:val="22"/>
                <w:lang w:eastAsia="zh-CN"/>
              </w:rPr>
              <w:t>号决议（</w:t>
            </w:r>
            <w:r w:rsidRPr="00A94080">
              <w:rPr>
                <w:rFonts w:asciiTheme="minorHAnsi" w:eastAsia="STKaiti" w:hAnsiTheme="minorHAnsi" w:cs="Calibri" w:hint="eastAsia"/>
                <w:sz w:val="22"/>
                <w:szCs w:val="22"/>
                <w:lang w:eastAsia="zh-CN"/>
              </w:rPr>
              <w:t>2024</w:t>
            </w:r>
            <w:r w:rsidRPr="00A94080">
              <w:rPr>
                <w:rFonts w:asciiTheme="minorHAnsi" w:eastAsia="STKaiti" w:hAnsiTheme="minorHAnsi" w:cs="Microsoft YaHei" w:hint="eastAsia"/>
                <w:sz w:val="22"/>
                <w:szCs w:val="22"/>
                <w:lang w:eastAsia="zh-CN"/>
              </w:rPr>
              <w:t>年，日内瓦）</w:t>
            </w:r>
          </w:p>
        </w:tc>
      </w:tr>
      <w:bookmarkEnd w:id="2"/>
      <w:bookmarkEnd w:id="6"/>
    </w:tbl>
    <w:p w14:paraId="2C37FC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7AE4E7E9"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8F70D4E" w14:textId="2C2EE2DC" w:rsidR="009476DC" w:rsidRPr="00E90CDB" w:rsidRDefault="009476DC" w:rsidP="00380674">
      <w:pPr>
        <w:ind w:firstLineChars="200" w:firstLine="480"/>
        <w:rPr>
          <w:rFonts w:asciiTheme="minorHAnsi" w:eastAsia="Calibri" w:hAnsiTheme="minorHAnsi" w:cstheme="minorHAnsi"/>
          <w:i/>
          <w:iCs/>
          <w:szCs w:val="24"/>
          <w:lang w:val="en-US" w:eastAsia="zh-CN"/>
        </w:rPr>
      </w:pPr>
      <w:r w:rsidRPr="00A94080">
        <w:rPr>
          <w:rFonts w:asciiTheme="minorHAnsi" w:eastAsia="STKaiti" w:hAnsiTheme="minorHAnsi" w:cs="Microsoft YaHei" w:hint="eastAsia"/>
          <w:szCs w:val="24"/>
          <w:lang w:val="en-US" w:eastAsia="zh-CN"/>
        </w:rPr>
        <w:lastRenderedPageBreak/>
        <w:t>本文件</w:t>
      </w:r>
      <w:r>
        <w:rPr>
          <w:rFonts w:asciiTheme="minorHAnsi" w:eastAsia="STKaiti" w:hAnsiTheme="minorHAnsi" w:cs="Microsoft YaHei" w:hint="eastAsia"/>
          <w:szCs w:val="24"/>
          <w:lang w:val="en-US" w:eastAsia="zh-CN"/>
        </w:rPr>
        <w:t>是对</w:t>
      </w:r>
      <w:hyperlink r:id="rId8" w:history="1">
        <w:r w:rsidRPr="0044192D">
          <w:rPr>
            <w:rStyle w:val="Hyperlink"/>
            <w:rFonts w:asciiTheme="minorHAnsi" w:eastAsia="Calibri" w:hAnsiTheme="minorHAnsi" w:cstheme="minorHAnsi"/>
            <w:szCs w:val="24"/>
            <w:lang w:val="en-US" w:eastAsia="zh-CN"/>
          </w:rPr>
          <w:t>C25/35</w:t>
        </w:r>
      </w:hyperlink>
      <w:r w:rsidRPr="00A94080">
        <w:rPr>
          <w:rFonts w:asciiTheme="minorHAnsi" w:eastAsia="STKaiti" w:hAnsiTheme="minorHAnsi" w:cs="Microsoft YaHei" w:hint="eastAsia"/>
          <w:szCs w:val="24"/>
          <w:lang w:val="en-US" w:eastAsia="zh-CN"/>
        </w:rPr>
        <w:t>号文件概述的气候</w:t>
      </w:r>
      <w:r w:rsidR="00874AE7">
        <w:rPr>
          <w:rFonts w:asciiTheme="minorHAnsi" w:eastAsia="STKaiti" w:hAnsiTheme="minorHAnsi" w:cs="Microsoft YaHei" w:hint="eastAsia"/>
          <w:szCs w:val="24"/>
          <w:lang w:val="en-US" w:eastAsia="zh-CN"/>
        </w:rPr>
        <w:t>行动</w:t>
      </w:r>
      <w:r w:rsidRPr="00A94080">
        <w:rPr>
          <w:rFonts w:asciiTheme="minorHAnsi" w:eastAsia="STKaiti" w:hAnsiTheme="minorHAnsi" w:cs="Microsoft YaHei" w:hint="eastAsia"/>
          <w:szCs w:val="24"/>
          <w:lang w:val="en-US" w:eastAsia="zh-CN"/>
        </w:rPr>
        <w:t>和</w:t>
      </w:r>
      <w:r>
        <w:rPr>
          <w:rFonts w:asciiTheme="minorHAnsi" w:eastAsia="STKaiti" w:hAnsiTheme="minorHAnsi" w:cs="Microsoft YaHei" w:hint="eastAsia"/>
          <w:szCs w:val="24"/>
          <w:lang w:val="en-US" w:eastAsia="zh-CN"/>
        </w:rPr>
        <w:t>具有</w:t>
      </w:r>
      <w:r w:rsidRPr="00A94080">
        <w:rPr>
          <w:rFonts w:asciiTheme="minorHAnsi" w:eastAsia="STKaiti" w:hAnsiTheme="minorHAnsi" w:cs="Microsoft YaHei" w:hint="eastAsia"/>
          <w:szCs w:val="24"/>
          <w:lang w:val="en-US" w:eastAsia="zh-CN"/>
        </w:rPr>
        <w:t>环境可持续</w:t>
      </w:r>
      <w:r>
        <w:rPr>
          <w:rFonts w:asciiTheme="minorHAnsi" w:eastAsia="STKaiti" w:hAnsiTheme="minorHAnsi" w:cs="Microsoft YaHei" w:hint="eastAsia"/>
          <w:szCs w:val="24"/>
          <w:lang w:val="en-US" w:eastAsia="zh-CN"/>
        </w:rPr>
        <w:t>性</w:t>
      </w:r>
      <w:r w:rsidRPr="00A94080">
        <w:rPr>
          <w:rFonts w:asciiTheme="minorHAnsi" w:eastAsia="STKaiti" w:hAnsiTheme="minorHAnsi" w:cs="Microsoft YaHei" w:hint="eastAsia"/>
          <w:szCs w:val="24"/>
          <w:lang w:val="en-US" w:eastAsia="zh-CN"/>
        </w:rPr>
        <w:t>的数字化转型活动</w:t>
      </w:r>
      <w:r>
        <w:rPr>
          <w:rFonts w:asciiTheme="minorHAnsi" w:eastAsia="STKaiti" w:hAnsiTheme="minorHAnsi" w:cs="Microsoft YaHei" w:hint="eastAsia"/>
          <w:szCs w:val="24"/>
          <w:lang w:val="en-US" w:eastAsia="zh-CN"/>
        </w:rPr>
        <w:t>的补充</w:t>
      </w:r>
      <w:r w:rsidRPr="00A94080">
        <w:rPr>
          <w:rFonts w:asciiTheme="minorHAnsi" w:eastAsia="STKaiti" w:hAnsiTheme="minorHAnsi" w:cs="Microsoft YaHei" w:hint="eastAsia"/>
          <w:szCs w:val="24"/>
          <w:lang w:val="en-US" w:eastAsia="zh-CN"/>
        </w:rPr>
        <w:t>。</w:t>
      </w:r>
    </w:p>
    <w:p w14:paraId="08C62B6D" w14:textId="77777777" w:rsidR="009476DC" w:rsidRPr="00E90CDB" w:rsidRDefault="009476DC" w:rsidP="00380674">
      <w:pPr>
        <w:ind w:firstLineChars="200" w:firstLine="480"/>
        <w:jc w:val="both"/>
        <w:rPr>
          <w:lang w:eastAsia="zh-CN"/>
        </w:rPr>
      </w:pPr>
      <w:r w:rsidRPr="00A94080">
        <w:rPr>
          <w:rFonts w:asciiTheme="minorHAnsi" w:hAnsiTheme="minorHAnsi" w:cs="Microsoft YaHei" w:hint="eastAsia"/>
          <w:lang w:val="en-US" w:eastAsia="zh-CN"/>
        </w:rPr>
        <w:t>国际电</w:t>
      </w:r>
      <w:proofErr w:type="gramStart"/>
      <w:r w:rsidRPr="00A94080">
        <w:rPr>
          <w:rFonts w:asciiTheme="minorHAnsi" w:hAnsiTheme="minorHAnsi" w:cs="Microsoft YaHei" w:hint="eastAsia"/>
          <w:lang w:val="en-US" w:eastAsia="zh-CN"/>
        </w:rPr>
        <w:t>联处于</w:t>
      </w:r>
      <w:proofErr w:type="gramEnd"/>
      <w:r>
        <w:rPr>
          <w:rFonts w:asciiTheme="minorHAnsi" w:hAnsiTheme="minorHAnsi" w:cs="Microsoft YaHei" w:hint="eastAsia"/>
          <w:lang w:val="en-US" w:eastAsia="zh-CN"/>
        </w:rPr>
        <w:t>落实各项全球举措</w:t>
      </w:r>
      <w:r w:rsidRPr="00A94080">
        <w:rPr>
          <w:rFonts w:asciiTheme="minorHAnsi" w:hAnsiTheme="minorHAnsi" w:cs="Microsoft YaHei" w:hint="eastAsia"/>
          <w:lang w:val="en-US" w:eastAsia="zh-CN"/>
        </w:rPr>
        <w:t>的最前沿</w:t>
      </w:r>
      <w:r>
        <w:rPr>
          <w:rFonts w:asciiTheme="minorHAnsi" w:hAnsiTheme="minorHAnsi" w:cs="Microsoft YaHei" w:hint="eastAsia"/>
          <w:lang w:val="en-US" w:eastAsia="zh-CN"/>
        </w:rPr>
        <w:t>，致力于</w:t>
      </w:r>
      <w:r w:rsidRPr="00A94080">
        <w:rPr>
          <w:rFonts w:asciiTheme="minorHAnsi" w:hAnsiTheme="minorHAnsi" w:cs="Microsoft YaHei" w:hint="eastAsia"/>
          <w:lang w:val="en-US" w:eastAsia="zh-CN"/>
        </w:rPr>
        <w:t>提高环境效率、促进循环数字经济</w:t>
      </w:r>
      <w:r>
        <w:rPr>
          <w:rFonts w:asciiTheme="minorHAnsi" w:hAnsiTheme="minorHAnsi" w:cs="Microsoft YaHei" w:hint="eastAsia"/>
          <w:lang w:val="en-US" w:eastAsia="zh-CN"/>
        </w:rPr>
        <w:t>发展</w:t>
      </w:r>
      <w:r w:rsidRPr="00A94080">
        <w:rPr>
          <w:rFonts w:asciiTheme="minorHAnsi" w:hAnsiTheme="minorHAnsi" w:cs="Microsoft YaHei" w:hint="eastAsia"/>
          <w:lang w:val="en-US" w:eastAsia="zh-CN"/>
        </w:rPr>
        <w:t>、减少电子废弃物和温室气体（</w:t>
      </w:r>
      <w:r w:rsidRPr="00A94080">
        <w:rPr>
          <w:rFonts w:asciiTheme="minorHAnsi" w:hAnsiTheme="minorHAnsi" w:hint="eastAsia"/>
          <w:lang w:val="en-US" w:eastAsia="zh-CN"/>
        </w:rPr>
        <w:t>GHG</w:t>
      </w:r>
      <w:r w:rsidRPr="00A94080">
        <w:rPr>
          <w:rFonts w:asciiTheme="minorHAnsi" w:hAnsiTheme="minorHAnsi" w:cs="Microsoft YaHei" w:hint="eastAsia"/>
          <w:lang w:val="en-US" w:eastAsia="zh-CN"/>
        </w:rPr>
        <w:t>）排放</w:t>
      </w:r>
      <w:r>
        <w:rPr>
          <w:rFonts w:asciiTheme="minorHAnsi" w:hAnsiTheme="minorHAnsi" w:cs="Microsoft YaHei" w:hint="eastAsia"/>
          <w:lang w:val="en-US" w:eastAsia="zh-CN"/>
        </w:rPr>
        <w:t>，</w:t>
      </w:r>
      <w:r w:rsidRPr="00A94080">
        <w:rPr>
          <w:rFonts w:asciiTheme="minorHAnsi" w:hAnsiTheme="minorHAnsi" w:cs="Microsoft YaHei" w:hint="eastAsia"/>
          <w:lang w:val="en-US" w:eastAsia="zh-CN"/>
        </w:rPr>
        <w:t>并</w:t>
      </w:r>
      <w:r>
        <w:rPr>
          <w:rFonts w:asciiTheme="minorHAnsi" w:hAnsiTheme="minorHAnsi" w:cs="Microsoft YaHei" w:hint="eastAsia"/>
          <w:lang w:val="en-US" w:eastAsia="zh-CN"/>
        </w:rPr>
        <w:t>推动信息通信技术（</w:t>
      </w:r>
      <w:r w:rsidRPr="00A94080">
        <w:rPr>
          <w:rFonts w:asciiTheme="minorHAnsi" w:hAnsiTheme="minorHAnsi" w:hint="eastAsia"/>
          <w:lang w:val="en-US" w:eastAsia="zh-CN"/>
        </w:rPr>
        <w:t>ICT</w:t>
      </w:r>
      <w:r>
        <w:rPr>
          <w:rFonts w:asciiTheme="minorHAnsi" w:hAnsiTheme="minorHAnsi" w:hint="eastAsia"/>
          <w:lang w:val="en-US" w:eastAsia="zh-CN"/>
        </w:rPr>
        <w:t>）</w:t>
      </w:r>
      <w:r w:rsidRPr="00A94080">
        <w:rPr>
          <w:rFonts w:asciiTheme="minorHAnsi" w:hAnsiTheme="minorHAnsi" w:cs="Microsoft YaHei" w:hint="eastAsia"/>
          <w:lang w:val="en-US" w:eastAsia="zh-CN"/>
        </w:rPr>
        <w:t>行业</w:t>
      </w:r>
      <w:r>
        <w:rPr>
          <w:rFonts w:asciiTheme="minorHAnsi" w:hAnsiTheme="minorHAnsi" w:cs="Microsoft YaHei" w:hint="eastAsia"/>
          <w:lang w:val="en-US" w:eastAsia="zh-CN"/>
        </w:rPr>
        <w:t>走在</w:t>
      </w:r>
      <w:r w:rsidRPr="00A94080">
        <w:rPr>
          <w:rFonts w:asciiTheme="minorHAnsi" w:hAnsiTheme="minorHAnsi" w:cs="Microsoft YaHei" w:hint="eastAsia"/>
          <w:lang w:val="en-US" w:eastAsia="zh-CN"/>
        </w:rPr>
        <w:t>气候和环境行动</w:t>
      </w:r>
      <w:r>
        <w:rPr>
          <w:rFonts w:asciiTheme="minorHAnsi" w:hAnsiTheme="minorHAnsi" w:cs="Microsoft YaHei" w:hint="eastAsia"/>
          <w:lang w:val="en-US" w:eastAsia="zh-CN"/>
        </w:rPr>
        <w:t>的</w:t>
      </w:r>
      <w:r w:rsidRPr="00A94080">
        <w:rPr>
          <w:rFonts w:asciiTheme="minorHAnsi" w:hAnsiTheme="minorHAnsi" w:cs="Microsoft YaHei" w:hint="eastAsia"/>
          <w:lang w:val="en-US" w:eastAsia="zh-CN"/>
        </w:rPr>
        <w:t>最前</w:t>
      </w:r>
      <w:r>
        <w:rPr>
          <w:rFonts w:asciiTheme="minorHAnsi" w:hAnsiTheme="minorHAnsi" w:cs="Microsoft YaHei" w:hint="eastAsia"/>
          <w:lang w:val="en-US" w:eastAsia="zh-CN"/>
        </w:rPr>
        <w:t>列。</w:t>
      </w:r>
    </w:p>
    <w:p w14:paraId="357CB004" w14:textId="748DECF3" w:rsidR="009476DC" w:rsidRPr="00A94080" w:rsidRDefault="00874AE7" w:rsidP="009476DC">
      <w:pPr>
        <w:pStyle w:val="Headingb"/>
        <w:rPr>
          <w:rFonts w:asciiTheme="minorHAnsi" w:hAnsiTheme="minorHAnsi"/>
          <w:lang w:eastAsia="zh-CN"/>
        </w:rPr>
      </w:pPr>
      <w:r w:rsidRPr="00874AE7">
        <w:rPr>
          <w:rFonts w:asciiTheme="minorHAnsi" w:hAnsiTheme="minorHAnsi" w:cs="Microsoft YaHei" w:hint="eastAsia"/>
          <w:lang w:val="en-US" w:eastAsia="zh-CN"/>
        </w:rPr>
        <w:t>为</w:t>
      </w:r>
      <w:r>
        <w:rPr>
          <w:rFonts w:asciiTheme="minorHAnsi" w:hAnsiTheme="minorHAnsi" w:cs="Microsoft YaHei" w:hint="eastAsia"/>
          <w:lang w:val="en-US" w:eastAsia="zh-CN"/>
        </w:rPr>
        <w:t>《</w:t>
      </w:r>
      <w:r w:rsidRPr="00874AE7">
        <w:rPr>
          <w:rFonts w:asciiTheme="minorHAnsi" w:hAnsiTheme="minorHAnsi" w:cs="Microsoft YaHei" w:hint="eastAsia"/>
          <w:lang w:val="en-US" w:eastAsia="zh-CN"/>
        </w:rPr>
        <w:t>联合国气候变化框架公约</w:t>
      </w:r>
      <w:r>
        <w:rPr>
          <w:rFonts w:asciiTheme="minorHAnsi" w:hAnsiTheme="minorHAnsi" w:cs="Microsoft YaHei" w:hint="eastAsia"/>
          <w:lang w:val="en-US" w:eastAsia="zh-CN"/>
        </w:rPr>
        <w:t>》</w:t>
      </w:r>
      <w:r w:rsidRPr="00874AE7">
        <w:rPr>
          <w:rFonts w:asciiTheme="minorHAnsi" w:hAnsiTheme="minorHAnsi" w:cs="Microsoft YaHei" w:hint="eastAsia"/>
          <w:lang w:val="en-US" w:eastAsia="zh-CN"/>
        </w:rPr>
        <w:t>进程和其他国际平台做出贡献</w:t>
      </w:r>
    </w:p>
    <w:p w14:paraId="0B7964DF" w14:textId="1504BF9A" w:rsidR="009476DC" w:rsidRPr="00A94080" w:rsidRDefault="009476DC" w:rsidP="00796C8B">
      <w:pPr>
        <w:ind w:firstLineChars="200" w:firstLine="480"/>
        <w:rPr>
          <w:lang w:val="en-US" w:eastAsia="zh-CN"/>
        </w:rPr>
      </w:pPr>
      <w:r w:rsidRPr="00A94080">
        <w:rPr>
          <w:rFonts w:hint="eastAsia"/>
          <w:lang w:eastAsia="zh-CN"/>
        </w:rPr>
        <w:t>《联合国气候变化框架公约》（</w:t>
      </w:r>
      <w:r w:rsidRPr="00A94080">
        <w:rPr>
          <w:rFonts w:hint="eastAsia"/>
          <w:lang w:eastAsia="zh-CN"/>
        </w:rPr>
        <w:t>UNFCCC</w:t>
      </w:r>
      <w:r w:rsidRPr="00A94080">
        <w:rPr>
          <w:rFonts w:hint="eastAsia"/>
          <w:lang w:eastAsia="zh-CN"/>
        </w:rPr>
        <w:t>）</w:t>
      </w:r>
      <w:r>
        <w:rPr>
          <w:rFonts w:hint="eastAsia"/>
          <w:lang w:eastAsia="zh-CN"/>
        </w:rPr>
        <w:t>第</w:t>
      </w:r>
      <w:r>
        <w:rPr>
          <w:rFonts w:hint="eastAsia"/>
          <w:lang w:eastAsia="zh-CN"/>
        </w:rPr>
        <w:t>29</w:t>
      </w:r>
      <w:r>
        <w:rPr>
          <w:rFonts w:hint="eastAsia"/>
          <w:lang w:eastAsia="zh-CN"/>
        </w:rPr>
        <w:t>次</w:t>
      </w:r>
      <w:r w:rsidRPr="00A94080">
        <w:rPr>
          <w:rFonts w:hint="eastAsia"/>
          <w:lang w:eastAsia="zh-CN"/>
        </w:rPr>
        <w:t>缔约方大会（</w:t>
      </w:r>
      <w:proofErr w:type="spellStart"/>
      <w:r w:rsidRPr="00A94080">
        <w:rPr>
          <w:rFonts w:hint="eastAsia"/>
          <w:lang w:eastAsia="zh-CN"/>
        </w:rPr>
        <w:t>COP29</w:t>
      </w:r>
      <w:proofErr w:type="spellEnd"/>
      <w:r w:rsidRPr="00A94080">
        <w:rPr>
          <w:rFonts w:hint="eastAsia"/>
          <w:lang w:eastAsia="zh-CN"/>
        </w:rPr>
        <w:t>）实现了一个关键里程碑。</w:t>
      </w:r>
      <w:proofErr w:type="spellStart"/>
      <w:r w:rsidRPr="00A94080">
        <w:rPr>
          <w:rFonts w:hint="eastAsia"/>
          <w:lang w:eastAsia="zh-CN"/>
        </w:rPr>
        <w:t>COP29</w:t>
      </w:r>
      <w:proofErr w:type="spellEnd"/>
      <w:r w:rsidRPr="00A94080">
        <w:rPr>
          <w:rFonts w:hint="eastAsia"/>
          <w:lang w:eastAsia="zh-CN"/>
        </w:rPr>
        <w:t>主席国阿塞拜疆通过了</w:t>
      </w:r>
      <w:r>
        <w:rPr>
          <w:rFonts w:hint="eastAsia"/>
          <w:lang w:eastAsia="zh-CN"/>
        </w:rPr>
        <w:t>“</w:t>
      </w:r>
      <w:r w:rsidRPr="00A94080">
        <w:rPr>
          <w:rFonts w:hint="eastAsia"/>
          <w:lang w:eastAsia="zh-CN"/>
        </w:rPr>
        <w:t>绿色数字行动</w:t>
      </w:r>
      <w:r>
        <w:rPr>
          <w:rFonts w:hint="eastAsia"/>
          <w:lang w:eastAsia="zh-CN"/>
        </w:rPr>
        <w:t>”</w:t>
      </w:r>
      <w:r w:rsidRPr="00A94080">
        <w:rPr>
          <w:rFonts w:hint="eastAsia"/>
          <w:lang w:eastAsia="zh-CN"/>
        </w:rPr>
        <w:t>，作为其</w:t>
      </w:r>
      <w:r>
        <w:rPr>
          <w:rFonts w:hint="eastAsia"/>
          <w:lang w:eastAsia="zh-CN"/>
        </w:rPr>
        <w:t>《</w:t>
      </w:r>
      <w:r w:rsidRPr="00A94080">
        <w:rPr>
          <w:rFonts w:hint="eastAsia"/>
          <w:lang w:eastAsia="zh-CN"/>
        </w:rPr>
        <w:t>行动议程</w:t>
      </w:r>
      <w:r>
        <w:rPr>
          <w:rFonts w:hint="eastAsia"/>
          <w:lang w:eastAsia="zh-CN"/>
        </w:rPr>
        <w:t>》</w:t>
      </w:r>
      <w:r w:rsidRPr="00A94080">
        <w:rPr>
          <w:rFonts w:hint="eastAsia"/>
          <w:lang w:eastAsia="zh-CN"/>
        </w:rPr>
        <w:t>下的</w:t>
      </w:r>
      <w:r w:rsidRPr="00A94080">
        <w:rPr>
          <w:rFonts w:hint="eastAsia"/>
          <w:lang w:eastAsia="zh-CN"/>
        </w:rPr>
        <w:t>14</w:t>
      </w:r>
      <w:r w:rsidRPr="00A94080">
        <w:rPr>
          <w:rFonts w:hint="eastAsia"/>
          <w:lang w:eastAsia="zh-CN"/>
        </w:rPr>
        <w:t>项全球</w:t>
      </w:r>
      <w:r>
        <w:rPr>
          <w:rFonts w:hint="eastAsia"/>
          <w:lang w:eastAsia="zh-CN"/>
        </w:rPr>
        <w:t>举措</w:t>
      </w:r>
      <w:r w:rsidRPr="00A94080">
        <w:rPr>
          <w:rFonts w:hint="eastAsia"/>
          <w:lang w:eastAsia="zh-CN"/>
        </w:rPr>
        <w:t>之一。在气候大会上首次宣布</w:t>
      </w:r>
      <w:r>
        <w:rPr>
          <w:rFonts w:hint="eastAsia"/>
          <w:lang w:eastAsia="zh-CN"/>
        </w:rPr>
        <w:t>设置</w:t>
      </w:r>
      <w:r w:rsidRPr="00A94080">
        <w:rPr>
          <w:rFonts w:hint="eastAsia"/>
          <w:lang w:eastAsia="zh-CN"/>
        </w:rPr>
        <w:t>“数字化日”，正式承认数字技术在气候行动中的关键作用，包括减少行业影响和</w:t>
      </w:r>
      <w:r>
        <w:rPr>
          <w:rFonts w:hint="eastAsia"/>
          <w:lang w:eastAsia="zh-CN"/>
        </w:rPr>
        <w:t>提高</w:t>
      </w:r>
      <w:r w:rsidRPr="00A94080">
        <w:rPr>
          <w:rFonts w:hint="eastAsia"/>
          <w:lang w:eastAsia="zh-CN"/>
        </w:rPr>
        <w:t>数字包容性。</w:t>
      </w:r>
    </w:p>
    <w:p w14:paraId="4B1F6334" w14:textId="7509DE29" w:rsidR="009476DC" w:rsidRPr="00A94080" w:rsidRDefault="00874AE7" w:rsidP="00796C8B">
      <w:pPr>
        <w:ind w:firstLineChars="200" w:firstLine="480"/>
        <w:rPr>
          <w:lang w:eastAsia="zh-CN"/>
        </w:rPr>
      </w:pPr>
      <w:r>
        <w:rPr>
          <w:rFonts w:hint="eastAsia"/>
          <w:lang w:eastAsia="zh-CN"/>
        </w:rPr>
        <w:t>2024</w:t>
      </w:r>
      <w:r>
        <w:rPr>
          <w:rFonts w:hint="eastAsia"/>
          <w:lang w:eastAsia="zh-CN"/>
        </w:rPr>
        <w:t>年</w:t>
      </w:r>
      <w:r w:rsidR="009476DC" w:rsidRPr="00A94080">
        <w:rPr>
          <w:rFonts w:hint="eastAsia"/>
          <w:lang w:eastAsia="zh-CN"/>
        </w:rPr>
        <w:t>11</w:t>
      </w:r>
      <w:r w:rsidR="009476DC" w:rsidRPr="00A94080">
        <w:rPr>
          <w:rFonts w:hint="eastAsia"/>
          <w:lang w:eastAsia="zh-CN"/>
        </w:rPr>
        <w:t>月</w:t>
      </w:r>
      <w:r w:rsidR="009476DC" w:rsidRPr="00A94080">
        <w:rPr>
          <w:rFonts w:hint="eastAsia"/>
          <w:lang w:eastAsia="zh-CN"/>
        </w:rPr>
        <w:t>16</w:t>
      </w:r>
      <w:r w:rsidR="009476DC" w:rsidRPr="00A94080">
        <w:rPr>
          <w:rFonts w:hint="eastAsia"/>
          <w:lang w:eastAsia="zh-CN"/>
        </w:rPr>
        <w:t>日</w:t>
      </w:r>
      <w:r w:rsidR="009476DC">
        <w:rPr>
          <w:rFonts w:hint="eastAsia"/>
          <w:lang w:eastAsia="zh-CN"/>
        </w:rPr>
        <w:t>是“</w:t>
      </w:r>
      <w:r w:rsidR="009476DC" w:rsidRPr="00A94080">
        <w:rPr>
          <w:rFonts w:hint="eastAsia"/>
          <w:lang w:eastAsia="zh-CN"/>
        </w:rPr>
        <w:t>数字化日</w:t>
      </w:r>
      <w:r w:rsidR="009476DC">
        <w:rPr>
          <w:rFonts w:hint="eastAsia"/>
          <w:lang w:eastAsia="zh-CN"/>
        </w:rPr>
        <w:t>”，</w:t>
      </w:r>
      <w:r w:rsidR="009476DC" w:rsidRPr="00A94080">
        <w:rPr>
          <w:rFonts w:hint="eastAsia"/>
          <w:lang w:eastAsia="zh-CN"/>
        </w:rPr>
        <w:t>举办了数字行动高级别圆桌会议，</w:t>
      </w:r>
      <w:r w:rsidR="009476DC">
        <w:rPr>
          <w:rFonts w:hint="eastAsia"/>
          <w:lang w:eastAsia="zh-CN"/>
        </w:rPr>
        <w:t>各位</w:t>
      </w:r>
      <w:r w:rsidR="009476DC" w:rsidRPr="00A94080">
        <w:rPr>
          <w:rFonts w:hint="eastAsia"/>
          <w:lang w:eastAsia="zh-CN"/>
        </w:rPr>
        <w:t>部长、行业领袖和决策者探讨了如何利用数字技术应对气候相关挑战</w:t>
      </w:r>
      <w:r w:rsidR="009476DC">
        <w:rPr>
          <w:rFonts w:hint="eastAsia"/>
          <w:lang w:eastAsia="zh-CN"/>
        </w:rPr>
        <w:t>，以及完</w:t>
      </w:r>
      <w:r w:rsidR="009476DC" w:rsidRPr="00A94080">
        <w:rPr>
          <w:rFonts w:hint="eastAsia"/>
          <w:lang w:eastAsia="zh-CN"/>
        </w:rPr>
        <w:t>善应急准备和响应</w:t>
      </w:r>
      <w:r w:rsidR="009476DC">
        <w:rPr>
          <w:rFonts w:hint="eastAsia"/>
          <w:lang w:eastAsia="zh-CN"/>
        </w:rPr>
        <w:t>工作</w:t>
      </w:r>
      <w:r w:rsidR="009476DC" w:rsidRPr="00A94080">
        <w:rPr>
          <w:rFonts w:hint="eastAsia"/>
          <w:lang w:eastAsia="zh-CN"/>
        </w:rPr>
        <w:t>。</w:t>
      </w:r>
    </w:p>
    <w:p w14:paraId="0E2D9178" w14:textId="77777777" w:rsidR="009476DC" w:rsidRPr="00A94080" w:rsidRDefault="009476DC" w:rsidP="00796C8B">
      <w:pPr>
        <w:ind w:firstLineChars="200" w:firstLine="480"/>
        <w:rPr>
          <w:lang w:eastAsia="zh-CN"/>
        </w:rPr>
      </w:pPr>
      <w:r>
        <w:rPr>
          <w:rFonts w:hint="eastAsia"/>
          <w:lang w:eastAsia="zh-CN"/>
        </w:rPr>
        <w:t>“数字化日”</w:t>
      </w:r>
      <w:r w:rsidRPr="00A94080">
        <w:rPr>
          <w:rFonts w:hint="eastAsia"/>
          <w:lang w:eastAsia="zh-CN"/>
        </w:rPr>
        <w:t>以各国政府、行业组织和科技公司通过首</w:t>
      </w:r>
      <w:r>
        <w:rPr>
          <w:rFonts w:hint="eastAsia"/>
          <w:lang w:eastAsia="zh-CN"/>
        </w:rPr>
        <w:t>个</w:t>
      </w:r>
      <w:hyperlink r:id="rId9" w:history="1">
        <w:r w:rsidRPr="00141874">
          <w:rPr>
            <w:rStyle w:val="Hyperlink"/>
            <w:rFonts w:asciiTheme="minorHAnsi" w:eastAsia="SimSun" w:hAnsiTheme="minorHAnsi" w:hint="eastAsia"/>
            <w:lang w:eastAsia="zh-CN"/>
          </w:rPr>
          <w:t>COP29</w:t>
        </w:r>
        <w:r w:rsidRPr="00141874">
          <w:rPr>
            <w:rStyle w:val="Hyperlink"/>
            <w:rFonts w:asciiTheme="minorHAnsi" w:eastAsia="SimSun" w:hAnsiTheme="minorHAnsi" w:hint="eastAsia"/>
            <w:lang w:eastAsia="zh-CN"/>
          </w:rPr>
          <w:t>《绿色数字行动宣言》</w:t>
        </w:r>
      </w:hyperlink>
      <w:r>
        <w:rPr>
          <w:rFonts w:hint="eastAsia"/>
          <w:lang w:eastAsia="zh-CN"/>
        </w:rPr>
        <w:t>落幕</w:t>
      </w:r>
      <w:r w:rsidRPr="00A94080">
        <w:rPr>
          <w:rFonts w:hint="eastAsia"/>
          <w:lang w:eastAsia="zh-CN"/>
        </w:rPr>
        <w:t>。宣言呼吁全行业</w:t>
      </w:r>
      <w:r>
        <w:rPr>
          <w:rFonts w:hint="eastAsia"/>
          <w:lang w:eastAsia="zh-CN"/>
        </w:rPr>
        <w:t>合作</w:t>
      </w:r>
      <w:r w:rsidRPr="00A94080">
        <w:rPr>
          <w:rFonts w:hint="eastAsia"/>
          <w:lang w:eastAsia="zh-CN"/>
        </w:rPr>
        <w:t>加强气候监测</w:t>
      </w:r>
      <w:r>
        <w:rPr>
          <w:rFonts w:hint="eastAsia"/>
          <w:lang w:eastAsia="zh-CN"/>
        </w:rPr>
        <w:t>、</w:t>
      </w:r>
      <w:r w:rsidRPr="00A94080">
        <w:rPr>
          <w:rFonts w:hint="eastAsia"/>
          <w:lang w:eastAsia="zh-CN"/>
        </w:rPr>
        <w:t>加快减排</w:t>
      </w:r>
      <w:r>
        <w:rPr>
          <w:rFonts w:hint="eastAsia"/>
          <w:lang w:eastAsia="zh-CN"/>
        </w:rPr>
        <w:t>，以及</w:t>
      </w:r>
      <w:r w:rsidRPr="00A94080">
        <w:rPr>
          <w:rFonts w:hint="eastAsia"/>
          <w:lang w:eastAsia="zh-CN"/>
        </w:rPr>
        <w:t>扩大包容</w:t>
      </w:r>
      <w:proofErr w:type="gramStart"/>
      <w:r w:rsidRPr="00A94080">
        <w:rPr>
          <w:rFonts w:hint="eastAsia"/>
          <w:lang w:eastAsia="zh-CN"/>
        </w:rPr>
        <w:t>性数字</w:t>
      </w:r>
      <w:proofErr w:type="gramEnd"/>
      <w:r w:rsidRPr="00A94080">
        <w:rPr>
          <w:rFonts w:hint="eastAsia"/>
          <w:lang w:eastAsia="zh-CN"/>
        </w:rPr>
        <w:t>接入，特别是在发展中国家。</w:t>
      </w:r>
    </w:p>
    <w:p w14:paraId="05325854" w14:textId="77777777" w:rsidR="009476DC" w:rsidRPr="00A94080" w:rsidRDefault="009476DC" w:rsidP="00796C8B">
      <w:pPr>
        <w:ind w:firstLineChars="200" w:firstLine="480"/>
        <w:rPr>
          <w:lang w:eastAsia="zh-CN"/>
        </w:rPr>
      </w:pPr>
      <w:r w:rsidRPr="00A94080">
        <w:rPr>
          <w:rFonts w:hint="eastAsia"/>
          <w:lang w:eastAsia="zh-CN"/>
        </w:rPr>
        <w:t>《宣言》围绕八个共同目标</w:t>
      </w:r>
      <w:r>
        <w:rPr>
          <w:rFonts w:hint="eastAsia"/>
          <w:lang w:eastAsia="zh-CN"/>
        </w:rPr>
        <w:t>展开</w:t>
      </w:r>
      <w:r w:rsidRPr="00A94080">
        <w:rPr>
          <w:rFonts w:hint="eastAsia"/>
          <w:lang w:eastAsia="zh-CN"/>
        </w:rPr>
        <w:t>：</w:t>
      </w:r>
    </w:p>
    <w:p w14:paraId="777336AD" w14:textId="77777777" w:rsidR="009476DC" w:rsidRPr="00A94080" w:rsidRDefault="009476DC" w:rsidP="009476DC">
      <w:pPr>
        <w:pStyle w:val="enumlev1"/>
        <w:jc w:val="both"/>
        <w:rPr>
          <w:rFonts w:asciiTheme="minorHAnsi" w:hAnsiTheme="minorHAnsi"/>
          <w:lang w:eastAsia="zh-CN"/>
        </w:rPr>
      </w:pPr>
      <w:r w:rsidRPr="00A94080">
        <w:rPr>
          <w:rFonts w:asciiTheme="minorHAnsi" w:hAnsiTheme="minorHAnsi"/>
          <w:kern w:val="2"/>
          <w:lang w:eastAsia="zh-CN"/>
          <w14:ligatures w14:val="standardContextual"/>
        </w:rPr>
        <w:t>1</w:t>
      </w:r>
      <w:r w:rsidRPr="00A94080">
        <w:rPr>
          <w:rFonts w:asciiTheme="minorHAnsi" w:hAnsiTheme="minorHAnsi"/>
          <w:kern w:val="2"/>
          <w:lang w:eastAsia="zh-CN"/>
          <w14:ligatures w14:val="standardContextual"/>
        </w:rPr>
        <w:tab/>
      </w:r>
      <w:r w:rsidRPr="00A94080">
        <w:rPr>
          <w:rFonts w:asciiTheme="minorHAnsi" w:hAnsiTheme="minorHAnsi" w:hint="eastAsia"/>
          <w:lang w:eastAsia="zh-CN"/>
        </w:rPr>
        <w:t>利用数字技术就温室气体排放、能源效率、气候监测和预测以及加强应急响应和准备采取全面的全球行动。</w:t>
      </w:r>
    </w:p>
    <w:p w14:paraId="1A05727A" w14:textId="77777777" w:rsidR="009476DC" w:rsidRPr="00A94080" w:rsidRDefault="009476DC" w:rsidP="009476DC">
      <w:pPr>
        <w:pStyle w:val="enumlev1"/>
        <w:jc w:val="both"/>
        <w:rPr>
          <w:rFonts w:asciiTheme="minorHAnsi" w:hAnsiTheme="minorHAnsi"/>
          <w:lang w:eastAsia="zh-CN"/>
        </w:rPr>
      </w:pPr>
      <w:r w:rsidRPr="00A94080">
        <w:rPr>
          <w:rFonts w:asciiTheme="minorHAnsi" w:hAnsiTheme="minorHAnsi"/>
          <w:kern w:val="2"/>
          <w:lang w:eastAsia="zh-CN"/>
          <w14:ligatures w14:val="standardContextual"/>
        </w:rPr>
        <w:t>2</w:t>
      </w:r>
      <w:r w:rsidRPr="00A94080">
        <w:rPr>
          <w:rFonts w:asciiTheme="minorHAnsi" w:hAnsiTheme="minorHAnsi"/>
          <w:kern w:val="2"/>
          <w:lang w:eastAsia="zh-CN"/>
          <w14:ligatures w14:val="standardContextual"/>
        </w:rPr>
        <w:tab/>
      </w:r>
      <w:r w:rsidRPr="00A94080">
        <w:rPr>
          <w:rFonts w:asciiTheme="minorHAnsi" w:hAnsiTheme="minorHAnsi" w:hint="eastAsia"/>
          <w:lang w:eastAsia="zh-CN"/>
        </w:rPr>
        <w:t>建设能够抵御气候变化</w:t>
      </w:r>
      <w:r>
        <w:rPr>
          <w:rFonts w:asciiTheme="minorHAnsi" w:hAnsiTheme="minorHAnsi" w:hint="eastAsia"/>
          <w:lang w:eastAsia="zh-CN"/>
        </w:rPr>
        <w:t>带来的</w:t>
      </w:r>
      <w:r w:rsidRPr="00A94080">
        <w:rPr>
          <w:rFonts w:asciiTheme="minorHAnsi" w:hAnsiTheme="minorHAnsi" w:hint="eastAsia"/>
          <w:lang w:eastAsia="zh-CN"/>
        </w:rPr>
        <w:t>影响的数字基础设施。</w:t>
      </w:r>
    </w:p>
    <w:p w14:paraId="5E056DE3" w14:textId="77777777" w:rsidR="009476DC" w:rsidRPr="00A94080" w:rsidRDefault="009476DC" w:rsidP="009476DC">
      <w:pPr>
        <w:pStyle w:val="enumlev1"/>
        <w:jc w:val="both"/>
        <w:rPr>
          <w:rFonts w:asciiTheme="minorHAnsi" w:hAnsiTheme="minorHAnsi"/>
          <w:lang w:eastAsia="zh-CN"/>
        </w:rPr>
      </w:pPr>
      <w:r w:rsidRPr="00A94080">
        <w:rPr>
          <w:rFonts w:asciiTheme="minorHAnsi" w:hAnsiTheme="minorHAnsi"/>
          <w:kern w:val="2"/>
          <w:lang w:eastAsia="zh-CN"/>
          <w14:ligatures w14:val="standardContextual"/>
        </w:rPr>
        <w:t>3</w:t>
      </w:r>
      <w:r w:rsidRPr="00A94080">
        <w:rPr>
          <w:rFonts w:asciiTheme="minorHAnsi" w:hAnsiTheme="minorHAnsi"/>
          <w:kern w:val="2"/>
          <w:lang w:eastAsia="zh-CN"/>
          <w14:ligatures w14:val="standardContextual"/>
        </w:rPr>
        <w:tab/>
      </w:r>
      <w:r w:rsidRPr="00230552">
        <w:rPr>
          <w:rFonts w:asciiTheme="minorHAnsi" w:hAnsiTheme="minorHAnsi" w:hint="eastAsia"/>
          <w:lang w:eastAsia="zh-CN"/>
        </w:rPr>
        <w:t>通过清洁能源驱动数字基础设施、建立</w:t>
      </w:r>
      <w:r>
        <w:rPr>
          <w:rFonts w:asciiTheme="minorHAnsi" w:hAnsiTheme="minorHAnsi" w:hint="eastAsia"/>
          <w:lang w:eastAsia="zh-CN"/>
        </w:rPr>
        <w:t>衡量和监测</w:t>
      </w:r>
      <w:r w:rsidRPr="00230552">
        <w:rPr>
          <w:rFonts w:asciiTheme="minorHAnsi" w:hAnsiTheme="minorHAnsi" w:hint="eastAsia"/>
          <w:lang w:eastAsia="zh-CN"/>
        </w:rPr>
        <w:t>技术</w:t>
      </w:r>
      <w:r>
        <w:rPr>
          <w:rFonts w:asciiTheme="minorHAnsi" w:hAnsiTheme="minorHAnsi" w:hint="eastAsia"/>
          <w:lang w:eastAsia="zh-CN"/>
        </w:rPr>
        <w:t>对</w:t>
      </w:r>
      <w:r w:rsidRPr="00230552">
        <w:rPr>
          <w:rFonts w:asciiTheme="minorHAnsi" w:hAnsiTheme="minorHAnsi" w:hint="eastAsia"/>
          <w:lang w:eastAsia="zh-CN"/>
        </w:rPr>
        <w:t>气候</w:t>
      </w:r>
      <w:r>
        <w:rPr>
          <w:rFonts w:asciiTheme="minorHAnsi" w:hAnsiTheme="minorHAnsi" w:hint="eastAsia"/>
          <w:lang w:eastAsia="zh-CN"/>
        </w:rPr>
        <w:t>的</w:t>
      </w:r>
      <w:r w:rsidRPr="00230552">
        <w:rPr>
          <w:rFonts w:asciiTheme="minorHAnsi" w:hAnsiTheme="minorHAnsi" w:hint="eastAsia"/>
          <w:lang w:eastAsia="zh-CN"/>
        </w:rPr>
        <w:t>影响的</w:t>
      </w:r>
      <w:r>
        <w:rPr>
          <w:rFonts w:asciiTheme="minorHAnsi" w:hAnsiTheme="minorHAnsi" w:hint="eastAsia"/>
          <w:lang w:eastAsia="zh-CN"/>
        </w:rPr>
        <w:t>办法</w:t>
      </w:r>
      <w:r w:rsidRPr="00230552">
        <w:rPr>
          <w:rFonts w:asciiTheme="minorHAnsi" w:hAnsiTheme="minorHAnsi" w:hint="eastAsia"/>
          <w:lang w:eastAsia="zh-CN"/>
        </w:rPr>
        <w:t>，同时</w:t>
      </w:r>
      <w:r>
        <w:rPr>
          <w:rFonts w:asciiTheme="minorHAnsi" w:hAnsiTheme="minorHAnsi" w:hint="eastAsia"/>
          <w:lang w:eastAsia="zh-CN"/>
        </w:rPr>
        <w:t>最大限度地</w:t>
      </w:r>
      <w:r w:rsidRPr="00230552">
        <w:rPr>
          <w:rFonts w:asciiTheme="minorHAnsi" w:hAnsiTheme="minorHAnsi" w:hint="eastAsia"/>
          <w:lang w:eastAsia="zh-CN"/>
        </w:rPr>
        <w:t>降低资源密集度</w:t>
      </w:r>
      <w:r>
        <w:rPr>
          <w:rFonts w:asciiTheme="minorHAnsi" w:hAnsiTheme="minorHAnsi" w:hint="eastAsia"/>
          <w:lang w:eastAsia="zh-CN"/>
        </w:rPr>
        <w:t>和处</w:t>
      </w:r>
      <w:r w:rsidRPr="00230552">
        <w:rPr>
          <w:rFonts w:asciiTheme="minorHAnsi" w:hAnsiTheme="minorHAnsi" w:hint="eastAsia"/>
          <w:lang w:eastAsia="zh-CN"/>
        </w:rPr>
        <w:t>理电子废弃物，从而减少数字技术对气候的影响，推动减排至净零目标。</w:t>
      </w:r>
    </w:p>
    <w:p w14:paraId="115586D1" w14:textId="77777777" w:rsidR="009476DC" w:rsidRPr="00A94080" w:rsidRDefault="009476DC" w:rsidP="009476DC">
      <w:pPr>
        <w:pStyle w:val="enumlev1"/>
        <w:jc w:val="both"/>
        <w:rPr>
          <w:rFonts w:asciiTheme="minorHAnsi" w:hAnsiTheme="minorHAnsi"/>
          <w:lang w:eastAsia="zh-CN"/>
        </w:rPr>
      </w:pPr>
      <w:r w:rsidRPr="00A94080">
        <w:rPr>
          <w:rFonts w:asciiTheme="minorHAnsi" w:hAnsiTheme="minorHAnsi"/>
          <w:kern w:val="2"/>
          <w:lang w:eastAsia="zh-CN"/>
          <w14:ligatures w14:val="standardContextual"/>
        </w:rPr>
        <w:t>4</w:t>
      </w:r>
      <w:r w:rsidRPr="00A94080">
        <w:rPr>
          <w:rFonts w:asciiTheme="minorHAnsi" w:hAnsiTheme="minorHAnsi"/>
          <w:kern w:val="2"/>
          <w:lang w:eastAsia="zh-CN"/>
          <w14:ligatures w14:val="standardContextual"/>
        </w:rPr>
        <w:tab/>
      </w:r>
      <w:r w:rsidRPr="00230552">
        <w:rPr>
          <w:rFonts w:asciiTheme="minorHAnsi" w:hAnsiTheme="minorHAnsi" w:hint="eastAsia"/>
          <w:lang w:eastAsia="zh-CN"/>
        </w:rPr>
        <w:t>推动发展中国家获取气候行动数字技术，同时提升</w:t>
      </w:r>
      <w:r>
        <w:rPr>
          <w:rFonts w:asciiTheme="minorHAnsi" w:hAnsiTheme="minorHAnsi" w:hint="eastAsia"/>
          <w:lang w:eastAsia="zh-CN"/>
        </w:rPr>
        <w:t>数字素养，特别是</w:t>
      </w:r>
      <w:r w:rsidRPr="00230552">
        <w:rPr>
          <w:rFonts w:asciiTheme="minorHAnsi" w:hAnsiTheme="minorHAnsi" w:hint="eastAsia"/>
          <w:lang w:eastAsia="zh-CN"/>
        </w:rPr>
        <w:t>青年</w:t>
      </w:r>
      <w:r>
        <w:rPr>
          <w:rFonts w:asciiTheme="minorHAnsi" w:hAnsiTheme="minorHAnsi" w:hint="eastAsia"/>
          <w:lang w:eastAsia="zh-CN"/>
        </w:rPr>
        <w:t>和</w:t>
      </w:r>
      <w:r w:rsidRPr="00230552">
        <w:rPr>
          <w:rFonts w:asciiTheme="minorHAnsi" w:hAnsiTheme="minorHAnsi" w:hint="eastAsia"/>
          <w:lang w:eastAsia="zh-CN"/>
        </w:rPr>
        <w:t>妇女的数字素养。</w:t>
      </w:r>
    </w:p>
    <w:p w14:paraId="1921C23D" w14:textId="77777777" w:rsidR="009476DC" w:rsidRPr="00A94080" w:rsidRDefault="009476DC" w:rsidP="009476DC">
      <w:pPr>
        <w:pStyle w:val="enumlev1"/>
        <w:jc w:val="both"/>
        <w:rPr>
          <w:rFonts w:asciiTheme="minorHAnsi" w:hAnsiTheme="minorHAnsi"/>
          <w:lang w:eastAsia="zh-CN"/>
        </w:rPr>
      </w:pPr>
      <w:r w:rsidRPr="00A94080">
        <w:rPr>
          <w:rFonts w:asciiTheme="minorHAnsi" w:hAnsiTheme="minorHAnsi"/>
          <w:kern w:val="2"/>
          <w:lang w:eastAsia="zh-CN"/>
          <w14:ligatures w14:val="standardContextual"/>
        </w:rPr>
        <w:t>5</w:t>
      </w:r>
      <w:r w:rsidRPr="00A94080">
        <w:rPr>
          <w:rFonts w:asciiTheme="minorHAnsi" w:hAnsiTheme="minorHAnsi"/>
          <w:kern w:val="2"/>
          <w:lang w:eastAsia="zh-CN"/>
          <w14:ligatures w14:val="standardContextual"/>
        </w:rPr>
        <w:tab/>
      </w:r>
      <w:r w:rsidRPr="00A94080">
        <w:rPr>
          <w:rFonts w:asciiTheme="minorHAnsi" w:hAnsiTheme="minorHAnsi" w:hint="eastAsia"/>
          <w:lang w:eastAsia="zh-CN"/>
        </w:rPr>
        <w:t>利用数据充分了解绿色数字解决方案的影响，并监测对法规的遵守情况。</w:t>
      </w:r>
    </w:p>
    <w:p w14:paraId="3F256E7C" w14:textId="77777777" w:rsidR="009476DC" w:rsidRPr="00A94080" w:rsidRDefault="009476DC" w:rsidP="009476DC">
      <w:pPr>
        <w:pStyle w:val="enumlev1"/>
        <w:jc w:val="both"/>
        <w:rPr>
          <w:rFonts w:asciiTheme="minorHAnsi" w:hAnsiTheme="minorHAnsi"/>
          <w:lang w:eastAsia="zh-CN"/>
        </w:rPr>
      </w:pPr>
      <w:r w:rsidRPr="00A94080">
        <w:rPr>
          <w:rFonts w:asciiTheme="minorHAnsi" w:hAnsiTheme="minorHAnsi"/>
          <w:kern w:val="2"/>
          <w:lang w:eastAsia="zh-CN"/>
          <w14:ligatures w14:val="standardContextual"/>
        </w:rPr>
        <w:t>6</w:t>
      </w:r>
      <w:r w:rsidRPr="00A94080">
        <w:rPr>
          <w:rFonts w:asciiTheme="minorHAnsi" w:hAnsiTheme="minorHAnsi"/>
          <w:kern w:val="2"/>
          <w:lang w:eastAsia="zh-CN"/>
          <w14:ligatures w14:val="standardContextual"/>
        </w:rPr>
        <w:tab/>
      </w:r>
      <w:r w:rsidRPr="00A94080">
        <w:rPr>
          <w:rFonts w:asciiTheme="minorHAnsi" w:hAnsiTheme="minorHAnsi" w:hint="eastAsia"/>
          <w:lang w:eastAsia="zh-CN"/>
        </w:rPr>
        <w:t>在充分尊重知识产权的情况下，通过调动现有的气候基金</w:t>
      </w:r>
      <w:r>
        <w:rPr>
          <w:rFonts w:asciiTheme="minorHAnsi" w:hAnsiTheme="minorHAnsi" w:hint="eastAsia"/>
          <w:lang w:eastAsia="zh-CN"/>
        </w:rPr>
        <w:t>、</w:t>
      </w:r>
      <w:r w:rsidRPr="00A94080">
        <w:rPr>
          <w:rFonts w:asciiTheme="minorHAnsi" w:hAnsiTheme="minorHAnsi" w:hint="eastAsia"/>
          <w:lang w:eastAsia="zh-CN"/>
        </w:rPr>
        <w:t>投资</w:t>
      </w:r>
      <w:r>
        <w:rPr>
          <w:rFonts w:asciiTheme="minorHAnsi" w:hAnsiTheme="minorHAnsi" w:hint="eastAsia"/>
          <w:lang w:eastAsia="zh-CN"/>
        </w:rPr>
        <w:t>于</w:t>
      </w:r>
      <w:r w:rsidRPr="00A94080">
        <w:rPr>
          <w:rFonts w:asciiTheme="minorHAnsi" w:hAnsiTheme="minorHAnsi" w:hint="eastAsia"/>
          <w:lang w:eastAsia="zh-CN"/>
        </w:rPr>
        <w:t>创新和研发，以及利用</w:t>
      </w:r>
      <w:r>
        <w:rPr>
          <w:rFonts w:asciiTheme="minorHAnsi" w:hAnsiTheme="minorHAnsi" w:hint="eastAsia"/>
          <w:lang w:eastAsia="zh-CN"/>
        </w:rPr>
        <w:t>具有</w:t>
      </w:r>
      <w:r w:rsidRPr="00A94080">
        <w:rPr>
          <w:rFonts w:asciiTheme="minorHAnsi" w:hAnsiTheme="minorHAnsi" w:hint="eastAsia"/>
          <w:lang w:eastAsia="zh-CN"/>
        </w:rPr>
        <w:t>环境可持续</w:t>
      </w:r>
      <w:r>
        <w:rPr>
          <w:rFonts w:asciiTheme="minorHAnsi" w:hAnsiTheme="minorHAnsi" w:hint="eastAsia"/>
          <w:lang w:eastAsia="zh-CN"/>
        </w:rPr>
        <w:t>性</w:t>
      </w:r>
      <w:r w:rsidRPr="00A94080">
        <w:rPr>
          <w:rFonts w:asciiTheme="minorHAnsi" w:hAnsiTheme="minorHAnsi" w:hint="eastAsia"/>
          <w:lang w:eastAsia="zh-CN"/>
        </w:rPr>
        <w:t>的数字技术和有复原力的基础设施，鼓励可持续创新。</w:t>
      </w:r>
    </w:p>
    <w:p w14:paraId="1A0C5A19" w14:textId="77777777" w:rsidR="009476DC" w:rsidRPr="00A94080" w:rsidRDefault="009476DC" w:rsidP="009476DC">
      <w:pPr>
        <w:pStyle w:val="enumlev1"/>
        <w:jc w:val="both"/>
        <w:rPr>
          <w:rFonts w:asciiTheme="minorHAnsi" w:hAnsiTheme="minorHAnsi"/>
          <w:lang w:eastAsia="zh-CN"/>
        </w:rPr>
      </w:pPr>
      <w:r w:rsidRPr="00A94080">
        <w:rPr>
          <w:rFonts w:asciiTheme="minorHAnsi" w:hAnsiTheme="minorHAnsi"/>
          <w:kern w:val="2"/>
          <w:lang w:eastAsia="zh-CN"/>
          <w14:ligatures w14:val="standardContextual"/>
        </w:rPr>
        <w:t>7</w:t>
      </w:r>
      <w:r w:rsidRPr="00A94080">
        <w:rPr>
          <w:rFonts w:asciiTheme="minorHAnsi" w:hAnsiTheme="minorHAnsi"/>
          <w:kern w:val="2"/>
          <w:lang w:eastAsia="zh-CN"/>
          <w14:ligatures w14:val="standardContextual"/>
        </w:rPr>
        <w:tab/>
      </w:r>
      <w:r w:rsidRPr="00A94080">
        <w:rPr>
          <w:rFonts w:asciiTheme="minorHAnsi" w:hAnsiTheme="minorHAnsi" w:hint="eastAsia"/>
          <w:lang w:eastAsia="zh-CN"/>
        </w:rPr>
        <w:t>促进可持续的消费</w:t>
      </w:r>
      <w:r>
        <w:rPr>
          <w:rFonts w:asciiTheme="minorHAnsi" w:hAnsiTheme="minorHAnsi" w:hint="eastAsia"/>
          <w:lang w:eastAsia="zh-CN"/>
        </w:rPr>
        <w:t>做法</w:t>
      </w:r>
      <w:r w:rsidRPr="00A94080">
        <w:rPr>
          <w:rFonts w:asciiTheme="minorHAnsi" w:hAnsiTheme="minorHAnsi" w:hint="eastAsia"/>
          <w:lang w:eastAsia="zh-CN"/>
        </w:rPr>
        <w:t>。</w:t>
      </w:r>
    </w:p>
    <w:p w14:paraId="66E93CC2" w14:textId="77777777" w:rsidR="009476DC" w:rsidRPr="00A94080" w:rsidRDefault="009476DC" w:rsidP="009476DC">
      <w:pPr>
        <w:pStyle w:val="enumlev1"/>
        <w:jc w:val="both"/>
        <w:rPr>
          <w:rFonts w:asciiTheme="minorHAnsi" w:hAnsiTheme="minorHAnsi"/>
          <w:lang w:eastAsia="zh-CN"/>
        </w:rPr>
      </w:pPr>
      <w:r w:rsidRPr="00A94080">
        <w:rPr>
          <w:rFonts w:asciiTheme="minorHAnsi" w:hAnsiTheme="minorHAnsi"/>
          <w:kern w:val="2"/>
          <w:lang w:eastAsia="zh-CN"/>
          <w14:ligatures w14:val="standardContextual"/>
        </w:rPr>
        <w:t>8</w:t>
      </w:r>
      <w:r w:rsidRPr="00A94080">
        <w:rPr>
          <w:rFonts w:asciiTheme="minorHAnsi" w:hAnsiTheme="minorHAnsi"/>
          <w:kern w:val="2"/>
          <w:lang w:eastAsia="zh-CN"/>
          <w14:ligatures w14:val="standardContextual"/>
        </w:rPr>
        <w:tab/>
      </w:r>
      <w:r>
        <w:rPr>
          <w:rFonts w:hint="eastAsia"/>
          <w:lang w:eastAsia="zh-CN"/>
        </w:rPr>
        <w:t>在</w:t>
      </w:r>
      <w:r w:rsidRPr="00A94080">
        <w:rPr>
          <w:rFonts w:asciiTheme="minorHAnsi" w:hAnsiTheme="minorHAnsi" w:hint="eastAsia"/>
          <w:lang w:eastAsia="zh-CN"/>
        </w:rPr>
        <w:t>减少温室气体排放</w:t>
      </w:r>
      <w:r>
        <w:rPr>
          <w:rFonts w:asciiTheme="minorHAnsi" w:hAnsiTheme="minorHAnsi" w:hint="eastAsia"/>
          <w:lang w:eastAsia="zh-CN"/>
        </w:rPr>
        <w:t>、</w:t>
      </w:r>
      <w:r w:rsidRPr="00A94080">
        <w:rPr>
          <w:rFonts w:asciiTheme="minorHAnsi" w:hAnsiTheme="minorHAnsi" w:hint="eastAsia"/>
          <w:lang w:eastAsia="zh-CN"/>
        </w:rPr>
        <w:t>增强适应力和复原力</w:t>
      </w:r>
      <w:r>
        <w:rPr>
          <w:rFonts w:asciiTheme="minorHAnsi" w:hAnsiTheme="minorHAnsi" w:hint="eastAsia"/>
          <w:lang w:eastAsia="zh-CN"/>
        </w:rPr>
        <w:t>方面，</w:t>
      </w:r>
      <w:r w:rsidRPr="00A94080">
        <w:rPr>
          <w:rFonts w:asciiTheme="minorHAnsi" w:hAnsiTheme="minorHAnsi" w:hint="eastAsia"/>
          <w:lang w:eastAsia="zh-CN"/>
        </w:rPr>
        <w:t>分享数字政策和技术的最佳做法。</w:t>
      </w:r>
    </w:p>
    <w:p w14:paraId="1CCCC9DA" w14:textId="77777777" w:rsidR="009476DC" w:rsidRPr="00A94080" w:rsidRDefault="009476DC" w:rsidP="00796C8B">
      <w:pPr>
        <w:ind w:firstLineChars="200" w:firstLine="480"/>
        <w:rPr>
          <w:lang w:eastAsia="zh-CN"/>
        </w:rPr>
      </w:pPr>
      <w:r w:rsidRPr="00A94080">
        <w:rPr>
          <w:rFonts w:hint="eastAsia"/>
          <w:lang w:eastAsia="zh-CN"/>
        </w:rPr>
        <w:t>国际电联和合作伙伴在</w:t>
      </w:r>
      <w:proofErr w:type="spellStart"/>
      <w:r w:rsidRPr="00A94080">
        <w:rPr>
          <w:rFonts w:hint="eastAsia"/>
          <w:lang w:eastAsia="zh-CN"/>
        </w:rPr>
        <w:t>COP29</w:t>
      </w:r>
      <w:proofErr w:type="spellEnd"/>
      <w:r w:rsidRPr="00A94080">
        <w:rPr>
          <w:rFonts w:hint="eastAsia"/>
          <w:lang w:eastAsia="zh-CN"/>
        </w:rPr>
        <w:t>的绿色数字行动主题下组织了</w:t>
      </w:r>
      <w:r w:rsidRPr="00A94080">
        <w:rPr>
          <w:rFonts w:hint="eastAsia"/>
          <w:lang w:eastAsia="zh-CN"/>
        </w:rPr>
        <w:t>30</w:t>
      </w:r>
      <w:r w:rsidRPr="00A94080">
        <w:rPr>
          <w:rFonts w:hint="eastAsia"/>
          <w:lang w:eastAsia="zh-CN"/>
        </w:rPr>
        <w:t>多场会议。在日本总务省（</w:t>
      </w:r>
      <w:r w:rsidRPr="00A94080">
        <w:rPr>
          <w:rFonts w:hint="eastAsia"/>
          <w:lang w:eastAsia="zh-CN"/>
        </w:rPr>
        <w:t>MIC</w:t>
      </w:r>
      <w:r w:rsidRPr="00A94080">
        <w:rPr>
          <w:rFonts w:hint="eastAsia"/>
          <w:lang w:eastAsia="zh-CN"/>
        </w:rPr>
        <w:t>）的支持下，国际电联还参加了标准馆</w:t>
      </w:r>
      <w:r>
        <w:rPr>
          <w:rFonts w:hint="eastAsia"/>
          <w:lang w:eastAsia="zh-CN"/>
        </w:rPr>
        <w:t>的活动</w:t>
      </w:r>
      <w:r w:rsidRPr="00A94080">
        <w:rPr>
          <w:rFonts w:hint="eastAsia"/>
          <w:lang w:eastAsia="zh-CN"/>
        </w:rPr>
        <w:t>，提高人们对国际标准作用的认识。</w:t>
      </w:r>
    </w:p>
    <w:p w14:paraId="77686ED5" w14:textId="169CB991" w:rsidR="009476DC" w:rsidRDefault="009476DC" w:rsidP="00796C8B">
      <w:pPr>
        <w:ind w:firstLineChars="200" w:firstLine="480"/>
        <w:rPr>
          <w:rFonts w:cstheme="minorHAnsi"/>
          <w:szCs w:val="24"/>
          <w:lang w:eastAsia="zh-CN"/>
        </w:rPr>
      </w:pPr>
      <w:r w:rsidRPr="00A94080">
        <w:rPr>
          <w:rFonts w:cstheme="minorHAnsi" w:hint="eastAsia"/>
          <w:szCs w:val="24"/>
          <w:lang w:eastAsia="zh-CN"/>
        </w:rPr>
        <w:t>国际电联秘书处正在与</w:t>
      </w:r>
      <w:proofErr w:type="spellStart"/>
      <w:r w:rsidRPr="00A94080">
        <w:rPr>
          <w:rFonts w:cstheme="minorHAnsi" w:hint="eastAsia"/>
          <w:szCs w:val="24"/>
          <w:lang w:eastAsia="zh-CN"/>
        </w:rPr>
        <w:t>COP30</w:t>
      </w:r>
      <w:proofErr w:type="spellEnd"/>
      <w:r w:rsidRPr="00A94080">
        <w:rPr>
          <w:rFonts w:cstheme="minorHAnsi" w:hint="eastAsia"/>
          <w:szCs w:val="24"/>
          <w:lang w:eastAsia="zh-CN"/>
        </w:rPr>
        <w:t>主席国巴西合作，以保持这一势头，并进一步强调数字技术和服务在气候议程中的作用。由国际电联和德国环境署（</w:t>
      </w:r>
      <w:r w:rsidRPr="00A94080">
        <w:rPr>
          <w:rFonts w:cstheme="minorHAnsi" w:hint="eastAsia"/>
          <w:szCs w:val="24"/>
          <w:lang w:eastAsia="zh-CN"/>
        </w:rPr>
        <w:t>UBA</w:t>
      </w:r>
      <w:r w:rsidRPr="00A94080">
        <w:rPr>
          <w:rFonts w:cstheme="minorHAnsi" w:hint="eastAsia"/>
          <w:szCs w:val="24"/>
          <w:lang w:eastAsia="zh-CN"/>
        </w:rPr>
        <w:t>）于</w:t>
      </w:r>
      <w:r w:rsidRPr="00A94080">
        <w:rPr>
          <w:rFonts w:cstheme="minorHAnsi" w:hint="eastAsia"/>
          <w:szCs w:val="24"/>
          <w:lang w:eastAsia="zh-CN"/>
        </w:rPr>
        <w:t>2025</w:t>
      </w:r>
      <w:r w:rsidRPr="00A94080">
        <w:rPr>
          <w:rFonts w:cstheme="minorHAnsi" w:hint="eastAsia"/>
          <w:szCs w:val="24"/>
          <w:lang w:eastAsia="zh-CN"/>
        </w:rPr>
        <w:t>年</w:t>
      </w:r>
      <w:r w:rsidRPr="00A94080">
        <w:rPr>
          <w:rFonts w:cstheme="minorHAnsi" w:hint="eastAsia"/>
          <w:szCs w:val="24"/>
          <w:lang w:eastAsia="zh-CN"/>
        </w:rPr>
        <w:t>5</w:t>
      </w:r>
      <w:r w:rsidRPr="00A94080">
        <w:rPr>
          <w:rFonts w:cstheme="minorHAnsi" w:hint="eastAsia"/>
          <w:szCs w:val="24"/>
          <w:lang w:eastAsia="zh-CN"/>
        </w:rPr>
        <w:t>月</w:t>
      </w:r>
      <w:r w:rsidRPr="00A94080">
        <w:rPr>
          <w:rFonts w:cstheme="minorHAnsi" w:hint="eastAsia"/>
          <w:szCs w:val="24"/>
          <w:lang w:eastAsia="zh-CN"/>
        </w:rPr>
        <w:t>23</w:t>
      </w:r>
      <w:r w:rsidRPr="00A94080">
        <w:rPr>
          <w:rFonts w:cstheme="minorHAnsi" w:hint="eastAsia"/>
          <w:szCs w:val="24"/>
          <w:lang w:eastAsia="zh-CN"/>
        </w:rPr>
        <w:t>日在柏林主办的</w:t>
      </w:r>
      <w:r>
        <w:rPr>
          <w:rFonts w:cstheme="minorHAnsi" w:hint="eastAsia"/>
          <w:szCs w:val="24"/>
          <w:lang w:eastAsia="zh-CN"/>
        </w:rPr>
        <w:t>“</w:t>
      </w:r>
      <w:r w:rsidRPr="00A94080">
        <w:rPr>
          <w:rFonts w:cstheme="minorHAnsi" w:hint="eastAsia"/>
          <w:szCs w:val="24"/>
          <w:lang w:eastAsia="zh-CN"/>
        </w:rPr>
        <w:t>绿色数字行动峰会</w:t>
      </w:r>
      <w:r>
        <w:rPr>
          <w:rFonts w:cstheme="minorHAnsi" w:hint="eastAsia"/>
          <w:szCs w:val="24"/>
          <w:lang w:eastAsia="zh-CN"/>
        </w:rPr>
        <w:t>”</w:t>
      </w:r>
      <w:r w:rsidRPr="00AB0B08">
        <w:rPr>
          <w:rFonts w:cstheme="minorHAnsi" w:hint="eastAsia"/>
          <w:szCs w:val="24"/>
          <w:lang w:eastAsia="zh-CN"/>
        </w:rPr>
        <w:t>是这些持续努力的重要中期节点，既展示了当前进展，也为未来数月的工作奠定了基础。</w:t>
      </w:r>
    </w:p>
    <w:p w14:paraId="7C70DBE2" w14:textId="77777777" w:rsidR="009476DC" w:rsidRPr="00A94080" w:rsidRDefault="009476DC" w:rsidP="00796C8B">
      <w:pPr>
        <w:ind w:firstLineChars="200" w:firstLine="480"/>
        <w:rPr>
          <w:rFonts w:cstheme="minorHAnsi"/>
          <w:szCs w:val="24"/>
          <w:lang w:eastAsia="zh-CN"/>
        </w:rPr>
      </w:pPr>
      <w:r w:rsidRPr="00A94080">
        <w:rPr>
          <w:rFonts w:cstheme="minorHAnsi" w:hint="eastAsia"/>
          <w:szCs w:val="24"/>
          <w:lang w:eastAsia="zh-CN"/>
        </w:rPr>
        <w:lastRenderedPageBreak/>
        <w:t>在</w:t>
      </w:r>
      <w:proofErr w:type="spellStart"/>
      <w:r w:rsidRPr="00A94080">
        <w:rPr>
          <w:rFonts w:cstheme="minorHAnsi" w:hint="eastAsia"/>
          <w:szCs w:val="24"/>
          <w:lang w:eastAsia="zh-CN"/>
        </w:rPr>
        <w:t>COP29</w:t>
      </w:r>
      <w:proofErr w:type="spellEnd"/>
      <w:r w:rsidRPr="00A94080">
        <w:rPr>
          <w:rFonts w:cstheme="minorHAnsi" w:hint="eastAsia"/>
          <w:szCs w:val="24"/>
          <w:lang w:eastAsia="zh-CN"/>
        </w:rPr>
        <w:t>之后，国际电联</w:t>
      </w:r>
      <w:r>
        <w:rPr>
          <w:rFonts w:cstheme="minorHAnsi" w:hint="eastAsia"/>
          <w:szCs w:val="24"/>
          <w:lang w:eastAsia="zh-CN"/>
        </w:rPr>
        <w:t>还</w:t>
      </w:r>
      <w:r w:rsidRPr="00A94080">
        <w:rPr>
          <w:rFonts w:cstheme="minorHAnsi" w:hint="eastAsia"/>
          <w:szCs w:val="24"/>
          <w:lang w:eastAsia="zh-CN"/>
        </w:rPr>
        <w:t>在</w:t>
      </w:r>
      <w:r>
        <w:rPr>
          <w:rFonts w:cstheme="minorHAnsi" w:hint="eastAsia"/>
          <w:szCs w:val="24"/>
          <w:lang w:eastAsia="zh-CN"/>
        </w:rPr>
        <w:t>重要的</w:t>
      </w:r>
      <w:r w:rsidRPr="00A94080">
        <w:rPr>
          <w:rFonts w:cstheme="minorHAnsi" w:hint="eastAsia"/>
          <w:szCs w:val="24"/>
          <w:lang w:eastAsia="zh-CN"/>
        </w:rPr>
        <w:t>国际平台上推广绿色数字议程，包括纽约气候周、人工智能</w:t>
      </w:r>
      <w:r>
        <w:rPr>
          <w:rFonts w:cstheme="minorHAnsi" w:hint="eastAsia"/>
          <w:szCs w:val="24"/>
          <w:lang w:eastAsia="zh-CN"/>
        </w:rPr>
        <w:t>向善</w:t>
      </w:r>
      <w:r w:rsidRPr="00A94080">
        <w:rPr>
          <w:rFonts w:cstheme="minorHAnsi" w:hint="eastAsia"/>
          <w:szCs w:val="24"/>
          <w:lang w:eastAsia="zh-CN"/>
        </w:rPr>
        <w:t>峰会、</w:t>
      </w:r>
      <w:r w:rsidRPr="00A94080">
        <w:rPr>
          <w:rFonts w:cstheme="minorHAnsi" w:hint="eastAsia"/>
          <w:szCs w:val="24"/>
          <w:lang w:eastAsia="zh-CN"/>
        </w:rPr>
        <w:t>WSIS</w:t>
      </w:r>
      <w:r w:rsidRPr="00A94080">
        <w:rPr>
          <w:rFonts w:cstheme="minorHAnsi" w:hint="eastAsia"/>
          <w:szCs w:val="24"/>
          <w:lang w:eastAsia="zh-CN"/>
        </w:rPr>
        <w:t>论坛、国际电</w:t>
      </w:r>
      <w:proofErr w:type="gramStart"/>
      <w:r w:rsidRPr="00A94080">
        <w:rPr>
          <w:rFonts w:cstheme="minorHAnsi" w:hint="eastAsia"/>
          <w:szCs w:val="24"/>
          <w:lang w:eastAsia="zh-CN"/>
        </w:rPr>
        <w:t>联全球</w:t>
      </w:r>
      <w:proofErr w:type="gramEnd"/>
      <w:r w:rsidRPr="00A94080">
        <w:rPr>
          <w:rFonts w:cstheme="minorHAnsi" w:hint="eastAsia"/>
          <w:szCs w:val="24"/>
          <w:lang w:eastAsia="zh-CN"/>
        </w:rPr>
        <w:t>监管机构专题研讨会、世界电信</w:t>
      </w:r>
      <w:r w:rsidRPr="00A94080">
        <w:rPr>
          <w:rFonts w:cstheme="minorHAnsi" w:hint="eastAsia"/>
          <w:szCs w:val="24"/>
          <w:lang w:eastAsia="zh-CN"/>
        </w:rPr>
        <w:t>/ICT</w:t>
      </w:r>
      <w:r w:rsidRPr="00A94080">
        <w:rPr>
          <w:rFonts w:cstheme="minorHAnsi" w:hint="eastAsia"/>
          <w:szCs w:val="24"/>
          <w:lang w:eastAsia="zh-CN"/>
        </w:rPr>
        <w:t>指标专题研讨会、国际电联</w:t>
      </w:r>
      <w:r>
        <w:rPr>
          <w:rFonts w:cstheme="minorHAnsi" w:hint="eastAsia"/>
          <w:szCs w:val="24"/>
          <w:lang w:eastAsia="zh-CN"/>
        </w:rPr>
        <w:t>-</w:t>
      </w:r>
      <w:r w:rsidRPr="00A94080">
        <w:rPr>
          <w:rFonts w:cstheme="minorHAnsi" w:hint="eastAsia"/>
          <w:szCs w:val="24"/>
          <w:lang w:eastAsia="zh-CN"/>
        </w:rPr>
        <w:t>ETSI</w:t>
      </w:r>
      <w:r w:rsidRPr="00A94080">
        <w:rPr>
          <w:rFonts w:cstheme="minorHAnsi" w:hint="eastAsia"/>
          <w:szCs w:val="24"/>
          <w:lang w:eastAsia="zh-CN"/>
        </w:rPr>
        <w:t>有关</w:t>
      </w:r>
      <w:r w:rsidRPr="00A94080">
        <w:rPr>
          <w:rFonts w:cstheme="minorHAnsi" w:hint="eastAsia"/>
          <w:szCs w:val="24"/>
          <w:lang w:eastAsia="zh-CN"/>
        </w:rPr>
        <w:t>ICT</w:t>
      </w:r>
      <w:r w:rsidRPr="00A94080">
        <w:rPr>
          <w:rFonts w:cstheme="minorHAnsi" w:hint="eastAsia"/>
          <w:szCs w:val="24"/>
          <w:lang w:eastAsia="zh-CN"/>
        </w:rPr>
        <w:t>可持续性标准推动环境创新的专题研讨会和</w:t>
      </w:r>
      <w:r w:rsidRPr="00A94080">
        <w:rPr>
          <w:rFonts w:cstheme="minorHAnsi" w:hint="eastAsia"/>
          <w:szCs w:val="24"/>
          <w:lang w:eastAsia="zh-CN"/>
        </w:rPr>
        <w:t>IEEE-</w:t>
      </w:r>
      <w:r w:rsidRPr="00A94080">
        <w:rPr>
          <w:rFonts w:cstheme="minorHAnsi" w:hint="eastAsia"/>
          <w:szCs w:val="24"/>
          <w:lang w:eastAsia="zh-CN"/>
        </w:rPr>
        <w:t>国际电</w:t>
      </w:r>
      <w:proofErr w:type="gramStart"/>
      <w:r w:rsidRPr="00A94080">
        <w:rPr>
          <w:rFonts w:cstheme="minorHAnsi" w:hint="eastAsia"/>
          <w:szCs w:val="24"/>
          <w:lang w:eastAsia="zh-CN"/>
        </w:rPr>
        <w:t>联实现</w:t>
      </w:r>
      <w:proofErr w:type="gramEnd"/>
      <w:r w:rsidRPr="00A94080">
        <w:rPr>
          <w:rFonts w:cstheme="minorHAnsi" w:hint="eastAsia"/>
          <w:szCs w:val="24"/>
          <w:lang w:eastAsia="zh-CN"/>
        </w:rPr>
        <w:t>气候复原力专题研讨会。国际电联</w:t>
      </w:r>
      <w:r>
        <w:rPr>
          <w:rFonts w:cstheme="minorHAnsi" w:hint="eastAsia"/>
          <w:szCs w:val="24"/>
          <w:lang w:eastAsia="zh-CN"/>
        </w:rPr>
        <w:t>为多个议题做出了贡献，如</w:t>
      </w:r>
      <w:r w:rsidRPr="00A94080">
        <w:rPr>
          <w:rFonts w:cstheme="minorHAnsi" w:hint="eastAsia"/>
          <w:szCs w:val="24"/>
          <w:lang w:eastAsia="zh-CN"/>
        </w:rPr>
        <w:t>环境效率、数字基础设施可持续性、国际标准、数据报告和透明度、人工智能的环境影响和在气候行动中的作用以及</w:t>
      </w:r>
      <w:r w:rsidRPr="00A94080">
        <w:rPr>
          <w:rFonts w:cstheme="minorHAnsi" w:hint="eastAsia"/>
          <w:szCs w:val="24"/>
          <w:lang w:eastAsia="zh-CN"/>
        </w:rPr>
        <w:t>ICT</w:t>
      </w:r>
      <w:r w:rsidRPr="00A94080">
        <w:rPr>
          <w:rFonts w:cstheme="minorHAnsi" w:hint="eastAsia"/>
          <w:szCs w:val="24"/>
          <w:lang w:eastAsia="zh-CN"/>
        </w:rPr>
        <w:t>行业温室气体减排等，加强了国际电联在</w:t>
      </w:r>
      <w:r>
        <w:rPr>
          <w:rFonts w:cstheme="minorHAnsi" w:hint="eastAsia"/>
          <w:szCs w:val="24"/>
          <w:lang w:eastAsia="zh-CN"/>
        </w:rPr>
        <w:t>增强</w:t>
      </w:r>
      <w:r w:rsidRPr="00A94080">
        <w:rPr>
          <w:rFonts w:cstheme="minorHAnsi" w:hint="eastAsia"/>
          <w:szCs w:val="24"/>
          <w:lang w:eastAsia="zh-CN"/>
        </w:rPr>
        <w:t>气候复原力和</w:t>
      </w:r>
      <w:proofErr w:type="gramStart"/>
      <w:r w:rsidRPr="00A94080">
        <w:rPr>
          <w:rFonts w:cstheme="minorHAnsi" w:hint="eastAsia"/>
          <w:szCs w:val="24"/>
          <w:lang w:eastAsia="zh-CN"/>
        </w:rPr>
        <w:t>可</w:t>
      </w:r>
      <w:proofErr w:type="gramEnd"/>
      <w:r w:rsidRPr="00A94080">
        <w:rPr>
          <w:rFonts w:cstheme="minorHAnsi" w:hint="eastAsia"/>
          <w:szCs w:val="24"/>
          <w:lang w:eastAsia="zh-CN"/>
        </w:rPr>
        <w:t>持续性方面的作用。</w:t>
      </w:r>
    </w:p>
    <w:p w14:paraId="10B06CB5" w14:textId="71CF9DBE" w:rsidR="009476DC" w:rsidRPr="00A94080" w:rsidRDefault="009476DC" w:rsidP="009476DC">
      <w:pPr>
        <w:pStyle w:val="Headingb"/>
        <w:rPr>
          <w:rFonts w:asciiTheme="minorHAnsi" w:hAnsiTheme="minorHAnsi"/>
          <w:lang w:eastAsia="zh-CN"/>
        </w:rPr>
      </w:pPr>
      <w:r w:rsidRPr="00A94080">
        <w:rPr>
          <w:rFonts w:asciiTheme="minorHAnsi" w:hAnsiTheme="minorHAnsi"/>
          <w:lang w:eastAsia="zh-CN"/>
        </w:rPr>
        <w:t>ICT</w:t>
      </w:r>
      <w:r w:rsidR="00874AE7">
        <w:rPr>
          <w:rFonts w:asciiTheme="minorHAnsi" w:hAnsiTheme="minorHAnsi" w:hint="eastAsia"/>
          <w:lang w:eastAsia="zh-CN"/>
        </w:rPr>
        <w:t>为</w:t>
      </w:r>
      <w:r w:rsidRPr="00141874">
        <w:rPr>
          <w:rFonts w:asciiTheme="minorHAnsi" w:hAnsiTheme="minorHAnsi" w:hint="eastAsia"/>
          <w:lang w:eastAsia="zh-CN"/>
        </w:rPr>
        <w:t>气候</w:t>
      </w:r>
      <w:r w:rsidR="00874AE7">
        <w:rPr>
          <w:rFonts w:asciiTheme="minorHAnsi" w:hAnsiTheme="minorHAnsi" w:hint="eastAsia"/>
          <w:lang w:eastAsia="zh-CN"/>
        </w:rPr>
        <w:t>行动</w:t>
      </w:r>
      <w:r>
        <w:rPr>
          <w:rFonts w:asciiTheme="minorHAnsi" w:hAnsiTheme="minorHAnsi" w:hint="eastAsia"/>
          <w:lang w:eastAsia="zh-CN"/>
        </w:rPr>
        <w:t>和</w:t>
      </w:r>
      <w:r w:rsidRPr="00141874">
        <w:rPr>
          <w:rFonts w:asciiTheme="minorHAnsi" w:hAnsiTheme="minorHAnsi" w:hint="eastAsia"/>
          <w:lang w:eastAsia="zh-CN"/>
        </w:rPr>
        <w:t>环境责任导向型数字化转型</w:t>
      </w:r>
      <w:r w:rsidR="00874AE7">
        <w:rPr>
          <w:rFonts w:asciiTheme="minorHAnsi" w:hAnsiTheme="minorHAnsi" w:hint="eastAsia"/>
          <w:lang w:eastAsia="zh-CN"/>
        </w:rPr>
        <w:t>做出</w:t>
      </w:r>
      <w:r w:rsidRPr="00141874">
        <w:rPr>
          <w:rFonts w:asciiTheme="minorHAnsi" w:hAnsiTheme="minorHAnsi" w:hint="eastAsia"/>
          <w:lang w:eastAsia="zh-CN"/>
        </w:rPr>
        <w:t>贡献</w:t>
      </w:r>
    </w:p>
    <w:p w14:paraId="5B471C1E" w14:textId="77777777" w:rsidR="009476DC" w:rsidRPr="00A94080" w:rsidRDefault="009476DC" w:rsidP="00220716">
      <w:pPr>
        <w:ind w:firstLineChars="200" w:firstLine="480"/>
        <w:rPr>
          <w:rFonts w:asciiTheme="minorHAnsi" w:hAnsiTheme="minorHAnsi"/>
          <w:lang w:eastAsia="zh-CN"/>
        </w:rPr>
      </w:pPr>
      <w:r w:rsidRPr="00A94080">
        <w:rPr>
          <w:rFonts w:asciiTheme="minorHAnsi" w:hAnsiTheme="minorHAnsi" w:hint="eastAsia"/>
          <w:lang w:eastAsia="zh-CN"/>
        </w:rPr>
        <w:t>国际电</w:t>
      </w:r>
      <w:proofErr w:type="gramStart"/>
      <w:r w:rsidRPr="00A94080">
        <w:rPr>
          <w:rFonts w:asciiTheme="minorHAnsi" w:hAnsiTheme="minorHAnsi" w:hint="eastAsia"/>
          <w:lang w:eastAsia="zh-CN"/>
        </w:rPr>
        <w:t>联</w:t>
      </w:r>
      <w:r>
        <w:rPr>
          <w:rFonts w:asciiTheme="minorHAnsi" w:hAnsiTheme="minorHAnsi" w:hint="eastAsia"/>
          <w:lang w:eastAsia="zh-CN"/>
        </w:rPr>
        <w:t>持续</w:t>
      </w:r>
      <w:proofErr w:type="gramEnd"/>
      <w:r w:rsidRPr="00A94080">
        <w:rPr>
          <w:rFonts w:asciiTheme="minorHAnsi" w:hAnsiTheme="minorHAnsi" w:hint="eastAsia"/>
          <w:lang w:eastAsia="zh-CN"/>
        </w:rPr>
        <w:t>深入分析</w:t>
      </w:r>
      <w:r>
        <w:rPr>
          <w:rFonts w:asciiTheme="minorHAnsi" w:hAnsiTheme="minorHAnsi" w:hint="eastAsia"/>
          <w:lang w:eastAsia="zh-CN"/>
        </w:rPr>
        <w:t>ICT</w:t>
      </w:r>
      <w:r w:rsidRPr="00A94080">
        <w:rPr>
          <w:rFonts w:asciiTheme="minorHAnsi" w:hAnsiTheme="minorHAnsi" w:hint="eastAsia"/>
          <w:lang w:eastAsia="zh-CN"/>
        </w:rPr>
        <w:t>在环境效率和管理方面的作用。与世界基准联盟共同发布的</w:t>
      </w:r>
      <w:r>
        <w:fldChar w:fldCharType="begin"/>
      </w:r>
      <w:r>
        <w:rPr>
          <w:lang w:eastAsia="zh-CN"/>
        </w:rPr>
        <w:instrText>HYPERLINK "https://www.itu.int/en/ITU-D/Environment/Pages/Publications/GDC-24.aspx"</w:instrText>
      </w:r>
      <w:r>
        <w:fldChar w:fldCharType="separate"/>
      </w:r>
      <w:r w:rsidRPr="00B5091A">
        <w:rPr>
          <w:rStyle w:val="Hyperlink"/>
          <w:rFonts w:asciiTheme="minorHAnsi" w:eastAsia="SimSun" w:hAnsiTheme="minorHAnsi" w:hint="eastAsia"/>
          <w:lang w:eastAsia="zh-CN"/>
        </w:rPr>
        <w:t>《绿色数字企业</w:t>
      </w:r>
      <w:r w:rsidRPr="00B5091A">
        <w:rPr>
          <w:rStyle w:val="Hyperlink"/>
          <w:rFonts w:asciiTheme="minorHAnsi" w:eastAsia="SimSun" w:hAnsiTheme="minorHAnsi" w:hint="eastAsia"/>
          <w:lang w:eastAsia="zh-CN"/>
        </w:rPr>
        <w:t>2024</w:t>
      </w:r>
      <w:r w:rsidRPr="00B5091A">
        <w:rPr>
          <w:rStyle w:val="Hyperlink"/>
          <w:rFonts w:asciiTheme="minorHAnsi" w:eastAsia="SimSun" w:hAnsiTheme="minorHAnsi" w:hint="eastAsia"/>
          <w:lang w:eastAsia="zh-CN"/>
        </w:rPr>
        <w:t>年报告》</w:t>
      </w:r>
      <w:r>
        <w:fldChar w:fldCharType="end"/>
      </w:r>
      <w:r w:rsidRPr="00A94080">
        <w:rPr>
          <w:rFonts w:asciiTheme="minorHAnsi" w:hAnsiTheme="minorHAnsi" w:hint="eastAsia"/>
          <w:lang w:eastAsia="zh-CN"/>
        </w:rPr>
        <w:t>评估了</w:t>
      </w:r>
      <w:r w:rsidRPr="00A94080">
        <w:rPr>
          <w:rFonts w:asciiTheme="minorHAnsi" w:hAnsiTheme="minorHAnsi" w:hint="eastAsia"/>
          <w:lang w:eastAsia="zh-CN"/>
        </w:rPr>
        <w:t>200</w:t>
      </w:r>
      <w:r w:rsidRPr="00A94080">
        <w:rPr>
          <w:rFonts w:asciiTheme="minorHAnsi" w:hAnsiTheme="minorHAnsi" w:hint="eastAsia"/>
          <w:lang w:eastAsia="zh-CN"/>
        </w:rPr>
        <w:t>家数字公司的温室气体排放和能源消耗</w:t>
      </w:r>
      <w:r>
        <w:rPr>
          <w:rFonts w:asciiTheme="minorHAnsi" w:hAnsiTheme="minorHAnsi" w:hint="eastAsia"/>
          <w:lang w:eastAsia="zh-CN"/>
        </w:rPr>
        <w:t>情况</w:t>
      </w:r>
      <w:r w:rsidRPr="00A94080">
        <w:rPr>
          <w:rFonts w:asciiTheme="minorHAnsi" w:hAnsiTheme="minorHAnsi" w:hint="eastAsia"/>
          <w:lang w:eastAsia="zh-CN"/>
        </w:rPr>
        <w:t>，强调了范围</w:t>
      </w:r>
      <w:r w:rsidRPr="00A94080">
        <w:rPr>
          <w:rFonts w:asciiTheme="minorHAnsi" w:hAnsiTheme="minorHAnsi" w:hint="eastAsia"/>
          <w:lang w:eastAsia="zh-CN"/>
        </w:rPr>
        <w:t>3</w:t>
      </w:r>
      <w:r w:rsidRPr="00A94080">
        <w:rPr>
          <w:rFonts w:asciiTheme="minorHAnsi" w:hAnsiTheme="minorHAnsi" w:hint="eastAsia"/>
          <w:lang w:eastAsia="zh-CN"/>
        </w:rPr>
        <w:t>排放</w:t>
      </w:r>
      <w:r>
        <w:rPr>
          <w:rFonts w:asciiTheme="minorHAnsi" w:hAnsiTheme="minorHAnsi" w:hint="eastAsia"/>
          <w:lang w:eastAsia="zh-CN"/>
        </w:rPr>
        <w:t>量</w:t>
      </w:r>
      <w:r w:rsidRPr="00A94080">
        <w:rPr>
          <w:rFonts w:asciiTheme="minorHAnsi" w:hAnsiTheme="minorHAnsi" w:hint="eastAsia"/>
          <w:lang w:eastAsia="zh-CN"/>
        </w:rPr>
        <w:t>和人工智能日益增长的碳足迹。在</w:t>
      </w:r>
      <w:proofErr w:type="spellStart"/>
      <w:r w:rsidRPr="00A94080">
        <w:rPr>
          <w:rFonts w:asciiTheme="minorHAnsi" w:hAnsiTheme="minorHAnsi" w:hint="eastAsia"/>
          <w:lang w:eastAsia="zh-CN"/>
        </w:rPr>
        <w:t>COP29</w:t>
      </w:r>
      <w:proofErr w:type="spellEnd"/>
      <w:r w:rsidRPr="00A94080">
        <w:rPr>
          <w:rFonts w:asciiTheme="minorHAnsi" w:hAnsiTheme="minorHAnsi" w:hint="eastAsia"/>
          <w:lang w:eastAsia="zh-CN"/>
        </w:rPr>
        <w:t>推出的</w:t>
      </w:r>
      <w:r>
        <w:rPr>
          <w:rFonts w:asciiTheme="minorHAnsi" w:hAnsiTheme="minorHAnsi" w:hint="eastAsia"/>
          <w:lang w:eastAsia="zh-CN"/>
        </w:rPr>
        <w:t>配套“</w:t>
      </w:r>
      <w:hyperlink r:id="rId10" w:history="1">
        <w:r>
          <w:rPr>
            <w:rStyle w:val="Hyperlink"/>
            <w:rFonts w:asciiTheme="minorHAnsi" w:eastAsia="SimSun" w:hAnsiTheme="minorHAnsi" w:hint="eastAsia"/>
            <w:lang w:eastAsia="zh-CN"/>
          </w:rPr>
          <w:t>绿色数字化信息概览</w:t>
        </w:r>
      </w:hyperlink>
      <w:r>
        <w:rPr>
          <w:rFonts w:asciiTheme="minorHAnsi" w:hAnsiTheme="minorHAnsi" w:hint="eastAsia"/>
          <w:lang w:eastAsia="zh-CN"/>
        </w:rPr>
        <w:t>”</w:t>
      </w:r>
      <w:r w:rsidRPr="00A94080">
        <w:rPr>
          <w:rFonts w:asciiTheme="minorHAnsi" w:hAnsiTheme="minorHAnsi" w:hint="eastAsia"/>
          <w:lang w:eastAsia="zh-CN"/>
        </w:rPr>
        <w:t>支持跟踪</w:t>
      </w:r>
      <w:r w:rsidRPr="00A94080">
        <w:rPr>
          <w:rFonts w:asciiTheme="minorHAnsi" w:hAnsiTheme="minorHAnsi" w:hint="eastAsia"/>
          <w:lang w:eastAsia="zh-CN"/>
        </w:rPr>
        <w:t>ICT</w:t>
      </w:r>
      <w:r w:rsidRPr="00A94080">
        <w:rPr>
          <w:rFonts w:asciiTheme="minorHAnsi" w:hAnsiTheme="minorHAnsi" w:hint="eastAsia"/>
          <w:lang w:eastAsia="zh-CN"/>
        </w:rPr>
        <w:t>行业的气候影响。</w:t>
      </w:r>
    </w:p>
    <w:p w14:paraId="520E85DC" w14:textId="77777777" w:rsidR="009476DC" w:rsidRPr="00A94080" w:rsidRDefault="009476DC" w:rsidP="00220716">
      <w:pPr>
        <w:ind w:firstLineChars="200" w:firstLine="480"/>
        <w:rPr>
          <w:rFonts w:asciiTheme="minorHAnsi" w:hAnsiTheme="minorHAnsi" w:cstheme="minorHAnsi"/>
          <w:szCs w:val="24"/>
          <w:lang w:eastAsia="zh-CN"/>
        </w:rPr>
      </w:pPr>
      <w:r w:rsidRPr="00A94080">
        <w:rPr>
          <w:rFonts w:asciiTheme="minorHAnsi" w:hAnsiTheme="minorHAnsi" w:cstheme="minorHAnsi" w:hint="eastAsia"/>
          <w:szCs w:val="24"/>
          <w:lang w:eastAsia="zh-CN"/>
        </w:rPr>
        <w:t>与世界银行合作</w:t>
      </w:r>
      <w:r>
        <w:rPr>
          <w:rFonts w:asciiTheme="minorHAnsi" w:hAnsiTheme="minorHAnsi" w:cstheme="minorHAnsi" w:hint="eastAsia"/>
          <w:szCs w:val="24"/>
          <w:lang w:eastAsia="zh-CN"/>
        </w:rPr>
        <w:t>发布</w:t>
      </w:r>
      <w:r w:rsidRPr="00A94080">
        <w:rPr>
          <w:rFonts w:asciiTheme="minorHAnsi" w:hAnsiTheme="minorHAnsi" w:cstheme="minorHAnsi" w:hint="eastAsia"/>
          <w:szCs w:val="24"/>
          <w:lang w:eastAsia="zh-CN"/>
        </w:rPr>
        <w:t>了</w:t>
      </w:r>
      <w:hyperlink r:id="rId11" w:history="1">
        <w:r w:rsidRPr="00290D2F">
          <w:rPr>
            <w:rStyle w:val="Hyperlink"/>
            <w:rFonts w:asciiTheme="minorHAnsi" w:eastAsia="SimSun" w:hAnsiTheme="minorHAnsi" w:cstheme="minorHAnsi" w:hint="eastAsia"/>
            <w:szCs w:val="24"/>
            <w:lang w:eastAsia="zh-CN"/>
          </w:rPr>
          <w:t>《衡量</w:t>
        </w:r>
        <w:r w:rsidRPr="00290D2F">
          <w:rPr>
            <w:rStyle w:val="Hyperlink"/>
            <w:rFonts w:asciiTheme="minorHAnsi" w:eastAsia="SimSun" w:hAnsiTheme="minorHAnsi" w:cstheme="minorHAnsi" w:hint="eastAsia"/>
            <w:szCs w:val="24"/>
            <w:lang w:eastAsia="zh-CN"/>
          </w:rPr>
          <w:t>ICT</w:t>
        </w:r>
        <w:r w:rsidRPr="00290D2F">
          <w:rPr>
            <w:rStyle w:val="Hyperlink"/>
            <w:rFonts w:asciiTheme="minorHAnsi" w:eastAsia="SimSun" w:hAnsiTheme="minorHAnsi" w:cstheme="minorHAnsi" w:hint="eastAsia"/>
            <w:szCs w:val="24"/>
            <w:lang w:eastAsia="zh-CN"/>
          </w:rPr>
          <w:t>行业的排放和能源足迹》报告</w:t>
        </w:r>
      </w:hyperlink>
      <w:r w:rsidRPr="00A94080">
        <w:rPr>
          <w:rFonts w:asciiTheme="minorHAnsi" w:hAnsiTheme="minorHAnsi" w:cstheme="minorHAnsi" w:hint="eastAsia"/>
          <w:szCs w:val="24"/>
          <w:lang w:eastAsia="zh-CN"/>
        </w:rPr>
        <w:t>，重点介绍了排放</w:t>
      </w:r>
      <w:r>
        <w:rPr>
          <w:rFonts w:asciiTheme="minorHAnsi" w:hAnsiTheme="minorHAnsi" w:cstheme="minorHAnsi" w:hint="eastAsia"/>
          <w:szCs w:val="24"/>
          <w:lang w:eastAsia="zh-CN"/>
        </w:rPr>
        <w:t>量</w:t>
      </w:r>
      <w:r w:rsidRPr="00A94080">
        <w:rPr>
          <w:rFonts w:asciiTheme="minorHAnsi" w:hAnsiTheme="minorHAnsi" w:cstheme="minorHAnsi" w:hint="eastAsia"/>
          <w:szCs w:val="24"/>
          <w:lang w:eastAsia="zh-CN"/>
        </w:rPr>
        <w:t>最高</w:t>
      </w:r>
      <w:r>
        <w:rPr>
          <w:rFonts w:asciiTheme="minorHAnsi" w:hAnsiTheme="minorHAnsi" w:cstheme="minorHAnsi" w:hint="eastAsia"/>
          <w:szCs w:val="24"/>
          <w:lang w:eastAsia="zh-CN"/>
        </w:rPr>
        <w:t>的</w:t>
      </w:r>
      <w:r w:rsidRPr="00A94080">
        <w:rPr>
          <w:rFonts w:asciiTheme="minorHAnsi" w:hAnsiTheme="minorHAnsi" w:cstheme="minorHAnsi" w:hint="eastAsia"/>
          <w:szCs w:val="24"/>
          <w:lang w:eastAsia="zh-CN"/>
        </w:rPr>
        <w:t>30</w:t>
      </w:r>
      <w:r w:rsidRPr="00A94080">
        <w:rPr>
          <w:rFonts w:asciiTheme="minorHAnsi" w:hAnsiTheme="minorHAnsi" w:cstheme="minorHAnsi" w:hint="eastAsia"/>
          <w:szCs w:val="24"/>
          <w:lang w:eastAsia="zh-CN"/>
        </w:rPr>
        <w:t>个国家的排放数据以及监管方法案例研究。一项针对</w:t>
      </w:r>
      <w:r w:rsidRPr="00A94080">
        <w:rPr>
          <w:rFonts w:asciiTheme="minorHAnsi" w:hAnsiTheme="minorHAnsi" w:cstheme="minorHAnsi" w:hint="eastAsia"/>
          <w:szCs w:val="24"/>
          <w:lang w:eastAsia="zh-CN"/>
        </w:rPr>
        <w:t>77</w:t>
      </w:r>
      <w:r w:rsidRPr="00A94080">
        <w:rPr>
          <w:rFonts w:asciiTheme="minorHAnsi" w:hAnsiTheme="minorHAnsi" w:cstheme="minorHAnsi" w:hint="eastAsia"/>
          <w:szCs w:val="24"/>
          <w:lang w:eastAsia="zh-CN"/>
        </w:rPr>
        <w:t>个国家的全球调查突显了监管职责方面的差距，并显示出对</w:t>
      </w:r>
      <w:r>
        <w:rPr>
          <w:rFonts w:asciiTheme="minorHAnsi" w:hAnsiTheme="minorHAnsi" w:cstheme="minorHAnsi" w:hint="eastAsia"/>
          <w:szCs w:val="24"/>
          <w:lang w:eastAsia="zh-CN"/>
        </w:rPr>
        <w:t>设立</w:t>
      </w:r>
      <w:r w:rsidRPr="00A94080">
        <w:rPr>
          <w:rFonts w:asciiTheme="minorHAnsi" w:hAnsiTheme="minorHAnsi" w:cstheme="minorHAnsi" w:hint="eastAsia"/>
          <w:szCs w:val="24"/>
          <w:lang w:eastAsia="zh-CN"/>
        </w:rPr>
        <w:t>国际电联</w:t>
      </w:r>
      <w:r w:rsidRPr="00A94080">
        <w:rPr>
          <w:rFonts w:asciiTheme="minorHAnsi" w:hAnsiTheme="minorHAnsi" w:cstheme="minorHAnsi" w:hint="eastAsia"/>
          <w:szCs w:val="24"/>
          <w:lang w:eastAsia="zh-CN"/>
        </w:rPr>
        <w:t>ICT GHG</w:t>
      </w:r>
      <w:r w:rsidRPr="00A94080">
        <w:rPr>
          <w:rFonts w:asciiTheme="minorHAnsi" w:hAnsiTheme="minorHAnsi" w:cstheme="minorHAnsi" w:hint="eastAsia"/>
          <w:szCs w:val="24"/>
          <w:lang w:eastAsia="zh-CN"/>
        </w:rPr>
        <w:t>排放监测和指标制定工作组的浓厚兴趣。为此，在</w:t>
      </w:r>
      <w:r>
        <w:rPr>
          <w:rFonts w:asciiTheme="minorHAnsi" w:hAnsiTheme="minorHAnsi" w:cstheme="minorHAnsi" w:hint="eastAsia"/>
          <w:szCs w:val="24"/>
          <w:lang w:eastAsia="zh-CN"/>
        </w:rPr>
        <w:t>ITU-D</w:t>
      </w:r>
      <w:r w:rsidRPr="00A94080">
        <w:rPr>
          <w:rFonts w:asciiTheme="minorHAnsi" w:hAnsiTheme="minorHAnsi" w:cstheme="minorHAnsi" w:hint="eastAsia"/>
          <w:szCs w:val="24"/>
          <w:lang w:eastAsia="zh-CN"/>
        </w:rPr>
        <w:t>电信</w:t>
      </w:r>
      <w:r w:rsidRPr="00A94080">
        <w:rPr>
          <w:rFonts w:asciiTheme="minorHAnsi" w:hAnsiTheme="minorHAnsi" w:cstheme="minorHAnsi" w:hint="eastAsia"/>
          <w:szCs w:val="24"/>
          <w:lang w:eastAsia="zh-CN"/>
        </w:rPr>
        <w:t>/ICT</w:t>
      </w:r>
      <w:r w:rsidRPr="00A94080">
        <w:rPr>
          <w:rFonts w:asciiTheme="minorHAnsi" w:hAnsiTheme="minorHAnsi" w:cstheme="minorHAnsi" w:hint="eastAsia"/>
          <w:szCs w:val="24"/>
          <w:lang w:eastAsia="zh-CN"/>
        </w:rPr>
        <w:t>指标专家组（</w:t>
      </w:r>
      <w:proofErr w:type="spellStart"/>
      <w:r w:rsidRPr="00A94080">
        <w:rPr>
          <w:rFonts w:asciiTheme="minorHAnsi" w:hAnsiTheme="minorHAnsi" w:cstheme="minorHAnsi" w:hint="eastAsia"/>
          <w:szCs w:val="24"/>
          <w:lang w:eastAsia="zh-CN"/>
        </w:rPr>
        <w:t>EGTI</w:t>
      </w:r>
      <w:proofErr w:type="spellEnd"/>
      <w:r w:rsidRPr="00A94080">
        <w:rPr>
          <w:rFonts w:asciiTheme="minorHAnsi" w:hAnsiTheme="minorHAnsi" w:cstheme="minorHAnsi" w:hint="eastAsia"/>
          <w:szCs w:val="24"/>
          <w:lang w:eastAsia="zh-CN"/>
        </w:rPr>
        <w:t>）下成立了</w:t>
      </w:r>
      <w:r>
        <w:rPr>
          <w:rFonts w:asciiTheme="minorHAnsi" w:hAnsiTheme="minorHAnsi" w:cstheme="minorHAnsi" w:hint="eastAsia"/>
          <w:szCs w:val="24"/>
          <w:lang w:eastAsia="zh-CN"/>
        </w:rPr>
        <w:t>由</w:t>
      </w:r>
      <w:r w:rsidRPr="00A94080">
        <w:rPr>
          <w:rFonts w:asciiTheme="minorHAnsi" w:hAnsiTheme="minorHAnsi" w:cstheme="minorHAnsi" w:hint="eastAsia"/>
          <w:szCs w:val="24"/>
          <w:lang w:eastAsia="zh-CN"/>
        </w:rPr>
        <w:t>法国</w:t>
      </w:r>
      <w:r w:rsidRPr="00A94080">
        <w:rPr>
          <w:rFonts w:asciiTheme="minorHAnsi" w:hAnsiTheme="minorHAnsi" w:cstheme="minorHAnsi" w:hint="eastAsia"/>
          <w:szCs w:val="24"/>
          <w:lang w:eastAsia="zh-CN"/>
        </w:rPr>
        <w:t>ICT</w:t>
      </w:r>
      <w:r w:rsidRPr="00A94080">
        <w:rPr>
          <w:rFonts w:asciiTheme="minorHAnsi" w:hAnsiTheme="minorHAnsi" w:cstheme="minorHAnsi" w:hint="eastAsia"/>
          <w:szCs w:val="24"/>
          <w:lang w:eastAsia="zh-CN"/>
        </w:rPr>
        <w:t>监管机构</w:t>
      </w:r>
      <w:r w:rsidRPr="00290D2F">
        <w:rPr>
          <w:rFonts w:asciiTheme="minorHAnsi" w:hAnsiTheme="minorHAnsi" w:cstheme="minorHAnsi" w:hint="eastAsia"/>
          <w:szCs w:val="24"/>
          <w:lang w:eastAsia="zh-CN"/>
        </w:rPr>
        <w:t>电子通信与邮政监管局</w:t>
      </w:r>
      <w:r>
        <w:rPr>
          <w:rFonts w:asciiTheme="minorHAnsi" w:hAnsiTheme="minorHAnsi" w:cstheme="minorHAnsi" w:hint="eastAsia"/>
          <w:szCs w:val="24"/>
          <w:lang w:eastAsia="zh-CN"/>
        </w:rPr>
        <w:t>（</w:t>
      </w:r>
      <w:proofErr w:type="spellStart"/>
      <w:r w:rsidRPr="00A94080">
        <w:rPr>
          <w:rFonts w:asciiTheme="minorHAnsi" w:hAnsiTheme="minorHAnsi" w:cstheme="minorHAnsi" w:hint="eastAsia"/>
          <w:szCs w:val="24"/>
          <w:lang w:eastAsia="zh-CN"/>
        </w:rPr>
        <w:t>ARCEP</w:t>
      </w:r>
      <w:proofErr w:type="spellEnd"/>
      <w:r>
        <w:rPr>
          <w:rFonts w:asciiTheme="minorHAnsi" w:hAnsiTheme="minorHAnsi" w:cstheme="minorHAnsi" w:hint="eastAsia"/>
          <w:szCs w:val="24"/>
          <w:lang w:eastAsia="zh-CN"/>
        </w:rPr>
        <w:t>）</w:t>
      </w:r>
      <w:r w:rsidRPr="00A94080">
        <w:rPr>
          <w:rFonts w:asciiTheme="minorHAnsi" w:hAnsiTheme="minorHAnsi" w:cstheme="minorHAnsi" w:hint="eastAsia"/>
          <w:szCs w:val="24"/>
          <w:lang w:eastAsia="zh-CN"/>
        </w:rPr>
        <w:t>领导</w:t>
      </w:r>
      <w:r>
        <w:rPr>
          <w:rFonts w:asciiTheme="minorHAnsi" w:hAnsiTheme="minorHAnsi" w:cstheme="minorHAnsi" w:hint="eastAsia"/>
          <w:szCs w:val="24"/>
          <w:lang w:eastAsia="zh-CN"/>
        </w:rPr>
        <w:t>的</w:t>
      </w:r>
      <w:r w:rsidRPr="00A94080">
        <w:rPr>
          <w:rFonts w:asciiTheme="minorHAnsi" w:hAnsiTheme="minorHAnsi" w:cstheme="minorHAnsi" w:hint="eastAsia"/>
          <w:szCs w:val="24"/>
          <w:lang w:eastAsia="zh-CN"/>
        </w:rPr>
        <w:t>“国家温室气体排放监测指标分组”，以便在国家层面统一</w:t>
      </w:r>
      <w:r w:rsidRPr="00A94080">
        <w:rPr>
          <w:rFonts w:asciiTheme="minorHAnsi" w:hAnsiTheme="minorHAnsi" w:cstheme="minorHAnsi" w:hint="eastAsia"/>
          <w:szCs w:val="24"/>
          <w:lang w:eastAsia="zh-CN"/>
        </w:rPr>
        <w:t>ICT</w:t>
      </w:r>
      <w:r w:rsidRPr="00A94080">
        <w:rPr>
          <w:rFonts w:asciiTheme="minorHAnsi" w:hAnsiTheme="minorHAnsi" w:cstheme="minorHAnsi" w:hint="eastAsia"/>
          <w:szCs w:val="24"/>
          <w:lang w:eastAsia="zh-CN"/>
        </w:rPr>
        <w:t>行业环境影响的衡量指标。</w:t>
      </w:r>
    </w:p>
    <w:p w14:paraId="12323665" w14:textId="77777777" w:rsidR="009476DC" w:rsidRPr="00A94080" w:rsidRDefault="009476DC" w:rsidP="00220716">
      <w:pPr>
        <w:ind w:firstLineChars="200" w:firstLine="480"/>
        <w:rPr>
          <w:rFonts w:asciiTheme="minorHAnsi" w:hAnsiTheme="minorHAnsi" w:cstheme="minorHAnsi"/>
          <w:szCs w:val="24"/>
          <w:lang w:eastAsia="zh-CN"/>
        </w:rPr>
      </w:pPr>
      <w:r w:rsidRPr="00A94080">
        <w:rPr>
          <w:rFonts w:asciiTheme="minorHAnsi" w:hAnsiTheme="minorHAnsi" w:cstheme="minorHAnsi" w:hint="eastAsia"/>
          <w:szCs w:val="24"/>
          <w:lang w:eastAsia="zh-CN"/>
        </w:rPr>
        <w:t>世界银行与</w:t>
      </w:r>
      <w:proofErr w:type="spellStart"/>
      <w:r w:rsidRPr="00A94080">
        <w:rPr>
          <w:rFonts w:asciiTheme="minorHAnsi" w:hAnsiTheme="minorHAnsi" w:cstheme="minorHAnsi" w:hint="eastAsia"/>
          <w:szCs w:val="24"/>
          <w:lang w:eastAsia="zh-CN"/>
        </w:rPr>
        <w:t>ARCEP</w:t>
      </w:r>
      <w:proofErr w:type="spellEnd"/>
      <w:r w:rsidRPr="00A94080">
        <w:rPr>
          <w:rFonts w:asciiTheme="minorHAnsi" w:hAnsiTheme="minorHAnsi" w:cstheme="minorHAnsi" w:hint="eastAsia"/>
          <w:szCs w:val="24"/>
          <w:lang w:eastAsia="zh-CN"/>
        </w:rPr>
        <w:t>进一步合作</w:t>
      </w:r>
      <w:r>
        <w:rPr>
          <w:rFonts w:asciiTheme="minorHAnsi" w:hAnsiTheme="minorHAnsi" w:cstheme="minorHAnsi" w:hint="eastAsia"/>
          <w:szCs w:val="24"/>
          <w:lang w:eastAsia="zh-CN"/>
        </w:rPr>
        <w:t>，编制</w:t>
      </w:r>
      <w:r w:rsidRPr="00A94080">
        <w:rPr>
          <w:rFonts w:asciiTheme="minorHAnsi" w:hAnsiTheme="minorHAnsi" w:cstheme="minorHAnsi" w:hint="eastAsia"/>
          <w:szCs w:val="24"/>
          <w:lang w:eastAsia="zh-CN"/>
        </w:rPr>
        <w:t>了一个最佳做法案例研究，支持各国收集和报告来自</w:t>
      </w:r>
      <w:r w:rsidRPr="00A94080">
        <w:rPr>
          <w:rFonts w:asciiTheme="minorHAnsi" w:hAnsiTheme="minorHAnsi" w:cstheme="minorHAnsi" w:hint="eastAsia"/>
          <w:szCs w:val="24"/>
          <w:lang w:eastAsia="zh-CN"/>
        </w:rPr>
        <w:t>ICT</w:t>
      </w:r>
      <w:r w:rsidRPr="00A94080">
        <w:rPr>
          <w:rFonts w:asciiTheme="minorHAnsi" w:hAnsiTheme="minorHAnsi" w:cstheme="minorHAnsi" w:hint="eastAsia"/>
          <w:szCs w:val="24"/>
          <w:lang w:eastAsia="zh-CN"/>
        </w:rPr>
        <w:t>行业的环境数据。电信发展局</w:t>
      </w:r>
      <w:r>
        <w:rPr>
          <w:rFonts w:asciiTheme="minorHAnsi" w:hAnsiTheme="minorHAnsi" w:cstheme="minorHAnsi" w:hint="eastAsia"/>
          <w:szCs w:val="24"/>
          <w:lang w:eastAsia="zh-CN"/>
        </w:rPr>
        <w:t>（</w:t>
      </w:r>
      <w:r>
        <w:rPr>
          <w:rFonts w:asciiTheme="minorHAnsi" w:hAnsiTheme="minorHAnsi" w:cstheme="minorHAnsi" w:hint="eastAsia"/>
          <w:szCs w:val="24"/>
          <w:lang w:eastAsia="zh-CN"/>
        </w:rPr>
        <w:t>BDT</w:t>
      </w:r>
      <w:r>
        <w:rPr>
          <w:rFonts w:asciiTheme="minorHAnsi" w:hAnsiTheme="minorHAnsi" w:cstheme="minorHAnsi" w:hint="eastAsia"/>
          <w:szCs w:val="24"/>
          <w:lang w:eastAsia="zh-CN"/>
        </w:rPr>
        <w:t>）</w:t>
      </w:r>
      <w:r w:rsidRPr="00A94080">
        <w:rPr>
          <w:rFonts w:asciiTheme="minorHAnsi" w:hAnsiTheme="minorHAnsi" w:cstheme="minorHAnsi" w:hint="eastAsia"/>
          <w:szCs w:val="24"/>
          <w:lang w:eastAsia="zh-CN"/>
        </w:rPr>
        <w:t>正在支持各国协调</w:t>
      </w:r>
      <w:r>
        <w:rPr>
          <w:rFonts w:asciiTheme="minorHAnsi" w:hAnsiTheme="minorHAnsi" w:cstheme="minorHAnsi" w:hint="eastAsia"/>
          <w:szCs w:val="24"/>
          <w:lang w:eastAsia="zh-CN"/>
        </w:rPr>
        <w:t>收集有关</w:t>
      </w:r>
      <w:r w:rsidRPr="00A94080">
        <w:rPr>
          <w:rFonts w:asciiTheme="minorHAnsi" w:hAnsiTheme="minorHAnsi" w:cstheme="minorHAnsi" w:hint="eastAsia"/>
          <w:szCs w:val="24"/>
          <w:lang w:eastAsia="zh-CN"/>
        </w:rPr>
        <w:t>ICT</w:t>
      </w:r>
      <w:r>
        <w:rPr>
          <w:rFonts w:asciiTheme="minorHAnsi" w:hAnsiTheme="minorHAnsi" w:cstheme="minorHAnsi" w:hint="eastAsia"/>
          <w:szCs w:val="24"/>
          <w:lang w:eastAsia="zh-CN"/>
        </w:rPr>
        <w:t>行业</w:t>
      </w:r>
      <w:r w:rsidRPr="00A94080">
        <w:rPr>
          <w:rFonts w:asciiTheme="minorHAnsi" w:hAnsiTheme="minorHAnsi" w:cstheme="minorHAnsi" w:hint="eastAsia"/>
          <w:szCs w:val="24"/>
          <w:lang w:eastAsia="zh-CN"/>
        </w:rPr>
        <w:t>的温室气体排放</w:t>
      </w:r>
      <w:r>
        <w:rPr>
          <w:rFonts w:asciiTheme="minorHAnsi" w:hAnsiTheme="minorHAnsi" w:cstheme="minorHAnsi" w:hint="eastAsia"/>
          <w:szCs w:val="24"/>
          <w:lang w:eastAsia="zh-CN"/>
        </w:rPr>
        <w:t>数据</w:t>
      </w:r>
      <w:r w:rsidRPr="00A94080">
        <w:rPr>
          <w:rFonts w:asciiTheme="minorHAnsi" w:hAnsiTheme="minorHAnsi" w:cstheme="minorHAnsi" w:hint="eastAsia"/>
          <w:szCs w:val="24"/>
          <w:lang w:eastAsia="zh-CN"/>
        </w:rPr>
        <w:t>和能源使用数据，包括通过韩国政府科学</w:t>
      </w:r>
      <w:r>
        <w:rPr>
          <w:rFonts w:asciiTheme="minorHAnsi" w:hAnsiTheme="minorHAnsi" w:cstheme="minorHAnsi" w:hint="eastAsia"/>
          <w:szCs w:val="24"/>
          <w:lang w:eastAsia="zh-CN"/>
        </w:rPr>
        <w:t>技术</w:t>
      </w:r>
      <w:r w:rsidRPr="00A94080">
        <w:rPr>
          <w:rFonts w:asciiTheme="minorHAnsi" w:hAnsiTheme="minorHAnsi" w:cstheme="minorHAnsi" w:hint="eastAsia"/>
          <w:szCs w:val="24"/>
          <w:lang w:eastAsia="zh-CN"/>
        </w:rPr>
        <w:t>信息通信</w:t>
      </w:r>
      <w:proofErr w:type="gramStart"/>
      <w:r w:rsidRPr="00A94080">
        <w:rPr>
          <w:rFonts w:asciiTheme="minorHAnsi" w:hAnsiTheme="minorHAnsi" w:cstheme="minorHAnsi" w:hint="eastAsia"/>
          <w:szCs w:val="24"/>
          <w:lang w:eastAsia="zh-CN"/>
        </w:rPr>
        <w:t>部支持</w:t>
      </w:r>
      <w:proofErr w:type="gramEnd"/>
      <w:r w:rsidRPr="00A94080">
        <w:rPr>
          <w:rFonts w:asciiTheme="minorHAnsi" w:hAnsiTheme="minorHAnsi" w:cstheme="minorHAnsi" w:hint="eastAsia"/>
          <w:szCs w:val="24"/>
          <w:lang w:eastAsia="zh-CN"/>
        </w:rPr>
        <w:t>的新项目</w:t>
      </w:r>
      <w:r>
        <w:rPr>
          <w:rFonts w:asciiTheme="minorHAnsi" w:hAnsiTheme="minorHAnsi" w:cstheme="minorHAnsi" w:hint="eastAsia"/>
          <w:szCs w:val="24"/>
          <w:lang w:eastAsia="zh-CN"/>
        </w:rPr>
        <w:t>进行收集</w:t>
      </w:r>
      <w:r w:rsidRPr="00A94080">
        <w:rPr>
          <w:rFonts w:asciiTheme="minorHAnsi" w:hAnsiTheme="minorHAnsi" w:cstheme="minorHAnsi" w:hint="eastAsia"/>
          <w:szCs w:val="24"/>
          <w:lang w:eastAsia="zh-CN"/>
        </w:rPr>
        <w:t>。</w:t>
      </w:r>
    </w:p>
    <w:p w14:paraId="2B5D82A1" w14:textId="77777777" w:rsidR="009476DC" w:rsidRPr="00A94080" w:rsidRDefault="009476DC" w:rsidP="00220716">
      <w:pPr>
        <w:ind w:firstLineChars="200" w:firstLine="480"/>
        <w:rPr>
          <w:rFonts w:asciiTheme="minorHAnsi" w:hAnsiTheme="minorHAnsi" w:cstheme="minorHAnsi"/>
          <w:szCs w:val="24"/>
          <w:lang w:eastAsia="zh-CN"/>
        </w:rPr>
      </w:pPr>
      <w:r w:rsidRPr="00A94080">
        <w:rPr>
          <w:rFonts w:asciiTheme="minorHAnsi" w:hAnsiTheme="minorHAnsi" w:cstheme="minorHAnsi" w:hint="eastAsia"/>
          <w:szCs w:val="24"/>
          <w:lang w:eastAsia="zh-CN"/>
        </w:rPr>
        <w:t>2024</w:t>
      </w:r>
      <w:r w:rsidRPr="00A94080">
        <w:rPr>
          <w:rFonts w:asciiTheme="minorHAnsi" w:hAnsiTheme="minorHAnsi" w:cstheme="minorHAnsi" w:hint="eastAsia"/>
          <w:szCs w:val="24"/>
          <w:lang w:eastAsia="zh-CN"/>
        </w:rPr>
        <w:t>年，国际电联</w:t>
      </w:r>
      <w:r>
        <w:rPr>
          <w:rFonts w:asciiTheme="minorHAnsi" w:hAnsiTheme="minorHAnsi" w:cstheme="minorHAnsi" w:hint="eastAsia"/>
          <w:szCs w:val="24"/>
          <w:lang w:eastAsia="zh-CN"/>
        </w:rPr>
        <w:t>面向各</w:t>
      </w:r>
      <w:r w:rsidRPr="00A94080">
        <w:rPr>
          <w:rFonts w:asciiTheme="minorHAnsi" w:hAnsiTheme="minorHAnsi" w:cstheme="minorHAnsi" w:hint="eastAsia"/>
          <w:szCs w:val="24"/>
          <w:lang w:eastAsia="zh-CN"/>
        </w:rPr>
        <w:t>成员国的统计联系人进行了</w:t>
      </w:r>
      <w:r>
        <w:rPr>
          <w:rFonts w:asciiTheme="minorHAnsi" w:hAnsiTheme="minorHAnsi" w:cstheme="minorHAnsi" w:hint="eastAsia"/>
          <w:szCs w:val="24"/>
          <w:lang w:eastAsia="zh-CN"/>
        </w:rPr>
        <w:t>一项</w:t>
      </w:r>
      <w:r w:rsidRPr="00A94080">
        <w:rPr>
          <w:rFonts w:asciiTheme="minorHAnsi" w:hAnsiTheme="minorHAnsi" w:cstheme="minorHAnsi" w:hint="eastAsia"/>
          <w:szCs w:val="24"/>
          <w:lang w:eastAsia="zh-CN"/>
        </w:rPr>
        <w:t>调查，以了解各国在监测</w:t>
      </w:r>
      <w:r w:rsidRPr="00A94080">
        <w:rPr>
          <w:rFonts w:asciiTheme="minorHAnsi" w:hAnsiTheme="minorHAnsi" w:cstheme="minorHAnsi" w:hint="eastAsia"/>
          <w:szCs w:val="24"/>
          <w:lang w:eastAsia="zh-CN"/>
        </w:rPr>
        <w:t>ICT</w:t>
      </w:r>
      <w:r w:rsidRPr="00A94080">
        <w:rPr>
          <w:rFonts w:asciiTheme="minorHAnsi" w:hAnsiTheme="minorHAnsi" w:cstheme="minorHAnsi" w:hint="eastAsia"/>
          <w:szCs w:val="24"/>
          <w:lang w:eastAsia="zh-CN"/>
        </w:rPr>
        <w:t>行业排放</w:t>
      </w:r>
      <w:r>
        <w:rPr>
          <w:rFonts w:asciiTheme="minorHAnsi" w:hAnsiTheme="minorHAnsi" w:cstheme="minorHAnsi" w:hint="eastAsia"/>
          <w:szCs w:val="24"/>
          <w:lang w:eastAsia="zh-CN"/>
        </w:rPr>
        <w:t>量</w:t>
      </w:r>
      <w:r w:rsidRPr="00A94080">
        <w:rPr>
          <w:rFonts w:asciiTheme="minorHAnsi" w:hAnsiTheme="minorHAnsi" w:cstheme="minorHAnsi" w:hint="eastAsia"/>
          <w:szCs w:val="24"/>
          <w:lang w:eastAsia="zh-CN"/>
        </w:rPr>
        <w:t>和能源使用方面的</w:t>
      </w:r>
      <w:r>
        <w:rPr>
          <w:rFonts w:asciiTheme="minorHAnsi" w:hAnsiTheme="minorHAnsi" w:cstheme="minorHAnsi" w:hint="eastAsia"/>
          <w:szCs w:val="24"/>
          <w:lang w:eastAsia="zh-CN"/>
        </w:rPr>
        <w:t>工作</w:t>
      </w:r>
      <w:r w:rsidRPr="00A94080">
        <w:rPr>
          <w:rFonts w:asciiTheme="minorHAnsi" w:hAnsiTheme="minorHAnsi" w:cstheme="minorHAnsi" w:hint="eastAsia"/>
          <w:szCs w:val="24"/>
          <w:lang w:eastAsia="zh-CN"/>
        </w:rPr>
        <w:t>和计划。</w:t>
      </w:r>
    </w:p>
    <w:p w14:paraId="3D692E55" w14:textId="77777777" w:rsidR="009476DC" w:rsidRPr="00A94080" w:rsidRDefault="009476DC" w:rsidP="00220716">
      <w:pPr>
        <w:ind w:firstLineChars="200" w:firstLine="480"/>
        <w:rPr>
          <w:rFonts w:asciiTheme="minorHAnsi" w:hAnsiTheme="minorHAnsi" w:cstheme="minorHAnsi"/>
          <w:szCs w:val="24"/>
          <w:lang w:eastAsia="zh-CN"/>
        </w:rPr>
      </w:pPr>
      <w:r w:rsidRPr="00A94080">
        <w:rPr>
          <w:rFonts w:asciiTheme="minorHAnsi" w:hAnsiTheme="minorHAnsi" w:cstheme="minorHAnsi" w:hint="eastAsia"/>
          <w:szCs w:val="24"/>
          <w:lang w:eastAsia="zh-CN"/>
        </w:rPr>
        <w:t>国际电联还</w:t>
      </w:r>
      <w:r>
        <w:rPr>
          <w:rFonts w:asciiTheme="minorHAnsi" w:hAnsiTheme="minorHAnsi" w:cstheme="minorHAnsi" w:hint="eastAsia"/>
          <w:szCs w:val="24"/>
          <w:lang w:eastAsia="zh-CN"/>
        </w:rPr>
        <w:t>在</w:t>
      </w:r>
      <w:r w:rsidRPr="00A94080">
        <w:rPr>
          <w:rFonts w:asciiTheme="minorHAnsi" w:hAnsiTheme="minorHAnsi" w:cstheme="minorHAnsi" w:hint="eastAsia"/>
          <w:szCs w:val="24"/>
          <w:lang w:eastAsia="zh-CN"/>
        </w:rPr>
        <w:t>继续制定、推广和实施国际标准，加强</w:t>
      </w:r>
      <w:r>
        <w:rPr>
          <w:rFonts w:asciiTheme="minorHAnsi" w:hAnsiTheme="minorHAnsi" w:cstheme="minorHAnsi" w:hint="eastAsia"/>
          <w:szCs w:val="24"/>
          <w:lang w:eastAsia="zh-CN"/>
        </w:rPr>
        <w:t>ICT</w:t>
      </w:r>
      <w:r w:rsidRPr="00A94080">
        <w:rPr>
          <w:rFonts w:asciiTheme="minorHAnsi" w:hAnsiTheme="minorHAnsi" w:cstheme="minorHAnsi" w:hint="eastAsia"/>
          <w:szCs w:val="24"/>
          <w:lang w:eastAsia="zh-CN"/>
        </w:rPr>
        <w:t>对气候和环境行动</w:t>
      </w:r>
      <w:r>
        <w:rPr>
          <w:rFonts w:asciiTheme="minorHAnsi" w:hAnsiTheme="minorHAnsi" w:cstheme="minorHAnsi" w:hint="eastAsia"/>
          <w:szCs w:val="24"/>
          <w:lang w:eastAsia="zh-CN"/>
        </w:rPr>
        <w:t>的贡献</w:t>
      </w:r>
      <w:r w:rsidRPr="00A94080">
        <w:rPr>
          <w:rFonts w:asciiTheme="minorHAnsi" w:hAnsiTheme="minorHAnsi" w:cstheme="minorHAnsi" w:hint="eastAsia"/>
          <w:szCs w:val="24"/>
          <w:lang w:eastAsia="zh-CN"/>
        </w:rPr>
        <w:t>。</w:t>
      </w:r>
      <w:r w:rsidRPr="00A94080">
        <w:rPr>
          <w:rFonts w:asciiTheme="minorHAnsi" w:hAnsiTheme="minorHAnsi" w:cstheme="minorHAnsi" w:hint="eastAsia"/>
          <w:szCs w:val="24"/>
          <w:lang w:eastAsia="zh-CN"/>
        </w:rPr>
        <w:t>2024</w:t>
      </w:r>
      <w:r w:rsidRPr="00A94080">
        <w:rPr>
          <w:rFonts w:asciiTheme="minorHAnsi" w:hAnsiTheme="minorHAnsi" w:cstheme="minorHAnsi" w:hint="eastAsia"/>
          <w:szCs w:val="24"/>
          <w:lang w:eastAsia="zh-CN"/>
        </w:rPr>
        <w:t>年，</w:t>
      </w:r>
      <w:r>
        <w:rPr>
          <w:rFonts w:asciiTheme="minorHAnsi" w:hAnsiTheme="minorHAnsi" w:cstheme="minorHAnsi" w:hint="eastAsia"/>
          <w:szCs w:val="24"/>
          <w:lang w:eastAsia="zh-CN"/>
        </w:rPr>
        <w:t>ITU-T</w:t>
      </w:r>
      <w:r>
        <w:rPr>
          <w:rFonts w:asciiTheme="minorHAnsi" w:hAnsiTheme="minorHAnsi" w:cstheme="minorHAnsi" w:hint="eastAsia"/>
          <w:szCs w:val="24"/>
          <w:lang w:eastAsia="zh-CN"/>
        </w:rPr>
        <w:t>关于</w:t>
      </w:r>
      <w:r w:rsidRPr="00A94080">
        <w:rPr>
          <w:rFonts w:asciiTheme="minorHAnsi" w:hAnsiTheme="minorHAnsi" w:cstheme="minorHAnsi" w:hint="eastAsia"/>
          <w:szCs w:val="24"/>
          <w:lang w:eastAsia="zh-CN"/>
        </w:rPr>
        <w:t>环境、电磁场、气候行动和循环经济</w:t>
      </w:r>
      <w:r>
        <w:rPr>
          <w:rFonts w:asciiTheme="minorHAnsi" w:hAnsiTheme="minorHAnsi" w:cstheme="minorHAnsi" w:hint="eastAsia"/>
          <w:szCs w:val="24"/>
          <w:lang w:eastAsia="zh-CN"/>
        </w:rPr>
        <w:t>的</w:t>
      </w:r>
      <w:r w:rsidRPr="00A94080">
        <w:rPr>
          <w:rFonts w:asciiTheme="minorHAnsi" w:hAnsiTheme="minorHAnsi" w:cstheme="minorHAnsi" w:hint="eastAsia"/>
          <w:szCs w:val="24"/>
          <w:lang w:eastAsia="zh-CN"/>
        </w:rPr>
        <w:t>第</w:t>
      </w:r>
      <w:r w:rsidRPr="00A94080">
        <w:rPr>
          <w:rFonts w:asciiTheme="minorHAnsi" w:hAnsiTheme="minorHAnsi" w:cstheme="minorHAnsi" w:hint="eastAsia"/>
          <w:szCs w:val="24"/>
          <w:lang w:eastAsia="zh-CN"/>
        </w:rPr>
        <w:t>5</w:t>
      </w:r>
      <w:r w:rsidRPr="00A94080">
        <w:rPr>
          <w:rFonts w:asciiTheme="minorHAnsi" w:hAnsiTheme="minorHAnsi" w:cstheme="minorHAnsi" w:hint="eastAsia"/>
          <w:szCs w:val="24"/>
          <w:lang w:eastAsia="zh-CN"/>
        </w:rPr>
        <w:t>研究组批准了</w:t>
      </w:r>
      <w:r>
        <w:rPr>
          <w:rFonts w:asciiTheme="minorHAnsi" w:hAnsiTheme="minorHAnsi" w:cstheme="minorHAnsi" w:hint="eastAsia"/>
          <w:szCs w:val="24"/>
          <w:lang w:eastAsia="zh-CN"/>
        </w:rPr>
        <w:t>有关</w:t>
      </w:r>
      <w:r w:rsidRPr="00A94080">
        <w:rPr>
          <w:rFonts w:asciiTheme="minorHAnsi" w:hAnsiTheme="minorHAnsi" w:cstheme="minorHAnsi" w:hint="eastAsia"/>
          <w:szCs w:val="24"/>
          <w:lang w:eastAsia="zh-CN"/>
        </w:rPr>
        <w:t>多场景</w:t>
      </w:r>
      <w:r>
        <w:rPr>
          <w:rFonts w:asciiTheme="minorHAnsi" w:hAnsiTheme="minorHAnsi" w:cstheme="minorHAnsi" w:hint="eastAsia"/>
          <w:szCs w:val="24"/>
          <w:lang w:eastAsia="zh-CN"/>
        </w:rPr>
        <w:t>下</w:t>
      </w:r>
      <w:r w:rsidRPr="00A94080">
        <w:rPr>
          <w:rFonts w:asciiTheme="minorHAnsi" w:hAnsiTheme="minorHAnsi" w:cstheme="minorHAnsi" w:hint="eastAsia"/>
          <w:szCs w:val="24"/>
          <w:lang w:eastAsia="zh-CN"/>
        </w:rPr>
        <w:t>数据中心冷却技术指南、智能手机环境绩效评分和</w:t>
      </w:r>
      <w:r w:rsidRPr="00A94080">
        <w:rPr>
          <w:rFonts w:asciiTheme="minorHAnsi" w:hAnsiTheme="minorHAnsi" w:cstheme="minorHAnsi" w:hint="eastAsia"/>
          <w:szCs w:val="24"/>
          <w:lang w:eastAsia="zh-CN"/>
        </w:rPr>
        <w:t>ICT</w:t>
      </w:r>
      <w:r w:rsidRPr="00A94080">
        <w:rPr>
          <w:rFonts w:asciiTheme="minorHAnsi" w:hAnsiTheme="minorHAnsi" w:cstheme="minorHAnsi" w:hint="eastAsia"/>
          <w:szCs w:val="24"/>
          <w:lang w:eastAsia="zh-CN"/>
        </w:rPr>
        <w:t>行业数字产品</w:t>
      </w:r>
      <w:r>
        <w:rPr>
          <w:rFonts w:asciiTheme="minorHAnsi" w:hAnsiTheme="minorHAnsi" w:cstheme="minorHAnsi" w:hint="eastAsia"/>
          <w:szCs w:val="24"/>
          <w:lang w:eastAsia="zh-CN"/>
        </w:rPr>
        <w:t>通行证</w:t>
      </w:r>
      <w:r w:rsidRPr="00A94080">
        <w:rPr>
          <w:rFonts w:asciiTheme="minorHAnsi" w:hAnsiTheme="minorHAnsi" w:cstheme="minorHAnsi" w:hint="eastAsia"/>
          <w:szCs w:val="24"/>
          <w:lang w:eastAsia="zh-CN"/>
        </w:rPr>
        <w:t>的标准。</w:t>
      </w:r>
      <w:r w:rsidRPr="00A94080">
        <w:rPr>
          <w:rFonts w:asciiTheme="minorHAnsi" w:hAnsiTheme="minorHAnsi" w:cstheme="minorHAnsi" w:hint="eastAsia"/>
          <w:szCs w:val="24"/>
          <w:lang w:eastAsia="zh-CN"/>
        </w:rPr>
        <w:t>2024</w:t>
      </w:r>
      <w:r w:rsidRPr="00A94080">
        <w:rPr>
          <w:rFonts w:asciiTheme="minorHAnsi" w:hAnsiTheme="minorHAnsi" w:cstheme="minorHAnsi" w:hint="eastAsia"/>
          <w:szCs w:val="24"/>
          <w:lang w:eastAsia="zh-CN"/>
        </w:rPr>
        <w:t>年的一项</w:t>
      </w:r>
      <w:r>
        <w:rPr>
          <w:rFonts w:asciiTheme="minorHAnsi" w:hAnsiTheme="minorHAnsi" w:cstheme="minorHAnsi" w:hint="eastAsia"/>
          <w:szCs w:val="24"/>
          <w:lang w:eastAsia="zh-CN"/>
        </w:rPr>
        <w:t>重要</w:t>
      </w:r>
      <w:r w:rsidRPr="00A94080">
        <w:rPr>
          <w:rFonts w:asciiTheme="minorHAnsi" w:hAnsiTheme="minorHAnsi" w:cstheme="minorHAnsi" w:hint="eastAsia"/>
          <w:szCs w:val="24"/>
          <w:lang w:eastAsia="zh-CN"/>
        </w:rPr>
        <w:t>可交付成果是</w:t>
      </w:r>
      <w:hyperlink r:id="rId12" w:history="1">
        <w:r w:rsidRPr="00B635F5">
          <w:rPr>
            <w:rStyle w:val="Hyperlink"/>
            <w:rFonts w:asciiTheme="minorHAnsi" w:eastAsia="SimSun" w:hAnsiTheme="minorHAnsi" w:cstheme="minorHAnsi" w:hint="eastAsia"/>
            <w:szCs w:val="24"/>
            <w:lang w:eastAsia="zh-CN"/>
          </w:rPr>
          <w:t>ITU-T L.1472</w:t>
        </w:r>
        <w:r w:rsidRPr="00B635F5">
          <w:rPr>
            <w:rStyle w:val="Hyperlink"/>
            <w:rFonts w:asciiTheme="minorHAnsi" w:eastAsia="SimSun" w:hAnsiTheme="minorHAnsi" w:cstheme="minorHAnsi" w:hint="eastAsia"/>
            <w:szCs w:val="24"/>
            <w:lang w:eastAsia="zh-CN"/>
          </w:rPr>
          <w:t>建议书草案《创建国际电联</w:t>
        </w:r>
        <w:r w:rsidRPr="00B635F5">
          <w:rPr>
            <w:rStyle w:val="Hyperlink"/>
            <w:rFonts w:asciiTheme="minorHAnsi" w:eastAsia="SimSun" w:hAnsiTheme="minorHAnsi" w:cstheme="minorHAnsi" w:hint="eastAsia"/>
            <w:szCs w:val="24"/>
            <w:lang w:eastAsia="zh-CN"/>
          </w:rPr>
          <w:t>ICT</w:t>
        </w:r>
        <w:r w:rsidRPr="00B635F5">
          <w:rPr>
            <w:rStyle w:val="Hyperlink"/>
            <w:rFonts w:asciiTheme="minorHAnsi" w:eastAsia="SimSun" w:hAnsiTheme="minorHAnsi" w:cstheme="minorHAnsi" w:hint="eastAsia"/>
            <w:szCs w:val="24"/>
            <w:lang w:eastAsia="zh-CN"/>
          </w:rPr>
          <w:t>行业能耗和温室气体排放数据库的要求》</w:t>
        </w:r>
      </w:hyperlink>
      <w:r w:rsidRPr="00A94080">
        <w:rPr>
          <w:rFonts w:asciiTheme="minorHAnsi" w:hAnsiTheme="minorHAnsi" w:cstheme="minorHAnsi" w:hint="eastAsia"/>
          <w:szCs w:val="24"/>
          <w:lang w:eastAsia="zh-CN"/>
        </w:rPr>
        <w:t>，该建议书定义了创建</w:t>
      </w:r>
      <w:r w:rsidRPr="00A94080">
        <w:rPr>
          <w:rFonts w:asciiTheme="minorHAnsi" w:hAnsiTheme="minorHAnsi" w:cstheme="minorHAnsi" w:hint="eastAsia"/>
          <w:szCs w:val="24"/>
          <w:lang w:eastAsia="zh-CN"/>
        </w:rPr>
        <w:t>ICT</w:t>
      </w:r>
      <w:r w:rsidRPr="00A94080">
        <w:rPr>
          <w:rFonts w:asciiTheme="minorHAnsi" w:hAnsiTheme="minorHAnsi" w:cstheme="minorHAnsi" w:hint="eastAsia"/>
          <w:szCs w:val="24"/>
          <w:lang w:eastAsia="zh-CN"/>
        </w:rPr>
        <w:t>行业能耗和温室气体排放数据库的要求，概述了应在国家和全球范围内收集哪些数据，为国际电联的工作提供信息。</w:t>
      </w:r>
    </w:p>
    <w:p w14:paraId="0723568A" w14:textId="77777777" w:rsidR="009476DC" w:rsidRPr="00A94080" w:rsidRDefault="009476DC" w:rsidP="00220716">
      <w:pPr>
        <w:ind w:firstLineChars="200" w:firstLine="480"/>
        <w:rPr>
          <w:rFonts w:asciiTheme="minorHAnsi" w:hAnsiTheme="minorHAnsi" w:cstheme="minorHAnsi"/>
          <w:szCs w:val="24"/>
          <w:lang w:eastAsia="zh-CN"/>
        </w:rPr>
      </w:pPr>
      <w:r w:rsidRPr="00A94080">
        <w:rPr>
          <w:rFonts w:asciiTheme="minorHAnsi" w:hAnsiTheme="minorHAnsi" w:cstheme="minorHAnsi" w:hint="eastAsia"/>
          <w:szCs w:val="24"/>
          <w:lang w:eastAsia="zh-CN"/>
        </w:rPr>
        <w:t>试点项目正在进行中，目的是：</w:t>
      </w:r>
    </w:p>
    <w:p w14:paraId="71BB8F92" w14:textId="77777777" w:rsidR="009476DC" w:rsidRPr="00A94080" w:rsidRDefault="009476DC" w:rsidP="009476DC">
      <w:pPr>
        <w:pStyle w:val="enumlev1"/>
        <w:rPr>
          <w:rFonts w:asciiTheme="minorHAnsi" w:hAnsiTheme="minorHAnsi"/>
          <w:lang w:eastAsia="zh-CN"/>
        </w:rPr>
      </w:pPr>
      <w:r w:rsidRPr="00A94080">
        <w:rPr>
          <w:rFonts w:asciiTheme="minorHAnsi" w:hAnsiTheme="minorHAnsi"/>
          <w:kern w:val="2"/>
          <w:lang w:eastAsia="zh-CN"/>
          <w14:ligatures w14:val="standardContextual"/>
        </w:rPr>
        <w:t>1</w:t>
      </w:r>
      <w:r w:rsidRPr="00A94080">
        <w:rPr>
          <w:rFonts w:asciiTheme="minorHAnsi" w:hAnsiTheme="minorHAnsi"/>
          <w:kern w:val="2"/>
          <w:lang w:eastAsia="zh-CN"/>
          <w14:ligatures w14:val="standardContextual"/>
        </w:rPr>
        <w:tab/>
      </w:r>
      <w:r w:rsidRPr="00A94080">
        <w:rPr>
          <w:rFonts w:asciiTheme="minorHAnsi" w:hAnsiTheme="minorHAnsi" w:hint="eastAsia"/>
          <w:lang w:eastAsia="zh-CN"/>
        </w:rPr>
        <w:t>收集基于</w:t>
      </w:r>
      <w:proofErr w:type="spellStart"/>
      <w:r w:rsidRPr="00A94080">
        <w:rPr>
          <w:rFonts w:asciiTheme="minorHAnsi" w:hAnsiTheme="minorHAnsi" w:hint="eastAsia"/>
          <w:lang w:eastAsia="zh-CN"/>
        </w:rPr>
        <w:t>L.1472</w:t>
      </w:r>
      <w:proofErr w:type="spellEnd"/>
      <w:r w:rsidRPr="00A94080">
        <w:rPr>
          <w:rFonts w:asciiTheme="minorHAnsi" w:hAnsiTheme="minorHAnsi" w:hint="eastAsia"/>
          <w:lang w:eastAsia="zh-CN"/>
        </w:rPr>
        <w:t>方法的新数据，而不</w:t>
      </w:r>
      <w:r>
        <w:rPr>
          <w:rFonts w:asciiTheme="minorHAnsi" w:hAnsiTheme="minorHAnsi" w:hint="eastAsia"/>
          <w:lang w:eastAsia="zh-CN"/>
        </w:rPr>
        <w:t>只</w:t>
      </w:r>
      <w:r w:rsidRPr="00A94080">
        <w:rPr>
          <w:rFonts w:asciiTheme="minorHAnsi" w:hAnsiTheme="minorHAnsi" w:hint="eastAsia"/>
          <w:lang w:eastAsia="zh-CN"/>
        </w:rPr>
        <w:t>是</w:t>
      </w:r>
      <w:r>
        <w:rPr>
          <w:rFonts w:asciiTheme="minorHAnsi" w:hAnsiTheme="minorHAnsi" w:hint="eastAsia"/>
          <w:lang w:eastAsia="zh-CN"/>
        </w:rPr>
        <w:t>源自</w:t>
      </w:r>
      <w:r w:rsidRPr="00A94080">
        <w:rPr>
          <w:rFonts w:asciiTheme="minorHAnsi" w:hAnsiTheme="minorHAnsi" w:hint="eastAsia"/>
          <w:lang w:eastAsia="zh-CN"/>
        </w:rPr>
        <w:t>国际电联</w:t>
      </w:r>
      <w:r>
        <w:rPr>
          <w:rFonts w:asciiTheme="minorHAnsi" w:hAnsiTheme="minorHAnsi" w:hint="eastAsia"/>
          <w:lang w:eastAsia="zh-CN"/>
        </w:rPr>
        <w:t>《绿色数字企业》</w:t>
      </w:r>
      <w:r w:rsidRPr="00A94080">
        <w:rPr>
          <w:rFonts w:asciiTheme="minorHAnsi" w:hAnsiTheme="minorHAnsi" w:hint="eastAsia"/>
          <w:lang w:eastAsia="zh-CN"/>
        </w:rPr>
        <w:t>报告以及</w:t>
      </w:r>
      <w:r w:rsidRPr="00A94080">
        <w:rPr>
          <w:rFonts w:asciiTheme="minorHAnsi" w:hAnsiTheme="minorHAnsi" w:hint="eastAsia"/>
          <w:lang w:eastAsia="zh-CN"/>
        </w:rPr>
        <w:t>CDP</w:t>
      </w:r>
      <w:r w:rsidRPr="00A94080">
        <w:rPr>
          <w:rFonts w:asciiTheme="minorHAnsi" w:hAnsiTheme="minorHAnsi" w:hint="eastAsia"/>
          <w:lang w:eastAsia="zh-CN"/>
        </w:rPr>
        <w:t>和可持续发展披露等来源的数据。</w:t>
      </w:r>
    </w:p>
    <w:p w14:paraId="437FD105" w14:textId="77777777" w:rsidR="009476DC" w:rsidRPr="00A94080" w:rsidRDefault="009476DC" w:rsidP="009476DC">
      <w:pPr>
        <w:pStyle w:val="enumlev1"/>
        <w:rPr>
          <w:rFonts w:asciiTheme="minorHAnsi" w:hAnsiTheme="minorHAnsi"/>
          <w:lang w:eastAsia="zh-CN"/>
        </w:rPr>
      </w:pPr>
      <w:r w:rsidRPr="00A94080">
        <w:rPr>
          <w:rFonts w:asciiTheme="minorHAnsi" w:hAnsiTheme="minorHAnsi"/>
          <w:kern w:val="2"/>
          <w:lang w:eastAsia="zh-CN"/>
          <w14:ligatures w14:val="standardContextual"/>
        </w:rPr>
        <w:t>2</w:t>
      </w:r>
      <w:r w:rsidRPr="00A94080">
        <w:rPr>
          <w:rFonts w:asciiTheme="minorHAnsi" w:hAnsiTheme="minorHAnsi"/>
          <w:kern w:val="2"/>
          <w:lang w:eastAsia="zh-CN"/>
          <w14:ligatures w14:val="standardContextual"/>
        </w:rPr>
        <w:tab/>
      </w:r>
      <w:r w:rsidRPr="00A94080">
        <w:rPr>
          <w:rFonts w:asciiTheme="minorHAnsi" w:hAnsiTheme="minorHAnsi" w:hint="eastAsia"/>
          <w:lang w:eastAsia="zh-CN"/>
        </w:rPr>
        <w:t>找出可用数据与所需数据之间的差距。</w:t>
      </w:r>
    </w:p>
    <w:p w14:paraId="198285C2" w14:textId="77777777" w:rsidR="009476DC" w:rsidRPr="00A94080" w:rsidRDefault="009476DC" w:rsidP="009476DC">
      <w:pPr>
        <w:pStyle w:val="enumlev1"/>
        <w:rPr>
          <w:rFonts w:asciiTheme="minorHAnsi" w:hAnsiTheme="minorHAnsi"/>
          <w:lang w:eastAsia="zh-CN"/>
        </w:rPr>
      </w:pPr>
      <w:r w:rsidRPr="00A94080">
        <w:rPr>
          <w:rFonts w:asciiTheme="minorHAnsi" w:hAnsiTheme="minorHAnsi"/>
          <w:kern w:val="2"/>
          <w:lang w:eastAsia="zh-CN"/>
          <w14:ligatures w14:val="standardContextual"/>
        </w:rPr>
        <w:t>3</w:t>
      </w:r>
      <w:r w:rsidRPr="00A94080">
        <w:rPr>
          <w:rFonts w:asciiTheme="minorHAnsi" w:hAnsiTheme="minorHAnsi"/>
          <w:kern w:val="2"/>
          <w:lang w:eastAsia="zh-CN"/>
          <w14:ligatures w14:val="standardContextual"/>
        </w:rPr>
        <w:tab/>
      </w:r>
      <w:r w:rsidRPr="00A94080">
        <w:rPr>
          <w:rFonts w:asciiTheme="minorHAnsi" w:hAnsiTheme="minorHAnsi" w:hint="eastAsia"/>
          <w:lang w:eastAsia="zh-CN"/>
        </w:rPr>
        <w:t>测试按照</w:t>
      </w:r>
      <w:proofErr w:type="spellStart"/>
      <w:r w:rsidRPr="00A94080">
        <w:rPr>
          <w:rFonts w:asciiTheme="minorHAnsi" w:hAnsiTheme="minorHAnsi" w:hint="eastAsia"/>
          <w:lang w:eastAsia="zh-CN"/>
        </w:rPr>
        <w:t>L.1472</w:t>
      </w:r>
      <w:proofErr w:type="spellEnd"/>
      <w:r w:rsidRPr="00A94080">
        <w:rPr>
          <w:rFonts w:asciiTheme="minorHAnsi" w:hAnsiTheme="minorHAnsi" w:hint="eastAsia"/>
          <w:lang w:eastAsia="zh-CN"/>
        </w:rPr>
        <w:t>建议</w:t>
      </w:r>
      <w:r>
        <w:rPr>
          <w:rFonts w:asciiTheme="minorHAnsi" w:hAnsiTheme="minorHAnsi" w:hint="eastAsia"/>
          <w:lang w:eastAsia="zh-CN"/>
        </w:rPr>
        <w:t>书</w:t>
      </w:r>
      <w:r w:rsidRPr="00A94080">
        <w:rPr>
          <w:rFonts w:asciiTheme="minorHAnsi" w:hAnsiTheme="minorHAnsi" w:hint="eastAsia"/>
          <w:lang w:eastAsia="zh-CN"/>
        </w:rPr>
        <w:t>收集数据的可行性。</w:t>
      </w:r>
    </w:p>
    <w:p w14:paraId="3F522E41" w14:textId="77777777" w:rsidR="009476DC" w:rsidRPr="00A94080" w:rsidRDefault="009476DC" w:rsidP="009476DC">
      <w:pPr>
        <w:pStyle w:val="enumlev1"/>
        <w:rPr>
          <w:rFonts w:asciiTheme="minorHAnsi" w:hAnsiTheme="minorHAnsi"/>
          <w:lang w:eastAsia="zh-CN"/>
        </w:rPr>
      </w:pPr>
      <w:r w:rsidRPr="00A94080">
        <w:rPr>
          <w:rFonts w:asciiTheme="minorHAnsi" w:hAnsiTheme="minorHAnsi"/>
          <w:kern w:val="2"/>
          <w:lang w:eastAsia="zh-CN"/>
          <w14:ligatures w14:val="standardContextual"/>
        </w:rPr>
        <w:t>4</w:t>
      </w:r>
      <w:r w:rsidRPr="00A94080">
        <w:rPr>
          <w:rFonts w:asciiTheme="minorHAnsi" w:hAnsiTheme="minorHAnsi"/>
          <w:kern w:val="2"/>
          <w:lang w:eastAsia="zh-CN"/>
          <w14:ligatures w14:val="standardContextual"/>
        </w:rPr>
        <w:tab/>
      </w:r>
      <w:r>
        <w:rPr>
          <w:rFonts w:asciiTheme="minorHAnsi" w:hAnsiTheme="minorHAnsi" w:hint="eastAsia"/>
          <w:lang w:eastAsia="zh-CN"/>
        </w:rPr>
        <w:t>利</w:t>
      </w:r>
      <w:r w:rsidRPr="00A94080">
        <w:rPr>
          <w:rFonts w:asciiTheme="minorHAnsi" w:hAnsiTheme="minorHAnsi" w:hint="eastAsia"/>
          <w:lang w:eastAsia="zh-CN"/>
        </w:rPr>
        <w:t>用《衡量</w:t>
      </w:r>
      <w:r w:rsidRPr="00A94080">
        <w:rPr>
          <w:rFonts w:asciiTheme="minorHAnsi" w:hAnsiTheme="minorHAnsi" w:hint="eastAsia"/>
          <w:lang w:eastAsia="zh-CN"/>
        </w:rPr>
        <w:t>ICT</w:t>
      </w:r>
      <w:r w:rsidRPr="00A94080">
        <w:rPr>
          <w:rFonts w:asciiTheme="minorHAnsi" w:hAnsiTheme="minorHAnsi" w:hint="eastAsia"/>
          <w:lang w:eastAsia="zh-CN"/>
        </w:rPr>
        <w:t>行业的环境影响：</w:t>
      </w:r>
      <w:proofErr w:type="spellStart"/>
      <w:r w:rsidRPr="00A94080">
        <w:rPr>
          <w:rFonts w:asciiTheme="minorHAnsi" w:hAnsiTheme="minorHAnsi" w:hint="eastAsia"/>
          <w:lang w:eastAsia="zh-CN"/>
        </w:rPr>
        <w:t>ARCEP</w:t>
      </w:r>
      <w:proofErr w:type="spellEnd"/>
      <w:r w:rsidRPr="00A94080">
        <w:rPr>
          <w:rFonts w:asciiTheme="minorHAnsi" w:hAnsiTheme="minorHAnsi" w:hint="eastAsia"/>
          <w:lang w:eastAsia="zh-CN"/>
        </w:rPr>
        <w:t>案例研究</w:t>
      </w:r>
      <w:r w:rsidRPr="00A94080">
        <w:rPr>
          <w:rFonts w:asciiTheme="minorHAnsi" w:hAnsiTheme="minorHAnsi" w:hint="eastAsia"/>
          <w:lang w:eastAsia="zh-CN"/>
        </w:rPr>
        <w:t xml:space="preserve"> </w:t>
      </w:r>
      <w:r w:rsidRPr="00A94080">
        <w:rPr>
          <w:rFonts w:asciiTheme="minorHAnsi" w:hAnsiTheme="minorHAnsi"/>
          <w:lang w:eastAsia="zh-CN"/>
        </w:rPr>
        <w:t>–</w:t>
      </w:r>
      <w:r w:rsidRPr="00A94080">
        <w:rPr>
          <w:rFonts w:asciiTheme="minorHAnsi" w:hAnsiTheme="minorHAnsi" w:hint="eastAsia"/>
          <w:lang w:eastAsia="zh-CN"/>
        </w:rPr>
        <w:t xml:space="preserve"> </w:t>
      </w:r>
      <w:r w:rsidRPr="00A94080">
        <w:rPr>
          <w:rFonts w:asciiTheme="minorHAnsi" w:hAnsiTheme="minorHAnsi" w:hint="eastAsia"/>
          <w:lang w:eastAsia="zh-CN"/>
        </w:rPr>
        <w:t>法国》（国际电联，</w:t>
      </w:r>
      <w:r w:rsidRPr="00A94080">
        <w:rPr>
          <w:rFonts w:asciiTheme="minorHAnsi" w:hAnsiTheme="minorHAnsi" w:hint="eastAsia"/>
          <w:lang w:eastAsia="zh-CN"/>
        </w:rPr>
        <w:t>2025</w:t>
      </w:r>
      <w:r w:rsidRPr="00A94080">
        <w:rPr>
          <w:rFonts w:asciiTheme="minorHAnsi" w:hAnsiTheme="minorHAnsi" w:hint="eastAsia"/>
          <w:lang w:eastAsia="zh-CN"/>
        </w:rPr>
        <w:t>年</w:t>
      </w:r>
      <w:r w:rsidRPr="00A94080">
        <w:rPr>
          <w:rFonts w:asciiTheme="minorHAnsi" w:hAnsiTheme="minorHAnsi" w:hint="eastAsia"/>
          <w:lang w:eastAsia="zh-CN"/>
        </w:rPr>
        <w:t>3</w:t>
      </w:r>
      <w:r w:rsidRPr="00A94080">
        <w:rPr>
          <w:rFonts w:asciiTheme="minorHAnsi" w:hAnsiTheme="minorHAnsi" w:hint="eastAsia"/>
          <w:lang w:eastAsia="zh-CN"/>
        </w:rPr>
        <w:t>月）等报告，将</w:t>
      </w:r>
      <w:r>
        <w:rPr>
          <w:rFonts w:asciiTheme="minorHAnsi" w:hAnsiTheme="minorHAnsi" w:hint="eastAsia"/>
          <w:lang w:eastAsia="zh-CN"/>
        </w:rPr>
        <w:t>当</w:t>
      </w:r>
      <w:r w:rsidRPr="00A94080">
        <w:rPr>
          <w:rFonts w:asciiTheme="minorHAnsi" w:hAnsiTheme="minorHAnsi" w:hint="eastAsia"/>
          <w:lang w:eastAsia="zh-CN"/>
        </w:rPr>
        <w:t>前国家收集的数据与拟议指标进行</w:t>
      </w:r>
      <w:r>
        <w:rPr>
          <w:rFonts w:asciiTheme="minorHAnsi" w:hAnsiTheme="minorHAnsi" w:hint="eastAsia"/>
          <w:lang w:eastAsia="zh-CN"/>
        </w:rPr>
        <w:t>对</w:t>
      </w:r>
      <w:r w:rsidRPr="00A94080">
        <w:rPr>
          <w:rFonts w:asciiTheme="minorHAnsi" w:hAnsiTheme="minorHAnsi" w:hint="eastAsia"/>
          <w:lang w:eastAsia="zh-CN"/>
        </w:rPr>
        <w:t>比。</w:t>
      </w:r>
    </w:p>
    <w:p w14:paraId="4EC55817" w14:textId="44E37EB4" w:rsidR="009476DC" w:rsidRPr="00A94080" w:rsidRDefault="009476DC" w:rsidP="00220716">
      <w:pPr>
        <w:ind w:firstLineChars="200" w:firstLine="480"/>
        <w:jc w:val="both"/>
        <w:rPr>
          <w:rFonts w:asciiTheme="minorHAnsi" w:hAnsiTheme="minorHAnsi"/>
          <w:lang w:eastAsia="zh-CN"/>
        </w:rPr>
      </w:pPr>
      <w:proofErr w:type="spellStart"/>
      <w:r w:rsidRPr="00A94080">
        <w:rPr>
          <w:rFonts w:asciiTheme="minorHAnsi" w:hAnsiTheme="minorHAnsi" w:hint="eastAsia"/>
          <w:lang w:eastAsia="zh-CN"/>
        </w:rPr>
        <w:t>EGTI</w:t>
      </w:r>
      <w:proofErr w:type="spellEnd"/>
      <w:r w:rsidRPr="00A94080">
        <w:rPr>
          <w:rFonts w:asciiTheme="minorHAnsi" w:hAnsiTheme="minorHAnsi" w:hint="eastAsia"/>
          <w:lang w:eastAsia="zh-CN"/>
        </w:rPr>
        <w:t>国家温室气体排放监测指标分组将与</w:t>
      </w:r>
      <w:r>
        <w:rPr>
          <w:rFonts w:asciiTheme="minorHAnsi" w:hAnsiTheme="minorHAnsi" w:hint="eastAsia"/>
          <w:lang w:eastAsia="zh-CN"/>
        </w:rPr>
        <w:t>ITU-T</w:t>
      </w:r>
      <w:r w:rsidRPr="00A94080">
        <w:rPr>
          <w:rFonts w:asciiTheme="minorHAnsi" w:hAnsiTheme="minorHAnsi" w:hint="eastAsia"/>
          <w:lang w:eastAsia="zh-CN"/>
        </w:rPr>
        <w:t>第</w:t>
      </w:r>
      <w:r w:rsidRPr="00A94080">
        <w:rPr>
          <w:rFonts w:asciiTheme="minorHAnsi" w:hAnsiTheme="minorHAnsi" w:hint="eastAsia"/>
          <w:lang w:eastAsia="zh-CN"/>
        </w:rPr>
        <w:t>5</w:t>
      </w:r>
      <w:r w:rsidRPr="00A94080">
        <w:rPr>
          <w:rFonts w:asciiTheme="minorHAnsi" w:hAnsiTheme="minorHAnsi" w:hint="eastAsia"/>
          <w:lang w:eastAsia="zh-CN"/>
        </w:rPr>
        <w:t>研究组紧密合作，完善</w:t>
      </w:r>
      <w:proofErr w:type="spellStart"/>
      <w:r w:rsidRPr="00A94080">
        <w:rPr>
          <w:rFonts w:asciiTheme="minorHAnsi" w:hAnsiTheme="minorHAnsi" w:hint="eastAsia"/>
          <w:lang w:eastAsia="zh-CN"/>
        </w:rPr>
        <w:t>L.1472</w:t>
      </w:r>
      <w:proofErr w:type="spellEnd"/>
      <w:r>
        <w:rPr>
          <w:rFonts w:asciiTheme="minorHAnsi" w:hAnsiTheme="minorHAnsi" w:hint="eastAsia"/>
          <w:lang w:eastAsia="zh-CN"/>
        </w:rPr>
        <w:t>建议书</w:t>
      </w:r>
      <w:r w:rsidRPr="00A94080">
        <w:rPr>
          <w:rFonts w:asciiTheme="minorHAnsi" w:hAnsiTheme="minorHAnsi" w:hint="eastAsia"/>
          <w:lang w:eastAsia="zh-CN"/>
        </w:rPr>
        <w:t>，并确保测量方法</w:t>
      </w:r>
      <w:r>
        <w:rPr>
          <w:rFonts w:asciiTheme="minorHAnsi" w:hAnsiTheme="minorHAnsi" w:hint="eastAsia"/>
          <w:lang w:eastAsia="zh-CN"/>
        </w:rPr>
        <w:t>保持</w:t>
      </w:r>
      <w:r w:rsidRPr="00A94080">
        <w:rPr>
          <w:rFonts w:asciiTheme="minorHAnsi" w:hAnsiTheme="minorHAnsi" w:hint="eastAsia"/>
          <w:lang w:eastAsia="zh-CN"/>
        </w:rPr>
        <w:t>一致。</w:t>
      </w:r>
    </w:p>
    <w:p w14:paraId="03D15A74" w14:textId="77777777" w:rsidR="009476DC" w:rsidRPr="00A94080" w:rsidRDefault="009476DC" w:rsidP="00220716">
      <w:pPr>
        <w:ind w:firstLineChars="200" w:firstLine="472"/>
        <w:jc w:val="both"/>
        <w:rPr>
          <w:rFonts w:asciiTheme="minorHAnsi" w:hAnsiTheme="minorHAnsi"/>
          <w:lang w:eastAsia="zh-CN"/>
        </w:rPr>
      </w:pPr>
      <w:r w:rsidRPr="00CA74BD">
        <w:rPr>
          <w:rFonts w:asciiTheme="minorHAnsi" w:hAnsiTheme="minorHAnsi" w:hint="eastAsia"/>
          <w:spacing w:val="-2"/>
          <w:lang w:eastAsia="zh-CN"/>
        </w:rPr>
        <w:lastRenderedPageBreak/>
        <w:t>在印度举行的世界电信标准化全会（</w:t>
      </w:r>
      <w:r w:rsidRPr="00CA74BD">
        <w:rPr>
          <w:rFonts w:asciiTheme="minorHAnsi" w:hAnsiTheme="minorHAnsi" w:hint="eastAsia"/>
          <w:spacing w:val="-2"/>
          <w:lang w:eastAsia="zh-CN"/>
        </w:rPr>
        <w:t>2024</w:t>
      </w:r>
      <w:r w:rsidRPr="00CA74BD">
        <w:rPr>
          <w:rFonts w:asciiTheme="minorHAnsi" w:hAnsiTheme="minorHAnsi" w:hint="eastAsia"/>
          <w:spacing w:val="-2"/>
          <w:lang w:eastAsia="zh-CN"/>
        </w:rPr>
        <w:t>年，新德里）通过了新的第</w:t>
      </w:r>
      <w:r w:rsidRPr="00CA74BD">
        <w:rPr>
          <w:rFonts w:asciiTheme="minorHAnsi" w:hAnsiTheme="minorHAnsi" w:hint="eastAsia"/>
          <w:spacing w:val="-2"/>
          <w:lang w:eastAsia="zh-CN"/>
        </w:rPr>
        <w:t>106</w:t>
      </w:r>
      <w:r w:rsidRPr="00CA74BD">
        <w:rPr>
          <w:rFonts w:asciiTheme="minorHAnsi" w:hAnsiTheme="minorHAnsi" w:hint="eastAsia"/>
          <w:spacing w:val="-2"/>
          <w:lang w:eastAsia="zh-CN"/>
        </w:rPr>
        <w:t>号决议《加强可持续数字化转型方面的标准化活动》，鼓励制定</w:t>
      </w:r>
      <w:r w:rsidRPr="00CA74BD">
        <w:rPr>
          <w:rFonts w:asciiTheme="minorHAnsi" w:hAnsiTheme="minorHAnsi" w:hint="eastAsia"/>
          <w:spacing w:val="-2"/>
          <w:lang w:eastAsia="zh-CN"/>
        </w:rPr>
        <w:t>ITU-T</w:t>
      </w:r>
      <w:r w:rsidRPr="00CA74BD">
        <w:rPr>
          <w:rFonts w:asciiTheme="minorHAnsi" w:hAnsiTheme="minorHAnsi" w:hint="eastAsia"/>
          <w:spacing w:val="-2"/>
          <w:lang w:eastAsia="zh-CN"/>
        </w:rPr>
        <w:t>建议书，利用与电信</w:t>
      </w:r>
      <w:r w:rsidRPr="00A94080">
        <w:rPr>
          <w:rFonts w:asciiTheme="minorHAnsi" w:hAnsiTheme="minorHAnsi" w:hint="eastAsia"/>
          <w:lang w:eastAsia="zh-CN"/>
        </w:rPr>
        <w:t>/</w:t>
      </w:r>
      <w:r>
        <w:rPr>
          <w:rFonts w:asciiTheme="minorHAnsi" w:hAnsiTheme="minorHAnsi" w:hint="eastAsia"/>
          <w:lang w:eastAsia="zh-CN"/>
        </w:rPr>
        <w:t>ICT</w:t>
      </w:r>
      <w:r w:rsidRPr="00A94080">
        <w:rPr>
          <w:rFonts w:asciiTheme="minorHAnsi" w:hAnsiTheme="minorHAnsi" w:hint="eastAsia"/>
          <w:lang w:eastAsia="zh-CN"/>
        </w:rPr>
        <w:t>相关的数字技术、应用、服务和平台，推动可持续的数字化转型。</w:t>
      </w:r>
    </w:p>
    <w:p w14:paraId="1187BD6E" w14:textId="77777777" w:rsidR="009476DC" w:rsidRPr="00A94080" w:rsidRDefault="009476DC" w:rsidP="00220716">
      <w:pPr>
        <w:ind w:firstLineChars="200" w:firstLine="480"/>
        <w:jc w:val="both"/>
        <w:rPr>
          <w:rFonts w:asciiTheme="minorHAnsi" w:hAnsiTheme="minorHAnsi"/>
          <w:lang w:eastAsia="zh-CN"/>
        </w:rPr>
      </w:pPr>
      <w:r>
        <w:rPr>
          <w:rFonts w:hint="eastAsia"/>
          <w:lang w:eastAsia="zh-CN"/>
        </w:rPr>
        <w:t>会上也修订了</w:t>
      </w:r>
      <w:r w:rsidRPr="00A94080">
        <w:rPr>
          <w:rFonts w:asciiTheme="minorHAnsi" w:hAnsiTheme="minorHAnsi" w:hint="eastAsia"/>
          <w:lang w:eastAsia="zh-CN"/>
        </w:rPr>
        <w:t>第</w:t>
      </w:r>
      <w:r w:rsidRPr="00A94080">
        <w:rPr>
          <w:rFonts w:asciiTheme="minorHAnsi" w:hAnsiTheme="minorHAnsi" w:hint="eastAsia"/>
          <w:lang w:eastAsia="zh-CN"/>
        </w:rPr>
        <w:t>73</w:t>
      </w:r>
      <w:r w:rsidRPr="00A94080">
        <w:rPr>
          <w:rFonts w:asciiTheme="minorHAnsi" w:hAnsiTheme="minorHAnsi" w:hint="eastAsia"/>
          <w:lang w:eastAsia="zh-CN"/>
        </w:rPr>
        <w:t>号决议（</w:t>
      </w:r>
      <w:r w:rsidRPr="00A94080">
        <w:rPr>
          <w:rFonts w:asciiTheme="minorHAnsi" w:hAnsiTheme="minorHAnsi" w:hint="eastAsia"/>
          <w:lang w:eastAsia="zh-CN"/>
        </w:rPr>
        <w:t>2024</w:t>
      </w:r>
      <w:r w:rsidRPr="00A94080">
        <w:rPr>
          <w:rFonts w:asciiTheme="minorHAnsi" w:hAnsiTheme="minorHAnsi" w:hint="eastAsia"/>
          <w:lang w:eastAsia="zh-CN"/>
        </w:rPr>
        <w:t>年，新德里，修订版）</w:t>
      </w:r>
      <w:r>
        <w:rPr>
          <w:rFonts w:asciiTheme="minorHAnsi" w:hAnsiTheme="minorHAnsi" w:hint="eastAsia"/>
          <w:lang w:eastAsia="zh-CN"/>
        </w:rPr>
        <w:t>《</w:t>
      </w:r>
      <w:r w:rsidRPr="00A94080">
        <w:rPr>
          <w:rFonts w:asciiTheme="minorHAnsi" w:hAnsiTheme="minorHAnsi" w:hint="eastAsia"/>
          <w:lang w:eastAsia="zh-CN"/>
        </w:rPr>
        <w:t>信息通信技术、环境、气候变化和循环经济</w:t>
      </w:r>
      <w:r>
        <w:rPr>
          <w:rFonts w:asciiTheme="minorHAnsi" w:hAnsiTheme="minorHAnsi" w:hint="eastAsia"/>
          <w:lang w:eastAsia="zh-CN"/>
        </w:rPr>
        <w:t>》</w:t>
      </w:r>
      <w:r w:rsidRPr="00A94080">
        <w:rPr>
          <w:rFonts w:asciiTheme="minorHAnsi" w:hAnsiTheme="minorHAnsi" w:hint="eastAsia"/>
          <w:lang w:eastAsia="zh-CN"/>
        </w:rPr>
        <w:t>，强调减少电子废弃物、最大限度地减少</w:t>
      </w:r>
      <w:r>
        <w:rPr>
          <w:rFonts w:asciiTheme="minorHAnsi" w:hAnsiTheme="minorHAnsi" w:hint="eastAsia"/>
          <w:lang w:eastAsia="zh-CN"/>
        </w:rPr>
        <w:t>对</w:t>
      </w:r>
      <w:r w:rsidRPr="00A94080">
        <w:rPr>
          <w:rFonts w:asciiTheme="minorHAnsi" w:hAnsiTheme="minorHAnsi" w:hint="eastAsia"/>
          <w:lang w:eastAsia="zh-CN"/>
        </w:rPr>
        <w:t>环境</w:t>
      </w:r>
      <w:r>
        <w:rPr>
          <w:rFonts w:asciiTheme="minorHAnsi" w:hAnsiTheme="minorHAnsi" w:hint="eastAsia"/>
          <w:lang w:eastAsia="zh-CN"/>
        </w:rPr>
        <w:t>的</w:t>
      </w:r>
      <w:r w:rsidRPr="00A94080">
        <w:rPr>
          <w:rFonts w:asciiTheme="minorHAnsi" w:hAnsiTheme="minorHAnsi" w:hint="eastAsia"/>
          <w:lang w:eastAsia="zh-CN"/>
        </w:rPr>
        <w:t>影响以及</w:t>
      </w:r>
      <w:r>
        <w:rPr>
          <w:rFonts w:asciiTheme="minorHAnsi" w:hAnsiTheme="minorHAnsi" w:hint="eastAsia"/>
          <w:lang w:eastAsia="zh-CN"/>
        </w:rPr>
        <w:t>提高</w:t>
      </w:r>
      <w:r w:rsidRPr="00A94080">
        <w:rPr>
          <w:rFonts w:asciiTheme="minorHAnsi" w:hAnsiTheme="minorHAnsi" w:hint="eastAsia"/>
          <w:lang w:eastAsia="zh-CN"/>
        </w:rPr>
        <w:t>各国系统之间的数据协调</w:t>
      </w:r>
      <w:r>
        <w:rPr>
          <w:rFonts w:asciiTheme="minorHAnsi" w:hAnsiTheme="minorHAnsi" w:hint="eastAsia"/>
          <w:lang w:eastAsia="zh-CN"/>
        </w:rPr>
        <w:t>性</w:t>
      </w:r>
      <w:r w:rsidRPr="00A94080">
        <w:rPr>
          <w:rFonts w:asciiTheme="minorHAnsi" w:hAnsiTheme="minorHAnsi" w:hint="eastAsia"/>
          <w:lang w:eastAsia="zh-CN"/>
        </w:rPr>
        <w:t>。</w:t>
      </w:r>
    </w:p>
    <w:p w14:paraId="1F7ADBA9" w14:textId="77777777" w:rsidR="009476DC" w:rsidRPr="00A94080" w:rsidRDefault="009476DC" w:rsidP="009476DC">
      <w:pPr>
        <w:pStyle w:val="Headingb"/>
        <w:rPr>
          <w:rFonts w:asciiTheme="minorHAnsi" w:hAnsiTheme="minorHAnsi"/>
          <w:lang w:eastAsia="zh-CN"/>
        </w:rPr>
      </w:pPr>
      <w:r w:rsidRPr="00A94080">
        <w:rPr>
          <w:rFonts w:asciiTheme="minorHAnsi" w:hAnsiTheme="minorHAnsi" w:hint="eastAsia"/>
          <w:lang w:eastAsia="zh-CN"/>
        </w:rPr>
        <w:t>运</w:t>
      </w:r>
      <w:r>
        <w:rPr>
          <w:rFonts w:asciiTheme="minorHAnsi" w:hAnsiTheme="minorHAnsi" w:hint="eastAsia"/>
          <w:lang w:eastAsia="zh-CN"/>
        </w:rPr>
        <w:t>作</w:t>
      </w:r>
      <w:r w:rsidRPr="00A94080">
        <w:rPr>
          <w:rFonts w:asciiTheme="minorHAnsi" w:hAnsiTheme="minorHAnsi" w:hint="eastAsia"/>
          <w:lang w:eastAsia="zh-CN"/>
        </w:rPr>
        <w:t>绿</w:t>
      </w:r>
      <w:r>
        <w:rPr>
          <w:rFonts w:asciiTheme="minorHAnsi" w:hAnsiTheme="minorHAnsi" w:hint="eastAsia"/>
          <w:lang w:eastAsia="zh-CN"/>
        </w:rPr>
        <w:t>色</w:t>
      </w:r>
      <w:r w:rsidRPr="00A94080">
        <w:rPr>
          <w:rFonts w:asciiTheme="minorHAnsi" w:hAnsiTheme="minorHAnsi" w:hint="eastAsia"/>
          <w:lang w:eastAsia="zh-CN"/>
        </w:rPr>
        <w:t>化</w:t>
      </w:r>
    </w:p>
    <w:p w14:paraId="4749ACCC" w14:textId="77777777" w:rsidR="009476DC" w:rsidRPr="00A94080" w:rsidRDefault="009476DC" w:rsidP="00220716">
      <w:pPr>
        <w:ind w:firstLineChars="200" w:firstLine="480"/>
        <w:jc w:val="both"/>
        <w:rPr>
          <w:rFonts w:asciiTheme="minorHAnsi" w:hAnsiTheme="minorHAnsi"/>
          <w:lang w:eastAsia="zh-CN"/>
        </w:rPr>
      </w:pPr>
      <w:r w:rsidRPr="00A94080">
        <w:rPr>
          <w:rFonts w:asciiTheme="minorHAnsi" w:hAnsiTheme="minorHAnsi" w:hint="eastAsia"/>
          <w:lang w:eastAsia="zh-CN"/>
        </w:rPr>
        <w:t>2024</w:t>
      </w:r>
      <w:r w:rsidRPr="00A94080">
        <w:rPr>
          <w:rFonts w:asciiTheme="minorHAnsi" w:hAnsiTheme="minorHAnsi" w:hint="eastAsia"/>
          <w:lang w:eastAsia="zh-CN"/>
        </w:rPr>
        <w:t>年，国际电联根据联合国行政首长协调委员会可持续性管理战略的要求，加强了其环境管理系统（</w:t>
      </w:r>
      <w:r w:rsidRPr="00A94080">
        <w:rPr>
          <w:rFonts w:asciiTheme="minorHAnsi" w:hAnsiTheme="minorHAnsi" w:hint="eastAsia"/>
          <w:lang w:eastAsia="zh-CN"/>
        </w:rPr>
        <w:t>EMS</w:t>
      </w:r>
      <w:r w:rsidRPr="00A94080">
        <w:rPr>
          <w:rFonts w:asciiTheme="minorHAnsi" w:hAnsiTheme="minorHAnsi" w:hint="eastAsia"/>
          <w:lang w:eastAsia="zh-CN"/>
        </w:rPr>
        <w:t>）的</w:t>
      </w:r>
      <w:hyperlink r:id="rId13" w:history="1">
        <w:r w:rsidRPr="00B1776B">
          <w:rPr>
            <w:rStyle w:val="Hyperlink"/>
            <w:rFonts w:asciiTheme="minorHAnsi" w:eastAsia="SimSun" w:hAnsiTheme="minorHAnsi" w:hint="eastAsia"/>
            <w:lang w:eastAsia="zh-CN"/>
          </w:rPr>
          <w:t>治理和运作</w:t>
        </w:r>
      </w:hyperlink>
      <w:r w:rsidRPr="00A94080">
        <w:rPr>
          <w:rFonts w:asciiTheme="minorHAnsi" w:hAnsiTheme="minorHAnsi" w:hint="eastAsia"/>
          <w:lang w:eastAsia="zh-CN"/>
        </w:rPr>
        <w:t>。这项工作包括修订国际电联的</w:t>
      </w:r>
      <w:hyperlink r:id="rId14" w:history="1">
        <w:r w:rsidRPr="00B1776B">
          <w:rPr>
            <w:rStyle w:val="Hyperlink"/>
            <w:rFonts w:asciiTheme="minorHAnsi" w:eastAsia="SimSun" w:hAnsiTheme="minorHAnsi" w:hint="eastAsia"/>
            <w:lang w:eastAsia="zh-CN"/>
          </w:rPr>
          <w:t>环境可持续性政策</w:t>
        </w:r>
      </w:hyperlink>
      <w:r w:rsidRPr="00A94080">
        <w:rPr>
          <w:rFonts w:asciiTheme="minorHAnsi" w:hAnsiTheme="minorHAnsi" w:hint="eastAsia"/>
          <w:lang w:eastAsia="zh-CN"/>
        </w:rPr>
        <w:t>、</w:t>
      </w:r>
      <w:r>
        <w:rPr>
          <w:rFonts w:asciiTheme="minorHAnsi" w:hAnsiTheme="minorHAnsi" w:hint="eastAsia"/>
          <w:lang w:eastAsia="zh-CN"/>
        </w:rPr>
        <w:t>完善</w:t>
      </w:r>
      <w:r>
        <w:rPr>
          <w:rFonts w:asciiTheme="minorHAnsi" w:hAnsiTheme="minorHAnsi" w:hint="eastAsia"/>
          <w:lang w:eastAsia="zh-CN"/>
        </w:rPr>
        <w:t>EMS</w:t>
      </w:r>
      <w:r w:rsidRPr="00A94080">
        <w:rPr>
          <w:rFonts w:asciiTheme="minorHAnsi" w:hAnsiTheme="minorHAnsi" w:hint="eastAsia"/>
          <w:lang w:eastAsia="zh-CN"/>
        </w:rPr>
        <w:t>工作组</w:t>
      </w:r>
      <w:r>
        <w:rPr>
          <w:rFonts w:asciiTheme="minorHAnsi" w:hAnsiTheme="minorHAnsi" w:hint="eastAsia"/>
          <w:lang w:eastAsia="zh-CN"/>
        </w:rPr>
        <w:t>，</w:t>
      </w:r>
      <w:r w:rsidRPr="00A94080">
        <w:rPr>
          <w:rFonts w:asciiTheme="minorHAnsi" w:hAnsiTheme="minorHAnsi" w:hint="eastAsia"/>
          <w:lang w:eastAsia="zh-CN"/>
        </w:rPr>
        <w:t>以及加强国际电联减少温室气体排放和提高运作效率的内部环境目标</w:t>
      </w:r>
      <w:r>
        <w:rPr>
          <w:rFonts w:asciiTheme="minorHAnsi" w:hAnsiTheme="minorHAnsi" w:hint="eastAsia"/>
          <w:lang w:eastAsia="zh-CN"/>
        </w:rPr>
        <w:t>的实现</w:t>
      </w:r>
      <w:r w:rsidRPr="00A94080">
        <w:rPr>
          <w:rFonts w:asciiTheme="minorHAnsi" w:hAnsiTheme="minorHAnsi" w:hint="eastAsia"/>
          <w:lang w:eastAsia="zh-CN"/>
        </w:rPr>
        <w:t>。</w:t>
      </w:r>
    </w:p>
    <w:p w14:paraId="23B83F14" w14:textId="49061A82" w:rsidR="009476DC" w:rsidRPr="00874AE7" w:rsidRDefault="009476DC" w:rsidP="00874AE7">
      <w:pPr>
        <w:ind w:firstLineChars="200" w:firstLine="480"/>
        <w:jc w:val="both"/>
        <w:rPr>
          <w:rFonts w:asciiTheme="minorHAnsi" w:hAnsiTheme="minorHAnsi" w:cstheme="minorBidi"/>
          <w:lang w:eastAsia="zh-CN"/>
        </w:rPr>
      </w:pPr>
      <w:r w:rsidRPr="00A94080">
        <w:rPr>
          <w:rFonts w:asciiTheme="minorHAnsi" w:hAnsiTheme="minorHAnsi" w:cstheme="minorBidi" w:hint="eastAsia"/>
          <w:lang w:eastAsia="zh-CN"/>
        </w:rPr>
        <w:t>根据联合国环境署的联合国系统环境影响</w:t>
      </w:r>
      <w:hyperlink r:id="rId15" w:history="1">
        <w:r w:rsidRPr="00345597">
          <w:rPr>
            <w:rStyle w:val="Hyperlink"/>
            <w:rFonts w:asciiTheme="minorHAnsi" w:eastAsia="SimSun" w:hAnsiTheme="minorHAnsi" w:cstheme="minorBidi" w:hint="eastAsia"/>
            <w:lang w:eastAsia="zh-CN"/>
          </w:rPr>
          <w:t>跟踪器</w:t>
        </w:r>
      </w:hyperlink>
      <w:r w:rsidRPr="00A94080">
        <w:rPr>
          <w:rFonts w:asciiTheme="minorHAnsi" w:hAnsiTheme="minorHAnsi" w:cstheme="minorBidi" w:hint="eastAsia"/>
          <w:lang w:eastAsia="zh-CN"/>
        </w:rPr>
        <w:t>，国际电联的二氧化碳排放量从</w:t>
      </w:r>
      <w:r w:rsidRPr="00A94080">
        <w:rPr>
          <w:rFonts w:asciiTheme="minorHAnsi" w:hAnsiTheme="minorHAnsi" w:cstheme="minorBidi" w:hint="eastAsia"/>
          <w:lang w:eastAsia="zh-CN"/>
        </w:rPr>
        <w:t>2022</w:t>
      </w:r>
      <w:r w:rsidRPr="00A94080">
        <w:rPr>
          <w:rFonts w:asciiTheme="minorHAnsi" w:hAnsiTheme="minorHAnsi" w:cstheme="minorBidi" w:hint="eastAsia"/>
          <w:lang w:eastAsia="zh-CN"/>
        </w:rPr>
        <w:t>年的</w:t>
      </w:r>
      <w:r w:rsidRPr="00A94080">
        <w:rPr>
          <w:rFonts w:asciiTheme="minorHAnsi" w:hAnsiTheme="minorHAnsi" w:cstheme="minorBidi" w:hint="eastAsia"/>
          <w:lang w:eastAsia="zh-CN"/>
        </w:rPr>
        <w:t>1</w:t>
      </w:r>
      <w:r w:rsidR="00BB7896">
        <w:rPr>
          <w:rFonts w:asciiTheme="minorHAnsi" w:hAnsiTheme="minorHAnsi" w:cstheme="minorBidi"/>
          <w:lang w:val="en-US" w:eastAsia="zh-CN"/>
        </w:rPr>
        <w:t> </w:t>
      </w:r>
      <w:r w:rsidRPr="00A94080">
        <w:rPr>
          <w:rFonts w:asciiTheme="minorHAnsi" w:hAnsiTheme="minorHAnsi" w:cstheme="minorBidi" w:hint="eastAsia"/>
          <w:lang w:eastAsia="zh-CN"/>
        </w:rPr>
        <w:t>969</w:t>
      </w:r>
      <w:r w:rsidRPr="00A94080">
        <w:rPr>
          <w:rFonts w:asciiTheme="minorHAnsi" w:hAnsiTheme="minorHAnsi" w:cstheme="minorBidi" w:hint="eastAsia"/>
          <w:lang w:eastAsia="zh-CN"/>
        </w:rPr>
        <w:t>吨上升到</w:t>
      </w:r>
      <w:r w:rsidRPr="00A94080">
        <w:rPr>
          <w:rFonts w:asciiTheme="minorHAnsi" w:hAnsiTheme="minorHAnsi" w:cstheme="minorBidi" w:hint="eastAsia"/>
          <w:lang w:eastAsia="zh-CN"/>
        </w:rPr>
        <w:t>2023</w:t>
      </w:r>
      <w:r w:rsidRPr="00A94080">
        <w:rPr>
          <w:rFonts w:asciiTheme="minorHAnsi" w:hAnsiTheme="minorHAnsi" w:cstheme="minorBidi" w:hint="eastAsia"/>
          <w:lang w:eastAsia="zh-CN"/>
        </w:rPr>
        <w:t>年的</w:t>
      </w:r>
      <w:r w:rsidRPr="00A94080">
        <w:rPr>
          <w:rFonts w:asciiTheme="minorHAnsi" w:hAnsiTheme="minorHAnsi" w:cstheme="minorBidi" w:hint="eastAsia"/>
          <w:lang w:eastAsia="zh-CN"/>
        </w:rPr>
        <w:t>2</w:t>
      </w:r>
      <w:r w:rsidR="00BB7896">
        <w:rPr>
          <w:rFonts w:asciiTheme="minorHAnsi" w:hAnsiTheme="minorHAnsi" w:cstheme="minorBidi"/>
          <w:lang w:val="en-US" w:eastAsia="zh-CN"/>
        </w:rPr>
        <w:t> </w:t>
      </w:r>
      <w:r w:rsidRPr="00A94080">
        <w:rPr>
          <w:rFonts w:asciiTheme="minorHAnsi" w:hAnsiTheme="minorHAnsi" w:cstheme="minorBidi" w:hint="eastAsia"/>
          <w:lang w:eastAsia="zh-CN"/>
        </w:rPr>
        <w:t>582</w:t>
      </w:r>
      <w:r w:rsidRPr="00A94080">
        <w:rPr>
          <w:rFonts w:asciiTheme="minorHAnsi" w:hAnsiTheme="minorHAnsi" w:cstheme="minorBidi" w:hint="eastAsia"/>
          <w:lang w:eastAsia="zh-CN"/>
        </w:rPr>
        <w:t>吨</w:t>
      </w:r>
      <w:r>
        <w:rPr>
          <w:rFonts w:asciiTheme="minorHAnsi" w:hAnsiTheme="minorHAnsi" w:cstheme="minorBidi" w:hint="eastAsia"/>
          <w:lang w:eastAsia="zh-CN"/>
        </w:rPr>
        <w:t>，</w:t>
      </w:r>
      <w:r w:rsidRPr="00A94080">
        <w:rPr>
          <w:rFonts w:asciiTheme="minorHAnsi" w:hAnsiTheme="minorHAnsi" w:cstheme="minorBidi" w:hint="eastAsia"/>
          <w:lang w:eastAsia="zh-CN"/>
        </w:rPr>
        <w:t>增长了</w:t>
      </w:r>
      <w:r w:rsidRPr="00A94080">
        <w:rPr>
          <w:rFonts w:asciiTheme="minorHAnsi" w:hAnsiTheme="minorHAnsi" w:cstheme="minorBidi" w:hint="eastAsia"/>
          <w:lang w:eastAsia="zh-CN"/>
        </w:rPr>
        <w:t>31%</w:t>
      </w:r>
      <w:r w:rsidRPr="00A94080">
        <w:rPr>
          <w:rFonts w:asciiTheme="minorHAnsi" w:hAnsiTheme="minorHAnsi" w:cstheme="minorBidi" w:hint="eastAsia"/>
          <w:lang w:eastAsia="zh-CN"/>
        </w:rPr>
        <w:t>，而根据联合国环境署</w:t>
      </w:r>
      <w:r w:rsidRPr="00A94080">
        <w:rPr>
          <w:rFonts w:asciiTheme="minorHAnsi" w:hAnsiTheme="minorHAnsi" w:cstheme="minorBidi" w:hint="eastAsia"/>
          <w:lang w:eastAsia="zh-CN"/>
        </w:rPr>
        <w:t>2024</w:t>
      </w:r>
      <w:r w:rsidRPr="00A94080">
        <w:rPr>
          <w:rFonts w:asciiTheme="minorHAnsi" w:hAnsiTheme="minorHAnsi" w:cstheme="minorBidi" w:hint="eastAsia"/>
          <w:lang w:eastAsia="zh-CN"/>
        </w:rPr>
        <w:t>年</w:t>
      </w:r>
      <w:r>
        <w:rPr>
          <w:rFonts w:asciiTheme="minorHAnsi" w:hAnsiTheme="minorHAnsi" w:cstheme="minorBidi" w:hint="eastAsia"/>
          <w:lang w:eastAsia="zh-CN"/>
        </w:rPr>
        <w:t>的</w:t>
      </w:r>
      <w:hyperlink r:id="rId16" w:history="1">
        <w:r w:rsidRPr="00345597">
          <w:rPr>
            <w:rStyle w:val="Hyperlink"/>
            <w:rFonts w:asciiTheme="minorHAnsi" w:eastAsia="SimSun" w:hAnsiTheme="minorHAnsi" w:cstheme="minorBidi" w:hint="eastAsia"/>
            <w:lang w:eastAsia="zh-CN"/>
          </w:rPr>
          <w:t>《绿漫联合国》年度报告</w:t>
        </w:r>
      </w:hyperlink>
      <w:r w:rsidRPr="00A94080">
        <w:rPr>
          <w:rFonts w:asciiTheme="minorHAnsi" w:hAnsiTheme="minorHAnsi" w:cstheme="minorBidi" w:hint="eastAsia"/>
          <w:lang w:eastAsia="zh-CN"/>
        </w:rPr>
        <w:t>，整个联合国系统的增幅为</w:t>
      </w:r>
      <w:r w:rsidRPr="00A94080">
        <w:rPr>
          <w:rFonts w:asciiTheme="minorHAnsi" w:hAnsiTheme="minorHAnsi" w:cstheme="minorBidi" w:hint="eastAsia"/>
          <w:lang w:eastAsia="zh-CN"/>
        </w:rPr>
        <w:t>9%</w:t>
      </w:r>
      <w:r w:rsidRPr="00A94080">
        <w:rPr>
          <w:rFonts w:asciiTheme="minorHAnsi" w:hAnsiTheme="minorHAnsi" w:cstheme="minorBidi" w:hint="eastAsia"/>
          <w:lang w:eastAsia="zh-CN"/>
        </w:rPr>
        <w:t>。</w:t>
      </w:r>
      <w:r>
        <w:rPr>
          <w:rFonts w:asciiTheme="minorHAnsi" w:hAnsiTheme="minorHAnsi" w:cstheme="minorBidi" w:hint="eastAsia"/>
          <w:lang w:eastAsia="zh-CN"/>
        </w:rPr>
        <w:t>由</w:t>
      </w:r>
      <w:r w:rsidRPr="00A94080">
        <w:rPr>
          <w:rFonts w:asciiTheme="minorHAnsi" w:hAnsiTheme="minorHAnsi" w:cstheme="minorBidi" w:hint="eastAsia"/>
          <w:lang w:eastAsia="zh-CN"/>
        </w:rPr>
        <w:t>国际电联付费</w:t>
      </w:r>
      <w:r>
        <w:rPr>
          <w:rFonts w:asciiTheme="minorHAnsi" w:hAnsiTheme="minorHAnsi" w:cstheme="minorBidi" w:hint="eastAsia"/>
          <w:lang w:eastAsia="zh-CN"/>
        </w:rPr>
        <w:t>的航班</w:t>
      </w:r>
      <w:r w:rsidRPr="00A94080">
        <w:rPr>
          <w:rFonts w:asciiTheme="minorHAnsi" w:hAnsiTheme="minorHAnsi" w:cstheme="minorBidi" w:hint="eastAsia"/>
          <w:lang w:eastAsia="zh-CN"/>
        </w:rPr>
        <w:t>占</w:t>
      </w:r>
      <w:r>
        <w:rPr>
          <w:rFonts w:asciiTheme="minorHAnsi" w:hAnsiTheme="minorHAnsi" w:cstheme="minorBidi" w:hint="eastAsia"/>
          <w:lang w:eastAsia="zh-CN"/>
        </w:rPr>
        <w:t>整个组织</w:t>
      </w:r>
      <w:r w:rsidRPr="00A94080">
        <w:rPr>
          <w:rFonts w:asciiTheme="minorHAnsi" w:hAnsiTheme="minorHAnsi" w:cstheme="minorBidi" w:hint="eastAsia"/>
          <w:lang w:eastAsia="zh-CN"/>
        </w:rPr>
        <w:t>温室气体排放量的</w:t>
      </w:r>
      <w:r w:rsidR="00874AE7">
        <w:rPr>
          <w:rFonts w:asciiTheme="minorHAnsi" w:hAnsiTheme="minorHAnsi" w:cstheme="minorBidi" w:hint="eastAsia"/>
          <w:lang w:eastAsia="zh-CN"/>
        </w:rPr>
        <w:t>大部分</w:t>
      </w:r>
      <w:r w:rsidRPr="00A94080">
        <w:rPr>
          <w:rFonts w:asciiTheme="minorHAnsi" w:hAnsiTheme="minorHAnsi" w:cstheme="minorBidi" w:hint="eastAsia"/>
          <w:lang w:eastAsia="zh-CN"/>
        </w:rPr>
        <w:t>。</w:t>
      </w:r>
      <w:r w:rsidR="00874AE7">
        <w:rPr>
          <w:rFonts w:asciiTheme="minorHAnsi" w:hAnsiTheme="minorHAnsi" w:cstheme="minorBidi" w:hint="eastAsia"/>
          <w:lang w:eastAsia="zh-CN"/>
        </w:rPr>
        <w:t>目前</w:t>
      </w:r>
      <w:r w:rsidRPr="00A94080">
        <w:rPr>
          <w:rFonts w:asciiTheme="minorHAnsi" w:hAnsiTheme="minorHAnsi" w:cstheme="minorBidi" w:hint="eastAsia"/>
          <w:lang w:eastAsia="zh-CN"/>
        </w:rPr>
        <w:t>，国际电联</w:t>
      </w:r>
      <w:r w:rsidR="00874AE7">
        <w:rPr>
          <w:rFonts w:asciiTheme="minorHAnsi" w:hAnsiTheme="minorHAnsi" w:cstheme="minorBidi" w:hint="eastAsia"/>
          <w:lang w:eastAsia="zh-CN"/>
        </w:rPr>
        <w:t>还</w:t>
      </w:r>
      <w:r>
        <w:rPr>
          <w:rFonts w:asciiTheme="minorHAnsi" w:hAnsiTheme="minorHAnsi" w:cstheme="minorBidi" w:hint="eastAsia"/>
          <w:lang w:eastAsia="zh-CN"/>
        </w:rPr>
        <w:t>无法</w:t>
      </w:r>
      <w:r w:rsidRPr="00A94080">
        <w:rPr>
          <w:rFonts w:asciiTheme="minorHAnsi" w:hAnsiTheme="minorHAnsi" w:cstheme="minorBidi" w:hint="eastAsia"/>
          <w:lang w:eastAsia="zh-CN"/>
        </w:rPr>
        <w:t>实现联合国系统根据</w:t>
      </w:r>
      <w:r w:rsidRPr="00D04BAD">
        <w:rPr>
          <w:rFonts w:asciiTheme="minorHAnsi" w:hAnsiTheme="minorHAnsi" w:cstheme="minorBidi" w:hint="eastAsia"/>
          <w:lang w:eastAsia="zh-CN"/>
        </w:rPr>
        <w:t>政府间气候变化专门委员会</w:t>
      </w:r>
      <w:r>
        <w:rPr>
          <w:rFonts w:asciiTheme="minorHAnsi" w:hAnsiTheme="minorHAnsi" w:cstheme="minorBidi" w:hint="eastAsia"/>
          <w:lang w:eastAsia="zh-CN"/>
        </w:rPr>
        <w:t>（</w:t>
      </w:r>
      <w:r w:rsidRPr="00A94080">
        <w:rPr>
          <w:rFonts w:asciiTheme="minorHAnsi" w:hAnsiTheme="minorHAnsi" w:cstheme="minorBidi" w:hint="eastAsia"/>
          <w:lang w:eastAsia="zh-CN"/>
        </w:rPr>
        <w:t>IPCC</w:t>
      </w:r>
      <w:r>
        <w:rPr>
          <w:rFonts w:asciiTheme="minorHAnsi" w:hAnsiTheme="minorHAnsi" w:cstheme="minorBidi" w:hint="eastAsia"/>
          <w:lang w:eastAsia="zh-CN"/>
        </w:rPr>
        <w:t>）</w:t>
      </w:r>
      <w:r w:rsidRPr="00A94080">
        <w:rPr>
          <w:rFonts w:asciiTheme="minorHAnsi" w:hAnsiTheme="minorHAnsi" w:cstheme="minorBidi" w:hint="eastAsia"/>
          <w:lang w:eastAsia="zh-CN"/>
        </w:rPr>
        <w:t>建议</w:t>
      </w:r>
      <w:r>
        <w:rPr>
          <w:rFonts w:asciiTheme="minorHAnsi" w:hAnsiTheme="minorHAnsi" w:cstheme="minorBidi" w:hint="eastAsia"/>
          <w:lang w:eastAsia="zh-CN"/>
        </w:rPr>
        <w:t>设定的目标，即以</w:t>
      </w:r>
      <w:r w:rsidRPr="00A94080">
        <w:rPr>
          <w:rFonts w:asciiTheme="minorHAnsi" w:hAnsiTheme="minorHAnsi" w:cstheme="minorBidi" w:hint="eastAsia"/>
          <w:lang w:eastAsia="zh-CN"/>
        </w:rPr>
        <w:t>2010</w:t>
      </w:r>
      <w:r w:rsidRPr="00A94080">
        <w:rPr>
          <w:rFonts w:asciiTheme="minorHAnsi" w:hAnsiTheme="minorHAnsi" w:cstheme="minorBidi" w:hint="eastAsia"/>
          <w:lang w:eastAsia="zh-CN"/>
        </w:rPr>
        <w:t>年</w:t>
      </w:r>
      <w:r>
        <w:rPr>
          <w:rFonts w:asciiTheme="minorHAnsi" w:hAnsiTheme="minorHAnsi" w:cstheme="minorBidi" w:hint="eastAsia"/>
          <w:lang w:eastAsia="zh-CN"/>
        </w:rPr>
        <w:t>为基准</w:t>
      </w:r>
      <w:r w:rsidRPr="00A94080">
        <w:rPr>
          <w:rFonts w:asciiTheme="minorHAnsi" w:hAnsiTheme="minorHAnsi" w:cstheme="minorBidi" w:hint="eastAsia"/>
          <w:lang w:eastAsia="zh-CN"/>
        </w:rPr>
        <w:t>减</w:t>
      </w:r>
      <w:r>
        <w:rPr>
          <w:rFonts w:asciiTheme="minorHAnsi" w:hAnsiTheme="minorHAnsi" w:cstheme="minorBidi" w:hint="eastAsia"/>
          <w:lang w:eastAsia="zh-CN"/>
        </w:rPr>
        <w:t>排</w:t>
      </w:r>
      <w:r w:rsidRPr="00A94080">
        <w:rPr>
          <w:rFonts w:asciiTheme="minorHAnsi" w:hAnsiTheme="minorHAnsi" w:cstheme="minorBidi" w:hint="eastAsia"/>
          <w:lang w:eastAsia="zh-CN"/>
        </w:rPr>
        <w:t>45%</w:t>
      </w:r>
      <w:r w:rsidRPr="00A94080">
        <w:rPr>
          <w:rFonts w:asciiTheme="minorHAnsi" w:hAnsiTheme="minorHAnsi" w:cstheme="minorBidi" w:hint="eastAsia"/>
          <w:lang w:eastAsia="zh-CN"/>
        </w:rPr>
        <w:t>。</w:t>
      </w:r>
      <w:r w:rsidR="00874AE7" w:rsidRPr="00874AE7">
        <w:rPr>
          <w:rFonts w:asciiTheme="minorHAnsi" w:hAnsiTheme="minorHAnsi" w:cstheme="minorBidi" w:hint="eastAsia"/>
          <w:lang w:eastAsia="zh-CN"/>
        </w:rPr>
        <w:t>正在考虑采取纠正措施</w:t>
      </w:r>
      <w:r w:rsidR="00874AE7">
        <w:rPr>
          <w:rFonts w:asciiTheme="minorHAnsi" w:hAnsiTheme="minorHAnsi" w:cstheme="minorBidi" w:hint="eastAsia"/>
          <w:lang w:eastAsia="zh-CN"/>
        </w:rPr>
        <w:t>。</w:t>
      </w:r>
    </w:p>
    <w:p w14:paraId="7089C7F7" w14:textId="77777777" w:rsidR="00E323D0" w:rsidRDefault="00E323D0" w:rsidP="0032202E">
      <w:pPr>
        <w:pStyle w:val="Reasons"/>
        <w:rPr>
          <w:lang w:eastAsia="zh-CN"/>
        </w:rPr>
      </w:pPr>
    </w:p>
    <w:p w14:paraId="70C93574" w14:textId="77777777" w:rsidR="00E323D0" w:rsidRPr="00E323D0" w:rsidRDefault="00E323D0" w:rsidP="00E323D0">
      <w:pPr>
        <w:jc w:val="center"/>
      </w:pPr>
      <w:r>
        <w:t>______________</w:t>
      </w:r>
    </w:p>
    <w:sectPr w:rsidR="00E323D0" w:rsidRPr="00E323D0" w:rsidSect="00E24D59">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2ECEB" w14:textId="77777777" w:rsidR="0091212E" w:rsidRDefault="0091212E">
      <w:r>
        <w:separator/>
      </w:r>
    </w:p>
  </w:endnote>
  <w:endnote w:type="continuationSeparator" w:id="0">
    <w:p w14:paraId="7E3D33AC" w14:textId="77777777" w:rsidR="0091212E" w:rsidRDefault="0091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7678B1A0" w14:textId="77777777" w:rsidTr="00E31DCE">
      <w:trPr>
        <w:jc w:val="center"/>
      </w:trPr>
      <w:tc>
        <w:tcPr>
          <w:tcW w:w="1803" w:type="dxa"/>
          <w:vAlign w:val="center"/>
        </w:tcPr>
        <w:p w14:paraId="631FB0F8" w14:textId="77777777"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p>
      </w:tc>
      <w:tc>
        <w:tcPr>
          <w:tcW w:w="8261" w:type="dxa"/>
        </w:tcPr>
        <w:p w14:paraId="51D5144D" w14:textId="7528D736"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r>
          <w:proofErr w:type="spellStart"/>
          <w:r w:rsidRPr="00A13406">
            <w:rPr>
              <w:bCs/>
              <w:color w:val="808080" w:themeColor="background1" w:themeShade="80"/>
            </w:rPr>
            <w:t>C2</w:t>
          </w:r>
          <w:r w:rsidR="0072138B" w:rsidRPr="00A13406">
            <w:rPr>
              <w:bCs/>
              <w:color w:val="808080" w:themeColor="background1" w:themeShade="80"/>
            </w:rPr>
            <w:t>5</w:t>
          </w:r>
          <w:proofErr w:type="spellEnd"/>
          <w:r w:rsidRPr="00A13406">
            <w:rPr>
              <w:bCs/>
              <w:color w:val="808080" w:themeColor="background1" w:themeShade="80"/>
            </w:rPr>
            <w:t>/</w:t>
          </w:r>
          <w:r w:rsidR="00FD2A34">
            <w:rPr>
              <w:rFonts w:eastAsiaTheme="minorEastAsia" w:hint="eastAsia"/>
              <w:bCs/>
              <w:color w:val="808080" w:themeColor="background1" w:themeShade="80"/>
              <w:lang w:eastAsia="zh-CN"/>
            </w:rPr>
            <w:t>45</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0F43374C"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46DFD9B" w14:textId="77777777" w:rsidTr="00E31DCE">
      <w:trPr>
        <w:jc w:val="center"/>
      </w:trPr>
      <w:tc>
        <w:tcPr>
          <w:tcW w:w="1803" w:type="dxa"/>
          <w:vAlign w:val="center"/>
        </w:tcPr>
        <w:p w14:paraId="768E00C0"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40BFAD73" w14:textId="3CE3B8B4"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r>
          <w:proofErr w:type="spellStart"/>
          <w:r w:rsidRPr="003F086E">
            <w:rPr>
              <w:bCs/>
              <w:color w:val="808080" w:themeColor="background1" w:themeShade="80"/>
            </w:rPr>
            <w:t>C2</w:t>
          </w:r>
          <w:r w:rsidR="0072138B" w:rsidRPr="003F086E">
            <w:rPr>
              <w:bCs/>
              <w:color w:val="808080" w:themeColor="background1" w:themeShade="80"/>
            </w:rPr>
            <w:t>5</w:t>
          </w:r>
          <w:proofErr w:type="spellEnd"/>
          <w:r w:rsidRPr="003F086E">
            <w:rPr>
              <w:bCs/>
              <w:color w:val="808080" w:themeColor="background1" w:themeShade="80"/>
            </w:rPr>
            <w:t>/</w:t>
          </w:r>
          <w:r w:rsidR="009476DC">
            <w:rPr>
              <w:rFonts w:eastAsiaTheme="minorEastAsia" w:hint="eastAsia"/>
              <w:bCs/>
              <w:color w:val="808080" w:themeColor="background1" w:themeShade="80"/>
              <w:lang w:eastAsia="zh-CN"/>
            </w:rPr>
            <w:t>45</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5AA6DB3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EEFA" w14:textId="77777777" w:rsidR="0091212E" w:rsidRDefault="0091212E">
      <w:r>
        <w:t>____________________</w:t>
      </w:r>
    </w:p>
  </w:footnote>
  <w:footnote w:type="continuationSeparator" w:id="0">
    <w:p w14:paraId="192BA0FB" w14:textId="77777777" w:rsidR="0091212E" w:rsidRDefault="00912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370AE14D" w14:textId="77777777" w:rsidTr="00E31DCE">
      <w:trPr>
        <w:trHeight w:val="1104"/>
        <w:jc w:val="center"/>
      </w:trPr>
      <w:tc>
        <w:tcPr>
          <w:tcW w:w="4390" w:type="dxa"/>
          <w:vAlign w:val="center"/>
        </w:tcPr>
        <w:p w14:paraId="2A22ED19" w14:textId="77777777" w:rsidR="00E24D59" w:rsidRPr="009621F8" w:rsidRDefault="00A13406" w:rsidP="00E24D59">
          <w:pPr>
            <w:pStyle w:val="Header"/>
            <w:jc w:val="left"/>
            <w:rPr>
              <w:rFonts w:ascii="Arial" w:hAnsi="Arial" w:cs="Arial"/>
              <w:b/>
              <w:bCs/>
              <w:color w:val="009CD6"/>
              <w:sz w:val="36"/>
              <w:szCs w:val="36"/>
            </w:rPr>
          </w:pPr>
          <w:bookmarkStart w:id="7" w:name="_Hlk133422111"/>
          <w:r>
            <w:rPr>
              <w:rFonts w:ascii="Arial" w:hAnsi="Arial" w:cs="Arial"/>
              <w:b/>
              <w:bCs/>
              <w:noProof/>
              <w:color w:val="009CD6"/>
              <w:sz w:val="36"/>
              <w:szCs w:val="36"/>
            </w:rPr>
            <w:drawing>
              <wp:inline distT="0" distB="0" distL="0" distR="0" wp14:anchorId="297DF17E" wp14:editId="5FA62A91">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18EE9EBE" w14:textId="77777777" w:rsidR="00E24D59" w:rsidRDefault="00E24D59" w:rsidP="00E24D59">
          <w:pPr>
            <w:pStyle w:val="Header"/>
            <w:jc w:val="right"/>
            <w:rPr>
              <w:rFonts w:ascii="Arial" w:hAnsi="Arial" w:cs="Arial"/>
              <w:b/>
              <w:bCs/>
              <w:color w:val="009CD6"/>
              <w:szCs w:val="18"/>
            </w:rPr>
          </w:pPr>
        </w:p>
        <w:p w14:paraId="154C9D84" w14:textId="77777777" w:rsidR="00E24D59" w:rsidRDefault="00E24D59" w:rsidP="00E24D59">
          <w:pPr>
            <w:pStyle w:val="Header"/>
            <w:jc w:val="right"/>
            <w:rPr>
              <w:rFonts w:ascii="Arial" w:hAnsi="Arial" w:cs="Arial"/>
              <w:b/>
              <w:bCs/>
              <w:color w:val="009CD6"/>
              <w:szCs w:val="18"/>
            </w:rPr>
          </w:pPr>
        </w:p>
        <w:p w14:paraId="37439729"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377225E8"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4BBD492" wp14:editId="34D69AFD">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A48D8"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DC"/>
    <w:rsid w:val="00001B77"/>
    <w:rsid w:val="0000517A"/>
    <w:rsid w:val="00031E72"/>
    <w:rsid w:val="000404D2"/>
    <w:rsid w:val="000646BD"/>
    <w:rsid w:val="000853C0"/>
    <w:rsid w:val="00093DD9"/>
    <w:rsid w:val="0009409E"/>
    <w:rsid w:val="000A1C21"/>
    <w:rsid w:val="000C0BC5"/>
    <w:rsid w:val="000D15EA"/>
    <w:rsid w:val="000D7012"/>
    <w:rsid w:val="00100D84"/>
    <w:rsid w:val="00124C9D"/>
    <w:rsid w:val="001305DE"/>
    <w:rsid w:val="0015333E"/>
    <w:rsid w:val="00157773"/>
    <w:rsid w:val="0018251A"/>
    <w:rsid w:val="00190272"/>
    <w:rsid w:val="00193244"/>
    <w:rsid w:val="00195C6C"/>
    <w:rsid w:val="00195FED"/>
    <w:rsid w:val="001A4BD6"/>
    <w:rsid w:val="001B6E2B"/>
    <w:rsid w:val="001D5A18"/>
    <w:rsid w:val="00215132"/>
    <w:rsid w:val="00220716"/>
    <w:rsid w:val="00224449"/>
    <w:rsid w:val="00280EB8"/>
    <w:rsid w:val="002A6670"/>
    <w:rsid w:val="002C3F32"/>
    <w:rsid w:val="00303502"/>
    <w:rsid w:val="00325C25"/>
    <w:rsid w:val="00372C8F"/>
    <w:rsid w:val="00380674"/>
    <w:rsid w:val="00380ECE"/>
    <w:rsid w:val="00393DDF"/>
    <w:rsid w:val="00397F55"/>
    <w:rsid w:val="003B4454"/>
    <w:rsid w:val="003C2E37"/>
    <w:rsid w:val="003F086E"/>
    <w:rsid w:val="003F1415"/>
    <w:rsid w:val="0040144C"/>
    <w:rsid w:val="00403EB7"/>
    <w:rsid w:val="004178E6"/>
    <w:rsid w:val="00430BF0"/>
    <w:rsid w:val="004672E6"/>
    <w:rsid w:val="00474ED1"/>
    <w:rsid w:val="00477D57"/>
    <w:rsid w:val="00491BA9"/>
    <w:rsid w:val="00493085"/>
    <w:rsid w:val="004A36EC"/>
    <w:rsid w:val="004D163F"/>
    <w:rsid w:val="004E4BFF"/>
    <w:rsid w:val="004F2598"/>
    <w:rsid w:val="005403F7"/>
    <w:rsid w:val="00540632"/>
    <w:rsid w:val="00541CF4"/>
    <w:rsid w:val="005451E8"/>
    <w:rsid w:val="00547DE7"/>
    <w:rsid w:val="005507F2"/>
    <w:rsid w:val="005759CC"/>
    <w:rsid w:val="005A72E1"/>
    <w:rsid w:val="005C6632"/>
    <w:rsid w:val="005D1C9E"/>
    <w:rsid w:val="00630DD5"/>
    <w:rsid w:val="00637584"/>
    <w:rsid w:val="00650D1B"/>
    <w:rsid w:val="00654257"/>
    <w:rsid w:val="0065435A"/>
    <w:rsid w:val="00670D8A"/>
    <w:rsid w:val="006A2DD3"/>
    <w:rsid w:val="006A5113"/>
    <w:rsid w:val="006A5AF8"/>
    <w:rsid w:val="006B34A4"/>
    <w:rsid w:val="006C166A"/>
    <w:rsid w:val="006C36CD"/>
    <w:rsid w:val="00700D1F"/>
    <w:rsid w:val="007205CB"/>
    <w:rsid w:val="0072138B"/>
    <w:rsid w:val="00726073"/>
    <w:rsid w:val="00734FE8"/>
    <w:rsid w:val="007360CE"/>
    <w:rsid w:val="007678C6"/>
    <w:rsid w:val="0077110E"/>
    <w:rsid w:val="00772315"/>
    <w:rsid w:val="00775157"/>
    <w:rsid w:val="007813AE"/>
    <w:rsid w:val="00796C8B"/>
    <w:rsid w:val="007A37DB"/>
    <w:rsid w:val="007E189D"/>
    <w:rsid w:val="007E63A6"/>
    <w:rsid w:val="007F0210"/>
    <w:rsid w:val="00806E3F"/>
    <w:rsid w:val="00811259"/>
    <w:rsid w:val="00812C53"/>
    <w:rsid w:val="00813AA2"/>
    <w:rsid w:val="008173A3"/>
    <w:rsid w:val="008418F5"/>
    <w:rsid w:val="00843F8D"/>
    <w:rsid w:val="0086059C"/>
    <w:rsid w:val="00864589"/>
    <w:rsid w:val="00874AE7"/>
    <w:rsid w:val="00874C82"/>
    <w:rsid w:val="00890AFB"/>
    <w:rsid w:val="00890FC4"/>
    <w:rsid w:val="00895905"/>
    <w:rsid w:val="008B1DF4"/>
    <w:rsid w:val="008F64AD"/>
    <w:rsid w:val="00911230"/>
    <w:rsid w:val="00911867"/>
    <w:rsid w:val="0091212E"/>
    <w:rsid w:val="009164A9"/>
    <w:rsid w:val="009258CB"/>
    <w:rsid w:val="0093362E"/>
    <w:rsid w:val="00944563"/>
    <w:rsid w:val="009476DC"/>
    <w:rsid w:val="00953160"/>
    <w:rsid w:val="009625D8"/>
    <w:rsid w:val="00983878"/>
    <w:rsid w:val="0098459B"/>
    <w:rsid w:val="00997185"/>
    <w:rsid w:val="009C2458"/>
    <w:rsid w:val="009C4A7B"/>
    <w:rsid w:val="009C6123"/>
    <w:rsid w:val="009F1E3E"/>
    <w:rsid w:val="00A1151A"/>
    <w:rsid w:val="00A1213C"/>
    <w:rsid w:val="00A13406"/>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9445B"/>
    <w:rsid w:val="00BB7896"/>
    <w:rsid w:val="00BD0954"/>
    <w:rsid w:val="00BD1A5A"/>
    <w:rsid w:val="00BD7A9B"/>
    <w:rsid w:val="00BD7BE1"/>
    <w:rsid w:val="00BF416B"/>
    <w:rsid w:val="00C45EB2"/>
    <w:rsid w:val="00C64E4E"/>
    <w:rsid w:val="00C66E64"/>
    <w:rsid w:val="00C761A0"/>
    <w:rsid w:val="00C85F7E"/>
    <w:rsid w:val="00C90D53"/>
    <w:rsid w:val="00CA0B2E"/>
    <w:rsid w:val="00CA6EF7"/>
    <w:rsid w:val="00CA74BD"/>
    <w:rsid w:val="00CB643B"/>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78D8"/>
    <w:rsid w:val="00E43A12"/>
    <w:rsid w:val="00E67C67"/>
    <w:rsid w:val="00E77476"/>
    <w:rsid w:val="00E77C2E"/>
    <w:rsid w:val="00E8228B"/>
    <w:rsid w:val="00E904E7"/>
    <w:rsid w:val="00E9212C"/>
    <w:rsid w:val="00EE5706"/>
    <w:rsid w:val="00EF373D"/>
    <w:rsid w:val="00F0445E"/>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B7B22"/>
    <w:rsid w:val="00FC5386"/>
    <w:rsid w:val="00FD2A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B66E8"/>
  <w15:docId w15:val="{BAD1B2A3-5206-4FAE-9F9A-458FA4CD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FD2A34"/>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5-CL-C-0035/en" TargetMode="External"/><Relationship Id="rId13" Type="http://schemas.openxmlformats.org/officeDocument/2006/relationships/hyperlink" Target="https://www.itu.int/en/action/environment-and-climate-change/Pages/greening-ITU.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t/aap/recdetails/1085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reeningtheblue.org/interactive-report/2024.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Environment/Pages/Publications/Measuring-Emissions-and-Energy-Footprint-ICT-Sector.aspx" TargetMode="External"/><Relationship Id="rId5" Type="http://schemas.openxmlformats.org/officeDocument/2006/relationships/webSettings" Target="webSettings.xml"/><Relationship Id="rId15" Type="http://schemas.openxmlformats.org/officeDocument/2006/relationships/hyperlink" Target="https://greeningtheblue.org/entities/itu" TargetMode="External"/><Relationship Id="rId10" Type="http://schemas.openxmlformats.org/officeDocument/2006/relationships/hyperlink" Target="https://greeningdigital.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initiatives/green-digital-action/events/cop29/declaration/" TargetMode="External"/><Relationship Id="rId14" Type="http://schemas.openxmlformats.org/officeDocument/2006/relationships/hyperlink" Target="https://www.itu.int/en/action/environment-and-climate-change/Documents/ITU%20Environmental%20Sustainability%20Policy%20%282025%29.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TU\Template\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0</TotalTime>
  <Pages>4</Pages>
  <Words>2878</Words>
  <Characters>3187</Characters>
  <Application>Microsoft Office Word</Application>
  <DocSecurity>0</DocSecurity>
  <Lines>122</Lines>
  <Paragraphs>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activities on the implementation of Council Resolution 1429</dc:title>
  <dc:subject>ITU Council 2025</dc:subject>
  <cp:keywords>C2025, C25, Council-25</cp:keywords>
  <dc:description/>
  <cp:lastPrinted>2015-02-24T13:23:00Z</cp:lastPrinted>
  <dcterms:created xsi:type="dcterms:W3CDTF">2025-05-30T12:40:00Z</dcterms:created>
  <dcterms:modified xsi:type="dcterms:W3CDTF">2025-05-30T12:40:00Z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