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tblpY="1"/>
        <w:tblOverlap w:val="never"/>
        <w:tblW w:w="9214" w:type="dxa"/>
        <w:tblLayout w:type="fixed"/>
        <w:tblLook w:val="0000" w:firstRow="0" w:lastRow="0" w:firstColumn="0" w:lastColumn="0" w:noHBand="0" w:noVBand="0"/>
      </w:tblPr>
      <w:tblGrid>
        <w:gridCol w:w="3969"/>
        <w:gridCol w:w="5245"/>
      </w:tblGrid>
      <w:tr w:rsidR="00796BD3" w:rsidRPr="00813E5E" w14:paraId="48CD5D40" w14:textId="77777777" w:rsidTr="00DA770A">
        <w:trPr>
          <w:cantSplit/>
          <w:trHeight w:val="23"/>
        </w:trPr>
        <w:tc>
          <w:tcPr>
            <w:tcW w:w="3969" w:type="dxa"/>
            <w:vMerge w:val="restart"/>
            <w:tcMar>
              <w:left w:w="0" w:type="dxa"/>
            </w:tcMar>
          </w:tcPr>
          <w:p w14:paraId="33E4234A" w14:textId="18BD1806" w:rsidR="00796BD3" w:rsidRPr="00E85629" w:rsidRDefault="0033025A" w:rsidP="00DA770A">
            <w:pPr>
              <w:tabs>
                <w:tab w:val="clear" w:pos="1588"/>
                <w:tab w:val="clear" w:pos="1985"/>
                <w:tab w:val="left" w:pos="851"/>
                <w:tab w:val="center" w:pos="1930"/>
              </w:tabs>
              <w:spacing w:before="0" w:line="240" w:lineRule="atLeast"/>
              <w:rPr>
                <w:b/>
              </w:rPr>
            </w:pPr>
            <w:bookmarkStart w:id="0" w:name="dmeeting" w:colFirst="0" w:colLast="0"/>
            <w:bookmarkStart w:id="1" w:name="dnum" w:colFirst="1" w:colLast="1"/>
            <w:bookmarkStart w:id="2" w:name="_Hlk133421839"/>
            <w:r w:rsidRPr="0033025A">
              <w:rPr>
                <w:b/>
              </w:rPr>
              <w:t>Пункт повестки дня:</w:t>
            </w:r>
            <w:r w:rsidR="00345F30">
              <w:rPr>
                <w:b/>
              </w:rPr>
              <w:t xml:space="preserve"> ADM 2</w:t>
            </w:r>
          </w:p>
        </w:tc>
        <w:tc>
          <w:tcPr>
            <w:tcW w:w="5245" w:type="dxa"/>
          </w:tcPr>
          <w:p w14:paraId="522AA373" w14:textId="2DF7A4F5" w:rsidR="00796BD3" w:rsidRPr="00E85629" w:rsidRDefault="0033025A" w:rsidP="00DA770A">
            <w:pPr>
              <w:tabs>
                <w:tab w:val="left" w:pos="851"/>
              </w:tabs>
              <w:spacing w:before="0" w:line="240" w:lineRule="atLeast"/>
              <w:jc w:val="right"/>
              <w:rPr>
                <w:b/>
              </w:rPr>
            </w:pPr>
            <w:r w:rsidRPr="0033025A">
              <w:rPr>
                <w:b/>
              </w:rPr>
              <w:t xml:space="preserve">Документ </w:t>
            </w:r>
            <w:r w:rsidR="00796BD3">
              <w:rPr>
                <w:b/>
              </w:rPr>
              <w:t>C2</w:t>
            </w:r>
            <w:r w:rsidR="00D631AA">
              <w:rPr>
                <w:b/>
              </w:rPr>
              <w:t>5</w:t>
            </w:r>
            <w:r w:rsidR="00796BD3">
              <w:rPr>
                <w:b/>
              </w:rPr>
              <w:t>/</w:t>
            </w:r>
            <w:r w:rsidR="00345F30">
              <w:rPr>
                <w:b/>
              </w:rPr>
              <w:t>44</w:t>
            </w:r>
            <w:r w:rsidR="00796BD3">
              <w:rPr>
                <w:b/>
              </w:rPr>
              <w:t>-R</w:t>
            </w:r>
          </w:p>
        </w:tc>
      </w:tr>
      <w:tr w:rsidR="00796BD3" w:rsidRPr="00813E5E" w14:paraId="1072B7B4" w14:textId="77777777" w:rsidTr="00DA770A">
        <w:trPr>
          <w:cantSplit/>
        </w:trPr>
        <w:tc>
          <w:tcPr>
            <w:tcW w:w="3969" w:type="dxa"/>
            <w:vMerge/>
          </w:tcPr>
          <w:p w14:paraId="097F3E5D" w14:textId="77777777" w:rsidR="00796BD3" w:rsidRPr="00813E5E" w:rsidRDefault="00796BD3" w:rsidP="00DA770A">
            <w:pPr>
              <w:tabs>
                <w:tab w:val="left" w:pos="851"/>
              </w:tabs>
              <w:spacing w:line="240" w:lineRule="atLeast"/>
              <w:rPr>
                <w:b/>
              </w:rPr>
            </w:pPr>
            <w:bookmarkStart w:id="3" w:name="ddate" w:colFirst="1" w:colLast="1"/>
            <w:bookmarkEnd w:id="0"/>
            <w:bookmarkEnd w:id="1"/>
          </w:p>
        </w:tc>
        <w:tc>
          <w:tcPr>
            <w:tcW w:w="5245" w:type="dxa"/>
          </w:tcPr>
          <w:p w14:paraId="71882EA7" w14:textId="7BC90E4E" w:rsidR="00796BD3" w:rsidRPr="00345F30" w:rsidRDefault="00345F30" w:rsidP="00DA770A">
            <w:pPr>
              <w:tabs>
                <w:tab w:val="left" w:pos="851"/>
              </w:tabs>
              <w:spacing w:before="0"/>
              <w:jc w:val="right"/>
              <w:rPr>
                <w:b/>
                <w:lang w:val="ru-RU"/>
              </w:rPr>
            </w:pPr>
            <w:r>
              <w:rPr>
                <w:b/>
                <w:lang w:val="ru-RU"/>
              </w:rPr>
              <w:t>19 мая 2025 года</w:t>
            </w:r>
          </w:p>
        </w:tc>
      </w:tr>
      <w:tr w:rsidR="00796BD3" w:rsidRPr="00813E5E" w14:paraId="64C159BE" w14:textId="77777777" w:rsidTr="00DA770A">
        <w:trPr>
          <w:cantSplit/>
          <w:trHeight w:val="23"/>
        </w:trPr>
        <w:tc>
          <w:tcPr>
            <w:tcW w:w="3969" w:type="dxa"/>
            <w:vMerge/>
          </w:tcPr>
          <w:p w14:paraId="1BFE31C2" w14:textId="77777777" w:rsidR="00796BD3" w:rsidRPr="00813E5E" w:rsidRDefault="00796BD3" w:rsidP="00DA770A">
            <w:pPr>
              <w:tabs>
                <w:tab w:val="left" w:pos="851"/>
              </w:tabs>
              <w:spacing w:line="240" w:lineRule="atLeast"/>
              <w:rPr>
                <w:b/>
              </w:rPr>
            </w:pPr>
            <w:bookmarkStart w:id="4" w:name="dorlang" w:colFirst="1" w:colLast="1"/>
            <w:bookmarkEnd w:id="3"/>
          </w:p>
        </w:tc>
        <w:tc>
          <w:tcPr>
            <w:tcW w:w="5245" w:type="dxa"/>
          </w:tcPr>
          <w:p w14:paraId="01C7B041" w14:textId="77777777" w:rsidR="00796BD3" w:rsidRPr="00E85629" w:rsidRDefault="0033025A" w:rsidP="00DA770A">
            <w:pPr>
              <w:tabs>
                <w:tab w:val="left" w:pos="851"/>
              </w:tabs>
              <w:spacing w:before="0" w:line="240" w:lineRule="atLeast"/>
              <w:jc w:val="right"/>
              <w:rPr>
                <w:b/>
              </w:rPr>
            </w:pPr>
            <w:proofErr w:type="spellStart"/>
            <w:r w:rsidRPr="0033025A">
              <w:rPr>
                <w:b/>
              </w:rPr>
              <w:t>Оригинал</w:t>
            </w:r>
            <w:proofErr w:type="spellEnd"/>
            <w:r w:rsidRPr="0033025A">
              <w:rPr>
                <w:b/>
              </w:rPr>
              <w:t xml:space="preserve">: </w:t>
            </w:r>
            <w:proofErr w:type="spellStart"/>
            <w:r w:rsidRPr="0033025A">
              <w:rPr>
                <w:b/>
              </w:rPr>
              <w:t>английский</w:t>
            </w:r>
            <w:proofErr w:type="spellEnd"/>
          </w:p>
        </w:tc>
      </w:tr>
      <w:tr w:rsidR="00796BD3" w:rsidRPr="00813E5E" w14:paraId="3BFEDD7A" w14:textId="77777777" w:rsidTr="00DA770A">
        <w:trPr>
          <w:cantSplit/>
          <w:trHeight w:val="23"/>
        </w:trPr>
        <w:tc>
          <w:tcPr>
            <w:tcW w:w="3969" w:type="dxa"/>
          </w:tcPr>
          <w:p w14:paraId="689CCDB4" w14:textId="77777777" w:rsidR="00796BD3" w:rsidRPr="00813E5E" w:rsidRDefault="00796BD3" w:rsidP="00DA770A">
            <w:pPr>
              <w:tabs>
                <w:tab w:val="left" w:pos="851"/>
              </w:tabs>
              <w:spacing w:line="240" w:lineRule="atLeast"/>
              <w:rPr>
                <w:b/>
              </w:rPr>
            </w:pPr>
          </w:p>
        </w:tc>
        <w:tc>
          <w:tcPr>
            <w:tcW w:w="5245" w:type="dxa"/>
          </w:tcPr>
          <w:p w14:paraId="628C50A6" w14:textId="77777777" w:rsidR="00796BD3" w:rsidRDefault="00796BD3" w:rsidP="00DA770A">
            <w:pPr>
              <w:tabs>
                <w:tab w:val="left" w:pos="851"/>
              </w:tabs>
              <w:spacing w:before="0" w:line="240" w:lineRule="atLeast"/>
              <w:jc w:val="right"/>
              <w:rPr>
                <w:b/>
              </w:rPr>
            </w:pPr>
          </w:p>
        </w:tc>
      </w:tr>
      <w:tr w:rsidR="00796BD3" w:rsidRPr="00813E5E" w14:paraId="39B04CB7" w14:textId="77777777" w:rsidTr="00DA770A">
        <w:trPr>
          <w:cantSplit/>
        </w:trPr>
        <w:tc>
          <w:tcPr>
            <w:tcW w:w="9214" w:type="dxa"/>
            <w:gridSpan w:val="2"/>
            <w:tcMar>
              <w:left w:w="0" w:type="dxa"/>
            </w:tcMar>
          </w:tcPr>
          <w:p w14:paraId="3B835DBF" w14:textId="77777777" w:rsidR="00796BD3" w:rsidRPr="00672F8A" w:rsidRDefault="0033025A" w:rsidP="00DA770A">
            <w:pPr>
              <w:pStyle w:val="Source"/>
              <w:jc w:val="left"/>
              <w:rPr>
                <w:sz w:val="32"/>
                <w:szCs w:val="32"/>
              </w:rPr>
            </w:pPr>
            <w:bookmarkStart w:id="5" w:name="dsource" w:colFirst="0" w:colLast="0"/>
            <w:bookmarkEnd w:id="4"/>
            <w:r w:rsidRPr="00672F8A">
              <w:rPr>
                <w:rFonts w:cstheme="minorHAnsi"/>
                <w:sz w:val="32"/>
                <w:szCs w:val="32"/>
                <w:lang w:val="ru-RU"/>
              </w:rPr>
              <w:t>Отчет Генерального секретаря</w:t>
            </w:r>
          </w:p>
        </w:tc>
      </w:tr>
      <w:tr w:rsidR="00796BD3" w:rsidRPr="00B121D4" w14:paraId="1BE5471C" w14:textId="77777777" w:rsidTr="00DA770A">
        <w:trPr>
          <w:cantSplit/>
        </w:trPr>
        <w:tc>
          <w:tcPr>
            <w:tcW w:w="9214" w:type="dxa"/>
            <w:gridSpan w:val="2"/>
            <w:tcMar>
              <w:left w:w="0" w:type="dxa"/>
            </w:tcMar>
          </w:tcPr>
          <w:p w14:paraId="3B7BEAA3" w14:textId="696359D7" w:rsidR="00796BD3" w:rsidRPr="00345F30" w:rsidRDefault="00345F30" w:rsidP="00DA770A">
            <w:pPr>
              <w:pStyle w:val="Subtitle"/>
              <w:framePr w:hSpace="0" w:wrap="auto" w:hAnchor="text" w:xAlign="left" w:yAlign="inline"/>
              <w:rPr>
                <w:sz w:val="32"/>
                <w:szCs w:val="32"/>
                <w:lang w:val="ru-RU"/>
              </w:rPr>
            </w:pPr>
            <w:bookmarkStart w:id="6" w:name="dtitle1" w:colFirst="0" w:colLast="0"/>
            <w:bookmarkEnd w:id="5"/>
            <w:r w:rsidRPr="00345F30">
              <w:rPr>
                <w:rFonts w:cstheme="minorHAnsi"/>
                <w:sz w:val="32"/>
                <w:szCs w:val="32"/>
                <w:lang w:val="ru-RU"/>
              </w:rPr>
              <w:t>Отчет подразделения по надзору об осуществлении функции внутреннего аудита</w:t>
            </w:r>
          </w:p>
        </w:tc>
      </w:tr>
      <w:tr w:rsidR="00796BD3" w:rsidRPr="00B121D4" w14:paraId="03214BB9" w14:textId="77777777" w:rsidTr="00DA770A">
        <w:trPr>
          <w:cantSplit/>
        </w:trPr>
        <w:tc>
          <w:tcPr>
            <w:tcW w:w="9214" w:type="dxa"/>
            <w:gridSpan w:val="2"/>
            <w:tcBorders>
              <w:top w:val="single" w:sz="4" w:space="0" w:color="auto"/>
              <w:bottom w:val="single" w:sz="4" w:space="0" w:color="auto"/>
            </w:tcBorders>
            <w:tcMar>
              <w:left w:w="0" w:type="dxa"/>
            </w:tcMar>
          </w:tcPr>
          <w:p w14:paraId="45E5B31F" w14:textId="77777777" w:rsidR="00796BD3" w:rsidRPr="00B121D4" w:rsidRDefault="0033025A" w:rsidP="00DA770A">
            <w:pPr>
              <w:spacing w:before="160"/>
              <w:rPr>
                <w:b/>
                <w:bCs/>
                <w:sz w:val="24"/>
                <w:szCs w:val="24"/>
                <w:lang w:val="ru-RU"/>
              </w:rPr>
            </w:pPr>
            <w:r w:rsidRPr="00D631AA">
              <w:rPr>
                <w:b/>
                <w:bCs/>
                <w:sz w:val="24"/>
                <w:szCs w:val="24"/>
                <w:lang w:val="ru-RU"/>
              </w:rPr>
              <w:t>Назначение</w:t>
            </w:r>
          </w:p>
          <w:p w14:paraId="18157DB6" w14:textId="1ACF5E96" w:rsidR="00796BD3" w:rsidRPr="00D631AA" w:rsidRDefault="00345F30" w:rsidP="00DA770A">
            <w:pPr>
              <w:rPr>
                <w:lang w:val="ru-RU"/>
              </w:rPr>
            </w:pPr>
            <w:r w:rsidRPr="005C6943">
              <w:rPr>
                <w:lang w:val="ru-RU"/>
              </w:rPr>
              <w:t>В настоящем отчете охватывается деятельность по внутреннему аудиту с апреля 2024 года по март 2025 года.</w:t>
            </w:r>
          </w:p>
          <w:p w14:paraId="0B84739B" w14:textId="77777777" w:rsidR="00796BD3" w:rsidRPr="00D631AA" w:rsidRDefault="0033025A" w:rsidP="00DA770A">
            <w:pPr>
              <w:spacing w:before="160"/>
              <w:rPr>
                <w:b/>
                <w:bCs/>
                <w:sz w:val="24"/>
                <w:szCs w:val="24"/>
                <w:lang w:val="ru-RU"/>
              </w:rPr>
            </w:pPr>
            <w:r w:rsidRPr="00D631AA">
              <w:rPr>
                <w:b/>
                <w:bCs/>
                <w:sz w:val="24"/>
                <w:szCs w:val="24"/>
                <w:lang w:val="ru-RU"/>
              </w:rPr>
              <w:t>Необходимые действия Совета</w:t>
            </w:r>
          </w:p>
          <w:p w14:paraId="7353B588" w14:textId="76EDB635" w:rsidR="00796BD3" w:rsidRPr="00D631AA" w:rsidRDefault="00345F30" w:rsidP="00DA770A">
            <w:pPr>
              <w:rPr>
                <w:lang w:val="ru-RU"/>
              </w:rPr>
            </w:pPr>
            <w:r w:rsidRPr="005C6943">
              <w:rPr>
                <w:lang w:val="ru-RU"/>
              </w:rPr>
              <w:t xml:space="preserve">Совету предлагается </w:t>
            </w:r>
            <w:r w:rsidRPr="005C6943">
              <w:rPr>
                <w:b/>
                <w:bCs/>
                <w:lang w:val="ru-RU"/>
              </w:rPr>
              <w:t>принять к сведению</w:t>
            </w:r>
            <w:r w:rsidRPr="005C6943">
              <w:rPr>
                <w:lang w:val="ru-RU"/>
              </w:rPr>
              <w:t xml:space="preserve"> настоящий отчет.</w:t>
            </w:r>
          </w:p>
          <w:p w14:paraId="6D681365" w14:textId="77777777" w:rsidR="00796BD3" w:rsidRPr="00D631AA" w:rsidRDefault="0033025A" w:rsidP="00DA770A">
            <w:pPr>
              <w:spacing w:before="160"/>
              <w:rPr>
                <w:b/>
                <w:bCs/>
                <w:sz w:val="24"/>
                <w:szCs w:val="24"/>
                <w:lang w:val="ru-RU"/>
              </w:rPr>
            </w:pPr>
            <w:r w:rsidRPr="00D631AA">
              <w:rPr>
                <w:b/>
                <w:bCs/>
                <w:sz w:val="24"/>
                <w:szCs w:val="24"/>
                <w:lang w:val="ru-RU"/>
              </w:rPr>
              <w:t>Соответствующая увязка со Стратегическим планом</w:t>
            </w:r>
          </w:p>
          <w:p w14:paraId="4CBD0699" w14:textId="0D3CE9E8" w:rsidR="00796BD3" w:rsidRPr="00D631AA" w:rsidRDefault="00345F30" w:rsidP="00DA770A">
            <w:pPr>
              <w:rPr>
                <w:lang w:val="ru-RU"/>
              </w:rPr>
            </w:pPr>
            <w:r w:rsidRPr="005C6943">
              <w:rPr>
                <w:lang w:val="ru-RU"/>
              </w:rPr>
              <w:t>Развитие людских ресурсов и организационные инновации.</w:t>
            </w:r>
          </w:p>
          <w:p w14:paraId="0AB2EDA2" w14:textId="77777777" w:rsidR="00796BD3" w:rsidRPr="00B121D4" w:rsidRDefault="0033025A" w:rsidP="00DA770A">
            <w:pPr>
              <w:spacing w:before="160"/>
              <w:rPr>
                <w:b/>
                <w:bCs/>
                <w:sz w:val="24"/>
                <w:szCs w:val="24"/>
                <w:lang w:val="ru-RU"/>
              </w:rPr>
            </w:pPr>
            <w:r w:rsidRPr="00D631AA">
              <w:rPr>
                <w:b/>
                <w:bCs/>
                <w:sz w:val="24"/>
                <w:szCs w:val="24"/>
                <w:lang w:val="ru-RU"/>
              </w:rPr>
              <w:t>Финансовые последствия</w:t>
            </w:r>
          </w:p>
          <w:p w14:paraId="0D530F5C" w14:textId="24917B57" w:rsidR="00345D2A" w:rsidRPr="0014229E" w:rsidRDefault="00345F30" w:rsidP="00DA770A">
            <w:pPr>
              <w:spacing w:before="160"/>
              <w:rPr>
                <w:szCs w:val="22"/>
                <w:lang w:val="ru-RU"/>
              </w:rPr>
            </w:pPr>
            <w:r w:rsidRPr="005C6943">
              <w:rPr>
                <w:lang w:val="ru-RU"/>
              </w:rPr>
              <w:t xml:space="preserve">В рамках выделенного бюджета на </w:t>
            </w:r>
            <w:proofErr w:type="gramStart"/>
            <w:r w:rsidRPr="005C6943">
              <w:rPr>
                <w:lang w:val="ru-RU"/>
              </w:rPr>
              <w:t>2024−2025</w:t>
            </w:r>
            <w:proofErr w:type="gramEnd"/>
            <w:r w:rsidRPr="005C6943">
              <w:rPr>
                <w:lang w:val="ru-RU"/>
              </w:rPr>
              <w:t xml:space="preserve"> годы.</w:t>
            </w:r>
          </w:p>
          <w:p w14:paraId="4680F60B" w14:textId="77777777" w:rsidR="00796BD3" w:rsidRPr="00345F30" w:rsidRDefault="00796BD3" w:rsidP="00DA770A">
            <w:pPr>
              <w:spacing w:before="160"/>
              <w:rPr>
                <w:caps/>
                <w:sz w:val="20"/>
                <w:szCs w:val="18"/>
                <w:lang w:val="ru-RU"/>
              </w:rPr>
            </w:pPr>
            <w:r w:rsidRPr="00345F30">
              <w:rPr>
                <w:sz w:val="20"/>
                <w:szCs w:val="18"/>
                <w:lang w:val="ru-RU"/>
              </w:rPr>
              <w:t>__________________</w:t>
            </w:r>
          </w:p>
          <w:p w14:paraId="5C6BD19F" w14:textId="77777777" w:rsidR="00796BD3" w:rsidRPr="00345F30" w:rsidRDefault="0033025A" w:rsidP="00DA770A">
            <w:pPr>
              <w:spacing w:before="160"/>
              <w:rPr>
                <w:b/>
                <w:bCs/>
                <w:sz w:val="26"/>
                <w:szCs w:val="26"/>
                <w:lang w:val="ru-RU"/>
              </w:rPr>
            </w:pPr>
            <w:r w:rsidRPr="00345F30">
              <w:rPr>
                <w:b/>
                <w:bCs/>
                <w:sz w:val="24"/>
                <w:szCs w:val="24"/>
                <w:lang w:val="ru-RU"/>
              </w:rPr>
              <w:t>Справочные материалы</w:t>
            </w:r>
          </w:p>
          <w:p w14:paraId="2F55A17F" w14:textId="217EE056" w:rsidR="00796BD3" w:rsidRPr="00345F30" w:rsidRDefault="00345F30" w:rsidP="00DA770A">
            <w:pPr>
              <w:spacing w:after="160"/>
              <w:rPr>
                <w:i/>
                <w:iCs/>
                <w:lang w:val="ru-RU"/>
              </w:rPr>
            </w:pPr>
            <w:hyperlink r:id="rId8" w:history="1">
              <w:r w:rsidRPr="005C6943">
                <w:rPr>
                  <w:rStyle w:val="Hyperlink"/>
                  <w:i/>
                  <w:iCs/>
                  <w:lang w:val="ru-RU"/>
                </w:rPr>
                <w:t>Финансовый регламент и Финансовые правила МСЭ (2022 г.), Статья 29</w:t>
              </w:r>
            </w:hyperlink>
          </w:p>
        </w:tc>
      </w:tr>
      <w:bookmarkEnd w:id="2"/>
      <w:bookmarkEnd w:id="6"/>
    </w:tbl>
    <w:p w14:paraId="2F62AFBB" w14:textId="77777777" w:rsidR="00796BD3" w:rsidRPr="00345F30" w:rsidRDefault="00796BD3" w:rsidP="00796BD3">
      <w:pPr>
        <w:rPr>
          <w:lang w:val="ru-RU"/>
        </w:rPr>
      </w:pPr>
    </w:p>
    <w:p w14:paraId="77FC6343" w14:textId="77777777" w:rsidR="00165D06" w:rsidRPr="00345F30" w:rsidRDefault="00165D06">
      <w:pPr>
        <w:tabs>
          <w:tab w:val="clear" w:pos="794"/>
          <w:tab w:val="clear" w:pos="1191"/>
          <w:tab w:val="clear" w:pos="1588"/>
          <w:tab w:val="clear" w:pos="1985"/>
        </w:tabs>
        <w:overflowPunct/>
        <w:autoSpaceDE/>
        <w:autoSpaceDN/>
        <w:adjustRightInd/>
        <w:spacing w:before="0"/>
        <w:textAlignment w:val="auto"/>
        <w:rPr>
          <w:lang w:val="ru-RU"/>
        </w:rPr>
      </w:pPr>
      <w:r w:rsidRPr="00345F30">
        <w:rPr>
          <w:lang w:val="ru-RU"/>
        </w:rPr>
        <w:br w:type="page"/>
      </w:r>
    </w:p>
    <w:p w14:paraId="639CCE4B" w14:textId="77777777" w:rsidR="00345F30" w:rsidRPr="005C6943" w:rsidRDefault="00345F30" w:rsidP="0066487F">
      <w:pPr>
        <w:pStyle w:val="Heading1"/>
      </w:pPr>
      <w:r w:rsidRPr="005C6943">
        <w:lastRenderedPageBreak/>
        <w:t>Введение</w:t>
      </w:r>
    </w:p>
    <w:p w14:paraId="11A2F81A" w14:textId="77777777" w:rsidR="00345F30" w:rsidRPr="005C6943" w:rsidRDefault="00345F30" w:rsidP="00B23BB3">
      <w:pPr>
        <w:jc w:val="both"/>
        <w:rPr>
          <w:lang w:val="ru-RU"/>
        </w:rPr>
      </w:pPr>
      <w:r w:rsidRPr="005C6943">
        <w:rPr>
          <w:lang w:val="ru-RU"/>
        </w:rPr>
        <w:t>1</w:t>
      </w:r>
      <w:r w:rsidRPr="005C6943">
        <w:rPr>
          <w:lang w:val="ru-RU"/>
        </w:rPr>
        <w:tab/>
        <w:t>Настоящий отчет направляется Совету МСЭ и соответствует Статье 29 Финансового регламента и Финансовых правил МСЭ (2022 г.). В соответствии с Уставом внутреннего надзора</w:t>
      </w:r>
      <w:r w:rsidRPr="001A2336">
        <w:rPr>
          <w:rStyle w:val="FootnoteReference"/>
        </w:rPr>
        <w:footnoteReference w:id="1"/>
      </w:r>
      <w:r w:rsidRPr="005C6943">
        <w:rPr>
          <w:lang w:val="ru-RU"/>
        </w:rPr>
        <w:t xml:space="preserve"> МСЭ настоящий отчет передается Генеральному секретарю и представляется Совету для рассмотрения. В настоящем отчете охватывается деятельность по внутреннему аудиту с апреля 2024 года по март 2025 года.</w:t>
      </w:r>
    </w:p>
    <w:p w14:paraId="3414C3A7" w14:textId="77777777" w:rsidR="00345F30" w:rsidRPr="005C6943" w:rsidRDefault="00345F30" w:rsidP="00B23BB3">
      <w:pPr>
        <w:jc w:val="both"/>
        <w:rPr>
          <w:lang w:val="ru-RU"/>
        </w:rPr>
      </w:pPr>
      <w:r w:rsidRPr="005C6943">
        <w:rPr>
          <w:lang w:val="ru-RU"/>
        </w:rPr>
        <w:t>2</w:t>
      </w:r>
      <w:r w:rsidRPr="005C6943">
        <w:rPr>
          <w:lang w:val="ru-RU"/>
        </w:rPr>
        <w:tab/>
        <w:t>После сессии Совета 2023 года административным решением Генерального секретаря, которое вступило в силу 1 сентября 2023 года, было создано Подразделение по надзору. Подразделение по надзору выполняет три функции – внутреннего аудита, расследований и оценки. В отчетный период в штат Подразделения по надзору (ПН) МСЭ входили пять сотрудников категории специалистов и выше: руководитель Подразделения по надзору (D1), старший внутренний аудитор (P5), специалист по расследованиям/аудитор (Р4), внутренний аудитор (P3) и еще один внутренний аудитор (P2). Аудиторская работа ведется сотрудниками Р5, Р3 и Р2 под общим контролем руководителя Подразделения по надзору.</w:t>
      </w:r>
      <w:r w:rsidRPr="005C6943">
        <w:rPr>
          <w:color w:val="333333"/>
          <w:sz w:val="26"/>
          <w:szCs w:val="26"/>
          <w:shd w:val="clear" w:color="auto" w:fill="FFFFFF"/>
          <w:lang w:val="ru-RU"/>
        </w:rPr>
        <w:t xml:space="preserve"> </w:t>
      </w:r>
    </w:p>
    <w:p w14:paraId="1BA2BF14" w14:textId="77777777" w:rsidR="00345F30" w:rsidRPr="005C6943" w:rsidRDefault="00345F30" w:rsidP="00B23BB3">
      <w:pPr>
        <w:jc w:val="both"/>
        <w:rPr>
          <w:lang w:val="ru-RU"/>
        </w:rPr>
      </w:pPr>
      <w:r w:rsidRPr="005C6943">
        <w:rPr>
          <w:lang w:val="ru-RU"/>
        </w:rPr>
        <w:t>3</w:t>
      </w:r>
      <w:r w:rsidRPr="005C6943">
        <w:rPr>
          <w:lang w:val="ru-RU"/>
        </w:rPr>
        <w:tab/>
        <w:t>ПН подтверждает, что проводит свои аудиторские проверки в соответствии с Международными профессиональными стандартами внутреннего аудита и Кодексом этики, установленным Институтом внутренних аудиторов (ИВА)</w:t>
      </w:r>
      <w:r w:rsidRPr="001A2336">
        <w:rPr>
          <w:rStyle w:val="FootnoteReference"/>
        </w:rPr>
        <w:footnoteReference w:id="2"/>
      </w:r>
      <w:r w:rsidRPr="005C6943">
        <w:rPr>
          <w:lang w:val="ru-RU"/>
        </w:rPr>
        <w:t>, а также положениями Устава внутреннего надзора МСЭ. Кроме того, ПН подтверждает, что за отчетный период его сотрудники не имели управленческих полномочий, не несли ответственности в связи с какой-либо деятельностью, в отношении которой проводилась аудиторская проверка, и не выполняли учетных или оперативных функций в МСЭ.</w:t>
      </w:r>
    </w:p>
    <w:p w14:paraId="4D891AD6" w14:textId="77777777" w:rsidR="00345F30" w:rsidRPr="005C6943" w:rsidRDefault="00345F30" w:rsidP="0066487F">
      <w:pPr>
        <w:pStyle w:val="Heading1"/>
      </w:pPr>
      <w:r w:rsidRPr="005C6943">
        <w:t xml:space="preserve">Направленность и </w:t>
      </w:r>
      <w:r w:rsidRPr="0066487F">
        <w:t>сфера</w:t>
      </w:r>
      <w:r w:rsidRPr="005C6943">
        <w:t xml:space="preserve"> охвата деятельности по внутреннему аудиту</w:t>
      </w:r>
    </w:p>
    <w:p w14:paraId="1FD762E7" w14:textId="77777777" w:rsidR="00345F30" w:rsidRPr="005C6943" w:rsidRDefault="00345F30" w:rsidP="00B23BB3">
      <w:pPr>
        <w:jc w:val="both"/>
        <w:rPr>
          <w:lang w:val="ru-RU"/>
        </w:rPr>
      </w:pPr>
      <w:r w:rsidRPr="005C6943">
        <w:rPr>
          <w:lang w:val="ru-RU"/>
        </w:rPr>
        <w:t>4</w:t>
      </w:r>
      <w:r w:rsidRPr="005C6943">
        <w:rPr>
          <w:lang w:val="ru-RU"/>
        </w:rPr>
        <w:tab/>
        <w:t>В соответствии с Уставом внутреннего надзора годовой план аудита на 2024 год был рассмотрен Независимым консультативным комитетом по управлению (IMAC) на его 37</w:t>
      </w:r>
      <w:r w:rsidRPr="005C6943">
        <w:rPr>
          <w:lang w:val="ru-RU"/>
        </w:rPr>
        <w:noBreakHyphen/>
        <w:t>м собрании и утвержден Генеральным секретарем 11 января 2024 года.</w:t>
      </w:r>
    </w:p>
    <w:p w14:paraId="1C98DF29" w14:textId="77777777" w:rsidR="00345F30" w:rsidRPr="005C6943" w:rsidRDefault="00345F30" w:rsidP="00B23BB3">
      <w:pPr>
        <w:jc w:val="both"/>
        <w:rPr>
          <w:lang w:val="ru-RU"/>
        </w:rPr>
      </w:pPr>
      <w:r w:rsidRPr="005C6943">
        <w:rPr>
          <w:lang w:val="ru-RU"/>
        </w:rPr>
        <w:t>5</w:t>
      </w:r>
      <w:r w:rsidRPr="005C6943">
        <w:rPr>
          <w:lang w:val="ru-RU"/>
        </w:rPr>
        <w:tab/>
        <w:t xml:space="preserve">ПН систематически направляет копии отчетов о внутреннем аудите Внешнему аудитору МСЭ и IMAC. В соответствии с положением п. 5 Статьи 29 Финансового регламента и Финансовых правил (2022 г.) заключительные отчеты о внутреннем аудите могут быть представлены Государствам-Членам или их уполномоченным представителям. С октября 2015 года действует упрощенный механизм доступа к отчетам о внутреннем аудите. В течение отчетного периода запросов на доступ к отчетам о внутреннем аудите через </w:t>
      </w:r>
      <w:hyperlink r:id="rId9" w:history="1">
        <w:r w:rsidRPr="005C6943">
          <w:rPr>
            <w:rStyle w:val="Hyperlink"/>
            <w:lang w:val="ru-RU"/>
          </w:rPr>
          <w:t>онлайновый механизм</w:t>
        </w:r>
      </w:hyperlink>
      <w:r w:rsidRPr="005C6943">
        <w:rPr>
          <w:lang w:val="ru-RU"/>
        </w:rPr>
        <w:t xml:space="preserve"> не поступало.</w:t>
      </w:r>
    </w:p>
    <w:p w14:paraId="2FB5F9A5" w14:textId="77777777" w:rsidR="00345F30" w:rsidRPr="005C6943" w:rsidRDefault="00345F30" w:rsidP="0066487F">
      <w:pPr>
        <w:pStyle w:val="Heading1"/>
        <w:jc w:val="both"/>
      </w:pPr>
      <w:r w:rsidRPr="005C6943">
        <w:t>Задания по подтверждению достоверности информации и полученные выводы</w:t>
      </w:r>
    </w:p>
    <w:p w14:paraId="7336E8EF" w14:textId="61B73AB2" w:rsidR="00345F30" w:rsidRPr="005C6943" w:rsidRDefault="00345F30" w:rsidP="00B23BB3">
      <w:pPr>
        <w:jc w:val="both"/>
        <w:rPr>
          <w:lang w:val="ru-RU"/>
        </w:rPr>
      </w:pPr>
      <w:r w:rsidRPr="005C6943">
        <w:rPr>
          <w:lang w:val="ru-RU"/>
        </w:rPr>
        <w:t>6</w:t>
      </w:r>
      <w:r w:rsidRPr="005C6943">
        <w:rPr>
          <w:lang w:val="ru-RU"/>
        </w:rPr>
        <w:tab/>
        <w:t>Задания по подтверждению достоверности информации предполагают оценку: i) аспектов руководства проверенными операциями Союза; ii)</w:t>
      </w:r>
      <w:r w:rsidR="00F63C7D">
        <w:rPr>
          <w:lang w:val="ru-RU"/>
        </w:rPr>
        <w:t> </w:t>
      </w:r>
      <w:r w:rsidRPr="005C6943">
        <w:rPr>
          <w:lang w:val="ru-RU"/>
        </w:rPr>
        <w:t>практики управления рисками; и iii)</w:t>
      </w:r>
      <w:r w:rsidR="00F63C7D">
        <w:rPr>
          <w:lang w:val="ru-RU"/>
        </w:rPr>
        <w:t> </w:t>
      </w:r>
      <w:r w:rsidRPr="005C6943">
        <w:rPr>
          <w:lang w:val="ru-RU"/>
        </w:rPr>
        <w:t>эффективности мер (внутреннего) контроля. Приоритет рекомендаций, сформулированных по результатам аудиторской проверки, определяется в зависимости от воздействия и вероятности нарушений (высокий, средний, низкий уровень).</w:t>
      </w:r>
    </w:p>
    <w:p w14:paraId="1C93094B" w14:textId="3583C139" w:rsidR="00345F30" w:rsidRPr="00B23BB3" w:rsidRDefault="00345F30" w:rsidP="0066487F">
      <w:pPr>
        <w:widowControl w:val="0"/>
        <w:jc w:val="both"/>
        <w:rPr>
          <w:spacing w:val="-3"/>
          <w:lang w:val="ru-RU"/>
        </w:rPr>
      </w:pPr>
      <w:r w:rsidRPr="00B23BB3">
        <w:rPr>
          <w:spacing w:val="-3"/>
          <w:lang w:val="ru-RU"/>
        </w:rPr>
        <w:t>7</w:t>
      </w:r>
      <w:r w:rsidRPr="00B23BB3">
        <w:rPr>
          <w:spacing w:val="-3"/>
          <w:lang w:val="ru-RU"/>
        </w:rPr>
        <w:tab/>
        <w:t>Выполнение рекомендованных мер отслеживается Подразделением по надзору по мере необходимости. С начала 2021 года для этой цели существует доступная для всего Союза информационная панель по вопросам соблюдения. Информационная панель упрощает отслеживание выполнения рекомендаций для заинтересованных руководителей, однако не освобождает ПН от обязанности принимать последующие меры в соответствии с Глобальным стандартом внутреннего аудита 15.2 ИВА</w:t>
      </w:r>
      <w:bookmarkStart w:id="7" w:name="_Hlk167697448"/>
      <w:r w:rsidRPr="00B23BB3">
        <w:rPr>
          <w:rStyle w:val="FootnoteReference"/>
          <w:spacing w:val="-3"/>
        </w:rPr>
        <w:footnoteReference w:id="3"/>
      </w:r>
      <w:bookmarkEnd w:id="7"/>
      <w:r w:rsidRPr="00B23BB3">
        <w:rPr>
          <w:spacing w:val="-3"/>
          <w:lang w:val="ru-RU"/>
        </w:rPr>
        <w:t xml:space="preserve">. Сессии Совета 2025 года представлен отдельный </w:t>
      </w:r>
      <w:r w:rsidRPr="00B23BB3">
        <w:rPr>
          <w:spacing w:val="-3"/>
          <w:lang w:val="ru-RU"/>
        </w:rPr>
        <w:lastRenderedPageBreak/>
        <w:t>информационный документ (</w:t>
      </w:r>
      <w:proofErr w:type="spellStart"/>
      <w:r w:rsidRPr="00B23BB3">
        <w:rPr>
          <w:spacing w:val="-3"/>
        </w:rPr>
        <w:fldChar w:fldCharType="begin"/>
      </w:r>
      <w:r w:rsidRPr="00B23BB3">
        <w:rPr>
          <w:spacing w:val="-3"/>
        </w:rPr>
        <w:instrText>HYPERLINK</w:instrText>
      </w:r>
      <w:r w:rsidRPr="00B23BB3">
        <w:rPr>
          <w:spacing w:val="-3"/>
          <w:lang w:val="ru-RU"/>
        </w:rPr>
        <w:instrText xml:space="preserve"> "</w:instrText>
      </w:r>
      <w:r w:rsidRPr="00B23BB3">
        <w:rPr>
          <w:spacing w:val="-3"/>
        </w:rPr>
        <w:instrText>https</w:instrText>
      </w:r>
      <w:r w:rsidRPr="00B23BB3">
        <w:rPr>
          <w:spacing w:val="-3"/>
          <w:lang w:val="ru-RU"/>
        </w:rPr>
        <w:instrText>://</w:instrText>
      </w:r>
      <w:r w:rsidRPr="00B23BB3">
        <w:rPr>
          <w:spacing w:val="-3"/>
        </w:rPr>
        <w:instrText>www</w:instrText>
      </w:r>
      <w:r w:rsidRPr="00B23BB3">
        <w:rPr>
          <w:spacing w:val="-3"/>
          <w:lang w:val="ru-RU"/>
        </w:rPr>
        <w:instrText>.</w:instrText>
      </w:r>
      <w:r w:rsidRPr="00B23BB3">
        <w:rPr>
          <w:spacing w:val="-3"/>
        </w:rPr>
        <w:instrText>itu</w:instrText>
      </w:r>
      <w:r w:rsidRPr="00B23BB3">
        <w:rPr>
          <w:spacing w:val="-3"/>
          <w:lang w:val="ru-RU"/>
        </w:rPr>
        <w:instrText>.</w:instrText>
      </w:r>
      <w:r w:rsidRPr="00B23BB3">
        <w:rPr>
          <w:spacing w:val="-3"/>
        </w:rPr>
        <w:instrText>int</w:instrText>
      </w:r>
      <w:r w:rsidRPr="00B23BB3">
        <w:rPr>
          <w:spacing w:val="-3"/>
          <w:lang w:val="ru-RU"/>
        </w:rPr>
        <w:instrText>/</w:instrText>
      </w:r>
      <w:r w:rsidRPr="00B23BB3">
        <w:rPr>
          <w:spacing w:val="-3"/>
        </w:rPr>
        <w:instrText>md</w:instrText>
      </w:r>
      <w:r w:rsidRPr="00B23BB3">
        <w:rPr>
          <w:spacing w:val="-3"/>
          <w:lang w:val="ru-RU"/>
        </w:rPr>
        <w:instrText>/</w:instrText>
      </w:r>
      <w:r w:rsidRPr="00B23BB3">
        <w:rPr>
          <w:spacing w:val="-3"/>
        </w:rPr>
        <w:instrText>S</w:instrText>
      </w:r>
      <w:r w:rsidRPr="00B23BB3">
        <w:rPr>
          <w:spacing w:val="-3"/>
          <w:lang w:val="ru-RU"/>
        </w:rPr>
        <w:instrText>25-</w:instrText>
      </w:r>
      <w:r w:rsidRPr="00B23BB3">
        <w:rPr>
          <w:spacing w:val="-3"/>
        </w:rPr>
        <w:instrText>CL</w:instrText>
      </w:r>
      <w:r w:rsidRPr="00B23BB3">
        <w:rPr>
          <w:spacing w:val="-3"/>
          <w:lang w:val="ru-RU"/>
        </w:rPr>
        <w:instrText>-</w:instrText>
      </w:r>
      <w:r w:rsidRPr="00B23BB3">
        <w:rPr>
          <w:spacing w:val="-3"/>
        </w:rPr>
        <w:instrText>INF</w:instrText>
      </w:r>
      <w:r w:rsidRPr="00B23BB3">
        <w:rPr>
          <w:spacing w:val="-3"/>
          <w:lang w:val="ru-RU"/>
        </w:rPr>
        <w:instrText>-0001/</w:instrText>
      </w:r>
      <w:r w:rsidRPr="00B23BB3">
        <w:rPr>
          <w:spacing w:val="-3"/>
        </w:rPr>
        <w:instrText>en</w:instrText>
      </w:r>
      <w:r w:rsidRPr="00B23BB3">
        <w:rPr>
          <w:spacing w:val="-3"/>
          <w:lang w:val="ru-RU"/>
        </w:rPr>
        <w:instrText>"</w:instrText>
      </w:r>
      <w:r w:rsidRPr="00B23BB3">
        <w:rPr>
          <w:spacing w:val="-3"/>
        </w:rPr>
      </w:r>
      <w:r w:rsidRPr="00B23BB3">
        <w:rPr>
          <w:spacing w:val="-3"/>
        </w:rPr>
        <w:fldChar w:fldCharType="separate"/>
      </w:r>
      <w:r w:rsidRPr="00B23BB3">
        <w:rPr>
          <w:rStyle w:val="Hyperlink"/>
          <w:spacing w:val="-3"/>
          <w:lang w:val="ru-RU"/>
        </w:rPr>
        <w:t>C25</w:t>
      </w:r>
      <w:proofErr w:type="spellEnd"/>
      <w:r w:rsidRPr="00B23BB3">
        <w:rPr>
          <w:rStyle w:val="Hyperlink"/>
          <w:spacing w:val="-3"/>
          <w:lang w:val="ru-RU"/>
        </w:rPr>
        <w:t>/</w:t>
      </w:r>
      <w:proofErr w:type="spellStart"/>
      <w:r w:rsidRPr="00B23BB3">
        <w:rPr>
          <w:rStyle w:val="Hyperlink"/>
          <w:spacing w:val="-3"/>
          <w:lang w:val="ru-RU"/>
        </w:rPr>
        <w:t>INF</w:t>
      </w:r>
      <w:proofErr w:type="spellEnd"/>
      <w:r w:rsidRPr="00B23BB3">
        <w:rPr>
          <w:rStyle w:val="Hyperlink"/>
          <w:spacing w:val="-3"/>
          <w:lang w:val="ru-RU"/>
        </w:rPr>
        <w:t>/1</w:t>
      </w:r>
      <w:r w:rsidRPr="00B23BB3">
        <w:rPr>
          <w:spacing w:val="-3"/>
        </w:rPr>
        <w:fldChar w:fldCharType="end"/>
      </w:r>
      <w:r w:rsidRPr="00B23BB3">
        <w:rPr>
          <w:spacing w:val="-3"/>
          <w:lang w:val="ru-RU"/>
        </w:rPr>
        <w:t>), в котором отражаются последующие меры в связи с рекомендациями по внутреннему аудиту и рекомендациями по судебно-бухгалтерской экспертизе.</w:t>
      </w:r>
    </w:p>
    <w:p w14:paraId="4FD84E73" w14:textId="77777777" w:rsidR="00345F30" w:rsidRPr="005C6943" w:rsidRDefault="00345F30" w:rsidP="00345F30">
      <w:pPr>
        <w:rPr>
          <w:i/>
          <w:iCs/>
          <w:lang w:val="ru-RU"/>
        </w:rPr>
      </w:pPr>
      <w:r>
        <w:rPr>
          <w:i/>
          <w:iCs/>
          <w:lang w:val="ru-RU"/>
        </w:rPr>
        <w:t xml:space="preserve">Ниже перечислены выполняемые и завершенные </w:t>
      </w:r>
      <w:r w:rsidRPr="005C6943">
        <w:rPr>
          <w:i/>
          <w:iCs/>
          <w:lang w:val="ru-RU"/>
        </w:rPr>
        <w:t>задани</w:t>
      </w:r>
      <w:r>
        <w:rPr>
          <w:i/>
          <w:iCs/>
          <w:lang w:val="ru-RU"/>
        </w:rPr>
        <w:t>я</w:t>
      </w:r>
      <w:r w:rsidRPr="005C6943">
        <w:rPr>
          <w:i/>
          <w:iCs/>
          <w:lang w:val="ru-RU"/>
        </w:rPr>
        <w:t xml:space="preserve"> по подтверждению достоверности информации.</w:t>
      </w:r>
    </w:p>
    <w:p w14:paraId="38466134" w14:textId="77777777" w:rsidR="00345F30" w:rsidRPr="00345F30" w:rsidRDefault="00345F30" w:rsidP="0066487F">
      <w:pPr>
        <w:pStyle w:val="Headingi"/>
      </w:pPr>
      <w:r w:rsidRPr="00345F30">
        <w:t>A</w:t>
      </w:r>
      <w:r w:rsidRPr="00345F30">
        <w:tab/>
        <w:t>Оценка модуля "Управление субсидиями"</w:t>
      </w:r>
    </w:p>
    <w:p w14:paraId="7F0BD00B" w14:textId="77777777" w:rsidR="00345F30" w:rsidRPr="005C6943" w:rsidRDefault="00345F30" w:rsidP="00B23BB3">
      <w:pPr>
        <w:jc w:val="both"/>
        <w:rPr>
          <w:rFonts w:eastAsia="SimSun"/>
          <w:lang w:val="ru-RU" w:eastAsia="zh-CN"/>
        </w:rPr>
      </w:pPr>
      <w:r w:rsidRPr="005C6943">
        <w:rPr>
          <w:rFonts w:eastAsia="SimSun"/>
          <w:lang w:val="ru-RU" w:eastAsia="zh-CN"/>
        </w:rPr>
        <w:t>8</w:t>
      </w:r>
      <w:r w:rsidRPr="005C6943">
        <w:rPr>
          <w:rFonts w:eastAsia="SimSun"/>
          <w:lang w:val="ru-RU" w:eastAsia="zh-CN"/>
        </w:rPr>
        <w:tab/>
        <w:t xml:space="preserve">ПН при поддержке внешнего поставщика услуг провело оценку применимости SAP/модуля "Управление субсидиями" (GMM). Задачи включали анализ текущей конфигурации и интеграции SAP-ERP применительно к управлению субсидиями (внебюджетные проекты и программы), оценку степени эффективности, надежности и действенности существующих методов управления субсидиями (внебюджетные средства) и оценку добавленной стоимости, связанной с внедрением модуля "Управление </w:t>
      </w:r>
      <w:proofErr w:type="spellStart"/>
      <w:r w:rsidRPr="005C6943">
        <w:rPr>
          <w:rFonts w:eastAsia="SimSun"/>
          <w:lang w:val="ru-RU" w:eastAsia="zh-CN"/>
        </w:rPr>
        <w:t>субсидентами</w:t>
      </w:r>
      <w:proofErr w:type="spellEnd"/>
      <w:r w:rsidRPr="005C6943">
        <w:rPr>
          <w:rFonts w:eastAsia="SimSun"/>
          <w:lang w:val="ru-RU" w:eastAsia="zh-CN"/>
        </w:rPr>
        <w:t>" SAP (управление получателями субсидий (GM-GTE)).</w:t>
      </w:r>
    </w:p>
    <w:p w14:paraId="03393321" w14:textId="77777777" w:rsidR="00345F30" w:rsidRPr="005C6943" w:rsidRDefault="00345F30" w:rsidP="00B23BB3">
      <w:pPr>
        <w:jc w:val="both"/>
        <w:rPr>
          <w:rFonts w:eastAsia="SimSun"/>
          <w:lang w:val="ru-RU" w:eastAsia="zh-CN"/>
        </w:rPr>
      </w:pPr>
      <w:r w:rsidRPr="005C6943">
        <w:rPr>
          <w:rFonts w:eastAsia="SimSun"/>
          <w:lang w:val="ru-RU" w:eastAsia="zh-CN"/>
        </w:rPr>
        <w:t>9</w:t>
      </w:r>
      <w:r w:rsidRPr="005C6943">
        <w:rPr>
          <w:rFonts w:eastAsia="SimSun"/>
          <w:lang w:val="ru-RU" w:eastAsia="zh-CN"/>
        </w:rPr>
        <w:tab/>
        <w:t>Оценка показала, что связь между SAP и GMM в</w:t>
      </w:r>
      <w:r>
        <w:rPr>
          <w:rFonts w:eastAsia="SimSun"/>
          <w:lang w:val="ru-RU" w:eastAsia="zh-CN"/>
        </w:rPr>
        <w:t xml:space="preserve"> ее нынешнем </w:t>
      </w:r>
      <w:r w:rsidRPr="005C6943">
        <w:rPr>
          <w:rFonts w:eastAsia="SimSun"/>
          <w:lang w:val="ru-RU" w:eastAsia="zh-CN"/>
        </w:rPr>
        <w:t>виде достаточна для удовлетворения потребностей отчетности по внебюджетным средствам.</w:t>
      </w:r>
      <w:r w:rsidRPr="005C6943">
        <w:rPr>
          <w:lang w:val="ru-RU"/>
        </w:rPr>
        <w:t xml:space="preserve"> </w:t>
      </w:r>
      <w:r w:rsidRPr="005C6943">
        <w:rPr>
          <w:rFonts w:eastAsia="SimSun"/>
          <w:lang w:val="ru-RU" w:eastAsia="zh-CN"/>
        </w:rPr>
        <w:t>Однако четкая информация о возможностях системы не была распространена, как и не было проведено обучение пользователей, что без необходимости усложнило процесс обработки.</w:t>
      </w:r>
      <w:r w:rsidRPr="005C6943">
        <w:rPr>
          <w:lang w:val="ru-RU"/>
        </w:rPr>
        <w:t xml:space="preserve"> </w:t>
      </w:r>
      <w:r w:rsidRPr="005C6943">
        <w:rPr>
          <w:rFonts w:eastAsia="SimSun"/>
          <w:lang w:val="ru-RU" w:eastAsia="zh-CN"/>
        </w:rPr>
        <w:t>Обнаруженная проблема относится к технологическому процессу, а не к системе.</w:t>
      </w:r>
      <w:r w:rsidRPr="005C6943">
        <w:rPr>
          <w:lang w:val="ru-RU"/>
        </w:rPr>
        <w:t xml:space="preserve"> </w:t>
      </w:r>
      <w:r w:rsidRPr="005C6943">
        <w:rPr>
          <w:rFonts w:eastAsia="SimSun"/>
          <w:lang w:val="ru-RU" w:eastAsia="zh-CN"/>
        </w:rPr>
        <w:t>Также было выявлено, что текущие процессы управления субсидиями не документируются и что отсутствуют структура управления данными и структура собственности.</w:t>
      </w:r>
    </w:p>
    <w:p w14:paraId="446B39A7" w14:textId="77777777" w:rsidR="00345F30" w:rsidRPr="005C6943" w:rsidRDefault="00345F30" w:rsidP="00B23BB3">
      <w:pPr>
        <w:jc w:val="both"/>
        <w:rPr>
          <w:rFonts w:eastAsia="SimSun"/>
          <w:lang w:val="ru-RU" w:eastAsia="zh-CN"/>
        </w:rPr>
      </w:pPr>
      <w:r w:rsidRPr="005C6943">
        <w:rPr>
          <w:rFonts w:eastAsia="SimSun"/>
          <w:lang w:val="ru-RU" w:eastAsia="zh-CN"/>
        </w:rPr>
        <w:t>10</w:t>
      </w:r>
      <w:r w:rsidRPr="005C6943">
        <w:rPr>
          <w:rFonts w:eastAsia="SimSun"/>
          <w:lang w:val="ru-RU" w:eastAsia="zh-CN"/>
        </w:rPr>
        <w:tab/>
        <w:t>Заключительный отчет об аудиторской проверке был распространен и обсужден с соответствующими должностными лицами Генерального секретариата. В нем содержится шесть рекомендаций по решению выявленных проблем, относящихся к процессам управления субсидиями; отчет был направлен Генеральному секретарю 8 января 2025 года.</w:t>
      </w:r>
      <w:r w:rsidRPr="005C6943">
        <w:rPr>
          <w:lang w:val="ru-RU"/>
        </w:rPr>
        <w:t xml:space="preserve"> </w:t>
      </w:r>
      <w:r w:rsidRPr="005C6943">
        <w:rPr>
          <w:rFonts w:eastAsia="SimSun"/>
          <w:lang w:val="ru-RU" w:eastAsia="zh-CN"/>
        </w:rPr>
        <w:t>Руководство в целом согласилось с предлагаемыми рекомендациями по итогам аудиторской проверки.</w:t>
      </w:r>
    </w:p>
    <w:p w14:paraId="608F8C24" w14:textId="77777777" w:rsidR="00345F30" w:rsidRPr="00345F30" w:rsidRDefault="00345F30" w:rsidP="0066487F">
      <w:pPr>
        <w:pStyle w:val="Headingi"/>
      </w:pPr>
      <w:r w:rsidRPr="00345F30">
        <w:t>B</w:t>
      </w:r>
      <w:r w:rsidRPr="00345F30">
        <w:tab/>
        <w:t>Региональное отделение для арабских государств</w:t>
      </w:r>
    </w:p>
    <w:p w14:paraId="7E003510" w14:textId="77777777" w:rsidR="00345F30" w:rsidRDefault="00345F30" w:rsidP="0066487F">
      <w:pPr>
        <w:spacing w:before="0" w:after="120"/>
        <w:jc w:val="both"/>
        <w:rPr>
          <w:lang w:val="ru-RU"/>
        </w:rPr>
      </w:pPr>
      <w:r w:rsidRPr="005C6943">
        <w:rPr>
          <w:lang w:val="ru-RU"/>
        </w:rPr>
        <w:t>11</w:t>
      </w:r>
      <w:r w:rsidRPr="005C6943">
        <w:rPr>
          <w:lang w:val="ru-RU"/>
        </w:rPr>
        <w:tab/>
        <w:t>ПН завершило аудит Регионального отделения для арабских государств. В ходе аудита ПН рассмотрело 12 предметных областей, выводы по каждой из которых наглядно представлены ниже.</w:t>
      </w:r>
    </w:p>
    <w:p w14:paraId="1567EED2" w14:textId="2E249037" w:rsidR="00F21AD2" w:rsidRPr="00B23BB3" w:rsidRDefault="009C0A16" w:rsidP="00B23BB3">
      <w:pPr>
        <w:pStyle w:val="Figure"/>
        <w:spacing w:after="120"/>
      </w:pPr>
      <w:r w:rsidRPr="00B23BB3">
        <w:drawing>
          <wp:inline distT="0" distB="0" distL="0" distR="0" wp14:anchorId="2B2D170C" wp14:editId="48C6D6D0">
            <wp:extent cx="5715000" cy="2830724"/>
            <wp:effectExtent l="0" t="0" r="0" b="8255"/>
            <wp:docPr id="849217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7837" cy="2832129"/>
                    </a:xfrm>
                    <a:prstGeom prst="rect">
                      <a:avLst/>
                    </a:prstGeom>
                    <a:noFill/>
                    <a:ln>
                      <a:noFill/>
                    </a:ln>
                  </pic:spPr>
                </pic:pic>
              </a:graphicData>
            </a:graphic>
          </wp:inline>
        </w:drawing>
      </w:r>
    </w:p>
    <w:p w14:paraId="0691D4DD" w14:textId="676A4490" w:rsidR="00F21AD2" w:rsidRPr="00F21AD2" w:rsidRDefault="00F21AD2" w:rsidP="0066487F">
      <w:pPr>
        <w:pStyle w:val="Tablelegend"/>
        <w:spacing w:before="40" w:after="120"/>
        <w:ind w:left="284" w:hanging="284"/>
        <w:rPr>
          <w:rFonts w:eastAsiaTheme="minorEastAsia"/>
          <w:lang w:val="ru-RU" w:eastAsia="zh-CN"/>
        </w:rPr>
      </w:pPr>
      <w:r w:rsidRPr="00143001">
        <w:rPr>
          <w:vertAlign w:val="superscript"/>
          <w:lang w:val="ru-RU"/>
        </w:rPr>
        <w:t>1</w:t>
      </w:r>
      <w:r w:rsidRPr="00143001">
        <w:rPr>
          <w:lang w:val="ru-RU"/>
        </w:rPr>
        <w:t xml:space="preserve"> </w:t>
      </w:r>
      <w:r w:rsidRPr="00143001">
        <w:rPr>
          <w:lang w:val="ru-RU"/>
        </w:rPr>
        <w:tab/>
      </w:r>
      <w:r w:rsidRPr="00F21AD2">
        <w:rPr>
          <w:i/>
          <w:iCs/>
          <w:lang w:val="ru-RU"/>
        </w:rPr>
        <w:t>Выполнена не оценка по компонентам COSO (Комитет организаций − спонсоров Комиссии Тредуэя), а оценка общего уровня.</w:t>
      </w:r>
    </w:p>
    <w:p w14:paraId="3542D72B" w14:textId="5FA47462" w:rsidR="00F21AD2" w:rsidRPr="00B23BB3" w:rsidRDefault="00F21AD2" w:rsidP="00B23BB3">
      <w:pPr>
        <w:pStyle w:val="Figure"/>
      </w:pPr>
      <w:r w:rsidRPr="00B23BB3">
        <w:lastRenderedPageBreak/>
        <w:drawing>
          <wp:inline distT="0" distB="0" distL="0" distR="0" wp14:anchorId="7DD5A97E" wp14:editId="02872BE7">
            <wp:extent cx="2552087" cy="887977"/>
            <wp:effectExtent l="0" t="0" r="635" b="7620"/>
            <wp:docPr id="1620440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4689" cy="895841"/>
                    </a:xfrm>
                    <a:prstGeom prst="rect">
                      <a:avLst/>
                    </a:prstGeom>
                    <a:noFill/>
                    <a:ln>
                      <a:noFill/>
                    </a:ln>
                  </pic:spPr>
                </pic:pic>
              </a:graphicData>
            </a:graphic>
          </wp:inline>
        </w:drawing>
      </w:r>
    </w:p>
    <w:p w14:paraId="55B9637C" w14:textId="54D2C7AB" w:rsidR="00345F30" w:rsidRPr="00143001" w:rsidRDefault="00345F30" w:rsidP="0066487F">
      <w:pPr>
        <w:jc w:val="both"/>
        <w:rPr>
          <w:rFonts w:eastAsiaTheme="minorEastAsia" w:cstheme="minorBidi"/>
          <w:lang w:val="ru-RU" w:eastAsia="zh-CN"/>
        </w:rPr>
      </w:pPr>
      <w:r w:rsidRPr="005C6943">
        <w:rPr>
          <w:rFonts w:eastAsiaTheme="minorEastAsia"/>
          <w:lang w:val="ru-RU" w:eastAsia="zh-CN"/>
        </w:rPr>
        <w:t>12</w:t>
      </w:r>
      <w:r w:rsidRPr="005C6943">
        <w:rPr>
          <w:rFonts w:eastAsiaTheme="minorEastAsia"/>
          <w:lang w:val="ru-RU" w:eastAsia="zh-CN"/>
        </w:rPr>
        <w:tab/>
        <w:t xml:space="preserve">Согласно </w:t>
      </w:r>
      <w:r w:rsidRPr="005C6943">
        <w:rPr>
          <w:rFonts w:eastAsiaTheme="minorEastAsia"/>
          <w:i/>
          <w:iCs/>
          <w:lang w:val="ru-RU" w:eastAsia="zh-CN"/>
        </w:rPr>
        <w:t>общему аудиторскому заключению</w:t>
      </w:r>
      <w:r w:rsidRPr="005C6943">
        <w:rPr>
          <w:rFonts w:eastAsiaTheme="minorEastAsia"/>
          <w:lang w:val="ru-RU" w:eastAsia="zh-CN"/>
        </w:rPr>
        <w:t>, деятельность по управлению, контролю и мониторингу классифицирована на уровне от "Достаточно адекватно" до "В значительной степени адекватно", тогда как деятельность в области информации и коммуникации порой осуществляется лишь на уровне "Частично адекватно".</w:t>
      </w:r>
    </w:p>
    <w:p w14:paraId="442A65BC" w14:textId="77777777" w:rsidR="00345F30" w:rsidRPr="005C6943" w:rsidRDefault="00345F30" w:rsidP="0066487F">
      <w:pPr>
        <w:jc w:val="both"/>
        <w:rPr>
          <w:lang w:val="ru-RU"/>
        </w:rPr>
      </w:pPr>
      <w:r w:rsidRPr="005C6943">
        <w:rPr>
          <w:rFonts w:eastAsiaTheme="minorEastAsia" w:cstheme="minorBidi"/>
          <w:lang w:val="ru-RU" w:eastAsia="zh-CN"/>
        </w:rPr>
        <w:t>13</w:t>
      </w:r>
      <w:r w:rsidRPr="005C6943">
        <w:rPr>
          <w:rFonts w:eastAsiaTheme="minorEastAsia" w:cstheme="minorBidi"/>
          <w:lang w:val="ru-RU" w:eastAsia="zh-CN"/>
        </w:rPr>
        <w:tab/>
        <w:t>Заключительный отчет об аудите был выпущен в конце марта 2025 года.</w:t>
      </w:r>
      <w:r w:rsidRPr="005C6943">
        <w:rPr>
          <w:lang w:val="ru-RU"/>
        </w:rPr>
        <w:t xml:space="preserve"> </w:t>
      </w:r>
      <w:r w:rsidRPr="005C6943">
        <w:rPr>
          <w:rFonts w:eastAsiaTheme="minorEastAsia" w:cstheme="minorBidi"/>
          <w:lang w:val="ru-RU" w:eastAsia="zh-CN"/>
        </w:rPr>
        <w:t>Эта версия отчета была заменена версией от 15 мая 2025 года.</w:t>
      </w:r>
      <w:r w:rsidRPr="005C6943">
        <w:rPr>
          <w:lang w:val="ru-RU"/>
        </w:rPr>
        <w:t xml:space="preserve"> </w:t>
      </w:r>
      <w:r w:rsidRPr="005C6943">
        <w:rPr>
          <w:rFonts w:eastAsiaTheme="minorEastAsia" w:cstheme="minorBidi"/>
          <w:lang w:val="ru-RU" w:eastAsia="zh-CN"/>
        </w:rPr>
        <w:t>В отчет вошли 13 рекомендаций (одна рекомендация с высоким приоритетом, девять со средним приоритетом и три с низким приоритетом) и официальные замечания руководства.</w:t>
      </w:r>
      <w:r w:rsidRPr="005C6943">
        <w:rPr>
          <w:lang w:val="ru-RU"/>
        </w:rPr>
        <w:t xml:space="preserve"> </w:t>
      </w:r>
      <w:r w:rsidRPr="005C6943">
        <w:rPr>
          <w:rFonts w:eastAsiaTheme="minorEastAsia" w:cstheme="minorBidi"/>
          <w:lang w:val="ru-RU" w:eastAsia="zh-CN"/>
        </w:rPr>
        <w:t>Руководство согласилось с предлагаемыми рекомендациями по итогам аудиторской проверки.</w:t>
      </w:r>
    </w:p>
    <w:p w14:paraId="298DC766" w14:textId="77777777" w:rsidR="00345F30" w:rsidRPr="005C6943" w:rsidRDefault="00345F30" w:rsidP="0066487F">
      <w:pPr>
        <w:pStyle w:val="Heading1"/>
      </w:pPr>
      <w:r w:rsidRPr="005C6943">
        <w:t>Дополнительные задания</w:t>
      </w:r>
    </w:p>
    <w:p w14:paraId="3F274F53" w14:textId="77777777" w:rsidR="00345F30" w:rsidRPr="00AE232A" w:rsidRDefault="00345F30" w:rsidP="0066487F">
      <w:pPr>
        <w:pStyle w:val="Headingi"/>
      </w:pPr>
      <w:r w:rsidRPr="00AE232A">
        <w:t>A</w:t>
      </w:r>
      <w:r w:rsidRPr="00AE232A">
        <w:tab/>
        <w:t>Оценка АСХИ</w:t>
      </w:r>
    </w:p>
    <w:p w14:paraId="621AF0A0" w14:textId="77777777" w:rsidR="00345F30" w:rsidRPr="005C6943" w:rsidRDefault="00345F30" w:rsidP="0066487F">
      <w:pPr>
        <w:jc w:val="both"/>
        <w:rPr>
          <w:lang w:val="ru-RU"/>
        </w:rPr>
      </w:pPr>
      <w:r w:rsidRPr="005C6943">
        <w:rPr>
          <w:lang w:val="ru-RU"/>
        </w:rPr>
        <w:t>14</w:t>
      </w:r>
      <w:r w:rsidRPr="005C6943">
        <w:rPr>
          <w:lang w:val="ru-RU"/>
        </w:rPr>
        <w:tab/>
        <w:t>ПН выполнило задание по подтверждению достоверности ключевых элементов данных, которые были предоставлены актуарию МСЭ (AON) для оценки медицинского страхования сотрудников после выхода на пенсию (АСХИ). Запрос на это поручение был впервые сформулирован руководителем Департамента управления финансовыми ресурсами с согласия Генерального секретаря МСЭ по инициативе Внешнего аудитора МСЭ в ходе аудиторской проверки финансовой отчетности МСЭ за 2022 год.</w:t>
      </w:r>
    </w:p>
    <w:p w14:paraId="3E8E2349" w14:textId="460E0EBD" w:rsidR="00345F30" w:rsidRPr="005C6943" w:rsidRDefault="00345F30" w:rsidP="0066487F">
      <w:pPr>
        <w:jc w:val="both"/>
        <w:rPr>
          <w:rFonts w:asciiTheme="minorHAnsi" w:eastAsiaTheme="minorEastAsia" w:hAnsiTheme="minorHAnsi" w:cstheme="minorBidi"/>
          <w:lang w:val="ru-RU" w:eastAsia="zh-CN"/>
        </w:rPr>
      </w:pPr>
      <w:r w:rsidRPr="005C6943">
        <w:rPr>
          <w:szCs w:val="18"/>
          <w:lang w:val="ru-RU"/>
        </w:rPr>
        <w:t>15</w:t>
      </w:r>
      <w:r w:rsidRPr="005C6943">
        <w:rPr>
          <w:szCs w:val="18"/>
          <w:lang w:val="ru-RU"/>
        </w:rPr>
        <w:tab/>
        <w:t>В мае 2023 года ПН опубликовало отчет о выполнении задания по подтверждению достоверности и письмо руководству МСЭ, с тем чтобы довести до его сведения: i)</w:t>
      </w:r>
      <w:r w:rsidR="001A2336">
        <w:rPr>
          <w:szCs w:val="18"/>
          <w:lang w:val="ru-RU"/>
        </w:rPr>
        <w:t> </w:t>
      </w:r>
      <w:r w:rsidRPr="005C6943">
        <w:rPr>
          <w:szCs w:val="18"/>
          <w:lang w:val="ru-RU"/>
        </w:rPr>
        <w:t>информацию об имеющихся недочетах в области контроля и ii) соответствующие рекомендации, которые позволят руководству МСЭ заручиться необходимыми подтверждениями достоверности в отношении мер контроля со стороны Внешнего аудитора МСЭ для будущих аудиторских проверок на конец года.</w:t>
      </w:r>
      <w:r w:rsidRPr="005C6943">
        <w:rPr>
          <w:lang w:val="ru-RU"/>
        </w:rPr>
        <w:t xml:space="preserve"> </w:t>
      </w:r>
      <w:r w:rsidRPr="005C6943">
        <w:rPr>
          <w:szCs w:val="18"/>
          <w:lang w:val="ru-RU"/>
        </w:rPr>
        <w:t>В соответствии с ранее применявшимся подходом в феврале 2025 года ПН вновь дало необходимое подтверждение достоверности ключевых элементов данных, используемых для валидации АСХИ.</w:t>
      </w:r>
    </w:p>
    <w:p w14:paraId="6DEC7657" w14:textId="77777777" w:rsidR="00345F30" w:rsidRPr="005C6943" w:rsidRDefault="00345F30" w:rsidP="0066487F">
      <w:pPr>
        <w:pStyle w:val="Heading1"/>
      </w:pPr>
      <w:r w:rsidRPr="005C6943">
        <w:t>Последующие меры в связи с рекомендациями по итогам внутреннего аудита</w:t>
      </w:r>
    </w:p>
    <w:p w14:paraId="2384EB1B" w14:textId="77777777" w:rsidR="00345F30" w:rsidRPr="005C6943" w:rsidRDefault="00345F30" w:rsidP="0066487F">
      <w:pPr>
        <w:spacing w:after="120"/>
        <w:jc w:val="both"/>
        <w:rPr>
          <w:lang w:val="ru-RU"/>
        </w:rPr>
      </w:pPr>
      <w:r w:rsidRPr="005C6943">
        <w:rPr>
          <w:lang w:val="ru-RU"/>
        </w:rPr>
        <w:t>16</w:t>
      </w:r>
      <w:r w:rsidRPr="005C6943">
        <w:rPr>
          <w:lang w:val="ru-RU"/>
        </w:rPr>
        <w:tab/>
        <w:t xml:space="preserve">На протяжении отчетного периода ПН продолжало отслеживать последующие меры, принятые по итогам рекомендаций, которые содержатся в предыдущих отчетах об аудите. Подразделение также регулярно участвовало в обсуждении результатов принимаемых последующих мер на собраниях с IMAC. Как отмечалось выше, сессии Совета 2025 года был представлен отдельный информационный документ, в котором отражены последующие действия по итогам рекомендаций </w:t>
      </w:r>
      <w:r w:rsidRPr="005C6943">
        <w:rPr>
          <w:u w:val="single"/>
          <w:lang w:val="ru-RU"/>
        </w:rPr>
        <w:t>внутреннего аудита</w:t>
      </w:r>
      <w:r w:rsidRPr="005C6943">
        <w:rPr>
          <w:lang w:val="ru-RU"/>
        </w:rPr>
        <w:t xml:space="preserve"> и </w:t>
      </w:r>
      <w:r w:rsidRPr="005C6943">
        <w:rPr>
          <w:u w:val="single"/>
          <w:lang w:val="ru-RU"/>
        </w:rPr>
        <w:t>судебно-бухгалтерской экспертизы</w:t>
      </w:r>
      <w:r w:rsidRPr="005C6943">
        <w:rPr>
          <w:lang w:val="ru-RU"/>
        </w:rPr>
        <w:t>. По состоянию на 31 января 2025 года, как показано ниже, отмечен дальнейший прогресс в выполнении рекомендаций по результатам внутреннего аудита.</w:t>
      </w:r>
    </w:p>
    <w:p w14:paraId="43D17936" w14:textId="0AF180FC" w:rsidR="00F21AD2" w:rsidRDefault="00F21AD2" w:rsidP="0066487F">
      <w:pPr>
        <w:pStyle w:val="Figure"/>
        <w:spacing w:after="120"/>
        <w:rPr>
          <w:lang w:val="ru-RU"/>
        </w:rPr>
      </w:pPr>
      <w:r w:rsidRPr="00F21AD2">
        <w:lastRenderedPageBreak/>
        <w:drawing>
          <wp:inline distT="0" distB="0" distL="0" distR="0" wp14:anchorId="29C404B0" wp14:editId="6DB8C97C">
            <wp:extent cx="5760085" cy="1368425"/>
            <wp:effectExtent l="0" t="0" r="0" b="3175"/>
            <wp:docPr id="13297305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1368425"/>
                    </a:xfrm>
                    <a:prstGeom prst="rect">
                      <a:avLst/>
                    </a:prstGeom>
                    <a:noFill/>
                    <a:ln>
                      <a:noFill/>
                    </a:ln>
                  </pic:spPr>
                </pic:pic>
              </a:graphicData>
            </a:graphic>
          </wp:inline>
        </w:drawing>
      </w:r>
    </w:p>
    <w:p w14:paraId="1FD9F5E8" w14:textId="04DD9609" w:rsidR="00345F30" w:rsidRPr="00AE232A" w:rsidRDefault="00345F30" w:rsidP="0066487F">
      <w:pPr>
        <w:pStyle w:val="Tablelegend"/>
        <w:ind w:left="284" w:hanging="284"/>
        <w:jc w:val="both"/>
        <w:rPr>
          <w:lang w:val="ru-RU"/>
        </w:rPr>
      </w:pPr>
      <w:r w:rsidRPr="00AE232A">
        <w:rPr>
          <w:lang w:val="ru-RU"/>
        </w:rPr>
        <w:t>*</w:t>
      </w:r>
      <w:r w:rsidRPr="00AE232A">
        <w:rPr>
          <w:lang w:val="ru-RU"/>
        </w:rPr>
        <w:tab/>
        <w:t>Все рекомендации, выпущенные до 2017 года, были выполнены и учитываются в статье "Всего" (позиция "Выполнено").</w:t>
      </w:r>
    </w:p>
    <w:p w14:paraId="5CBA0BAB" w14:textId="77777777" w:rsidR="00796BD3" w:rsidRPr="00796BD3" w:rsidRDefault="00C462C5" w:rsidP="00345F30">
      <w:pPr>
        <w:spacing w:before="720"/>
        <w:jc w:val="center"/>
      </w:pPr>
      <w:r>
        <w:t>______________</w:t>
      </w:r>
    </w:p>
    <w:sectPr w:rsidR="00796BD3" w:rsidRPr="00796BD3" w:rsidSect="00A339E4">
      <w:footerReference w:type="default" r:id="rId13"/>
      <w:headerReference w:type="first" r:id="rId14"/>
      <w:footerReference w:type="first" r:id="rId15"/>
      <w:pgSz w:w="11907" w:h="16834"/>
      <w:pgMar w:top="1304" w:right="1418" w:bottom="1304"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86BA" w14:textId="77777777" w:rsidR="00345F30" w:rsidRDefault="00345F30">
      <w:r>
        <w:separator/>
      </w:r>
    </w:p>
  </w:endnote>
  <w:endnote w:type="continuationSeparator" w:id="0">
    <w:p w14:paraId="311E9122" w14:textId="77777777" w:rsidR="00345F30" w:rsidRDefault="0034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3E732040" w14:textId="77777777" w:rsidTr="00E31DCE">
      <w:trPr>
        <w:jc w:val="center"/>
      </w:trPr>
      <w:tc>
        <w:tcPr>
          <w:tcW w:w="1803" w:type="dxa"/>
          <w:vAlign w:val="center"/>
        </w:tcPr>
        <w:p w14:paraId="03E56B76" w14:textId="0820BB9D" w:rsidR="00672F8A" w:rsidRDefault="00672F8A" w:rsidP="00672F8A">
          <w:pPr>
            <w:pStyle w:val="Header"/>
            <w:jc w:val="left"/>
            <w:rPr>
              <w:noProof/>
            </w:rPr>
          </w:pPr>
        </w:p>
      </w:tc>
      <w:tc>
        <w:tcPr>
          <w:tcW w:w="8261" w:type="dxa"/>
        </w:tcPr>
        <w:p w14:paraId="135852F4" w14:textId="45BD3ED8"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345D2A">
            <w:rPr>
              <w:bCs/>
            </w:rPr>
            <w:t>5</w:t>
          </w:r>
          <w:r w:rsidRPr="00623AE3">
            <w:rPr>
              <w:bCs/>
            </w:rPr>
            <w:t>/</w:t>
          </w:r>
          <w:r w:rsidR="00345F30">
            <w:rPr>
              <w:bCs/>
              <w:lang w:val="ru-RU"/>
            </w:rPr>
            <w:t>44</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61A90746"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1294B2A1" w14:textId="77777777" w:rsidTr="00E31DCE">
      <w:trPr>
        <w:jc w:val="center"/>
      </w:trPr>
      <w:tc>
        <w:tcPr>
          <w:tcW w:w="1803" w:type="dxa"/>
          <w:vAlign w:val="center"/>
        </w:tcPr>
        <w:p w14:paraId="5A8F305D" w14:textId="77777777" w:rsidR="00672F8A" w:rsidRDefault="00D631AA" w:rsidP="00672F8A">
          <w:pPr>
            <w:pStyle w:val="Header"/>
            <w:jc w:val="left"/>
            <w:rPr>
              <w:noProof/>
            </w:rPr>
          </w:pPr>
          <w:r w:rsidRPr="00D631AA">
            <w:rPr>
              <w:color w:val="0563C1"/>
              <w:szCs w:val="14"/>
            </w:rPr>
            <w:t>council.itu.int/2025</w:t>
          </w:r>
        </w:p>
      </w:tc>
      <w:tc>
        <w:tcPr>
          <w:tcW w:w="8261" w:type="dxa"/>
        </w:tcPr>
        <w:p w14:paraId="423F5460" w14:textId="7D13554D"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345D2A">
            <w:rPr>
              <w:bCs/>
            </w:rPr>
            <w:t>5</w:t>
          </w:r>
          <w:r w:rsidRPr="00623AE3">
            <w:rPr>
              <w:bCs/>
            </w:rPr>
            <w:t>/</w:t>
          </w:r>
          <w:r w:rsidR="00345F30">
            <w:rPr>
              <w:bCs/>
              <w:lang w:val="ru-RU"/>
            </w:rPr>
            <w:t>44</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6D959677"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A6B5E" w14:textId="77777777" w:rsidR="00345F30" w:rsidRDefault="00345F30">
      <w:r>
        <w:t>____________________</w:t>
      </w:r>
    </w:p>
  </w:footnote>
  <w:footnote w:type="continuationSeparator" w:id="0">
    <w:p w14:paraId="2B12D3CC" w14:textId="77777777" w:rsidR="00345F30" w:rsidRDefault="00345F30">
      <w:r>
        <w:continuationSeparator/>
      </w:r>
    </w:p>
  </w:footnote>
  <w:footnote w:id="1">
    <w:p w14:paraId="24FA059F" w14:textId="77777777" w:rsidR="00345F30" w:rsidRPr="00053BD1" w:rsidRDefault="00345F30" w:rsidP="00345F30">
      <w:pPr>
        <w:pStyle w:val="FootnoteText"/>
        <w:tabs>
          <w:tab w:val="clear" w:pos="255"/>
        </w:tabs>
        <w:spacing w:before="0"/>
        <w:rPr>
          <w:lang w:val="ru-RU"/>
        </w:rPr>
      </w:pPr>
      <w:r>
        <w:rPr>
          <w:rStyle w:val="FootnoteReference"/>
          <w:lang w:val="ru-RU"/>
        </w:rPr>
        <w:footnoteRef/>
      </w:r>
      <w:r>
        <w:rPr>
          <w:lang w:val="ru-RU"/>
        </w:rPr>
        <w:t xml:space="preserve"> </w:t>
      </w:r>
      <w:r>
        <w:rPr>
          <w:lang w:val="ru-RU"/>
        </w:rPr>
        <w:tab/>
        <w:t xml:space="preserve">Служебный </w:t>
      </w:r>
      <w:r w:rsidRPr="00CC2689">
        <w:rPr>
          <w:lang w:val="ru-RU"/>
        </w:rPr>
        <w:t>приказ 24/09 ГС от 10 сентября 2024 года.</w:t>
      </w:r>
    </w:p>
  </w:footnote>
  <w:footnote w:id="2">
    <w:p w14:paraId="26B6661A" w14:textId="77777777" w:rsidR="00345F30" w:rsidRPr="00053BD1" w:rsidRDefault="00345F30" w:rsidP="00345F30">
      <w:pPr>
        <w:pStyle w:val="FootnoteText"/>
        <w:tabs>
          <w:tab w:val="clear" w:pos="255"/>
        </w:tabs>
        <w:spacing w:before="0"/>
        <w:rPr>
          <w:sz w:val="16"/>
          <w:szCs w:val="16"/>
          <w:lang w:val="ru-RU"/>
        </w:rPr>
      </w:pPr>
      <w:r w:rsidRPr="00040E17">
        <w:rPr>
          <w:rStyle w:val="FootnoteReference"/>
          <w:szCs w:val="16"/>
          <w:lang w:val="ru-RU"/>
        </w:rPr>
        <w:footnoteRef/>
      </w:r>
      <w:r>
        <w:rPr>
          <w:lang w:val="ru-RU"/>
        </w:rPr>
        <w:t xml:space="preserve"> </w:t>
      </w:r>
      <w:r>
        <w:rPr>
          <w:lang w:val="ru-RU"/>
        </w:rPr>
        <w:tab/>
        <w:t xml:space="preserve">Институт внутренних аудиторов, </w:t>
      </w:r>
      <w:hyperlink r:id="rId1" w:history="1">
        <w:r w:rsidRPr="00DC609F">
          <w:rPr>
            <w:rStyle w:val="Hyperlink"/>
          </w:rPr>
          <w:t>www</w:t>
        </w:r>
        <w:r w:rsidRPr="00DC609F">
          <w:rPr>
            <w:rStyle w:val="Hyperlink"/>
            <w:lang w:val="ru-RU"/>
          </w:rPr>
          <w:t>.</w:t>
        </w:r>
        <w:proofErr w:type="spellStart"/>
        <w:r w:rsidRPr="00DC609F">
          <w:rPr>
            <w:rStyle w:val="Hyperlink"/>
          </w:rPr>
          <w:t>theiia</w:t>
        </w:r>
        <w:proofErr w:type="spellEnd"/>
        <w:r w:rsidRPr="00DC609F">
          <w:rPr>
            <w:rStyle w:val="Hyperlink"/>
            <w:lang w:val="ru-RU"/>
          </w:rPr>
          <w:t>.</w:t>
        </w:r>
        <w:r w:rsidRPr="00DC609F">
          <w:rPr>
            <w:rStyle w:val="Hyperlink"/>
          </w:rPr>
          <w:t>org</w:t>
        </w:r>
      </w:hyperlink>
      <w:r>
        <w:rPr>
          <w:lang w:val="ru-RU"/>
        </w:rPr>
        <w:t>.</w:t>
      </w:r>
    </w:p>
  </w:footnote>
  <w:footnote w:id="3">
    <w:p w14:paraId="6900ADE8" w14:textId="77777777" w:rsidR="00345F30" w:rsidRPr="00545BE6" w:rsidRDefault="00345F30" w:rsidP="00345F30">
      <w:pPr>
        <w:pStyle w:val="FootnoteText"/>
        <w:tabs>
          <w:tab w:val="clear" w:pos="255"/>
        </w:tabs>
        <w:spacing w:before="0"/>
        <w:rPr>
          <w:rFonts w:asciiTheme="minorHAnsi" w:hAnsiTheme="minorHAnsi" w:cstheme="minorHAnsi"/>
          <w:sz w:val="18"/>
          <w:szCs w:val="18"/>
          <w:lang w:val="ru-RU"/>
        </w:rPr>
      </w:pPr>
      <w:r w:rsidRPr="00371775">
        <w:rPr>
          <w:rStyle w:val="FootnoteReference"/>
          <w:rFonts w:asciiTheme="minorHAnsi" w:hAnsiTheme="minorHAnsi" w:cstheme="minorHAnsi"/>
          <w:szCs w:val="16"/>
          <w:lang w:val="ru-RU"/>
        </w:rPr>
        <w:footnoteRef/>
      </w:r>
      <w:r w:rsidRPr="00545BE6">
        <w:rPr>
          <w:lang w:val="ru-RU"/>
        </w:rPr>
        <w:t xml:space="preserve"> </w:t>
      </w:r>
      <w:r w:rsidRPr="00545BE6">
        <w:rPr>
          <w:lang w:val="ru-RU"/>
        </w:rPr>
        <w:tab/>
      </w:r>
      <w:r>
        <w:rPr>
          <w:lang w:val="ru-RU"/>
        </w:rPr>
        <w:t>Стандарт</w:t>
      </w:r>
      <w:r w:rsidRPr="00545BE6">
        <w:rPr>
          <w:lang w:val="ru-RU"/>
        </w:rPr>
        <w:t xml:space="preserve"> 15.2 </w:t>
      </w:r>
      <w:proofErr w:type="spellStart"/>
      <w:r w:rsidRPr="0091442F">
        <w:rPr>
          <w:lang w:val="en-US"/>
        </w:rPr>
        <w:t>GIAS</w:t>
      </w:r>
      <w:proofErr w:type="spellEnd"/>
      <w:r w:rsidRPr="00545BE6">
        <w:rPr>
          <w:lang w:val="ru-RU"/>
        </w:rPr>
        <w:t xml:space="preserve"> </w:t>
      </w:r>
      <w:r>
        <w:rPr>
          <w:lang w:val="ru-RU"/>
        </w:rPr>
        <w:t>ИВА</w:t>
      </w:r>
      <w:r w:rsidRPr="00545BE6">
        <w:rPr>
          <w:lang w:val="ru-RU"/>
        </w:rPr>
        <w:t xml:space="preserve"> – </w:t>
      </w:r>
      <w:r w:rsidRPr="0091442F">
        <w:rPr>
          <w:lang w:val="ru-RU"/>
        </w:rPr>
        <w:t>П</w:t>
      </w:r>
      <w:r w:rsidRPr="00545BE6">
        <w:rPr>
          <w:lang w:val="ru-RU"/>
        </w:rPr>
        <w:t>одтверждение выполнения рекомендаций или планов мероприятий.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9"/>
      <w:gridCol w:w="3661"/>
    </w:tblGrid>
    <w:tr w:rsidR="00156890" w:rsidRPr="00784011" w14:paraId="534D4E23" w14:textId="77777777" w:rsidTr="00156890">
      <w:trPr>
        <w:trHeight w:val="1104"/>
        <w:jc w:val="center"/>
      </w:trPr>
      <w:tc>
        <w:tcPr>
          <w:tcW w:w="6359" w:type="dxa"/>
          <w:vAlign w:val="center"/>
        </w:tcPr>
        <w:p w14:paraId="1A51C342" w14:textId="77777777" w:rsidR="00156890" w:rsidRDefault="00156890" w:rsidP="00796BD3">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6193FB99" wp14:editId="052809E8">
                <wp:extent cx="3901233" cy="612000"/>
                <wp:effectExtent l="0" t="0" r="0" b="0"/>
                <wp:docPr id="1838873251" name="Picture 2"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3251" name="Picture 2"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01233" cy="612000"/>
                        </a:xfrm>
                        <a:prstGeom prst="rect">
                          <a:avLst/>
                        </a:prstGeom>
                      </pic:spPr>
                    </pic:pic>
                  </a:graphicData>
                </a:graphic>
              </wp:inline>
            </w:drawing>
          </w:r>
        </w:p>
      </w:tc>
      <w:tc>
        <w:tcPr>
          <w:tcW w:w="3661" w:type="dxa"/>
        </w:tcPr>
        <w:p w14:paraId="4DBC7E7D" w14:textId="77777777" w:rsidR="00156890" w:rsidRDefault="00156890" w:rsidP="00796BD3">
          <w:pPr>
            <w:pStyle w:val="Header"/>
            <w:jc w:val="right"/>
            <w:rPr>
              <w:rFonts w:ascii="Arial" w:hAnsi="Arial" w:cs="Arial"/>
              <w:b/>
              <w:bCs/>
              <w:color w:val="009CD6"/>
              <w:szCs w:val="18"/>
            </w:rPr>
          </w:pPr>
        </w:p>
      </w:tc>
    </w:tr>
  </w:tbl>
  <w:p w14:paraId="57BB6E8E" w14:textId="77777777" w:rsidR="0014229E" w:rsidRDefault="00796BD3" w:rsidP="0014229E">
    <w:pPr>
      <w:pStyle w:val="Header"/>
      <w:spacing w:after="24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C10BD47" wp14:editId="593A4F3E">
              <wp:simplePos x="0" y="0"/>
              <wp:positionH relativeFrom="page">
                <wp:posOffset>21285</wp:posOffset>
              </wp:positionH>
              <wp:positionV relativeFrom="topMargin">
                <wp:posOffset>629920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C6D5A" id="Rectangle 5" o:spid="_x0000_s1026" style="position:absolute;margin-left:1.7pt;margin-top:49.6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30"/>
    <w:rsid w:val="00005BE0"/>
    <w:rsid w:val="0002183E"/>
    <w:rsid w:val="00040CF4"/>
    <w:rsid w:val="000569B4"/>
    <w:rsid w:val="0006007D"/>
    <w:rsid w:val="00080E82"/>
    <w:rsid w:val="000B2DE7"/>
    <w:rsid w:val="000E568E"/>
    <w:rsid w:val="0014229E"/>
    <w:rsid w:val="0014734F"/>
    <w:rsid w:val="00156890"/>
    <w:rsid w:val="0015710D"/>
    <w:rsid w:val="00163A32"/>
    <w:rsid w:val="00165D06"/>
    <w:rsid w:val="00192B41"/>
    <w:rsid w:val="001A2336"/>
    <w:rsid w:val="001B6BB7"/>
    <w:rsid w:val="001B7B09"/>
    <w:rsid w:val="001E6719"/>
    <w:rsid w:val="001E7F50"/>
    <w:rsid w:val="00225368"/>
    <w:rsid w:val="00227FF0"/>
    <w:rsid w:val="002545BA"/>
    <w:rsid w:val="00291EB6"/>
    <w:rsid w:val="002C3F32"/>
    <w:rsid w:val="002D2F57"/>
    <w:rsid w:val="002D48C5"/>
    <w:rsid w:val="0033025A"/>
    <w:rsid w:val="00345D2A"/>
    <w:rsid w:val="00345F30"/>
    <w:rsid w:val="003D1807"/>
    <w:rsid w:val="003F099E"/>
    <w:rsid w:val="003F235E"/>
    <w:rsid w:val="00401FD7"/>
    <w:rsid w:val="004023E0"/>
    <w:rsid w:val="00403DD8"/>
    <w:rsid w:val="00442515"/>
    <w:rsid w:val="0045686C"/>
    <w:rsid w:val="004918C4"/>
    <w:rsid w:val="00497703"/>
    <w:rsid w:val="004A0374"/>
    <w:rsid w:val="004A45B5"/>
    <w:rsid w:val="004D0129"/>
    <w:rsid w:val="00515795"/>
    <w:rsid w:val="005A64D5"/>
    <w:rsid w:val="005B3DEC"/>
    <w:rsid w:val="00601994"/>
    <w:rsid w:val="00615A10"/>
    <w:rsid w:val="00660449"/>
    <w:rsid w:val="0066487F"/>
    <w:rsid w:val="00672F8A"/>
    <w:rsid w:val="006E2D42"/>
    <w:rsid w:val="006E754C"/>
    <w:rsid w:val="00703676"/>
    <w:rsid w:val="00707304"/>
    <w:rsid w:val="00732269"/>
    <w:rsid w:val="00746EFB"/>
    <w:rsid w:val="00762555"/>
    <w:rsid w:val="0077110E"/>
    <w:rsid w:val="00785ABD"/>
    <w:rsid w:val="00796BD3"/>
    <w:rsid w:val="007A2DD4"/>
    <w:rsid w:val="007D38B5"/>
    <w:rsid w:val="007E7EA0"/>
    <w:rsid w:val="007F2DC2"/>
    <w:rsid w:val="00807255"/>
    <w:rsid w:val="0081023E"/>
    <w:rsid w:val="008173AA"/>
    <w:rsid w:val="00840A14"/>
    <w:rsid w:val="00896EF9"/>
    <w:rsid w:val="008B62B4"/>
    <w:rsid w:val="008C0D26"/>
    <w:rsid w:val="008D2D7B"/>
    <w:rsid w:val="008E0737"/>
    <w:rsid w:val="008F7C2C"/>
    <w:rsid w:val="00940E96"/>
    <w:rsid w:val="00950A82"/>
    <w:rsid w:val="009B0BAE"/>
    <w:rsid w:val="009C0A16"/>
    <w:rsid w:val="009C1C89"/>
    <w:rsid w:val="009F3448"/>
    <w:rsid w:val="00A01CF9"/>
    <w:rsid w:val="00A20B63"/>
    <w:rsid w:val="00A339E4"/>
    <w:rsid w:val="00A71773"/>
    <w:rsid w:val="00AE232A"/>
    <w:rsid w:val="00AE2C85"/>
    <w:rsid w:val="00B0107F"/>
    <w:rsid w:val="00B121D4"/>
    <w:rsid w:val="00B12A37"/>
    <w:rsid w:val="00B23BB3"/>
    <w:rsid w:val="00B41837"/>
    <w:rsid w:val="00B63EF2"/>
    <w:rsid w:val="00BA7D89"/>
    <w:rsid w:val="00BC0D39"/>
    <w:rsid w:val="00BC7BC0"/>
    <w:rsid w:val="00BD57B7"/>
    <w:rsid w:val="00BE63E2"/>
    <w:rsid w:val="00C462C5"/>
    <w:rsid w:val="00CD2009"/>
    <w:rsid w:val="00CF629C"/>
    <w:rsid w:val="00D16620"/>
    <w:rsid w:val="00D631AA"/>
    <w:rsid w:val="00D92EEA"/>
    <w:rsid w:val="00DA5D4E"/>
    <w:rsid w:val="00DA770A"/>
    <w:rsid w:val="00E05752"/>
    <w:rsid w:val="00E176BA"/>
    <w:rsid w:val="00E423EC"/>
    <w:rsid w:val="00E55121"/>
    <w:rsid w:val="00EB4FCB"/>
    <w:rsid w:val="00EC6BC5"/>
    <w:rsid w:val="00F17927"/>
    <w:rsid w:val="00F21AD2"/>
    <w:rsid w:val="00F348D0"/>
    <w:rsid w:val="00F35898"/>
    <w:rsid w:val="00F42DDE"/>
    <w:rsid w:val="00F5225B"/>
    <w:rsid w:val="00F63C7D"/>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78CAE"/>
  <w15:docId w15:val="{A7FAF1F6-61FC-4C3D-930A-4B97C597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336"/>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66487F"/>
    <w:pPr>
      <w:keepNext/>
      <w:keepLines/>
      <w:spacing w:before="240"/>
      <w:ind w:left="794" w:hanging="794"/>
      <w:outlineLvl w:val="0"/>
    </w:pPr>
    <w:rPr>
      <w:b/>
      <w:sz w:val="26"/>
      <w:lang w:val="ru-RU"/>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227FF0"/>
    <w:rPr>
      <w:position w:val="6"/>
      <w:sz w:val="16"/>
    </w:rPr>
  </w:style>
  <w:style w:type="paragraph" w:styleId="FootnoteText">
    <w:name w:val="footnote text"/>
    <w:basedOn w:val="Normal"/>
    <w:link w:val="FootnoteTextChar"/>
    <w:uiPriority w:val="99"/>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23BB3"/>
    <w:rPr>
      <w:color w:val="0070C0"/>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B23BB3"/>
    <w:pPr>
      <w:spacing w:after="240"/>
      <w:jc w:val="center"/>
    </w:pPr>
    <w:rPr>
      <w:rFonts w:eastAsiaTheme="minorEastAsia"/>
      <w:noProof/>
    </w:r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hAnchor="page" w:x="1821" w:y="2317"/>
      <w:spacing w:before="120" w:after="160"/>
      <w:jc w:val="left"/>
    </w:pPr>
    <w:rPr>
      <w:caps w:val="0"/>
      <w:sz w:val="34"/>
    </w:rPr>
  </w:style>
  <w:style w:type="character" w:styleId="PlaceholderText">
    <w:name w:val="Placeholder Text"/>
    <w:basedOn w:val="DefaultParagraphFont"/>
    <w:uiPriority w:val="99"/>
    <w:semiHidden/>
    <w:rsid w:val="00D631AA"/>
    <w:rPr>
      <w:color w:val="666666"/>
    </w:rPr>
  </w:style>
  <w:style w:type="character" w:customStyle="1" w:styleId="FootnoteTextChar">
    <w:name w:val="Footnote Text Char"/>
    <w:basedOn w:val="DefaultParagraphFont"/>
    <w:link w:val="FootnoteText"/>
    <w:uiPriority w:val="99"/>
    <w:rsid w:val="00345F30"/>
    <w:rPr>
      <w:rFonts w:ascii="Calibri" w:hAnsi="Calibri"/>
      <w:lang w:val="en-GB" w:eastAsia="en-US"/>
    </w:rPr>
  </w:style>
  <w:style w:type="paragraph" w:styleId="ListParagraph">
    <w:name w:val="List Paragraph"/>
    <w:aliases w:val="titre,Listenabsatz Standard,List Paragraph (numbered (a)),WB Para,List Paragraph1,Bullets,Lapis Bulleted List,Dot pt,F5 List Paragraph,No Spacing1,List Paragraph Char Char Char,Indicator Text,Numbered Para 1,Bullet 1,List Paragraph12,L"/>
    <w:basedOn w:val="Normal"/>
    <w:link w:val="ListParagraphChar"/>
    <w:uiPriority w:val="34"/>
    <w:qFormat/>
    <w:rsid w:val="00345F30"/>
    <w:pPr>
      <w:tabs>
        <w:tab w:val="clear" w:pos="794"/>
        <w:tab w:val="clear" w:pos="1191"/>
        <w:tab w:val="clear" w:pos="1588"/>
        <w:tab w:val="clear" w:pos="1985"/>
        <w:tab w:val="left" w:pos="567"/>
        <w:tab w:val="left" w:pos="1134"/>
        <w:tab w:val="left" w:pos="1701"/>
        <w:tab w:val="left" w:pos="2268"/>
        <w:tab w:val="left" w:pos="2835"/>
      </w:tabs>
      <w:ind w:left="720"/>
      <w:contextualSpacing/>
    </w:pPr>
    <w:rPr>
      <w:sz w:val="24"/>
    </w:rPr>
  </w:style>
  <w:style w:type="character" w:customStyle="1" w:styleId="ListParagraphChar">
    <w:name w:val="List Paragraph Char"/>
    <w:aliases w:val="titre Char,Listenabsatz Standard Char,List Paragraph (numbered (a)) Char,WB Para Char,List Paragraph1 Char,Bullets Char,Lapis Bulleted List Char,Dot pt Char,F5 List Paragraph Char,No Spacing1 Char,List Paragraph Char Char Char Char"/>
    <w:basedOn w:val="DefaultParagraphFont"/>
    <w:link w:val="ListParagraph"/>
    <w:uiPriority w:val="34"/>
    <w:locked/>
    <w:rsid w:val="00345F3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ties/Documents/Financial-regulations/S-GEN-REG_RGTFIN-2022-PDF-R.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itu.int/en/council/Pages/form-internal-audit.asp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thei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dometo\AppData\Roaming\Microsoft\Templates\POOL%20R%20-%20ITU\GS\PR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6CEBE-99F5-4187-8A1C-24882AF2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PR_Council25.dotx</Template>
  <TotalTime>7</TotalTime>
  <Pages>5</Pages>
  <Words>1128</Words>
  <Characters>7678</Characters>
  <Application>Microsoft Office Word</Application>
  <DocSecurity>0</DocSecurity>
  <Lines>138</Lines>
  <Paragraphs>45</Paragraphs>
  <ScaleCrop>false</ScaleCrop>
  <HeadingPairs>
    <vt:vector size="2" baseType="variant">
      <vt:variant>
        <vt:lpstr>Title</vt:lpstr>
      </vt:variant>
      <vt:variant>
        <vt:i4>1</vt:i4>
      </vt:variant>
    </vt:vector>
  </HeadingPairs>
  <TitlesOfParts>
    <vt:vector size="1" baseType="lpstr">
      <vt:lpstr>Report from the Oversight Unit's internal audit function</vt:lpstr>
    </vt:vector>
  </TitlesOfParts>
  <Manager>General Secretariat - Pool</Manager>
  <Company>International Telecommunication Union (ITU)</Company>
  <LinksUpToDate>false</LinksUpToDate>
  <CharactersWithSpaces>8762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Oversight Unit's internal audit function</dc:title>
  <dc:subject>ITU Council 2025</dc:subject>
  <cp:keywords>C2025, C25, Council-25</cp:keywords>
  <dc:description/>
  <cp:lastPrinted>2006-03-28T16:12:00Z</cp:lastPrinted>
  <dcterms:created xsi:type="dcterms:W3CDTF">2025-06-09T14:11:00Z</dcterms:created>
  <dcterms:modified xsi:type="dcterms:W3CDTF">2025-06-09T14:18:00Z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