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C0458D" w14:paraId="3E1C2769" w14:textId="77777777" w:rsidTr="5C35425E">
        <w:trPr>
          <w:cantSplit/>
          <w:trHeight w:val="23"/>
        </w:trPr>
        <w:tc>
          <w:tcPr>
            <w:tcW w:w="3969" w:type="dxa"/>
            <w:vMerge w:val="restart"/>
            <w:tcMar>
              <w:left w:w="0" w:type="dxa"/>
            </w:tcMar>
          </w:tcPr>
          <w:p w14:paraId="7147B863" w14:textId="7F5E2112" w:rsidR="00AD3606" w:rsidRPr="00C0458D"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D577AC">
              <w:rPr>
                <w:b/>
              </w:rPr>
              <w:t>ADM 2</w:t>
            </w:r>
          </w:p>
        </w:tc>
        <w:tc>
          <w:tcPr>
            <w:tcW w:w="5245" w:type="dxa"/>
          </w:tcPr>
          <w:p w14:paraId="6779937E" w14:textId="39D1BFF0" w:rsidR="00AD3606" w:rsidRPr="00C0458D" w:rsidRDefault="1E0C9B40" w:rsidP="5C35425E">
            <w:pPr>
              <w:tabs>
                <w:tab w:val="left" w:pos="851"/>
              </w:tabs>
              <w:spacing w:before="0" w:line="240" w:lineRule="atLeast"/>
              <w:jc w:val="right"/>
              <w:rPr>
                <w:b/>
                <w:bCs/>
              </w:rPr>
            </w:pPr>
            <w:r w:rsidRPr="5C35425E">
              <w:rPr>
                <w:b/>
                <w:bCs/>
              </w:rPr>
              <w:t>Document C2</w:t>
            </w:r>
            <w:r w:rsidR="0A9102EB" w:rsidRPr="5C35425E">
              <w:rPr>
                <w:b/>
                <w:bCs/>
              </w:rPr>
              <w:t>5</w:t>
            </w:r>
            <w:r w:rsidRPr="5C35425E">
              <w:rPr>
                <w:b/>
                <w:bCs/>
              </w:rPr>
              <w:t>/</w:t>
            </w:r>
            <w:r w:rsidR="657E5BC8" w:rsidRPr="5C35425E">
              <w:rPr>
                <w:b/>
                <w:bCs/>
              </w:rPr>
              <w:t>44</w:t>
            </w:r>
            <w:r w:rsidRPr="5C35425E">
              <w:rPr>
                <w:b/>
                <w:bCs/>
              </w:rPr>
              <w:t>-E</w:t>
            </w:r>
          </w:p>
        </w:tc>
      </w:tr>
      <w:tr w:rsidR="00AD3606" w:rsidRPr="00C0458D" w14:paraId="3E3F9DA5" w14:textId="77777777" w:rsidTr="5C35425E">
        <w:trPr>
          <w:cantSplit/>
        </w:trPr>
        <w:tc>
          <w:tcPr>
            <w:tcW w:w="3969" w:type="dxa"/>
            <w:vMerge/>
          </w:tcPr>
          <w:p w14:paraId="5920AA6E" w14:textId="77777777" w:rsidR="00AD3606" w:rsidRPr="00C0458D" w:rsidRDefault="00AD3606" w:rsidP="00AD3606">
            <w:pPr>
              <w:tabs>
                <w:tab w:val="left" w:pos="851"/>
              </w:tabs>
              <w:spacing w:line="240" w:lineRule="atLeast"/>
              <w:rPr>
                <w:b/>
              </w:rPr>
            </w:pPr>
            <w:bookmarkStart w:id="6" w:name="ddate" w:colFirst="1" w:colLast="1"/>
            <w:bookmarkEnd w:id="0"/>
            <w:bookmarkEnd w:id="1"/>
          </w:p>
        </w:tc>
        <w:tc>
          <w:tcPr>
            <w:tcW w:w="5245" w:type="dxa"/>
          </w:tcPr>
          <w:p w14:paraId="55371C25" w14:textId="72929ACA" w:rsidR="00AD3606" w:rsidRPr="00C0458D" w:rsidRDefault="009A5B97" w:rsidP="00AD3606">
            <w:pPr>
              <w:tabs>
                <w:tab w:val="left" w:pos="851"/>
              </w:tabs>
              <w:spacing w:before="0"/>
              <w:jc w:val="right"/>
              <w:rPr>
                <w:b/>
              </w:rPr>
            </w:pPr>
            <w:r>
              <w:rPr>
                <w:b/>
              </w:rPr>
              <w:t>19 May</w:t>
            </w:r>
            <w:r w:rsidR="0011532E">
              <w:rPr>
                <w:b/>
              </w:rPr>
              <w:t xml:space="preserve"> 2025</w:t>
            </w:r>
          </w:p>
        </w:tc>
      </w:tr>
      <w:tr w:rsidR="00AD3606" w:rsidRPr="00C0458D" w14:paraId="75730376" w14:textId="77777777" w:rsidTr="5C35425E">
        <w:trPr>
          <w:cantSplit/>
          <w:trHeight w:val="23"/>
        </w:trPr>
        <w:tc>
          <w:tcPr>
            <w:tcW w:w="3969" w:type="dxa"/>
            <w:vMerge/>
          </w:tcPr>
          <w:p w14:paraId="298F937E" w14:textId="77777777" w:rsidR="00AD3606" w:rsidRPr="00C0458D" w:rsidRDefault="00AD3606" w:rsidP="00AD3606">
            <w:pPr>
              <w:tabs>
                <w:tab w:val="left" w:pos="851"/>
              </w:tabs>
              <w:spacing w:line="240" w:lineRule="atLeast"/>
              <w:rPr>
                <w:b/>
              </w:rPr>
            </w:pPr>
            <w:bookmarkStart w:id="7" w:name="dorlang" w:colFirst="1" w:colLast="1"/>
            <w:bookmarkEnd w:id="6"/>
          </w:p>
        </w:tc>
        <w:tc>
          <w:tcPr>
            <w:tcW w:w="5245" w:type="dxa"/>
          </w:tcPr>
          <w:p w14:paraId="041A065E" w14:textId="77777777" w:rsidR="00AD3606" w:rsidRPr="00C0458D" w:rsidRDefault="00AD3606" w:rsidP="00AD3606">
            <w:pPr>
              <w:tabs>
                <w:tab w:val="left" w:pos="851"/>
              </w:tabs>
              <w:spacing w:before="0" w:line="240" w:lineRule="atLeast"/>
              <w:jc w:val="right"/>
              <w:rPr>
                <w:b/>
              </w:rPr>
            </w:pPr>
            <w:r w:rsidRPr="00C0458D">
              <w:rPr>
                <w:b/>
              </w:rPr>
              <w:t>Original: English</w:t>
            </w:r>
          </w:p>
        </w:tc>
      </w:tr>
      <w:tr w:rsidR="00472BAD" w:rsidRPr="00C0458D" w14:paraId="14DA91C4" w14:textId="77777777" w:rsidTr="5C35425E">
        <w:trPr>
          <w:cantSplit/>
          <w:trHeight w:val="23"/>
        </w:trPr>
        <w:tc>
          <w:tcPr>
            <w:tcW w:w="3969" w:type="dxa"/>
          </w:tcPr>
          <w:p w14:paraId="5858B25D" w14:textId="77777777" w:rsidR="00472BAD" w:rsidRPr="00C0458D" w:rsidRDefault="00472BAD" w:rsidP="00AD3606">
            <w:pPr>
              <w:tabs>
                <w:tab w:val="left" w:pos="851"/>
              </w:tabs>
              <w:spacing w:line="240" w:lineRule="atLeast"/>
              <w:rPr>
                <w:b/>
              </w:rPr>
            </w:pPr>
          </w:p>
        </w:tc>
        <w:tc>
          <w:tcPr>
            <w:tcW w:w="5245" w:type="dxa"/>
          </w:tcPr>
          <w:p w14:paraId="5DBF7439" w14:textId="77777777" w:rsidR="00472BAD" w:rsidRPr="00C0458D" w:rsidRDefault="00472BAD" w:rsidP="00AD3606">
            <w:pPr>
              <w:tabs>
                <w:tab w:val="left" w:pos="851"/>
              </w:tabs>
              <w:spacing w:before="0" w:line="240" w:lineRule="atLeast"/>
              <w:jc w:val="right"/>
              <w:rPr>
                <w:b/>
              </w:rPr>
            </w:pPr>
          </w:p>
        </w:tc>
      </w:tr>
      <w:tr w:rsidR="00AD3606" w:rsidRPr="00C0458D" w14:paraId="2481FF59" w14:textId="77777777" w:rsidTr="5C35425E">
        <w:trPr>
          <w:cantSplit/>
        </w:trPr>
        <w:tc>
          <w:tcPr>
            <w:tcW w:w="9214" w:type="dxa"/>
            <w:gridSpan w:val="2"/>
            <w:tcMar>
              <w:left w:w="0" w:type="dxa"/>
            </w:tcMar>
          </w:tcPr>
          <w:p w14:paraId="2016C4A0" w14:textId="77777777" w:rsidR="00AD3606" w:rsidRPr="000F7289" w:rsidRDefault="00AD3606" w:rsidP="000F7289">
            <w:pPr>
              <w:pStyle w:val="Source"/>
              <w:framePr w:hSpace="0" w:wrap="auto" w:vAnchor="margin" w:hAnchor="text" w:xAlign="left" w:yAlign="inline"/>
            </w:pPr>
            <w:bookmarkStart w:id="8" w:name="dsource" w:colFirst="0" w:colLast="0"/>
            <w:bookmarkEnd w:id="7"/>
            <w:r w:rsidRPr="000F7289">
              <w:t>Report by the Secretary-General</w:t>
            </w:r>
          </w:p>
        </w:tc>
      </w:tr>
      <w:tr w:rsidR="00AD3606" w:rsidRPr="00C0458D" w14:paraId="3A759762" w14:textId="77777777" w:rsidTr="5C35425E">
        <w:trPr>
          <w:cantSplit/>
        </w:trPr>
        <w:tc>
          <w:tcPr>
            <w:tcW w:w="9214" w:type="dxa"/>
            <w:gridSpan w:val="2"/>
            <w:tcMar>
              <w:left w:w="0" w:type="dxa"/>
            </w:tcMar>
          </w:tcPr>
          <w:p w14:paraId="2A2DCF47" w14:textId="2902F3CC" w:rsidR="00AD3606" w:rsidRPr="000F7289" w:rsidRDefault="00C42756" w:rsidP="000F7289">
            <w:pPr>
              <w:pStyle w:val="Subtitle"/>
              <w:framePr w:hSpace="0" w:wrap="auto" w:xAlign="left" w:yAlign="inline"/>
            </w:pPr>
            <w:bookmarkStart w:id="9" w:name="_Hlk193726740"/>
            <w:bookmarkStart w:id="10" w:name="dtitle1" w:colFirst="0" w:colLast="0"/>
            <w:bookmarkEnd w:id="8"/>
            <w:r w:rsidRPr="00C42756">
              <w:t>REPORT FROM THE OVERSIGHT UNIT'S INTERNAL AUDIT FUNCTION</w:t>
            </w:r>
            <w:bookmarkEnd w:id="9"/>
          </w:p>
        </w:tc>
      </w:tr>
      <w:tr w:rsidR="00AD3606" w:rsidRPr="00C0458D" w14:paraId="72B25568" w14:textId="77777777" w:rsidTr="5C35425E">
        <w:trPr>
          <w:cantSplit/>
        </w:trPr>
        <w:tc>
          <w:tcPr>
            <w:tcW w:w="9214" w:type="dxa"/>
            <w:gridSpan w:val="2"/>
            <w:tcBorders>
              <w:top w:val="single" w:sz="4" w:space="0" w:color="auto"/>
              <w:bottom w:val="single" w:sz="4" w:space="0" w:color="auto"/>
            </w:tcBorders>
            <w:tcMar>
              <w:left w:w="0" w:type="dxa"/>
            </w:tcMar>
          </w:tcPr>
          <w:p w14:paraId="4C3D541B" w14:textId="1024FD2F" w:rsidR="00AD3606" w:rsidRPr="00C0458D" w:rsidRDefault="00F16BAB" w:rsidP="00F16BAB">
            <w:pPr>
              <w:spacing w:before="160"/>
              <w:rPr>
                <w:b/>
                <w:bCs/>
                <w:sz w:val="26"/>
                <w:szCs w:val="26"/>
              </w:rPr>
            </w:pPr>
            <w:r w:rsidRPr="00C0458D">
              <w:rPr>
                <w:b/>
                <w:bCs/>
                <w:sz w:val="26"/>
                <w:szCs w:val="26"/>
              </w:rPr>
              <w:t>Purpose</w:t>
            </w:r>
          </w:p>
          <w:p w14:paraId="67D070EA" w14:textId="37C8BE4C" w:rsidR="00AD3606" w:rsidRPr="00C0458D" w:rsidRDefault="001C7BF9" w:rsidP="000101DF">
            <w:r w:rsidRPr="0019270A">
              <w:t xml:space="preserve">This report covers the </w:t>
            </w:r>
            <w:r>
              <w:t xml:space="preserve">internal audit </w:t>
            </w:r>
            <w:r w:rsidRPr="0019270A">
              <w:t xml:space="preserve">activities for the period from </w:t>
            </w:r>
            <w:r>
              <w:t>April 2024 to March 2025</w:t>
            </w:r>
            <w:r w:rsidRPr="0019270A">
              <w:t>.</w:t>
            </w:r>
          </w:p>
          <w:p w14:paraId="4288AA6F" w14:textId="77777777" w:rsidR="00AD3606" w:rsidRDefault="00AD3606" w:rsidP="00F16BAB">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0FFF2D9B" w14:textId="14A2BAA3" w:rsidR="00722551" w:rsidRDefault="001C7BF9" w:rsidP="000101DF">
            <w:r w:rsidRPr="009A3EA6">
              <w:rPr>
                <w:color w:val="000000"/>
                <w:szCs w:val="24"/>
              </w:rPr>
              <w:t>The Council is invited to</w:t>
            </w:r>
            <w:r w:rsidRPr="009A3EA6">
              <w:rPr>
                <w:b/>
                <w:bCs/>
                <w:color w:val="000000"/>
                <w:szCs w:val="24"/>
              </w:rPr>
              <w:t xml:space="preserve"> take note </w:t>
            </w:r>
            <w:r w:rsidRPr="009A3EA6">
              <w:rPr>
                <w:color w:val="000000"/>
                <w:szCs w:val="24"/>
              </w:rPr>
              <w:t>of the Report.</w:t>
            </w:r>
          </w:p>
          <w:p w14:paraId="4B855F83" w14:textId="7E0F2BB7" w:rsidR="00722551" w:rsidRDefault="00722551" w:rsidP="00722551">
            <w:pPr>
              <w:spacing w:before="160"/>
              <w:rPr>
                <w:b/>
                <w:bCs/>
                <w:sz w:val="26"/>
                <w:szCs w:val="26"/>
              </w:rPr>
            </w:pPr>
            <w:r>
              <w:rPr>
                <w:b/>
                <w:bCs/>
                <w:sz w:val="26"/>
                <w:szCs w:val="26"/>
              </w:rPr>
              <w:t>Relevant link</w:t>
            </w:r>
            <w:r w:rsidR="004B25A1">
              <w:rPr>
                <w:b/>
                <w:bCs/>
                <w:sz w:val="26"/>
                <w:szCs w:val="26"/>
              </w:rPr>
              <w:t>(s)</w:t>
            </w:r>
            <w:r>
              <w:rPr>
                <w:b/>
                <w:bCs/>
                <w:sz w:val="26"/>
                <w:szCs w:val="26"/>
              </w:rPr>
              <w:t xml:space="preserve"> with the Strategic Plan</w:t>
            </w:r>
          </w:p>
          <w:p w14:paraId="56ADF403" w14:textId="5618C925" w:rsidR="00722551" w:rsidRPr="00F16BAB" w:rsidRDefault="001C7BF9" w:rsidP="000101DF">
            <w:r w:rsidRPr="009A3EA6">
              <w:rPr>
                <w:color w:val="000000"/>
                <w:szCs w:val="24"/>
              </w:rPr>
              <w:t>Excellence in human resources and organizational innovation.</w:t>
            </w:r>
          </w:p>
          <w:p w14:paraId="6A77059B" w14:textId="270D1307" w:rsidR="00722551" w:rsidRDefault="00722551" w:rsidP="00722551">
            <w:pPr>
              <w:spacing w:before="160"/>
              <w:rPr>
                <w:b/>
                <w:bCs/>
                <w:sz w:val="26"/>
                <w:szCs w:val="26"/>
              </w:rPr>
            </w:pPr>
            <w:r>
              <w:rPr>
                <w:b/>
                <w:bCs/>
                <w:sz w:val="26"/>
                <w:szCs w:val="26"/>
              </w:rPr>
              <w:t>Financial implications</w:t>
            </w:r>
          </w:p>
          <w:p w14:paraId="731F0870" w14:textId="64BD74BC" w:rsidR="00453079" w:rsidRPr="00453079" w:rsidRDefault="001C7BF9" w:rsidP="00F16BAB">
            <w:pPr>
              <w:spacing w:before="160"/>
              <w:rPr>
                <w:szCs w:val="24"/>
              </w:rPr>
            </w:pPr>
            <w:r w:rsidRPr="00B52DEE">
              <w:rPr>
                <w:color w:val="000000" w:themeColor="text1"/>
              </w:rPr>
              <w:t>Within the allocated budget 2024-2025</w:t>
            </w:r>
            <w:r w:rsidR="00A3134F">
              <w:rPr>
                <w:color w:val="000000" w:themeColor="text1"/>
              </w:rPr>
              <w:t>.</w:t>
            </w:r>
          </w:p>
          <w:p w14:paraId="08939791" w14:textId="77777777" w:rsidR="00C0458D" w:rsidRDefault="00C0458D">
            <w:r>
              <w:t>_______________</w:t>
            </w:r>
          </w:p>
          <w:p w14:paraId="212A584A" w14:textId="77777777" w:rsidR="00AD3606" w:rsidRPr="00C0458D" w:rsidRDefault="00AD3606" w:rsidP="00F16BAB">
            <w:pPr>
              <w:spacing w:before="160"/>
              <w:rPr>
                <w:b/>
                <w:bCs/>
                <w:sz w:val="26"/>
                <w:szCs w:val="26"/>
              </w:rPr>
            </w:pPr>
            <w:r w:rsidRPr="00C0458D">
              <w:rPr>
                <w:b/>
                <w:bCs/>
                <w:sz w:val="26"/>
                <w:szCs w:val="26"/>
              </w:rPr>
              <w:t>References</w:t>
            </w:r>
          </w:p>
          <w:p w14:paraId="7089D4B7" w14:textId="12474738" w:rsidR="00AD3606" w:rsidRPr="00722551" w:rsidRDefault="001C7BF9" w:rsidP="00F16BAB">
            <w:pPr>
              <w:spacing w:after="160"/>
              <w:rPr>
                <w:i/>
                <w:iCs/>
                <w:sz w:val="22"/>
                <w:szCs w:val="22"/>
              </w:rPr>
            </w:pPr>
            <w:hyperlink r:id="rId11" w:history="1">
              <w:r w:rsidRPr="001A3C68">
                <w:rPr>
                  <w:rStyle w:val="Hyperlink"/>
                  <w:i/>
                  <w:iCs/>
                  <w:sz w:val="22"/>
                  <w:szCs w:val="22"/>
                </w:rPr>
                <w:t>ITU Financial Regulations and Financial Rules (2022), Article 29</w:t>
              </w:r>
            </w:hyperlink>
          </w:p>
        </w:tc>
      </w:tr>
    </w:tbl>
    <w:p w14:paraId="3E836A65" w14:textId="789BD566" w:rsidR="001C7BF9" w:rsidRDefault="001C7BF9">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10"/>
    </w:p>
    <w:p w14:paraId="0D56A970" w14:textId="77777777" w:rsidR="001C7BF9" w:rsidRDefault="001C7BF9">
      <w:pPr>
        <w:tabs>
          <w:tab w:val="clear" w:pos="567"/>
          <w:tab w:val="clear" w:pos="1134"/>
          <w:tab w:val="clear" w:pos="1701"/>
          <w:tab w:val="clear" w:pos="2268"/>
          <w:tab w:val="clear" w:pos="2835"/>
        </w:tabs>
        <w:overflowPunct/>
        <w:autoSpaceDE/>
        <w:autoSpaceDN/>
        <w:adjustRightInd/>
        <w:spacing w:before="0"/>
        <w:textAlignment w:val="auto"/>
      </w:pPr>
      <w:r>
        <w:br w:type="page"/>
      </w:r>
    </w:p>
    <w:bookmarkEnd w:id="3"/>
    <w:bookmarkEnd w:id="4"/>
    <w:p w14:paraId="740FA028" w14:textId="77777777" w:rsidR="00554463" w:rsidRPr="00F01F21" w:rsidRDefault="00554463" w:rsidP="004B61AE">
      <w:pPr>
        <w:pStyle w:val="Heading1"/>
        <w:keepNext w:val="0"/>
        <w:keepLines w:val="0"/>
        <w:tabs>
          <w:tab w:val="clear" w:pos="567"/>
          <w:tab w:val="clear" w:pos="1134"/>
          <w:tab w:val="clear" w:pos="1701"/>
          <w:tab w:val="clear" w:pos="2268"/>
          <w:tab w:val="clear" w:pos="2835"/>
        </w:tabs>
        <w:snapToGrid w:val="0"/>
        <w:spacing w:before="0" w:after="120"/>
        <w:ind w:left="0" w:firstLine="0"/>
        <w:rPr>
          <w:rFonts w:asciiTheme="minorHAnsi" w:hAnsiTheme="minorHAnsi" w:cstheme="minorHAnsi"/>
          <w:szCs w:val="28"/>
        </w:rPr>
      </w:pPr>
      <w:r w:rsidRPr="00F01F21">
        <w:rPr>
          <w:rFonts w:asciiTheme="minorHAnsi" w:hAnsiTheme="minorHAnsi" w:cstheme="minorHAnsi"/>
          <w:szCs w:val="28"/>
        </w:rPr>
        <w:lastRenderedPageBreak/>
        <w:t>Introduction</w:t>
      </w:r>
    </w:p>
    <w:p w14:paraId="168013B9" w14:textId="77777777" w:rsidR="00554463" w:rsidRDefault="00554463" w:rsidP="00554463">
      <w:pPr>
        <w:pStyle w:val="ListParagraph"/>
        <w:numPr>
          <w:ilvl w:val="0"/>
          <w:numId w:val="2"/>
        </w:numPr>
        <w:adjustRightInd w:val="0"/>
        <w:snapToGrid w:val="0"/>
        <w:spacing w:before="120" w:after="120" w:line="240" w:lineRule="auto"/>
        <w:ind w:left="0" w:firstLine="0"/>
        <w:contextualSpacing w:val="0"/>
        <w:jc w:val="both"/>
        <w:rPr>
          <w:rFonts w:cstheme="minorHAnsi"/>
          <w:sz w:val="24"/>
          <w:szCs w:val="24"/>
        </w:rPr>
      </w:pPr>
      <w:r w:rsidRPr="00CA57BA">
        <w:rPr>
          <w:rFonts w:cstheme="minorHAnsi"/>
          <w:sz w:val="24"/>
          <w:szCs w:val="24"/>
        </w:rPr>
        <w:t xml:space="preserve">This report is transmitted to the ITU Council and conforms with Article 29 of the ITU Financial Regulations and Financial Rules (2022). In accordance with the ITU </w:t>
      </w:r>
      <w:r>
        <w:rPr>
          <w:rFonts w:cstheme="minorHAnsi"/>
          <w:sz w:val="24"/>
          <w:szCs w:val="24"/>
        </w:rPr>
        <w:t xml:space="preserve">Internal Oversight </w:t>
      </w:r>
      <w:proofErr w:type="gramStart"/>
      <w:r w:rsidRPr="00CA57BA">
        <w:rPr>
          <w:rFonts w:cstheme="minorHAnsi"/>
          <w:sz w:val="24"/>
          <w:szCs w:val="24"/>
        </w:rPr>
        <w:t>charter</w:t>
      </w:r>
      <w:proofErr w:type="gramEnd"/>
      <w:r w:rsidRPr="00CA57BA">
        <w:rPr>
          <w:rFonts w:cstheme="minorHAnsi"/>
          <w:sz w:val="24"/>
          <w:szCs w:val="24"/>
        </w:rPr>
        <w:t>,</w:t>
      </w:r>
      <w:r w:rsidRPr="00DE409E">
        <w:rPr>
          <w:vertAlign w:val="superscript"/>
        </w:rPr>
        <w:footnoteReference w:id="2"/>
      </w:r>
      <w:r w:rsidRPr="00DE409E">
        <w:rPr>
          <w:sz w:val="24"/>
          <w:szCs w:val="24"/>
          <w:vertAlign w:val="superscript"/>
        </w:rPr>
        <w:t xml:space="preserve"> </w:t>
      </w:r>
      <w:r w:rsidRPr="00CA57BA">
        <w:rPr>
          <w:rFonts w:cstheme="minorHAnsi"/>
          <w:sz w:val="24"/>
          <w:szCs w:val="24"/>
        </w:rPr>
        <w:t xml:space="preserve">this report is submitted to the Secretary-General and presented to the Council for </w:t>
      </w:r>
      <w:r w:rsidRPr="002A1FE5">
        <w:rPr>
          <w:rFonts w:cstheme="minorHAnsi"/>
          <w:spacing w:val="-2"/>
          <w:sz w:val="24"/>
          <w:szCs w:val="24"/>
        </w:rPr>
        <w:t>consideration. The current report covers activities for the period from April 2024 to March 2025.</w:t>
      </w:r>
    </w:p>
    <w:p w14:paraId="2504FB18" w14:textId="5D6060A5" w:rsidR="00554463" w:rsidRPr="00554463" w:rsidRDefault="4B06EC60" w:rsidP="5C35425E">
      <w:pPr>
        <w:pStyle w:val="ListParagraph"/>
        <w:numPr>
          <w:ilvl w:val="0"/>
          <w:numId w:val="2"/>
        </w:numPr>
        <w:adjustRightInd w:val="0"/>
        <w:snapToGrid w:val="0"/>
        <w:spacing w:before="120" w:after="120" w:line="240" w:lineRule="auto"/>
        <w:ind w:left="0" w:firstLine="0"/>
        <w:jc w:val="both"/>
        <w:rPr>
          <w:sz w:val="24"/>
          <w:szCs w:val="24"/>
        </w:rPr>
      </w:pPr>
      <w:r w:rsidRPr="5C32450B">
        <w:rPr>
          <w:rFonts w:ascii="Calibri" w:eastAsia="Calibri" w:hAnsi="Calibri" w:cs="Calibri"/>
          <w:color w:val="000000" w:themeColor="text1"/>
          <w:sz w:val="24"/>
          <w:szCs w:val="24"/>
        </w:rPr>
        <w:t xml:space="preserve">Following the Council 2023 session, the </w:t>
      </w:r>
      <w:r w:rsidR="1BD386C9" w:rsidRPr="5C32450B">
        <w:rPr>
          <w:rFonts w:ascii="Calibri" w:hAnsi="Calibri" w:cs="Calibri"/>
          <w:color w:val="000000" w:themeColor="text1"/>
          <w:sz w:val="24"/>
          <w:szCs w:val="24"/>
        </w:rPr>
        <w:t xml:space="preserve">Oversight Unit was created by Secretary-General’s administrative Decision effective 1 September 2023. The Oversight Unit comprises three functions: internal audit, investigations, and evaluation. </w:t>
      </w:r>
      <w:r w:rsidR="1BD386C9" w:rsidRPr="5C32450B">
        <w:rPr>
          <w:sz w:val="24"/>
          <w:szCs w:val="24"/>
        </w:rPr>
        <w:t>For the reporting period, the Oversight Unit (OU) comprised five staff positions in the Professional and higher category: the Chief of Oversight (D1), a Senior Internal Auditor (P5), an Investigator/Auditor (P4), an Internal Auditor (P3), and another Internal Auditor (P2). The audit work is conducted by the P5, P3 and P2 under the overall supervision of the Chief of Oversight.</w:t>
      </w:r>
    </w:p>
    <w:p w14:paraId="31A15C25" w14:textId="45967A41" w:rsidR="00554463" w:rsidRPr="00A76EA9" w:rsidRDefault="00554463" w:rsidP="00554463">
      <w:pPr>
        <w:pStyle w:val="ListParagraph"/>
        <w:numPr>
          <w:ilvl w:val="0"/>
          <w:numId w:val="2"/>
        </w:numPr>
        <w:adjustRightInd w:val="0"/>
        <w:snapToGrid w:val="0"/>
        <w:spacing w:before="120" w:after="120" w:line="240" w:lineRule="auto"/>
        <w:ind w:left="0" w:firstLine="0"/>
        <w:contextualSpacing w:val="0"/>
        <w:jc w:val="both"/>
        <w:rPr>
          <w:lang w:val="en-GB"/>
        </w:rPr>
      </w:pPr>
      <w:r>
        <w:rPr>
          <w:rFonts w:cstheme="minorHAnsi"/>
          <w:sz w:val="24"/>
          <w:szCs w:val="24"/>
        </w:rPr>
        <w:t>OU</w:t>
      </w:r>
      <w:r w:rsidRPr="00CA57BA">
        <w:rPr>
          <w:rFonts w:cstheme="minorHAnsi"/>
          <w:sz w:val="24"/>
          <w:szCs w:val="24"/>
        </w:rPr>
        <w:t xml:space="preserve"> confirms that it conducts its audits in accordance with the International Standards for the Professional Practice of Internal Auditing and the Code of Ethics established by the Institute of Internal Auditors (IIA),</w:t>
      </w:r>
      <w:r w:rsidRPr="00CA57BA">
        <w:rPr>
          <w:sz w:val="24"/>
          <w:szCs w:val="24"/>
          <w:vertAlign w:val="superscript"/>
        </w:rPr>
        <w:footnoteReference w:id="3"/>
      </w:r>
      <w:r w:rsidRPr="00CA57BA">
        <w:rPr>
          <w:rFonts w:cstheme="minorHAnsi"/>
          <w:sz w:val="24"/>
          <w:szCs w:val="24"/>
        </w:rPr>
        <w:t xml:space="preserve"> as well as with the provisions of the ITU Internal </w:t>
      </w:r>
      <w:r>
        <w:rPr>
          <w:rFonts w:cstheme="minorHAnsi"/>
          <w:sz w:val="24"/>
          <w:szCs w:val="24"/>
        </w:rPr>
        <w:t xml:space="preserve">Oversight </w:t>
      </w:r>
      <w:r w:rsidR="00346021">
        <w:rPr>
          <w:rFonts w:cstheme="minorHAnsi"/>
          <w:sz w:val="24"/>
          <w:szCs w:val="24"/>
        </w:rPr>
        <w:t>C</w:t>
      </w:r>
      <w:r w:rsidRPr="00CA57BA">
        <w:rPr>
          <w:rFonts w:cstheme="minorHAnsi"/>
          <w:sz w:val="24"/>
          <w:szCs w:val="24"/>
        </w:rPr>
        <w:t xml:space="preserve">harter. In addition, </w:t>
      </w:r>
      <w:r>
        <w:rPr>
          <w:rFonts w:cstheme="minorHAnsi"/>
          <w:sz w:val="24"/>
          <w:szCs w:val="24"/>
        </w:rPr>
        <w:t>OU</w:t>
      </w:r>
      <w:r w:rsidRPr="00CA57BA">
        <w:rPr>
          <w:rFonts w:cstheme="minorHAnsi"/>
          <w:sz w:val="24"/>
          <w:szCs w:val="24"/>
        </w:rPr>
        <w:t xml:space="preserve"> confirms that, for the reporting period, its staff had no managerial authority over, nor responsibility for, any of the activities audited and did not perform accounting or operational functions within ITU</w:t>
      </w:r>
      <w:r w:rsidRPr="00A76EA9">
        <w:rPr>
          <w:rFonts w:cstheme="minorHAnsi"/>
          <w:sz w:val="24"/>
          <w:szCs w:val="24"/>
        </w:rPr>
        <w:t>.</w:t>
      </w:r>
    </w:p>
    <w:p w14:paraId="3CF89444" w14:textId="77777777" w:rsidR="00554463" w:rsidRPr="00A76EA9" w:rsidRDefault="00554463" w:rsidP="004B61AE">
      <w:pPr>
        <w:pStyle w:val="Heading1"/>
        <w:keepNext w:val="0"/>
        <w:keepLines w:val="0"/>
        <w:tabs>
          <w:tab w:val="clear" w:pos="567"/>
          <w:tab w:val="clear" w:pos="1134"/>
          <w:tab w:val="clear" w:pos="1701"/>
          <w:tab w:val="clear" w:pos="2268"/>
          <w:tab w:val="clear" w:pos="2835"/>
        </w:tabs>
        <w:snapToGrid w:val="0"/>
        <w:spacing w:before="240" w:after="120"/>
        <w:ind w:left="0" w:firstLine="0"/>
        <w:rPr>
          <w:rFonts w:asciiTheme="minorHAnsi" w:hAnsiTheme="minorHAnsi" w:cstheme="minorHAnsi"/>
          <w:szCs w:val="28"/>
          <w:lang w:val="en-CA"/>
        </w:rPr>
      </w:pPr>
      <w:r w:rsidRPr="00A76EA9">
        <w:rPr>
          <w:rFonts w:asciiTheme="minorHAnsi" w:hAnsiTheme="minorHAnsi" w:cstheme="minorHAnsi"/>
          <w:szCs w:val="28"/>
          <w:lang w:val="en-CA"/>
        </w:rPr>
        <w:t>Orientation and scope of internal audit activities</w:t>
      </w:r>
    </w:p>
    <w:p w14:paraId="275CC81A" w14:textId="0ECF4EFD" w:rsidR="00554463" w:rsidRPr="00A76EA9" w:rsidRDefault="00554463" w:rsidP="00554463">
      <w:pPr>
        <w:pStyle w:val="ListParagraph"/>
        <w:numPr>
          <w:ilvl w:val="0"/>
          <w:numId w:val="2"/>
        </w:numPr>
        <w:adjustRightInd w:val="0"/>
        <w:snapToGrid w:val="0"/>
        <w:spacing w:before="120" w:after="120" w:line="240" w:lineRule="auto"/>
        <w:ind w:left="0" w:firstLine="0"/>
        <w:contextualSpacing w:val="0"/>
        <w:jc w:val="both"/>
        <w:rPr>
          <w:rFonts w:cstheme="minorHAnsi"/>
          <w:sz w:val="24"/>
          <w:szCs w:val="24"/>
        </w:rPr>
      </w:pPr>
      <w:bookmarkStart w:id="12" w:name="_Hlk193184451"/>
      <w:r w:rsidRPr="00A76EA9">
        <w:rPr>
          <w:rFonts w:cstheme="minorHAnsi"/>
          <w:sz w:val="24"/>
          <w:szCs w:val="24"/>
        </w:rPr>
        <w:t>I</w:t>
      </w:r>
      <w:r w:rsidRPr="00A76EA9">
        <w:rPr>
          <w:rFonts w:cstheme="minorHAnsi"/>
          <w:sz w:val="24"/>
          <w:szCs w:val="24"/>
          <w:lang w:val="en-CA"/>
        </w:rPr>
        <w:t xml:space="preserve">n line with the Internal </w:t>
      </w:r>
      <w:r>
        <w:rPr>
          <w:rFonts w:cstheme="minorHAnsi"/>
          <w:sz w:val="24"/>
          <w:szCs w:val="24"/>
          <w:lang w:val="en-CA"/>
        </w:rPr>
        <w:t>Oversight</w:t>
      </w:r>
      <w:r w:rsidRPr="00A76EA9">
        <w:rPr>
          <w:rFonts w:cstheme="minorHAnsi"/>
          <w:sz w:val="24"/>
          <w:szCs w:val="24"/>
          <w:lang w:val="en-CA"/>
        </w:rPr>
        <w:t xml:space="preserve"> </w:t>
      </w:r>
      <w:r w:rsidR="00346021">
        <w:rPr>
          <w:rFonts w:cstheme="minorHAnsi"/>
          <w:sz w:val="24"/>
          <w:szCs w:val="24"/>
          <w:lang w:val="en-CA"/>
        </w:rPr>
        <w:t>C</w:t>
      </w:r>
      <w:r w:rsidRPr="00A76EA9">
        <w:rPr>
          <w:rFonts w:cstheme="minorHAnsi"/>
          <w:sz w:val="24"/>
          <w:szCs w:val="24"/>
          <w:lang w:val="en-CA"/>
        </w:rPr>
        <w:t>harter</w:t>
      </w:r>
      <w:bookmarkEnd w:id="12"/>
      <w:r w:rsidRPr="00A76EA9">
        <w:rPr>
          <w:rFonts w:cstheme="minorHAnsi"/>
          <w:sz w:val="24"/>
          <w:szCs w:val="24"/>
        </w:rPr>
        <w:t>, the 202</w:t>
      </w:r>
      <w:r>
        <w:rPr>
          <w:rFonts w:cstheme="minorHAnsi"/>
          <w:sz w:val="24"/>
          <w:szCs w:val="24"/>
        </w:rPr>
        <w:t>4</w:t>
      </w:r>
      <w:r w:rsidRPr="00A76EA9">
        <w:rPr>
          <w:rFonts w:cstheme="minorHAnsi"/>
          <w:sz w:val="24"/>
          <w:szCs w:val="24"/>
        </w:rPr>
        <w:t xml:space="preserve"> annual audit plan was reviewed by the Independent Management Advisory Committee (IMAC) at its </w:t>
      </w:r>
      <w:r w:rsidR="00666614">
        <w:rPr>
          <w:rFonts w:cstheme="minorHAnsi"/>
          <w:sz w:val="24"/>
          <w:szCs w:val="24"/>
        </w:rPr>
        <w:t>37</w:t>
      </w:r>
      <w:r w:rsidRPr="00554463">
        <w:rPr>
          <w:rFonts w:cstheme="minorHAnsi"/>
          <w:sz w:val="24"/>
          <w:szCs w:val="24"/>
          <w:vertAlign w:val="superscript"/>
        </w:rPr>
        <w:t>th</w:t>
      </w:r>
      <w:r>
        <w:rPr>
          <w:rFonts w:cstheme="minorHAnsi"/>
          <w:sz w:val="24"/>
          <w:szCs w:val="24"/>
        </w:rPr>
        <w:t xml:space="preserve"> </w:t>
      </w:r>
      <w:r w:rsidRPr="00A76EA9">
        <w:rPr>
          <w:rFonts w:cstheme="minorHAnsi"/>
          <w:sz w:val="24"/>
          <w:szCs w:val="24"/>
        </w:rPr>
        <w:t xml:space="preserve">meeting and was </w:t>
      </w:r>
      <w:r w:rsidRPr="00A76EA9">
        <w:rPr>
          <w:rFonts w:cstheme="minorHAnsi"/>
          <w:spacing w:val="-2"/>
          <w:sz w:val="24"/>
          <w:szCs w:val="24"/>
        </w:rPr>
        <w:t>approved by the Secretary-General</w:t>
      </w:r>
      <w:r w:rsidRPr="00A76EA9">
        <w:rPr>
          <w:rFonts w:cstheme="minorHAnsi"/>
          <w:sz w:val="24"/>
          <w:szCs w:val="24"/>
        </w:rPr>
        <w:t xml:space="preserve"> on </w:t>
      </w:r>
      <w:r w:rsidR="00666614">
        <w:rPr>
          <w:rFonts w:cstheme="minorHAnsi"/>
          <w:sz w:val="24"/>
          <w:szCs w:val="24"/>
        </w:rPr>
        <w:t>11</w:t>
      </w:r>
      <w:r>
        <w:rPr>
          <w:rFonts w:cstheme="minorHAnsi"/>
          <w:sz w:val="24"/>
          <w:szCs w:val="24"/>
        </w:rPr>
        <w:t xml:space="preserve"> January 202</w:t>
      </w:r>
      <w:r w:rsidR="00666614">
        <w:rPr>
          <w:rFonts w:cstheme="minorHAnsi"/>
          <w:sz w:val="24"/>
          <w:szCs w:val="24"/>
        </w:rPr>
        <w:t>4</w:t>
      </w:r>
      <w:r w:rsidRPr="00A76EA9">
        <w:rPr>
          <w:rFonts w:cstheme="minorHAnsi"/>
          <w:spacing w:val="-2"/>
          <w:sz w:val="24"/>
          <w:szCs w:val="24"/>
        </w:rPr>
        <w:t>.</w:t>
      </w:r>
    </w:p>
    <w:p w14:paraId="013596FB" w14:textId="631F5044" w:rsidR="00666614" w:rsidRPr="00A76EA9" w:rsidRDefault="00666614" w:rsidP="00666614">
      <w:pPr>
        <w:pStyle w:val="ListParagraph"/>
        <w:numPr>
          <w:ilvl w:val="0"/>
          <w:numId w:val="2"/>
        </w:numPr>
        <w:adjustRightInd w:val="0"/>
        <w:snapToGrid w:val="0"/>
        <w:spacing w:before="120" w:after="120" w:line="240" w:lineRule="auto"/>
        <w:ind w:left="0" w:firstLine="0"/>
        <w:jc w:val="both"/>
        <w:rPr>
          <w:sz w:val="24"/>
          <w:szCs w:val="24"/>
        </w:rPr>
      </w:pPr>
      <w:r w:rsidRPr="5AF44690">
        <w:rPr>
          <w:spacing w:val="-2"/>
          <w:sz w:val="24"/>
          <w:szCs w:val="24"/>
        </w:rPr>
        <w:t>OU</w:t>
      </w:r>
      <w:r w:rsidRPr="5AF44690">
        <w:rPr>
          <w:sz w:val="24"/>
          <w:szCs w:val="24"/>
        </w:rPr>
        <w:t xml:space="preserve"> systematically shares copies of internal audit reports with the ITU External Auditor and with IMAC. In accordance with § 5 of Article 29 of the Financial Regulations and Financial Rules</w:t>
      </w:r>
      <w:r>
        <w:rPr>
          <w:sz w:val="24"/>
          <w:szCs w:val="24"/>
        </w:rPr>
        <w:t xml:space="preserve"> (2022)</w:t>
      </w:r>
      <w:r w:rsidRPr="5AF44690">
        <w:rPr>
          <w:sz w:val="24"/>
          <w:szCs w:val="24"/>
        </w:rPr>
        <w:t xml:space="preserve">, final internal audit reports can be made available to Member States or their designated representatives. A facilitated mechanism for accessing internal audit reports has been in place since October 2015. During the reporting period, no requests for accessing internal audit reports were received via the </w:t>
      </w:r>
      <w:hyperlink r:id="rId12" w:history="1">
        <w:r w:rsidRPr="00183801">
          <w:rPr>
            <w:rStyle w:val="Hyperlink"/>
            <w:sz w:val="24"/>
            <w:szCs w:val="24"/>
          </w:rPr>
          <w:t>online mechanism</w:t>
        </w:r>
      </w:hyperlink>
      <w:r w:rsidRPr="5AF44690">
        <w:rPr>
          <w:sz w:val="24"/>
          <w:szCs w:val="24"/>
        </w:rPr>
        <w:t xml:space="preserve">. </w:t>
      </w:r>
    </w:p>
    <w:p w14:paraId="5E4E810A" w14:textId="77777777" w:rsidR="00D82A73" w:rsidRPr="00A76EA9" w:rsidRDefault="00D82A73" w:rsidP="004B61AE">
      <w:pPr>
        <w:pStyle w:val="Heading1"/>
        <w:tabs>
          <w:tab w:val="clear" w:pos="567"/>
          <w:tab w:val="clear" w:pos="1134"/>
          <w:tab w:val="clear" w:pos="1701"/>
          <w:tab w:val="clear" w:pos="2268"/>
          <w:tab w:val="clear" w:pos="2835"/>
        </w:tabs>
        <w:snapToGrid w:val="0"/>
        <w:spacing w:before="240" w:after="120"/>
        <w:ind w:left="0" w:firstLine="0"/>
        <w:jc w:val="both"/>
        <w:rPr>
          <w:rFonts w:asciiTheme="minorHAnsi" w:hAnsiTheme="minorHAnsi" w:cstheme="minorHAnsi"/>
          <w:szCs w:val="28"/>
          <w:lang w:val="en-CA"/>
        </w:rPr>
      </w:pPr>
      <w:r w:rsidRPr="00A76EA9">
        <w:rPr>
          <w:rFonts w:asciiTheme="minorHAnsi" w:hAnsiTheme="minorHAnsi" w:cstheme="minorHAnsi"/>
          <w:szCs w:val="28"/>
          <w:lang w:val="en-CA"/>
        </w:rPr>
        <w:t>Objectives and conclusions of the assurance engagements</w:t>
      </w:r>
    </w:p>
    <w:p w14:paraId="04B950C7" w14:textId="77777777" w:rsidR="00D82A73" w:rsidRPr="00CA57BA" w:rsidRDefault="00D82A73" w:rsidP="00D82A73">
      <w:pPr>
        <w:pStyle w:val="ListParagraph"/>
        <w:keepNext/>
        <w:keepLines/>
        <w:numPr>
          <w:ilvl w:val="0"/>
          <w:numId w:val="2"/>
        </w:numPr>
        <w:spacing w:before="120" w:after="120" w:line="240" w:lineRule="auto"/>
        <w:ind w:left="0" w:firstLine="0"/>
        <w:contextualSpacing w:val="0"/>
        <w:jc w:val="both"/>
      </w:pPr>
      <w:r w:rsidRPr="0013BF7E">
        <w:rPr>
          <w:sz w:val="24"/>
          <w:szCs w:val="24"/>
        </w:rPr>
        <w:t xml:space="preserve">The objectives of the assurance engagements are to assess: (i) governance aspects </w:t>
      </w:r>
      <w:r w:rsidRPr="0013BF7E">
        <w:rPr>
          <w:spacing w:val="-2"/>
          <w:sz w:val="24"/>
          <w:szCs w:val="24"/>
        </w:rPr>
        <w:t>of the Union’s operations audited; (ii) risk-management practices; and (iii) effectiveness of</w:t>
      </w:r>
      <w:r w:rsidRPr="0013BF7E">
        <w:rPr>
          <w:sz w:val="24"/>
          <w:szCs w:val="24"/>
        </w:rPr>
        <w:t xml:space="preserve"> (internal) controls. The priority of the recommendations resulting from the audit work is categorized according to the impact and likelihood of the deficiency (high, medium, low).</w:t>
      </w:r>
    </w:p>
    <w:p w14:paraId="545C843C" w14:textId="619A7FE4" w:rsidR="00D82A73" w:rsidRDefault="00D82A73" w:rsidP="00D82A73">
      <w:pPr>
        <w:pStyle w:val="ListParagraph"/>
        <w:numPr>
          <w:ilvl w:val="0"/>
          <w:numId w:val="2"/>
        </w:numPr>
        <w:adjustRightInd w:val="0"/>
        <w:snapToGrid w:val="0"/>
        <w:spacing w:before="120" w:after="120" w:line="240" w:lineRule="auto"/>
        <w:ind w:left="0" w:firstLine="0"/>
        <w:contextualSpacing w:val="0"/>
        <w:jc w:val="both"/>
        <w:rPr>
          <w:rFonts w:cstheme="minorHAnsi"/>
        </w:rPr>
      </w:pPr>
      <w:r w:rsidRPr="0013BF7E">
        <w:rPr>
          <w:sz w:val="24"/>
          <w:szCs w:val="24"/>
        </w:rPr>
        <w:t xml:space="preserve">The implementation of recommended actions is followed </w:t>
      </w:r>
      <w:proofErr w:type="gramStart"/>
      <w:r w:rsidRPr="0013BF7E">
        <w:rPr>
          <w:sz w:val="24"/>
          <w:szCs w:val="24"/>
        </w:rPr>
        <w:t>up on</w:t>
      </w:r>
      <w:proofErr w:type="gramEnd"/>
      <w:r w:rsidRPr="0013BF7E">
        <w:rPr>
          <w:sz w:val="24"/>
          <w:szCs w:val="24"/>
        </w:rPr>
        <w:t xml:space="preserve"> by OU as and when required. Since early 2021, a compliance dashboard </w:t>
      </w:r>
      <w:proofErr w:type="gramStart"/>
      <w:r w:rsidRPr="0013BF7E">
        <w:rPr>
          <w:sz w:val="24"/>
          <w:szCs w:val="24"/>
        </w:rPr>
        <w:t>is</w:t>
      </w:r>
      <w:proofErr w:type="gramEnd"/>
      <w:r w:rsidRPr="0013BF7E">
        <w:rPr>
          <w:sz w:val="24"/>
          <w:szCs w:val="24"/>
        </w:rPr>
        <w:t xml:space="preserve"> available Union-wide for that purpose</w:t>
      </w:r>
      <w:r w:rsidR="00346021">
        <w:rPr>
          <w:sz w:val="24"/>
          <w:szCs w:val="24"/>
        </w:rPr>
        <w:t xml:space="preserve">. The dashboard </w:t>
      </w:r>
      <w:r w:rsidRPr="0013BF7E">
        <w:rPr>
          <w:sz w:val="24"/>
          <w:szCs w:val="24"/>
        </w:rPr>
        <w:t>facilitates the tracking of</w:t>
      </w:r>
      <w:r w:rsidR="00346021">
        <w:rPr>
          <w:sz w:val="24"/>
          <w:szCs w:val="24"/>
        </w:rPr>
        <w:t xml:space="preserve"> the</w:t>
      </w:r>
      <w:r w:rsidRPr="0013BF7E">
        <w:rPr>
          <w:sz w:val="24"/>
          <w:szCs w:val="24"/>
        </w:rPr>
        <w:t xml:space="preserve"> implementation of recommendations for </w:t>
      </w:r>
      <w:r w:rsidR="00346021">
        <w:rPr>
          <w:sz w:val="24"/>
          <w:szCs w:val="24"/>
        </w:rPr>
        <w:t xml:space="preserve">the </w:t>
      </w:r>
      <w:r w:rsidRPr="0013BF7E">
        <w:rPr>
          <w:sz w:val="24"/>
          <w:szCs w:val="24"/>
        </w:rPr>
        <w:t xml:space="preserve">managers </w:t>
      </w:r>
      <w:r w:rsidR="00E20CD2" w:rsidRPr="0013BF7E">
        <w:rPr>
          <w:sz w:val="24"/>
          <w:szCs w:val="24"/>
        </w:rPr>
        <w:t>concerned</w:t>
      </w:r>
      <w:r w:rsidR="00E20CD2">
        <w:rPr>
          <w:sz w:val="24"/>
          <w:szCs w:val="24"/>
        </w:rPr>
        <w:t xml:space="preserve"> yet</w:t>
      </w:r>
      <w:r w:rsidRPr="0013BF7E">
        <w:rPr>
          <w:sz w:val="24"/>
          <w:szCs w:val="24"/>
        </w:rPr>
        <w:t xml:space="preserve"> does not relieve OU’s responsibility to follow up on its recommendations, as per IIA Global Internal Audit Standard 15.2</w:t>
      </w:r>
      <w:r w:rsidR="00346021">
        <w:rPr>
          <w:sz w:val="24"/>
          <w:szCs w:val="24"/>
        </w:rPr>
        <w:t>.</w:t>
      </w:r>
      <w:r w:rsidRPr="00DE409E">
        <w:rPr>
          <w:vertAlign w:val="superscript"/>
        </w:rPr>
        <w:footnoteReference w:id="4"/>
      </w:r>
      <w:r w:rsidRPr="0013BF7E">
        <w:rPr>
          <w:sz w:val="24"/>
          <w:szCs w:val="24"/>
        </w:rPr>
        <w:t xml:space="preserve"> A separate information </w:t>
      </w:r>
      <w:r w:rsidRPr="0013BF7E">
        <w:rPr>
          <w:sz w:val="24"/>
          <w:szCs w:val="24"/>
        </w:rPr>
        <w:lastRenderedPageBreak/>
        <w:t>document (</w:t>
      </w:r>
      <w:hyperlink r:id="rId13" w:history="1">
        <w:r w:rsidR="00382F18" w:rsidRPr="00C56CCC">
          <w:rPr>
            <w:rStyle w:val="Hyperlink"/>
            <w:sz w:val="24"/>
            <w:szCs w:val="24"/>
          </w:rPr>
          <w:t>C25/INF/</w:t>
        </w:r>
        <w:r w:rsidR="00F06F6A" w:rsidRPr="00C56CCC">
          <w:rPr>
            <w:rStyle w:val="Hyperlink"/>
            <w:sz w:val="24"/>
            <w:szCs w:val="24"/>
          </w:rPr>
          <w:t>1</w:t>
        </w:r>
      </w:hyperlink>
      <w:r w:rsidRPr="0013BF7E">
        <w:rPr>
          <w:sz w:val="24"/>
          <w:szCs w:val="24"/>
        </w:rPr>
        <w:t>) is submitted to the 202</w:t>
      </w:r>
      <w:r w:rsidR="00382F18">
        <w:rPr>
          <w:sz w:val="24"/>
          <w:szCs w:val="24"/>
        </w:rPr>
        <w:t>5</w:t>
      </w:r>
      <w:r w:rsidRPr="0013BF7E">
        <w:rPr>
          <w:sz w:val="24"/>
          <w:szCs w:val="24"/>
        </w:rPr>
        <w:t xml:space="preserve"> session of the Council to reflect</w:t>
      </w:r>
      <w:r w:rsidR="00346021">
        <w:rPr>
          <w:sz w:val="24"/>
          <w:szCs w:val="24"/>
        </w:rPr>
        <w:t xml:space="preserve"> the</w:t>
      </w:r>
      <w:r w:rsidRPr="0013BF7E">
        <w:rPr>
          <w:sz w:val="24"/>
          <w:szCs w:val="24"/>
        </w:rPr>
        <w:t xml:space="preserve"> follow-up on internal audit </w:t>
      </w:r>
      <w:r w:rsidRPr="0013BF7E">
        <w:rPr>
          <w:spacing w:val="-2"/>
          <w:sz w:val="24"/>
          <w:szCs w:val="24"/>
        </w:rPr>
        <w:t>recommendations and on forensic audit recommendations</w:t>
      </w:r>
      <w:r w:rsidR="00382F18">
        <w:rPr>
          <w:spacing w:val="-2"/>
          <w:sz w:val="24"/>
          <w:szCs w:val="24"/>
        </w:rPr>
        <w:t>.</w:t>
      </w:r>
      <w:r w:rsidRPr="0013BF7E">
        <w:rPr>
          <w:sz w:val="24"/>
          <w:szCs w:val="24"/>
        </w:rPr>
        <w:t xml:space="preserve"> </w:t>
      </w:r>
    </w:p>
    <w:p w14:paraId="7C49D67F" w14:textId="35AA79A9" w:rsidR="00D82A73" w:rsidRPr="00E30743" w:rsidRDefault="00D82A73" w:rsidP="00D82A73">
      <w:pPr>
        <w:tabs>
          <w:tab w:val="clear" w:pos="567"/>
          <w:tab w:val="clear" w:pos="1134"/>
          <w:tab w:val="clear" w:pos="1701"/>
          <w:tab w:val="clear" w:pos="2268"/>
          <w:tab w:val="clear" w:pos="2835"/>
        </w:tabs>
        <w:snapToGrid w:val="0"/>
        <w:spacing w:before="240"/>
        <w:jc w:val="both"/>
        <w:rPr>
          <w:rFonts w:asciiTheme="minorHAnsi" w:hAnsiTheme="minorHAnsi" w:cstheme="minorHAnsi"/>
          <w:i/>
          <w:iCs/>
          <w:szCs w:val="24"/>
        </w:rPr>
      </w:pPr>
      <w:r w:rsidRPr="00E30743">
        <w:rPr>
          <w:rFonts w:asciiTheme="minorHAnsi" w:hAnsiTheme="minorHAnsi" w:cstheme="minorHAnsi"/>
          <w:i/>
          <w:iCs/>
          <w:szCs w:val="24"/>
        </w:rPr>
        <w:t xml:space="preserve">The following assurance engagements </w:t>
      </w:r>
      <w:r w:rsidR="00067709">
        <w:rPr>
          <w:rFonts w:asciiTheme="minorHAnsi" w:hAnsiTheme="minorHAnsi" w:cstheme="minorHAnsi"/>
          <w:i/>
          <w:iCs/>
          <w:szCs w:val="24"/>
        </w:rPr>
        <w:t>were</w:t>
      </w:r>
      <w:r w:rsidRPr="00E30743">
        <w:rPr>
          <w:rFonts w:asciiTheme="minorHAnsi" w:hAnsiTheme="minorHAnsi" w:cstheme="minorHAnsi"/>
          <w:i/>
          <w:iCs/>
          <w:szCs w:val="24"/>
        </w:rPr>
        <w:t xml:space="preserve"> conducted</w:t>
      </w:r>
      <w:r w:rsidR="001C7BF9">
        <w:rPr>
          <w:rFonts w:asciiTheme="minorHAnsi" w:hAnsiTheme="minorHAnsi" w:cstheme="minorHAnsi"/>
          <w:i/>
          <w:iCs/>
          <w:szCs w:val="24"/>
        </w:rPr>
        <w:t xml:space="preserve"> and finalized</w:t>
      </w:r>
      <w:r w:rsidRPr="00E30743">
        <w:rPr>
          <w:rFonts w:asciiTheme="minorHAnsi" w:hAnsiTheme="minorHAnsi" w:cstheme="minorHAnsi"/>
          <w:i/>
          <w:iCs/>
          <w:szCs w:val="24"/>
        </w:rPr>
        <w:t>:</w:t>
      </w:r>
    </w:p>
    <w:p w14:paraId="37B6CB23" w14:textId="591C88BB" w:rsidR="00D82A73" w:rsidRPr="000E7BA2" w:rsidRDefault="0056682C" w:rsidP="00D82A73">
      <w:pPr>
        <w:pStyle w:val="FootnoteText"/>
        <w:keepLines w:val="0"/>
        <w:numPr>
          <w:ilvl w:val="0"/>
          <w:numId w:val="3"/>
        </w:numPr>
        <w:tabs>
          <w:tab w:val="clear" w:pos="284"/>
          <w:tab w:val="clear" w:pos="567"/>
          <w:tab w:val="clear" w:pos="1134"/>
          <w:tab w:val="clear" w:pos="1701"/>
          <w:tab w:val="clear" w:pos="2268"/>
          <w:tab w:val="clear" w:pos="2835"/>
        </w:tabs>
        <w:overflowPunct/>
        <w:autoSpaceDE/>
        <w:autoSpaceDN/>
        <w:snapToGrid w:val="0"/>
        <w:spacing w:before="240"/>
        <w:ind w:left="450" w:firstLine="0"/>
        <w:jc w:val="both"/>
        <w:textAlignment w:val="auto"/>
        <w:rPr>
          <w:rFonts w:asciiTheme="minorHAnsi" w:hAnsiTheme="minorHAnsi" w:cstheme="minorHAnsi"/>
          <w:sz w:val="24"/>
          <w:szCs w:val="24"/>
        </w:rPr>
      </w:pPr>
      <w:r w:rsidRPr="000E7BA2">
        <w:rPr>
          <w:rFonts w:asciiTheme="minorHAnsi" w:hAnsiTheme="minorHAnsi" w:cstheme="minorHAnsi"/>
          <w:b/>
          <w:i/>
          <w:sz w:val="24"/>
          <w:szCs w:val="24"/>
        </w:rPr>
        <w:t>Grant Management Module</w:t>
      </w:r>
      <w:r w:rsidR="000E7BA2" w:rsidRPr="000E7BA2">
        <w:rPr>
          <w:rFonts w:asciiTheme="minorHAnsi" w:hAnsiTheme="minorHAnsi" w:cstheme="minorHAnsi"/>
          <w:b/>
          <w:i/>
          <w:sz w:val="24"/>
          <w:szCs w:val="24"/>
        </w:rPr>
        <w:t xml:space="preserve"> </w:t>
      </w:r>
      <w:r w:rsidRPr="000E7BA2">
        <w:rPr>
          <w:rFonts w:asciiTheme="minorHAnsi" w:hAnsiTheme="minorHAnsi" w:cstheme="minorHAnsi"/>
          <w:b/>
          <w:i/>
          <w:sz w:val="24"/>
          <w:szCs w:val="24"/>
        </w:rPr>
        <w:t>assessment</w:t>
      </w:r>
    </w:p>
    <w:p w14:paraId="057904D6" w14:textId="4D1DB877" w:rsidR="0056682C" w:rsidRPr="000E7BA2" w:rsidRDefault="0056682C" w:rsidP="000E7BA2">
      <w:pPr>
        <w:pStyle w:val="ListParagraph"/>
        <w:numPr>
          <w:ilvl w:val="0"/>
          <w:numId w:val="2"/>
        </w:numPr>
        <w:adjustRightInd w:val="0"/>
        <w:snapToGrid w:val="0"/>
        <w:spacing w:before="120" w:after="120" w:line="240" w:lineRule="auto"/>
        <w:ind w:left="0" w:firstLine="0"/>
        <w:contextualSpacing w:val="0"/>
        <w:jc w:val="both"/>
        <w:rPr>
          <w:rFonts w:eastAsia="SimSun" w:cs="Arial"/>
          <w:sz w:val="24"/>
          <w:szCs w:val="24"/>
        </w:rPr>
      </w:pPr>
      <w:r w:rsidRPr="000E7BA2">
        <w:rPr>
          <w:rFonts w:eastAsia="SimSun" w:cs="Arial"/>
          <w:sz w:val="24"/>
          <w:szCs w:val="24"/>
        </w:rPr>
        <w:t xml:space="preserve">OU conducted, with the support of an external service provider, an assessment of the applicability of the SAP/Grant Management </w:t>
      </w:r>
      <w:r w:rsidR="00067709">
        <w:rPr>
          <w:rFonts w:eastAsia="SimSun" w:cs="Arial"/>
          <w:sz w:val="24"/>
          <w:szCs w:val="24"/>
        </w:rPr>
        <w:t>M</w:t>
      </w:r>
      <w:r w:rsidRPr="000E7BA2">
        <w:rPr>
          <w:rFonts w:eastAsia="SimSun" w:cs="Arial"/>
          <w:sz w:val="24"/>
          <w:szCs w:val="24"/>
        </w:rPr>
        <w:t>odule</w:t>
      </w:r>
      <w:r w:rsidR="000E7BA2" w:rsidRPr="000E7BA2">
        <w:rPr>
          <w:rFonts w:eastAsia="SimSun" w:cs="Arial"/>
          <w:sz w:val="24"/>
          <w:szCs w:val="24"/>
        </w:rPr>
        <w:t xml:space="preserve"> (GMM)</w:t>
      </w:r>
      <w:r w:rsidRPr="000E7BA2">
        <w:rPr>
          <w:rFonts w:eastAsia="SimSun" w:cs="Arial"/>
          <w:sz w:val="24"/>
          <w:szCs w:val="24"/>
        </w:rPr>
        <w:t xml:space="preserve">. The objectives were to </w:t>
      </w:r>
      <w:proofErr w:type="spellStart"/>
      <w:r w:rsidRPr="000E7BA2">
        <w:rPr>
          <w:rFonts w:eastAsia="SimSun" w:cs="Arial"/>
          <w:sz w:val="24"/>
          <w:szCs w:val="24"/>
        </w:rPr>
        <w:t>analy</w:t>
      </w:r>
      <w:r w:rsidR="004A07F6">
        <w:rPr>
          <w:rFonts w:eastAsia="SimSun" w:cs="Arial"/>
          <w:sz w:val="24"/>
          <w:szCs w:val="24"/>
        </w:rPr>
        <w:t>s</w:t>
      </w:r>
      <w:r w:rsidRPr="000E7BA2">
        <w:rPr>
          <w:rFonts w:eastAsia="SimSun" w:cs="Arial"/>
          <w:sz w:val="24"/>
          <w:szCs w:val="24"/>
        </w:rPr>
        <w:t>e</w:t>
      </w:r>
      <w:proofErr w:type="spellEnd"/>
      <w:r w:rsidRPr="000E7BA2">
        <w:rPr>
          <w:rFonts w:eastAsia="SimSun" w:cs="Arial"/>
          <w:sz w:val="24"/>
          <w:szCs w:val="24"/>
        </w:rPr>
        <w:t xml:space="preserve"> the current SAP-ERP </w:t>
      </w:r>
      <w:r w:rsidR="000E7BA2" w:rsidRPr="000E7BA2">
        <w:rPr>
          <w:rFonts w:eastAsia="SimSun" w:cs="Arial"/>
          <w:sz w:val="24"/>
          <w:szCs w:val="24"/>
        </w:rPr>
        <w:t>c</w:t>
      </w:r>
      <w:r w:rsidRPr="000E7BA2">
        <w:rPr>
          <w:rFonts w:eastAsia="SimSun" w:cs="Arial"/>
          <w:sz w:val="24"/>
          <w:szCs w:val="24"/>
        </w:rPr>
        <w:t xml:space="preserve">onfiguration and integration in relation to </w:t>
      </w:r>
      <w:r w:rsidR="000E7BA2" w:rsidRPr="000E7BA2">
        <w:rPr>
          <w:rFonts w:eastAsia="SimSun" w:cs="Arial"/>
          <w:sz w:val="24"/>
          <w:szCs w:val="24"/>
        </w:rPr>
        <w:t>g</w:t>
      </w:r>
      <w:r w:rsidRPr="000E7BA2">
        <w:rPr>
          <w:rFonts w:eastAsia="SimSun" w:cs="Arial"/>
          <w:sz w:val="24"/>
          <w:szCs w:val="24"/>
        </w:rPr>
        <w:t xml:space="preserve">rant management (Extrabudgetary projects and programmes), assess the degree of efficiency, reliability and effectiveness of the current methods used in relation to </w:t>
      </w:r>
      <w:r w:rsidR="00067709">
        <w:rPr>
          <w:rFonts w:eastAsia="SimSun" w:cs="Arial"/>
          <w:sz w:val="24"/>
          <w:szCs w:val="24"/>
        </w:rPr>
        <w:t>g</w:t>
      </w:r>
      <w:r w:rsidRPr="000E7BA2">
        <w:rPr>
          <w:rFonts w:eastAsia="SimSun" w:cs="Arial"/>
          <w:sz w:val="24"/>
          <w:szCs w:val="24"/>
        </w:rPr>
        <w:t xml:space="preserve">rant management (Extra-budgetary funds) and assess the added value related to the implementation of an SAP Grant </w:t>
      </w:r>
      <w:r w:rsidR="00067709">
        <w:rPr>
          <w:rFonts w:eastAsia="SimSun" w:cs="Arial"/>
          <w:sz w:val="24"/>
          <w:szCs w:val="24"/>
        </w:rPr>
        <w:t>M</w:t>
      </w:r>
      <w:r w:rsidRPr="000E7BA2">
        <w:rPr>
          <w:rFonts w:eastAsia="SimSun" w:cs="Arial"/>
          <w:sz w:val="24"/>
          <w:szCs w:val="24"/>
        </w:rPr>
        <w:t>anagement Module (Grantee Management (GM-GTE)).</w:t>
      </w:r>
    </w:p>
    <w:p w14:paraId="62D8702E" w14:textId="38459C94" w:rsidR="000E7BA2" w:rsidRPr="000E7BA2" w:rsidRDefault="000E7BA2" w:rsidP="000E7BA2">
      <w:pPr>
        <w:pStyle w:val="ListParagraph"/>
        <w:numPr>
          <w:ilvl w:val="0"/>
          <w:numId w:val="2"/>
        </w:numPr>
        <w:adjustRightInd w:val="0"/>
        <w:snapToGrid w:val="0"/>
        <w:spacing w:before="120" w:after="120" w:line="240" w:lineRule="auto"/>
        <w:ind w:left="0" w:firstLine="0"/>
        <w:contextualSpacing w:val="0"/>
        <w:jc w:val="both"/>
        <w:rPr>
          <w:rFonts w:eastAsia="SimSun" w:cs="Arial"/>
          <w:sz w:val="24"/>
          <w:szCs w:val="24"/>
        </w:rPr>
      </w:pPr>
      <w:r w:rsidRPr="000E7BA2">
        <w:rPr>
          <w:rFonts w:eastAsia="SimSun" w:cs="Arial"/>
          <w:sz w:val="24"/>
          <w:szCs w:val="24"/>
        </w:rPr>
        <w:t xml:space="preserve">The assessment found that </w:t>
      </w:r>
      <w:r w:rsidRPr="000E7BA2">
        <w:rPr>
          <w:rFonts w:eastAsia="SimSun" w:cs="Arial"/>
          <w:sz w:val="24"/>
          <w:szCs w:val="24"/>
          <w:lang w:val="en-GB"/>
        </w:rPr>
        <w:t>the link between SAP and the GMM, as currently designed, is sufficient to meet the needs for extrabudgetary reporting</w:t>
      </w:r>
      <w:r w:rsidR="00067709">
        <w:rPr>
          <w:rFonts w:eastAsia="SimSun" w:cs="Arial"/>
          <w:sz w:val="24"/>
          <w:szCs w:val="24"/>
          <w:lang w:val="en-GB"/>
        </w:rPr>
        <w:t>. H</w:t>
      </w:r>
      <w:r w:rsidRPr="000E7BA2">
        <w:rPr>
          <w:rFonts w:eastAsia="SimSun" w:cs="Arial"/>
          <w:sz w:val="24"/>
          <w:szCs w:val="24"/>
          <w:lang w:val="en-GB"/>
        </w:rPr>
        <w:t>owever</w:t>
      </w:r>
      <w:r w:rsidR="00060137">
        <w:rPr>
          <w:rFonts w:eastAsia="SimSun" w:cs="Arial"/>
          <w:sz w:val="24"/>
          <w:szCs w:val="24"/>
          <w:lang w:val="en-GB"/>
        </w:rPr>
        <w:t>,</w:t>
      </w:r>
      <w:r w:rsidRPr="000E7BA2">
        <w:rPr>
          <w:rFonts w:eastAsia="SimSun" w:cs="Arial"/>
          <w:sz w:val="24"/>
          <w:szCs w:val="24"/>
          <w:lang w:val="en-GB"/>
        </w:rPr>
        <w:t xml:space="preserve"> the system</w:t>
      </w:r>
      <w:r w:rsidR="00067709">
        <w:rPr>
          <w:rFonts w:eastAsia="SimSun" w:cs="Arial"/>
          <w:sz w:val="24"/>
          <w:szCs w:val="24"/>
          <w:lang w:val="en-GB"/>
        </w:rPr>
        <w:t>’</w:t>
      </w:r>
      <w:r w:rsidRPr="000E7BA2">
        <w:rPr>
          <w:rFonts w:eastAsia="SimSun" w:cs="Arial"/>
          <w:sz w:val="24"/>
          <w:szCs w:val="24"/>
          <w:lang w:val="en-GB"/>
        </w:rPr>
        <w:t>s capability has not been clearly communicated and training not provided to the users which has resulted in unnecessary additional processing. This issue found is a process and not a system issue. It was also found that the current grant management processes are not documented</w:t>
      </w:r>
      <w:r w:rsidR="00067709">
        <w:rPr>
          <w:rFonts w:eastAsia="SimSun" w:cs="Arial"/>
          <w:sz w:val="24"/>
          <w:szCs w:val="24"/>
          <w:lang w:val="en-GB"/>
        </w:rPr>
        <w:t>,</w:t>
      </w:r>
      <w:r w:rsidRPr="000E7BA2">
        <w:rPr>
          <w:rFonts w:eastAsia="SimSun" w:cs="Arial"/>
          <w:sz w:val="24"/>
          <w:szCs w:val="24"/>
          <w:lang w:val="en-GB"/>
        </w:rPr>
        <w:t xml:space="preserve"> with no defined data governance or ownership structure. </w:t>
      </w:r>
    </w:p>
    <w:p w14:paraId="5EBC1BDF" w14:textId="74B66B36" w:rsidR="000E7BA2" w:rsidRPr="0001157E" w:rsidRDefault="000E7BA2" w:rsidP="000E7BA2">
      <w:pPr>
        <w:pStyle w:val="ListParagraph"/>
        <w:numPr>
          <w:ilvl w:val="0"/>
          <w:numId w:val="2"/>
        </w:numPr>
        <w:adjustRightInd w:val="0"/>
        <w:snapToGrid w:val="0"/>
        <w:spacing w:before="120" w:after="120" w:line="240" w:lineRule="auto"/>
        <w:ind w:left="0" w:firstLine="0"/>
        <w:contextualSpacing w:val="0"/>
        <w:jc w:val="both"/>
        <w:rPr>
          <w:rFonts w:cs="Calibri"/>
          <w:szCs w:val="24"/>
        </w:rPr>
      </w:pPr>
      <w:r w:rsidRPr="0001157E">
        <w:rPr>
          <w:sz w:val="24"/>
          <w:szCs w:val="24"/>
        </w:rPr>
        <w:t xml:space="preserve">The final audit report was shared and discussed with the concerned officials of the General Secretariat. It includes six recommendations to address the issues found relevant to the </w:t>
      </w:r>
      <w:r w:rsidRPr="0001157E">
        <w:rPr>
          <w:rFonts w:eastAsia="SimSun" w:cs="Arial"/>
          <w:sz w:val="24"/>
          <w:szCs w:val="24"/>
          <w:lang w:val="en-GB"/>
        </w:rPr>
        <w:t>grant management</w:t>
      </w:r>
      <w:r w:rsidRPr="0001157E">
        <w:rPr>
          <w:sz w:val="24"/>
          <w:szCs w:val="24"/>
        </w:rPr>
        <w:t xml:space="preserve"> processes and </w:t>
      </w:r>
      <w:r w:rsidR="000F1C5F" w:rsidRPr="0001157E">
        <w:rPr>
          <w:sz w:val="24"/>
          <w:szCs w:val="24"/>
        </w:rPr>
        <w:t xml:space="preserve">the report </w:t>
      </w:r>
      <w:r w:rsidRPr="0001157E">
        <w:rPr>
          <w:sz w:val="24"/>
          <w:szCs w:val="24"/>
        </w:rPr>
        <w:t xml:space="preserve">was issued to the Secretary-General on </w:t>
      </w:r>
      <w:r w:rsidR="000F3E80" w:rsidRPr="0001157E">
        <w:rPr>
          <w:sz w:val="24"/>
          <w:szCs w:val="24"/>
        </w:rPr>
        <w:t>8</w:t>
      </w:r>
      <w:r w:rsidR="007B650E">
        <w:rPr>
          <w:sz w:val="24"/>
          <w:szCs w:val="24"/>
        </w:rPr>
        <w:t> </w:t>
      </w:r>
      <w:r w:rsidR="000F3E80" w:rsidRPr="0001157E">
        <w:rPr>
          <w:sz w:val="24"/>
          <w:szCs w:val="24"/>
        </w:rPr>
        <w:t>January 2025</w:t>
      </w:r>
      <w:r w:rsidRPr="0001157E">
        <w:rPr>
          <w:sz w:val="24"/>
          <w:szCs w:val="24"/>
        </w:rPr>
        <w:t xml:space="preserve">. </w:t>
      </w:r>
      <w:r w:rsidRPr="0001157E">
        <w:rPr>
          <w:rFonts w:cs="Calibri"/>
          <w:sz w:val="24"/>
          <w:szCs w:val="24"/>
        </w:rPr>
        <w:t>Management generally agreed with the proposed audit recommendations.</w:t>
      </w:r>
    </w:p>
    <w:p w14:paraId="52231DB1" w14:textId="59B44943" w:rsidR="009D2D30" w:rsidRPr="001C7BF9" w:rsidRDefault="6126A861" w:rsidP="5C32450B">
      <w:pPr>
        <w:pStyle w:val="FootnoteText"/>
        <w:keepLines w:val="0"/>
        <w:numPr>
          <w:ilvl w:val="0"/>
          <w:numId w:val="3"/>
        </w:numPr>
        <w:tabs>
          <w:tab w:val="clear" w:pos="284"/>
          <w:tab w:val="clear" w:pos="567"/>
          <w:tab w:val="clear" w:pos="1134"/>
          <w:tab w:val="clear" w:pos="1701"/>
          <w:tab w:val="clear" w:pos="2268"/>
          <w:tab w:val="clear" w:pos="2835"/>
        </w:tabs>
        <w:overflowPunct/>
        <w:autoSpaceDE/>
        <w:autoSpaceDN/>
        <w:snapToGrid w:val="0"/>
        <w:spacing w:before="240"/>
        <w:ind w:left="450" w:firstLine="0"/>
        <w:jc w:val="both"/>
        <w:textAlignment w:val="auto"/>
        <w:rPr>
          <w:rFonts w:asciiTheme="minorHAnsi" w:hAnsiTheme="minorHAnsi" w:cstheme="minorBidi"/>
          <w:sz w:val="24"/>
          <w:szCs w:val="24"/>
        </w:rPr>
      </w:pPr>
      <w:r w:rsidRPr="5C32450B">
        <w:rPr>
          <w:rFonts w:asciiTheme="minorHAnsi" w:hAnsiTheme="minorHAnsi" w:cstheme="minorBidi"/>
          <w:b/>
          <w:bCs/>
          <w:i/>
          <w:iCs/>
          <w:sz w:val="24"/>
          <w:szCs w:val="24"/>
        </w:rPr>
        <w:t>Regional Office for the Arab region</w:t>
      </w:r>
    </w:p>
    <w:p w14:paraId="5E589337" w14:textId="02E7A810" w:rsidR="009D2D30" w:rsidRPr="001C7BF9" w:rsidRDefault="009D2D30" w:rsidP="009D2D30">
      <w:pPr>
        <w:pStyle w:val="ListParagraph"/>
        <w:numPr>
          <w:ilvl w:val="0"/>
          <w:numId w:val="2"/>
        </w:numPr>
        <w:adjustRightInd w:val="0"/>
        <w:snapToGrid w:val="0"/>
        <w:spacing w:before="120" w:after="120" w:line="240" w:lineRule="auto"/>
        <w:ind w:left="0" w:firstLine="0"/>
        <w:contextualSpacing w:val="0"/>
        <w:jc w:val="both"/>
        <w:rPr>
          <w:szCs w:val="24"/>
        </w:rPr>
      </w:pPr>
      <w:r w:rsidRPr="001C7BF9">
        <w:rPr>
          <w:sz w:val="24"/>
          <w:szCs w:val="24"/>
          <w:lang w:val="en-GB"/>
        </w:rPr>
        <w:t>OU</w:t>
      </w:r>
      <w:r w:rsidRPr="001C7BF9">
        <w:rPr>
          <w:sz w:val="24"/>
          <w:szCs w:val="24"/>
        </w:rPr>
        <w:t xml:space="preserve"> </w:t>
      </w:r>
      <w:r w:rsidRPr="001C7BF9">
        <w:rPr>
          <w:sz w:val="24"/>
          <w:szCs w:val="24"/>
          <w:lang w:val="en-GB"/>
        </w:rPr>
        <w:t>completed an audit of the Regional Office for the Arab region.</w:t>
      </w:r>
      <w:r w:rsidR="00144CD2" w:rsidRPr="001C7BF9">
        <w:rPr>
          <w:sz w:val="24"/>
          <w:szCs w:val="24"/>
          <w:lang w:val="en-GB"/>
        </w:rPr>
        <w:t xml:space="preserve"> </w:t>
      </w:r>
      <w:r w:rsidRPr="001C7BF9">
        <w:rPr>
          <w:szCs w:val="24"/>
        </w:rPr>
        <w:t>OU reviewed 12 topical areas during th</w:t>
      </w:r>
      <w:r w:rsidR="00A96362">
        <w:rPr>
          <w:szCs w:val="24"/>
        </w:rPr>
        <w:t>e</w:t>
      </w:r>
      <w:r w:rsidRPr="001C7BF9">
        <w:rPr>
          <w:szCs w:val="24"/>
        </w:rPr>
        <w:t xml:space="preserve"> audit</w:t>
      </w:r>
      <w:r w:rsidR="00A96362">
        <w:rPr>
          <w:szCs w:val="24"/>
        </w:rPr>
        <w:t>,</w:t>
      </w:r>
      <w:r w:rsidRPr="001C7BF9">
        <w:rPr>
          <w:szCs w:val="24"/>
        </w:rPr>
        <w:t xml:space="preserve"> a visual presentation of the conclusions per topical area as follows:</w:t>
      </w:r>
    </w:p>
    <w:p w14:paraId="7F9295FC" w14:textId="77777777" w:rsidR="009D2D30" w:rsidRDefault="009D2D30" w:rsidP="009D2D30">
      <w:pPr>
        <w:jc w:val="both"/>
        <w:rPr>
          <w:rFonts w:asciiTheme="majorHAnsi" w:hAnsiTheme="majorHAnsi" w:cstheme="majorHAnsi"/>
        </w:rPr>
      </w:pPr>
      <w:r w:rsidRPr="00110379">
        <w:rPr>
          <w:noProof/>
        </w:rPr>
        <w:drawing>
          <wp:inline distT="0" distB="0" distL="0" distR="0" wp14:anchorId="5E6342D6" wp14:editId="2107FE76">
            <wp:extent cx="5655945" cy="2424430"/>
            <wp:effectExtent l="0" t="0" r="1905" b="0"/>
            <wp:docPr id="14513447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55945" cy="2424430"/>
                    </a:xfrm>
                    <a:prstGeom prst="rect">
                      <a:avLst/>
                    </a:prstGeom>
                    <a:noFill/>
                    <a:ln>
                      <a:noFill/>
                    </a:ln>
                  </pic:spPr>
                </pic:pic>
              </a:graphicData>
            </a:graphic>
          </wp:inline>
        </w:drawing>
      </w:r>
    </w:p>
    <w:p w14:paraId="3590E533" w14:textId="403A47A3" w:rsidR="009D2D30" w:rsidRDefault="009D2D30" w:rsidP="00105EF4">
      <w:pPr>
        <w:tabs>
          <w:tab w:val="left" w:pos="284"/>
        </w:tabs>
        <w:spacing w:after="120"/>
        <w:jc w:val="both"/>
        <w:rPr>
          <w:rFonts w:asciiTheme="majorHAnsi" w:hAnsiTheme="majorHAnsi" w:cstheme="majorHAnsi"/>
          <w:i/>
          <w:iCs/>
          <w:sz w:val="20"/>
        </w:rPr>
      </w:pPr>
      <w:r w:rsidRPr="007B650E">
        <w:rPr>
          <w:rFonts w:asciiTheme="minorHAnsi" w:hAnsiTheme="minorHAnsi" w:cstheme="minorHAnsi"/>
          <w:i/>
          <w:iCs/>
          <w:sz w:val="20"/>
          <w:vertAlign w:val="superscript"/>
        </w:rPr>
        <w:t>1</w:t>
      </w:r>
      <w:r w:rsidRPr="007B650E">
        <w:rPr>
          <w:rFonts w:asciiTheme="minorHAnsi" w:hAnsiTheme="minorHAnsi" w:cstheme="minorHAnsi"/>
          <w:i/>
          <w:iCs/>
          <w:sz w:val="20"/>
        </w:rPr>
        <w:t xml:space="preserve"> </w:t>
      </w:r>
      <w:r w:rsidR="007B650E">
        <w:rPr>
          <w:rFonts w:asciiTheme="minorHAnsi" w:hAnsiTheme="minorHAnsi" w:cstheme="minorHAnsi"/>
          <w:i/>
          <w:iCs/>
          <w:sz w:val="20"/>
        </w:rPr>
        <w:tab/>
      </w:r>
      <w:r w:rsidRPr="007B650E">
        <w:rPr>
          <w:rFonts w:asciiTheme="minorHAnsi" w:hAnsiTheme="minorHAnsi" w:cstheme="minorHAnsi"/>
          <w:i/>
          <w:iCs/>
          <w:sz w:val="20"/>
        </w:rPr>
        <w:t>Not assessed according to the COSO components but at a general level.</w:t>
      </w:r>
    </w:p>
    <w:p w14:paraId="12B5AAB9" w14:textId="77777777" w:rsidR="009D2D30" w:rsidRDefault="009D2D30" w:rsidP="00105EF4">
      <w:pPr>
        <w:pStyle w:val="Style1"/>
        <w:keepNext w:val="0"/>
        <w:numPr>
          <w:ilvl w:val="0"/>
          <w:numId w:val="0"/>
        </w:numPr>
        <w:ind w:left="357" w:hanging="357"/>
        <w:rPr>
          <w:rFonts w:asciiTheme="majorHAnsi" w:hAnsiTheme="majorHAnsi" w:cstheme="majorHAnsi"/>
        </w:rPr>
      </w:pPr>
      <w:r w:rsidRPr="004E7504">
        <w:rPr>
          <w:noProof/>
        </w:rPr>
        <w:drawing>
          <wp:inline distT="0" distB="0" distL="0" distR="0" wp14:anchorId="4AB9ABDD" wp14:editId="50032390">
            <wp:extent cx="2470244" cy="789510"/>
            <wp:effectExtent l="0" t="0" r="6350" b="0"/>
            <wp:docPr id="16115074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82669" cy="793481"/>
                    </a:xfrm>
                    <a:prstGeom prst="rect">
                      <a:avLst/>
                    </a:prstGeom>
                    <a:noFill/>
                    <a:ln>
                      <a:noFill/>
                    </a:ln>
                  </pic:spPr>
                </pic:pic>
              </a:graphicData>
            </a:graphic>
          </wp:inline>
        </w:drawing>
      </w:r>
    </w:p>
    <w:p w14:paraId="74E90E31" w14:textId="77777777" w:rsidR="00655F58" w:rsidRPr="00655F58" w:rsidRDefault="00655F58" w:rsidP="00105EF4">
      <w:pPr>
        <w:pStyle w:val="Style1"/>
        <w:keepNext w:val="0"/>
        <w:numPr>
          <w:ilvl w:val="0"/>
          <w:numId w:val="0"/>
        </w:numPr>
        <w:ind w:left="357" w:hanging="357"/>
        <w:rPr>
          <w:rFonts w:asciiTheme="minorHAnsi" w:hAnsiTheme="minorHAnsi" w:cstheme="minorHAnsi"/>
        </w:rPr>
      </w:pPr>
    </w:p>
    <w:p w14:paraId="2E44726C" w14:textId="31D654D6" w:rsidR="009D2D30" w:rsidRDefault="009D2D30" w:rsidP="000A02A6">
      <w:pPr>
        <w:pStyle w:val="ListParagraph"/>
        <w:numPr>
          <w:ilvl w:val="0"/>
          <w:numId w:val="2"/>
        </w:numPr>
        <w:adjustRightInd w:val="0"/>
        <w:snapToGrid w:val="0"/>
        <w:spacing w:before="120" w:after="120" w:line="240" w:lineRule="auto"/>
        <w:ind w:left="0" w:firstLine="0"/>
        <w:contextualSpacing w:val="0"/>
        <w:jc w:val="both"/>
        <w:rPr>
          <w:rFonts w:cstheme="minorHAnsi"/>
          <w:sz w:val="24"/>
          <w:szCs w:val="24"/>
        </w:rPr>
      </w:pPr>
      <w:r w:rsidRPr="009D2D30">
        <w:rPr>
          <w:rFonts w:cstheme="minorHAnsi"/>
          <w:sz w:val="24"/>
          <w:szCs w:val="24"/>
        </w:rPr>
        <w:t xml:space="preserve">The </w:t>
      </w:r>
      <w:r w:rsidRPr="00144CD2">
        <w:rPr>
          <w:rFonts w:cstheme="minorHAnsi"/>
          <w:i/>
          <w:iCs/>
          <w:sz w:val="24"/>
          <w:szCs w:val="24"/>
        </w:rPr>
        <w:t>overall audit opinion</w:t>
      </w:r>
      <w:r w:rsidRPr="009D2D30">
        <w:rPr>
          <w:rFonts w:cstheme="minorHAnsi"/>
          <w:sz w:val="24"/>
          <w:szCs w:val="24"/>
        </w:rPr>
        <w:t xml:space="preserve"> concludes </w:t>
      </w:r>
      <w:proofErr w:type="gramStart"/>
      <w:r w:rsidRPr="009D2D30">
        <w:rPr>
          <w:rFonts w:cstheme="minorHAnsi"/>
          <w:sz w:val="24"/>
          <w:szCs w:val="24"/>
        </w:rPr>
        <w:t>reasonably</w:t>
      </w:r>
      <w:proofErr w:type="gramEnd"/>
      <w:r w:rsidRPr="009D2D30">
        <w:rPr>
          <w:rFonts w:cstheme="minorHAnsi"/>
          <w:sz w:val="24"/>
          <w:szCs w:val="24"/>
        </w:rPr>
        <w:t xml:space="preserve"> to largely adequate governance, control and </w:t>
      </w:r>
      <w:r w:rsidRPr="000A02A6">
        <w:rPr>
          <w:rFonts w:ascii="Calibri" w:hAnsi="Calibri" w:cs="Calibri"/>
          <w:sz w:val="24"/>
          <w:szCs w:val="24"/>
        </w:rPr>
        <w:t>monitoring</w:t>
      </w:r>
      <w:r w:rsidRPr="009D2D30">
        <w:rPr>
          <w:rFonts w:cstheme="minorHAnsi"/>
          <w:sz w:val="24"/>
          <w:szCs w:val="24"/>
        </w:rPr>
        <w:t xml:space="preserve"> activities</w:t>
      </w:r>
      <w:r w:rsidR="00A96362">
        <w:rPr>
          <w:rFonts w:cstheme="minorHAnsi"/>
          <w:sz w:val="24"/>
          <w:szCs w:val="24"/>
        </w:rPr>
        <w:t>,</w:t>
      </w:r>
      <w:r w:rsidRPr="009D2D30">
        <w:rPr>
          <w:rFonts w:cstheme="minorHAnsi"/>
          <w:sz w:val="24"/>
          <w:szCs w:val="24"/>
        </w:rPr>
        <w:t xml:space="preserve"> whilst information and communication </w:t>
      </w:r>
      <w:proofErr w:type="gramStart"/>
      <w:r w:rsidRPr="009D2D30">
        <w:rPr>
          <w:rFonts w:cstheme="minorHAnsi"/>
          <w:sz w:val="24"/>
          <w:szCs w:val="24"/>
        </w:rPr>
        <w:t>is</w:t>
      </w:r>
      <w:proofErr w:type="gramEnd"/>
      <w:r w:rsidRPr="009D2D30">
        <w:rPr>
          <w:rFonts w:cstheme="minorHAnsi"/>
          <w:sz w:val="24"/>
          <w:szCs w:val="24"/>
        </w:rPr>
        <w:t xml:space="preserve"> at times only partially adequate.</w:t>
      </w:r>
    </w:p>
    <w:p w14:paraId="2439FD43" w14:textId="2729C647" w:rsidR="009D2D30" w:rsidRPr="00870C51" w:rsidRDefault="40456238" w:rsidP="5C32450B">
      <w:pPr>
        <w:pStyle w:val="ListParagraph"/>
        <w:numPr>
          <w:ilvl w:val="0"/>
          <w:numId w:val="2"/>
        </w:numPr>
        <w:adjustRightInd w:val="0"/>
        <w:snapToGrid w:val="0"/>
        <w:spacing w:before="240" w:after="120" w:line="240" w:lineRule="auto"/>
        <w:ind w:left="0" w:firstLine="0"/>
        <w:jc w:val="both"/>
        <w:rPr>
          <w:sz w:val="24"/>
          <w:szCs w:val="24"/>
        </w:rPr>
      </w:pPr>
      <w:r w:rsidRPr="5C32450B">
        <w:rPr>
          <w:sz w:val="24"/>
          <w:szCs w:val="24"/>
        </w:rPr>
        <w:t>The final audit report</w:t>
      </w:r>
      <w:r w:rsidR="6EED16BE" w:rsidRPr="5C32450B">
        <w:rPr>
          <w:sz w:val="24"/>
          <w:szCs w:val="24"/>
        </w:rPr>
        <w:t xml:space="preserve"> was issued at the end of March 2025. This version was superseded by a report issued on</w:t>
      </w:r>
      <w:r w:rsidR="54521FB8" w:rsidRPr="5C32450B">
        <w:rPr>
          <w:sz w:val="24"/>
          <w:szCs w:val="24"/>
        </w:rPr>
        <w:t xml:space="preserve"> 15 May 2025. The report</w:t>
      </w:r>
      <w:r w:rsidRPr="5C32450B">
        <w:rPr>
          <w:sz w:val="24"/>
          <w:szCs w:val="24"/>
        </w:rPr>
        <w:t xml:space="preserve"> includ</w:t>
      </w:r>
      <w:r w:rsidR="048E11D7" w:rsidRPr="5C32450B">
        <w:rPr>
          <w:sz w:val="24"/>
          <w:szCs w:val="24"/>
        </w:rPr>
        <w:t>ed</w:t>
      </w:r>
      <w:r w:rsidRPr="5C32450B">
        <w:rPr>
          <w:sz w:val="24"/>
          <w:szCs w:val="24"/>
        </w:rPr>
        <w:t xml:space="preserve"> 1</w:t>
      </w:r>
      <w:r w:rsidR="457193AA" w:rsidRPr="5C32450B">
        <w:rPr>
          <w:sz w:val="24"/>
          <w:szCs w:val="24"/>
        </w:rPr>
        <w:t>3</w:t>
      </w:r>
      <w:r w:rsidRPr="5C32450B">
        <w:rPr>
          <w:sz w:val="24"/>
          <w:szCs w:val="24"/>
        </w:rPr>
        <w:t xml:space="preserve"> recommendations (one “high”, </w:t>
      </w:r>
      <w:r w:rsidR="119326E4" w:rsidRPr="5C32450B">
        <w:rPr>
          <w:sz w:val="24"/>
          <w:szCs w:val="24"/>
        </w:rPr>
        <w:t>9</w:t>
      </w:r>
      <w:r w:rsidRPr="5C32450B">
        <w:rPr>
          <w:sz w:val="24"/>
          <w:szCs w:val="24"/>
        </w:rPr>
        <w:t xml:space="preserve"> “medium” and 3 “low” priority) and formal management comments</w:t>
      </w:r>
      <w:r w:rsidR="43AC65A4" w:rsidRPr="5C32450B">
        <w:rPr>
          <w:sz w:val="24"/>
          <w:szCs w:val="24"/>
        </w:rPr>
        <w:t>.</w:t>
      </w:r>
      <w:r w:rsidRPr="5C32450B">
        <w:rPr>
          <w:sz w:val="24"/>
          <w:szCs w:val="24"/>
        </w:rPr>
        <w:t xml:space="preserve"> Management agreed with the proposed audit recommendations</w:t>
      </w:r>
      <w:r w:rsidR="7E2FFD9A" w:rsidRPr="5C32450B">
        <w:rPr>
          <w:sz w:val="24"/>
          <w:szCs w:val="24"/>
        </w:rPr>
        <w:t>.</w:t>
      </w:r>
    </w:p>
    <w:bookmarkEnd w:id="5"/>
    <w:bookmarkEnd w:id="11"/>
    <w:p w14:paraId="3641A896" w14:textId="77777777" w:rsidR="0056682C" w:rsidRPr="00CA57BA" w:rsidRDefault="0056682C" w:rsidP="0056682C">
      <w:pPr>
        <w:pStyle w:val="Heading1"/>
        <w:keepNext w:val="0"/>
        <w:keepLines w:val="0"/>
        <w:tabs>
          <w:tab w:val="clear" w:pos="567"/>
          <w:tab w:val="clear" w:pos="1134"/>
          <w:tab w:val="clear" w:pos="1701"/>
          <w:tab w:val="clear" w:pos="2268"/>
          <w:tab w:val="clear" w:pos="2835"/>
        </w:tabs>
        <w:snapToGrid w:val="0"/>
        <w:spacing w:after="120"/>
        <w:ind w:left="0" w:firstLine="0"/>
        <w:jc w:val="both"/>
        <w:rPr>
          <w:rFonts w:asciiTheme="minorHAnsi" w:hAnsiTheme="minorHAnsi" w:cstheme="minorHAnsi"/>
          <w:szCs w:val="28"/>
          <w:lang w:val="en-CA"/>
        </w:rPr>
      </w:pPr>
      <w:r>
        <w:rPr>
          <w:rFonts w:asciiTheme="minorHAnsi" w:hAnsiTheme="minorHAnsi" w:cstheme="minorHAnsi"/>
          <w:szCs w:val="28"/>
          <w:lang w:val="en-CA"/>
        </w:rPr>
        <w:t>Additional</w:t>
      </w:r>
      <w:r w:rsidRPr="00CA57BA">
        <w:rPr>
          <w:rFonts w:asciiTheme="minorHAnsi" w:hAnsiTheme="minorHAnsi" w:cstheme="minorHAnsi"/>
          <w:szCs w:val="28"/>
          <w:lang w:val="en-CA"/>
        </w:rPr>
        <w:t xml:space="preserve"> assignments</w:t>
      </w:r>
    </w:p>
    <w:p w14:paraId="0FED42C9" w14:textId="77777777" w:rsidR="0056682C" w:rsidRPr="001C7BF9" w:rsidRDefault="0056682C" w:rsidP="0056682C">
      <w:pPr>
        <w:pStyle w:val="FootnoteText"/>
        <w:keepLines w:val="0"/>
        <w:numPr>
          <w:ilvl w:val="0"/>
          <w:numId w:val="4"/>
        </w:numPr>
        <w:tabs>
          <w:tab w:val="clear" w:pos="284"/>
          <w:tab w:val="clear" w:pos="567"/>
          <w:tab w:val="clear" w:pos="1134"/>
          <w:tab w:val="clear" w:pos="1701"/>
          <w:tab w:val="clear" w:pos="2268"/>
          <w:tab w:val="clear" w:pos="2835"/>
        </w:tabs>
        <w:overflowPunct/>
        <w:autoSpaceDE/>
        <w:autoSpaceDN/>
        <w:snapToGrid w:val="0"/>
        <w:spacing w:before="240"/>
        <w:jc w:val="both"/>
        <w:textAlignment w:val="auto"/>
        <w:rPr>
          <w:rFonts w:asciiTheme="minorHAnsi" w:hAnsiTheme="minorHAnsi" w:cstheme="minorHAnsi"/>
          <w:sz w:val="24"/>
          <w:szCs w:val="24"/>
        </w:rPr>
      </w:pPr>
      <w:r w:rsidRPr="001C7BF9">
        <w:rPr>
          <w:rFonts w:asciiTheme="minorHAnsi" w:hAnsiTheme="minorHAnsi" w:cstheme="minorHAnsi"/>
          <w:b/>
          <w:i/>
          <w:sz w:val="24"/>
          <w:szCs w:val="24"/>
        </w:rPr>
        <w:t>ASHI valuation</w:t>
      </w:r>
    </w:p>
    <w:p w14:paraId="1C27C6A7" w14:textId="7B671428" w:rsidR="0056682C" w:rsidRPr="009C61B7" w:rsidRDefault="0056682C" w:rsidP="0056682C">
      <w:pPr>
        <w:pStyle w:val="ListParagraph"/>
        <w:numPr>
          <w:ilvl w:val="0"/>
          <w:numId w:val="2"/>
        </w:numPr>
        <w:adjustRightInd w:val="0"/>
        <w:snapToGrid w:val="0"/>
        <w:spacing w:before="120" w:after="120" w:line="240" w:lineRule="auto"/>
        <w:ind w:left="0" w:firstLine="0"/>
        <w:contextualSpacing w:val="0"/>
        <w:jc w:val="both"/>
        <w:rPr>
          <w:rFonts w:ascii="Calibri" w:hAnsi="Calibri" w:cs="Calibri"/>
          <w:sz w:val="24"/>
          <w:szCs w:val="24"/>
          <w:lang w:val="en-GB"/>
        </w:rPr>
      </w:pPr>
      <w:r w:rsidRPr="009C61B7">
        <w:rPr>
          <w:rFonts w:ascii="Calibri" w:hAnsi="Calibri" w:cs="Calibri"/>
          <w:sz w:val="24"/>
          <w:szCs w:val="24"/>
          <w:lang w:val="en-GB"/>
        </w:rPr>
        <w:t xml:space="preserve">OU completed an </w:t>
      </w:r>
      <w:r w:rsidRPr="009C61B7">
        <w:rPr>
          <w:rFonts w:ascii="Calibri" w:hAnsi="Calibri" w:cs="Calibri"/>
          <w:sz w:val="24"/>
          <w:szCs w:val="24"/>
        </w:rPr>
        <w:t xml:space="preserve">assurance assignment in respect of the key elements of data, which were provided to ITU’s actuary (AON) for the After-Service Health Insurance (ASHI) valuation. The assignment was </w:t>
      </w:r>
      <w:r w:rsidR="00E949BD" w:rsidRPr="009C61B7">
        <w:rPr>
          <w:rFonts w:ascii="Calibri" w:hAnsi="Calibri" w:cs="Calibri"/>
          <w:sz w:val="24"/>
          <w:szCs w:val="24"/>
        </w:rPr>
        <w:t xml:space="preserve">first </w:t>
      </w:r>
      <w:r w:rsidRPr="009C61B7">
        <w:rPr>
          <w:rFonts w:ascii="Calibri" w:hAnsi="Calibri" w:cs="Calibri"/>
          <w:sz w:val="24"/>
          <w:szCs w:val="24"/>
        </w:rPr>
        <w:t xml:space="preserve">requested during the audit of the 2022 ITU financial statements, at the initiative of the ITU’s External Auditor, by the Chief, Financial Resources Management Department, with the </w:t>
      </w:r>
      <w:r w:rsidR="009A5B97" w:rsidRPr="009C61B7">
        <w:rPr>
          <w:rFonts w:ascii="Calibri" w:hAnsi="Calibri" w:cs="Calibri"/>
          <w:sz w:val="24"/>
          <w:szCs w:val="24"/>
        </w:rPr>
        <w:t>concurrence of</w:t>
      </w:r>
      <w:r w:rsidRPr="009C61B7">
        <w:rPr>
          <w:rFonts w:ascii="Calibri" w:hAnsi="Calibri" w:cs="Calibri"/>
          <w:sz w:val="24"/>
          <w:szCs w:val="24"/>
        </w:rPr>
        <w:t xml:space="preserve"> ITU’s Secretary-General.</w:t>
      </w:r>
    </w:p>
    <w:p w14:paraId="704EC7E9" w14:textId="7AD014DF" w:rsidR="4D3D3D4E" w:rsidRDefault="4D3D3D4E" w:rsidP="5C35425E">
      <w:pPr>
        <w:pStyle w:val="ListParagraph"/>
        <w:numPr>
          <w:ilvl w:val="0"/>
          <w:numId w:val="2"/>
        </w:numPr>
        <w:spacing w:before="120" w:after="120" w:line="240" w:lineRule="auto"/>
        <w:ind w:left="0" w:firstLine="0"/>
        <w:jc w:val="both"/>
        <w:rPr>
          <w:lang w:val="en-GB"/>
        </w:rPr>
      </w:pPr>
      <w:r w:rsidRPr="5C35425E">
        <w:rPr>
          <w:rFonts w:ascii="Calibri" w:hAnsi="Calibri" w:cs="Calibri"/>
          <w:sz w:val="24"/>
          <w:szCs w:val="24"/>
          <w:lang w:val="en-GB"/>
        </w:rPr>
        <w:t xml:space="preserve">In May 2023 </w:t>
      </w:r>
      <w:r w:rsidR="3CACF94B" w:rsidRPr="5C35425E">
        <w:rPr>
          <w:rFonts w:ascii="Calibri" w:hAnsi="Calibri" w:cs="Calibri"/>
          <w:sz w:val="24"/>
          <w:szCs w:val="24"/>
          <w:lang w:val="en-GB"/>
        </w:rPr>
        <w:t>OU issued an Assurance Assignment Report and a Management Letter to convey to ITU management (i) control deficiencies and (ii) associated recommendations to allow ITU Management to have the needed assurance in respect of the controls for future year-end audits by the ITU External Auditor.</w:t>
      </w:r>
      <w:r w:rsidR="5AD13022" w:rsidRPr="5C35425E">
        <w:rPr>
          <w:rFonts w:ascii="Calibri" w:hAnsi="Calibri" w:cs="Calibri"/>
          <w:sz w:val="24"/>
          <w:szCs w:val="24"/>
          <w:lang w:val="en-GB"/>
        </w:rPr>
        <w:t xml:space="preserve"> In line with the earlier </w:t>
      </w:r>
      <w:r w:rsidR="246F4D56" w:rsidRPr="5C35425E">
        <w:rPr>
          <w:rFonts w:ascii="Calibri" w:hAnsi="Calibri" w:cs="Calibri"/>
          <w:sz w:val="24"/>
          <w:szCs w:val="24"/>
          <w:lang w:val="en-GB"/>
        </w:rPr>
        <w:t>approach</w:t>
      </w:r>
      <w:r w:rsidR="5AD13022" w:rsidRPr="5C35425E">
        <w:rPr>
          <w:rFonts w:ascii="Calibri" w:hAnsi="Calibri" w:cs="Calibri"/>
          <w:sz w:val="24"/>
          <w:szCs w:val="24"/>
          <w:lang w:val="en-GB"/>
        </w:rPr>
        <w:t>, i</w:t>
      </w:r>
      <w:r w:rsidR="3CACF94B" w:rsidRPr="5C35425E">
        <w:rPr>
          <w:rFonts w:ascii="Calibri" w:hAnsi="Calibri" w:cs="Calibri"/>
          <w:sz w:val="24"/>
          <w:szCs w:val="24"/>
          <w:lang w:val="en-GB"/>
        </w:rPr>
        <w:t xml:space="preserve">n February </w:t>
      </w:r>
      <w:r w:rsidR="5AD13022" w:rsidRPr="5C35425E">
        <w:rPr>
          <w:rFonts w:ascii="Calibri" w:hAnsi="Calibri" w:cs="Calibri"/>
          <w:sz w:val="24"/>
          <w:szCs w:val="24"/>
          <w:lang w:val="en-GB"/>
        </w:rPr>
        <w:t>2025 OU</w:t>
      </w:r>
      <w:r w:rsidR="3CACF94B" w:rsidRPr="5C35425E">
        <w:rPr>
          <w:rFonts w:ascii="Calibri" w:hAnsi="Calibri" w:cs="Calibri"/>
          <w:sz w:val="24"/>
          <w:szCs w:val="24"/>
          <w:lang w:val="en-GB"/>
        </w:rPr>
        <w:t xml:space="preserve"> provided </w:t>
      </w:r>
      <w:r w:rsidR="5AD13022" w:rsidRPr="5C35425E">
        <w:rPr>
          <w:rFonts w:ascii="Calibri" w:hAnsi="Calibri" w:cs="Calibri"/>
          <w:sz w:val="24"/>
          <w:szCs w:val="24"/>
          <w:lang w:val="en-GB"/>
        </w:rPr>
        <w:t xml:space="preserve">again </w:t>
      </w:r>
      <w:r w:rsidR="3CACF94B" w:rsidRPr="5C35425E">
        <w:rPr>
          <w:rFonts w:ascii="Calibri" w:hAnsi="Calibri" w:cs="Calibri"/>
          <w:sz w:val="24"/>
          <w:szCs w:val="24"/>
          <w:lang w:val="en-GB"/>
        </w:rPr>
        <w:t>the necessary assurance on the key elements of data used for the ASHI validation.</w:t>
      </w:r>
    </w:p>
    <w:p w14:paraId="375BCB17" w14:textId="77777777" w:rsidR="001C7BF9" w:rsidRPr="00F01F21" w:rsidRDefault="001C7BF9" w:rsidP="00914370">
      <w:pPr>
        <w:pStyle w:val="Heading1"/>
        <w:tabs>
          <w:tab w:val="clear" w:pos="567"/>
          <w:tab w:val="clear" w:pos="1134"/>
          <w:tab w:val="clear" w:pos="1701"/>
          <w:tab w:val="clear" w:pos="2268"/>
          <w:tab w:val="clear" w:pos="2835"/>
        </w:tabs>
        <w:snapToGrid w:val="0"/>
        <w:spacing w:after="120"/>
        <w:ind w:left="0" w:firstLine="0"/>
        <w:jc w:val="both"/>
        <w:rPr>
          <w:rFonts w:asciiTheme="minorHAnsi" w:hAnsiTheme="minorHAnsi" w:cstheme="minorHAnsi"/>
          <w:szCs w:val="28"/>
          <w:lang w:val="en-CA"/>
        </w:rPr>
      </w:pPr>
      <w:r w:rsidRPr="00F01F21">
        <w:rPr>
          <w:rFonts w:asciiTheme="minorHAnsi" w:hAnsiTheme="minorHAnsi" w:cstheme="minorHAnsi"/>
          <w:szCs w:val="28"/>
          <w:lang w:val="en-CA"/>
        </w:rPr>
        <w:t>Follow-up o</w:t>
      </w:r>
      <w:r>
        <w:rPr>
          <w:rFonts w:asciiTheme="minorHAnsi" w:hAnsiTheme="minorHAnsi" w:cstheme="minorHAnsi"/>
          <w:szCs w:val="28"/>
          <w:lang w:val="en-CA"/>
        </w:rPr>
        <w:t>n</w:t>
      </w:r>
      <w:r w:rsidRPr="00F01F21">
        <w:rPr>
          <w:rFonts w:asciiTheme="minorHAnsi" w:hAnsiTheme="minorHAnsi" w:cstheme="minorHAnsi"/>
          <w:szCs w:val="28"/>
          <w:lang w:val="en-CA"/>
        </w:rPr>
        <w:t xml:space="preserve"> internal audit recommendations</w:t>
      </w:r>
    </w:p>
    <w:p w14:paraId="578AF4DD" w14:textId="6E72D94D" w:rsidR="001C7BF9" w:rsidRPr="00E30743" w:rsidRDefault="001C7BF9" w:rsidP="00914370">
      <w:pPr>
        <w:pStyle w:val="ListParagraph"/>
        <w:keepNext/>
        <w:keepLines/>
        <w:numPr>
          <w:ilvl w:val="0"/>
          <w:numId w:val="2"/>
        </w:numPr>
        <w:adjustRightInd w:val="0"/>
        <w:snapToGrid w:val="0"/>
        <w:spacing w:after="0" w:line="240" w:lineRule="auto"/>
        <w:ind w:left="0" w:firstLine="0"/>
        <w:contextualSpacing w:val="0"/>
        <w:jc w:val="both"/>
        <w:rPr>
          <w:sz w:val="24"/>
          <w:szCs w:val="24"/>
        </w:rPr>
      </w:pPr>
      <w:r w:rsidRPr="716752F0">
        <w:rPr>
          <w:sz w:val="24"/>
          <w:szCs w:val="24"/>
          <w:lang w:val="en-CA"/>
        </w:rPr>
        <w:t xml:space="preserve">Throughout the reporting period, OU continued to follow up on recommendations made in previous audit reports. OU also regularly discussed these follow-up outcomes at its meeting with IMAC. As mentioned above, a </w:t>
      </w:r>
      <w:r w:rsidRPr="716752F0">
        <w:rPr>
          <w:sz w:val="24"/>
          <w:szCs w:val="24"/>
        </w:rPr>
        <w:t>separate information document has been submitted to the 202</w:t>
      </w:r>
      <w:r>
        <w:rPr>
          <w:sz w:val="24"/>
          <w:szCs w:val="24"/>
        </w:rPr>
        <w:t>5</w:t>
      </w:r>
      <w:r w:rsidRPr="716752F0">
        <w:rPr>
          <w:sz w:val="24"/>
          <w:szCs w:val="24"/>
        </w:rPr>
        <w:t xml:space="preserve"> session of the Council to reflect the follow-up on </w:t>
      </w:r>
      <w:r w:rsidRPr="716752F0">
        <w:rPr>
          <w:sz w:val="24"/>
          <w:szCs w:val="24"/>
          <w:u w:val="single"/>
        </w:rPr>
        <w:t>internal audit</w:t>
      </w:r>
      <w:r w:rsidRPr="716752F0">
        <w:rPr>
          <w:sz w:val="24"/>
          <w:szCs w:val="24"/>
        </w:rPr>
        <w:t xml:space="preserve"> recommendations and on </w:t>
      </w:r>
      <w:r w:rsidRPr="716752F0">
        <w:rPr>
          <w:sz w:val="24"/>
          <w:szCs w:val="24"/>
          <w:u w:val="single"/>
        </w:rPr>
        <w:t>forensic-audit</w:t>
      </w:r>
      <w:r w:rsidRPr="716752F0">
        <w:rPr>
          <w:sz w:val="24"/>
          <w:szCs w:val="24"/>
        </w:rPr>
        <w:t xml:space="preserve"> actions. </w:t>
      </w:r>
      <w:r w:rsidRPr="716752F0">
        <w:rPr>
          <w:sz w:val="24"/>
          <w:szCs w:val="24"/>
          <w:lang w:val="en-CA"/>
        </w:rPr>
        <w:t xml:space="preserve">Further progress was noted on the implementation of internal audit recommendations </w:t>
      </w:r>
      <w:r w:rsidR="009C0559">
        <w:rPr>
          <w:sz w:val="24"/>
          <w:szCs w:val="24"/>
          <w:lang w:val="en-CA"/>
        </w:rPr>
        <w:t>as of</w:t>
      </w:r>
      <w:r w:rsidR="009C0559" w:rsidRPr="716752F0">
        <w:rPr>
          <w:sz w:val="24"/>
          <w:szCs w:val="24"/>
          <w:lang w:val="en-CA"/>
        </w:rPr>
        <w:t xml:space="preserve"> </w:t>
      </w:r>
      <w:r>
        <w:rPr>
          <w:sz w:val="24"/>
          <w:szCs w:val="24"/>
          <w:lang w:val="en-CA"/>
        </w:rPr>
        <w:t>31 January 2025</w:t>
      </w:r>
      <w:r w:rsidRPr="716752F0">
        <w:rPr>
          <w:sz w:val="24"/>
          <w:szCs w:val="24"/>
          <w:lang w:val="en-CA"/>
        </w:rPr>
        <w:t>, as shown below:</w:t>
      </w:r>
    </w:p>
    <w:p w14:paraId="41808B26" w14:textId="4317818A" w:rsidR="001C7BF9" w:rsidRDefault="001C7BF9" w:rsidP="00914370">
      <w:pPr>
        <w:keepNext/>
        <w:keepLines/>
        <w:tabs>
          <w:tab w:val="clear" w:pos="567"/>
          <w:tab w:val="clear" w:pos="1134"/>
          <w:tab w:val="clear" w:pos="1701"/>
          <w:tab w:val="clear" w:pos="2268"/>
          <w:tab w:val="clear" w:pos="2835"/>
        </w:tabs>
        <w:overflowPunct/>
        <w:autoSpaceDE/>
        <w:autoSpaceDN/>
        <w:adjustRightInd/>
        <w:textAlignment w:val="auto"/>
        <w:rPr>
          <w:rFonts w:cs="Calibri"/>
          <w:color w:val="000000"/>
          <w:sz w:val="22"/>
          <w:szCs w:val="22"/>
          <w:lang w:eastAsia="en-GB"/>
        </w:rPr>
      </w:pPr>
      <w:r w:rsidRPr="001C7BF9">
        <w:rPr>
          <w:noProof/>
        </w:rPr>
        <w:drawing>
          <wp:inline distT="0" distB="0" distL="0" distR="0" wp14:anchorId="7FCD3E38" wp14:editId="4CE4CFD1">
            <wp:extent cx="5760085" cy="1502410"/>
            <wp:effectExtent l="0" t="0" r="0" b="2540"/>
            <wp:docPr id="1802253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085" cy="1502410"/>
                    </a:xfrm>
                    <a:prstGeom prst="rect">
                      <a:avLst/>
                    </a:prstGeom>
                    <a:noFill/>
                    <a:ln>
                      <a:noFill/>
                    </a:ln>
                  </pic:spPr>
                </pic:pic>
              </a:graphicData>
            </a:graphic>
          </wp:inline>
        </w:drawing>
      </w:r>
    </w:p>
    <w:p w14:paraId="773F2A80" w14:textId="0B13528B" w:rsidR="001C7BF9" w:rsidRPr="00D35ABE" w:rsidRDefault="793C1C96" w:rsidP="00914370">
      <w:pPr>
        <w:keepNext/>
        <w:keepLines/>
        <w:tabs>
          <w:tab w:val="clear" w:pos="567"/>
          <w:tab w:val="clear" w:pos="1134"/>
          <w:tab w:val="clear" w:pos="1701"/>
          <w:tab w:val="clear" w:pos="2268"/>
          <w:tab w:val="clear" w:pos="2835"/>
        </w:tabs>
        <w:overflowPunct/>
        <w:autoSpaceDE/>
        <w:autoSpaceDN/>
        <w:adjustRightInd/>
        <w:textAlignment w:val="auto"/>
        <w:rPr>
          <w:rFonts w:cs="Calibri"/>
          <w:color w:val="000000"/>
          <w:sz w:val="22"/>
          <w:szCs w:val="22"/>
          <w:lang w:eastAsia="en-GB"/>
        </w:rPr>
      </w:pPr>
      <w:r w:rsidRPr="5C35425E">
        <w:rPr>
          <w:rFonts w:cs="Calibri"/>
          <w:color w:val="000000" w:themeColor="text1"/>
          <w:sz w:val="22"/>
          <w:szCs w:val="22"/>
          <w:lang w:eastAsia="en-GB"/>
        </w:rPr>
        <w:t>*All recommendations issued prior to 2017 have been closed</w:t>
      </w:r>
      <w:r w:rsidR="7D8D2563" w:rsidRPr="5C35425E">
        <w:rPr>
          <w:rFonts w:cs="Calibri"/>
          <w:color w:val="000000" w:themeColor="text1"/>
          <w:sz w:val="22"/>
          <w:szCs w:val="22"/>
          <w:lang w:eastAsia="en-GB"/>
        </w:rPr>
        <w:t xml:space="preserve"> and are included in the “Total” (“Closed” line item)</w:t>
      </w:r>
      <w:r w:rsidRPr="5C35425E">
        <w:rPr>
          <w:rFonts w:cs="Calibri"/>
          <w:color w:val="000000" w:themeColor="text1"/>
          <w:sz w:val="22"/>
          <w:szCs w:val="22"/>
          <w:lang w:eastAsia="en-GB"/>
        </w:rPr>
        <w:t>.</w:t>
      </w:r>
    </w:p>
    <w:p w14:paraId="0BB20C28" w14:textId="6F8B4F60" w:rsidR="000F3E80" w:rsidRPr="0056682C" w:rsidRDefault="000F3E80" w:rsidP="00483FD7">
      <w:pPr>
        <w:pStyle w:val="Reasons"/>
        <w:rPr>
          <w:rFonts w:asciiTheme="minorHAnsi" w:hAnsiTheme="minorHAnsi" w:cstheme="minorHAnsi"/>
          <w:lang w:val="en-GB"/>
        </w:rPr>
      </w:pPr>
    </w:p>
    <w:p w14:paraId="35C6D0A5" w14:textId="77777777" w:rsidR="007A3FCD" w:rsidRPr="00C0458D" w:rsidRDefault="007A3FCD" w:rsidP="007A3FCD">
      <w:pPr>
        <w:jc w:val="center"/>
      </w:pPr>
      <w:r>
        <w:t>______________</w:t>
      </w:r>
    </w:p>
    <w:sectPr w:rsidR="007A3FCD" w:rsidRPr="00C0458D"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AD5A" w14:textId="77777777" w:rsidR="00D32F97" w:rsidRDefault="00D32F97">
      <w:r>
        <w:separator/>
      </w:r>
    </w:p>
  </w:endnote>
  <w:endnote w:type="continuationSeparator" w:id="0">
    <w:p w14:paraId="1A4E8045" w14:textId="77777777" w:rsidR="00D32F97" w:rsidRDefault="00D32F97">
      <w:r>
        <w:continuationSeparator/>
      </w:r>
    </w:p>
  </w:endnote>
  <w:endnote w:type="continuationNotice" w:id="1">
    <w:p w14:paraId="7E409893" w14:textId="77777777" w:rsidR="00D32F97" w:rsidRDefault="00D32F9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F9D2920" w14:textId="77777777" w:rsidTr="00483FD7">
      <w:trPr>
        <w:jc w:val="center"/>
      </w:trPr>
      <w:tc>
        <w:tcPr>
          <w:tcW w:w="1803" w:type="dxa"/>
          <w:vAlign w:val="center"/>
        </w:tcPr>
        <w:p w14:paraId="5B3DDD9A" w14:textId="77777777" w:rsidR="00EE49E8" w:rsidRDefault="00C6520B" w:rsidP="00EE49E8">
          <w:pPr>
            <w:pStyle w:val="Header"/>
            <w:jc w:val="left"/>
            <w:rPr>
              <w:noProof/>
            </w:rPr>
          </w:pPr>
          <w:r>
            <w:rPr>
              <w:noProof/>
            </w:rPr>
            <w:t>gDoc #</w:t>
          </w:r>
        </w:p>
      </w:tc>
      <w:tc>
        <w:tcPr>
          <w:tcW w:w="8261" w:type="dxa"/>
        </w:tcPr>
        <w:p w14:paraId="6F6B3A01" w14:textId="4DAA7EA4" w:rsidR="00EE49E8" w:rsidRPr="00E06FD5" w:rsidRDefault="00EE49E8" w:rsidP="000745AB">
          <w:pPr>
            <w:pStyle w:val="Header"/>
            <w:tabs>
              <w:tab w:val="left" w:pos="6164"/>
              <w:tab w:val="right" w:pos="8505"/>
              <w:tab w:val="right" w:pos="9639"/>
            </w:tabs>
            <w:jc w:val="left"/>
            <w:rPr>
              <w:rFonts w:ascii="Arial" w:hAnsi="Arial" w:cs="Arial"/>
              <w:b/>
              <w:bCs/>
              <w:szCs w:val="18"/>
            </w:rPr>
          </w:pPr>
          <w:r>
            <w:rPr>
              <w:bCs/>
            </w:rPr>
            <w:tab/>
          </w:r>
          <w:r w:rsidRPr="00623AE3">
            <w:rPr>
              <w:bCs/>
            </w:rPr>
            <w:t>C</w:t>
          </w:r>
          <w:r>
            <w:rPr>
              <w:bCs/>
            </w:rPr>
            <w:t>2</w:t>
          </w:r>
          <w:r w:rsidR="00C6520B">
            <w:rPr>
              <w:bCs/>
            </w:rPr>
            <w:t>5</w:t>
          </w:r>
          <w:r w:rsidRPr="00623AE3">
            <w:rPr>
              <w:bCs/>
            </w:rPr>
            <w:t>/</w:t>
          </w:r>
          <w:r w:rsidR="00D577AC">
            <w:rPr>
              <w:bCs/>
            </w:rPr>
            <w:t>44</w:t>
          </w:r>
          <w:r w:rsidRPr="00623AE3">
            <w:rPr>
              <w:bCs/>
            </w:rPr>
            <w:t>-E</w:t>
          </w:r>
          <w:r>
            <w:rPr>
              <w:bCs/>
            </w:rPr>
            <w:tab/>
          </w:r>
          <w:r>
            <w:fldChar w:fldCharType="begin"/>
          </w:r>
          <w:r>
            <w:instrText>PAGE</w:instrText>
          </w:r>
          <w:r>
            <w:fldChar w:fldCharType="separate"/>
          </w:r>
          <w:r>
            <w:t>1</w:t>
          </w:r>
          <w:r>
            <w:rPr>
              <w:noProof/>
            </w:rPr>
            <w:fldChar w:fldCharType="end"/>
          </w:r>
        </w:p>
      </w:tc>
    </w:tr>
  </w:tbl>
  <w:p w14:paraId="4B3FBF10" w14:textId="77777777" w:rsidR="00EE49E8" w:rsidRPr="00914370" w:rsidRDefault="00EE49E8" w:rsidP="00EE49E8">
    <w:pPr>
      <w:pStyle w:val="Header"/>
      <w:tabs>
        <w:tab w:val="left" w:pos="8080"/>
        <w:tab w:val="right" w:pos="9072"/>
      </w:tabs>
      <w:jc w:val="left"/>
      <w:rPr>
        <w:bCs/>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10B15790" w14:textId="77777777" w:rsidTr="006B77F1">
      <w:trPr>
        <w:jc w:val="center"/>
      </w:trPr>
      <w:tc>
        <w:tcPr>
          <w:tcW w:w="1803" w:type="dxa"/>
          <w:vAlign w:val="center"/>
        </w:tcPr>
        <w:p w14:paraId="1D4130C1" w14:textId="77777777" w:rsidR="00EE49E8" w:rsidRPr="006B77F1" w:rsidRDefault="00BF1FDE" w:rsidP="00EE49E8">
          <w:pPr>
            <w:pStyle w:val="Header"/>
            <w:jc w:val="left"/>
            <w:rPr>
              <w:noProof/>
            </w:rPr>
          </w:pPr>
          <w:hyperlink r:id="rId1" w:history="1">
            <w:r w:rsidRPr="006B77F1">
              <w:rPr>
                <w:rStyle w:val="Hyperlink"/>
                <w:u w:val="none"/>
              </w:rPr>
              <w:t>council.itu.int/2025</w:t>
            </w:r>
          </w:hyperlink>
        </w:p>
      </w:tc>
      <w:tc>
        <w:tcPr>
          <w:tcW w:w="8261" w:type="dxa"/>
        </w:tcPr>
        <w:p w14:paraId="68F817AE" w14:textId="65C0490F" w:rsidR="00EE49E8" w:rsidRPr="00E06FD5" w:rsidRDefault="00EE49E8" w:rsidP="000745AB">
          <w:pPr>
            <w:pStyle w:val="Header"/>
            <w:tabs>
              <w:tab w:val="left" w:pos="6448"/>
              <w:tab w:val="right" w:pos="8505"/>
              <w:tab w:val="right" w:pos="9639"/>
            </w:tabs>
            <w:jc w:val="left"/>
            <w:rPr>
              <w:rFonts w:ascii="Arial" w:hAnsi="Arial" w:cs="Arial"/>
              <w:b/>
              <w:bCs/>
              <w:szCs w:val="18"/>
            </w:rPr>
          </w:pPr>
          <w:r>
            <w:rPr>
              <w:bCs/>
            </w:rPr>
            <w:tab/>
          </w:r>
          <w:r w:rsidRPr="00623AE3">
            <w:rPr>
              <w:bCs/>
            </w:rPr>
            <w:t>C</w:t>
          </w:r>
          <w:r>
            <w:rPr>
              <w:bCs/>
            </w:rPr>
            <w:t>2</w:t>
          </w:r>
          <w:r w:rsidR="00BF1FDE">
            <w:rPr>
              <w:bCs/>
            </w:rPr>
            <w:t>5</w:t>
          </w:r>
          <w:r w:rsidRPr="00623AE3">
            <w:rPr>
              <w:bCs/>
            </w:rPr>
            <w:t>/</w:t>
          </w:r>
          <w:r w:rsidR="00D577AC">
            <w:rPr>
              <w:bCs/>
            </w:rPr>
            <w:t>44</w:t>
          </w:r>
          <w:r w:rsidRPr="00623AE3">
            <w:rPr>
              <w:bCs/>
            </w:rPr>
            <w:t>-E</w:t>
          </w:r>
          <w:r>
            <w:rPr>
              <w:bCs/>
            </w:rPr>
            <w:tab/>
          </w:r>
          <w:r>
            <w:fldChar w:fldCharType="begin"/>
          </w:r>
          <w:r>
            <w:instrText>PAGE</w:instrText>
          </w:r>
          <w:r>
            <w:fldChar w:fldCharType="separate"/>
          </w:r>
          <w:r>
            <w:t>1</w:t>
          </w:r>
          <w:r>
            <w:rPr>
              <w:noProof/>
            </w:rPr>
            <w:fldChar w:fldCharType="end"/>
          </w:r>
        </w:p>
      </w:tc>
    </w:tr>
  </w:tbl>
  <w:p w14:paraId="7E78F19F" w14:textId="77777777" w:rsidR="00A514A4" w:rsidRPr="00623AE3" w:rsidRDefault="00A514A4" w:rsidP="00CC47C2">
    <w:pPr>
      <w:pStyle w:val="Header"/>
      <w:tabs>
        <w:tab w:val="left" w:pos="8080"/>
        <w:tab w:val="right" w:pos="9072"/>
      </w:tabs>
      <w:jc w:val="lef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D25D7" w14:textId="77777777" w:rsidR="00D32F97" w:rsidRDefault="00D32F97">
      <w:r>
        <w:t>____________________</w:t>
      </w:r>
    </w:p>
  </w:footnote>
  <w:footnote w:type="continuationSeparator" w:id="0">
    <w:p w14:paraId="0E264A5C" w14:textId="77777777" w:rsidR="00D32F97" w:rsidRDefault="00D32F97">
      <w:r>
        <w:continuationSeparator/>
      </w:r>
    </w:p>
  </w:footnote>
  <w:footnote w:type="continuationNotice" w:id="1">
    <w:p w14:paraId="7A33005A" w14:textId="77777777" w:rsidR="00D32F97" w:rsidRDefault="00D32F97">
      <w:pPr>
        <w:spacing w:before="0"/>
      </w:pPr>
    </w:p>
  </w:footnote>
  <w:footnote w:id="2">
    <w:p w14:paraId="4A8156FB" w14:textId="77777777" w:rsidR="00554463" w:rsidRPr="00056D81" w:rsidRDefault="00554463" w:rsidP="00554463">
      <w:pPr>
        <w:pStyle w:val="FootnoteText"/>
        <w:tabs>
          <w:tab w:val="clear" w:pos="567"/>
          <w:tab w:val="clear" w:pos="1134"/>
          <w:tab w:val="clear" w:pos="1701"/>
          <w:tab w:val="clear" w:pos="2268"/>
          <w:tab w:val="clear" w:pos="2835"/>
        </w:tabs>
        <w:spacing w:before="0"/>
      </w:pPr>
      <w:r>
        <w:rPr>
          <w:rStyle w:val="FootnoteReference"/>
        </w:rPr>
        <w:footnoteRef/>
      </w:r>
      <w:r>
        <w:t xml:space="preserve"> </w:t>
      </w:r>
      <w:r>
        <w:tab/>
      </w:r>
      <w:r w:rsidRPr="00E30743">
        <w:rPr>
          <w:rFonts w:cs="Calibri"/>
          <w:sz w:val="18"/>
          <w:szCs w:val="18"/>
        </w:rPr>
        <w:t xml:space="preserve">Service Order </w:t>
      </w:r>
      <w:r>
        <w:rPr>
          <w:rFonts w:cs="Calibri"/>
          <w:sz w:val="18"/>
          <w:szCs w:val="18"/>
        </w:rPr>
        <w:t>24</w:t>
      </w:r>
      <w:r w:rsidRPr="00E30743">
        <w:rPr>
          <w:rFonts w:cs="Calibri"/>
          <w:sz w:val="18"/>
          <w:szCs w:val="18"/>
        </w:rPr>
        <w:t>/09, promulgated by the S</w:t>
      </w:r>
      <w:r>
        <w:rPr>
          <w:rFonts w:cs="Calibri"/>
          <w:sz w:val="18"/>
          <w:szCs w:val="18"/>
        </w:rPr>
        <w:t xml:space="preserve">G </w:t>
      </w:r>
      <w:r w:rsidRPr="00E30743">
        <w:rPr>
          <w:rFonts w:cs="Calibri"/>
          <w:sz w:val="18"/>
          <w:szCs w:val="18"/>
        </w:rPr>
        <w:t xml:space="preserve">on </w:t>
      </w:r>
      <w:r>
        <w:rPr>
          <w:rFonts w:cs="Calibri"/>
          <w:sz w:val="18"/>
          <w:szCs w:val="18"/>
        </w:rPr>
        <w:t>10 September 2024</w:t>
      </w:r>
    </w:p>
  </w:footnote>
  <w:footnote w:id="3">
    <w:p w14:paraId="1658BC9A" w14:textId="77777777" w:rsidR="00554463" w:rsidRPr="00371775" w:rsidRDefault="00554463" w:rsidP="00554463">
      <w:pPr>
        <w:pStyle w:val="FootnoteText"/>
        <w:tabs>
          <w:tab w:val="clear" w:pos="567"/>
          <w:tab w:val="clear" w:pos="1134"/>
          <w:tab w:val="clear" w:pos="1701"/>
          <w:tab w:val="clear" w:pos="2268"/>
          <w:tab w:val="clear" w:pos="2835"/>
        </w:tabs>
        <w:spacing w:before="0"/>
        <w:rPr>
          <w:sz w:val="16"/>
          <w:szCs w:val="16"/>
        </w:rPr>
      </w:pPr>
      <w:r w:rsidRPr="00040E17">
        <w:rPr>
          <w:rStyle w:val="FootnoteReference"/>
          <w:szCs w:val="16"/>
        </w:rPr>
        <w:footnoteRef/>
      </w:r>
      <w:r w:rsidRPr="00040E17">
        <w:rPr>
          <w:sz w:val="16"/>
          <w:szCs w:val="16"/>
        </w:rPr>
        <w:t xml:space="preserve"> </w:t>
      </w:r>
      <w:r>
        <w:rPr>
          <w:sz w:val="16"/>
          <w:szCs w:val="16"/>
        </w:rPr>
        <w:tab/>
      </w:r>
      <w:r w:rsidRPr="00E30743">
        <w:rPr>
          <w:sz w:val="18"/>
          <w:szCs w:val="18"/>
        </w:rPr>
        <w:t xml:space="preserve">Institute of Internal Auditors, </w:t>
      </w:r>
      <w:hyperlink r:id="rId1" w:history="1">
        <w:r w:rsidRPr="00E30743">
          <w:rPr>
            <w:rStyle w:val="Hyperlink"/>
            <w:sz w:val="18"/>
            <w:szCs w:val="18"/>
          </w:rPr>
          <w:t>www.theiia.org</w:t>
        </w:r>
      </w:hyperlink>
    </w:p>
  </w:footnote>
  <w:footnote w:id="4">
    <w:p w14:paraId="7A9BC112" w14:textId="0EA22E44" w:rsidR="00D82A73" w:rsidRPr="00B3138C" w:rsidRDefault="00D82A73" w:rsidP="00D82A73">
      <w:pPr>
        <w:pStyle w:val="FootnoteText"/>
        <w:tabs>
          <w:tab w:val="clear" w:pos="567"/>
          <w:tab w:val="clear" w:pos="1134"/>
          <w:tab w:val="clear" w:pos="1701"/>
          <w:tab w:val="clear" w:pos="2268"/>
          <w:tab w:val="clear" w:pos="2835"/>
        </w:tabs>
        <w:spacing w:before="0"/>
        <w:rPr>
          <w:rFonts w:asciiTheme="minorHAnsi" w:hAnsiTheme="minorHAnsi" w:cstheme="minorHAnsi"/>
          <w:sz w:val="16"/>
          <w:szCs w:val="16"/>
        </w:rPr>
      </w:pPr>
      <w:r w:rsidRPr="00371775">
        <w:rPr>
          <w:rStyle w:val="FootnoteReference"/>
          <w:rFonts w:asciiTheme="minorHAnsi" w:hAnsiTheme="minorHAnsi" w:cstheme="minorHAnsi"/>
          <w:szCs w:val="16"/>
        </w:rPr>
        <w:footnoteRef/>
      </w:r>
      <w:r w:rsidRPr="00371775">
        <w:rPr>
          <w:rFonts w:asciiTheme="minorHAnsi" w:hAnsiTheme="minorHAnsi" w:cstheme="minorHAnsi"/>
          <w:sz w:val="16"/>
          <w:szCs w:val="16"/>
        </w:rPr>
        <w:t xml:space="preserve"> </w:t>
      </w:r>
      <w:r>
        <w:rPr>
          <w:rFonts w:asciiTheme="minorHAnsi" w:hAnsiTheme="minorHAnsi" w:cstheme="minorHAnsi"/>
          <w:sz w:val="16"/>
          <w:szCs w:val="16"/>
        </w:rPr>
        <w:tab/>
      </w:r>
      <w:r w:rsidR="00B3138C" w:rsidRPr="00105EF4">
        <w:rPr>
          <w:rFonts w:asciiTheme="minorHAnsi" w:hAnsiTheme="minorHAnsi" w:cstheme="minorHAnsi"/>
          <w:sz w:val="20"/>
        </w:rPr>
        <w:t xml:space="preserve">The IIA’s </w:t>
      </w:r>
      <w:r w:rsidR="00B3138C" w:rsidRPr="00105EF4">
        <w:rPr>
          <w:rFonts w:asciiTheme="minorHAnsi" w:hAnsiTheme="minorHAnsi" w:cstheme="minorHAnsi"/>
          <w:color w:val="202124"/>
          <w:sz w:val="20"/>
          <w:shd w:val="clear" w:color="auto" w:fill="FFFFFF"/>
        </w:rPr>
        <w:t>GIAS 15</w:t>
      </w:r>
      <w:r w:rsidRPr="00105EF4">
        <w:rPr>
          <w:rFonts w:asciiTheme="minorHAnsi" w:hAnsiTheme="minorHAnsi" w:cstheme="minorHAnsi"/>
          <w:color w:val="202124"/>
          <w:sz w:val="20"/>
          <w:shd w:val="clear" w:color="auto" w:fill="FFFFFF"/>
        </w:rPr>
        <w:t>.</w:t>
      </w:r>
      <w:r w:rsidR="00B3138C" w:rsidRPr="00105EF4">
        <w:rPr>
          <w:rFonts w:asciiTheme="minorHAnsi" w:hAnsiTheme="minorHAnsi" w:cstheme="minorHAnsi"/>
          <w:color w:val="202124"/>
          <w:sz w:val="20"/>
          <w:shd w:val="clear" w:color="auto" w:fill="FFFFFF"/>
        </w:rPr>
        <w:t>2 Confirming the implementation of recommendations or action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8"/>
      <w:gridCol w:w="4022"/>
    </w:tblGrid>
    <w:tr w:rsidR="00AD3606" w:rsidRPr="00784011" w14:paraId="34A86D35" w14:textId="77777777" w:rsidTr="00483FD7">
      <w:trPr>
        <w:trHeight w:val="1104"/>
        <w:jc w:val="center"/>
      </w:trPr>
      <w:tc>
        <w:tcPr>
          <w:tcW w:w="4390" w:type="dxa"/>
          <w:vAlign w:val="center"/>
        </w:tcPr>
        <w:p w14:paraId="5AD45E6C" w14:textId="77777777" w:rsidR="00AD3606" w:rsidRPr="009621F8" w:rsidRDefault="003936D3" w:rsidP="00CF4A2B">
          <w:pPr>
            <w:pStyle w:val="Header"/>
            <w:jc w:val="left"/>
            <w:rPr>
              <w:rFonts w:ascii="Arial" w:hAnsi="Arial" w:cs="Arial"/>
              <w:b/>
              <w:bCs/>
              <w:color w:val="009CD6"/>
              <w:sz w:val="36"/>
              <w:szCs w:val="36"/>
            </w:rPr>
          </w:pPr>
          <w:bookmarkStart w:id="13" w:name="_Hlk133422111"/>
          <w:r>
            <w:rPr>
              <w:rFonts w:ascii="Arial" w:hAnsi="Arial" w:cs="Arial"/>
              <w:b/>
              <w:bCs/>
              <w:noProof/>
              <w:color w:val="009CD6"/>
              <w:sz w:val="36"/>
              <w:szCs w:val="36"/>
            </w:rPr>
            <w:drawing>
              <wp:inline distT="0" distB="0" distL="0" distR="0" wp14:anchorId="313B81B2" wp14:editId="52EB5A23">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5630" w:type="dxa"/>
        </w:tcPr>
        <w:p w14:paraId="20374029" w14:textId="77777777" w:rsidR="00AD3606" w:rsidRDefault="00AD3606" w:rsidP="00AD3606">
          <w:pPr>
            <w:pStyle w:val="Header"/>
            <w:jc w:val="right"/>
            <w:rPr>
              <w:rFonts w:ascii="Arial" w:hAnsi="Arial" w:cs="Arial"/>
              <w:b/>
              <w:bCs/>
              <w:color w:val="009CD6"/>
              <w:szCs w:val="18"/>
            </w:rPr>
          </w:pPr>
        </w:p>
        <w:p w14:paraId="02A52018" w14:textId="77777777" w:rsidR="00AD3606" w:rsidRDefault="00AD3606" w:rsidP="00AD3606">
          <w:pPr>
            <w:pStyle w:val="Header"/>
            <w:jc w:val="right"/>
            <w:rPr>
              <w:rFonts w:ascii="Arial" w:hAnsi="Arial" w:cs="Arial"/>
              <w:b/>
              <w:bCs/>
              <w:color w:val="009CD6"/>
              <w:szCs w:val="18"/>
            </w:rPr>
          </w:pPr>
        </w:p>
        <w:p w14:paraId="13CCD8DE"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3C724958"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29EDCDB4" wp14:editId="1542E4D0">
              <wp:simplePos x="0" y="0"/>
              <wp:positionH relativeFrom="page">
                <wp:posOffset>3810</wp:posOffset>
              </wp:positionH>
              <wp:positionV relativeFrom="topMargin">
                <wp:posOffset>601122</wp:posOffset>
              </wp:positionV>
              <wp:extent cx="108000" cy="396000"/>
              <wp:effectExtent l="0" t="0" r="635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B4F70" id="Rectangle 5" o:spid="_x0000_s1026" style="position:absolute;margin-left:.3pt;margin-top:47.35pt;width:8.5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552E63"/>
    <w:multiLevelType w:val="multilevel"/>
    <w:tmpl w:val="9812815E"/>
    <w:lvl w:ilvl="0">
      <w:start w:val="1"/>
      <w:numFmt w:val="decimal"/>
      <w:pStyle w:val="Style1"/>
      <w:lvlText w:val="%1."/>
      <w:lvlJc w:val="left"/>
      <w:pPr>
        <w:ind w:left="360" w:hanging="360"/>
      </w:pPr>
      <w:rPr>
        <w:rFonts w:asciiTheme="majorHAnsi" w:hAnsiTheme="majorHAnsi" w:cstheme="majorHAnsi" w:hint="default"/>
        <w:b w:val="0"/>
        <w:bCs w:val="0"/>
        <w:i w:val="0"/>
        <w:iCs w:val="0"/>
        <w:color w:val="000000"/>
        <w:sz w:val="22"/>
        <w:szCs w:val="22"/>
        <w:lang w:val="en-U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D94DB3"/>
    <w:multiLevelType w:val="hybridMultilevel"/>
    <w:tmpl w:val="3D5C3B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5472F7"/>
    <w:multiLevelType w:val="hybridMultilevel"/>
    <w:tmpl w:val="A46AF6FC"/>
    <w:lvl w:ilvl="0" w:tplc="FFFFFFFF">
      <w:start w:val="1"/>
      <w:numFmt w:val="upperLetter"/>
      <w:lvlText w:val="%1."/>
      <w:lvlJc w:val="left"/>
      <w:pPr>
        <w:ind w:left="720" w:hanging="360"/>
      </w:pPr>
      <w:rPr>
        <w:rFonts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4D548A"/>
    <w:multiLevelType w:val="hybridMultilevel"/>
    <w:tmpl w:val="A46AF6FC"/>
    <w:lvl w:ilvl="0" w:tplc="C902F800">
      <w:start w:val="1"/>
      <w:numFmt w:val="upperLetter"/>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8C314B"/>
    <w:multiLevelType w:val="hybridMultilevel"/>
    <w:tmpl w:val="1AF82320"/>
    <w:lvl w:ilvl="0" w:tplc="C7DE2A60">
      <w:start w:val="1"/>
      <w:numFmt w:val="decimal"/>
      <w:lvlText w:val="%1."/>
      <w:lvlJc w:val="left"/>
      <w:pPr>
        <w:ind w:left="360" w:hanging="360"/>
      </w:pPr>
      <w:rPr>
        <w:rFonts w:asciiTheme="minorHAnsi" w:hAnsiTheme="minorHAnsi" w:hint="default"/>
        <w:b w:val="0"/>
        <w:bCs w:val="0"/>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F0690B"/>
    <w:multiLevelType w:val="hybridMultilevel"/>
    <w:tmpl w:val="A46AF6FC"/>
    <w:lvl w:ilvl="0" w:tplc="FFFFFFFF">
      <w:start w:val="1"/>
      <w:numFmt w:val="upperLetter"/>
      <w:lvlText w:val="%1."/>
      <w:lvlJc w:val="left"/>
      <w:pPr>
        <w:ind w:left="720" w:hanging="360"/>
      </w:pPr>
      <w:rPr>
        <w:rFonts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77566C"/>
    <w:multiLevelType w:val="hybridMultilevel"/>
    <w:tmpl w:val="A46AF6FC"/>
    <w:lvl w:ilvl="0" w:tplc="FFFFFFFF">
      <w:start w:val="1"/>
      <w:numFmt w:val="upperLetter"/>
      <w:lvlText w:val="%1."/>
      <w:lvlJc w:val="left"/>
      <w:pPr>
        <w:ind w:left="720" w:hanging="360"/>
      </w:pPr>
      <w:rPr>
        <w:rFonts w:hint="default"/>
        <w:b/>
        <w:bCs/>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BA1664"/>
    <w:multiLevelType w:val="hybridMultilevel"/>
    <w:tmpl w:val="8FFE9A38"/>
    <w:lvl w:ilvl="0" w:tplc="0040D2B4">
      <w:start w:val="1"/>
      <w:numFmt w:val="bullet"/>
      <w:lvlText w:val=""/>
      <w:lvlJc w:val="left"/>
      <w:pPr>
        <w:ind w:left="720" w:hanging="360"/>
      </w:pPr>
      <w:rPr>
        <w:rFonts w:ascii="Symbol" w:hAnsi="Symbol" w:hint="default"/>
      </w:rPr>
    </w:lvl>
    <w:lvl w:ilvl="1" w:tplc="D4B00D76">
      <w:start w:val="1"/>
      <w:numFmt w:val="bullet"/>
      <w:lvlText w:val="o"/>
      <w:lvlJc w:val="left"/>
      <w:pPr>
        <w:ind w:left="1440" w:hanging="360"/>
      </w:pPr>
      <w:rPr>
        <w:rFonts w:ascii="Courier New" w:hAnsi="Courier New" w:hint="default"/>
      </w:rPr>
    </w:lvl>
    <w:lvl w:ilvl="2" w:tplc="BCFA4A46">
      <w:start w:val="1"/>
      <w:numFmt w:val="bullet"/>
      <w:lvlText w:val=""/>
      <w:lvlJc w:val="left"/>
      <w:pPr>
        <w:ind w:left="2160" w:hanging="360"/>
      </w:pPr>
      <w:rPr>
        <w:rFonts w:ascii="Wingdings" w:hAnsi="Wingdings" w:hint="default"/>
      </w:rPr>
    </w:lvl>
    <w:lvl w:ilvl="3" w:tplc="DD0EE22E">
      <w:start w:val="1"/>
      <w:numFmt w:val="bullet"/>
      <w:lvlText w:val=""/>
      <w:lvlJc w:val="left"/>
      <w:pPr>
        <w:ind w:left="2880" w:hanging="360"/>
      </w:pPr>
      <w:rPr>
        <w:rFonts w:ascii="Symbol" w:hAnsi="Symbol" w:hint="default"/>
      </w:rPr>
    </w:lvl>
    <w:lvl w:ilvl="4" w:tplc="C1AC6994">
      <w:start w:val="1"/>
      <w:numFmt w:val="bullet"/>
      <w:lvlText w:val="o"/>
      <w:lvlJc w:val="left"/>
      <w:pPr>
        <w:ind w:left="3600" w:hanging="360"/>
      </w:pPr>
      <w:rPr>
        <w:rFonts w:ascii="Courier New" w:hAnsi="Courier New" w:hint="default"/>
      </w:rPr>
    </w:lvl>
    <w:lvl w:ilvl="5" w:tplc="DEA2A6B4">
      <w:start w:val="1"/>
      <w:numFmt w:val="bullet"/>
      <w:lvlText w:val=""/>
      <w:lvlJc w:val="left"/>
      <w:pPr>
        <w:ind w:left="4320" w:hanging="360"/>
      </w:pPr>
      <w:rPr>
        <w:rFonts w:ascii="Wingdings" w:hAnsi="Wingdings" w:hint="default"/>
      </w:rPr>
    </w:lvl>
    <w:lvl w:ilvl="6" w:tplc="BAAAA5BC">
      <w:start w:val="1"/>
      <w:numFmt w:val="bullet"/>
      <w:lvlText w:val=""/>
      <w:lvlJc w:val="left"/>
      <w:pPr>
        <w:ind w:left="5040" w:hanging="360"/>
      </w:pPr>
      <w:rPr>
        <w:rFonts w:ascii="Symbol" w:hAnsi="Symbol" w:hint="default"/>
      </w:rPr>
    </w:lvl>
    <w:lvl w:ilvl="7" w:tplc="CC0C76A8">
      <w:start w:val="1"/>
      <w:numFmt w:val="bullet"/>
      <w:lvlText w:val="o"/>
      <w:lvlJc w:val="left"/>
      <w:pPr>
        <w:ind w:left="5760" w:hanging="360"/>
      </w:pPr>
      <w:rPr>
        <w:rFonts w:ascii="Courier New" w:hAnsi="Courier New" w:hint="default"/>
      </w:rPr>
    </w:lvl>
    <w:lvl w:ilvl="8" w:tplc="6DDE5E30">
      <w:start w:val="1"/>
      <w:numFmt w:val="bullet"/>
      <w:lvlText w:val=""/>
      <w:lvlJc w:val="left"/>
      <w:pPr>
        <w:ind w:left="6480" w:hanging="360"/>
      </w:pPr>
      <w:rPr>
        <w:rFonts w:ascii="Wingdings" w:hAnsi="Wingdings" w:hint="default"/>
      </w:rPr>
    </w:lvl>
  </w:abstractNum>
  <w:num w:numId="1" w16cid:durableId="1374816267">
    <w:abstractNumId w:val="0"/>
  </w:num>
  <w:num w:numId="2" w16cid:durableId="1690251114">
    <w:abstractNumId w:val="5"/>
  </w:num>
  <w:num w:numId="3" w16cid:durableId="50344998">
    <w:abstractNumId w:val="4"/>
  </w:num>
  <w:num w:numId="4" w16cid:durableId="609970097">
    <w:abstractNumId w:val="7"/>
  </w:num>
  <w:num w:numId="5" w16cid:durableId="2103183727">
    <w:abstractNumId w:val="2"/>
  </w:num>
  <w:num w:numId="6" w16cid:durableId="941498317">
    <w:abstractNumId w:val="3"/>
  </w:num>
  <w:num w:numId="7" w16cid:durableId="1090274222">
    <w:abstractNumId w:val="8"/>
  </w:num>
  <w:num w:numId="8" w16cid:durableId="500043897">
    <w:abstractNumId w:val="1"/>
  </w:num>
  <w:num w:numId="9" w16cid:durableId="1218977593">
    <w:abstractNumId w:val="1"/>
  </w:num>
  <w:num w:numId="10" w16cid:durableId="425468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1F8"/>
    <w:rsid w:val="000101DF"/>
    <w:rsid w:val="0001157E"/>
    <w:rsid w:val="000210D4"/>
    <w:rsid w:val="000236D2"/>
    <w:rsid w:val="0006007D"/>
    <w:rsid w:val="00060137"/>
    <w:rsid w:val="00063016"/>
    <w:rsid w:val="00066795"/>
    <w:rsid w:val="00067709"/>
    <w:rsid w:val="000745AB"/>
    <w:rsid w:val="00076AF6"/>
    <w:rsid w:val="00085CF2"/>
    <w:rsid w:val="000A02A6"/>
    <w:rsid w:val="000A1472"/>
    <w:rsid w:val="000B1705"/>
    <w:rsid w:val="000D75B2"/>
    <w:rsid w:val="000E7BA2"/>
    <w:rsid w:val="000F1C5F"/>
    <w:rsid w:val="000F3E80"/>
    <w:rsid w:val="000F5DDB"/>
    <w:rsid w:val="000F7289"/>
    <w:rsid w:val="00103A0D"/>
    <w:rsid w:val="00105EF4"/>
    <w:rsid w:val="001121F5"/>
    <w:rsid w:val="0011532E"/>
    <w:rsid w:val="001400DC"/>
    <w:rsid w:val="00140CE1"/>
    <w:rsid w:val="00144CD2"/>
    <w:rsid w:val="00152F64"/>
    <w:rsid w:val="0017539C"/>
    <w:rsid w:val="00175AC2"/>
    <w:rsid w:val="0017609F"/>
    <w:rsid w:val="001A3154"/>
    <w:rsid w:val="001A7D1D"/>
    <w:rsid w:val="001B51DD"/>
    <w:rsid w:val="001C628E"/>
    <w:rsid w:val="001C7BF9"/>
    <w:rsid w:val="001D57A4"/>
    <w:rsid w:val="001E0F7B"/>
    <w:rsid w:val="001F5569"/>
    <w:rsid w:val="001F6B88"/>
    <w:rsid w:val="002119FD"/>
    <w:rsid w:val="002130E0"/>
    <w:rsid w:val="00217411"/>
    <w:rsid w:val="00221F46"/>
    <w:rsid w:val="0023485D"/>
    <w:rsid w:val="00251659"/>
    <w:rsid w:val="00264425"/>
    <w:rsid w:val="00265875"/>
    <w:rsid w:val="0027303B"/>
    <w:rsid w:val="002737EB"/>
    <w:rsid w:val="00280689"/>
    <w:rsid w:val="0028109B"/>
    <w:rsid w:val="00281A07"/>
    <w:rsid w:val="0028649F"/>
    <w:rsid w:val="002A1FE5"/>
    <w:rsid w:val="002A2188"/>
    <w:rsid w:val="002B1F58"/>
    <w:rsid w:val="002B327C"/>
    <w:rsid w:val="002C1C7A"/>
    <w:rsid w:val="002C54E2"/>
    <w:rsid w:val="002E4076"/>
    <w:rsid w:val="0030160F"/>
    <w:rsid w:val="00320223"/>
    <w:rsid w:val="00322D0D"/>
    <w:rsid w:val="00346021"/>
    <w:rsid w:val="00361465"/>
    <w:rsid w:val="00382F18"/>
    <w:rsid w:val="003877F5"/>
    <w:rsid w:val="003931CD"/>
    <w:rsid w:val="003936D3"/>
    <w:rsid w:val="003942D4"/>
    <w:rsid w:val="003958A8"/>
    <w:rsid w:val="003A76DF"/>
    <w:rsid w:val="003B1D21"/>
    <w:rsid w:val="003B29C2"/>
    <w:rsid w:val="003C2533"/>
    <w:rsid w:val="003D5A7F"/>
    <w:rsid w:val="003F1D91"/>
    <w:rsid w:val="0040435A"/>
    <w:rsid w:val="0040732B"/>
    <w:rsid w:val="00416A24"/>
    <w:rsid w:val="00427BFF"/>
    <w:rsid w:val="00431D9E"/>
    <w:rsid w:val="00433CE8"/>
    <w:rsid w:val="00434A5C"/>
    <w:rsid w:val="0044519A"/>
    <w:rsid w:val="00453079"/>
    <w:rsid w:val="004544D9"/>
    <w:rsid w:val="00472BAD"/>
    <w:rsid w:val="0047472E"/>
    <w:rsid w:val="004811F8"/>
    <w:rsid w:val="00483FD7"/>
    <w:rsid w:val="00484009"/>
    <w:rsid w:val="00490E72"/>
    <w:rsid w:val="00491157"/>
    <w:rsid w:val="00491BA9"/>
    <w:rsid w:val="004921C8"/>
    <w:rsid w:val="00495B0B"/>
    <w:rsid w:val="004A07F6"/>
    <w:rsid w:val="004A1B8B"/>
    <w:rsid w:val="004B25A1"/>
    <w:rsid w:val="004B61AE"/>
    <w:rsid w:val="004D1851"/>
    <w:rsid w:val="004D599D"/>
    <w:rsid w:val="004E2EA5"/>
    <w:rsid w:val="004E3AEB"/>
    <w:rsid w:val="0050223C"/>
    <w:rsid w:val="005243FF"/>
    <w:rsid w:val="00535C18"/>
    <w:rsid w:val="005468AD"/>
    <w:rsid w:val="00554463"/>
    <w:rsid w:val="00564FBC"/>
    <w:rsid w:val="0056682C"/>
    <w:rsid w:val="005800BC"/>
    <w:rsid w:val="00582442"/>
    <w:rsid w:val="005A2E10"/>
    <w:rsid w:val="005C422F"/>
    <w:rsid w:val="005D6230"/>
    <w:rsid w:val="005F3269"/>
    <w:rsid w:val="00602996"/>
    <w:rsid w:val="00623AE3"/>
    <w:rsid w:val="006253CF"/>
    <w:rsid w:val="00630C4D"/>
    <w:rsid w:val="00644EC6"/>
    <w:rsid w:val="0064737F"/>
    <w:rsid w:val="006535F1"/>
    <w:rsid w:val="00653E90"/>
    <w:rsid w:val="0065557D"/>
    <w:rsid w:val="00655F58"/>
    <w:rsid w:val="00660D50"/>
    <w:rsid w:val="00662984"/>
    <w:rsid w:val="00666614"/>
    <w:rsid w:val="006716BB"/>
    <w:rsid w:val="006952BA"/>
    <w:rsid w:val="006B1859"/>
    <w:rsid w:val="006B5BA7"/>
    <w:rsid w:val="006B6680"/>
    <w:rsid w:val="006B6DCC"/>
    <w:rsid w:val="006B77F1"/>
    <w:rsid w:val="006C5ECF"/>
    <w:rsid w:val="006D0671"/>
    <w:rsid w:val="00702DEF"/>
    <w:rsid w:val="00706861"/>
    <w:rsid w:val="00722551"/>
    <w:rsid w:val="00736117"/>
    <w:rsid w:val="0075051B"/>
    <w:rsid w:val="0076642C"/>
    <w:rsid w:val="0077110E"/>
    <w:rsid w:val="007754F6"/>
    <w:rsid w:val="0078023C"/>
    <w:rsid w:val="00793188"/>
    <w:rsid w:val="00794D34"/>
    <w:rsid w:val="007A3FCD"/>
    <w:rsid w:val="007A5D90"/>
    <w:rsid w:val="007B19CF"/>
    <w:rsid w:val="007B650E"/>
    <w:rsid w:val="007C19F0"/>
    <w:rsid w:val="007D01AF"/>
    <w:rsid w:val="007F63D2"/>
    <w:rsid w:val="007F6D14"/>
    <w:rsid w:val="00813E5E"/>
    <w:rsid w:val="0083581B"/>
    <w:rsid w:val="0086182A"/>
    <w:rsid w:val="00863874"/>
    <w:rsid w:val="00864AFF"/>
    <w:rsid w:val="00865925"/>
    <w:rsid w:val="00866FAA"/>
    <w:rsid w:val="00870C51"/>
    <w:rsid w:val="008940A7"/>
    <w:rsid w:val="008A6E43"/>
    <w:rsid w:val="008B4A6A"/>
    <w:rsid w:val="008B5FB3"/>
    <w:rsid w:val="008C7E27"/>
    <w:rsid w:val="008F0E0D"/>
    <w:rsid w:val="008F7448"/>
    <w:rsid w:val="0090147A"/>
    <w:rsid w:val="00913AC1"/>
    <w:rsid w:val="00914370"/>
    <w:rsid w:val="009173EF"/>
    <w:rsid w:val="00932906"/>
    <w:rsid w:val="00961B0B"/>
    <w:rsid w:val="00962D33"/>
    <w:rsid w:val="0097294F"/>
    <w:rsid w:val="009A5B97"/>
    <w:rsid w:val="009B38C3"/>
    <w:rsid w:val="009C0559"/>
    <w:rsid w:val="009C61B7"/>
    <w:rsid w:val="009D2D30"/>
    <w:rsid w:val="009E17BD"/>
    <w:rsid w:val="009E3902"/>
    <w:rsid w:val="009E485A"/>
    <w:rsid w:val="00A04CEC"/>
    <w:rsid w:val="00A11FD0"/>
    <w:rsid w:val="00A210F8"/>
    <w:rsid w:val="00A23C23"/>
    <w:rsid w:val="00A27F92"/>
    <w:rsid w:val="00A3134F"/>
    <w:rsid w:val="00A32257"/>
    <w:rsid w:val="00A36C8D"/>
    <w:rsid w:val="00A36D20"/>
    <w:rsid w:val="00A47515"/>
    <w:rsid w:val="00A514A4"/>
    <w:rsid w:val="00A55622"/>
    <w:rsid w:val="00A55A80"/>
    <w:rsid w:val="00A60643"/>
    <w:rsid w:val="00A81C9D"/>
    <w:rsid w:val="00A83502"/>
    <w:rsid w:val="00A94BAB"/>
    <w:rsid w:val="00A96362"/>
    <w:rsid w:val="00AD15B3"/>
    <w:rsid w:val="00AD3606"/>
    <w:rsid w:val="00AD4A3D"/>
    <w:rsid w:val="00AD677D"/>
    <w:rsid w:val="00AF5447"/>
    <w:rsid w:val="00AF6E49"/>
    <w:rsid w:val="00B04A67"/>
    <w:rsid w:val="00B0583C"/>
    <w:rsid w:val="00B3138C"/>
    <w:rsid w:val="00B40A81"/>
    <w:rsid w:val="00B44522"/>
    <w:rsid w:val="00B44910"/>
    <w:rsid w:val="00B72267"/>
    <w:rsid w:val="00B76EB6"/>
    <w:rsid w:val="00B7737B"/>
    <w:rsid w:val="00B824C8"/>
    <w:rsid w:val="00B82731"/>
    <w:rsid w:val="00B84B9D"/>
    <w:rsid w:val="00B9131F"/>
    <w:rsid w:val="00B97481"/>
    <w:rsid w:val="00BB0646"/>
    <w:rsid w:val="00BC251A"/>
    <w:rsid w:val="00BD032B"/>
    <w:rsid w:val="00BD7CBB"/>
    <w:rsid w:val="00BE01C6"/>
    <w:rsid w:val="00BE2640"/>
    <w:rsid w:val="00BF1FDE"/>
    <w:rsid w:val="00C01189"/>
    <w:rsid w:val="00C0458D"/>
    <w:rsid w:val="00C374DE"/>
    <w:rsid w:val="00C42756"/>
    <w:rsid w:val="00C47AD4"/>
    <w:rsid w:val="00C52D81"/>
    <w:rsid w:val="00C55198"/>
    <w:rsid w:val="00C56CCC"/>
    <w:rsid w:val="00C6520B"/>
    <w:rsid w:val="00CA6393"/>
    <w:rsid w:val="00CA7995"/>
    <w:rsid w:val="00CB18FF"/>
    <w:rsid w:val="00CC47C2"/>
    <w:rsid w:val="00CD0C08"/>
    <w:rsid w:val="00CD4EFE"/>
    <w:rsid w:val="00CE03FB"/>
    <w:rsid w:val="00CE433C"/>
    <w:rsid w:val="00CF0161"/>
    <w:rsid w:val="00CF2B37"/>
    <w:rsid w:val="00CF33F3"/>
    <w:rsid w:val="00CF4A2B"/>
    <w:rsid w:val="00D024CA"/>
    <w:rsid w:val="00D06183"/>
    <w:rsid w:val="00D138C4"/>
    <w:rsid w:val="00D22C42"/>
    <w:rsid w:val="00D24DDD"/>
    <w:rsid w:val="00D250E6"/>
    <w:rsid w:val="00D32F97"/>
    <w:rsid w:val="00D577AC"/>
    <w:rsid w:val="00D65041"/>
    <w:rsid w:val="00D82A73"/>
    <w:rsid w:val="00D96277"/>
    <w:rsid w:val="00DB1936"/>
    <w:rsid w:val="00DB384B"/>
    <w:rsid w:val="00DD11ED"/>
    <w:rsid w:val="00DD529B"/>
    <w:rsid w:val="00DE4E6B"/>
    <w:rsid w:val="00DF0189"/>
    <w:rsid w:val="00DF26C9"/>
    <w:rsid w:val="00E06FD5"/>
    <w:rsid w:val="00E10E80"/>
    <w:rsid w:val="00E1117A"/>
    <w:rsid w:val="00E124F0"/>
    <w:rsid w:val="00E20CD2"/>
    <w:rsid w:val="00E227F3"/>
    <w:rsid w:val="00E545C6"/>
    <w:rsid w:val="00E60F04"/>
    <w:rsid w:val="00E65B24"/>
    <w:rsid w:val="00E821E3"/>
    <w:rsid w:val="00E854E4"/>
    <w:rsid w:val="00E86DBF"/>
    <w:rsid w:val="00E949BD"/>
    <w:rsid w:val="00E969AF"/>
    <w:rsid w:val="00EB0D6F"/>
    <w:rsid w:val="00EB2232"/>
    <w:rsid w:val="00EC5337"/>
    <w:rsid w:val="00EE49E8"/>
    <w:rsid w:val="00F06F6A"/>
    <w:rsid w:val="00F16BAB"/>
    <w:rsid w:val="00F2150A"/>
    <w:rsid w:val="00F231D8"/>
    <w:rsid w:val="00F40028"/>
    <w:rsid w:val="00F41209"/>
    <w:rsid w:val="00F44C00"/>
    <w:rsid w:val="00F45D2C"/>
    <w:rsid w:val="00F46C5F"/>
    <w:rsid w:val="00F537DB"/>
    <w:rsid w:val="00F632C0"/>
    <w:rsid w:val="00F641E1"/>
    <w:rsid w:val="00F94A63"/>
    <w:rsid w:val="00FA1C28"/>
    <w:rsid w:val="00FB1279"/>
    <w:rsid w:val="00FB6B76"/>
    <w:rsid w:val="00FB7596"/>
    <w:rsid w:val="00FE2008"/>
    <w:rsid w:val="00FE4077"/>
    <w:rsid w:val="00FE500D"/>
    <w:rsid w:val="00FE77D2"/>
    <w:rsid w:val="00FF39B1"/>
    <w:rsid w:val="048E11D7"/>
    <w:rsid w:val="056FDCAA"/>
    <w:rsid w:val="0A9102EB"/>
    <w:rsid w:val="0D4E36AD"/>
    <w:rsid w:val="0FC8B0D4"/>
    <w:rsid w:val="11609CDA"/>
    <w:rsid w:val="119326E4"/>
    <w:rsid w:val="12E28808"/>
    <w:rsid w:val="16E9215A"/>
    <w:rsid w:val="19A56B9A"/>
    <w:rsid w:val="1BD386C9"/>
    <w:rsid w:val="1E0C9B40"/>
    <w:rsid w:val="246F4D56"/>
    <w:rsid w:val="25ABD97C"/>
    <w:rsid w:val="26B6964C"/>
    <w:rsid w:val="298770A9"/>
    <w:rsid w:val="2C8CC225"/>
    <w:rsid w:val="2DA8C25B"/>
    <w:rsid w:val="2DFEE5F4"/>
    <w:rsid w:val="2F0C20F4"/>
    <w:rsid w:val="3146925F"/>
    <w:rsid w:val="357B6B62"/>
    <w:rsid w:val="3CA215AA"/>
    <w:rsid w:val="3CACF94B"/>
    <w:rsid w:val="40456238"/>
    <w:rsid w:val="438622C7"/>
    <w:rsid w:val="43AC65A4"/>
    <w:rsid w:val="457193AA"/>
    <w:rsid w:val="47D162D7"/>
    <w:rsid w:val="4B06EC60"/>
    <w:rsid w:val="4D3D3D4E"/>
    <w:rsid w:val="50C3C09A"/>
    <w:rsid w:val="54521FB8"/>
    <w:rsid w:val="57B6728D"/>
    <w:rsid w:val="5AD13022"/>
    <w:rsid w:val="5C32450B"/>
    <w:rsid w:val="5C35425E"/>
    <w:rsid w:val="5D55ACB4"/>
    <w:rsid w:val="61227F68"/>
    <w:rsid w:val="6126A861"/>
    <w:rsid w:val="6248503B"/>
    <w:rsid w:val="657E5BC8"/>
    <w:rsid w:val="6D875395"/>
    <w:rsid w:val="6DD62BA0"/>
    <w:rsid w:val="6EED16BE"/>
    <w:rsid w:val="6EF6A4FB"/>
    <w:rsid w:val="73374D98"/>
    <w:rsid w:val="73BEE1BF"/>
    <w:rsid w:val="793C1C96"/>
    <w:rsid w:val="7BFB21C3"/>
    <w:rsid w:val="7D8D2563"/>
    <w:rsid w:val="7E2FFD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A048E5"/>
  <w15:docId w15:val="{3ACFDD08-A1FF-4802-ACA3-58A4F3DFD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0F7289"/>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character" w:customStyle="1" w:styleId="FootnoteTextChar">
    <w:name w:val="Footnote Text Char"/>
    <w:basedOn w:val="DefaultParagraphFont"/>
    <w:link w:val="FootnoteText"/>
    <w:uiPriority w:val="99"/>
    <w:rsid w:val="00554463"/>
    <w:rPr>
      <w:rFonts w:ascii="Calibri" w:hAnsi="Calibri"/>
      <w:sz w:val="22"/>
      <w:lang w:val="en-GB" w:eastAsia="en-US"/>
    </w:rPr>
  </w:style>
  <w:style w:type="paragraph" w:styleId="ListParagraph">
    <w:name w:val="List Paragraph"/>
    <w:aliases w:val="List Paragraph (numbered (a)),WB Para,List Paragraph1,Bullets,Lapis Bulleted List,Dot pt,F5 List Paragraph,No Spacing1,List Paragraph Char Char Char,Indicator Text,Numbered Para 1,Bullet 1,List Paragraph12,Bullet Points,MAIN CONTENT,L,lp1"/>
    <w:basedOn w:val="Normal"/>
    <w:link w:val="ListParagraphChar"/>
    <w:uiPriority w:val="34"/>
    <w:qFormat/>
    <w:rsid w:val="00554463"/>
    <w:pPr>
      <w:tabs>
        <w:tab w:val="clear" w:pos="567"/>
        <w:tab w:val="clear" w:pos="1134"/>
        <w:tab w:val="clear" w:pos="1701"/>
        <w:tab w:val="clear" w:pos="2268"/>
        <w:tab w:val="clear" w:pos="2835"/>
      </w:tabs>
      <w:overflowPunct/>
      <w:autoSpaceDE/>
      <w:autoSpaceDN/>
      <w:adjustRightInd/>
      <w:spacing w:before="0" w:after="160" w:line="259" w:lineRule="auto"/>
      <w:ind w:left="720"/>
      <w:contextualSpacing/>
      <w:textAlignment w:val="auto"/>
    </w:pPr>
    <w:rPr>
      <w:rFonts w:asciiTheme="minorHAnsi" w:eastAsiaTheme="minorEastAsia" w:hAnsiTheme="minorHAnsi" w:cstheme="minorBidi"/>
      <w:sz w:val="22"/>
      <w:szCs w:val="22"/>
      <w:lang w:val="en-US" w:eastAsia="zh-CN"/>
    </w:rPr>
  </w:style>
  <w:style w:type="character" w:customStyle="1" w:styleId="ListParagraphChar">
    <w:name w:val="List Paragraph Char"/>
    <w:aliases w:val="List Paragraph (numbered (a)) Char,WB Para Char,List Paragraph1 Char,Bullets Char,Lapis Bulleted List Char,Dot pt Char,F5 List Paragraph Char,No Spacing1 Char,List Paragraph Char Char Char Char,Indicator Text Char,Bullet 1 Char"/>
    <w:basedOn w:val="DefaultParagraphFont"/>
    <w:link w:val="ListParagraph"/>
    <w:uiPriority w:val="34"/>
    <w:locked/>
    <w:rsid w:val="00554463"/>
    <w:rPr>
      <w:rFonts w:asciiTheme="minorHAnsi" w:eastAsiaTheme="minorEastAsia" w:hAnsiTheme="minorHAnsi" w:cstheme="minorBidi"/>
      <w:sz w:val="22"/>
      <w:szCs w:val="22"/>
    </w:rPr>
  </w:style>
  <w:style w:type="table" w:customStyle="1" w:styleId="TableGrid1">
    <w:name w:val="Table Grid1"/>
    <w:basedOn w:val="TableNormal"/>
    <w:next w:val="TableGrid"/>
    <w:uiPriority w:val="39"/>
    <w:rsid w:val="009D2D30"/>
    <w:rPr>
      <w:rFonts w:ascii="Calibri" w:eastAsia="Calibri" w:hAnsi="Calibr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3"/>
    <w:link w:val="Style1Char"/>
    <w:qFormat/>
    <w:rsid w:val="009D2D30"/>
    <w:pPr>
      <w:keepLines w:val="0"/>
      <w:numPr>
        <w:numId w:val="8"/>
      </w:numPr>
      <w:tabs>
        <w:tab w:val="clear" w:pos="567"/>
        <w:tab w:val="clear" w:pos="1134"/>
        <w:tab w:val="clear" w:pos="1701"/>
        <w:tab w:val="clear" w:pos="2268"/>
        <w:tab w:val="clear" w:pos="2835"/>
      </w:tabs>
      <w:overflowPunct/>
      <w:autoSpaceDE/>
      <w:autoSpaceDN/>
      <w:adjustRightInd/>
      <w:spacing w:before="0"/>
      <w:jc w:val="both"/>
      <w:textAlignment w:val="auto"/>
    </w:pPr>
    <w:rPr>
      <w:rFonts w:eastAsia="SimSun" w:cs="Arial"/>
      <w:b w:val="0"/>
      <w:sz w:val="22"/>
      <w:szCs w:val="22"/>
      <w:lang w:eastAsia="zh-CN"/>
    </w:rPr>
  </w:style>
  <w:style w:type="character" w:customStyle="1" w:styleId="Style1Char">
    <w:name w:val="Style1 Char"/>
    <w:link w:val="Style1"/>
    <w:rsid w:val="009D2D30"/>
    <w:rPr>
      <w:rFonts w:ascii="Calibri" w:eastAsia="SimSun" w:hAnsi="Calibri" w:cs="Arial"/>
      <w:sz w:val="22"/>
      <w:szCs w:val="22"/>
      <w:lang w:val="en-GB"/>
    </w:rPr>
  </w:style>
  <w:style w:type="paragraph" w:styleId="Revision">
    <w:name w:val="Revision"/>
    <w:hidden/>
    <w:uiPriority w:val="99"/>
    <w:semiHidden/>
    <w:rsid w:val="00736117"/>
    <w:rPr>
      <w:rFonts w:ascii="Calibri" w:hAnsi="Calibri"/>
      <w:sz w:val="24"/>
      <w:lang w:val="en-GB" w:eastAsia="en-US"/>
    </w:rPr>
  </w:style>
  <w:style w:type="character" w:styleId="CommentReference">
    <w:name w:val="annotation reference"/>
    <w:basedOn w:val="DefaultParagraphFont"/>
    <w:semiHidden/>
    <w:unhideWhenUsed/>
    <w:rsid w:val="00067709"/>
    <w:rPr>
      <w:sz w:val="16"/>
      <w:szCs w:val="16"/>
    </w:rPr>
  </w:style>
  <w:style w:type="paragraph" w:styleId="CommentText">
    <w:name w:val="annotation text"/>
    <w:basedOn w:val="Normal"/>
    <w:link w:val="CommentTextChar"/>
    <w:unhideWhenUsed/>
    <w:rsid w:val="00067709"/>
    <w:rPr>
      <w:sz w:val="20"/>
    </w:rPr>
  </w:style>
  <w:style w:type="character" w:customStyle="1" w:styleId="CommentTextChar">
    <w:name w:val="Comment Text Char"/>
    <w:basedOn w:val="DefaultParagraphFont"/>
    <w:link w:val="CommentText"/>
    <w:rsid w:val="00067709"/>
    <w:rPr>
      <w:rFonts w:ascii="Calibri" w:hAnsi="Calibri"/>
      <w:lang w:val="en-GB" w:eastAsia="en-US"/>
    </w:rPr>
  </w:style>
  <w:style w:type="paragraph" w:styleId="CommentSubject">
    <w:name w:val="annotation subject"/>
    <w:basedOn w:val="CommentText"/>
    <w:next w:val="CommentText"/>
    <w:link w:val="CommentSubjectChar"/>
    <w:semiHidden/>
    <w:unhideWhenUsed/>
    <w:rsid w:val="00067709"/>
    <w:rPr>
      <w:b/>
      <w:bCs/>
    </w:rPr>
  </w:style>
  <w:style w:type="character" w:customStyle="1" w:styleId="CommentSubjectChar">
    <w:name w:val="Comment Subject Char"/>
    <w:basedOn w:val="CommentTextChar"/>
    <w:link w:val="CommentSubject"/>
    <w:semiHidden/>
    <w:rsid w:val="00067709"/>
    <w:rPr>
      <w:rFonts w:ascii="Calibri" w:hAnsi="Calibri"/>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INF-0001/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en/council/Pages/form-internal-audit.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Pages/Financial-Regulations.aspx"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B2CC4DF5F10149B2E37F08EDC3AC3A" ma:contentTypeVersion="8" ma:contentTypeDescription="Create a new document." ma:contentTypeScope="" ma:versionID="df57621dcd9cb730b7324d398b3ce10c">
  <xsd:schema xmlns:xsd="http://www.w3.org/2001/XMLSchema" xmlns:xs="http://www.w3.org/2001/XMLSchema" xmlns:p="http://schemas.microsoft.com/office/2006/metadata/properties" xmlns:ns2="a1cf676c-2816-4389-ad5d-0f2e7c7e67c4" targetNamespace="http://schemas.microsoft.com/office/2006/metadata/properties" ma:root="true" ma:fieldsID="21bebef123d8a211588512afbbbc1c26"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B2ED81-68B7-434B-9F42-B263C33AF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EBCB52BA-7AEF-42D4-AF59-959012BFA94A}">
  <ds:schemaRefs>
    <ds:schemaRef ds:uri="http://schemas.microsoft.com/sharepoint/v3/contenttype/forms"/>
  </ds:schemaRefs>
</ds:datastoreItem>
</file>

<file path=customXml/itemProps4.xml><?xml version="1.0" encoding="utf-8"?>
<ds:datastoreItem xmlns:ds="http://schemas.openxmlformats.org/officeDocument/2006/customXml" ds:itemID="{11E2F2AC-2255-4DBF-9278-6619577B4509}">
  <ds:schemaRef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http://purl.org/dc/terms/"/>
    <ds:schemaRef ds:uri="http://schemas.microsoft.com/office/2006/metadata/properties"/>
    <ds:schemaRef ds:uri="a1cf676c-2816-4389-ad5d-0f2e7c7e67c4"/>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1180</Words>
  <Characters>6854</Characters>
  <Application>Microsoft Office Word</Application>
  <DocSecurity>0</DocSecurity>
  <Lines>57</Lines>
  <Paragraphs>16</Paragraphs>
  <ScaleCrop>false</ScaleCrop>
  <Manager>General Secretariat</Manager>
  <Company>International Telecommunication Union (ITU)</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Oversight Unit's internal audit function</dc:title>
  <dc:subject>Council 2025</dc:subject>
  <dc:creator>LRT</dc:creator>
  <cp:keywords>C25; C2025; Council 2025; ITU160</cp:keywords>
  <dc:description/>
  <cp:lastModifiedBy>GBS</cp:lastModifiedBy>
  <cp:revision>3</cp:revision>
  <cp:lastPrinted>2000-07-18T04:30:00Z</cp:lastPrinted>
  <dcterms:created xsi:type="dcterms:W3CDTF">2025-05-19T14:48:00Z</dcterms:created>
  <dcterms:modified xsi:type="dcterms:W3CDTF">2025-05-19T14:51:00Z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0x01010096B2CC4DF5F10149B2E37F08EDC3AC3A</vt:lpwstr>
  </property>
</Properties>
</file>