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page" w:tblpX="1821" w:tblpY="2317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E24D59" w:rsidRPr="00E24D59" w14:paraId="2EFB60A3" w14:textId="77777777" w:rsidTr="00E31DCE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4D8AE35C" w14:textId="78F705E4" w:rsidR="00E24D59" w:rsidRPr="00E24D59" w:rsidRDefault="00E24D59" w:rsidP="00E31DCE">
            <w:pPr>
              <w:tabs>
                <w:tab w:val="left" w:pos="851"/>
              </w:tabs>
              <w:spacing w:before="0" w:line="240" w:lineRule="atLeast"/>
              <w:rPr>
                <w:b/>
                <w:bCs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proofErr w:type="spellStart"/>
            <w:r w:rsidRPr="00E24D59">
              <w:rPr>
                <w:rFonts w:cstheme="minorHAnsi" w:hint="eastAsia"/>
                <w:b/>
                <w:bCs/>
                <w:lang w:val="ru-RU"/>
              </w:rPr>
              <w:t>议项</w:t>
            </w:r>
            <w:proofErr w:type="spellEnd"/>
            <w:r w:rsidRPr="00E24D59">
              <w:rPr>
                <w:rFonts w:cstheme="minorHAnsi" w:hint="eastAsia"/>
                <w:b/>
                <w:bCs/>
                <w:lang w:val="ru-RU"/>
              </w:rPr>
              <w:t>：</w:t>
            </w:r>
            <w:r w:rsidR="007A77B3" w:rsidRPr="007A77B3">
              <w:rPr>
                <w:rFonts w:cstheme="minorHAnsi"/>
                <w:b/>
                <w:bCs/>
                <w:lang w:val="ru-RU"/>
              </w:rPr>
              <w:t>ADM 2</w:t>
            </w:r>
          </w:p>
        </w:tc>
        <w:tc>
          <w:tcPr>
            <w:tcW w:w="5245" w:type="dxa"/>
          </w:tcPr>
          <w:p w14:paraId="64410F78" w14:textId="6E6B44B6" w:rsidR="00E24D59" w:rsidRPr="00E24D59" w:rsidRDefault="00E24D59" w:rsidP="00E31DCE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fr-CH"/>
              </w:rPr>
            </w:pPr>
            <w:proofErr w:type="spellStart"/>
            <w:r w:rsidRPr="00E24D59">
              <w:rPr>
                <w:rFonts w:cstheme="minorHAnsi"/>
                <w:b/>
                <w:bCs/>
                <w:lang w:val="ru-RU"/>
              </w:rPr>
              <w:t>文件</w:t>
            </w:r>
            <w:proofErr w:type="spellEnd"/>
            <w:r>
              <w:rPr>
                <w:rFonts w:cstheme="minorHAnsi" w:hint="eastAsia"/>
                <w:b/>
                <w:bCs/>
                <w:lang w:val="ru-RU"/>
              </w:rPr>
              <w:t xml:space="preserve"> </w:t>
            </w:r>
            <w:proofErr w:type="spellStart"/>
            <w:r w:rsidRPr="00E24D59">
              <w:rPr>
                <w:b/>
                <w:lang w:val="fr-CH"/>
              </w:rPr>
              <w:t>C2</w:t>
            </w:r>
            <w:r w:rsidR="0072138B">
              <w:rPr>
                <w:b/>
                <w:lang w:val="fr-CH"/>
              </w:rPr>
              <w:t>5</w:t>
            </w:r>
            <w:proofErr w:type="spellEnd"/>
            <w:r w:rsidRPr="00E24D59">
              <w:rPr>
                <w:b/>
                <w:lang w:val="fr-CH"/>
              </w:rPr>
              <w:t>/</w:t>
            </w:r>
            <w:r w:rsidR="00170A1B" w:rsidRPr="5C35425E">
              <w:rPr>
                <w:b/>
                <w:bCs/>
              </w:rPr>
              <w:t>44</w:t>
            </w:r>
            <w:r w:rsidRPr="00E24D59">
              <w:rPr>
                <w:b/>
                <w:lang w:val="fr-CH"/>
              </w:rPr>
              <w:t>-C</w:t>
            </w:r>
          </w:p>
        </w:tc>
      </w:tr>
      <w:tr w:rsidR="00E24D59" w:rsidRPr="00813E5E" w14:paraId="22728F44" w14:textId="77777777" w:rsidTr="00E31DCE">
        <w:trPr>
          <w:cantSplit/>
        </w:trPr>
        <w:tc>
          <w:tcPr>
            <w:tcW w:w="3969" w:type="dxa"/>
            <w:vMerge/>
          </w:tcPr>
          <w:p w14:paraId="7CB71238" w14:textId="77777777" w:rsidR="00E24D59" w:rsidRPr="00E24D59" w:rsidRDefault="00E24D59" w:rsidP="00E31DCE">
            <w:pPr>
              <w:tabs>
                <w:tab w:val="left" w:pos="851"/>
              </w:tabs>
              <w:spacing w:line="240" w:lineRule="atLeast"/>
              <w:rPr>
                <w:b/>
                <w:lang w:val="fr-CH"/>
              </w:rPr>
            </w:pPr>
            <w:bookmarkStart w:id="3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1642F9B7" w14:textId="432BB60A" w:rsidR="00E24D59" w:rsidRPr="00E85629" w:rsidRDefault="007A77B3" w:rsidP="00E31DCE">
            <w:pPr>
              <w:tabs>
                <w:tab w:val="left" w:pos="851"/>
              </w:tabs>
              <w:spacing w:before="0"/>
              <w:jc w:val="right"/>
              <w:rPr>
                <w:b/>
              </w:rPr>
            </w:pPr>
            <w:r w:rsidRPr="007A77B3">
              <w:rPr>
                <w:rFonts w:hint="eastAsia"/>
                <w:b/>
              </w:rPr>
              <w:t>2025</w:t>
            </w:r>
            <w:r w:rsidRPr="007A77B3">
              <w:rPr>
                <w:rFonts w:hint="eastAsia"/>
                <w:b/>
              </w:rPr>
              <w:t>年</w:t>
            </w:r>
            <w:r w:rsidRPr="007A77B3">
              <w:rPr>
                <w:rFonts w:hint="eastAsia"/>
                <w:b/>
              </w:rPr>
              <w:t>5</w:t>
            </w:r>
            <w:r w:rsidRPr="007A77B3">
              <w:rPr>
                <w:rFonts w:hint="eastAsia"/>
                <w:b/>
              </w:rPr>
              <w:t>月</w:t>
            </w:r>
            <w:r w:rsidRPr="007A77B3">
              <w:rPr>
                <w:rFonts w:hint="eastAsia"/>
                <w:b/>
              </w:rPr>
              <w:t>1</w:t>
            </w:r>
            <w:r w:rsidR="00170A1B">
              <w:rPr>
                <w:rFonts w:hint="eastAsia"/>
                <w:b/>
                <w:lang w:eastAsia="zh-CN"/>
              </w:rPr>
              <w:t>9</w:t>
            </w:r>
            <w:r w:rsidRPr="007A77B3">
              <w:rPr>
                <w:rFonts w:hint="eastAsia"/>
                <w:b/>
              </w:rPr>
              <w:t>日</w:t>
            </w:r>
          </w:p>
        </w:tc>
      </w:tr>
      <w:tr w:rsidR="00E24D59" w:rsidRPr="00813E5E" w14:paraId="4E10BCF9" w14:textId="77777777" w:rsidTr="00E31DCE">
        <w:trPr>
          <w:cantSplit/>
          <w:trHeight w:val="23"/>
        </w:trPr>
        <w:tc>
          <w:tcPr>
            <w:tcW w:w="3969" w:type="dxa"/>
            <w:vMerge/>
          </w:tcPr>
          <w:p w14:paraId="1FEED682" w14:textId="77777777" w:rsidR="00E24D59" w:rsidRPr="00813E5E" w:rsidRDefault="00E24D59" w:rsidP="00E31DCE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4" w:name="dorlang" w:colFirst="1" w:colLast="1"/>
            <w:bookmarkEnd w:id="3"/>
          </w:p>
        </w:tc>
        <w:tc>
          <w:tcPr>
            <w:tcW w:w="5245" w:type="dxa"/>
          </w:tcPr>
          <w:p w14:paraId="28A7F28C" w14:textId="2E99E71F" w:rsidR="00E24D59" w:rsidRPr="00E85629" w:rsidRDefault="00E24D59" w:rsidP="00E31DCE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eastAsia="zh-CN"/>
              </w:rPr>
            </w:pPr>
            <w:proofErr w:type="spellStart"/>
            <w:r w:rsidRPr="00E24D59">
              <w:rPr>
                <w:rFonts w:cstheme="minorHAnsi"/>
                <w:b/>
                <w:bCs/>
                <w:lang w:val="ru-RU"/>
              </w:rPr>
              <w:t>原文</w:t>
            </w:r>
            <w:proofErr w:type="spellEnd"/>
            <w:r w:rsidRPr="00E24D59">
              <w:rPr>
                <w:rFonts w:cstheme="minorHAnsi"/>
                <w:b/>
                <w:bCs/>
                <w:lang w:val="ru-RU"/>
              </w:rPr>
              <w:t>：</w:t>
            </w:r>
            <w:r w:rsidR="007A77B3" w:rsidRPr="007A77B3">
              <w:rPr>
                <w:rFonts w:cstheme="minorHAnsi" w:hint="eastAsia"/>
                <w:b/>
                <w:bCs/>
                <w:lang w:val="ru-RU" w:eastAsia="zh-CN"/>
              </w:rPr>
              <w:t>英文</w:t>
            </w:r>
          </w:p>
        </w:tc>
      </w:tr>
      <w:tr w:rsidR="00E24D59" w:rsidRPr="00813E5E" w14:paraId="372A9895" w14:textId="77777777" w:rsidTr="00E31DCE">
        <w:trPr>
          <w:cantSplit/>
          <w:trHeight w:val="23"/>
        </w:trPr>
        <w:tc>
          <w:tcPr>
            <w:tcW w:w="3969" w:type="dxa"/>
          </w:tcPr>
          <w:p w14:paraId="732E8DAC" w14:textId="77777777" w:rsidR="00E24D59" w:rsidRPr="00813E5E" w:rsidRDefault="00E24D59" w:rsidP="00E31DCE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5BFDEAEE" w14:textId="77777777" w:rsidR="00E24D59" w:rsidRDefault="00E24D59" w:rsidP="00E31DCE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</w:p>
        </w:tc>
      </w:tr>
      <w:tr w:rsidR="00E24D59" w:rsidRPr="00813E5E" w14:paraId="5AEEC5A7" w14:textId="77777777" w:rsidTr="00E31DCE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782C6A16" w14:textId="77777777" w:rsidR="00E24D59" w:rsidRPr="00E24D59" w:rsidRDefault="003F086E" w:rsidP="00DA0E66">
            <w:pPr>
              <w:pStyle w:val="Source"/>
              <w:spacing w:before="840"/>
              <w:jc w:val="left"/>
              <w:rPr>
                <w:sz w:val="34"/>
                <w:szCs w:val="34"/>
                <w:lang w:eastAsia="zh-CN"/>
              </w:rPr>
            </w:pPr>
            <w:bookmarkStart w:id="5" w:name="dsource" w:colFirst="0" w:colLast="0"/>
            <w:bookmarkEnd w:id="4"/>
            <w:r w:rsidRPr="008F64AD">
              <w:rPr>
                <w:rFonts w:cstheme="minorHAnsi" w:hint="eastAsia"/>
                <w:sz w:val="34"/>
                <w:szCs w:val="34"/>
                <w:lang w:val="ru-RU" w:eastAsia="zh-CN"/>
              </w:rPr>
              <w:t>秘书长的报告</w:t>
            </w:r>
          </w:p>
        </w:tc>
      </w:tr>
      <w:tr w:rsidR="00E24D59" w:rsidRPr="00813E5E" w14:paraId="3F851478" w14:textId="77777777" w:rsidTr="00E31DCE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152174A8" w14:textId="012ADF39" w:rsidR="00E24D59" w:rsidRPr="00477D57" w:rsidRDefault="009A2C90" w:rsidP="00E31DCE">
            <w:pPr>
              <w:pStyle w:val="Subtitle"/>
              <w:framePr w:hSpace="0" w:wrap="auto" w:hAnchor="text" w:xAlign="left" w:yAlign="inline"/>
              <w:rPr>
                <w:rFonts w:eastAsia="SimSun"/>
                <w:lang w:eastAsia="zh-CN"/>
              </w:rPr>
            </w:pPr>
            <w:bookmarkStart w:id="6" w:name="dtitle1" w:colFirst="0" w:colLast="0"/>
            <w:bookmarkEnd w:id="5"/>
            <w:r w:rsidRPr="009A2C90">
              <w:rPr>
                <w:rFonts w:eastAsia="SimSun" w:hint="eastAsia"/>
                <w:lang w:eastAsia="zh-CN"/>
              </w:rPr>
              <w:t>监督处内部审计职能的报告</w:t>
            </w:r>
          </w:p>
        </w:tc>
      </w:tr>
      <w:tr w:rsidR="00E24D59" w:rsidRPr="00813E5E" w14:paraId="60C74564" w14:textId="77777777" w:rsidTr="00E31DCE">
        <w:trPr>
          <w:cantSplit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6F6F0559" w14:textId="1DD28892" w:rsidR="003F086E" w:rsidRPr="00477D57" w:rsidRDefault="003F086E" w:rsidP="00477D57">
            <w:pPr>
              <w:rPr>
                <w:b/>
                <w:bCs/>
                <w:lang w:eastAsia="zh-CN"/>
              </w:rPr>
            </w:pPr>
            <w:r w:rsidRPr="00477D57">
              <w:rPr>
                <w:b/>
                <w:bCs/>
                <w:lang w:eastAsia="zh-CN"/>
              </w:rPr>
              <w:t>目的</w:t>
            </w:r>
          </w:p>
          <w:p w14:paraId="0670F014" w14:textId="77777777" w:rsidR="009A2C90" w:rsidRPr="00C0458D" w:rsidRDefault="009A2C90" w:rsidP="009A2C90">
            <w:pPr>
              <w:ind w:firstLineChars="200" w:firstLine="480"/>
              <w:rPr>
                <w:lang w:eastAsia="zh-CN"/>
              </w:rPr>
            </w:pPr>
            <w:r w:rsidRPr="0014620F">
              <w:rPr>
                <w:rFonts w:hint="eastAsia"/>
                <w:lang w:eastAsia="zh-CN"/>
              </w:rPr>
              <w:t>本报告</w:t>
            </w:r>
            <w:r>
              <w:rPr>
                <w:rFonts w:hint="eastAsia"/>
                <w:lang w:eastAsia="zh-CN"/>
              </w:rPr>
              <w:t>覆盖了</w:t>
            </w:r>
            <w:r w:rsidRPr="0014620F">
              <w:rPr>
                <w:rFonts w:hint="eastAsia"/>
                <w:lang w:eastAsia="zh-CN"/>
              </w:rPr>
              <w:t>2024</w:t>
            </w:r>
            <w:r w:rsidRPr="0014620F">
              <w:rPr>
                <w:rFonts w:hint="eastAsia"/>
                <w:lang w:eastAsia="zh-CN"/>
              </w:rPr>
              <w:t>年</w:t>
            </w:r>
            <w:r w:rsidRPr="0014620F">
              <w:rPr>
                <w:rFonts w:hint="eastAsia"/>
                <w:lang w:eastAsia="zh-CN"/>
              </w:rPr>
              <w:t>4</w:t>
            </w:r>
            <w:r w:rsidRPr="0014620F">
              <w:rPr>
                <w:rFonts w:hint="eastAsia"/>
                <w:lang w:eastAsia="zh-CN"/>
              </w:rPr>
              <w:t>月至</w:t>
            </w:r>
            <w:r w:rsidRPr="0014620F">
              <w:rPr>
                <w:rFonts w:hint="eastAsia"/>
                <w:lang w:eastAsia="zh-CN"/>
              </w:rPr>
              <w:t>2025</w:t>
            </w:r>
            <w:r w:rsidRPr="0014620F">
              <w:rPr>
                <w:rFonts w:hint="eastAsia"/>
                <w:lang w:eastAsia="zh-CN"/>
              </w:rPr>
              <w:t>年</w:t>
            </w:r>
            <w:r w:rsidRPr="0014620F">
              <w:rPr>
                <w:rFonts w:hint="eastAsia"/>
                <w:lang w:eastAsia="zh-CN"/>
              </w:rPr>
              <w:t>3</w:t>
            </w:r>
            <w:r w:rsidRPr="0014620F">
              <w:rPr>
                <w:rFonts w:hint="eastAsia"/>
                <w:lang w:eastAsia="zh-CN"/>
              </w:rPr>
              <w:t>月期间的内部审计活动。</w:t>
            </w:r>
          </w:p>
          <w:p w14:paraId="0CF09D7B" w14:textId="77777777" w:rsidR="003F086E" w:rsidRPr="00477D57" w:rsidRDefault="003F086E" w:rsidP="00477D57">
            <w:pPr>
              <w:rPr>
                <w:b/>
                <w:bCs/>
                <w:lang w:eastAsia="zh-CN"/>
              </w:rPr>
            </w:pPr>
            <w:r w:rsidRPr="00477D57">
              <w:rPr>
                <w:b/>
                <w:bCs/>
                <w:lang w:eastAsia="zh-CN"/>
              </w:rPr>
              <w:t>理事会需采取的行动</w:t>
            </w:r>
          </w:p>
          <w:p w14:paraId="05D63C2C" w14:textId="41AF7C03" w:rsidR="003F086E" w:rsidRPr="00477D57" w:rsidRDefault="007A77B3" w:rsidP="00D62844">
            <w:pPr>
              <w:ind w:firstLineChars="200" w:firstLine="480"/>
              <w:rPr>
                <w:rFonts w:asciiTheme="majorEastAsia" w:eastAsiaTheme="majorEastAsia" w:hAnsiTheme="majorEastAsia"/>
                <w:lang w:eastAsia="zh-CN"/>
              </w:rPr>
            </w:pPr>
            <w:r>
              <w:rPr>
                <w:color w:val="000000"/>
                <w:lang w:val="zh-CN" w:eastAsia="zh-CN"/>
              </w:rPr>
              <w:t>请理事会将本报告</w:t>
            </w:r>
            <w:r w:rsidRPr="00226DD0">
              <w:rPr>
                <w:b/>
                <w:bCs/>
                <w:color w:val="000000"/>
                <w:lang w:val="zh-CN" w:eastAsia="zh-CN"/>
              </w:rPr>
              <w:t>记录在案</w:t>
            </w:r>
            <w:r>
              <w:rPr>
                <w:color w:val="000000"/>
                <w:lang w:val="zh-CN" w:eastAsia="zh-CN"/>
              </w:rPr>
              <w:t>。</w:t>
            </w:r>
          </w:p>
          <w:p w14:paraId="06CF1837" w14:textId="77777777" w:rsidR="003F086E" w:rsidRPr="00477D57" w:rsidRDefault="003F086E" w:rsidP="00477D57">
            <w:pPr>
              <w:rPr>
                <w:b/>
                <w:bCs/>
                <w:lang w:eastAsia="zh-CN"/>
              </w:rPr>
            </w:pPr>
            <w:r w:rsidRPr="00477D57">
              <w:rPr>
                <w:rFonts w:hint="eastAsia"/>
                <w:b/>
                <w:bCs/>
                <w:lang w:eastAsia="zh-CN"/>
              </w:rPr>
              <w:t>与</w:t>
            </w:r>
            <w:r w:rsidRPr="00477D57">
              <w:rPr>
                <w:b/>
                <w:bCs/>
                <w:lang w:eastAsia="zh-CN"/>
              </w:rPr>
              <w:t>《战略规划》</w:t>
            </w:r>
            <w:r w:rsidRPr="00477D57">
              <w:rPr>
                <w:rFonts w:hint="eastAsia"/>
                <w:b/>
                <w:bCs/>
                <w:lang w:eastAsia="zh-CN"/>
              </w:rPr>
              <w:t>的关联</w:t>
            </w:r>
          </w:p>
          <w:p w14:paraId="51E09A3F" w14:textId="70569DFD" w:rsidR="003F086E" w:rsidRPr="00477D57" w:rsidRDefault="007A77B3" w:rsidP="00D62844">
            <w:pPr>
              <w:ind w:firstLineChars="200" w:firstLine="480"/>
              <w:rPr>
                <w:rFonts w:asciiTheme="majorEastAsia" w:eastAsiaTheme="majorEastAsia" w:hAnsiTheme="majorEastAsia"/>
                <w:lang w:eastAsia="zh-CN"/>
              </w:rPr>
            </w:pPr>
            <w:r>
              <w:rPr>
                <w:color w:val="000000"/>
                <w:lang w:val="zh-CN" w:eastAsia="zh-CN"/>
              </w:rPr>
              <w:t>卓越的人力资源和组织创新。</w:t>
            </w:r>
          </w:p>
          <w:p w14:paraId="308A396E" w14:textId="77777777" w:rsidR="003F086E" w:rsidRPr="00477D57" w:rsidRDefault="003F086E" w:rsidP="00477D57">
            <w:pPr>
              <w:rPr>
                <w:b/>
                <w:bCs/>
                <w:lang w:eastAsia="zh-CN"/>
              </w:rPr>
            </w:pPr>
            <w:r w:rsidRPr="00477D57">
              <w:rPr>
                <w:b/>
                <w:bCs/>
                <w:lang w:eastAsia="zh-CN"/>
              </w:rPr>
              <w:t>财务影响</w:t>
            </w:r>
          </w:p>
          <w:p w14:paraId="41CA02EF" w14:textId="314748C0" w:rsidR="008F64AD" w:rsidRPr="00477D57" w:rsidRDefault="009A2C90" w:rsidP="00D62844">
            <w:pPr>
              <w:ind w:firstLineChars="200" w:firstLine="480"/>
              <w:rPr>
                <w:rFonts w:asciiTheme="majorEastAsia" w:eastAsiaTheme="majorEastAsia" w:hAnsiTheme="majorEastAsia"/>
                <w:lang w:eastAsia="zh-CN"/>
              </w:rPr>
            </w:pPr>
            <w:r w:rsidRPr="0014620F">
              <w:rPr>
                <w:rFonts w:hint="eastAsia"/>
                <w:color w:val="000000" w:themeColor="text1"/>
                <w:lang w:eastAsia="zh-CN"/>
              </w:rPr>
              <w:t>在</w:t>
            </w:r>
            <w:r w:rsidRPr="0014620F">
              <w:rPr>
                <w:rFonts w:hint="eastAsia"/>
                <w:color w:val="000000" w:themeColor="text1"/>
                <w:lang w:eastAsia="zh-CN"/>
              </w:rPr>
              <w:t>2024-2025</w:t>
            </w:r>
            <w:r w:rsidRPr="0014620F">
              <w:rPr>
                <w:rFonts w:hint="eastAsia"/>
                <w:color w:val="000000" w:themeColor="text1"/>
                <w:lang w:eastAsia="zh-CN"/>
              </w:rPr>
              <w:t>年划拨预算范围内。</w:t>
            </w:r>
          </w:p>
          <w:p w14:paraId="7DDF59B8" w14:textId="77777777" w:rsidR="00E24D59" w:rsidRPr="00E24D59" w:rsidRDefault="00E24D59" w:rsidP="00E24D59">
            <w:pPr>
              <w:pStyle w:val="Subtitle"/>
              <w:framePr w:hSpace="0" w:wrap="auto" w:hAnchor="text" w:xAlign="left" w:yAlign="inline"/>
              <w:rPr>
                <w:rFonts w:ascii="SimSun" w:eastAsia="SimSun" w:hAnsi="SimSun" w:cstheme="minorHAnsi"/>
                <w:b/>
                <w:bCs/>
                <w:sz w:val="26"/>
                <w:szCs w:val="26"/>
                <w:lang w:eastAsia="zh-CN"/>
              </w:rPr>
            </w:pPr>
            <w:r w:rsidRPr="00E24D59">
              <w:rPr>
                <w:rFonts w:ascii="SimSun" w:eastAsia="SimSun" w:hAnsi="SimSun" w:cstheme="minorHAnsi"/>
                <w:b/>
                <w:bCs/>
                <w:sz w:val="26"/>
                <w:szCs w:val="26"/>
                <w:lang w:eastAsia="zh-CN"/>
              </w:rPr>
              <w:t>__________________</w:t>
            </w:r>
          </w:p>
          <w:p w14:paraId="7C81F24F" w14:textId="77777777" w:rsidR="00E24D59" w:rsidRPr="00477D57" w:rsidRDefault="00E24D59" w:rsidP="00477D57">
            <w:pPr>
              <w:rPr>
                <w:b/>
                <w:bCs/>
                <w:lang w:eastAsia="zh-CN"/>
              </w:rPr>
            </w:pPr>
            <w:r w:rsidRPr="00477D57">
              <w:rPr>
                <w:rFonts w:hint="eastAsia"/>
                <w:b/>
                <w:bCs/>
                <w:lang w:eastAsia="zh-CN"/>
              </w:rPr>
              <w:t>参考文件</w:t>
            </w:r>
          </w:p>
          <w:p w14:paraId="2039B451" w14:textId="59856BD8" w:rsidR="00E24D59" w:rsidRPr="007A77B3" w:rsidRDefault="009A2C90" w:rsidP="009A2C90">
            <w:pPr>
              <w:spacing w:after="120"/>
              <w:rPr>
                <w:rFonts w:ascii="STKaiti" w:eastAsia="STKaiti" w:hAnsi="STKaiti" w:cs="Calibri"/>
                <w:sz w:val="22"/>
                <w:szCs w:val="22"/>
                <w:lang w:eastAsia="zh-CN"/>
              </w:rPr>
            </w:pPr>
            <w:r>
              <w:fldChar w:fldCharType="begin"/>
            </w:r>
            <w:r>
              <w:rPr>
                <w:lang w:eastAsia="zh-CN"/>
              </w:rPr>
              <w:instrText>HYPERLINK "https://www.itu.int/en/council/Pages/Financial-Regulations.aspx"</w:instrText>
            </w:r>
            <w:r>
              <w:fldChar w:fldCharType="separate"/>
            </w:r>
            <w:r w:rsidRPr="0014620F">
              <w:rPr>
                <w:rStyle w:val="Hyperlink"/>
                <w:rFonts w:eastAsia="STKaiti"/>
                <w:sz w:val="22"/>
                <w:szCs w:val="22"/>
                <w:lang w:eastAsia="zh-CN"/>
              </w:rPr>
              <w:t>国际电联《财务规则和财务细则》（</w:t>
            </w:r>
            <w:r w:rsidRPr="0014620F">
              <w:rPr>
                <w:rStyle w:val="Hyperlink"/>
                <w:rFonts w:eastAsia="STKaiti"/>
                <w:sz w:val="22"/>
                <w:szCs w:val="22"/>
                <w:lang w:eastAsia="zh-CN"/>
              </w:rPr>
              <w:t>2022</w:t>
            </w:r>
            <w:r w:rsidRPr="0014620F">
              <w:rPr>
                <w:rStyle w:val="Hyperlink"/>
                <w:rFonts w:eastAsia="STKaiti"/>
                <w:sz w:val="22"/>
                <w:szCs w:val="22"/>
                <w:lang w:eastAsia="zh-CN"/>
              </w:rPr>
              <w:t>年），第</w:t>
            </w:r>
            <w:r w:rsidRPr="0014620F">
              <w:rPr>
                <w:rStyle w:val="Hyperlink"/>
                <w:rFonts w:eastAsia="STKaiti"/>
                <w:sz w:val="22"/>
                <w:szCs w:val="22"/>
                <w:lang w:eastAsia="zh-CN"/>
              </w:rPr>
              <w:t>29</w:t>
            </w:r>
            <w:r w:rsidRPr="0014620F">
              <w:rPr>
                <w:rStyle w:val="Hyperlink"/>
                <w:rFonts w:eastAsia="STKaiti"/>
                <w:sz w:val="22"/>
                <w:szCs w:val="22"/>
                <w:lang w:eastAsia="zh-CN"/>
              </w:rPr>
              <w:t>条</w:t>
            </w:r>
            <w:r>
              <w:fldChar w:fldCharType="end"/>
            </w:r>
          </w:p>
        </w:tc>
      </w:tr>
      <w:bookmarkEnd w:id="2"/>
      <w:bookmarkEnd w:id="6"/>
    </w:tbl>
    <w:p w14:paraId="57BDEF7C" w14:textId="77777777" w:rsidR="00E24D59" w:rsidRDefault="00E24D59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eastAsia="zh-CN"/>
        </w:rPr>
      </w:pPr>
    </w:p>
    <w:p w14:paraId="2C993FF0" w14:textId="77777777" w:rsidR="00E24D59" w:rsidRDefault="00E24D59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eastAsia="zh-CN"/>
        </w:rPr>
      </w:pPr>
      <w:r>
        <w:rPr>
          <w:lang w:eastAsia="zh-CN"/>
        </w:rPr>
        <w:br w:type="page"/>
      </w:r>
    </w:p>
    <w:p w14:paraId="30CA1173" w14:textId="77777777" w:rsidR="00170A1B" w:rsidRPr="00170A1B" w:rsidRDefault="00170A1B" w:rsidP="0051391B">
      <w:pPr>
        <w:pStyle w:val="Headingb"/>
        <w:rPr>
          <w:lang w:eastAsia="zh-CN"/>
        </w:rPr>
      </w:pPr>
      <w:r w:rsidRPr="00170A1B">
        <w:rPr>
          <w:rFonts w:hint="eastAsia"/>
          <w:lang w:eastAsia="zh-CN"/>
        </w:rPr>
        <w:lastRenderedPageBreak/>
        <w:t>引言</w:t>
      </w:r>
    </w:p>
    <w:p w14:paraId="530C23E5" w14:textId="6130E496" w:rsidR="00170A1B" w:rsidRPr="00170A1B" w:rsidRDefault="0051391B" w:rsidP="0051391B">
      <w:pPr>
        <w:rPr>
          <w:lang w:val="en-US" w:eastAsia="zh-CN"/>
        </w:rPr>
      </w:pPr>
      <w:r>
        <w:rPr>
          <w:rFonts w:hint="eastAsia"/>
          <w:lang w:val="en-US" w:eastAsia="zh-CN"/>
        </w:rPr>
        <w:t>1</w:t>
      </w:r>
      <w:r>
        <w:rPr>
          <w:lang w:val="en-US" w:eastAsia="zh-CN"/>
        </w:rPr>
        <w:tab/>
      </w:r>
      <w:r w:rsidR="00170A1B" w:rsidRPr="00170A1B">
        <w:rPr>
          <w:rFonts w:hint="eastAsia"/>
          <w:lang w:val="en-US" w:eastAsia="zh-CN"/>
        </w:rPr>
        <w:t>本报告已转呈国际电联理事会，并符合国际电联《财务规则和财务细则》（</w:t>
      </w:r>
      <w:r w:rsidR="00170A1B" w:rsidRPr="00170A1B">
        <w:rPr>
          <w:rFonts w:hint="eastAsia"/>
          <w:lang w:val="en-US" w:eastAsia="zh-CN"/>
        </w:rPr>
        <w:t>2022</w:t>
      </w:r>
      <w:r w:rsidR="00170A1B" w:rsidRPr="00170A1B">
        <w:rPr>
          <w:rFonts w:hint="eastAsia"/>
          <w:lang w:val="en-US" w:eastAsia="zh-CN"/>
        </w:rPr>
        <w:t>年）第</w:t>
      </w:r>
      <w:r w:rsidR="00170A1B" w:rsidRPr="00170A1B">
        <w:rPr>
          <w:rFonts w:hint="eastAsia"/>
          <w:lang w:val="en-US" w:eastAsia="zh-CN"/>
        </w:rPr>
        <w:t>29</w:t>
      </w:r>
      <w:r w:rsidR="00170A1B" w:rsidRPr="00170A1B">
        <w:rPr>
          <w:rFonts w:hint="eastAsia"/>
          <w:lang w:val="en-US" w:eastAsia="zh-CN"/>
        </w:rPr>
        <w:t>条的规定。根据国际电联《内部监督章程》，</w:t>
      </w:r>
      <w:r w:rsidR="00170A1B" w:rsidRPr="00170A1B">
        <w:rPr>
          <w:rFonts w:cstheme="minorBidi"/>
          <w:sz w:val="22"/>
          <w:szCs w:val="22"/>
          <w:vertAlign w:val="superscript"/>
          <w:lang w:val="en-US" w:eastAsia="zh-CN"/>
        </w:rPr>
        <w:footnoteReference w:id="1"/>
      </w:r>
      <w:r w:rsidR="00170A1B" w:rsidRPr="00170A1B">
        <w:rPr>
          <w:rFonts w:hint="eastAsia"/>
          <w:lang w:val="en-US" w:eastAsia="zh-CN"/>
        </w:rPr>
        <w:t>本报告兹提交秘书长和理事会审议。当前报告覆盖</w:t>
      </w:r>
      <w:r w:rsidR="00170A1B" w:rsidRPr="00170A1B">
        <w:rPr>
          <w:rFonts w:hint="eastAsia"/>
          <w:lang w:val="en-US" w:eastAsia="zh-CN"/>
        </w:rPr>
        <w:t>2024</w:t>
      </w:r>
      <w:r w:rsidR="00170A1B" w:rsidRPr="00170A1B">
        <w:rPr>
          <w:rFonts w:hint="eastAsia"/>
          <w:lang w:val="en-US" w:eastAsia="zh-CN"/>
        </w:rPr>
        <w:t>年</w:t>
      </w:r>
      <w:r w:rsidR="00170A1B" w:rsidRPr="00170A1B">
        <w:rPr>
          <w:rFonts w:hint="eastAsia"/>
          <w:lang w:val="en-US" w:eastAsia="zh-CN"/>
        </w:rPr>
        <w:t>4</w:t>
      </w:r>
      <w:r w:rsidR="00170A1B" w:rsidRPr="00170A1B">
        <w:rPr>
          <w:rFonts w:hint="eastAsia"/>
          <w:lang w:val="en-US" w:eastAsia="zh-CN"/>
        </w:rPr>
        <w:t>月至</w:t>
      </w:r>
      <w:r w:rsidR="00170A1B" w:rsidRPr="00170A1B">
        <w:rPr>
          <w:rFonts w:hint="eastAsia"/>
          <w:lang w:val="en-US" w:eastAsia="zh-CN"/>
        </w:rPr>
        <w:t>2025</w:t>
      </w:r>
      <w:r w:rsidR="00170A1B" w:rsidRPr="00170A1B">
        <w:rPr>
          <w:rFonts w:hint="eastAsia"/>
          <w:lang w:val="en-US" w:eastAsia="zh-CN"/>
        </w:rPr>
        <w:t>年</w:t>
      </w:r>
      <w:r w:rsidR="00170A1B" w:rsidRPr="00170A1B">
        <w:rPr>
          <w:rFonts w:hint="eastAsia"/>
          <w:lang w:val="en-US" w:eastAsia="zh-CN"/>
        </w:rPr>
        <w:t>3</w:t>
      </w:r>
      <w:r w:rsidR="00170A1B" w:rsidRPr="00170A1B">
        <w:rPr>
          <w:rFonts w:hint="eastAsia"/>
          <w:lang w:val="en-US" w:eastAsia="zh-CN"/>
        </w:rPr>
        <w:t>月期间的活动。</w:t>
      </w:r>
    </w:p>
    <w:p w14:paraId="13C9EE19" w14:textId="2BBE2EC7" w:rsidR="00170A1B" w:rsidRPr="00170A1B" w:rsidRDefault="0051391B" w:rsidP="0051391B">
      <w:pPr>
        <w:rPr>
          <w:rFonts w:cstheme="minorBidi"/>
          <w:lang w:val="en-US" w:eastAsia="zh-CN"/>
        </w:rPr>
      </w:pPr>
      <w:r>
        <w:rPr>
          <w:rFonts w:cstheme="minorBidi" w:hint="eastAsia"/>
          <w:lang w:val="en-US" w:eastAsia="zh-CN"/>
        </w:rPr>
        <w:t>2</w:t>
      </w:r>
      <w:r>
        <w:rPr>
          <w:rFonts w:cstheme="minorBidi"/>
          <w:lang w:val="en-US" w:eastAsia="zh-CN"/>
        </w:rPr>
        <w:tab/>
      </w:r>
      <w:r w:rsidR="00170A1B" w:rsidRPr="00170A1B">
        <w:rPr>
          <w:rFonts w:cstheme="minorBidi" w:hint="eastAsia"/>
          <w:lang w:val="en-US" w:eastAsia="zh-CN"/>
        </w:rPr>
        <w:t>在理事会</w:t>
      </w:r>
      <w:r w:rsidR="00170A1B" w:rsidRPr="00170A1B">
        <w:rPr>
          <w:rFonts w:cstheme="minorBidi" w:hint="eastAsia"/>
          <w:lang w:val="en-US" w:eastAsia="zh-CN"/>
        </w:rPr>
        <w:t>2023</w:t>
      </w:r>
      <w:r w:rsidR="00170A1B" w:rsidRPr="00170A1B">
        <w:rPr>
          <w:rFonts w:cstheme="minorBidi" w:hint="eastAsia"/>
          <w:lang w:val="en-US" w:eastAsia="zh-CN"/>
        </w:rPr>
        <w:t>年会议之后，根据秘书长自</w:t>
      </w:r>
      <w:r w:rsidR="00170A1B" w:rsidRPr="00170A1B">
        <w:rPr>
          <w:rFonts w:cstheme="minorBidi" w:hint="eastAsia"/>
          <w:lang w:val="en-US" w:eastAsia="zh-CN"/>
        </w:rPr>
        <w:t>2023</w:t>
      </w:r>
      <w:r w:rsidR="00170A1B" w:rsidRPr="00170A1B">
        <w:rPr>
          <w:rFonts w:cstheme="minorBidi" w:hint="eastAsia"/>
          <w:lang w:val="en-US" w:eastAsia="zh-CN"/>
        </w:rPr>
        <w:t>年</w:t>
      </w:r>
      <w:r w:rsidR="00170A1B" w:rsidRPr="00170A1B">
        <w:rPr>
          <w:rFonts w:cstheme="minorBidi" w:hint="eastAsia"/>
          <w:lang w:val="en-US" w:eastAsia="zh-CN"/>
        </w:rPr>
        <w:t>9</w:t>
      </w:r>
      <w:r w:rsidR="00170A1B" w:rsidRPr="00170A1B">
        <w:rPr>
          <w:rFonts w:cstheme="minorBidi" w:hint="eastAsia"/>
          <w:lang w:val="en-US" w:eastAsia="zh-CN"/>
        </w:rPr>
        <w:t>月</w:t>
      </w:r>
      <w:r w:rsidR="00170A1B" w:rsidRPr="00170A1B">
        <w:rPr>
          <w:rFonts w:cstheme="minorBidi" w:hint="eastAsia"/>
          <w:lang w:val="en-US" w:eastAsia="zh-CN"/>
        </w:rPr>
        <w:t>1</w:t>
      </w:r>
      <w:r w:rsidR="00170A1B" w:rsidRPr="00170A1B">
        <w:rPr>
          <w:rFonts w:cstheme="minorBidi" w:hint="eastAsia"/>
          <w:lang w:val="en-US" w:eastAsia="zh-CN"/>
        </w:rPr>
        <w:t>日起生效的行政决定设立了监督处。监督处包括三个职能：内部审计、调查和评估。在本报告期内，监督处（</w:t>
      </w:r>
      <w:r w:rsidR="00170A1B" w:rsidRPr="00170A1B">
        <w:rPr>
          <w:rFonts w:cstheme="minorBidi" w:hint="eastAsia"/>
          <w:lang w:val="en-US" w:eastAsia="zh-CN"/>
        </w:rPr>
        <w:t>OU</w:t>
      </w:r>
      <w:r w:rsidR="00170A1B" w:rsidRPr="00170A1B">
        <w:rPr>
          <w:rFonts w:cstheme="minorBidi" w:hint="eastAsia"/>
          <w:lang w:val="en-US" w:eastAsia="zh-CN"/>
        </w:rPr>
        <w:t>）由五位专业及以上职类职员组成：监督处处长（</w:t>
      </w:r>
      <w:r w:rsidR="00170A1B" w:rsidRPr="00170A1B">
        <w:rPr>
          <w:rFonts w:cstheme="minorBidi" w:hint="eastAsia"/>
          <w:lang w:val="en-US" w:eastAsia="zh-CN"/>
        </w:rPr>
        <w:t>D1</w:t>
      </w:r>
      <w:r w:rsidR="00170A1B" w:rsidRPr="00170A1B">
        <w:rPr>
          <w:rFonts w:cstheme="minorBidi" w:hint="eastAsia"/>
          <w:lang w:val="en-US" w:eastAsia="zh-CN"/>
        </w:rPr>
        <w:t>）、一名高级内部审计员（</w:t>
      </w:r>
      <w:r w:rsidR="00170A1B" w:rsidRPr="00170A1B">
        <w:rPr>
          <w:rFonts w:cstheme="minorBidi" w:hint="eastAsia"/>
          <w:lang w:val="en-US" w:eastAsia="zh-CN"/>
        </w:rPr>
        <w:t>P5</w:t>
      </w:r>
      <w:r w:rsidR="00170A1B" w:rsidRPr="00170A1B">
        <w:rPr>
          <w:rFonts w:cstheme="minorBidi" w:hint="eastAsia"/>
          <w:lang w:val="en-US" w:eastAsia="zh-CN"/>
        </w:rPr>
        <w:t>）、一名调查员</w:t>
      </w:r>
      <w:r w:rsidR="00170A1B" w:rsidRPr="00170A1B">
        <w:rPr>
          <w:rFonts w:cstheme="minorBidi" w:hint="eastAsia"/>
          <w:lang w:val="en-US" w:eastAsia="zh-CN"/>
        </w:rPr>
        <w:t>/</w:t>
      </w:r>
      <w:r w:rsidR="00170A1B" w:rsidRPr="00170A1B">
        <w:rPr>
          <w:rFonts w:cstheme="minorBidi" w:hint="eastAsia"/>
          <w:lang w:val="en-US" w:eastAsia="zh-CN"/>
        </w:rPr>
        <w:t>审计员（</w:t>
      </w:r>
      <w:r w:rsidR="00170A1B" w:rsidRPr="00170A1B">
        <w:rPr>
          <w:rFonts w:cstheme="minorBidi" w:hint="eastAsia"/>
          <w:lang w:val="en-US" w:eastAsia="zh-CN"/>
        </w:rPr>
        <w:t>P4</w:t>
      </w:r>
      <w:r w:rsidR="00170A1B" w:rsidRPr="00170A1B">
        <w:rPr>
          <w:rFonts w:cstheme="minorBidi" w:hint="eastAsia"/>
          <w:lang w:val="en-US" w:eastAsia="zh-CN"/>
        </w:rPr>
        <w:t>）、一名内部审计员（</w:t>
      </w:r>
      <w:r w:rsidR="00170A1B" w:rsidRPr="00170A1B">
        <w:rPr>
          <w:rFonts w:cstheme="minorBidi" w:hint="eastAsia"/>
          <w:lang w:val="en-US" w:eastAsia="zh-CN"/>
        </w:rPr>
        <w:t>P3</w:t>
      </w:r>
      <w:r w:rsidR="00170A1B" w:rsidRPr="00170A1B">
        <w:rPr>
          <w:rFonts w:cstheme="minorBidi" w:hint="eastAsia"/>
          <w:lang w:val="en-US" w:eastAsia="zh-CN"/>
        </w:rPr>
        <w:t>）和另一名内部审计员（</w:t>
      </w:r>
      <w:r w:rsidR="00170A1B" w:rsidRPr="00170A1B">
        <w:rPr>
          <w:rFonts w:cstheme="minorBidi" w:hint="eastAsia"/>
          <w:lang w:val="en-US" w:eastAsia="zh-CN"/>
        </w:rPr>
        <w:t>P2</w:t>
      </w:r>
      <w:r w:rsidR="00170A1B" w:rsidRPr="00170A1B">
        <w:rPr>
          <w:rFonts w:cstheme="minorBidi" w:hint="eastAsia"/>
          <w:lang w:val="en-US" w:eastAsia="zh-CN"/>
        </w:rPr>
        <w:t>）。审计工作由</w:t>
      </w:r>
      <w:r w:rsidR="00170A1B" w:rsidRPr="00170A1B">
        <w:rPr>
          <w:rFonts w:cstheme="minorBidi" w:hint="eastAsia"/>
          <w:lang w:val="en-US" w:eastAsia="zh-CN"/>
        </w:rPr>
        <w:t>P5</w:t>
      </w:r>
      <w:r w:rsidR="00170A1B" w:rsidRPr="00170A1B">
        <w:rPr>
          <w:rFonts w:cstheme="minorBidi" w:hint="eastAsia"/>
          <w:lang w:val="en-US" w:eastAsia="zh-CN"/>
        </w:rPr>
        <w:t>、</w:t>
      </w:r>
      <w:r w:rsidR="00170A1B" w:rsidRPr="00170A1B">
        <w:rPr>
          <w:rFonts w:cstheme="minorBidi" w:hint="eastAsia"/>
          <w:lang w:val="en-US" w:eastAsia="zh-CN"/>
        </w:rPr>
        <w:t>P3</w:t>
      </w:r>
      <w:r w:rsidR="00170A1B" w:rsidRPr="00170A1B">
        <w:rPr>
          <w:rFonts w:cstheme="minorBidi" w:hint="eastAsia"/>
          <w:lang w:val="en-US" w:eastAsia="zh-CN"/>
        </w:rPr>
        <w:t>和</w:t>
      </w:r>
      <w:r w:rsidR="00170A1B" w:rsidRPr="00170A1B">
        <w:rPr>
          <w:rFonts w:cstheme="minorBidi" w:hint="eastAsia"/>
          <w:lang w:val="en-US" w:eastAsia="zh-CN"/>
        </w:rPr>
        <w:t>P2</w:t>
      </w:r>
      <w:r w:rsidR="00170A1B" w:rsidRPr="00170A1B">
        <w:rPr>
          <w:rFonts w:cstheme="minorBidi" w:hint="eastAsia"/>
          <w:lang w:val="en-US" w:eastAsia="zh-CN"/>
        </w:rPr>
        <w:t>职员在监督处处长的全面监督下进行。</w:t>
      </w:r>
    </w:p>
    <w:p w14:paraId="44BFE9C2" w14:textId="3A154B6E" w:rsidR="00170A1B" w:rsidRPr="00170A1B" w:rsidRDefault="0051391B" w:rsidP="0051391B">
      <w:pPr>
        <w:rPr>
          <w:rFonts w:cstheme="minorBidi"/>
          <w:sz w:val="22"/>
          <w:szCs w:val="22"/>
          <w:lang w:eastAsia="zh-CN"/>
        </w:rPr>
      </w:pPr>
      <w:r>
        <w:rPr>
          <w:rFonts w:hint="eastAsia"/>
          <w:lang w:val="en-US" w:eastAsia="zh-CN"/>
        </w:rPr>
        <w:t>3</w:t>
      </w:r>
      <w:r>
        <w:rPr>
          <w:lang w:val="en-US" w:eastAsia="zh-CN"/>
        </w:rPr>
        <w:tab/>
      </w:r>
      <w:r w:rsidR="00170A1B" w:rsidRPr="00170A1B">
        <w:rPr>
          <w:rFonts w:hint="eastAsia"/>
          <w:lang w:val="en-US" w:eastAsia="zh-CN"/>
        </w:rPr>
        <w:t>监督处确认，该处根据国际内部审计师协会（</w:t>
      </w:r>
      <w:r w:rsidR="00170A1B" w:rsidRPr="00170A1B">
        <w:rPr>
          <w:rFonts w:hint="eastAsia"/>
          <w:lang w:val="en-US" w:eastAsia="zh-CN"/>
        </w:rPr>
        <w:t>IIA</w:t>
      </w:r>
      <w:r w:rsidR="00170A1B" w:rsidRPr="00170A1B">
        <w:rPr>
          <w:rFonts w:hint="eastAsia"/>
          <w:lang w:val="en-US" w:eastAsia="zh-CN"/>
        </w:rPr>
        <w:t>）</w:t>
      </w:r>
      <w:r w:rsidR="00170A1B" w:rsidRPr="00170A1B">
        <w:rPr>
          <w:rFonts w:cstheme="minorBidi"/>
          <w:vertAlign w:val="superscript"/>
          <w:lang w:val="en-US" w:eastAsia="zh-CN"/>
        </w:rPr>
        <w:footnoteReference w:id="2"/>
      </w:r>
      <w:r w:rsidR="00170A1B" w:rsidRPr="00170A1B">
        <w:rPr>
          <w:rFonts w:hint="eastAsia"/>
          <w:lang w:val="en-US" w:eastAsia="zh-CN"/>
        </w:rPr>
        <w:t>制定的《国际内部审计专业实务标准》和《职业道德规范》以及国际电联《内部监督章程》的规定开展审计工作。此外，监督处还确认，其职员对本报告期内审计的一切活动既无管理权也不承担任何责任，亦未在国际电联内部履行会计或运作职能。</w:t>
      </w:r>
    </w:p>
    <w:p w14:paraId="1177858E" w14:textId="77777777" w:rsidR="00170A1B" w:rsidRPr="00170A1B" w:rsidRDefault="00170A1B" w:rsidP="0051391B">
      <w:pPr>
        <w:pStyle w:val="Headingb"/>
        <w:rPr>
          <w:lang w:eastAsia="zh-CN"/>
        </w:rPr>
      </w:pPr>
      <w:r w:rsidRPr="00170A1B">
        <w:rPr>
          <w:rFonts w:hint="eastAsia"/>
          <w:lang w:eastAsia="zh-CN"/>
        </w:rPr>
        <w:t>内部审计活动的方向和范围</w:t>
      </w:r>
    </w:p>
    <w:p w14:paraId="314B5667" w14:textId="221E1BA1" w:rsidR="00170A1B" w:rsidRPr="00170A1B" w:rsidRDefault="001214EA" w:rsidP="0051391B">
      <w:pPr>
        <w:rPr>
          <w:lang w:val="en-US" w:eastAsia="zh-CN"/>
        </w:rPr>
      </w:pPr>
      <w:r>
        <w:rPr>
          <w:rFonts w:hint="eastAsia"/>
          <w:lang w:val="en-US" w:eastAsia="zh-CN"/>
        </w:rPr>
        <w:t>4</w:t>
      </w:r>
      <w:r w:rsidR="0051391B">
        <w:rPr>
          <w:lang w:val="en-US" w:eastAsia="zh-CN"/>
        </w:rPr>
        <w:tab/>
      </w:r>
      <w:r w:rsidR="00170A1B" w:rsidRPr="00170A1B">
        <w:rPr>
          <w:rFonts w:hint="eastAsia"/>
          <w:lang w:val="en-US" w:eastAsia="zh-CN"/>
        </w:rPr>
        <w:t>根据《内部监督章程》，</w:t>
      </w:r>
      <w:r w:rsidR="00170A1B" w:rsidRPr="00170A1B">
        <w:rPr>
          <w:rFonts w:hint="eastAsia"/>
          <w:lang w:val="en-US" w:eastAsia="zh-CN"/>
        </w:rPr>
        <w:t>2024</w:t>
      </w:r>
      <w:r w:rsidR="00170A1B" w:rsidRPr="00170A1B">
        <w:rPr>
          <w:rFonts w:hint="eastAsia"/>
          <w:lang w:val="en-US" w:eastAsia="zh-CN"/>
        </w:rPr>
        <w:t>年年度审计计划经独立管理顾问委员会（</w:t>
      </w:r>
      <w:r w:rsidR="00170A1B" w:rsidRPr="00170A1B">
        <w:rPr>
          <w:rFonts w:hint="eastAsia"/>
          <w:lang w:val="en-US" w:eastAsia="zh-CN"/>
        </w:rPr>
        <w:t>IMAC</w:t>
      </w:r>
      <w:r w:rsidR="00170A1B" w:rsidRPr="00170A1B">
        <w:rPr>
          <w:rFonts w:hint="eastAsia"/>
          <w:lang w:val="en-US" w:eastAsia="zh-CN"/>
        </w:rPr>
        <w:t>）第</w:t>
      </w:r>
      <w:r w:rsidR="00170A1B" w:rsidRPr="00170A1B">
        <w:rPr>
          <w:rFonts w:hint="eastAsia"/>
          <w:lang w:val="en-US" w:eastAsia="zh-CN"/>
        </w:rPr>
        <w:t>37</w:t>
      </w:r>
      <w:r w:rsidR="00170A1B" w:rsidRPr="00170A1B">
        <w:rPr>
          <w:rFonts w:hint="eastAsia"/>
          <w:lang w:val="en-US" w:eastAsia="zh-CN"/>
        </w:rPr>
        <w:t>次会议审议，并于</w:t>
      </w:r>
      <w:r w:rsidR="00170A1B" w:rsidRPr="00170A1B">
        <w:rPr>
          <w:rFonts w:hint="eastAsia"/>
          <w:lang w:val="en-US" w:eastAsia="zh-CN"/>
        </w:rPr>
        <w:t>2024</w:t>
      </w:r>
      <w:r w:rsidR="00170A1B" w:rsidRPr="00170A1B">
        <w:rPr>
          <w:rFonts w:hint="eastAsia"/>
          <w:lang w:val="en-US" w:eastAsia="zh-CN"/>
        </w:rPr>
        <w:t>年</w:t>
      </w:r>
      <w:r w:rsidR="00170A1B" w:rsidRPr="00170A1B">
        <w:rPr>
          <w:rFonts w:hint="eastAsia"/>
          <w:lang w:val="en-US" w:eastAsia="zh-CN"/>
        </w:rPr>
        <w:t>1</w:t>
      </w:r>
      <w:r w:rsidR="00170A1B" w:rsidRPr="00170A1B">
        <w:rPr>
          <w:rFonts w:hint="eastAsia"/>
          <w:lang w:val="en-US" w:eastAsia="zh-CN"/>
        </w:rPr>
        <w:t>月</w:t>
      </w:r>
      <w:r w:rsidR="00170A1B" w:rsidRPr="00170A1B">
        <w:rPr>
          <w:rFonts w:hint="eastAsia"/>
          <w:lang w:val="en-US" w:eastAsia="zh-CN"/>
        </w:rPr>
        <w:t>11</w:t>
      </w:r>
      <w:r w:rsidR="00170A1B" w:rsidRPr="00170A1B">
        <w:rPr>
          <w:rFonts w:hint="eastAsia"/>
          <w:lang w:val="en-US" w:eastAsia="zh-CN"/>
        </w:rPr>
        <w:t>日获得秘书长批准。</w:t>
      </w:r>
    </w:p>
    <w:p w14:paraId="323E81A3" w14:textId="1A50E58F" w:rsidR="00170A1B" w:rsidRPr="00170A1B" w:rsidRDefault="001214EA" w:rsidP="0051391B">
      <w:pPr>
        <w:rPr>
          <w:rFonts w:cstheme="minorBidi"/>
          <w:lang w:val="en-US" w:eastAsia="zh-CN"/>
        </w:rPr>
      </w:pPr>
      <w:r>
        <w:rPr>
          <w:rFonts w:cstheme="minorBidi" w:hint="eastAsia"/>
          <w:lang w:val="en-US" w:eastAsia="zh-CN"/>
        </w:rPr>
        <w:t>5</w:t>
      </w:r>
      <w:r w:rsidR="0051391B">
        <w:rPr>
          <w:rFonts w:cstheme="minorBidi"/>
          <w:lang w:val="en-US" w:eastAsia="zh-CN"/>
        </w:rPr>
        <w:tab/>
      </w:r>
      <w:r w:rsidR="00170A1B" w:rsidRPr="00170A1B">
        <w:rPr>
          <w:rFonts w:cstheme="minorBidi" w:hint="eastAsia"/>
          <w:lang w:val="en-US" w:eastAsia="zh-CN"/>
        </w:rPr>
        <w:t>监督处有条不紊地与国际电联外部审计员和</w:t>
      </w:r>
      <w:r w:rsidR="00170A1B" w:rsidRPr="00170A1B">
        <w:rPr>
          <w:rFonts w:cstheme="minorBidi" w:hint="eastAsia"/>
          <w:lang w:val="en-US" w:eastAsia="zh-CN"/>
        </w:rPr>
        <w:t>IMAC</w:t>
      </w:r>
      <w:r w:rsidR="00170A1B" w:rsidRPr="00170A1B">
        <w:rPr>
          <w:rFonts w:cstheme="minorBidi" w:hint="eastAsia"/>
          <w:lang w:val="en-US" w:eastAsia="zh-CN"/>
        </w:rPr>
        <w:t>分享内部审计报告。根据《财务规则和财务细则》（</w:t>
      </w:r>
      <w:r w:rsidR="00170A1B" w:rsidRPr="00170A1B">
        <w:rPr>
          <w:rFonts w:cstheme="minorBidi" w:hint="eastAsia"/>
          <w:lang w:val="en-US" w:eastAsia="zh-CN"/>
        </w:rPr>
        <w:t>2022</w:t>
      </w:r>
      <w:r w:rsidR="00170A1B" w:rsidRPr="00170A1B">
        <w:rPr>
          <w:rFonts w:cstheme="minorBidi" w:hint="eastAsia"/>
          <w:lang w:val="en-US" w:eastAsia="zh-CN"/>
        </w:rPr>
        <w:t>年）第</w:t>
      </w:r>
      <w:r w:rsidR="00170A1B" w:rsidRPr="00170A1B">
        <w:rPr>
          <w:rFonts w:cstheme="minorBidi" w:hint="eastAsia"/>
          <w:lang w:val="en-US" w:eastAsia="zh-CN"/>
        </w:rPr>
        <w:t>29</w:t>
      </w:r>
      <w:r w:rsidR="00170A1B" w:rsidRPr="00170A1B">
        <w:rPr>
          <w:rFonts w:cstheme="minorBidi" w:hint="eastAsia"/>
          <w:lang w:val="en-US" w:eastAsia="zh-CN"/>
        </w:rPr>
        <w:t>条第</w:t>
      </w:r>
      <w:r w:rsidR="00170A1B" w:rsidRPr="00170A1B">
        <w:rPr>
          <w:rFonts w:cstheme="minorBidi" w:hint="eastAsia"/>
          <w:lang w:val="en-US" w:eastAsia="zh-CN"/>
        </w:rPr>
        <w:t>5</w:t>
      </w:r>
      <w:r w:rsidR="00170A1B" w:rsidRPr="00170A1B">
        <w:rPr>
          <w:rFonts w:cstheme="minorBidi" w:hint="eastAsia"/>
          <w:lang w:val="en-US" w:eastAsia="zh-CN"/>
        </w:rPr>
        <w:t>款，内部审计最后报告可提供给成员国或其指定代表。自</w:t>
      </w:r>
      <w:r w:rsidR="00170A1B" w:rsidRPr="00170A1B">
        <w:rPr>
          <w:rFonts w:cstheme="minorBidi" w:hint="eastAsia"/>
          <w:lang w:val="en-US" w:eastAsia="zh-CN"/>
        </w:rPr>
        <w:t>2015</w:t>
      </w:r>
      <w:r w:rsidR="00170A1B" w:rsidRPr="00170A1B">
        <w:rPr>
          <w:rFonts w:cstheme="minorBidi" w:hint="eastAsia"/>
          <w:lang w:val="en-US" w:eastAsia="zh-CN"/>
        </w:rPr>
        <w:t>年</w:t>
      </w:r>
      <w:r w:rsidR="00170A1B" w:rsidRPr="00170A1B">
        <w:rPr>
          <w:rFonts w:cstheme="minorBidi" w:hint="eastAsia"/>
          <w:lang w:val="en-US" w:eastAsia="zh-CN"/>
        </w:rPr>
        <w:t>10</w:t>
      </w:r>
      <w:r w:rsidR="00170A1B" w:rsidRPr="00170A1B">
        <w:rPr>
          <w:rFonts w:cstheme="minorBidi" w:hint="eastAsia"/>
          <w:lang w:val="en-US" w:eastAsia="zh-CN"/>
        </w:rPr>
        <w:t>月以来，已建立方便获取内部审计报告的机制。在本报告期内，未通过</w:t>
      </w:r>
      <w:r w:rsidR="00170A1B">
        <w:fldChar w:fldCharType="begin"/>
      </w:r>
      <w:r w:rsidR="00170A1B">
        <w:rPr>
          <w:lang w:eastAsia="zh-CN"/>
        </w:rPr>
        <w:instrText>HYPERLINK "https://www.itu.int/en/council/Pages/form-internal-audit.aspx"</w:instrText>
      </w:r>
      <w:r w:rsidR="00170A1B">
        <w:fldChar w:fldCharType="separate"/>
      </w:r>
      <w:r w:rsidR="00170A1B" w:rsidRPr="00170A1B">
        <w:rPr>
          <w:rFonts w:cstheme="minorBidi" w:hint="eastAsia"/>
          <w:color w:val="4F81BD" w:themeColor="accent1"/>
          <w:u w:val="single"/>
          <w:lang w:val="en-US" w:eastAsia="zh-CN"/>
        </w:rPr>
        <w:t>在线机制</w:t>
      </w:r>
      <w:r w:rsidR="00170A1B">
        <w:fldChar w:fldCharType="end"/>
      </w:r>
      <w:r w:rsidR="00170A1B" w:rsidRPr="00170A1B">
        <w:rPr>
          <w:rFonts w:cstheme="minorBidi" w:hint="eastAsia"/>
          <w:lang w:val="en-US" w:eastAsia="zh-CN"/>
        </w:rPr>
        <w:t>收到任何要求获取内部审计报告的请求。</w:t>
      </w:r>
    </w:p>
    <w:p w14:paraId="23002A5A" w14:textId="77777777" w:rsidR="00170A1B" w:rsidRPr="00170A1B" w:rsidRDefault="00170A1B" w:rsidP="0051391B">
      <w:pPr>
        <w:pStyle w:val="Headingb"/>
        <w:rPr>
          <w:lang w:eastAsia="zh-CN"/>
        </w:rPr>
      </w:pPr>
      <w:r w:rsidRPr="00170A1B">
        <w:rPr>
          <w:rFonts w:hint="eastAsia"/>
          <w:lang w:eastAsia="zh-CN"/>
        </w:rPr>
        <w:t>鉴证业务的目标和结论</w:t>
      </w:r>
    </w:p>
    <w:p w14:paraId="586573E5" w14:textId="2F6E9AAC" w:rsidR="00170A1B" w:rsidRPr="00170A1B" w:rsidRDefault="001214EA" w:rsidP="0051391B">
      <w:pPr>
        <w:rPr>
          <w:sz w:val="22"/>
          <w:szCs w:val="22"/>
          <w:lang w:val="en-US" w:eastAsia="zh-CN"/>
        </w:rPr>
      </w:pPr>
      <w:r>
        <w:rPr>
          <w:rFonts w:hint="eastAsia"/>
          <w:lang w:val="en-US" w:eastAsia="zh-CN"/>
        </w:rPr>
        <w:t>6</w:t>
      </w:r>
      <w:r w:rsidR="0051391B">
        <w:rPr>
          <w:lang w:val="en-US" w:eastAsia="zh-CN"/>
        </w:rPr>
        <w:tab/>
      </w:r>
      <w:r w:rsidR="00170A1B" w:rsidRPr="00170A1B">
        <w:rPr>
          <w:rFonts w:hint="eastAsia"/>
          <w:lang w:val="en-US" w:eastAsia="zh-CN"/>
        </w:rPr>
        <w:t>鉴证业务的目标是评估：</w:t>
      </w:r>
      <w:r w:rsidR="00170A1B" w:rsidRPr="00170A1B">
        <w:rPr>
          <w:rFonts w:hint="eastAsia"/>
          <w:lang w:val="en-US" w:eastAsia="zh-CN"/>
        </w:rPr>
        <w:t>(</w:t>
      </w:r>
      <w:proofErr w:type="spellStart"/>
      <w:r w:rsidR="00170A1B" w:rsidRPr="00170A1B">
        <w:rPr>
          <w:rFonts w:hint="eastAsia"/>
          <w:lang w:val="en-US" w:eastAsia="zh-CN"/>
        </w:rPr>
        <w:t>i</w:t>
      </w:r>
      <w:proofErr w:type="spellEnd"/>
      <w:r w:rsidR="00170A1B" w:rsidRPr="00170A1B">
        <w:rPr>
          <w:rFonts w:hint="eastAsia"/>
          <w:lang w:val="en-US" w:eastAsia="zh-CN"/>
        </w:rPr>
        <w:t xml:space="preserve">) </w:t>
      </w:r>
      <w:r w:rsidR="00170A1B" w:rsidRPr="00170A1B">
        <w:rPr>
          <w:rFonts w:hint="eastAsia"/>
          <w:lang w:val="en-US" w:eastAsia="zh-CN"/>
        </w:rPr>
        <w:t>经审计的国际电联行动的治理方面；</w:t>
      </w:r>
      <w:r w:rsidR="00170A1B" w:rsidRPr="00170A1B">
        <w:rPr>
          <w:rFonts w:hint="eastAsia"/>
          <w:lang w:val="en-US" w:eastAsia="zh-CN"/>
        </w:rPr>
        <w:t xml:space="preserve">(ii) </w:t>
      </w:r>
      <w:r w:rsidR="00170A1B" w:rsidRPr="00170A1B">
        <w:rPr>
          <w:rFonts w:hint="eastAsia"/>
          <w:lang w:val="en-US" w:eastAsia="zh-CN"/>
        </w:rPr>
        <w:t>风险管理做法；</w:t>
      </w:r>
      <w:r w:rsidR="00170A1B" w:rsidRPr="00170A1B">
        <w:rPr>
          <w:rFonts w:hint="eastAsia"/>
          <w:lang w:val="en-US" w:eastAsia="zh-CN"/>
        </w:rPr>
        <w:t>(iii)</w:t>
      </w:r>
      <w:r w:rsidR="00170A1B" w:rsidRPr="00170A1B">
        <w:rPr>
          <w:rFonts w:hint="eastAsia"/>
          <w:lang w:val="en-US" w:eastAsia="zh-CN"/>
        </w:rPr>
        <w:t>（内部）控制的有效性。审计工作中提出的建议，根据缺陷的影响程度及发生可能性（高、中、低）进行优先级划分。</w:t>
      </w:r>
    </w:p>
    <w:p w14:paraId="471BF0AE" w14:textId="7ED7B26B" w:rsidR="00170A1B" w:rsidRPr="00170A1B" w:rsidRDefault="001214EA" w:rsidP="0051391B">
      <w:pPr>
        <w:rPr>
          <w:rFonts w:cstheme="minorHAnsi"/>
          <w:sz w:val="22"/>
          <w:szCs w:val="22"/>
          <w:lang w:val="en-US" w:eastAsia="zh-CN"/>
        </w:rPr>
      </w:pPr>
      <w:r>
        <w:rPr>
          <w:rFonts w:hint="eastAsia"/>
          <w:lang w:val="en-US" w:eastAsia="zh-CN"/>
        </w:rPr>
        <w:t>7</w:t>
      </w:r>
      <w:r w:rsidR="0051391B">
        <w:rPr>
          <w:lang w:val="en-US" w:eastAsia="zh-CN"/>
        </w:rPr>
        <w:tab/>
      </w:r>
      <w:r w:rsidR="00170A1B" w:rsidRPr="00170A1B">
        <w:rPr>
          <w:rFonts w:hint="eastAsia"/>
          <w:lang w:val="en-US" w:eastAsia="zh-CN"/>
        </w:rPr>
        <w:t>监督处在需要时跟进建议行动的实施。为此，自</w:t>
      </w:r>
      <w:r w:rsidR="00170A1B" w:rsidRPr="00170A1B">
        <w:rPr>
          <w:rFonts w:hint="eastAsia"/>
          <w:lang w:val="en-US" w:eastAsia="zh-CN"/>
        </w:rPr>
        <w:t>2021</w:t>
      </w:r>
      <w:r w:rsidR="00170A1B" w:rsidRPr="00170A1B">
        <w:rPr>
          <w:rFonts w:hint="eastAsia"/>
          <w:lang w:val="en-US" w:eastAsia="zh-CN"/>
        </w:rPr>
        <w:t>年初起，在国际电联范围内提供了一个合规信息概览，便于相关管理人员跟踪建议的落实情况，但根据</w:t>
      </w:r>
      <w:r w:rsidR="00170A1B" w:rsidRPr="00170A1B">
        <w:rPr>
          <w:rFonts w:hint="eastAsia"/>
          <w:lang w:val="en-US" w:eastAsia="zh-CN"/>
        </w:rPr>
        <w:t>IIA</w:t>
      </w:r>
      <w:r w:rsidR="00170A1B" w:rsidRPr="00170A1B">
        <w:rPr>
          <w:rFonts w:hint="eastAsia"/>
          <w:lang w:val="en-US" w:eastAsia="zh-CN"/>
        </w:rPr>
        <w:t>《全球内部审计准则》（</w:t>
      </w:r>
      <w:r w:rsidR="00170A1B" w:rsidRPr="00170A1B">
        <w:rPr>
          <w:rFonts w:hint="eastAsia"/>
          <w:lang w:val="en-US" w:eastAsia="zh-CN"/>
        </w:rPr>
        <w:t>GIAS</w:t>
      </w:r>
      <w:r w:rsidR="00170A1B" w:rsidRPr="00170A1B">
        <w:rPr>
          <w:rFonts w:hint="eastAsia"/>
          <w:lang w:val="en-US" w:eastAsia="zh-CN"/>
        </w:rPr>
        <w:t>）第</w:t>
      </w:r>
      <w:r w:rsidR="00170A1B" w:rsidRPr="00170A1B">
        <w:rPr>
          <w:rFonts w:hint="eastAsia"/>
          <w:lang w:val="en-US" w:eastAsia="zh-CN"/>
        </w:rPr>
        <w:t>15.2</w:t>
      </w:r>
      <w:r w:rsidR="00170A1B" w:rsidRPr="00170A1B">
        <w:rPr>
          <w:rFonts w:hint="eastAsia"/>
          <w:lang w:val="en-US" w:eastAsia="zh-CN"/>
        </w:rPr>
        <w:t>款</w:t>
      </w:r>
      <w:r w:rsidR="00170A1B" w:rsidRPr="00170A1B">
        <w:rPr>
          <w:sz w:val="22"/>
          <w:szCs w:val="22"/>
          <w:vertAlign w:val="superscript"/>
          <w:lang w:val="en-US" w:eastAsia="zh-CN"/>
        </w:rPr>
        <w:footnoteReference w:id="3"/>
      </w:r>
      <w:r w:rsidR="00170A1B" w:rsidRPr="00170A1B">
        <w:rPr>
          <w:rFonts w:hint="eastAsia"/>
          <w:lang w:val="en-US" w:eastAsia="zh-CN"/>
        </w:rPr>
        <w:t>，这并不能免除监督处跟进其建议落实情况的责任。另向理事会</w:t>
      </w:r>
      <w:r w:rsidR="00170A1B" w:rsidRPr="00170A1B">
        <w:rPr>
          <w:rFonts w:hint="eastAsia"/>
          <w:lang w:val="en-US" w:eastAsia="zh-CN"/>
        </w:rPr>
        <w:t>2025</w:t>
      </w:r>
      <w:r w:rsidR="00170A1B" w:rsidRPr="00170A1B">
        <w:rPr>
          <w:rFonts w:hint="eastAsia"/>
          <w:lang w:val="en-US" w:eastAsia="zh-CN"/>
        </w:rPr>
        <w:t>年会议提交了一份单独的情况通报文件（</w:t>
      </w:r>
      <w:r w:rsidR="00170A1B">
        <w:fldChar w:fldCharType="begin"/>
      </w:r>
      <w:r w:rsidR="00170A1B">
        <w:rPr>
          <w:lang w:eastAsia="zh-CN"/>
        </w:rPr>
        <w:instrText>HYPERLINK "https://www.itu.int/md/S25-CL-INF-0001/en"</w:instrText>
      </w:r>
      <w:r w:rsidR="00170A1B">
        <w:fldChar w:fldCharType="separate"/>
      </w:r>
      <w:proofErr w:type="spellStart"/>
      <w:r w:rsidR="00170A1B" w:rsidRPr="00170A1B">
        <w:rPr>
          <w:color w:val="4F81BD" w:themeColor="accent1"/>
          <w:u w:val="single"/>
          <w:lang w:val="en-US" w:eastAsia="zh-CN"/>
        </w:rPr>
        <w:t>C25</w:t>
      </w:r>
      <w:proofErr w:type="spellEnd"/>
      <w:r w:rsidR="00170A1B" w:rsidRPr="00170A1B">
        <w:rPr>
          <w:color w:val="4F81BD" w:themeColor="accent1"/>
          <w:u w:val="single"/>
          <w:lang w:val="en-US" w:eastAsia="zh-CN"/>
        </w:rPr>
        <w:t>/INF/1</w:t>
      </w:r>
      <w:r w:rsidR="00170A1B">
        <w:fldChar w:fldCharType="end"/>
      </w:r>
      <w:r w:rsidR="00170A1B" w:rsidRPr="00170A1B">
        <w:rPr>
          <w:rFonts w:hint="eastAsia"/>
          <w:lang w:val="en-US" w:eastAsia="zh-CN"/>
        </w:rPr>
        <w:t>），以说明对内部审计建议和法务审计建议的跟进情况。</w:t>
      </w:r>
    </w:p>
    <w:p w14:paraId="163C13C5" w14:textId="77777777" w:rsidR="0051391B" w:rsidRDefault="00170A1B" w:rsidP="0089427A">
      <w:pPr>
        <w:tabs>
          <w:tab w:val="clear" w:pos="794"/>
          <w:tab w:val="clear" w:pos="1191"/>
          <w:tab w:val="clear" w:pos="1588"/>
          <w:tab w:val="clear" w:pos="1985"/>
        </w:tabs>
        <w:snapToGrid w:val="0"/>
        <w:spacing w:before="240"/>
        <w:jc w:val="both"/>
        <w:rPr>
          <w:rFonts w:ascii="STKaiti" w:eastAsia="STKaiti" w:hAnsi="STKaiti" w:cstheme="minorHAnsi"/>
          <w:szCs w:val="24"/>
          <w:lang w:eastAsia="zh-CN"/>
        </w:rPr>
      </w:pPr>
      <w:r w:rsidRPr="00170A1B">
        <w:rPr>
          <w:rFonts w:ascii="STKaiti" w:eastAsia="STKaiti" w:hAnsi="STKaiti" w:cstheme="minorHAnsi" w:hint="eastAsia"/>
          <w:szCs w:val="24"/>
          <w:lang w:eastAsia="zh-CN"/>
        </w:rPr>
        <w:t>开展并完成了以下鉴证业务：</w:t>
      </w:r>
    </w:p>
    <w:p w14:paraId="477A0B1F" w14:textId="2A908A1D" w:rsidR="00170A1B" w:rsidRPr="00264AF8" w:rsidRDefault="0051391B" w:rsidP="008F5EC6">
      <w:pPr>
        <w:pStyle w:val="Headingi"/>
        <w:rPr>
          <w:i w:val="0"/>
          <w:iCs w:val="0"/>
        </w:rPr>
      </w:pPr>
      <w:r w:rsidRPr="008F5EC6">
        <w:rPr>
          <w:rFonts w:hint="eastAsia"/>
        </w:rPr>
        <w:t>A</w:t>
      </w:r>
      <w:r w:rsidRPr="008F5EC6">
        <w:tab/>
      </w:r>
      <w:r w:rsidR="00170A1B" w:rsidRPr="008F5EC6">
        <w:rPr>
          <w:rFonts w:ascii="STKaiti" w:eastAsia="STKaiti" w:hAnsi="STKaiti" w:hint="eastAsia"/>
          <w:i w:val="0"/>
          <w:iCs w:val="0"/>
        </w:rPr>
        <w:t>拨款管理模块评估</w:t>
      </w:r>
    </w:p>
    <w:p w14:paraId="3009921C" w14:textId="3FCFE9C5" w:rsidR="00170A1B" w:rsidRPr="00170A1B" w:rsidRDefault="000526D8" w:rsidP="0051391B">
      <w:pPr>
        <w:rPr>
          <w:lang w:val="en-US" w:eastAsia="zh-CN"/>
        </w:rPr>
      </w:pPr>
      <w:r>
        <w:rPr>
          <w:rFonts w:hint="eastAsia"/>
          <w:lang w:val="en-US" w:eastAsia="zh-CN"/>
        </w:rPr>
        <w:t>8</w:t>
      </w:r>
      <w:r w:rsidR="0051391B">
        <w:rPr>
          <w:lang w:val="en-US" w:eastAsia="zh-CN"/>
        </w:rPr>
        <w:tab/>
      </w:r>
      <w:r w:rsidR="00170A1B" w:rsidRPr="00170A1B">
        <w:rPr>
          <w:rFonts w:hint="eastAsia"/>
          <w:lang w:val="en-US" w:eastAsia="zh-CN"/>
        </w:rPr>
        <w:t>在外部服务提供商的支持下，监督处对</w:t>
      </w:r>
      <w:r w:rsidR="00170A1B" w:rsidRPr="00170A1B">
        <w:rPr>
          <w:rFonts w:hint="eastAsia"/>
          <w:lang w:val="en-US" w:eastAsia="zh-CN"/>
        </w:rPr>
        <w:t>SAP/</w:t>
      </w:r>
      <w:r w:rsidR="00170A1B" w:rsidRPr="00170A1B">
        <w:rPr>
          <w:rFonts w:hint="eastAsia"/>
          <w:lang w:val="en-US" w:eastAsia="zh-CN"/>
        </w:rPr>
        <w:t>拨款管理模块（</w:t>
      </w:r>
      <w:r w:rsidR="00170A1B" w:rsidRPr="00170A1B">
        <w:rPr>
          <w:rFonts w:hint="eastAsia"/>
          <w:lang w:val="en-US" w:eastAsia="zh-CN"/>
        </w:rPr>
        <w:t>GMM</w:t>
      </w:r>
      <w:r w:rsidR="00170A1B" w:rsidRPr="00170A1B">
        <w:rPr>
          <w:rFonts w:hint="eastAsia"/>
          <w:lang w:val="en-US" w:eastAsia="zh-CN"/>
        </w:rPr>
        <w:t>）的适用性进行了评估。目标是分析与拨款管理（预算外项目和计划）相关的</w:t>
      </w:r>
      <w:r w:rsidR="00170A1B" w:rsidRPr="00170A1B">
        <w:rPr>
          <w:rFonts w:hint="eastAsia"/>
          <w:lang w:val="en-US" w:eastAsia="zh-CN"/>
        </w:rPr>
        <w:t>SAP-ERP</w:t>
      </w:r>
      <w:r w:rsidR="00170A1B" w:rsidRPr="00170A1B">
        <w:rPr>
          <w:rFonts w:hint="eastAsia"/>
          <w:lang w:val="en-US" w:eastAsia="zh-CN"/>
        </w:rPr>
        <w:t>当前配置和整合情况，评估拨款管理（预算外资金）当前所用方法的效率、可靠性和有效性，并评估与实施</w:t>
      </w:r>
      <w:r w:rsidR="00170A1B" w:rsidRPr="00170A1B">
        <w:rPr>
          <w:rFonts w:hint="eastAsia"/>
          <w:lang w:val="en-US" w:eastAsia="zh-CN"/>
        </w:rPr>
        <w:t>SAP</w:t>
      </w:r>
      <w:r w:rsidR="00170A1B" w:rsidRPr="00170A1B">
        <w:rPr>
          <w:rFonts w:hint="eastAsia"/>
          <w:lang w:val="en-US" w:eastAsia="zh-CN"/>
        </w:rPr>
        <w:t>拨款管理模块相关的附加值（受让人管理（</w:t>
      </w:r>
      <w:r w:rsidR="00170A1B" w:rsidRPr="00170A1B">
        <w:rPr>
          <w:rFonts w:hint="eastAsia"/>
          <w:lang w:val="en-US" w:eastAsia="zh-CN"/>
        </w:rPr>
        <w:t>GM-GTE</w:t>
      </w:r>
      <w:r w:rsidR="00170A1B" w:rsidRPr="00170A1B">
        <w:rPr>
          <w:rFonts w:hint="eastAsia"/>
          <w:lang w:val="en-US" w:eastAsia="zh-CN"/>
        </w:rPr>
        <w:t>））。</w:t>
      </w:r>
    </w:p>
    <w:p w14:paraId="7A36FA95" w14:textId="35538AA4" w:rsidR="00170A1B" w:rsidRPr="00170A1B" w:rsidRDefault="000526D8" w:rsidP="0051391B">
      <w:pPr>
        <w:rPr>
          <w:lang w:val="en-US" w:eastAsia="zh-CN"/>
        </w:rPr>
      </w:pPr>
      <w:r>
        <w:rPr>
          <w:rFonts w:hint="eastAsia"/>
          <w:lang w:eastAsia="zh-CN"/>
        </w:rPr>
        <w:lastRenderedPageBreak/>
        <w:t>9</w:t>
      </w:r>
      <w:r w:rsidR="0051391B">
        <w:rPr>
          <w:lang w:eastAsia="zh-CN"/>
        </w:rPr>
        <w:tab/>
      </w:r>
      <w:r w:rsidR="00170A1B" w:rsidRPr="00170A1B">
        <w:rPr>
          <w:rFonts w:hint="eastAsia"/>
          <w:lang w:eastAsia="zh-CN"/>
        </w:rPr>
        <w:t>评估发现，当前设计的</w:t>
      </w:r>
      <w:r w:rsidR="00170A1B" w:rsidRPr="00170A1B">
        <w:rPr>
          <w:rFonts w:hint="eastAsia"/>
          <w:lang w:eastAsia="zh-CN"/>
        </w:rPr>
        <w:t>SAP</w:t>
      </w:r>
      <w:r w:rsidR="00170A1B" w:rsidRPr="00170A1B">
        <w:rPr>
          <w:rFonts w:hint="eastAsia"/>
          <w:lang w:eastAsia="zh-CN"/>
        </w:rPr>
        <w:t>与</w:t>
      </w:r>
      <w:r w:rsidR="00170A1B" w:rsidRPr="00170A1B">
        <w:rPr>
          <w:rFonts w:hint="eastAsia"/>
          <w:lang w:eastAsia="zh-CN"/>
        </w:rPr>
        <w:t>GMM</w:t>
      </w:r>
      <w:r w:rsidR="00170A1B" w:rsidRPr="00170A1B">
        <w:rPr>
          <w:rFonts w:hint="eastAsia"/>
          <w:lang w:eastAsia="zh-CN"/>
        </w:rPr>
        <w:t>之间的联系，足以满足预算外报告的需要。然而，并未就系统功能进行明确沟通，也未向用户提供培训，导致需要进行不必要的额外处理。发现的这一问题属于过程问题，而不是系统问题。还发现，当前的拨款管理流程没有被记录在案，没有明确的数据治理或所有权结构。</w:t>
      </w:r>
    </w:p>
    <w:p w14:paraId="2A383219" w14:textId="39931D93" w:rsidR="00170A1B" w:rsidRPr="00170A1B" w:rsidRDefault="000526D8" w:rsidP="0051391B">
      <w:pPr>
        <w:rPr>
          <w:rFonts w:eastAsiaTheme="minorEastAsia" w:cs="Calibri"/>
          <w:sz w:val="22"/>
          <w:lang w:val="en-US" w:eastAsia="zh-CN"/>
        </w:rPr>
      </w:pPr>
      <w:r>
        <w:rPr>
          <w:rFonts w:eastAsiaTheme="minorEastAsia" w:cs="Calibri" w:hint="eastAsia"/>
          <w:lang w:val="en-US" w:eastAsia="zh-CN"/>
        </w:rPr>
        <w:t>10</w:t>
      </w:r>
      <w:r w:rsidR="0051391B">
        <w:rPr>
          <w:rFonts w:eastAsiaTheme="minorEastAsia" w:cs="Calibri"/>
          <w:lang w:val="en-US" w:eastAsia="zh-CN"/>
        </w:rPr>
        <w:tab/>
      </w:r>
      <w:r w:rsidR="00170A1B" w:rsidRPr="00170A1B">
        <w:rPr>
          <w:rFonts w:eastAsiaTheme="minorEastAsia" w:cs="Calibri" w:hint="eastAsia"/>
          <w:lang w:val="en-US" w:eastAsia="zh-CN"/>
        </w:rPr>
        <w:t>最后审计报告已与总秘书处相关官员分享和讨论。该报告包括六项用于解决拨款管理流程相关问题的建议，报告已于</w:t>
      </w:r>
      <w:r w:rsidR="00170A1B" w:rsidRPr="00170A1B">
        <w:rPr>
          <w:rFonts w:eastAsiaTheme="minorEastAsia" w:cs="Calibri" w:hint="eastAsia"/>
          <w:lang w:val="en-US" w:eastAsia="zh-CN"/>
        </w:rPr>
        <w:t>2025</w:t>
      </w:r>
      <w:r w:rsidR="00170A1B" w:rsidRPr="00170A1B">
        <w:rPr>
          <w:rFonts w:eastAsiaTheme="minorEastAsia" w:cs="Calibri" w:hint="eastAsia"/>
          <w:lang w:val="en-US" w:eastAsia="zh-CN"/>
        </w:rPr>
        <w:t>年</w:t>
      </w:r>
      <w:r w:rsidR="00170A1B" w:rsidRPr="00170A1B">
        <w:rPr>
          <w:rFonts w:eastAsiaTheme="minorEastAsia" w:cs="Calibri" w:hint="eastAsia"/>
          <w:lang w:val="en-US" w:eastAsia="zh-CN"/>
        </w:rPr>
        <w:t>1</w:t>
      </w:r>
      <w:r w:rsidR="00170A1B" w:rsidRPr="00170A1B">
        <w:rPr>
          <w:rFonts w:eastAsiaTheme="minorEastAsia" w:cs="Calibri" w:hint="eastAsia"/>
          <w:lang w:val="en-US" w:eastAsia="zh-CN"/>
        </w:rPr>
        <w:t>月</w:t>
      </w:r>
      <w:r w:rsidR="00170A1B" w:rsidRPr="00170A1B">
        <w:rPr>
          <w:rFonts w:eastAsiaTheme="minorEastAsia" w:cs="Calibri" w:hint="eastAsia"/>
          <w:lang w:val="en-US" w:eastAsia="zh-CN"/>
        </w:rPr>
        <w:t>8</w:t>
      </w:r>
      <w:r w:rsidR="00170A1B" w:rsidRPr="00170A1B">
        <w:rPr>
          <w:rFonts w:eastAsiaTheme="minorEastAsia" w:cs="Calibri" w:hint="eastAsia"/>
          <w:lang w:val="en-US" w:eastAsia="zh-CN"/>
        </w:rPr>
        <w:t>日提交秘书长。管理层总体上同意提出的审计建议。</w:t>
      </w:r>
    </w:p>
    <w:p w14:paraId="48E6A83F" w14:textId="0A6B3AB4" w:rsidR="00170A1B" w:rsidRPr="00264AF8" w:rsidRDefault="0051391B" w:rsidP="00264AF8">
      <w:pPr>
        <w:pStyle w:val="Headingi"/>
        <w:rPr>
          <w:rFonts w:ascii="STKaiti" w:eastAsia="STKaiti" w:hAnsi="STKaiti"/>
          <w:i w:val="0"/>
          <w:iCs w:val="0"/>
        </w:rPr>
      </w:pPr>
      <w:r w:rsidRPr="008F5EC6">
        <w:rPr>
          <w:rFonts w:hint="eastAsia"/>
        </w:rPr>
        <w:t>B</w:t>
      </w:r>
      <w:r w:rsidRPr="008F5EC6">
        <w:tab/>
      </w:r>
      <w:r w:rsidR="00170A1B" w:rsidRPr="00264AF8">
        <w:rPr>
          <w:rFonts w:ascii="STKaiti" w:eastAsia="STKaiti" w:hAnsi="STKaiti"/>
          <w:i w:val="0"/>
          <w:iCs w:val="0"/>
        </w:rPr>
        <w:t>阿拉伯区域代表处</w:t>
      </w:r>
    </w:p>
    <w:p w14:paraId="53D15772" w14:textId="5BE2631F" w:rsidR="00170A1B" w:rsidRPr="00170A1B" w:rsidRDefault="000526D8" w:rsidP="0051391B">
      <w:pPr>
        <w:rPr>
          <w:lang w:val="en-US" w:eastAsia="zh-CN"/>
        </w:rPr>
      </w:pPr>
      <w:r>
        <w:rPr>
          <w:rFonts w:hint="eastAsia"/>
          <w:lang w:val="en-US" w:eastAsia="zh-CN"/>
        </w:rPr>
        <w:t>1</w:t>
      </w:r>
      <w:r w:rsidR="0051391B">
        <w:rPr>
          <w:rFonts w:hint="eastAsia"/>
          <w:lang w:val="en-US" w:eastAsia="zh-CN"/>
        </w:rPr>
        <w:t>1</w:t>
      </w:r>
      <w:r w:rsidR="0051391B">
        <w:rPr>
          <w:lang w:val="en-US" w:eastAsia="zh-CN"/>
        </w:rPr>
        <w:tab/>
      </w:r>
      <w:r w:rsidR="00170A1B" w:rsidRPr="00170A1B">
        <w:rPr>
          <w:rFonts w:hint="eastAsia"/>
          <w:lang w:val="en-US" w:eastAsia="zh-CN"/>
        </w:rPr>
        <w:t>监督处完成了对阿拉伯区域代表处的审计。监督处在审计期间审查了</w:t>
      </w:r>
      <w:r w:rsidR="00170A1B" w:rsidRPr="00170A1B">
        <w:rPr>
          <w:rFonts w:hint="eastAsia"/>
          <w:lang w:val="en-US" w:eastAsia="zh-CN"/>
        </w:rPr>
        <w:t>12</w:t>
      </w:r>
      <w:r w:rsidR="00170A1B" w:rsidRPr="00170A1B">
        <w:rPr>
          <w:rFonts w:hint="eastAsia"/>
          <w:lang w:val="en-US" w:eastAsia="zh-CN"/>
        </w:rPr>
        <w:t>个主题领域，每个主题领域的结论直观呈现如下：</w:t>
      </w:r>
    </w:p>
    <w:p w14:paraId="0C689A41" w14:textId="0BC8C737" w:rsidR="00F443EA" w:rsidRPr="00170A1B" w:rsidRDefault="00F443EA" w:rsidP="00170A1B">
      <w:pPr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134"/>
          <w:tab w:val="left" w:pos="1701"/>
          <w:tab w:val="left" w:pos="2268"/>
          <w:tab w:val="left" w:pos="2835"/>
        </w:tabs>
        <w:jc w:val="both"/>
        <w:rPr>
          <w:rFonts w:asciiTheme="majorHAnsi" w:eastAsiaTheme="minorEastAsia" w:hAnsiTheme="majorHAnsi" w:cstheme="majorHAnsi"/>
        </w:rPr>
      </w:pPr>
      <w:r w:rsidRPr="00F443EA">
        <w:rPr>
          <w:noProof/>
        </w:rPr>
        <w:drawing>
          <wp:inline distT="0" distB="0" distL="0" distR="0" wp14:anchorId="078763FB" wp14:editId="1F8FBA9C">
            <wp:extent cx="5760085" cy="1974850"/>
            <wp:effectExtent l="0" t="0" r="0" b="6350"/>
            <wp:docPr id="3958324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197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5BE207" w14:textId="32FB320A" w:rsidR="00170A1B" w:rsidRPr="00170A1B" w:rsidRDefault="00170A1B" w:rsidP="00170A1B">
      <w:pPr>
        <w:tabs>
          <w:tab w:val="clear" w:pos="794"/>
          <w:tab w:val="clear" w:pos="1191"/>
          <w:tab w:val="clear" w:pos="1588"/>
          <w:tab w:val="clear" w:pos="1985"/>
          <w:tab w:val="left" w:pos="284"/>
          <w:tab w:val="left" w:pos="567"/>
          <w:tab w:val="left" w:pos="1134"/>
          <w:tab w:val="left" w:pos="1701"/>
          <w:tab w:val="left" w:pos="2268"/>
          <w:tab w:val="left" w:pos="2835"/>
        </w:tabs>
        <w:spacing w:after="120"/>
        <w:jc w:val="both"/>
        <w:rPr>
          <w:rFonts w:asciiTheme="majorHAnsi" w:eastAsiaTheme="minorEastAsia" w:hAnsiTheme="majorHAnsi" w:cstheme="majorHAnsi"/>
          <w:sz w:val="20"/>
          <w:lang w:eastAsia="zh-CN"/>
        </w:rPr>
      </w:pPr>
      <w:r w:rsidRPr="00170A1B">
        <w:rPr>
          <w:rFonts w:asciiTheme="minorHAnsi" w:eastAsiaTheme="minorEastAsia" w:hAnsiTheme="minorHAnsi" w:cstheme="minorHAnsi"/>
          <w:i/>
          <w:iCs/>
          <w:sz w:val="20"/>
          <w:vertAlign w:val="superscript"/>
          <w:lang w:eastAsia="zh-CN"/>
        </w:rPr>
        <w:t>1</w:t>
      </w:r>
      <w:r w:rsidRPr="00170A1B">
        <w:rPr>
          <w:rFonts w:asciiTheme="minorHAnsi" w:eastAsiaTheme="minorEastAsia" w:hAnsiTheme="minorHAnsi" w:cstheme="minorHAnsi"/>
          <w:i/>
          <w:iCs/>
          <w:sz w:val="20"/>
          <w:lang w:eastAsia="zh-CN"/>
        </w:rPr>
        <w:t xml:space="preserve"> </w:t>
      </w:r>
      <w:r w:rsidRPr="00170A1B">
        <w:rPr>
          <w:rFonts w:asciiTheme="minorHAnsi" w:eastAsiaTheme="minorEastAsia" w:hAnsiTheme="minorHAnsi" w:cstheme="minorHAnsi"/>
          <w:i/>
          <w:iCs/>
          <w:sz w:val="20"/>
          <w:lang w:eastAsia="zh-CN"/>
        </w:rPr>
        <w:tab/>
      </w:r>
      <w:r w:rsidR="00676B6C" w:rsidRPr="00676B6C">
        <w:rPr>
          <w:rFonts w:ascii="STKaiti" w:eastAsia="STKaiti" w:hAnsi="STKaiti" w:cstheme="minorHAnsi" w:hint="eastAsia"/>
          <w:sz w:val="20"/>
          <w:lang w:eastAsia="zh-CN"/>
        </w:rPr>
        <w:t>没有根据</w:t>
      </w:r>
      <w:r w:rsidR="00676B6C" w:rsidRPr="008D0031">
        <w:rPr>
          <w:rFonts w:eastAsia="STKaiti" w:cs="Calibri"/>
          <w:sz w:val="20"/>
          <w:lang w:eastAsia="zh-CN"/>
        </w:rPr>
        <w:t>COSO</w:t>
      </w:r>
      <w:r w:rsidR="00676B6C" w:rsidRPr="00676B6C">
        <w:rPr>
          <w:rFonts w:ascii="STKaiti" w:eastAsia="STKaiti" w:hAnsi="STKaiti" w:cstheme="minorHAnsi" w:hint="eastAsia"/>
          <w:sz w:val="20"/>
          <w:lang w:eastAsia="zh-CN"/>
        </w:rPr>
        <w:t>（美国全国反虚假财务报告委员会下属的发起人委员会）要素进行评估，而是基于总体层面进行的评估。</w:t>
      </w:r>
    </w:p>
    <w:p w14:paraId="38FAE602" w14:textId="307E2391" w:rsidR="00170A1B" w:rsidRPr="00170A1B" w:rsidRDefault="003A4CF6" w:rsidP="00170A1B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ind w:left="357" w:hanging="357"/>
        <w:jc w:val="both"/>
        <w:textAlignment w:val="auto"/>
        <w:outlineLvl w:val="2"/>
        <w:rPr>
          <w:rFonts w:asciiTheme="majorHAnsi" w:hAnsiTheme="majorHAnsi" w:cstheme="majorHAnsi"/>
          <w:sz w:val="22"/>
          <w:szCs w:val="22"/>
          <w:lang w:eastAsia="zh-CN"/>
        </w:rPr>
      </w:pPr>
      <w:r w:rsidRPr="003A4CF6">
        <w:rPr>
          <w:noProof/>
        </w:rPr>
        <w:drawing>
          <wp:inline distT="0" distB="0" distL="0" distR="0" wp14:anchorId="62430C41" wp14:editId="4E671E1B">
            <wp:extent cx="2448000" cy="801486"/>
            <wp:effectExtent l="0" t="0" r="0" b="0"/>
            <wp:docPr id="5221390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8000" cy="801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7C9A4E" w14:textId="4461FB8C" w:rsidR="00170A1B" w:rsidRPr="00170A1B" w:rsidRDefault="000526D8" w:rsidP="000526D8">
      <w:pPr>
        <w:rPr>
          <w:lang w:val="en-US" w:eastAsia="zh-CN"/>
        </w:rPr>
      </w:pPr>
      <w:r w:rsidRPr="000526D8">
        <w:rPr>
          <w:rFonts w:asciiTheme="minorHAnsi" w:eastAsia="STKaiti" w:hAnsiTheme="minorHAnsi" w:cstheme="minorHAnsi"/>
          <w:lang w:val="en-US" w:eastAsia="zh-CN"/>
        </w:rPr>
        <w:t>12</w:t>
      </w:r>
      <w:r w:rsidR="0051391B">
        <w:rPr>
          <w:rFonts w:ascii="STKaiti" w:eastAsia="STKaiti" w:hAnsi="STKaiti"/>
          <w:lang w:val="en-US" w:eastAsia="zh-CN"/>
        </w:rPr>
        <w:tab/>
      </w:r>
      <w:r w:rsidR="00170A1B" w:rsidRPr="00170A1B">
        <w:rPr>
          <w:rFonts w:ascii="STKaiti" w:eastAsia="STKaiti" w:hAnsi="STKaiti" w:hint="eastAsia"/>
          <w:lang w:val="en-US" w:eastAsia="zh-CN"/>
        </w:rPr>
        <w:t>总体审计意见</w:t>
      </w:r>
      <w:r w:rsidR="00170A1B" w:rsidRPr="00170A1B">
        <w:rPr>
          <w:rFonts w:hint="eastAsia"/>
          <w:lang w:val="en-US" w:eastAsia="zh-CN"/>
        </w:rPr>
        <w:t>得出的合理结论是，治理、控制和监督活动大部分充分，而信息和沟通有时仅部分充分。</w:t>
      </w:r>
    </w:p>
    <w:p w14:paraId="6B388623" w14:textId="19EF90A9" w:rsidR="00170A1B" w:rsidRPr="00170A1B" w:rsidRDefault="000526D8" w:rsidP="0051391B">
      <w:pPr>
        <w:rPr>
          <w:rFonts w:cstheme="minorBidi"/>
          <w:lang w:val="en-US" w:eastAsia="zh-CN"/>
        </w:rPr>
      </w:pPr>
      <w:r>
        <w:rPr>
          <w:rFonts w:cstheme="minorBidi" w:hint="eastAsia"/>
          <w:lang w:val="en-US" w:eastAsia="zh-CN"/>
        </w:rPr>
        <w:t>1</w:t>
      </w:r>
      <w:r w:rsidR="0051391B">
        <w:rPr>
          <w:rFonts w:cstheme="minorBidi" w:hint="eastAsia"/>
          <w:lang w:val="en-US" w:eastAsia="zh-CN"/>
        </w:rPr>
        <w:t>3</w:t>
      </w:r>
      <w:r w:rsidR="0051391B">
        <w:rPr>
          <w:rFonts w:cstheme="minorBidi"/>
          <w:lang w:val="en-US" w:eastAsia="zh-CN"/>
        </w:rPr>
        <w:tab/>
      </w:r>
      <w:r w:rsidR="00170A1B" w:rsidRPr="00170A1B">
        <w:rPr>
          <w:rFonts w:cstheme="minorBidi" w:hint="eastAsia"/>
          <w:lang w:val="en-US" w:eastAsia="zh-CN"/>
        </w:rPr>
        <w:t>最后审计报告已于</w:t>
      </w:r>
      <w:r w:rsidR="00170A1B" w:rsidRPr="00170A1B">
        <w:rPr>
          <w:rFonts w:cstheme="minorBidi" w:hint="eastAsia"/>
          <w:lang w:val="en-US" w:eastAsia="zh-CN"/>
        </w:rPr>
        <w:t>2025</w:t>
      </w:r>
      <w:r w:rsidR="00170A1B" w:rsidRPr="00170A1B">
        <w:rPr>
          <w:rFonts w:cstheme="minorBidi" w:hint="eastAsia"/>
          <w:lang w:val="en-US" w:eastAsia="zh-CN"/>
        </w:rPr>
        <w:t>年</w:t>
      </w:r>
      <w:r w:rsidR="00170A1B" w:rsidRPr="00170A1B">
        <w:rPr>
          <w:rFonts w:cstheme="minorBidi" w:hint="eastAsia"/>
          <w:lang w:val="en-US" w:eastAsia="zh-CN"/>
        </w:rPr>
        <w:t>3</w:t>
      </w:r>
      <w:r w:rsidR="00170A1B" w:rsidRPr="00170A1B">
        <w:rPr>
          <w:rFonts w:cstheme="minorBidi" w:hint="eastAsia"/>
          <w:lang w:val="en-US" w:eastAsia="zh-CN"/>
        </w:rPr>
        <w:t>月底发布。该版本后被</w:t>
      </w:r>
      <w:r w:rsidR="00170A1B" w:rsidRPr="00170A1B">
        <w:rPr>
          <w:rFonts w:cstheme="minorBidi" w:hint="eastAsia"/>
          <w:lang w:val="en-US" w:eastAsia="zh-CN"/>
        </w:rPr>
        <w:t>2025</w:t>
      </w:r>
      <w:r w:rsidR="00170A1B" w:rsidRPr="00170A1B">
        <w:rPr>
          <w:rFonts w:cstheme="minorBidi" w:hint="eastAsia"/>
          <w:lang w:val="en-US" w:eastAsia="zh-CN"/>
        </w:rPr>
        <w:t>年</w:t>
      </w:r>
      <w:r w:rsidR="00170A1B" w:rsidRPr="00170A1B">
        <w:rPr>
          <w:rFonts w:cstheme="minorBidi" w:hint="eastAsia"/>
          <w:lang w:val="en-US" w:eastAsia="zh-CN"/>
        </w:rPr>
        <w:t>5</w:t>
      </w:r>
      <w:r w:rsidR="00170A1B" w:rsidRPr="00170A1B">
        <w:rPr>
          <w:rFonts w:cstheme="minorBidi" w:hint="eastAsia"/>
          <w:lang w:val="en-US" w:eastAsia="zh-CN"/>
        </w:rPr>
        <w:t>月</w:t>
      </w:r>
      <w:r w:rsidR="00170A1B" w:rsidRPr="00170A1B">
        <w:rPr>
          <w:rFonts w:cstheme="minorBidi" w:hint="eastAsia"/>
          <w:lang w:val="en-US" w:eastAsia="zh-CN"/>
        </w:rPr>
        <w:t>15</w:t>
      </w:r>
      <w:r w:rsidR="00170A1B" w:rsidRPr="00170A1B">
        <w:rPr>
          <w:rFonts w:cstheme="minorBidi" w:hint="eastAsia"/>
          <w:lang w:val="en-US" w:eastAsia="zh-CN"/>
        </w:rPr>
        <w:t>日发布的报告取代。报告包括</w:t>
      </w:r>
      <w:r w:rsidR="00170A1B" w:rsidRPr="00170A1B">
        <w:rPr>
          <w:rFonts w:cstheme="minorBidi" w:hint="eastAsia"/>
          <w:lang w:val="en-US" w:eastAsia="zh-CN"/>
        </w:rPr>
        <w:t>13</w:t>
      </w:r>
      <w:r w:rsidR="00170A1B" w:rsidRPr="00170A1B">
        <w:rPr>
          <w:rFonts w:cstheme="minorBidi" w:hint="eastAsia"/>
          <w:lang w:val="en-US" w:eastAsia="zh-CN"/>
        </w:rPr>
        <w:t>项建议（</w:t>
      </w:r>
      <w:r w:rsidR="00170A1B" w:rsidRPr="00170A1B">
        <w:rPr>
          <w:rFonts w:cstheme="minorBidi" w:hint="eastAsia"/>
          <w:lang w:val="en-US" w:eastAsia="zh-CN"/>
        </w:rPr>
        <w:t>1</w:t>
      </w:r>
      <w:r w:rsidR="00170A1B" w:rsidRPr="00170A1B">
        <w:rPr>
          <w:rFonts w:cstheme="minorBidi" w:hint="eastAsia"/>
          <w:lang w:val="en-US" w:eastAsia="zh-CN"/>
        </w:rPr>
        <w:t>项“高”优先级，</w:t>
      </w:r>
      <w:r w:rsidR="00170A1B" w:rsidRPr="00170A1B">
        <w:rPr>
          <w:rFonts w:cstheme="minorBidi" w:hint="eastAsia"/>
          <w:lang w:val="en-US" w:eastAsia="zh-CN"/>
        </w:rPr>
        <w:t>9</w:t>
      </w:r>
      <w:r w:rsidR="00170A1B" w:rsidRPr="00170A1B">
        <w:rPr>
          <w:rFonts w:cstheme="minorBidi" w:hint="eastAsia"/>
          <w:lang w:val="en-US" w:eastAsia="zh-CN"/>
        </w:rPr>
        <w:t>项“中”优先级和</w:t>
      </w:r>
      <w:r w:rsidR="00170A1B" w:rsidRPr="00170A1B">
        <w:rPr>
          <w:rFonts w:cstheme="minorBidi" w:hint="eastAsia"/>
          <w:lang w:val="en-US" w:eastAsia="zh-CN"/>
        </w:rPr>
        <w:t>3</w:t>
      </w:r>
      <w:r w:rsidR="00170A1B" w:rsidRPr="00170A1B">
        <w:rPr>
          <w:rFonts w:cstheme="minorBidi" w:hint="eastAsia"/>
          <w:lang w:val="en-US" w:eastAsia="zh-CN"/>
        </w:rPr>
        <w:t>项“低”优先级）和管理层的正式意见。管理层同意提出的审计建议。</w:t>
      </w:r>
    </w:p>
    <w:p w14:paraId="3D92D2F6" w14:textId="77777777" w:rsidR="008F5EC6" w:rsidRDefault="00170A1B" w:rsidP="008F5EC6">
      <w:pPr>
        <w:pStyle w:val="Headingb"/>
        <w:rPr>
          <w:lang w:val="en-CA" w:eastAsia="zh-CN"/>
        </w:rPr>
      </w:pPr>
      <w:r w:rsidRPr="00170A1B">
        <w:rPr>
          <w:rFonts w:hint="eastAsia"/>
          <w:lang w:val="en-CA" w:eastAsia="zh-CN"/>
        </w:rPr>
        <w:t>附加任务</w:t>
      </w:r>
    </w:p>
    <w:p w14:paraId="0A0348BE" w14:textId="49238D0F" w:rsidR="00170A1B" w:rsidRPr="00F67021" w:rsidRDefault="00367DD6" w:rsidP="00F67021">
      <w:pPr>
        <w:pStyle w:val="Headingi"/>
        <w:rPr>
          <w:rFonts w:ascii="STKaiti" w:eastAsia="STKaiti" w:hAnsi="STKaiti"/>
          <w:i w:val="0"/>
          <w:iCs w:val="0"/>
          <w:lang w:val="en-CA"/>
        </w:rPr>
      </w:pPr>
      <w:r>
        <w:rPr>
          <w:rFonts w:eastAsia="STKaiti" w:cstheme="minorHAnsi" w:hint="eastAsia"/>
          <w:lang w:val="en-CA"/>
        </w:rPr>
        <w:t>A</w:t>
      </w:r>
      <w:r w:rsidR="008F5EC6" w:rsidRPr="00F67021">
        <w:rPr>
          <w:rFonts w:ascii="STKaiti" w:eastAsia="STKaiti" w:hAnsi="STKaiti"/>
          <w:i w:val="0"/>
          <w:iCs w:val="0"/>
          <w:lang w:val="en-CA"/>
        </w:rPr>
        <w:tab/>
      </w:r>
      <w:r w:rsidR="00170A1B" w:rsidRPr="00170BE0">
        <w:rPr>
          <w:rFonts w:eastAsia="STKaiti" w:cstheme="minorHAnsi"/>
          <w:i w:val="0"/>
          <w:iCs w:val="0"/>
        </w:rPr>
        <w:t>ASHI</w:t>
      </w:r>
      <w:r w:rsidR="00170A1B" w:rsidRPr="00F67021">
        <w:rPr>
          <w:rFonts w:ascii="STKaiti" w:eastAsia="STKaiti" w:hAnsi="STKaiti" w:hint="eastAsia"/>
          <w:i w:val="0"/>
          <w:iCs w:val="0"/>
        </w:rPr>
        <w:t>估值</w:t>
      </w:r>
    </w:p>
    <w:p w14:paraId="3B0A5B65" w14:textId="168D5A2C" w:rsidR="00170A1B" w:rsidRPr="00170A1B" w:rsidRDefault="00987139" w:rsidP="00987139">
      <w:pPr>
        <w:rPr>
          <w:lang w:eastAsia="zh-CN"/>
        </w:rPr>
      </w:pPr>
      <w:r>
        <w:rPr>
          <w:rFonts w:hint="eastAsia"/>
          <w:lang w:eastAsia="zh-CN"/>
        </w:rPr>
        <w:t>1</w:t>
      </w:r>
      <w:r w:rsidR="000526D8">
        <w:rPr>
          <w:rFonts w:hint="eastAsia"/>
          <w:lang w:eastAsia="zh-CN"/>
        </w:rPr>
        <w:t>4</w:t>
      </w:r>
      <w:r>
        <w:rPr>
          <w:lang w:eastAsia="zh-CN"/>
        </w:rPr>
        <w:tab/>
      </w:r>
      <w:r w:rsidR="00170A1B" w:rsidRPr="00170A1B">
        <w:rPr>
          <w:rFonts w:hint="eastAsia"/>
          <w:lang w:eastAsia="zh-CN"/>
        </w:rPr>
        <w:t>监督处完成了对提供给国际电联精算师（怡安（</w:t>
      </w:r>
      <w:r w:rsidR="00170A1B" w:rsidRPr="00170A1B">
        <w:rPr>
          <w:rFonts w:hint="eastAsia"/>
          <w:lang w:eastAsia="zh-CN"/>
        </w:rPr>
        <w:t>AON</w:t>
      </w:r>
      <w:r w:rsidR="00170A1B" w:rsidRPr="00170A1B">
        <w:rPr>
          <w:rFonts w:hint="eastAsia"/>
          <w:lang w:eastAsia="zh-CN"/>
        </w:rPr>
        <w:t>））、用于离职后健康保险（</w:t>
      </w:r>
      <w:r w:rsidR="00170A1B" w:rsidRPr="00170A1B">
        <w:rPr>
          <w:rFonts w:hint="eastAsia"/>
          <w:lang w:eastAsia="zh-CN"/>
        </w:rPr>
        <w:t>ASHI</w:t>
      </w:r>
      <w:r w:rsidR="00170A1B" w:rsidRPr="00170A1B">
        <w:rPr>
          <w:rFonts w:hint="eastAsia"/>
          <w:lang w:eastAsia="zh-CN"/>
        </w:rPr>
        <w:t>）估值的关键数据要素的鉴证任务。该任务最初是在国际电联</w:t>
      </w:r>
      <w:r w:rsidR="00170A1B" w:rsidRPr="00170A1B">
        <w:rPr>
          <w:rFonts w:hint="eastAsia"/>
          <w:lang w:eastAsia="zh-CN"/>
        </w:rPr>
        <w:t>2022</w:t>
      </w:r>
      <w:r w:rsidR="00170A1B" w:rsidRPr="00170A1B">
        <w:rPr>
          <w:rFonts w:hint="eastAsia"/>
          <w:lang w:eastAsia="zh-CN"/>
        </w:rPr>
        <w:t>年财务报表审计期间，根据国际电联外部审计员的倡议，由财务资源管理部主任在征得国际电联秘书长同意后提出的。</w:t>
      </w:r>
    </w:p>
    <w:p w14:paraId="1760F847" w14:textId="51B8EEE0" w:rsidR="00170A1B" w:rsidRPr="00170A1B" w:rsidRDefault="000526D8" w:rsidP="00987139">
      <w:pPr>
        <w:rPr>
          <w:rFonts w:asciiTheme="minorHAnsi" w:hAnsiTheme="minorHAnsi" w:cstheme="minorBidi"/>
          <w:sz w:val="22"/>
          <w:szCs w:val="22"/>
          <w:lang w:eastAsia="zh-CN"/>
        </w:rPr>
      </w:pPr>
      <w:r>
        <w:rPr>
          <w:rFonts w:hint="eastAsia"/>
          <w:lang w:eastAsia="zh-CN"/>
        </w:rPr>
        <w:t>15</w:t>
      </w:r>
      <w:r w:rsidR="00987139">
        <w:rPr>
          <w:lang w:eastAsia="zh-CN"/>
        </w:rPr>
        <w:tab/>
      </w:r>
      <w:r w:rsidR="00170A1B" w:rsidRPr="00170A1B">
        <w:rPr>
          <w:rFonts w:hint="eastAsia"/>
          <w:lang w:eastAsia="zh-CN"/>
        </w:rPr>
        <w:t>2023</w:t>
      </w:r>
      <w:r w:rsidR="00170A1B" w:rsidRPr="00170A1B">
        <w:rPr>
          <w:rFonts w:hint="eastAsia"/>
          <w:lang w:eastAsia="zh-CN"/>
        </w:rPr>
        <w:t>年</w:t>
      </w:r>
      <w:r w:rsidR="00170A1B" w:rsidRPr="00170A1B">
        <w:rPr>
          <w:rFonts w:hint="eastAsia"/>
          <w:lang w:eastAsia="zh-CN"/>
        </w:rPr>
        <w:t>5</w:t>
      </w:r>
      <w:r w:rsidR="00170A1B" w:rsidRPr="00170A1B">
        <w:rPr>
          <w:rFonts w:hint="eastAsia"/>
          <w:lang w:eastAsia="zh-CN"/>
        </w:rPr>
        <w:t>月，监督处发布了一份《鉴证任务报告》和一封《管理函》，向国际电联管理层转达了</w:t>
      </w:r>
      <w:r w:rsidR="00170A1B" w:rsidRPr="00170A1B">
        <w:rPr>
          <w:rFonts w:hint="eastAsia"/>
          <w:lang w:eastAsia="zh-CN"/>
        </w:rPr>
        <w:t>(</w:t>
      </w:r>
      <w:proofErr w:type="spellStart"/>
      <w:r w:rsidR="00170A1B" w:rsidRPr="00170A1B">
        <w:rPr>
          <w:rFonts w:hint="eastAsia"/>
          <w:lang w:eastAsia="zh-CN"/>
        </w:rPr>
        <w:t>i</w:t>
      </w:r>
      <w:proofErr w:type="spellEnd"/>
      <w:r w:rsidR="00170A1B" w:rsidRPr="00170A1B">
        <w:rPr>
          <w:rFonts w:hint="eastAsia"/>
          <w:lang w:eastAsia="zh-CN"/>
        </w:rPr>
        <w:t xml:space="preserve">) </w:t>
      </w:r>
      <w:r w:rsidR="00170A1B" w:rsidRPr="00170A1B">
        <w:rPr>
          <w:rFonts w:hint="eastAsia"/>
          <w:lang w:eastAsia="zh-CN"/>
        </w:rPr>
        <w:t>控制缺陷，和</w:t>
      </w:r>
      <w:r w:rsidR="00170A1B" w:rsidRPr="00170A1B">
        <w:rPr>
          <w:rFonts w:hint="eastAsia"/>
          <w:lang w:eastAsia="zh-CN"/>
        </w:rPr>
        <w:t xml:space="preserve">(ii) </w:t>
      </w:r>
      <w:r w:rsidR="00170A1B" w:rsidRPr="00170A1B">
        <w:rPr>
          <w:rFonts w:hint="eastAsia"/>
          <w:lang w:eastAsia="zh-CN"/>
        </w:rPr>
        <w:t>相关建议，使国际电联管理层能够获得国际电</w:t>
      </w:r>
      <w:r w:rsidR="00170A1B" w:rsidRPr="00170A1B">
        <w:rPr>
          <w:rFonts w:hint="eastAsia"/>
          <w:lang w:eastAsia="zh-CN"/>
        </w:rPr>
        <w:lastRenderedPageBreak/>
        <w:t>联外部审计员在未来年终审计的控制方面所需的鉴证。根据此前的方法，监督处于</w:t>
      </w:r>
      <w:r w:rsidR="00170A1B" w:rsidRPr="00170A1B">
        <w:rPr>
          <w:rFonts w:hint="eastAsia"/>
          <w:lang w:eastAsia="zh-CN"/>
        </w:rPr>
        <w:t>2025</w:t>
      </w:r>
      <w:r w:rsidR="00170A1B" w:rsidRPr="00170A1B">
        <w:rPr>
          <w:rFonts w:hint="eastAsia"/>
          <w:lang w:eastAsia="zh-CN"/>
        </w:rPr>
        <w:t>年</w:t>
      </w:r>
      <w:r w:rsidR="00170A1B" w:rsidRPr="00170A1B">
        <w:rPr>
          <w:rFonts w:hint="eastAsia"/>
          <w:lang w:eastAsia="zh-CN"/>
        </w:rPr>
        <w:t>2</w:t>
      </w:r>
      <w:r w:rsidR="00170A1B" w:rsidRPr="00170A1B">
        <w:rPr>
          <w:rFonts w:hint="eastAsia"/>
          <w:lang w:eastAsia="zh-CN"/>
        </w:rPr>
        <w:t>月再次为用于</w:t>
      </w:r>
      <w:r w:rsidR="00170A1B" w:rsidRPr="00170A1B">
        <w:rPr>
          <w:rFonts w:hint="eastAsia"/>
          <w:lang w:eastAsia="zh-CN"/>
        </w:rPr>
        <w:t>ASHI</w:t>
      </w:r>
      <w:r w:rsidR="00170A1B" w:rsidRPr="00170A1B">
        <w:rPr>
          <w:rFonts w:hint="eastAsia"/>
          <w:lang w:eastAsia="zh-CN"/>
        </w:rPr>
        <w:t>验证的关键数据要素提供了必要鉴证。</w:t>
      </w:r>
    </w:p>
    <w:p w14:paraId="7E217350" w14:textId="77777777" w:rsidR="00170A1B" w:rsidRPr="00170A1B" w:rsidRDefault="00170A1B" w:rsidP="00987139">
      <w:pPr>
        <w:pStyle w:val="Headingb"/>
        <w:rPr>
          <w:lang w:val="en-CA" w:eastAsia="zh-CN"/>
        </w:rPr>
      </w:pPr>
      <w:r w:rsidRPr="00170A1B">
        <w:rPr>
          <w:rFonts w:hint="eastAsia"/>
          <w:lang w:val="en-CA" w:eastAsia="zh-CN"/>
        </w:rPr>
        <w:t>对内部审计建议的跟进</w:t>
      </w:r>
    </w:p>
    <w:p w14:paraId="6451B4C1" w14:textId="3EB0F7FE" w:rsidR="00170A1B" w:rsidRPr="00170A1B" w:rsidRDefault="00987139" w:rsidP="00987139">
      <w:pPr>
        <w:rPr>
          <w:lang w:val="en-US" w:eastAsia="zh-CN"/>
        </w:rPr>
      </w:pPr>
      <w:r>
        <w:rPr>
          <w:rFonts w:hint="eastAsia"/>
          <w:lang w:val="en-CA" w:eastAsia="zh-CN"/>
        </w:rPr>
        <w:t>1</w:t>
      </w:r>
      <w:r w:rsidR="000526D8">
        <w:rPr>
          <w:rFonts w:hint="eastAsia"/>
          <w:lang w:val="en-CA" w:eastAsia="zh-CN"/>
        </w:rPr>
        <w:t>6</w:t>
      </w:r>
      <w:r>
        <w:rPr>
          <w:lang w:val="en-CA" w:eastAsia="zh-CN"/>
        </w:rPr>
        <w:tab/>
      </w:r>
      <w:r w:rsidR="00170A1B" w:rsidRPr="00170A1B">
        <w:rPr>
          <w:rFonts w:hint="eastAsia"/>
          <w:lang w:val="en-CA" w:eastAsia="zh-CN"/>
        </w:rPr>
        <w:t>在整个报告期内，监督处持续跟进以往审计报告中提出的建议。监督处还定期在与</w:t>
      </w:r>
      <w:r w:rsidR="00170A1B" w:rsidRPr="00170A1B">
        <w:rPr>
          <w:rFonts w:hint="eastAsia"/>
          <w:lang w:val="en-CA" w:eastAsia="zh-CN"/>
        </w:rPr>
        <w:t>IMAC</w:t>
      </w:r>
      <w:r w:rsidR="00170A1B" w:rsidRPr="00170A1B">
        <w:rPr>
          <w:rFonts w:hint="eastAsia"/>
          <w:lang w:val="en-CA" w:eastAsia="zh-CN"/>
        </w:rPr>
        <w:t>的会议上讨论这些跟进结果。如上所述，已向理事会</w:t>
      </w:r>
      <w:r w:rsidR="00170A1B" w:rsidRPr="00170A1B">
        <w:rPr>
          <w:rFonts w:hint="eastAsia"/>
          <w:lang w:val="en-CA" w:eastAsia="zh-CN"/>
        </w:rPr>
        <w:t>2025</w:t>
      </w:r>
      <w:r w:rsidR="00170A1B" w:rsidRPr="00170A1B">
        <w:rPr>
          <w:rFonts w:hint="eastAsia"/>
          <w:lang w:val="en-CA" w:eastAsia="zh-CN"/>
        </w:rPr>
        <w:t>年会议提交了一份单独的情况通报文件，以说明对</w:t>
      </w:r>
      <w:r w:rsidR="00170A1B" w:rsidRPr="00170A1B">
        <w:rPr>
          <w:rFonts w:hint="eastAsia"/>
          <w:u w:val="single"/>
          <w:lang w:val="en-CA" w:eastAsia="zh-CN"/>
        </w:rPr>
        <w:t>内部审计</w:t>
      </w:r>
      <w:r w:rsidR="00170A1B" w:rsidRPr="00170A1B">
        <w:rPr>
          <w:rFonts w:hint="eastAsia"/>
          <w:lang w:val="en-CA" w:eastAsia="zh-CN"/>
        </w:rPr>
        <w:t>建议和</w:t>
      </w:r>
      <w:r w:rsidR="00170A1B" w:rsidRPr="00170A1B">
        <w:rPr>
          <w:rFonts w:hint="eastAsia"/>
          <w:u w:val="single"/>
          <w:lang w:val="en-CA" w:eastAsia="zh-CN"/>
        </w:rPr>
        <w:t>法务审计</w:t>
      </w:r>
      <w:r w:rsidR="00170A1B" w:rsidRPr="00170A1B">
        <w:rPr>
          <w:rFonts w:hint="eastAsia"/>
          <w:lang w:val="en-CA" w:eastAsia="zh-CN"/>
        </w:rPr>
        <w:t>行动的跟进情况。截至</w:t>
      </w:r>
      <w:r w:rsidR="00170A1B" w:rsidRPr="00170A1B">
        <w:rPr>
          <w:rFonts w:hint="eastAsia"/>
          <w:lang w:val="en-CA" w:eastAsia="zh-CN"/>
        </w:rPr>
        <w:t>2025</w:t>
      </w:r>
      <w:r w:rsidR="00170A1B" w:rsidRPr="00170A1B">
        <w:rPr>
          <w:rFonts w:hint="eastAsia"/>
          <w:lang w:val="en-CA" w:eastAsia="zh-CN"/>
        </w:rPr>
        <w:t>年</w:t>
      </w:r>
      <w:r w:rsidR="00170A1B" w:rsidRPr="00170A1B">
        <w:rPr>
          <w:rFonts w:hint="eastAsia"/>
          <w:lang w:val="en-CA" w:eastAsia="zh-CN"/>
        </w:rPr>
        <w:t>1</w:t>
      </w:r>
      <w:r w:rsidR="00170A1B" w:rsidRPr="00170A1B">
        <w:rPr>
          <w:rFonts w:hint="eastAsia"/>
          <w:lang w:val="en-CA" w:eastAsia="zh-CN"/>
        </w:rPr>
        <w:t>月</w:t>
      </w:r>
      <w:r w:rsidR="00170A1B" w:rsidRPr="00170A1B">
        <w:rPr>
          <w:rFonts w:hint="eastAsia"/>
          <w:lang w:val="en-CA" w:eastAsia="zh-CN"/>
        </w:rPr>
        <w:t>31</w:t>
      </w:r>
      <w:r w:rsidR="00170A1B" w:rsidRPr="00170A1B">
        <w:rPr>
          <w:rFonts w:hint="eastAsia"/>
          <w:lang w:val="en-CA" w:eastAsia="zh-CN"/>
        </w:rPr>
        <w:t>日，在执行内部审计建议方面取得了进一步进展，如下所示：</w:t>
      </w:r>
    </w:p>
    <w:p w14:paraId="493B0438" w14:textId="43EAACCD" w:rsidR="007D4C54" w:rsidRPr="00170A1B" w:rsidRDefault="007D4C54" w:rsidP="00170A1B">
      <w:pPr>
        <w:keepNext/>
        <w:keepLines/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textAlignment w:val="auto"/>
        <w:rPr>
          <w:rFonts w:eastAsiaTheme="minorEastAsia" w:cs="Calibri"/>
          <w:color w:val="000000"/>
          <w:sz w:val="22"/>
          <w:szCs w:val="22"/>
          <w:lang w:eastAsia="en-GB"/>
        </w:rPr>
      </w:pPr>
      <w:r w:rsidRPr="007D4C54">
        <w:rPr>
          <w:noProof/>
        </w:rPr>
        <w:drawing>
          <wp:inline distT="0" distB="0" distL="0" distR="0" wp14:anchorId="3B177BD3" wp14:editId="735FF944">
            <wp:extent cx="5745480" cy="1664970"/>
            <wp:effectExtent l="0" t="0" r="7620" b="0"/>
            <wp:docPr id="72281408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480" cy="1664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BA3AE7" w14:textId="77777777" w:rsidR="00170A1B" w:rsidRPr="007D4C54" w:rsidRDefault="00170A1B" w:rsidP="007D4C54">
      <w:pPr>
        <w:rPr>
          <w:color w:val="000000"/>
          <w:sz w:val="22"/>
          <w:szCs w:val="22"/>
          <w:lang w:eastAsia="zh-CN"/>
        </w:rPr>
      </w:pPr>
      <w:r w:rsidRPr="007D4C54">
        <w:rPr>
          <w:sz w:val="22"/>
          <w:szCs w:val="22"/>
          <w:lang w:eastAsia="zh-CN"/>
        </w:rPr>
        <w:t>*</w:t>
      </w:r>
      <w:r w:rsidRPr="007D4C54">
        <w:rPr>
          <w:rFonts w:hint="eastAsia"/>
          <w:sz w:val="22"/>
          <w:szCs w:val="22"/>
          <w:lang w:eastAsia="zh-CN"/>
        </w:rPr>
        <w:t>2017</w:t>
      </w:r>
      <w:r w:rsidRPr="007D4C54">
        <w:rPr>
          <w:rFonts w:hint="eastAsia"/>
          <w:sz w:val="22"/>
          <w:szCs w:val="22"/>
          <w:lang w:eastAsia="zh-CN"/>
        </w:rPr>
        <w:t>年之前发布的所有建议均已完成，并包含在“合计”（“已完成”项）中。</w:t>
      </w:r>
    </w:p>
    <w:p w14:paraId="5376723F" w14:textId="77777777" w:rsidR="00987139" w:rsidRDefault="00987139" w:rsidP="00987139">
      <w:pPr>
        <w:rPr>
          <w:rFonts w:eastAsiaTheme="minorEastAsia"/>
          <w:lang w:eastAsia="zh-CN"/>
        </w:rPr>
      </w:pPr>
    </w:p>
    <w:p w14:paraId="7C7F8E6D" w14:textId="521D91FD" w:rsidR="00E323D0" w:rsidRPr="00E323D0" w:rsidRDefault="00E323D0" w:rsidP="00E323D0">
      <w:pPr>
        <w:jc w:val="center"/>
      </w:pPr>
      <w:r>
        <w:t>______________</w:t>
      </w:r>
    </w:p>
    <w:sectPr w:rsidR="00E323D0" w:rsidRPr="00E323D0" w:rsidSect="00E24D59">
      <w:footerReference w:type="default" r:id="rId11"/>
      <w:headerReference w:type="first" r:id="rId12"/>
      <w:footerReference w:type="first" r:id="rId13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33731" w14:textId="77777777" w:rsidR="000211E8" w:rsidRDefault="000211E8">
      <w:r>
        <w:separator/>
      </w:r>
    </w:p>
  </w:endnote>
  <w:endnote w:type="continuationSeparator" w:id="0">
    <w:p w14:paraId="43282B65" w14:textId="77777777" w:rsidR="000211E8" w:rsidRDefault="00021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enir Nxt2 W1G Medium">
    <w:altName w:val="Calibri"/>
    <w:panose1 w:val="020B0603020202020204"/>
    <w:charset w:val="00"/>
    <w:family w:val="swiss"/>
    <w:notTrueType/>
    <w:pitch w:val="variable"/>
    <w:sig w:usb0="A00002EF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A13406" w:rsidRPr="00A13406" w14:paraId="4F6360E7" w14:textId="77777777" w:rsidTr="00E31DCE">
      <w:trPr>
        <w:jc w:val="center"/>
      </w:trPr>
      <w:tc>
        <w:tcPr>
          <w:tcW w:w="1803" w:type="dxa"/>
          <w:vAlign w:val="center"/>
        </w:tcPr>
        <w:p w14:paraId="522E0DEA" w14:textId="01ACA1DB" w:rsidR="00E24D59" w:rsidRPr="00A13406" w:rsidRDefault="00170A1B" w:rsidP="00E24D59">
          <w:pPr>
            <w:pStyle w:val="Header"/>
            <w:jc w:val="left"/>
            <w:rPr>
              <w:noProof/>
              <w:color w:val="808080" w:themeColor="background1" w:themeShade="80"/>
            </w:rPr>
          </w:pPr>
          <w:r w:rsidRPr="00170A1B">
            <w:rPr>
              <w:noProof/>
              <w:color w:val="808080" w:themeColor="background1" w:themeShade="80"/>
            </w:rPr>
            <w:t>2501264</w:t>
          </w:r>
        </w:p>
      </w:tc>
      <w:tc>
        <w:tcPr>
          <w:tcW w:w="8261" w:type="dxa"/>
        </w:tcPr>
        <w:p w14:paraId="4BD8989B" w14:textId="7D0AF588" w:rsidR="00E24D59" w:rsidRPr="00A13406" w:rsidRDefault="00E24D59" w:rsidP="00983878">
          <w:pPr>
            <w:pStyle w:val="Header"/>
            <w:tabs>
              <w:tab w:val="left" w:pos="6731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color w:val="808080" w:themeColor="background1" w:themeShade="80"/>
              <w:szCs w:val="18"/>
            </w:rPr>
          </w:pPr>
          <w:r w:rsidRPr="00A13406">
            <w:rPr>
              <w:bCs/>
              <w:color w:val="808080" w:themeColor="background1" w:themeShade="80"/>
            </w:rPr>
            <w:tab/>
            <w:t>C2</w:t>
          </w:r>
          <w:r w:rsidR="0072138B" w:rsidRPr="00A13406">
            <w:rPr>
              <w:bCs/>
              <w:color w:val="808080" w:themeColor="background1" w:themeShade="80"/>
            </w:rPr>
            <w:t>5</w:t>
          </w:r>
          <w:r w:rsidRPr="00A13406">
            <w:rPr>
              <w:bCs/>
              <w:color w:val="808080" w:themeColor="background1" w:themeShade="80"/>
            </w:rPr>
            <w:t>/</w:t>
          </w:r>
          <w:r w:rsidR="00170A1B" w:rsidRPr="00170A1B">
            <w:rPr>
              <w:bCs/>
              <w:color w:val="808080" w:themeColor="background1" w:themeShade="80"/>
            </w:rPr>
            <w:t>44</w:t>
          </w:r>
          <w:r w:rsidRPr="00A13406">
            <w:rPr>
              <w:bCs/>
              <w:color w:val="808080" w:themeColor="background1" w:themeShade="80"/>
            </w:rPr>
            <w:t>-C</w:t>
          </w:r>
          <w:r w:rsidRPr="00A13406">
            <w:rPr>
              <w:bCs/>
              <w:color w:val="808080" w:themeColor="background1" w:themeShade="80"/>
            </w:rPr>
            <w:tab/>
          </w:r>
          <w:r w:rsidRPr="00A13406">
            <w:rPr>
              <w:color w:val="808080" w:themeColor="background1" w:themeShade="80"/>
            </w:rPr>
            <w:fldChar w:fldCharType="begin"/>
          </w:r>
          <w:r w:rsidRPr="00A13406">
            <w:rPr>
              <w:color w:val="808080" w:themeColor="background1" w:themeShade="80"/>
            </w:rPr>
            <w:instrText>PAGE</w:instrText>
          </w:r>
          <w:r w:rsidRPr="00A13406">
            <w:rPr>
              <w:color w:val="808080" w:themeColor="background1" w:themeShade="80"/>
            </w:rPr>
            <w:fldChar w:fldCharType="separate"/>
          </w:r>
          <w:r w:rsidRPr="00A13406">
            <w:rPr>
              <w:color w:val="808080" w:themeColor="background1" w:themeShade="80"/>
            </w:rPr>
            <w:t>1</w:t>
          </w:r>
          <w:r w:rsidRPr="00A13406">
            <w:rPr>
              <w:noProof/>
              <w:color w:val="808080" w:themeColor="background1" w:themeShade="80"/>
            </w:rPr>
            <w:fldChar w:fldCharType="end"/>
          </w:r>
        </w:p>
      </w:tc>
    </w:tr>
  </w:tbl>
  <w:p w14:paraId="32895BA8" w14:textId="77777777" w:rsidR="00B40A53" w:rsidRPr="00E24D59" w:rsidRDefault="00B40A53" w:rsidP="00E24D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A13406" w:rsidRPr="00A13406" w14:paraId="17414CF7" w14:textId="77777777" w:rsidTr="00E31DCE">
      <w:trPr>
        <w:jc w:val="center"/>
      </w:trPr>
      <w:tc>
        <w:tcPr>
          <w:tcW w:w="1803" w:type="dxa"/>
          <w:vAlign w:val="center"/>
        </w:tcPr>
        <w:p w14:paraId="78C4E71F" w14:textId="77777777" w:rsidR="00E24D59" w:rsidRPr="00E34C96" w:rsidRDefault="00E34C96" w:rsidP="00E24D59">
          <w:pPr>
            <w:pStyle w:val="Header"/>
            <w:jc w:val="left"/>
            <w:rPr>
              <w:noProof/>
            </w:rPr>
          </w:pPr>
          <w:hyperlink r:id="rId1" w:history="1">
            <w:r w:rsidRPr="00E34C96">
              <w:rPr>
                <w:rStyle w:val="Hyperlink"/>
              </w:rPr>
              <w:t>council.itu.int/2025</w:t>
            </w:r>
          </w:hyperlink>
        </w:p>
      </w:tc>
      <w:tc>
        <w:tcPr>
          <w:tcW w:w="8261" w:type="dxa"/>
        </w:tcPr>
        <w:p w14:paraId="34E383BA" w14:textId="1B7AD277" w:rsidR="00E24D59" w:rsidRPr="00A13406" w:rsidRDefault="00E24D59" w:rsidP="00983878">
          <w:pPr>
            <w:pStyle w:val="Header"/>
            <w:tabs>
              <w:tab w:val="left" w:pos="6731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color w:val="808080" w:themeColor="background1" w:themeShade="80"/>
              <w:szCs w:val="18"/>
            </w:rPr>
          </w:pPr>
          <w:r w:rsidRPr="003F086E">
            <w:rPr>
              <w:bCs/>
              <w:color w:val="808080" w:themeColor="background1" w:themeShade="80"/>
            </w:rPr>
            <w:tab/>
            <w:t>C2</w:t>
          </w:r>
          <w:r w:rsidR="0072138B" w:rsidRPr="003F086E">
            <w:rPr>
              <w:bCs/>
              <w:color w:val="808080" w:themeColor="background1" w:themeShade="80"/>
            </w:rPr>
            <w:t>5</w:t>
          </w:r>
          <w:r w:rsidRPr="003F086E">
            <w:rPr>
              <w:bCs/>
              <w:color w:val="808080" w:themeColor="background1" w:themeShade="80"/>
            </w:rPr>
            <w:t>/</w:t>
          </w:r>
          <w:r w:rsidR="00170A1B" w:rsidRPr="00170A1B">
            <w:rPr>
              <w:bCs/>
              <w:color w:val="808080" w:themeColor="background1" w:themeShade="80"/>
            </w:rPr>
            <w:t>44</w:t>
          </w:r>
          <w:r w:rsidRPr="003F086E">
            <w:rPr>
              <w:bCs/>
              <w:color w:val="808080" w:themeColor="background1" w:themeShade="80"/>
            </w:rPr>
            <w:t>-C</w:t>
          </w:r>
          <w:r w:rsidRPr="003F086E">
            <w:rPr>
              <w:bCs/>
              <w:color w:val="808080" w:themeColor="background1" w:themeShade="80"/>
            </w:rPr>
            <w:tab/>
          </w:r>
          <w:r w:rsidRPr="003F086E">
            <w:rPr>
              <w:color w:val="808080" w:themeColor="background1" w:themeShade="80"/>
            </w:rPr>
            <w:fldChar w:fldCharType="begin"/>
          </w:r>
          <w:r w:rsidRPr="003F086E">
            <w:rPr>
              <w:color w:val="808080" w:themeColor="background1" w:themeShade="80"/>
            </w:rPr>
            <w:instrText>PAGE</w:instrText>
          </w:r>
          <w:r w:rsidRPr="003F086E">
            <w:rPr>
              <w:color w:val="808080" w:themeColor="background1" w:themeShade="80"/>
            </w:rPr>
            <w:fldChar w:fldCharType="separate"/>
          </w:r>
          <w:r w:rsidRPr="003F086E">
            <w:rPr>
              <w:color w:val="808080" w:themeColor="background1" w:themeShade="80"/>
            </w:rPr>
            <w:t>1</w:t>
          </w:r>
          <w:r w:rsidRPr="003F086E">
            <w:rPr>
              <w:noProof/>
              <w:color w:val="808080" w:themeColor="background1" w:themeShade="80"/>
            </w:rPr>
            <w:fldChar w:fldCharType="end"/>
          </w:r>
        </w:p>
      </w:tc>
    </w:tr>
  </w:tbl>
  <w:p w14:paraId="3F3263C4" w14:textId="77777777" w:rsidR="00AC516F" w:rsidRPr="00E24D59" w:rsidRDefault="00AC516F" w:rsidP="00E24D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7A941" w14:textId="77777777" w:rsidR="000211E8" w:rsidRDefault="000211E8">
      <w:r>
        <w:t>____________________</w:t>
      </w:r>
    </w:p>
  </w:footnote>
  <w:footnote w:type="continuationSeparator" w:id="0">
    <w:p w14:paraId="5DAA35ED" w14:textId="77777777" w:rsidR="000211E8" w:rsidRDefault="000211E8">
      <w:r>
        <w:continuationSeparator/>
      </w:r>
    </w:p>
  </w:footnote>
  <w:footnote w:id="1">
    <w:p w14:paraId="6CB87CA7" w14:textId="77777777" w:rsidR="00170A1B" w:rsidRPr="00056D81" w:rsidRDefault="00170A1B" w:rsidP="00170A1B">
      <w:pPr>
        <w:pStyle w:val="FootnoteText"/>
        <w:spacing w:before="0"/>
        <w:rPr>
          <w:lang w:eastAsia="zh-CN"/>
        </w:rPr>
      </w:pPr>
      <w:r>
        <w:rPr>
          <w:rStyle w:val="FootnoteReference"/>
        </w:rPr>
        <w:footnoteRef/>
      </w:r>
      <w:r>
        <w:rPr>
          <w:lang w:eastAsia="zh-CN"/>
        </w:rPr>
        <w:t xml:space="preserve"> </w:t>
      </w:r>
      <w:r>
        <w:rPr>
          <w:lang w:eastAsia="zh-CN"/>
        </w:rPr>
        <w:tab/>
      </w:r>
      <w:r w:rsidRPr="003138D4">
        <w:rPr>
          <w:rFonts w:cs="Calibri" w:hint="eastAsia"/>
          <w:sz w:val="18"/>
          <w:szCs w:val="18"/>
          <w:lang w:eastAsia="zh-CN"/>
        </w:rPr>
        <w:t>秘书长于</w:t>
      </w:r>
      <w:r w:rsidRPr="003138D4">
        <w:rPr>
          <w:rFonts w:cs="Calibri" w:hint="eastAsia"/>
          <w:sz w:val="18"/>
          <w:szCs w:val="18"/>
          <w:lang w:eastAsia="zh-CN"/>
        </w:rPr>
        <w:t>2024</w:t>
      </w:r>
      <w:r w:rsidRPr="003138D4">
        <w:rPr>
          <w:rFonts w:cs="Calibri" w:hint="eastAsia"/>
          <w:sz w:val="18"/>
          <w:szCs w:val="18"/>
          <w:lang w:eastAsia="zh-CN"/>
        </w:rPr>
        <w:t>年</w:t>
      </w:r>
      <w:r w:rsidRPr="003138D4">
        <w:rPr>
          <w:rFonts w:cs="Calibri" w:hint="eastAsia"/>
          <w:sz w:val="18"/>
          <w:szCs w:val="18"/>
          <w:lang w:eastAsia="zh-CN"/>
        </w:rPr>
        <w:t>9</w:t>
      </w:r>
      <w:r w:rsidRPr="003138D4">
        <w:rPr>
          <w:rFonts w:cs="Calibri" w:hint="eastAsia"/>
          <w:sz w:val="18"/>
          <w:szCs w:val="18"/>
          <w:lang w:eastAsia="zh-CN"/>
        </w:rPr>
        <w:t>月</w:t>
      </w:r>
      <w:r w:rsidRPr="003138D4">
        <w:rPr>
          <w:rFonts w:cs="Calibri" w:hint="eastAsia"/>
          <w:sz w:val="18"/>
          <w:szCs w:val="18"/>
          <w:lang w:eastAsia="zh-CN"/>
        </w:rPr>
        <w:t>10</w:t>
      </w:r>
      <w:r w:rsidRPr="003138D4">
        <w:rPr>
          <w:rFonts w:cs="Calibri" w:hint="eastAsia"/>
          <w:sz w:val="18"/>
          <w:szCs w:val="18"/>
          <w:lang w:eastAsia="zh-CN"/>
        </w:rPr>
        <w:t>日颁布的第</w:t>
      </w:r>
      <w:r w:rsidRPr="003138D4">
        <w:rPr>
          <w:rFonts w:cs="Calibri" w:hint="eastAsia"/>
          <w:sz w:val="18"/>
          <w:szCs w:val="18"/>
          <w:lang w:eastAsia="zh-CN"/>
        </w:rPr>
        <w:t>24/09</w:t>
      </w:r>
      <w:r w:rsidRPr="003138D4">
        <w:rPr>
          <w:rFonts w:cs="Calibri" w:hint="eastAsia"/>
          <w:sz w:val="18"/>
          <w:szCs w:val="18"/>
          <w:lang w:eastAsia="zh-CN"/>
        </w:rPr>
        <w:t>号行政规定</w:t>
      </w:r>
    </w:p>
  </w:footnote>
  <w:footnote w:id="2">
    <w:p w14:paraId="7C92FDD0" w14:textId="77777777" w:rsidR="00170A1B" w:rsidRPr="00371775" w:rsidRDefault="00170A1B" w:rsidP="00170A1B">
      <w:pPr>
        <w:pStyle w:val="FootnoteText"/>
        <w:spacing w:before="0"/>
        <w:rPr>
          <w:sz w:val="16"/>
          <w:szCs w:val="16"/>
          <w:lang w:eastAsia="zh-CN"/>
        </w:rPr>
      </w:pPr>
      <w:r w:rsidRPr="00040E17">
        <w:rPr>
          <w:rStyle w:val="FootnoteReference"/>
          <w:szCs w:val="16"/>
        </w:rPr>
        <w:footnoteRef/>
      </w:r>
      <w:r w:rsidRPr="00040E17">
        <w:rPr>
          <w:sz w:val="16"/>
          <w:szCs w:val="16"/>
          <w:lang w:eastAsia="zh-CN"/>
        </w:rPr>
        <w:t xml:space="preserve"> </w:t>
      </w:r>
      <w:r>
        <w:rPr>
          <w:sz w:val="16"/>
          <w:szCs w:val="16"/>
          <w:lang w:eastAsia="zh-CN"/>
        </w:rPr>
        <w:tab/>
      </w:r>
      <w:r>
        <w:rPr>
          <w:rFonts w:hint="eastAsia"/>
          <w:sz w:val="18"/>
          <w:szCs w:val="18"/>
          <w:lang w:eastAsia="zh-CN"/>
        </w:rPr>
        <w:t>内部审计师协会，</w:t>
      </w:r>
      <w:hyperlink r:id="rId1" w:history="1">
        <w:r w:rsidRPr="00B16653">
          <w:rPr>
            <w:rStyle w:val="Hyperlink"/>
            <w:rFonts w:eastAsia="SimSun"/>
            <w:sz w:val="18"/>
            <w:szCs w:val="18"/>
            <w:lang w:eastAsia="zh-CN"/>
          </w:rPr>
          <w:t>www.theiia.org</w:t>
        </w:r>
      </w:hyperlink>
    </w:p>
  </w:footnote>
  <w:footnote w:id="3">
    <w:p w14:paraId="2E200B2D" w14:textId="77777777" w:rsidR="00170A1B" w:rsidRPr="00B85051" w:rsidRDefault="00170A1B" w:rsidP="00170A1B">
      <w:pPr>
        <w:pStyle w:val="FootnoteText"/>
        <w:spacing w:before="0"/>
        <w:rPr>
          <w:rFonts w:cs="Calibri"/>
          <w:sz w:val="18"/>
          <w:szCs w:val="18"/>
          <w:lang w:eastAsia="zh-CN"/>
        </w:rPr>
      </w:pPr>
      <w:r w:rsidRPr="00371775">
        <w:rPr>
          <w:rStyle w:val="FootnoteReference"/>
          <w:rFonts w:asciiTheme="minorHAnsi" w:hAnsiTheme="minorHAnsi" w:cstheme="minorHAnsi"/>
          <w:szCs w:val="16"/>
        </w:rPr>
        <w:footnoteRef/>
      </w:r>
      <w:r w:rsidRPr="00371775">
        <w:rPr>
          <w:rFonts w:asciiTheme="minorHAnsi" w:hAnsiTheme="minorHAnsi" w:cstheme="minorHAnsi"/>
          <w:sz w:val="16"/>
          <w:szCs w:val="16"/>
          <w:lang w:eastAsia="zh-CN"/>
        </w:rPr>
        <w:t xml:space="preserve"> </w:t>
      </w:r>
      <w:r>
        <w:rPr>
          <w:rFonts w:asciiTheme="minorHAnsi" w:hAnsiTheme="minorHAnsi" w:cstheme="minorHAnsi"/>
          <w:sz w:val="16"/>
          <w:szCs w:val="16"/>
          <w:lang w:eastAsia="zh-CN"/>
        </w:rPr>
        <w:tab/>
      </w:r>
      <w:r w:rsidRPr="00B85051">
        <w:rPr>
          <w:rFonts w:cs="Calibri" w:hint="eastAsia"/>
          <w:sz w:val="18"/>
          <w:szCs w:val="18"/>
          <w:lang w:eastAsia="zh-CN"/>
        </w:rPr>
        <w:t>内部审计师协会的</w:t>
      </w:r>
      <w:r w:rsidRPr="00B85051">
        <w:rPr>
          <w:rFonts w:cs="Calibri" w:hint="eastAsia"/>
          <w:sz w:val="18"/>
          <w:szCs w:val="18"/>
          <w:lang w:eastAsia="zh-CN"/>
        </w:rPr>
        <w:t>GIAS</w:t>
      </w:r>
      <w:r w:rsidRPr="00B85051">
        <w:rPr>
          <w:rFonts w:cs="Calibri" w:hint="eastAsia"/>
          <w:sz w:val="18"/>
          <w:szCs w:val="18"/>
          <w:lang w:eastAsia="zh-CN"/>
        </w:rPr>
        <w:t>第</w:t>
      </w:r>
      <w:r w:rsidRPr="00B85051">
        <w:rPr>
          <w:rFonts w:cs="Calibri" w:hint="eastAsia"/>
          <w:sz w:val="18"/>
          <w:szCs w:val="18"/>
          <w:lang w:eastAsia="zh-CN"/>
        </w:rPr>
        <w:t>15.2</w:t>
      </w:r>
      <w:r w:rsidRPr="00B85051">
        <w:rPr>
          <w:rFonts w:cs="Calibri" w:hint="eastAsia"/>
          <w:sz w:val="18"/>
          <w:szCs w:val="18"/>
          <w:lang w:eastAsia="zh-CN"/>
        </w:rPr>
        <w:t>款“确认建议或行动计划的落实情况”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2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52"/>
      <w:gridCol w:w="5068"/>
    </w:tblGrid>
    <w:tr w:rsidR="00E24D59" w:rsidRPr="00784011" w14:paraId="628B4239" w14:textId="77777777" w:rsidTr="00E31DCE">
      <w:trPr>
        <w:trHeight w:val="1104"/>
        <w:jc w:val="center"/>
      </w:trPr>
      <w:tc>
        <w:tcPr>
          <w:tcW w:w="4390" w:type="dxa"/>
          <w:vAlign w:val="center"/>
        </w:tcPr>
        <w:p w14:paraId="13803083" w14:textId="77777777" w:rsidR="00E24D59" w:rsidRPr="009621F8" w:rsidRDefault="00A13406" w:rsidP="00E24D59">
          <w:pPr>
            <w:pStyle w:val="Header"/>
            <w:jc w:val="left"/>
            <w:rPr>
              <w:rFonts w:ascii="Arial" w:hAnsi="Arial" w:cs="Arial"/>
              <w:b/>
              <w:bCs/>
              <w:color w:val="009CD6"/>
              <w:sz w:val="36"/>
              <w:szCs w:val="36"/>
            </w:rPr>
          </w:pPr>
          <w:bookmarkStart w:id="7" w:name="_Hlk133422111"/>
          <w:r>
            <w:rPr>
              <w:rFonts w:ascii="Arial" w:hAnsi="Arial" w:cs="Arial"/>
              <w:b/>
              <w:bCs/>
              <w:noProof/>
              <w:color w:val="009CD6"/>
              <w:sz w:val="36"/>
              <w:szCs w:val="36"/>
            </w:rPr>
            <w:drawing>
              <wp:inline distT="0" distB="0" distL="0" distR="0" wp14:anchorId="4CBA8072" wp14:editId="29DE7C98">
                <wp:extent cx="3007478" cy="575945"/>
                <wp:effectExtent l="0" t="0" r="0" b="0"/>
                <wp:docPr id="1695723161" name="Picture 1" descr="A black background with blue letters and numbers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95723161" name="Picture 1" descr="A black background with blue letters and numbers&#10;&#10;AI-generated content may be incorrect.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18084"/>
                        <a:stretch/>
                      </pic:blipFill>
                      <pic:spPr bwMode="auto">
                        <a:xfrm>
                          <a:off x="0" y="0"/>
                          <a:ext cx="3007765" cy="576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30" w:type="dxa"/>
        </w:tcPr>
        <w:p w14:paraId="37D1CCEF" w14:textId="77777777" w:rsidR="00E24D59" w:rsidRDefault="00E24D59" w:rsidP="00E24D59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06AFC146" w14:textId="77777777" w:rsidR="00E24D59" w:rsidRDefault="00E24D59" w:rsidP="00E24D59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1F9642BE" w14:textId="77777777" w:rsidR="00E24D59" w:rsidRPr="00784011" w:rsidRDefault="00E24D59" w:rsidP="00E24D59">
          <w:pPr>
            <w:pStyle w:val="Header"/>
            <w:jc w:val="right"/>
            <w:rPr>
              <w:rFonts w:ascii="Arial" w:hAnsi="Arial" w:cs="Arial"/>
              <w:color w:val="009CD6"/>
              <w:szCs w:val="18"/>
            </w:rPr>
          </w:pPr>
          <w:r w:rsidRPr="00BC6276">
            <w:rPr>
              <w:rFonts w:ascii="Arial" w:hAnsi="Arial" w:cs="Arial"/>
              <w:b/>
              <w:bCs/>
              <w:color w:val="009CD6"/>
              <w:szCs w:val="18"/>
            </w:rPr>
            <w:t xml:space="preserve"> </w:t>
          </w:r>
        </w:p>
      </w:tc>
    </w:tr>
  </w:tbl>
  <w:bookmarkEnd w:id="7"/>
  <w:p w14:paraId="13785E53" w14:textId="77777777" w:rsidR="00E24D59" w:rsidRDefault="00E24D59">
    <w:pPr>
      <w:pStyle w:val="Header"/>
    </w:pPr>
    <w:r w:rsidRPr="00802C2C">
      <w:rPr>
        <w:rFonts w:ascii="Avenir Nxt2 W1G Medium" w:eastAsia="Avenir Nxt2 W1G Medium" w:hAnsi="Avenir Nxt2 W1G Medium" w:cs="Avenir Nxt2 W1G Medium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5E8B44" wp14:editId="61118472">
              <wp:simplePos x="0" y="0"/>
              <wp:positionH relativeFrom="page">
                <wp:posOffset>22225</wp:posOffset>
              </wp:positionH>
              <wp:positionV relativeFrom="topMargin">
                <wp:posOffset>617694</wp:posOffset>
              </wp:positionV>
              <wp:extent cx="92075" cy="360680"/>
              <wp:effectExtent l="0" t="0" r="3175" b="127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2075" cy="360680"/>
                      </a:xfrm>
                      <a:prstGeom prst="rect">
                        <a:avLst/>
                      </a:prstGeom>
                      <a:solidFill>
                        <a:srgbClr val="009CD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FEE42F" id="Rectangle 5" o:spid="_x0000_s1026" style="position:absolute;margin-left:1.75pt;margin-top:48.65pt;width:7.25pt;height:28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" fillcolor="#009cd5" stroked="f">
              <w10:wrap anchorx="page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D601260"/>
    <w:multiLevelType w:val="hybridMultilevel"/>
    <w:tmpl w:val="2F16BCD2"/>
    <w:lvl w:ilvl="0" w:tplc="4B2AE274">
      <w:start w:val="1"/>
      <w:numFmt w:val="decimal"/>
      <w:lvlText w:val="%1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2259D3"/>
    <w:multiLevelType w:val="hybridMultilevel"/>
    <w:tmpl w:val="BC5801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2A6943"/>
    <w:multiLevelType w:val="hybridMultilevel"/>
    <w:tmpl w:val="976EDD48"/>
    <w:lvl w:ilvl="0" w:tplc="C52CC33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i/>
        <w:iCs/>
      </w:rPr>
    </w:lvl>
    <w:lvl w:ilvl="1" w:tplc="2780B492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A4D548A"/>
    <w:multiLevelType w:val="hybridMultilevel"/>
    <w:tmpl w:val="A46AF6FC"/>
    <w:lvl w:ilvl="0" w:tplc="C902F80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8C314B"/>
    <w:multiLevelType w:val="hybridMultilevel"/>
    <w:tmpl w:val="1AF82320"/>
    <w:lvl w:ilvl="0" w:tplc="C7DE2A6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 w:val="0"/>
        <w:bCs w:val="0"/>
        <w:i w:val="0"/>
        <w:iCs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2D5FB3"/>
    <w:multiLevelType w:val="hybridMultilevel"/>
    <w:tmpl w:val="A4A8388A"/>
    <w:lvl w:ilvl="0" w:tplc="E5547088">
      <w:start w:val="1"/>
      <w:numFmt w:val="decimal"/>
      <w:lvlText w:val="%1"/>
      <w:lvlJc w:val="left"/>
      <w:pPr>
        <w:ind w:left="115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77566C"/>
    <w:multiLevelType w:val="hybridMultilevel"/>
    <w:tmpl w:val="A46AF6F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i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0A50AC"/>
    <w:multiLevelType w:val="hybridMultilevel"/>
    <w:tmpl w:val="8E68B27E"/>
    <w:lvl w:ilvl="0" w:tplc="5FC48090">
      <w:start w:val="1"/>
      <w:numFmt w:val="decimal"/>
      <w:lvlText w:val="%1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43F5F9E"/>
    <w:multiLevelType w:val="hybridMultilevel"/>
    <w:tmpl w:val="80DC1616"/>
    <w:lvl w:ilvl="0" w:tplc="D26E7358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39518769">
    <w:abstractNumId w:val="0"/>
  </w:num>
  <w:num w:numId="2" w16cid:durableId="1306937377">
    <w:abstractNumId w:val="2"/>
  </w:num>
  <w:num w:numId="3" w16cid:durableId="1498230104">
    <w:abstractNumId w:val="3"/>
  </w:num>
  <w:num w:numId="4" w16cid:durableId="1490244149">
    <w:abstractNumId w:val="6"/>
  </w:num>
  <w:num w:numId="5" w16cid:durableId="461464730">
    <w:abstractNumId w:val="9"/>
  </w:num>
  <w:num w:numId="6" w16cid:durableId="577255132">
    <w:abstractNumId w:val="8"/>
  </w:num>
  <w:num w:numId="7" w16cid:durableId="959343497">
    <w:abstractNumId w:val="1"/>
  </w:num>
  <w:num w:numId="8" w16cid:durableId="1286278005">
    <w:abstractNumId w:val="5"/>
  </w:num>
  <w:num w:numId="9" w16cid:durableId="472135244">
    <w:abstractNumId w:val="4"/>
  </w:num>
  <w:num w:numId="10" w16cid:durableId="17405927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8E9"/>
    <w:rsid w:val="00001B77"/>
    <w:rsid w:val="0000517A"/>
    <w:rsid w:val="000211E8"/>
    <w:rsid w:val="00031E72"/>
    <w:rsid w:val="000404D2"/>
    <w:rsid w:val="000526D8"/>
    <w:rsid w:val="00055EFA"/>
    <w:rsid w:val="000646BD"/>
    <w:rsid w:val="0008179E"/>
    <w:rsid w:val="000853C0"/>
    <w:rsid w:val="00093DD9"/>
    <w:rsid w:val="0009409E"/>
    <w:rsid w:val="000A1C21"/>
    <w:rsid w:val="000C0BC5"/>
    <w:rsid w:val="000D15EA"/>
    <w:rsid w:val="000D7012"/>
    <w:rsid w:val="00100D84"/>
    <w:rsid w:val="001113B9"/>
    <w:rsid w:val="001214EA"/>
    <w:rsid w:val="00124C9D"/>
    <w:rsid w:val="001305DE"/>
    <w:rsid w:val="0015333E"/>
    <w:rsid w:val="00157773"/>
    <w:rsid w:val="00170A1B"/>
    <w:rsid w:val="00170BE0"/>
    <w:rsid w:val="0018251A"/>
    <w:rsid w:val="00190272"/>
    <w:rsid w:val="00193244"/>
    <w:rsid w:val="00195C6C"/>
    <w:rsid w:val="00195FED"/>
    <w:rsid w:val="001A4BD6"/>
    <w:rsid w:val="001B5E6F"/>
    <w:rsid w:val="001B6E2B"/>
    <w:rsid w:val="001D5A18"/>
    <w:rsid w:val="00215132"/>
    <w:rsid w:val="00224449"/>
    <w:rsid w:val="00264AF8"/>
    <w:rsid w:val="00280EB8"/>
    <w:rsid w:val="00283D54"/>
    <w:rsid w:val="002A6670"/>
    <w:rsid w:val="002C0128"/>
    <w:rsid w:val="002C3F32"/>
    <w:rsid w:val="00303502"/>
    <w:rsid w:val="00325C25"/>
    <w:rsid w:val="00326DEF"/>
    <w:rsid w:val="00345871"/>
    <w:rsid w:val="00367DD6"/>
    <w:rsid w:val="00372C8F"/>
    <w:rsid w:val="00380ECE"/>
    <w:rsid w:val="00393DDF"/>
    <w:rsid w:val="00397F55"/>
    <w:rsid w:val="003A4CF6"/>
    <w:rsid w:val="003B4454"/>
    <w:rsid w:val="003C2E37"/>
    <w:rsid w:val="003F086E"/>
    <w:rsid w:val="003F1415"/>
    <w:rsid w:val="0040144C"/>
    <w:rsid w:val="00403EB7"/>
    <w:rsid w:val="004178E6"/>
    <w:rsid w:val="00430BF0"/>
    <w:rsid w:val="00457BC3"/>
    <w:rsid w:val="004672E6"/>
    <w:rsid w:val="00474ED1"/>
    <w:rsid w:val="00477D57"/>
    <w:rsid w:val="00491BA9"/>
    <w:rsid w:val="00493085"/>
    <w:rsid w:val="004A36EC"/>
    <w:rsid w:val="004D163F"/>
    <w:rsid w:val="004E4BFF"/>
    <w:rsid w:val="004F2598"/>
    <w:rsid w:val="0051391B"/>
    <w:rsid w:val="005403F7"/>
    <w:rsid w:val="00540632"/>
    <w:rsid w:val="00541CF4"/>
    <w:rsid w:val="005451E8"/>
    <w:rsid w:val="005507F2"/>
    <w:rsid w:val="005759CC"/>
    <w:rsid w:val="005A72E1"/>
    <w:rsid w:val="005C6632"/>
    <w:rsid w:val="005D1C9E"/>
    <w:rsid w:val="00630DD5"/>
    <w:rsid w:val="00637584"/>
    <w:rsid w:val="00654257"/>
    <w:rsid w:val="0065435A"/>
    <w:rsid w:val="00670D8A"/>
    <w:rsid w:val="00676B6C"/>
    <w:rsid w:val="006A2DD3"/>
    <w:rsid w:val="006A5113"/>
    <w:rsid w:val="006A5AF8"/>
    <w:rsid w:val="006C36CD"/>
    <w:rsid w:val="006E4109"/>
    <w:rsid w:val="00700D1F"/>
    <w:rsid w:val="007205CB"/>
    <w:rsid w:val="0072138B"/>
    <w:rsid w:val="00726073"/>
    <w:rsid w:val="00734FE8"/>
    <w:rsid w:val="007360CE"/>
    <w:rsid w:val="0077110E"/>
    <w:rsid w:val="00772315"/>
    <w:rsid w:val="00775157"/>
    <w:rsid w:val="007813AE"/>
    <w:rsid w:val="007A37DB"/>
    <w:rsid w:val="007A77B3"/>
    <w:rsid w:val="007D4C54"/>
    <w:rsid w:val="007E189D"/>
    <w:rsid w:val="007F0210"/>
    <w:rsid w:val="0080050B"/>
    <w:rsid w:val="00806E3F"/>
    <w:rsid w:val="00811259"/>
    <w:rsid w:val="00813AA2"/>
    <w:rsid w:val="008173A3"/>
    <w:rsid w:val="008418F5"/>
    <w:rsid w:val="0086059C"/>
    <w:rsid w:val="00864589"/>
    <w:rsid w:val="00874C82"/>
    <w:rsid w:val="00890AFB"/>
    <w:rsid w:val="00890FC4"/>
    <w:rsid w:val="0089427A"/>
    <w:rsid w:val="00895800"/>
    <w:rsid w:val="00895905"/>
    <w:rsid w:val="008D0031"/>
    <w:rsid w:val="008F5EC6"/>
    <w:rsid w:val="008F64AD"/>
    <w:rsid w:val="00911230"/>
    <w:rsid w:val="00911867"/>
    <w:rsid w:val="009164A9"/>
    <w:rsid w:val="009258CB"/>
    <w:rsid w:val="0093362E"/>
    <w:rsid w:val="00944563"/>
    <w:rsid w:val="00953160"/>
    <w:rsid w:val="00956144"/>
    <w:rsid w:val="009625D8"/>
    <w:rsid w:val="00983878"/>
    <w:rsid w:val="00983981"/>
    <w:rsid w:val="0098459B"/>
    <w:rsid w:val="00987139"/>
    <w:rsid w:val="00997185"/>
    <w:rsid w:val="009A2C90"/>
    <w:rsid w:val="009C2458"/>
    <w:rsid w:val="009C4A7B"/>
    <w:rsid w:val="009C6123"/>
    <w:rsid w:val="009F1E3E"/>
    <w:rsid w:val="00A1213C"/>
    <w:rsid w:val="00A13406"/>
    <w:rsid w:val="00A272FF"/>
    <w:rsid w:val="00A5354B"/>
    <w:rsid w:val="00A71B57"/>
    <w:rsid w:val="00AB42C1"/>
    <w:rsid w:val="00AB688B"/>
    <w:rsid w:val="00AC516F"/>
    <w:rsid w:val="00AE195F"/>
    <w:rsid w:val="00AE2926"/>
    <w:rsid w:val="00B0184B"/>
    <w:rsid w:val="00B035CD"/>
    <w:rsid w:val="00B0769D"/>
    <w:rsid w:val="00B217F8"/>
    <w:rsid w:val="00B218E9"/>
    <w:rsid w:val="00B332EA"/>
    <w:rsid w:val="00B40A53"/>
    <w:rsid w:val="00B45365"/>
    <w:rsid w:val="00B46A65"/>
    <w:rsid w:val="00B60184"/>
    <w:rsid w:val="00B62D20"/>
    <w:rsid w:val="00B81E75"/>
    <w:rsid w:val="00B85051"/>
    <w:rsid w:val="00B93453"/>
    <w:rsid w:val="00B9445B"/>
    <w:rsid w:val="00BD0954"/>
    <w:rsid w:val="00BD1A5A"/>
    <w:rsid w:val="00BD7A9B"/>
    <w:rsid w:val="00BD7BE1"/>
    <w:rsid w:val="00BF416B"/>
    <w:rsid w:val="00C45EB2"/>
    <w:rsid w:val="00C64E4E"/>
    <w:rsid w:val="00C66E64"/>
    <w:rsid w:val="00C761A0"/>
    <w:rsid w:val="00C85F7E"/>
    <w:rsid w:val="00C90D53"/>
    <w:rsid w:val="00CA0B2E"/>
    <w:rsid w:val="00CA6EF7"/>
    <w:rsid w:val="00CD47F0"/>
    <w:rsid w:val="00CD5566"/>
    <w:rsid w:val="00CD64D7"/>
    <w:rsid w:val="00CE299D"/>
    <w:rsid w:val="00CE6F22"/>
    <w:rsid w:val="00CF41F6"/>
    <w:rsid w:val="00CF7D3E"/>
    <w:rsid w:val="00D02B4E"/>
    <w:rsid w:val="00D21F11"/>
    <w:rsid w:val="00D36817"/>
    <w:rsid w:val="00D453EE"/>
    <w:rsid w:val="00D5666C"/>
    <w:rsid w:val="00D62844"/>
    <w:rsid w:val="00D666BC"/>
    <w:rsid w:val="00D83542"/>
    <w:rsid w:val="00D92F45"/>
    <w:rsid w:val="00D94637"/>
    <w:rsid w:val="00D9725C"/>
    <w:rsid w:val="00DA0E66"/>
    <w:rsid w:val="00DA7006"/>
    <w:rsid w:val="00DB3621"/>
    <w:rsid w:val="00DC6427"/>
    <w:rsid w:val="00DD62F5"/>
    <w:rsid w:val="00DD66A1"/>
    <w:rsid w:val="00DE196D"/>
    <w:rsid w:val="00DF1C2D"/>
    <w:rsid w:val="00DF6B49"/>
    <w:rsid w:val="00E067C5"/>
    <w:rsid w:val="00E24D59"/>
    <w:rsid w:val="00E25355"/>
    <w:rsid w:val="00E254EB"/>
    <w:rsid w:val="00E265BF"/>
    <w:rsid w:val="00E323D0"/>
    <w:rsid w:val="00E34C96"/>
    <w:rsid w:val="00E378D8"/>
    <w:rsid w:val="00E43A12"/>
    <w:rsid w:val="00E56E8A"/>
    <w:rsid w:val="00E67C67"/>
    <w:rsid w:val="00E77476"/>
    <w:rsid w:val="00E8228B"/>
    <w:rsid w:val="00E97582"/>
    <w:rsid w:val="00EB4800"/>
    <w:rsid w:val="00EE5706"/>
    <w:rsid w:val="00EF373D"/>
    <w:rsid w:val="00F11595"/>
    <w:rsid w:val="00F13BC9"/>
    <w:rsid w:val="00F3289F"/>
    <w:rsid w:val="00F357B2"/>
    <w:rsid w:val="00F36556"/>
    <w:rsid w:val="00F37649"/>
    <w:rsid w:val="00F443EA"/>
    <w:rsid w:val="00F67021"/>
    <w:rsid w:val="00F6736A"/>
    <w:rsid w:val="00F705DF"/>
    <w:rsid w:val="00F70622"/>
    <w:rsid w:val="00F85624"/>
    <w:rsid w:val="00F87C05"/>
    <w:rsid w:val="00F93191"/>
    <w:rsid w:val="00F93A17"/>
    <w:rsid w:val="00FA2AF6"/>
    <w:rsid w:val="00FB073D"/>
    <w:rsid w:val="00FB771F"/>
    <w:rsid w:val="00FC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A260973"/>
  <w15:docId w15:val="{06B1871A-5529-4042-8F02-CA240FCB4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163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6C36CD"/>
    <w:pPr>
      <w:keepNext/>
      <w:keepLines/>
      <w:spacing w:before="480"/>
      <w:ind w:left="794" w:hanging="79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qFormat/>
    <w:rsid w:val="006C36CD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4D163F"/>
    <w:pPr>
      <w:spacing w:before="200"/>
      <w:ind w:left="0" w:firstLine="0"/>
      <w:outlineLvl w:val="2"/>
    </w:pPr>
    <w:rPr>
      <w:i/>
      <w:sz w:val="24"/>
    </w:rPr>
  </w:style>
  <w:style w:type="paragraph" w:styleId="Heading4">
    <w:name w:val="heading 4"/>
    <w:basedOn w:val="Heading3"/>
    <w:next w:val="Normal"/>
    <w:qFormat/>
    <w:rsid w:val="006C36CD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6C36CD"/>
    <w:pPr>
      <w:outlineLvl w:val="4"/>
    </w:pPr>
  </w:style>
  <w:style w:type="paragraph" w:styleId="Heading6">
    <w:name w:val="heading 6"/>
    <w:basedOn w:val="Heading4"/>
    <w:next w:val="Normal"/>
    <w:qFormat/>
    <w:rsid w:val="006C36CD"/>
    <w:pPr>
      <w:outlineLvl w:val="5"/>
    </w:pPr>
  </w:style>
  <w:style w:type="paragraph" w:styleId="Heading7">
    <w:name w:val="heading 7"/>
    <w:basedOn w:val="Heading6"/>
    <w:next w:val="Normal"/>
    <w:qFormat/>
    <w:rsid w:val="006C36CD"/>
    <w:pPr>
      <w:outlineLvl w:val="6"/>
    </w:pPr>
  </w:style>
  <w:style w:type="paragraph" w:styleId="Heading8">
    <w:name w:val="heading 8"/>
    <w:basedOn w:val="Heading6"/>
    <w:next w:val="Normal"/>
    <w:qFormat/>
    <w:rsid w:val="006C36CD"/>
    <w:pPr>
      <w:outlineLvl w:val="7"/>
    </w:pPr>
  </w:style>
  <w:style w:type="paragraph" w:styleId="Heading9">
    <w:name w:val="heading 9"/>
    <w:basedOn w:val="Heading6"/>
    <w:next w:val="Normal"/>
    <w:qFormat/>
    <w:rsid w:val="006C36C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6C36CD"/>
  </w:style>
  <w:style w:type="paragraph" w:styleId="TOC4">
    <w:name w:val="toc 4"/>
    <w:basedOn w:val="TOC3"/>
    <w:semiHidden/>
    <w:rsid w:val="006C36CD"/>
    <w:pPr>
      <w:spacing w:before="80"/>
    </w:pPr>
  </w:style>
  <w:style w:type="paragraph" w:styleId="TOC3">
    <w:name w:val="toc 3"/>
    <w:basedOn w:val="TOC2"/>
    <w:semiHidden/>
    <w:rsid w:val="006C36CD"/>
  </w:style>
  <w:style w:type="paragraph" w:styleId="TOC2">
    <w:name w:val="toc 2"/>
    <w:basedOn w:val="TOC1"/>
    <w:semiHidden/>
    <w:rsid w:val="006C36CD"/>
    <w:pPr>
      <w:spacing w:before="160"/>
    </w:pPr>
  </w:style>
  <w:style w:type="paragraph" w:styleId="TOC1">
    <w:name w:val="toc 1"/>
    <w:basedOn w:val="Normal"/>
    <w:semiHidden/>
    <w:rsid w:val="006C36CD"/>
    <w:pPr>
      <w:keepLines/>
      <w:tabs>
        <w:tab w:val="clear" w:pos="794"/>
        <w:tab w:val="clear" w:pos="1191"/>
        <w:tab w:val="clear" w:pos="1588"/>
        <w:tab w:val="clear" w:pos="1985"/>
        <w:tab w:val="left" w:leader="dot" w:pos="7938"/>
        <w:tab w:val="center" w:pos="8789"/>
      </w:tabs>
      <w:spacing w:before="240"/>
      <w:ind w:left="567" w:hanging="567"/>
    </w:pPr>
  </w:style>
  <w:style w:type="paragraph" w:styleId="TOC7">
    <w:name w:val="toc 7"/>
    <w:basedOn w:val="TOC4"/>
    <w:semiHidden/>
    <w:rsid w:val="006C36CD"/>
  </w:style>
  <w:style w:type="paragraph" w:styleId="TOC6">
    <w:name w:val="toc 6"/>
    <w:basedOn w:val="TOC4"/>
    <w:semiHidden/>
    <w:rsid w:val="006C36CD"/>
  </w:style>
  <w:style w:type="paragraph" w:styleId="TOC5">
    <w:name w:val="toc 5"/>
    <w:basedOn w:val="TOC4"/>
    <w:semiHidden/>
    <w:rsid w:val="006C36CD"/>
  </w:style>
  <w:style w:type="paragraph" w:styleId="Index7">
    <w:name w:val="index 7"/>
    <w:basedOn w:val="Normal"/>
    <w:next w:val="Normal"/>
    <w:semiHidden/>
    <w:rsid w:val="006C36CD"/>
    <w:pPr>
      <w:ind w:left="1698"/>
    </w:pPr>
  </w:style>
  <w:style w:type="paragraph" w:styleId="Index6">
    <w:name w:val="index 6"/>
    <w:basedOn w:val="Normal"/>
    <w:next w:val="Normal"/>
    <w:semiHidden/>
    <w:rsid w:val="006C36CD"/>
    <w:pPr>
      <w:ind w:left="1415"/>
    </w:pPr>
  </w:style>
  <w:style w:type="paragraph" w:styleId="Index5">
    <w:name w:val="index 5"/>
    <w:basedOn w:val="Normal"/>
    <w:next w:val="Normal"/>
    <w:semiHidden/>
    <w:rsid w:val="006C36CD"/>
    <w:pPr>
      <w:ind w:left="1132"/>
    </w:pPr>
  </w:style>
  <w:style w:type="paragraph" w:styleId="Index4">
    <w:name w:val="index 4"/>
    <w:basedOn w:val="Normal"/>
    <w:next w:val="Normal"/>
    <w:semiHidden/>
    <w:rsid w:val="006C36CD"/>
    <w:pPr>
      <w:ind w:left="849"/>
    </w:pPr>
  </w:style>
  <w:style w:type="paragraph" w:styleId="Index3">
    <w:name w:val="index 3"/>
    <w:basedOn w:val="Normal"/>
    <w:next w:val="Normal"/>
    <w:semiHidden/>
    <w:rsid w:val="006C36CD"/>
    <w:pPr>
      <w:ind w:left="566"/>
    </w:pPr>
  </w:style>
  <w:style w:type="paragraph" w:styleId="Index2">
    <w:name w:val="index 2"/>
    <w:basedOn w:val="Normal"/>
    <w:next w:val="Normal"/>
    <w:semiHidden/>
    <w:rsid w:val="006C36CD"/>
    <w:pPr>
      <w:ind w:left="283"/>
    </w:pPr>
  </w:style>
  <w:style w:type="paragraph" w:styleId="Index1">
    <w:name w:val="index 1"/>
    <w:basedOn w:val="Normal"/>
    <w:next w:val="Normal"/>
    <w:semiHidden/>
    <w:rsid w:val="006C36CD"/>
  </w:style>
  <w:style w:type="character" w:styleId="LineNumber">
    <w:name w:val="line number"/>
    <w:basedOn w:val="DefaultParagraphFont"/>
    <w:rsid w:val="006C36CD"/>
  </w:style>
  <w:style w:type="paragraph" w:styleId="IndexHeading">
    <w:name w:val="index heading"/>
    <w:basedOn w:val="Normal"/>
    <w:next w:val="Index1"/>
    <w:semiHidden/>
    <w:rsid w:val="006C36CD"/>
  </w:style>
  <w:style w:type="paragraph" w:styleId="Footer">
    <w:name w:val="footer"/>
    <w:basedOn w:val="Normal"/>
    <w:link w:val="FooterChar"/>
    <w:rsid w:val="006C36CD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rsid w:val="006C36CD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semiHidden/>
    <w:rsid w:val="006C36CD"/>
    <w:rPr>
      <w:position w:val="6"/>
      <w:sz w:val="18"/>
    </w:rPr>
  </w:style>
  <w:style w:type="paragraph" w:styleId="FootnoteText">
    <w:name w:val="footnote text"/>
    <w:basedOn w:val="Normal"/>
    <w:link w:val="FootnoteTextChar"/>
    <w:semiHidden/>
    <w:rsid w:val="006C36CD"/>
    <w:pPr>
      <w:keepLines/>
      <w:tabs>
        <w:tab w:val="left" w:pos="255"/>
      </w:tabs>
      <w:ind w:left="255" w:hanging="255"/>
    </w:pPr>
  </w:style>
  <w:style w:type="paragraph" w:styleId="NormalIndent">
    <w:name w:val="Normal Indent"/>
    <w:basedOn w:val="Normal"/>
    <w:rsid w:val="006C36CD"/>
    <w:pPr>
      <w:ind w:left="794"/>
    </w:pPr>
  </w:style>
  <w:style w:type="paragraph" w:customStyle="1" w:styleId="enumlev1">
    <w:name w:val="enumlev1"/>
    <w:basedOn w:val="Normal"/>
    <w:rsid w:val="006C36CD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rsid w:val="006C36CD"/>
    <w:pPr>
      <w:ind w:left="1191" w:hanging="397"/>
    </w:pPr>
  </w:style>
  <w:style w:type="paragraph" w:customStyle="1" w:styleId="enumlev3">
    <w:name w:val="enumlev3"/>
    <w:basedOn w:val="enumlev2"/>
    <w:rsid w:val="006C36CD"/>
    <w:pPr>
      <w:ind w:left="1588"/>
    </w:pPr>
  </w:style>
  <w:style w:type="paragraph" w:customStyle="1" w:styleId="Normalaftertitle">
    <w:name w:val="Normal after title"/>
    <w:basedOn w:val="Normal"/>
    <w:next w:val="Normal"/>
    <w:link w:val="NormalaftertitleChar"/>
    <w:rsid w:val="006C36CD"/>
    <w:pPr>
      <w:spacing w:before="320"/>
    </w:pPr>
  </w:style>
  <w:style w:type="paragraph" w:customStyle="1" w:styleId="Equation">
    <w:name w:val="Equation"/>
    <w:basedOn w:val="Normal"/>
    <w:rsid w:val="006C36CD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rsid w:val="006C36CD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6C36CD"/>
    <w:pPr>
      <w:tabs>
        <w:tab w:val="clear" w:pos="1191"/>
        <w:tab w:val="clear" w:pos="1588"/>
        <w:tab w:val="clear" w:pos="1985"/>
        <w:tab w:val="center" w:pos="8789"/>
      </w:tabs>
    </w:pPr>
    <w:rPr>
      <w:b/>
    </w:rPr>
  </w:style>
  <w:style w:type="paragraph" w:styleId="List">
    <w:name w:val="List"/>
    <w:basedOn w:val="Normal"/>
    <w:rsid w:val="006C36CD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rsid w:val="006C36CD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docnoted">
    <w:name w:val="docnoted"/>
    <w:basedOn w:val="Normal"/>
    <w:next w:val="Head"/>
    <w:rsid w:val="006C36CD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Source">
    <w:name w:val="Source"/>
    <w:basedOn w:val="Normal"/>
    <w:next w:val="Normal"/>
    <w:rsid w:val="006C36CD"/>
    <w:pPr>
      <w:spacing w:before="480"/>
      <w:jc w:val="center"/>
    </w:pPr>
    <w:rPr>
      <w:b/>
      <w:sz w:val="28"/>
    </w:rPr>
  </w:style>
  <w:style w:type="paragraph" w:customStyle="1" w:styleId="meeting">
    <w:name w:val="meeting"/>
    <w:basedOn w:val="Head"/>
    <w:next w:val="Head"/>
    <w:rsid w:val="006C36CD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6C36CD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6C36CD"/>
  </w:style>
  <w:style w:type="paragraph" w:customStyle="1" w:styleId="Data">
    <w:name w:val="Data"/>
    <w:basedOn w:val="Subject"/>
    <w:next w:val="Subject"/>
    <w:rsid w:val="006C36CD"/>
  </w:style>
  <w:style w:type="paragraph" w:customStyle="1" w:styleId="Reasons">
    <w:name w:val="Reasons"/>
    <w:basedOn w:val="Normal"/>
    <w:qFormat/>
    <w:rsid w:val="006C36CD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basedOn w:val="DefaultParagraphFont"/>
    <w:rsid w:val="00E97582"/>
    <w:rPr>
      <w:rFonts w:eastAsia="Times New Roman"/>
      <w:noProof/>
      <w:color w:val="4F81BD" w:themeColor="accent1"/>
      <w:u w:val="single"/>
    </w:rPr>
  </w:style>
  <w:style w:type="paragraph" w:customStyle="1" w:styleId="FirstFooter">
    <w:name w:val="FirstFooter"/>
    <w:basedOn w:val="Footer"/>
    <w:rsid w:val="006C36CD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rsid w:val="006C36CD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TOC4"/>
    <w:semiHidden/>
    <w:rsid w:val="006C36CD"/>
  </w:style>
  <w:style w:type="paragraph" w:customStyle="1" w:styleId="Headingb">
    <w:name w:val="Heading_b"/>
    <w:basedOn w:val="Heading3"/>
    <w:next w:val="Normal"/>
    <w:rsid w:val="006C36CD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i w:val="0"/>
    </w:rPr>
  </w:style>
  <w:style w:type="character" w:styleId="FollowedHyperlink">
    <w:name w:val="FollowedHyperlink"/>
    <w:basedOn w:val="DefaultParagraphFont"/>
    <w:rsid w:val="004D163F"/>
    <w:rPr>
      <w:rFonts w:ascii="Calibri" w:hAnsi="Calibri"/>
      <w:color w:val="800080"/>
      <w:u w:val="single"/>
    </w:rPr>
  </w:style>
  <w:style w:type="paragraph" w:customStyle="1" w:styleId="Title1">
    <w:name w:val="Title 1"/>
    <w:basedOn w:val="Source"/>
    <w:next w:val="Title2"/>
    <w:rsid w:val="006C36CD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6C36C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6C36CD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6C36CD"/>
    <w:rPr>
      <w:b/>
    </w:rPr>
  </w:style>
  <w:style w:type="paragraph" w:customStyle="1" w:styleId="dnum">
    <w:name w:val="dnum"/>
    <w:basedOn w:val="Normal"/>
    <w:rsid w:val="006C36CD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rsid w:val="006C36CD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6C36CD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title"/>
    <w:rsid w:val="006C36CD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Annexref"/>
    <w:link w:val="AnnextitleChar"/>
    <w:rsid w:val="006C36CD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nnexref">
    <w:name w:val="Annex_ref"/>
    <w:basedOn w:val="Normal"/>
    <w:next w:val="Normalaftertitle"/>
    <w:rsid w:val="006C36CD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  <w:rsid w:val="006C36CD"/>
  </w:style>
  <w:style w:type="paragraph" w:customStyle="1" w:styleId="Appendixtitle">
    <w:name w:val="Appendix_title"/>
    <w:basedOn w:val="Annextitle"/>
    <w:next w:val="Appendixref"/>
    <w:rsid w:val="006C36CD"/>
  </w:style>
  <w:style w:type="paragraph" w:customStyle="1" w:styleId="Appendixref">
    <w:name w:val="Appendix_ref"/>
    <w:basedOn w:val="Annexref"/>
    <w:next w:val="Normalaftertitle"/>
    <w:rsid w:val="006C36CD"/>
  </w:style>
  <w:style w:type="paragraph" w:customStyle="1" w:styleId="Call">
    <w:name w:val="Call"/>
    <w:basedOn w:val="Normal"/>
    <w:next w:val="Normal"/>
    <w:link w:val="CallChar"/>
    <w:rsid w:val="00B218E9"/>
    <w:pPr>
      <w:keepNext/>
      <w:keepLines/>
      <w:spacing w:before="160"/>
      <w:ind w:left="794"/>
    </w:pPr>
    <w:rPr>
      <w:rFonts w:eastAsia="STKaiti"/>
    </w:rPr>
  </w:style>
  <w:style w:type="character" w:styleId="EndnoteReference">
    <w:name w:val="endnote reference"/>
    <w:basedOn w:val="DefaultParagraphFont"/>
    <w:semiHidden/>
    <w:rsid w:val="006C36CD"/>
    <w:rPr>
      <w:vertAlign w:val="superscript"/>
    </w:rPr>
  </w:style>
  <w:style w:type="paragraph" w:customStyle="1" w:styleId="Equationlegend">
    <w:name w:val="Equation_legend"/>
    <w:basedOn w:val="Normal"/>
    <w:rsid w:val="006C36CD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Figuretitle"/>
    <w:rsid w:val="006C36CD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4D163F"/>
    <w:pPr>
      <w:spacing w:before="240" w:after="480"/>
    </w:pPr>
    <w:rPr>
      <w:rFonts w:ascii="Calibri" w:hAnsi="Calibri"/>
    </w:rPr>
  </w:style>
  <w:style w:type="paragraph" w:customStyle="1" w:styleId="Tabletitle">
    <w:name w:val="Table_title"/>
    <w:basedOn w:val="TableNo"/>
    <w:next w:val="Tabletext"/>
    <w:rsid w:val="006C36CD"/>
    <w:pPr>
      <w:spacing w:before="0"/>
    </w:pPr>
    <w:rPr>
      <w:rFonts w:ascii="Times New Roman Bold" w:hAnsi="Times New Roman Bold"/>
      <w:b/>
      <w:caps w:val="0"/>
    </w:rPr>
  </w:style>
  <w:style w:type="paragraph" w:customStyle="1" w:styleId="TableNo">
    <w:name w:val="Table_No"/>
    <w:basedOn w:val="Normal"/>
    <w:next w:val="Tabletitle"/>
    <w:rsid w:val="006C36CD"/>
    <w:pPr>
      <w:keepNext/>
      <w:spacing w:before="360" w:after="120"/>
      <w:jc w:val="center"/>
    </w:pPr>
    <w:rPr>
      <w:caps/>
    </w:rPr>
  </w:style>
  <w:style w:type="paragraph" w:customStyle="1" w:styleId="Tabletext">
    <w:name w:val="Table_text"/>
    <w:basedOn w:val="Normal"/>
    <w:rsid w:val="006C36CD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Figurelegend">
    <w:name w:val="Figure_legend"/>
    <w:basedOn w:val="Normal"/>
    <w:rsid w:val="006C36CD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6C36CD"/>
    <w:pPr>
      <w:keepNext/>
      <w:keepLines/>
      <w:spacing w:before="24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6C36CD"/>
    <w:pPr>
      <w:keepNext w:val="0"/>
      <w:spacing w:after="240"/>
    </w:pPr>
  </w:style>
  <w:style w:type="paragraph" w:customStyle="1" w:styleId="Headingi">
    <w:name w:val="Heading_i"/>
    <w:basedOn w:val="Normal"/>
    <w:next w:val="Normal"/>
    <w:rsid w:val="008F5EC6"/>
    <w:rPr>
      <w:rFonts w:asciiTheme="minorHAnsi" w:hAnsiTheme="minorHAnsi"/>
      <w:b/>
      <w:bCs/>
      <w:i/>
      <w:iCs/>
      <w:lang w:eastAsia="zh-CN"/>
    </w:rPr>
  </w:style>
  <w:style w:type="character" w:styleId="PageNumber">
    <w:name w:val="page number"/>
    <w:basedOn w:val="DefaultParagraphFont"/>
    <w:rsid w:val="006C36CD"/>
  </w:style>
  <w:style w:type="paragraph" w:customStyle="1" w:styleId="PartNo">
    <w:name w:val="Part_No"/>
    <w:basedOn w:val="AnnexNo"/>
    <w:next w:val="Parttitle"/>
    <w:rsid w:val="006C36CD"/>
  </w:style>
  <w:style w:type="paragraph" w:customStyle="1" w:styleId="Parttitle">
    <w:name w:val="Part_title"/>
    <w:basedOn w:val="Annextitle"/>
    <w:next w:val="Partref"/>
    <w:rsid w:val="004D163F"/>
    <w:rPr>
      <w:rFonts w:ascii="Calibri" w:hAnsi="Calibri"/>
    </w:rPr>
  </w:style>
  <w:style w:type="paragraph" w:customStyle="1" w:styleId="Partref">
    <w:name w:val="Part_ref"/>
    <w:basedOn w:val="Annexref"/>
    <w:next w:val="Normalaftertitle"/>
    <w:rsid w:val="006C36CD"/>
  </w:style>
  <w:style w:type="paragraph" w:customStyle="1" w:styleId="RecNo">
    <w:name w:val="Rec_No"/>
    <w:basedOn w:val="Normal"/>
    <w:next w:val="Rectitle"/>
    <w:rsid w:val="006C36CD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4D163F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6C36CD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6C36CD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6C36CD"/>
  </w:style>
  <w:style w:type="paragraph" w:customStyle="1" w:styleId="QuestionNo">
    <w:name w:val="Question_No"/>
    <w:basedOn w:val="RecNo"/>
    <w:next w:val="Questiontitle"/>
    <w:rsid w:val="006C36CD"/>
  </w:style>
  <w:style w:type="paragraph" w:customStyle="1" w:styleId="Questionref">
    <w:name w:val="Question_ref"/>
    <w:basedOn w:val="Recref"/>
    <w:next w:val="Questiondate"/>
    <w:rsid w:val="006C36CD"/>
  </w:style>
  <w:style w:type="paragraph" w:customStyle="1" w:styleId="Questiontitle">
    <w:name w:val="Question_title"/>
    <w:basedOn w:val="Rectitle"/>
    <w:next w:val="Questionref"/>
    <w:rsid w:val="006C36CD"/>
  </w:style>
  <w:style w:type="paragraph" w:customStyle="1" w:styleId="Reftext">
    <w:name w:val="Ref_text"/>
    <w:basedOn w:val="Normal"/>
    <w:rsid w:val="006C36CD"/>
    <w:pPr>
      <w:ind w:left="794" w:hanging="794"/>
    </w:pPr>
  </w:style>
  <w:style w:type="paragraph" w:customStyle="1" w:styleId="Reftitle">
    <w:name w:val="Ref_title"/>
    <w:basedOn w:val="Normal"/>
    <w:next w:val="Reftext"/>
    <w:rsid w:val="006C36CD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6C36CD"/>
  </w:style>
  <w:style w:type="paragraph" w:customStyle="1" w:styleId="RepNo">
    <w:name w:val="Rep_No"/>
    <w:basedOn w:val="RecNo"/>
    <w:next w:val="Reptitle"/>
    <w:rsid w:val="006C36CD"/>
  </w:style>
  <w:style w:type="paragraph" w:customStyle="1" w:styleId="Reptitle">
    <w:name w:val="Rep_title"/>
    <w:basedOn w:val="Rectitle"/>
    <w:next w:val="Repref"/>
    <w:rsid w:val="006C36CD"/>
  </w:style>
  <w:style w:type="paragraph" w:customStyle="1" w:styleId="Repref">
    <w:name w:val="Rep_ref"/>
    <w:basedOn w:val="Recref"/>
    <w:next w:val="Repdate"/>
    <w:rsid w:val="006C36CD"/>
  </w:style>
  <w:style w:type="paragraph" w:customStyle="1" w:styleId="Resdate">
    <w:name w:val="Res_date"/>
    <w:basedOn w:val="Recdate"/>
    <w:next w:val="Normalaftertitle"/>
    <w:rsid w:val="006C36CD"/>
  </w:style>
  <w:style w:type="paragraph" w:customStyle="1" w:styleId="ResNo">
    <w:name w:val="Res_No"/>
    <w:basedOn w:val="RecNo"/>
    <w:next w:val="Restitle"/>
    <w:rsid w:val="006C36CD"/>
  </w:style>
  <w:style w:type="paragraph" w:customStyle="1" w:styleId="Restitle">
    <w:name w:val="Res_title"/>
    <w:basedOn w:val="Rectitle"/>
    <w:next w:val="Resref"/>
    <w:rsid w:val="006C36CD"/>
  </w:style>
  <w:style w:type="paragraph" w:customStyle="1" w:styleId="Resref">
    <w:name w:val="Res_ref"/>
    <w:basedOn w:val="Recref"/>
    <w:next w:val="Resdate"/>
    <w:rsid w:val="006C36CD"/>
  </w:style>
  <w:style w:type="paragraph" w:customStyle="1" w:styleId="SectionNo">
    <w:name w:val="Section_No"/>
    <w:basedOn w:val="AnnexNo"/>
    <w:next w:val="Sectiontitle"/>
    <w:rsid w:val="006C36CD"/>
  </w:style>
  <w:style w:type="paragraph" w:customStyle="1" w:styleId="Sectiontitle">
    <w:name w:val="Section_title"/>
    <w:basedOn w:val="Normal"/>
    <w:next w:val="Normalaftertitle"/>
    <w:rsid w:val="006C36CD"/>
    <w:rPr>
      <w:sz w:val="28"/>
    </w:rPr>
  </w:style>
  <w:style w:type="paragraph" w:customStyle="1" w:styleId="SpecialFooter">
    <w:name w:val="Special Footer"/>
    <w:basedOn w:val="Footer"/>
    <w:rsid w:val="006C36CD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6C36CD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6C36CD"/>
    <w:pPr>
      <w:spacing w:before="120"/>
    </w:pPr>
  </w:style>
  <w:style w:type="paragraph" w:customStyle="1" w:styleId="Tableref">
    <w:name w:val="Table_ref"/>
    <w:basedOn w:val="Normal"/>
    <w:next w:val="Tabletitle"/>
    <w:rsid w:val="006C36CD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6C36CD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6C36CD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6C36CD"/>
    <w:pPr>
      <w:keepNext/>
      <w:keepLines/>
      <w:spacing w:before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4D163F"/>
    <w:rPr>
      <w:b/>
    </w:rPr>
  </w:style>
  <w:style w:type="paragraph" w:customStyle="1" w:styleId="Chaptitle">
    <w:name w:val="Chap_title"/>
    <w:basedOn w:val="Arttitle"/>
    <w:next w:val="Normalaftertitle"/>
    <w:rsid w:val="006C36CD"/>
  </w:style>
  <w:style w:type="paragraph" w:styleId="BodyTextIndent3">
    <w:name w:val="Body Text Indent 3"/>
    <w:basedOn w:val="Normal"/>
    <w:link w:val="BodyTextIndent3Char"/>
    <w:rsid w:val="006C36CD"/>
    <w:pPr>
      <w:spacing w:before="0"/>
      <w:ind w:firstLine="601"/>
      <w:textAlignment w:val="auto"/>
    </w:pPr>
    <w:rPr>
      <w:sz w:val="22"/>
      <w:lang w:val="fr-FR" w:eastAsia="zh-CN"/>
    </w:rPr>
  </w:style>
  <w:style w:type="paragraph" w:customStyle="1" w:styleId="NormalCH">
    <w:name w:val="NormalCH"/>
    <w:basedOn w:val="Normal"/>
    <w:next w:val="Normal"/>
    <w:qFormat/>
    <w:rsid w:val="00E77476"/>
    <w:pPr>
      <w:ind w:firstLineChars="200" w:firstLine="200"/>
    </w:pPr>
    <w:rPr>
      <w:szCs w:val="19"/>
      <w:lang w:eastAsia="zh-CN"/>
    </w:rPr>
  </w:style>
  <w:style w:type="character" w:customStyle="1" w:styleId="Heading1Char">
    <w:name w:val="Heading 1 Char"/>
    <w:basedOn w:val="DefaultParagraphFont"/>
    <w:link w:val="Heading1"/>
    <w:rsid w:val="007A37DB"/>
    <w:rPr>
      <w:rFonts w:ascii="Calibri" w:hAnsi="Calibri"/>
      <w:b/>
      <w:sz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7A37DB"/>
    <w:rPr>
      <w:rFonts w:ascii="Calibri" w:hAnsi="Calibri"/>
      <w:b/>
      <w:sz w:val="24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7A37DB"/>
    <w:rPr>
      <w:rFonts w:ascii="Calibri" w:hAnsi="Calibri"/>
      <w:sz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00517A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ind w:left="720"/>
      <w:contextualSpacing/>
    </w:pPr>
    <w:rPr>
      <w:rFonts w:eastAsia="Times New Roman"/>
    </w:rPr>
  </w:style>
  <w:style w:type="table" w:styleId="TableGrid">
    <w:name w:val="Table Grid"/>
    <w:basedOn w:val="TableNormal"/>
    <w:uiPriority w:val="39"/>
    <w:rsid w:val="0000517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aftertitleChar">
    <w:name w:val="Normal after title Char"/>
    <w:link w:val="Normalaftertitle"/>
    <w:locked/>
    <w:rsid w:val="00CD5566"/>
    <w:rPr>
      <w:rFonts w:ascii="Calibri" w:hAnsi="Calibri"/>
      <w:sz w:val="24"/>
      <w:lang w:val="en-GB" w:eastAsia="en-US"/>
    </w:rPr>
  </w:style>
  <w:style w:type="character" w:customStyle="1" w:styleId="CallChar">
    <w:name w:val="Call Char"/>
    <w:basedOn w:val="DefaultParagraphFont"/>
    <w:link w:val="Call"/>
    <w:rsid w:val="00B218E9"/>
    <w:rPr>
      <w:rFonts w:ascii="Calibri" w:eastAsia="STKaiti" w:hAnsi="Calibri"/>
      <w:sz w:val="24"/>
      <w:lang w:val="en-GB" w:eastAsia="en-US"/>
    </w:rPr>
  </w:style>
  <w:style w:type="character" w:customStyle="1" w:styleId="AnnextitleChar">
    <w:name w:val="Annex_title Char"/>
    <w:basedOn w:val="DefaultParagraphFont"/>
    <w:link w:val="Annextitle"/>
    <w:locked/>
    <w:rsid w:val="00CD5566"/>
    <w:rPr>
      <w:rFonts w:ascii="Times New Roman Bold" w:hAnsi="Times New Roman Bold"/>
      <w:b/>
      <w:sz w:val="28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0853C0"/>
    <w:rPr>
      <w:rFonts w:ascii="Calibri" w:hAnsi="Calibri"/>
      <w:caps/>
      <w:noProof/>
      <w:sz w:val="16"/>
      <w:lang w:val="fr-FR"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B40A53"/>
    <w:rPr>
      <w:rFonts w:ascii="Calibri" w:hAnsi="Calibri"/>
      <w:sz w:val="22"/>
      <w:lang w:val="fr-FR"/>
    </w:rPr>
  </w:style>
  <w:style w:type="character" w:customStyle="1" w:styleId="HeaderChar">
    <w:name w:val="Header Char"/>
    <w:basedOn w:val="DefaultParagraphFont"/>
    <w:link w:val="Header"/>
    <w:uiPriority w:val="99"/>
    <w:rsid w:val="00E24D59"/>
    <w:rPr>
      <w:rFonts w:ascii="Calibri" w:hAnsi="Calibri"/>
      <w:sz w:val="18"/>
      <w:lang w:val="fr-FR" w:eastAsia="en-US"/>
    </w:rPr>
  </w:style>
  <w:style w:type="paragraph" w:customStyle="1" w:styleId="Subtitle">
    <w:name w:val="Sub_title"/>
    <w:basedOn w:val="Title1"/>
    <w:qFormat/>
    <w:rsid w:val="00E24D59"/>
    <w:pPr>
      <w:framePr w:hSpace="180" w:wrap="around" w:hAnchor="page" w:x="1821" w:y="2317"/>
      <w:spacing w:before="120" w:after="160"/>
      <w:jc w:val="left"/>
    </w:pPr>
    <w:rPr>
      <w:rFonts w:eastAsia="Times New Roman"/>
      <w:caps w:val="0"/>
      <w:sz w:val="34"/>
    </w:rPr>
  </w:style>
  <w:style w:type="character" w:styleId="PlaceholderText">
    <w:name w:val="Placeholder Text"/>
    <w:basedOn w:val="DefaultParagraphFont"/>
    <w:uiPriority w:val="99"/>
    <w:semiHidden/>
    <w:rsid w:val="0072138B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E34C96"/>
    <w:rPr>
      <w:color w:val="605E5C"/>
      <w:shd w:val="clear" w:color="auto" w:fill="E1DFDD"/>
    </w:rPr>
  </w:style>
  <w:style w:type="paragraph" w:customStyle="1" w:styleId="normalAsianBodyAsianSimSun">
    <w:name w:val="normal(Asian) +Body Asian (SimSun)"/>
    <w:aliases w:val="Justified,After:  6 pt"/>
    <w:basedOn w:val="Normal"/>
    <w:rsid w:val="00987139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overflowPunct/>
      <w:autoSpaceDE/>
      <w:autoSpaceDN/>
      <w:snapToGrid w:val="0"/>
      <w:spacing w:after="120"/>
      <w:jc w:val="both"/>
      <w:textAlignment w:val="auto"/>
    </w:pPr>
    <w:rPr>
      <w:rFonts w:eastAsiaTheme="minorEastAsia" w:cs="Calibri"/>
      <w:szCs w:val="24"/>
      <w:lang w:val="en-US" w:eastAsia="zh-CN"/>
    </w:rPr>
  </w:style>
  <w:style w:type="paragraph" w:customStyle="1" w:styleId="StyleHeadingiBodySTkaitiAsianBodyAsianSim">
    <w:name w:val="Style Heading_i + Body (STkaiti) (Asian) +Body Asian (Sim..."/>
    <w:basedOn w:val="Headingi"/>
    <w:rsid w:val="008F5EC6"/>
    <w:rPr>
      <w:rFonts w:eastAsiaTheme="minorEastAsia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7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5/en/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heiia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A1DCC2-6DDC-49CF-B01C-00AB9A2F2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2080</Words>
  <Characters>533</Characters>
  <Application>Microsoft Office Word</Application>
  <DocSecurity>0</DocSecurity>
  <Lines>22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 from the Oversight Unit's internal audit function</vt:lpstr>
    </vt:vector>
  </TitlesOfParts>
  <Manager>General Secretariat - Pool</Manager>
  <Company>International Telecommunication Union (ITU)</Company>
  <LinksUpToDate>false</LinksUpToDate>
  <CharactersWithSpaces>2563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from the Oversight Unit's internal audit function</dc:title>
  <dc:subject>ITU Council 2025</dc:subject>
  <cp:keywords>C2025, C25, Council-25</cp:keywords>
  <dc:description/>
  <cp:lastPrinted>2015-02-24T13:23:00Z</cp:lastPrinted>
  <dcterms:created xsi:type="dcterms:W3CDTF">2025-05-29T15:11:00Z</dcterms:created>
  <dcterms:modified xsi:type="dcterms:W3CDTF">2025-05-29T15:11:00Z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C05/xx-C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>[ ]</vt:lpwstr>
  </property>
  <property fmtid="{D5CDD505-2E9C-101B-9397-08002B2CF9AE}" pid="8" name="GrammarlyDocumentId">
    <vt:lpwstr>c6e9fb3b98c60be3ceca001f06bedd27e80c23e89b99aa0a1c899b80b9af3e8b</vt:lpwstr>
  </property>
</Properties>
</file>