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05"/>
        <w:gridCol w:w="2966"/>
      </w:tblGrid>
      <w:tr w:rsidR="007B0AA0" w14:paraId="64F2A0CD" w14:textId="77777777" w:rsidTr="00F363FE">
        <w:tc>
          <w:tcPr>
            <w:tcW w:w="6512" w:type="dxa"/>
          </w:tcPr>
          <w:p w14:paraId="2FEDDBAF" w14:textId="54D9B582" w:rsidR="007B0AA0" w:rsidRPr="007B0AA0" w:rsidRDefault="007B0AA0" w:rsidP="005067AD">
            <w:pPr>
              <w:spacing w:before="60" w:after="60" w:line="260" w:lineRule="exact"/>
              <w:rPr>
                <w:b/>
                <w:bCs/>
                <w:rtl/>
              </w:rPr>
            </w:pPr>
            <w:r w:rsidRPr="007B0AA0">
              <w:rPr>
                <w:rFonts w:hint="cs"/>
                <w:b/>
                <w:bCs/>
                <w:rtl/>
                <w:lang w:bidi="ar-EG"/>
              </w:rPr>
              <w:t>بند جدول الأعمال:</w:t>
            </w:r>
            <w:r w:rsidR="005067AD">
              <w:rPr>
                <w:rFonts w:hint="cs"/>
                <w:b/>
                <w:bCs/>
                <w:rtl/>
              </w:rPr>
              <w:t xml:space="preserve"> </w:t>
            </w:r>
            <w:r w:rsidR="005067AD" w:rsidRPr="005067AD">
              <w:rPr>
                <w:b/>
                <w:bCs/>
                <w:rtl/>
              </w:rPr>
              <w:t>ADM 2</w:t>
            </w:r>
          </w:p>
        </w:tc>
        <w:tc>
          <w:tcPr>
            <w:tcW w:w="3117" w:type="dxa"/>
          </w:tcPr>
          <w:p w14:paraId="5311979F" w14:textId="14A645DF" w:rsidR="007B0AA0" w:rsidRPr="007B0AA0" w:rsidRDefault="007B0AA0" w:rsidP="00F363FE">
            <w:pPr>
              <w:spacing w:before="60" w:after="60" w:line="260" w:lineRule="exact"/>
              <w:rPr>
                <w:b/>
                <w:bCs/>
                <w:lang w:bidi="ar-EG"/>
              </w:rPr>
            </w:pPr>
            <w:r w:rsidRPr="007B0AA0">
              <w:rPr>
                <w:rFonts w:hint="cs"/>
                <w:b/>
                <w:bCs/>
                <w:rtl/>
                <w:lang w:bidi="ar-EG"/>
              </w:rPr>
              <w:t xml:space="preserve">الوثيقة </w:t>
            </w:r>
            <w:r w:rsidRPr="007B0AA0">
              <w:rPr>
                <w:b/>
                <w:bCs/>
                <w:lang w:bidi="ar-EG"/>
              </w:rPr>
              <w:t>C2</w:t>
            </w:r>
            <w:r w:rsidR="006F363C">
              <w:rPr>
                <w:b/>
                <w:bCs/>
                <w:lang w:bidi="ar-EG"/>
              </w:rPr>
              <w:t>5</w:t>
            </w:r>
            <w:r w:rsidRPr="007B0AA0">
              <w:rPr>
                <w:b/>
                <w:bCs/>
                <w:lang w:bidi="ar-EG"/>
              </w:rPr>
              <w:t>/</w:t>
            </w:r>
            <w:r w:rsidR="005067AD">
              <w:rPr>
                <w:b/>
                <w:bCs/>
                <w:lang w:bidi="ar-EG"/>
              </w:rPr>
              <w:t>44</w:t>
            </w:r>
            <w:r w:rsidRPr="007B0AA0">
              <w:rPr>
                <w:b/>
                <w:bCs/>
                <w:lang w:bidi="ar-EG"/>
              </w:rPr>
              <w:t>-A</w:t>
            </w:r>
          </w:p>
        </w:tc>
      </w:tr>
      <w:tr w:rsidR="007B0AA0" w14:paraId="41D9681A" w14:textId="77777777" w:rsidTr="00F363FE">
        <w:tc>
          <w:tcPr>
            <w:tcW w:w="6512" w:type="dxa"/>
          </w:tcPr>
          <w:p w14:paraId="4B0FC3D8" w14:textId="77777777" w:rsidR="007B0AA0" w:rsidRPr="007B0AA0" w:rsidRDefault="007B0AA0" w:rsidP="00F363FE">
            <w:pPr>
              <w:spacing w:before="60" w:after="60" w:line="260" w:lineRule="exact"/>
              <w:rPr>
                <w:b/>
                <w:bCs/>
                <w:rtl/>
                <w:lang w:bidi="ar-EG"/>
              </w:rPr>
            </w:pPr>
          </w:p>
        </w:tc>
        <w:tc>
          <w:tcPr>
            <w:tcW w:w="3117" w:type="dxa"/>
          </w:tcPr>
          <w:p w14:paraId="36D91A79" w14:textId="61A641B8" w:rsidR="007B0AA0" w:rsidRPr="000F4E38" w:rsidRDefault="005067AD" w:rsidP="00F363FE">
            <w:pPr>
              <w:spacing w:before="60" w:after="60" w:line="260" w:lineRule="exact"/>
              <w:rPr>
                <w:b/>
                <w:bCs/>
                <w:rtl/>
                <w:lang w:bidi="ar-EG"/>
              </w:rPr>
            </w:pPr>
            <w:r w:rsidRPr="000F4E38">
              <w:rPr>
                <w:b/>
                <w:bCs/>
                <w:color w:val="000000"/>
                <w:rtl/>
              </w:rPr>
              <w:t>19 مايو 2025</w:t>
            </w:r>
          </w:p>
        </w:tc>
      </w:tr>
      <w:tr w:rsidR="007B0AA0" w14:paraId="11AFF12D" w14:textId="77777777" w:rsidTr="00F363FE">
        <w:tc>
          <w:tcPr>
            <w:tcW w:w="6512" w:type="dxa"/>
          </w:tcPr>
          <w:p w14:paraId="4C7B869C" w14:textId="77777777" w:rsidR="007B0AA0" w:rsidRPr="007B0AA0" w:rsidRDefault="007B0AA0" w:rsidP="00F363FE">
            <w:pPr>
              <w:spacing w:before="60" w:after="60" w:line="260" w:lineRule="exact"/>
              <w:rPr>
                <w:b/>
                <w:bCs/>
                <w:rtl/>
                <w:lang w:bidi="ar-EG"/>
              </w:rPr>
            </w:pPr>
          </w:p>
        </w:tc>
        <w:tc>
          <w:tcPr>
            <w:tcW w:w="3117" w:type="dxa"/>
          </w:tcPr>
          <w:p w14:paraId="39E7EE5B" w14:textId="77777777" w:rsidR="007B0AA0" w:rsidRPr="007B0AA0" w:rsidRDefault="001D64C7" w:rsidP="00F363FE">
            <w:pPr>
              <w:spacing w:before="60" w:after="60" w:line="260" w:lineRule="exact"/>
              <w:rPr>
                <w:b/>
                <w:bCs/>
                <w:rtl/>
                <w:lang w:bidi="ar-EG"/>
              </w:rPr>
            </w:pPr>
            <w:r w:rsidRPr="007B0AA0">
              <w:rPr>
                <w:rFonts w:hint="cs"/>
                <w:b/>
                <w:bCs/>
                <w:rtl/>
                <w:lang w:bidi="ar-EG"/>
              </w:rPr>
              <w:t>الأصل: بالإنكليزية</w:t>
            </w:r>
          </w:p>
        </w:tc>
      </w:tr>
      <w:tr w:rsidR="007B0AA0" w14:paraId="5417756E" w14:textId="77777777" w:rsidTr="00F363FE">
        <w:tc>
          <w:tcPr>
            <w:tcW w:w="6512" w:type="dxa"/>
          </w:tcPr>
          <w:p w14:paraId="25C41634" w14:textId="77777777" w:rsidR="007B0AA0" w:rsidRDefault="007B0AA0" w:rsidP="00F363FE">
            <w:pPr>
              <w:spacing w:before="60" w:after="60" w:line="260" w:lineRule="exact"/>
              <w:rPr>
                <w:lang w:bidi="ar-EG"/>
              </w:rPr>
            </w:pPr>
          </w:p>
        </w:tc>
        <w:tc>
          <w:tcPr>
            <w:tcW w:w="3117" w:type="dxa"/>
          </w:tcPr>
          <w:p w14:paraId="6E948DF9" w14:textId="77777777" w:rsidR="007B0AA0" w:rsidRDefault="007B0AA0" w:rsidP="00F363FE">
            <w:pPr>
              <w:spacing w:before="60" w:after="60" w:line="260" w:lineRule="exact"/>
              <w:rPr>
                <w:rtl/>
                <w:lang w:bidi="ar-EG"/>
              </w:rPr>
            </w:pPr>
          </w:p>
        </w:tc>
      </w:tr>
      <w:tr w:rsidR="007B0AA0" w14:paraId="70C798F4" w14:textId="77777777" w:rsidTr="00EE7446">
        <w:tc>
          <w:tcPr>
            <w:tcW w:w="9629" w:type="dxa"/>
            <w:gridSpan w:val="2"/>
          </w:tcPr>
          <w:p w14:paraId="2300CD10" w14:textId="77777777" w:rsidR="007B0AA0" w:rsidRDefault="001D64C7" w:rsidP="007B0AA0">
            <w:pPr>
              <w:pStyle w:val="Source"/>
              <w:jc w:val="left"/>
              <w:rPr>
                <w:lang w:bidi="ar-EG"/>
              </w:rPr>
            </w:pPr>
            <w:r>
              <w:rPr>
                <w:rFonts w:hint="cs"/>
                <w:rtl/>
                <w:lang w:bidi="ar-EG"/>
              </w:rPr>
              <w:t>تقرير من الأمينة العامة</w:t>
            </w:r>
          </w:p>
        </w:tc>
      </w:tr>
      <w:tr w:rsidR="007B0AA0" w14:paraId="2737DB52" w14:textId="77777777" w:rsidTr="007B0AA0">
        <w:tc>
          <w:tcPr>
            <w:tcW w:w="9629" w:type="dxa"/>
            <w:gridSpan w:val="2"/>
            <w:tcBorders>
              <w:bottom w:val="single" w:sz="4" w:space="0" w:color="auto"/>
            </w:tcBorders>
          </w:tcPr>
          <w:p w14:paraId="3443C70C" w14:textId="74F67A9D" w:rsidR="007B0AA0" w:rsidRPr="005546CF" w:rsidRDefault="005067AD" w:rsidP="007B0AA0">
            <w:pPr>
              <w:pStyle w:val="Subtitle0"/>
              <w:rPr>
                <w:sz w:val="32"/>
                <w:szCs w:val="32"/>
              </w:rPr>
            </w:pPr>
            <w:bookmarkStart w:id="0" w:name="_Hlk193726740"/>
            <w:r w:rsidRPr="00CC18D5">
              <w:rPr>
                <w:color w:val="000000"/>
                <w:sz w:val="26"/>
                <w:szCs w:val="26"/>
                <w:rtl/>
              </w:rPr>
              <w:t>تقرير من وظيفة المراجعة الداخلية في وحدة الرقابة</w:t>
            </w:r>
            <w:bookmarkEnd w:id="0"/>
          </w:p>
        </w:tc>
      </w:tr>
      <w:tr w:rsidR="007B0AA0" w14:paraId="175D9DE6" w14:textId="77777777" w:rsidTr="007B0AA0">
        <w:tc>
          <w:tcPr>
            <w:tcW w:w="9629" w:type="dxa"/>
            <w:gridSpan w:val="2"/>
            <w:tcBorders>
              <w:top w:val="single" w:sz="4" w:space="0" w:color="auto"/>
              <w:bottom w:val="single" w:sz="4" w:space="0" w:color="auto"/>
            </w:tcBorders>
          </w:tcPr>
          <w:p w14:paraId="24E5A8F7" w14:textId="77777777" w:rsidR="007B0AA0" w:rsidRPr="007B0AA0" w:rsidRDefault="007B0AA0" w:rsidP="007B0AA0">
            <w:pPr>
              <w:rPr>
                <w:b/>
                <w:bCs/>
                <w:rtl/>
              </w:rPr>
            </w:pPr>
            <w:r w:rsidRPr="00494119">
              <w:rPr>
                <w:rFonts w:hint="cs"/>
                <w:b/>
                <w:bCs/>
                <w:rtl/>
              </w:rPr>
              <w:t>الغرض</w:t>
            </w:r>
          </w:p>
          <w:p w14:paraId="198FCCD9" w14:textId="5A3A5697" w:rsidR="007B0AA0" w:rsidRDefault="005067AD" w:rsidP="007B0AA0">
            <w:pPr>
              <w:rPr>
                <w:rtl/>
              </w:rPr>
            </w:pPr>
            <w:r w:rsidRPr="00C24F55">
              <w:rPr>
                <w:color w:val="000000"/>
                <w:rtl/>
              </w:rPr>
              <w:t>يشمل هذا التقرير أنشطة المراجعة الداخلية في الفترة من أبريل 2024 إلى مارس 2025.</w:t>
            </w:r>
          </w:p>
          <w:p w14:paraId="3CB24E64" w14:textId="77777777" w:rsidR="007B0AA0" w:rsidRPr="007B0AA0" w:rsidRDefault="007B0AA0" w:rsidP="007B0AA0">
            <w:pPr>
              <w:rPr>
                <w:b/>
                <w:bCs/>
                <w:rtl/>
              </w:rPr>
            </w:pPr>
            <w:r w:rsidRPr="007B0AA0">
              <w:rPr>
                <w:rFonts w:hint="cs"/>
                <w:b/>
                <w:bCs/>
                <w:rtl/>
              </w:rPr>
              <w:t>الإجراء المطلوب من المجلس</w:t>
            </w:r>
          </w:p>
          <w:p w14:paraId="1F761697" w14:textId="59BCD2EF" w:rsidR="007B0AA0" w:rsidRDefault="005067AD" w:rsidP="007B0AA0">
            <w:pPr>
              <w:rPr>
                <w:rtl/>
              </w:rPr>
            </w:pPr>
            <w:r w:rsidRPr="00C24F55">
              <w:rPr>
                <w:color w:val="000000"/>
                <w:rtl/>
              </w:rPr>
              <w:t>ي</w:t>
            </w:r>
            <w:r w:rsidR="000F4E38">
              <w:rPr>
                <w:rFonts w:hint="cs"/>
                <w:color w:val="000000"/>
                <w:rtl/>
              </w:rPr>
              <w:t>ُ</w:t>
            </w:r>
            <w:r w:rsidRPr="00C24F55">
              <w:rPr>
                <w:color w:val="000000"/>
                <w:rtl/>
              </w:rPr>
              <w:t xml:space="preserve">دعى المجلس إلى </w:t>
            </w:r>
            <w:r>
              <w:rPr>
                <w:b/>
                <w:bCs/>
                <w:color w:val="000000"/>
                <w:rtl/>
              </w:rPr>
              <w:t>الإحاطة</w:t>
            </w:r>
            <w:r w:rsidRPr="00CC18D5">
              <w:rPr>
                <w:b/>
                <w:bCs/>
                <w:color w:val="000000"/>
                <w:rtl/>
              </w:rPr>
              <w:t xml:space="preserve"> علماً</w:t>
            </w:r>
            <w:r w:rsidRPr="00C24F55">
              <w:rPr>
                <w:color w:val="000000"/>
                <w:rtl/>
              </w:rPr>
              <w:t xml:space="preserve"> بالتقرير.</w:t>
            </w:r>
          </w:p>
          <w:p w14:paraId="104D648B" w14:textId="77777777" w:rsidR="007B0AA0" w:rsidRPr="007B0AA0" w:rsidRDefault="00494119" w:rsidP="007B0AA0">
            <w:pPr>
              <w:rPr>
                <w:b/>
                <w:bCs/>
                <w:rtl/>
              </w:rPr>
            </w:pPr>
            <w:r>
              <w:rPr>
                <w:rFonts w:hint="cs"/>
                <w:b/>
                <w:bCs/>
                <w:rtl/>
                <w:lang w:bidi="ar-EG"/>
              </w:rPr>
              <w:t>الصلة</w:t>
            </w:r>
            <w:r w:rsidR="007B0AA0" w:rsidRPr="007B0AA0">
              <w:rPr>
                <w:b/>
                <w:bCs/>
                <w:rtl/>
              </w:rPr>
              <w:t xml:space="preserve"> بالخطة ال</w:t>
            </w:r>
            <w:r w:rsidR="007B0AA0" w:rsidRPr="007B0AA0">
              <w:rPr>
                <w:rFonts w:hint="cs"/>
                <w:b/>
                <w:bCs/>
                <w:rtl/>
              </w:rPr>
              <w:t>ا</w:t>
            </w:r>
            <w:r w:rsidR="007B0AA0" w:rsidRPr="007B0AA0">
              <w:rPr>
                <w:b/>
                <w:bCs/>
                <w:rtl/>
              </w:rPr>
              <w:t>ستراتيجية</w:t>
            </w:r>
          </w:p>
          <w:p w14:paraId="0416D921" w14:textId="0C8AB563" w:rsidR="007B0AA0" w:rsidRDefault="005067AD" w:rsidP="007B0AA0">
            <w:pPr>
              <w:rPr>
                <w:rtl/>
              </w:rPr>
            </w:pPr>
            <w:r w:rsidRPr="00C24F55">
              <w:rPr>
                <w:color w:val="000000"/>
                <w:rtl/>
              </w:rPr>
              <w:t>التميز في مجال الموارد البشرية والابتكار التنظيمي.</w:t>
            </w:r>
          </w:p>
          <w:p w14:paraId="7B94760A" w14:textId="77777777" w:rsidR="007B0AA0" w:rsidRDefault="007B0AA0" w:rsidP="00B97F32">
            <w:pPr>
              <w:rPr>
                <w:b/>
                <w:bCs/>
              </w:rPr>
            </w:pPr>
            <w:r w:rsidRPr="007B0AA0">
              <w:rPr>
                <w:rFonts w:hint="cs"/>
                <w:b/>
                <w:bCs/>
                <w:rtl/>
              </w:rPr>
              <w:t>الآثار المالية</w:t>
            </w:r>
          </w:p>
          <w:p w14:paraId="09816089" w14:textId="5029552E" w:rsidR="006F363C" w:rsidRPr="005546CF" w:rsidRDefault="005067AD" w:rsidP="007B0AA0">
            <w:pPr>
              <w:rPr>
                <w:rtl/>
              </w:rPr>
            </w:pPr>
            <w:r w:rsidRPr="00C24F55">
              <w:rPr>
                <w:color w:val="000000"/>
                <w:rtl/>
              </w:rPr>
              <w:t>ضمن الميزانية المخصصة لفترة السنتين 2024-2025.</w:t>
            </w:r>
          </w:p>
          <w:p w14:paraId="436127D5" w14:textId="77777777" w:rsidR="007B0AA0" w:rsidRPr="007B0AA0" w:rsidRDefault="007B0AA0" w:rsidP="007B0AA0">
            <w:pPr>
              <w:rPr>
                <w:rFonts w:ascii="Traditional Arabic" w:hAnsi="Traditional Arabic" w:cs="Traditional Arabic"/>
                <w:sz w:val="30"/>
                <w:szCs w:val="30"/>
                <w:rtl/>
              </w:rPr>
            </w:pPr>
            <w:r w:rsidRPr="007B0AA0">
              <w:rPr>
                <w:rFonts w:ascii="Traditional Arabic" w:hAnsi="Traditional Arabic" w:cs="Traditional Arabic"/>
                <w:sz w:val="30"/>
                <w:szCs w:val="30"/>
                <w:rtl/>
              </w:rPr>
              <w:t>___________</w:t>
            </w:r>
          </w:p>
          <w:p w14:paraId="0141FBD6" w14:textId="77777777" w:rsidR="007B0AA0" w:rsidRPr="007B0AA0" w:rsidRDefault="007B0AA0" w:rsidP="007B0AA0">
            <w:pPr>
              <w:rPr>
                <w:b/>
                <w:bCs/>
                <w:rtl/>
              </w:rPr>
            </w:pPr>
            <w:r w:rsidRPr="007B0AA0">
              <w:rPr>
                <w:rFonts w:hint="cs"/>
                <w:b/>
                <w:bCs/>
                <w:rtl/>
              </w:rPr>
              <w:t>المراجع</w:t>
            </w:r>
          </w:p>
          <w:p w14:paraId="5B66F1F8" w14:textId="31697022" w:rsidR="007B0AA0" w:rsidRPr="000F4E38" w:rsidRDefault="005067AD" w:rsidP="007B0AA0">
            <w:pPr>
              <w:rPr>
                <w:i/>
                <w:iCs/>
                <w:rtl/>
              </w:rPr>
            </w:pPr>
            <w:hyperlink r:id="rId8" w:history="1">
              <w:r w:rsidRPr="000F4E38">
                <w:rPr>
                  <w:rStyle w:val="Hyperlink"/>
                  <w:rFonts w:ascii="Dubai" w:eastAsiaTheme="minorEastAsia" w:hAnsi="Dubai" w:cs="Dubai"/>
                  <w:i/>
                  <w:iCs/>
                  <w:noProof w:val="0"/>
                  <w:sz w:val="22"/>
                  <w:rtl/>
                  <w:lang w:val="en-US" w:eastAsia="zh-CN"/>
                </w:rPr>
                <w:t>اللوائح المالية</w:t>
              </w:r>
              <w:r w:rsidR="00B2469E" w:rsidRPr="000F4E38">
                <w:rPr>
                  <w:rStyle w:val="Hyperlink"/>
                  <w:rFonts w:ascii="Dubai" w:eastAsiaTheme="minorEastAsia" w:hAnsi="Dubai" w:cs="Dubai" w:hint="cs"/>
                  <w:i/>
                  <w:iCs/>
                  <w:noProof w:val="0"/>
                  <w:sz w:val="22"/>
                  <w:rtl/>
                  <w:lang w:val="en-US" w:eastAsia="zh-CN"/>
                </w:rPr>
                <w:t xml:space="preserve"> </w:t>
              </w:r>
              <w:r w:rsidRPr="000F4E38">
                <w:rPr>
                  <w:rStyle w:val="Hyperlink"/>
                  <w:rFonts w:ascii="Dubai" w:eastAsiaTheme="minorEastAsia" w:hAnsi="Dubai" w:cs="Dubai"/>
                  <w:i/>
                  <w:iCs/>
                  <w:noProof w:val="0"/>
                  <w:sz w:val="22"/>
                  <w:rtl/>
                  <w:lang w:val="en-US" w:eastAsia="zh-CN"/>
                </w:rPr>
                <w:t xml:space="preserve">والقواعد المالية للاتحاد (2022)، المادة </w:t>
              </w:r>
              <w:r w:rsidRPr="000F4E38">
                <w:rPr>
                  <w:rStyle w:val="Hyperlink"/>
                  <w:rFonts w:ascii="Dubai" w:eastAsiaTheme="minorEastAsia" w:hAnsi="Dubai" w:cs="Dubai"/>
                  <w:i/>
                  <w:iCs/>
                  <w:noProof w:val="0"/>
                  <w:sz w:val="22"/>
                  <w:lang w:val="en-US" w:eastAsia="zh-CN"/>
                </w:rPr>
                <w:t>29</w:t>
              </w:r>
            </w:hyperlink>
          </w:p>
        </w:tc>
      </w:tr>
    </w:tbl>
    <w:p w14:paraId="7D7F4795" w14:textId="77777777" w:rsidR="00E61BE8" w:rsidRDefault="00E61BE8" w:rsidP="00E61BE8">
      <w:pPr>
        <w:rPr>
          <w:rtl/>
          <w:lang w:bidi="ar-EG"/>
        </w:rPr>
      </w:pPr>
    </w:p>
    <w:p w14:paraId="16EA26D4" w14:textId="77777777" w:rsidR="00F50E3F" w:rsidRDefault="00F50E3F" w:rsidP="0043260A">
      <w:pPr>
        <w:rPr>
          <w:rtl/>
          <w:lang w:bidi="ar-EG"/>
        </w:rPr>
      </w:pPr>
      <w:r>
        <w:rPr>
          <w:rtl/>
          <w:lang w:bidi="ar-EG"/>
        </w:rPr>
        <w:br w:type="page"/>
      </w:r>
    </w:p>
    <w:p w14:paraId="213EB4D1" w14:textId="77777777" w:rsidR="00245447" w:rsidRPr="000F4E38" w:rsidRDefault="00245447" w:rsidP="000F4E38">
      <w:pPr>
        <w:pStyle w:val="Headingb"/>
        <w:rPr>
          <w:lang w:bidi="ar-EG"/>
        </w:rPr>
      </w:pPr>
      <w:r w:rsidRPr="000F4E38">
        <w:rPr>
          <w:rtl/>
        </w:rPr>
        <w:lastRenderedPageBreak/>
        <w:t>مقدمة</w:t>
      </w:r>
    </w:p>
    <w:p w14:paraId="7DAB81AD" w14:textId="755FA164" w:rsidR="00245447" w:rsidRPr="00B2469E" w:rsidRDefault="00B2469E" w:rsidP="00B2469E">
      <w:pPr>
        <w:tabs>
          <w:tab w:val="clear" w:pos="794"/>
        </w:tabs>
        <w:adjustRightInd w:val="0"/>
        <w:snapToGrid w:val="0"/>
        <w:textDirection w:val="tbRlV"/>
        <w:rPr>
          <w:lang w:val="ar-SA" w:eastAsia="zh-TW" w:bidi="en-GB"/>
        </w:rPr>
      </w:pPr>
      <w:r w:rsidRPr="000F4E38">
        <w:t>1</w:t>
      </w:r>
      <w:r w:rsidRPr="000F4E38">
        <w:tab/>
      </w:r>
      <w:r w:rsidR="00245447" w:rsidRPr="000F4E38">
        <w:rPr>
          <w:rtl/>
        </w:rPr>
        <w:t>يُحال هذا التقرير إلى مجلس الاتحاد، وهو يمتثل لأحكام المادة 29 من اللوائح المالية والقواعد المالية للاتحاد</w:t>
      </w:r>
      <w:r w:rsidR="000F4E38">
        <w:rPr>
          <w:rFonts w:hint="cs"/>
          <w:rtl/>
        </w:rPr>
        <w:t> </w:t>
      </w:r>
      <w:r w:rsidR="00245447" w:rsidRPr="000F4E38">
        <w:rPr>
          <w:rtl/>
        </w:rPr>
        <w:t>(2022). ووفقاً لميثاق المراجعة الداخلية في الاتحاد،</w:t>
      </w:r>
      <w:r w:rsidR="00245447" w:rsidRPr="000F4E38">
        <w:rPr>
          <w:rStyle w:val="FootnoteReference"/>
          <w:rtl/>
        </w:rPr>
        <w:footnoteReference w:id="1"/>
      </w:r>
      <w:r w:rsidR="00245447" w:rsidRPr="000F4E38">
        <w:rPr>
          <w:rtl/>
        </w:rPr>
        <w:t xml:space="preserve"> يقدَّم هذا التقرير إلى الأمينة العامة ويُعرض على المجلس للنظر فيه. ويشمل هذا التقرير أنشطة المراجعة الداخلية في الفترة الممتدة من أبريل 2024 إلى مارس 2025.</w:t>
      </w:r>
    </w:p>
    <w:p w14:paraId="379ABC30" w14:textId="32524DC4" w:rsidR="00245447" w:rsidRPr="00C24F55" w:rsidRDefault="00B2469E" w:rsidP="00B2469E">
      <w:pPr>
        <w:pStyle w:val="ListParagraph"/>
        <w:tabs>
          <w:tab w:val="clear" w:pos="794"/>
        </w:tabs>
        <w:adjustRightInd w:val="0"/>
        <w:snapToGrid w:val="0"/>
        <w:spacing w:before="120"/>
        <w:ind w:left="0"/>
        <w:textDirection w:val="tbRlV"/>
        <w:rPr>
          <w:lang w:val="ar-SA" w:eastAsia="zh-TW" w:bidi="en-GB"/>
        </w:rPr>
      </w:pPr>
      <w:r>
        <w:t>2</w:t>
      </w:r>
      <w:r>
        <w:tab/>
      </w:r>
      <w:r w:rsidR="00245447" w:rsidRPr="00C24F55">
        <w:rPr>
          <w:rtl/>
        </w:rPr>
        <w:t xml:space="preserve">وعقب دورة المجلس </w:t>
      </w:r>
      <w:r w:rsidR="00245447">
        <w:rPr>
          <w:rtl/>
          <w:lang w:bidi="ar-EG"/>
        </w:rPr>
        <w:t>ل</w:t>
      </w:r>
      <w:r w:rsidR="00245447" w:rsidRPr="00C24F55">
        <w:rPr>
          <w:rtl/>
        </w:rPr>
        <w:t>عام 2023، أ</w:t>
      </w:r>
      <w:r>
        <w:rPr>
          <w:rFonts w:hint="cs"/>
          <w:rtl/>
        </w:rPr>
        <w:t>ٌ</w:t>
      </w:r>
      <w:r w:rsidR="00245447" w:rsidRPr="00C24F55">
        <w:rPr>
          <w:rtl/>
        </w:rPr>
        <w:t>نشئت وحدة الرقابة بموجب قرار إداري من الأمينة العامة بدأ سريانه في</w:t>
      </w:r>
      <w:r w:rsidR="008215F6">
        <w:rPr>
          <w:rFonts w:hint="cs"/>
          <w:rtl/>
        </w:rPr>
        <w:t> </w:t>
      </w:r>
      <w:r w:rsidR="00245447" w:rsidRPr="00C24F55">
        <w:rPr>
          <w:rtl/>
        </w:rPr>
        <w:t>1</w:t>
      </w:r>
      <w:r w:rsidR="000F4E38">
        <w:rPr>
          <w:rFonts w:hint="cs"/>
          <w:rtl/>
        </w:rPr>
        <w:t> </w:t>
      </w:r>
      <w:r w:rsidR="00245447" w:rsidRPr="00C24F55">
        <w:rPr>
          <w:rtl/>
        </w:rPr>
        <w:t>سبتمبر 2023. وتتألف وحدة الرقابة من ثلاث وظائف</w:t>
      </w:r>
      <w:r w:rsidR="00245447">
        <w:rPr>
          <w:rtl/>
        </w:rPr>
        <w:t xml:space="preserve"> هي</w:t>
      </w:r>
      <w:r w:rsidR="00245447" w:rsidRPr="00C24F55">
        <w:rPr>
          <w:rtl/>
        </w:rPr>
        <w:t xml:space="preserve">: المراجعة الداخلية والتحقيقات والتقييم. وفي الفترة التي يشملها التقرير، كانت وحدة الرقابة </w:t>
      </w:r>
      <w:r w:rsidR="000F4E38">
        <w:t>(OU)</w:t>
      </w:r>
      <w:r w:rsidR="000F4E38">
        <w:rPr>
          <w:rFonts w:hint="cs"/>
          <w:rtl/>
          <w:lang w:bidi="ar-EG"/>
        </w:rPr>
        <w:t xml:space="preserve"> </w:t>
      </w:r>
      <w:r w:rsidR="00245447">
        <w:rPr>
          <w:rtl/>
        </w:rPr>
        <w:t>تضم</w:t>
      </w:r>
      <w:r w:rsidR="00245447" w:rsidRPr="00C24F55">
        <w:rPr>
          <w:rtl/>
        </w:rPr>
        <w:t xml:space="preserve"> خمس مناصب وظيفية من الفئة الفنية والفئة الأعلى: رئيس وحدة الرقابة</w:t>
      </w:r>
      <w:r w:rsidR="008215F6">
        <w:rPr>
          <w:rFonts w:hint="cs"/>
          <w:rtl/>
        </w:rPr>
        <w:t> </w:t>
      </w:r>
      <w:r w:rsidR="000F4E38">
        <w:t>(D1)</w:t>
      </w:r>
      <w:r w:rsidR="00245447" w:rsidRPr="00C24F55">
        <w:rPr>
          <w:rtl/>
        </w:rPr>
        <w:t xml:space="preserve"> </w:t>
      </w:r>
      <w:r w:rsidR="00245447">
        <w:rPr>
          <w:rtl/>
        </w:rPr>
        <w:t>و</w:t>
      </w:r>
      <w:r w:rsidR="00245447" w:rsidRPr="00C24F55">
        <w:rPr>
          <w:rtl/>
        </w:rPr>
        <w:t>كبير</w:t>
      </w:r>
      <w:r w:rsidR="00245447">
        <w:rPr>
          <w:rtl/>
        </w:rPr>
        <w:t xml:space="preserve"> المراجعين الداخليين</w:t>
      </w:r>
      <w:r w:rsidR="00245447" w:rsidRPr="00C24F55">
        <w:rPr>
          <w:rtl/>
        </w:rPr>
        <w:t xml:space="preserve"> </w:t>
      </w:r>
      <w:r w:rsidR="000F4E38">
        <w:t>(P5)</w:t>
      </w:r>
      <w:r w:rsidR="00245447" w:rsidRPr="00C24F55">
        <w:rPr>
          <w:rtl/>
        </w:rPr>
        <w:t xml:space="preserve"> ومحقق/مراجع </w:t>
      </w:r>
      <w:r w:rsidR="000F4E38">
        <w:t>(P4)</w:t>
      </w:r>
      <w:r w:rsidR="00245447" w:rsidRPr="00C24F55">
        <w:rPr>
          <w:rtl/>
        </w:rPr>
        <w:t xml:space="preserve"> ومراجع داخلي </w:t>
      </w:r>
      <w:r w:rsidR="000F4E38">
        <w:t>(P3)</w:t>
      </w:r>
      <w:r w:rsidR="00245447" w:rsidRPr="00C24F55">
        <w:rPr>
          <w:rtl/>
        </w:rPr>
        <w:t xml:space="preserve"> ومراجع داخلي آخر </w:t>
      </w:r>
      <w:r w:rsidR="007D4CDC">
        <w:t>(P2)</w:t>
      </w:r>
      <w:r w:rsidR="00245447" w:rsidRPr="00C24F55">
        <w:rPr>
          <w:rtl/>
        </w:rPr>
        <w:t xml:space="preserve"> ويتولى أعمال المراجعة موظفون </w:t>
      </w:r>
      <w:r w:rsidR="00245447">
        <w:rPr>
          <w:rtl/>
        </w:rPr>
        <w:t>ب</w:t>
      </w:r>
      <w:r w:rsidR="00245447" w:rsidRPr="00C24F55">
        <w:rPr>
          <w:rtl/>
        </w:rPr>
        <w:t xml:space="preserve">رتبة </w:t>
      </w:r>
      <w:r w:rsidR="007D4CDC">
        <w:t>(P5)</w:t>
      </w:r>
      <w:r>
        <w:rPr>
          <w:rFonts w:hint="cs"/>
          <w:rtl/>
        </w:rPr>
        <w:t xml:space="preserve"> </w:t>
      </w:r>
      <w:r w:rsidR="00245447" w:rsidRPr="00C24F55">
        <w:rPr>
          <w:rtl/>
        </w:rPr>
        <w:t>و</w:t>
      </w:r>
      <w:r w:rsidR="007D4CDC">
        <w:t>(P3)</w:t>
      </w:r>
      <w:r w:rsidR="00245447" w:rsidRPr="00C24F55">
        <w:rPr>
          <w:rtl/>
        </w:rPr>
        <w:t xml:space="preserve"> و</w:t>
      </w:r>
      <w:r w:rsidR="007D4CDC">
        <w:t>(P2)</w:t>
      </w:r>
      <w:r w:rsidR="00245447">
        <w:rPr>
          <w:rtl/>
        </w:rPr>
        <w:t xml:space="preserve"> </w:t>
      </w:r>
      <w:r w:rsidR="00245447" w:rsidRPr="00C24F55">
        <w:rPr>
          <w:rtl/>
        </w:rPr>
        <w:t>تحت إشراف رئيس وحدة الرقابة.</w:t>
      </w:r>
    </w:p>
    <w:p w14:paraId="46325E78" w14:textId="0EFC1604" w:rsidR="00245447" w:rsidRPr="00B2469E" w:rsidRDefault="00B2469E" w:rsidP="00B2469E">
      <w:pPr>
        <w:tabs>
          <w:tab w:val="clear" w:pos="794"/>
        </w:tabs>
        <w:adjustRightInd w:val="0"/>
        <w:snapToGrid w:val="0"/>
        <w:textDirection w:val="tbRlV"/>
        <w:rPr>
          <w:lang w:val="ar-SA" w:eastAsia="zh-TW" w:bidi="en-GB"/>
        </w:rPr>
      </w:pPr>
      <w:r>
        <w:rPr>
          <w:rFonts w:hint="cs"/>
          <w:rtl/>
        </w:rPr>
        <w:t>3</w:t>
      </w:r>
      <w:r>
        <w:rPr>
          <w:rtl/>
        </w:rPr>
        <w:tab/>
      </w:r>
      <w:r w:rsidR="00245447" w:rsidRPr="00C24F55">
        <w:rPr>
          <w:rtl/>
        </w:rPr>
        <w:t>وتؤكد وحدة الرقابة أنها تجري مراجعاتها وفقا</w:t>
      </w:r>
      <w:r>
        <w:rPr>
          <w:rFonts w:hint="cs"/>
          <w:rtl/>
        </w:rPr>
        <w:t>ً</w:t>
      </w:r>
      <w:r w:rsidR="00245447" w:rsidRPr="00C24F55">
        <w:rPr>
          <w:rtl/>
        </w:rPr>
        <w:t xml:space="preserve"> للمعايير الدولية للممارسة المهنية للمراجعة الداخلية ومدونة الأخلاقيات التي وضعها معهد المراجعين الداخليين</w:t>
      </w:r>
      <w:r w:rsidR="00245447">
        <w:rPr>
          <w:rtl/>
        </w:rPr>
        <w:t xml:space="preserve"> (</w:t>
      </w:r>
      <w:r w:rsidR="00245447" w:rsidRPr="00C24F55">
        <w:t>(IIA</w:t>
      </w:r>
      <w:r w:rsidR="00245447" w:rsidRPr="00C24F55">
        <w:rPr>
          <w:rtl/>
        </w:rPr>
        <w:t>،</w:t>
      </w:r>
      <w:r w:rsidR="00245447" w:rsidRPr="007D4CDC">
        <w:rPr>
          <w:rStyle w:val="FootnoteReference"/>
          <w:rtl/>
        </w:rPr>
        <w:footnoteReference w:id="2"/>
      </w:r>
      <w:r w:rsidR="00245447" w:rsidRPr="00C24F55">
        <w:rPr>
          <w:rtl/>
        </w:rPr>
        <w:t xml:space="preserve"> وكذلك لأحكام ميثاق الرقابة الداخلية للاتحاد</w:t>
      </w:r>
      <w:r w:rsidR="00245447">
        <w:rPr>
          <w:rtl/>
        </w:rPr>
        <w:t xml:space="preserve">. </w:t>
      </w:r>
      <w:r w:rsidR="00245447" w:rsidRPr="00C24F55">
        <w:rPr>
          <w:rtl/>
        </w:rPr>
        <w:t>وبالإضافة إلى ذلك، تؤكد وحدة الرقابة، فيما يخص الفترة التي يشملها التقرير، أن موظفيها لم يكن لديهم أي سلطة</w:t>
      </w:r>
      <w:r>
        <w:rPr>
          <w:rFonts w:hint="cs"/>
          <w:rtl/>
        </w:rPr>
        <w:t>ٍ</w:t>
      </w:r>
      <w:r w:rsidR="00245447" w:rsidRPr="00C24F55">
        <w:rPr>
          <w:rtl/>
        </w:rPr>
        <w:t xml:space="preserve"> </w:t>
      </w:r>
      <w:r w:rsidR="00245447">
        <w:rPr>
          <w:rtl/>
        </w:rPr>
        <w:t>إدارية</w:t>
      </w:r>
      <w:r>
        <w:rPr>
          <w:rFonts w:hint="cs"/>
          <w:rtl/>
        </w:rPr>
        <w:t>ٍ</w:t>
      </w:r>
      <w:r w:rsidR="00245447" w:rsidRPr="00C24F55">
        <w:rPr>
          <w:rtl/>
        </w:rPr>
        <w:t xml:space="preserve"> على أي من الأنشطة التي جرت مراجعتها، أو أي مسؤولية عنها، وأنهم لم يضطلعوا بأي وظائف محاسبية أو تشغيلية داخل الاتحاد.</w:t>
      </w:r>
    </w:p>
    <w:p w14:paraId="155F040D" w14:textId="77777777" w:rsidR="00245447" w:rsidRPr="00CC18D5" w:rsidRDefault="00245447" w:rsidP="00B2469E">
      <w:pPr>
        <w:pStyle w:val="Headingb"/>
        <w:rPr>
          <w:lang w:val="ar-SA" w:eastAsia="zh-TW" w:bidi="en-GB"/>
        </w:rPr>
      </w:pPr>
      <w:r w:rsidRPr="00CC18D5">
        <w:rPr>
          <w:rtl/>
        </w:rPr>
        <w:t>توجُّه أنشطة المراجعة الداخلية ونطاقها</w:t>
      </w:r>
    </w:p>
    <w:p w14:paraId="792B341F" w14:textId="55CD8021" w:rsidR="00245447" w:rsidRPr="00B2469E" w:rsidRDefault="00B2469E" w:rsidP="009F2444">
      <w:pPr>
        <w:tabs>
          <w:tab w:val="clear" w:pos="794"/>
        </w:tabs>
        <w:adjustRightInd w:val="0"/>
        <w:snapToGrid w:val="0"/>
        <w:textDirection w:val="tbRlV"/>
        <w:rPr>
          <w:lang w:val="ar-SA" w:eastAsia="zh-TW" w:bidi="en-GB"/>
        </w:rPr>
      </w:pPr>
      <w:bookmarkStart w:id="1" w:name="_Hlk193184451"/>
      <w:r>
        <w:t>4</w:t>
      </w:r>
      <w:r>
        <w:tab/>
      </w:r>
      <w:r w:rsidR="00245447" w:rsidRPr="00C24F55">
        <w:rPr>
          <w:rtl/>
        </w:rPr>
        <w:t>تماشياً مع ميثاق المراجعة الداخلية، استعرضت اللجنة الاستشارية المستقلة للإدارة</w:t>
      </w:r>
      <w:r w:rsidR="00245447">
        <w:rPr>
          <w:rtl/>
        </w:rPr>
        <w:t xml:space="preserve"> (</w:t>
      </w:r>
      <w:r w:rsidR="00245447" w:rsidRPr="00C24F55">
        <w:t>IMAC</w:t>
      </w:r>
      <w:r w:rsidR="00245447">
        <w:rPr>
          <w:rtl/>
        </w:rPr>
        <w:t>)</w:t>
      </w:r>
      <w:r w:rsidR="00245447" w:rsidRPr="00C24F55">
        <w:rPr>
          <w:rtl/>
        </w:rPr>
        <w:t xml:space="preserve"> في اجتماعها السابع والثلاثين خطة المراجعة السنوية لعام 2024، ووافقت عليها الأمينة العامة في 11 يناير 2024.</w:t>
      </w:r>
      <w:bookmarkEnd w:id="1"/>
    </w:p>
    <w:p w14:paraId="097B7B75" w14:textId="560DCD6C" w:rsidR="00245447" w:rsidRPr="00B2469E" w:rsidRDefault="00B2469E" w:rsidP="00B2469E">
      <w:pPr>
        <w:pStyle w:val="Defau"/>
        <w:rPr>
          <w:lang w:val="ar-SA" w:eastAsia="zh-TW" w:bidi="en-GB"/>
        </w:rPr>
      </w:pPr>
      <w:r>
        <w:t>5</w:t>
      </w:r>
      <w:r>
        <w:tab/>
      </w:r>
      <w:r w:rsidR="00245447" w:rsidRPr="00B2469E">
        <w:rPr>
          <w:rtl/>
        </w:rPr>
        <w:t xml:space="preserve">وتقدِّم وحدة الرقابة بانتظام نسخاً من تقارير المراجعة الداخلية إلى المراجع الخارجي للاتحاد وإلى اللجنة الاستشارية المستقلة للإدارة. ووفقاً للبند 5 من المادة 29 من اللوائح المالية والقواعد المالية للاتحاد (2022)، تُتاح التقارير النهائية عن المراجعة الداخلية للدول الأعضاء أو لمن تعيّنه من ممثلين. وقد وضعت آلية ميسَّرة منذ أكتوبر 2015 للنفاذ إلى تقارير المراجعة الداخلية. وخلال الفترة التي يشملها التقرير، لم ترد أي طلبات للاطلاع على تقارير المراجعة الداخلية عبر </w:t>
      </w:r>
      <w:hyperlink r:id="rId9" w:history="1">
        <w:r w:rsidR="00245447" w:rsidRPr="00B2469E">
          <w:rPr>
            <w:rStyle w:val="Hyperlink"/>
            <w:rFonts w:ascii="Dubai" w:hAnsi="Dubai" w:cs="Dubai"/>
            <w:rtl/>
          </w:rPr>
          <w:t>الآلية المتاحة على الإنترنت</w:t>
        </w:r>
      </w:hyperlink>
      <w:r w:rsidR="00245447" w:rsidRPr="00B2469E">
        <w:rPr>
          <w:rtl/>
        </w:rPr>
        <w:t>.</w:t>
      </w:r>
    </w:p>
    <w:p w14:paraId="613BE416" w14:textId="77777777" w:rsidR="00245447" w:rsidRPr="00CC18D5" w:rsidRDefault="00245447" w:rsidP="00B2469E">
      <w:pPr>
        <w:pStyle w:val="Headingb"/>
        <w:rPr>
          <w:lang w:val="ar-SA" w:eastAsia="zh-TW" w:bidi="en-GB"/>
        </w:rPr>
      </w:pPr>
      <w:r w:rsidRPr="00CC18D5">
        <w:rPr>
          <w:rtl/>
        </w:rPr>
        <w:t xml:space="preserve">أهداف التزامات </w:t>
      </w:r>
      <w:r>
        <w:rPr>
          <w:rtl/>
        </w:rPr>
        <w:t>ال</w:t>
      </w:r>
      <w:r w:rsidRPr="00CC18D5">
        <w:rPr>
          <w:rtl/>
        </w:rPr>
        <w:t>تأكيد واستنتاجاتها</w:t>
      </w:r>
    </w:p>
    <w:p w14:paraId="51A9FCC1" w14:textId="46F883C1" w:rsidR="00245447" w:rsidRPr="00C24F55" w:rsidRDefault="00B2469E" w:rsidP="00B2469E">
      <w:pPr>
        <w:rPr>
          <w:lang w:val="ar-SA" w:eastAsia="zh-TW" w:bidi="en-GB"/>
        </w:rPr>
      </w:pPr>
      <w:r>
        <w:t>6</w:t>
      </w:r>
      <w:r>
        <w:tab/>
      </w:r>
      <w:r w:rsidR="00245447" w:rsidRPr="00C24F55">
        <w:rPr>
          <w:rtl/>
        </w:rPr>
        <w:t xml:space="preserve">تتمثل أهداف التزامات </w:t>
      </w:r>
      <w:r w:rsidR="00245447">
        <w:rPr>
          <w:rtl/>
        </w:rPr>
        <w:t>ال</w:t>
      </w:r>
      <w:r w:rsidR="00245447" w:rsidRPr="00C24F55">
        <w:rPr>
          <w:rtl/>
        </w:rPr>
        <w:t>تأكيد في تقييم ما يلي: ’1‘</w:t>
      </w:r>
      <w:r w:rsidR="009B3F50">
        <w:rPr>
          <w:rFonts w:hint="cs"/>
          <w:rtl/>
          <w:lang w:bidi="ar-EG"/>
        </w:rPr>
        <w:t xml:space="preserve"> </w:t>
      </w:r>
      <w:r w:rsidR="00245447" w:rsidRPr="00C24F55">
        <w:rPr>
          <w:rtl/>
        </w:rPr>
        <w:t xml:space="preserve">جوانب إدارة عمليات الاتحاد التي جرت مراجعتها؛ </w:t>
      </w:r>
      <w:r w:rsidR="00245447" w:rsidRPr="00C24F55">
        <w:t>’</w:t>
      </w:r>
      <w:r w:rsidR="00245447" w:rsidRPr="00C24F55">
        <w:rPr>
          <w:rtl/>
        </w:rPr>
        <w:t xml:space="preserve">2‘ ممارسات إدارة المخاطر؛ </w:t>
      </w:r>
      <w:r w:rsidR="00245447" w:rsidRPr="00C24F55">
        <w:t>’</w:t>
      </w:r>
      <w:r w:rsidR="00245447" w:rsidRPr="00C24F55">
        <w:rPr>
          <w:rtl/>
        </w:rPr>
        <w:t xml:space="preserve">3‘ فعالية الضوابط (الداخلية). وتصنَّف التوصيات الناتجة عن أعمال المراجعة </w:t>
      </w:r>
      <w:r w:rsidR="00245447">
        <w:rPr>
          <w:rtl/>
        </w:rPr>
        <w:t>وفق</w:t>
      </w:r>
      <w:r w:rsidR="00245447" w:rsidRPr="00C24F55">
        <w:rPr>
          <w:rtl/>
        </w:rPr>
        <w:t xml:space="preserve"> أولوي</w:t>
      </w:r>
      <w:r w:rsidR="00245447">
        <w:rPr>
          <w:rtl/>
        </w:rPr>
        <w:t>تها</w:t>
      </w:r>
      <w:r w:rsidR="00245447" w:rsidRPr="00C24F55">
        <w:rPr>
          <w:rtl/>
        </w:rPr>
        <w:t xml:space="preserve"> بحسب </w:t>
      </w:r>
      <w:r w:rsidR="00245447">
        <w:rPr>
          <w:rtl/>
        </w:rPr>
        <w:t>مغبَّة</w:t>
      </w:r>
      <w:r w:rsidR="00245447" w:rsidRPr="00C24F55">
        <w:rPr>
          <w:rtl/>
        </w:rPr>
        <w:t xml:space="preserve"> القصور </w:t>
      </w:r>
      <w:r w:rsidR="00245447">
        <w:rPr>
          <w:rtl/>
        </w:rPr>
        <w:t>وأرجحية</w:t>
      </w:r>
      <w:r w:rsidR="00245447" w:rsidRPr="00C24F55">
        <w:rPr>
          <w:rtl/>
        </w:rPr>
        <w:t xml:space="preserve"> وقوعه (</w:t>
      </w:r>
      <w:r w:rsidR="00245447">
        <w:rPr>
          <w:rtl/>
        </w:rPr>
        <w:t>أولوية عالية</w:t>
      </w:r>
      <w:r w:rsidR="00245447" w:rsidRPr="00C24F55">
        <w:rPr>
          <w:rtl/>
        </w:rPr>
        <w:t xml:space="preserve">، </w:t>
      </w:r>
      <w:r w:rsidR="00245447">
        <w:rPr>
          <w:rtl/>
        </w:rPr>
        <w:t xml:space="preserve">أولوية </w:t>
      </w:r>
      <w:r w:rsidR="00245447" w:rsidRPr="00C24F55">
        <w:rPr>
          <w:rtl/>
        </w:rPr>
        <w:t>متوسط</w:t>
      </w:r>
      <w:r w:rsidR="00245447">
        <w:rPr>
          <w:rtl/>
        </w:rPr>
        <w:t>ة</w:t>
      </w:r>
      <w:r w:rsidR="00245447" w:rsidRPr="00C24F55">
        <w:rPr>
          <w:rtl/>
        </w:rPr>
        <w:t xml:space="preserve">، </w:t>
      </w:r>
      <w:r w:rsidR="00245447">
        <w:rPr>
          <w:rtl/>
        </w:rPr>
        <w:t xml:space="preserve">أولوية </w:t>
      </w:r>
      <w:r w:rsidR="00245447" w:rsidRPr="00C24F55">
        <w:rPr>
          <w:rtl/>
        </w:rPr>
        <w:t>منخفض</w:t>
      </w:r>
      <w:r w:rsidR="00245447">
        <w:rPr>
          <w:rtl/>
        </w:rPr>
        <w:t>ة</w:t>
      </w:r>
      <w:r w:rsidR="00245447" w:rsidRPr="00C24F55">
        <w:rPr>
          <w:rtl/>
        </w:rPr>
        <w:t>).</w:t>
      </w:r>
    </w:p>
    <w:p w14:paraId="01524D03" w14:textId="196B85A5" w:rsidR="00245447" w:rsidRPr="009B3F50" w:rsidRDefault="009F2444" w:rsidP="009F2444">
      <w:pPr>
        <w:rPr>
          <w:spacing w:val="-2"/>
          <w:lang w:val="ar-SA" w:eastAsia="zh-TW" w:bidi="en-GB"/>
        </w:rPr>
      </w:pPr>
      <w:r w:rsidRPr="009B3F50">
        <w:rPr>
          <w:spacing w:val="-2"/>
        </w:rPr>
        <w:t>7</w:t>
      </w:r>
      <w:r w:rsidRPr="009B3F50">
        <w:rPr>
          <w:spacing w:val="-2"/>
        </w:rPr>
        <w:tab/>
      </w:r>
      <w:r w:rsidR="00245447" w:rsidRPr="009B3F50">
        <w:rPr>
          <w:spacing w:val="-2"/>
          <w:rtl/>
        </w:rPr>
        <w:t xml:space="preserve">وتُتابع وحدة الرقابة تنفيذ الإجراءات </w:t>
      </w:r>
      <w:r w:rsidRPr="009B3F50">
        <w:rPr>
          <w:rFonts w:hint="cs"/>
          <w:spacing w:val="-2"/>
          <w:rtl/>
        </w:rPr>
        <w:t>الموص</w:t>
      </w:r>
      <w:r w:rsidR="00245447" w:rsidRPr="009B3F50">
        <w:rPr>
          <w:spacing w:val="-2"/>
          <w:rtl/>
        </w:rPr>
        <w:t xml:space="preserve"> بها حيثما اقتضى الأمر ذلك. ومنذ أوائل عام 2021، أصبحت لوحة معلومات الامتثال متاحة على مستوى الاتحاد لهذا الغرض. وتُيسِّر لوحةُ المعلومات على المديرين المعنيين تتبّع تنفيذ التوصيات، لكنها لا تُعفي وحدة الرقابة من مسؤوليتها عن متابعة تنفيذ التوصيات التي سبق أن تقدمت بها، وفقاً للمعيار العالمي للمراجعة الداخلية 15.2 المعتمد لدى معهد المراجعين الداخليين </w:t>
      </w:r>
      <w:r w:rsidRPr="009B3F50">
        <w:rPr>
          <w:spacing w:val="-2"/>
        </w:rPr>
        <w:t>(</w:t>
      </w:r>
      <w:r w:rsidR="00245447" w:rsidRPr="009B3F50">
        <w:rPr>
          <w:spacing w:val="-2"/>
        </w:rPr>
        <w:t>IIA</w:t>
      </w:r>
      <w:r w:rsidRPr="009B3F50">
        <w:rPr>
          <w:spacing w:val="-2"/>
        </w:rPr>
        <w:t>)</w:t>
      </w:r>
      <w:r w:rsidR="00245447" w:rsidRPr="009B3F50">
        <w:rPr>
          <w:spacing w:val="-2"/>
          <w:rtl/>
        </w:rPr>
        <w:t>.</w:t>
      </w:r>
      <w:r w:rsidR="008215F6" w:rsidRPr="009B3F50">
        <w:rPr>
          <w:rStyle w:val="FootnoteReference"/>
          <w:spacing w:val="-2"/>
          <w:rtl/>
        </w:rPr>
        <w:footnoteReference w:id="3"/>
      </w:r>
      <w:r w:rsidR="00245447" w:rsidRPr="009B3F50">
        <w:rPr>
          <w:spacing w:val="-2"/>
          <w:rtl/>
        </w:rPr>
        <w:t xml:space="preserve"> وتُقدَّم وثيقة إعلامية منفصلة </w:t>
      </w:r>
      <w:r w:rsidR="008215F6">
        <w:rPr>
          <w:rFonts w:hint="cs"/>
          <w:spacing w:val="-2"/>
          <w:rtl/>
        </w:rPr>
        <w:t xml:space="preserve">(وثيقة المعلومات </w:t>
      </w:r>
      <w:hyperlink r:id="rId10" w:history="1">
        <w:r w:rsidR="00245447" w:rsidRPr="009B3F50">
          <w:rPr>
            <w:rStyle w:val="Hyperlink"/>
            <w:rFonts w:ascii="Dubai" w:eastAsiaTheme="minorEastAsia" w:hAnsi="Dubai" w:cs="Dubai"/>
            <w:noProof w:val="0"/>
            <w:spacing w:val="-2"/>
            <w:sz w:val="22"/>
          </w:rPr>
          <w:t>C25/INF/1</w:t>
        </w:r>
      </w:hyperlink>
      <w:r w:rsidR="008215F6">
        <w:rPr>
          <w:rFonts w:hint="cs"/>
          <w:spacing w:val="-2"/>
          <w:rtl/>
        </w:rPr>
        <w:t>)</w:t>
      </w:r>
      <w:r w:rsidR="00245447" w:rsidRPr="009B3F50">
        <w:rPr>
          <w:spacing w:val="-2"/>
          <w:rtl/>
        </w:rPr>
        <w:t xml:space="preserve"> إلى دورة المجلس لعام 2025 لتبيان أنشطة متابعة توصيات المراجعة الداخلية وتوصيات المراجعة</w:t>
      </w:r>
      <w:r w:rsidR="009B3F50" w:rsidRPr="009B3F50">
        <w:rPr>
          <w:rFonts w:hint="cs"/>
          <w:spacing w:val="-2"/>
          <w:rtl/>
        </w:rPr>
        <w:t> </w:t>
      </w:r>
      <w:r w:rsidR="00245447" w:rsidRPr="009B3F50">
        <w:rPr>
          <w:spacing w:val="-2"/>
          <w:rtl/>
        </w:rPr>
        <w:t>الجنائية.</w:t>
      </w:r>
    </w:p>
    <w:p w14:paraId="4D6117D9" w14:textId="77777777" w:rsidR="00245447" w:rsidRPr="00C24F55" w:rsidRDefault="00245447" w:rsidP="008215F6">
      <w:pPr>
        <w:keepNext/>
        <w:snapToGrid w:val="0"/>
        <w:spacing w:before="240"/>
        <w:textDirection w:val="tbRlV"/>
        <w:rPr>
          <w:i/>
          <w:iCs/>
          <w:lang w:val="ar-SA" w:eastAsia="zh-TW" w:bidi="en-GB"/>
        </w:rPr>
      </w:pPr>
      <w:r w:rsidRPr="00C24F55">
        <w:rPr>
          <w:i/>
          <w:iCs/>
          <w:rtl/>
        </w:rPr>
        <w:t xml:space="preserve">وقد نُفِّذ ما يلي من التزامات </w:t>
      </w:r>
      <w:r>
        <w:rPr>
          <w:i/>
          <w:iCs/>
          <w:rtl/>
        </w:rPr>
        <w:t>ال</w:t>
      </w:r>
      <w:r w:rsidRPr="00C24F55">
        <w:rPr>
          <w:i/>
          <w:iCs/>
          <w:rtl/>
        </w:rPr>
        <w:t>تأكيد وانتهى العمل فيها:</w:t>
      </w:r>
    </w:p>
    <w:p w14:paraId="20DCBCAC" w14:textId="45FED7DA" w:rsidR="00245447" w:rsidRPr="00F55D3F" w:rsidRDefault="00245447" w:rsidP="00F55D3F">
      <w:pPr>
        <w:pStyle w:val="Headingi"/>
        <w:rPr>
          <w:b/>
          <w:bCs/>
          <w:lang w:val="ar-SA" w:eastAsia="zh-TW" w:bidi="en-GB"/>
        </w:rPr>
      </w:pPr>
      <w:r w:rsidRPr="00F55D3F">
        <w:rPr>
          <w:b/>
          <w:bCs/>
          <w:rtl/>
        </w:rPr>
        <w:t>ألف</w:t>
      </w:r>
      <w:r w:rsidRPr="00F55D3F">
        <w:rPr>
          <w:b/>
          <w:bCs/>
          <w:rtl/>
        </w:rPr>
        <w:tab/>
        <w:t>تقييم وحدة إدارة المنح</w:t>
      </w:r>
    </w:p>
    <w:p w14:paraId="4F3ED372" w14:textId="5D514BD4" w:rsidR="00245447" w:rsidRPr="00C24F55" w:rsidRDefault="009B3F50" w:rsidP="009F2444">
      <w:pPr>
        <w:rPr>
          <w:rFonts w:eastAsia="SimSun"/>
          <w:lang w:val="ar-SA" w:eastAsia="zh-TW" w:bidi="en-GB"/>
        </w:rPr>
      </w:pPr>
      <w:r>
        <w:t>8</w:t>
      </w:r>
      <w:r w:rsidR="009F2444">
        <w:tab/>
      </w:r>
      <w:r>
        <w:rPr>
          <w:rFonts w:hint="cs"/>
          <w:rtl/>
          <w:lang w:bidi="ar-EG"/>
        </w:rPr>
        <w:t>أ</w:t>
      </w:r>
      <w:r w:rsidR="00245447" w:rsidRPr="00C24F55">
        <w:rPr>
          <w:rtl/>
        </w:rPr>
        <w:t xml:space="preserve">جرت وحدة الرقابة، بدعم من مقدم خدمات خارجي، تقييماً لإمكانية تطبيق </w:t>
      </w:r>
      <w:r w:rsidR="00245447">
        <w:rPr>
          <w:rtl/>
        </w:rPr>
        <w:t>البرمجية</w:t>
      </w:r>
      <w:r w:rsidR="00245447" w:rsidRPr="00C24F55">
        <w:rPr>
          <w:rtl/>
        </w:rPr>
        <w:t xml:space="preserve"> </w:t>
      </w:r>
      <w:r w:rsidR="00245447">
        <w:rPr>
          <w:lang w:val="en-GB"/>
        </w:rPr>
        <w:t>SAP</w:t>
      </w:r>
      <w:r w:rsidR="00245447">
        <w:rPr>
          <w:rtl/>
        </w:rPr>
        <w:t>/</w:t>
      </w:r>
      <w:r w:rsidR="00245447" w:rsidRPr="00C24F55">
        <w:rPr>
          <w:rtl/>
        </w:rPr>
        <w:t>وحدة إدارة المنح</w:t>
      </w:r>
      <w:r w:rsidR="00725581">
        <w:rPr>
          <w:rFonts w:hint="cs"/>
          <w:rtl/>
        </w:rPr>
        <w:t> </w:t>
      </w:r>
      <w:r w:rsidR="00245447" w:rsidRPr="00C24F55">
        <w:rPr>
          <w:rtl/>
        </w:rPr>
        <w:t>(</w:t>
      </w:r>
      <w:r w:rsidR="00245447" w:rsidRPr="00C24F55">
        <w:t>GMM</w:t>
      </w:r>
      <w:r w:rsidR="00245447" w:rsidRPr="00C24F55">
        <w:rPr>
          <w:rtl/>
        </w:rPr>
        <w:t>). وتمثلت الأهداف في تحليل التشكيل</w:t>
      </w:r>
      <w:r w:rsidR="00245447">
        <w:rPr>
          <w:rtl/>
        </w:rPr>
        <w:t>ة</w:t>
      </w:r>
      <w:r w:rsidR="00245447" w:rsidRPr="00C24F55">
        <w:rPr>
          <w:rtl/>
        </w:rPr>
        <w:t xml:space="preserve"> الحالي</w:t>
      </w:r>
      <w:r w:rsidR="00245447">
        <w:rPr>
          <w:rtl/>
        </w:rPr>
        <w:t>ة</w:t>
      </w:r>
      <w:r w:rsidR="00245447" w:rsidRPr="00C24F55">
        <w:rPr>
          <w:rtl/>
        </w:rPr>
        <w:t xml:space="preserve"> </w:t>
      </w:r>
      <w:r w:rsidR="00245447">
        <w:rPr>
          <w:rtl/>
        </w:rPr>
        <w:t>للبرمجية</w:t>
      </w:r>
      <w:r w:rsidR="00245447" w:rsidRPr="00C24F55">
        <w:rPr>
          <w:rtl/>
        </w:rPr>
        <w:t xml:space="preserve"> </w:t>
      </w:r>
      <w:r w:rsidR="00245447" w:rsidRPr="00C24F55">
        <w:t>SAP-ERP</w:t>
      </w:r>
      <w:r w:rsidR="00245447" w:rsidRPr="00C24F55">
        <w:rPr>
          <w:rtl/>
        </w:rPr>
        <w:t xml:space="preserve"> وإدماجه</w:t>
      </w:r>
      <w:r w:rsidR="00245447">
        <w:rPr>
          <w:rtl/>
        </w:rPr>
        <w:t>ا</w:t>
      </w:r>
      <w:r w:rsidR="00245447" w:rsidRPr="00C24F55">
        <w:rPr>
          <w:rtl/>
        </w:rPr>
        <w:t xml:space="preserve"> </w:t>
      </w:r>
      <w:r w:rsidR="00245447">
        <w:rPr>
          <w:rtl/>
        </w:rPr>
        <w:t>فيما يتعلق ب</w:t>
      </w:r>
      <w:r w:rsidR="00245447" w:rsidRPr="00C24F55">
        <w:rPr>
          <w:rtl/>
        </w:rPr>
        <w:t xml:space="preserve">إدارة المنح </w:t>
      </w:r>
      <w:r w:rsidR="00245447" w:rsidRPr="00C24F55">
        <w:rPr>
          <w:rtl/>
        </w:rPr>
        <w:lastRenderedPageBreak/>
        <w:t xml:space="preserve">(المشاريع والبرامج الممولة من خارج الميزانية)، وتقييم درجة كفاءة وموثوقية وفعالية الأساليب الحالية المستخدمة </w:t>
      </w:r>
      <w:r w:rsidR="00245447">
        <w:rPr>
          <w:rtl/>
        </w:rPr>
        <w:t>في</w:t>
      </w:r>
      <w:r w:rsidR="00245447" w:rsidRPr="00C24F55">
        <w:rPr>
          <w:rtl/>
        </w:rPr>
        <w:t xml:space="preserve"> إدارة المنح (التمويل من خارج الميزانية) وتقييم القيمة المضافة المتصلة بتنفيذ وحدة </w:t>
      </w:r>
      <w:r w:rsidR="00245447">
        <w:rPr>
          <w:rtl/>
        </w:rPr>
        <w:t>ل</w:t>
      </w:r>
      <w:r w:rsidR="00245447" w:rsidRPr="00C24F55">
        <w:rPr>
          <w:rtl/>
        </w:rPr>
        <w:t xml:space="preserve">إدارة المنح </w:t>
      </w:r>
      <w:r w:rsidR="00245447">
        <w:rPr>
          <w:rtl/>
        </w:rPr>
        <w:t>ضمن البرمجية</w:t>
      </w:r>
      <w:r w:rsidR="00725581">
        <w:rPr>
          <w:rFonts w:hint="eastAsia"/>
          <w:rtl/>
        </w:rPr>
        <w:t> </w:t>
      </w:r>
      <w:r w:rsidR="00245447">
        <w:rPr>
          <w:lang w:val="en-GB"/>
        </w:rPr>
        <w:t>S</w:t>
      </w:r>
      <w:r w:rsidR="00245447" w:rsidRPr="00C24F55">
        <w:t>AP</w:t>
      </w:r>
      <w:r w:rsidR="00245447">
        <w:rPr>
          <w:rtl/>
        </w:rPr>
        <w:t xml:space="preserve"> (</w:t>
      </w:r>
      <w:r w:rsidR="00245447" w:rsidRPr="00C24F55">
        <w:rPr>
          <w:rtl/>
        </w:rPr>
        <w:t xml:space="preserve">إدارة </w:t>
      </w:r>
      <w:r w:rsidR="00245447">
        <w:rPr>
          <w:rtl/>
        </w:rPr>
        <w:t>المستفيد من المنحة</w:t>
      </w:r>
      <w:r w:rsidR="00245447" w:rsidRPr="00C24F55">
        <w:rPr>
          <w:rtl/>
        </w:rPr>
        <w:t xml:space="preserve"> (</w:t>
      </w:r>
      <w:r w:rsidR="00245447" w:rsidRPr="00C24F55">
        <w:t>GM-GTE</w:t>
      </w:r>
      <w:r w:rsidR="00245447" w:rsidRPr="00C24F55">
        <w:rPr>
          <w:rtl/>
        </w:rPr>
        <w:t>)).</w:t>
      </w:r>
    </w:p>
    <w:p w14:paraId="3842A8C3" w14:textId="7CF5062F" w:rsidR="00245447" w:rsidRPr="00C24F55" w:rsidRDefault="009F2444" w:rsidP="009F2444">
      <w:pPr>
        <w:rPr>
          <w:rFonts w:eastAsia="SimSun"/>
          <w:lang w:val="ar-SA" w:eastAsia="zh-TW" w:bidi="en-GB"/>
        </w:rPr>
      </w:pPr>
      <w:r>
        <w:rPr>
          <w:rFonts w:hint="cs"/>
          <w:rtl/>
        </w:rPr>
        <w:t>9</w:t>
      </w:r>
      <w:r>
        <w:rPr>
          <w:rtl/>
        </w:rPr>
        <w:tab/>
      </w:r>
      <w:r w:rsidR="00245447" w:rsidRPr="00C24F55">
        <w:rPr>
          <w:rtl/>
        </w:rPr>
        <w:t xml:space="preserve">وخلص التقييم إلى أن </w:t>
      </w:r>
      <w:r w:rsidR="00245447">
        <w:rPr>
          <w:rtl/>
        </w:rPr>
        <w:t>الرابط</w:t>
      </w:r>
      <w:r w:rsidR="00245447" w:rsidRPr="00C24F55">
        <w:rPr>
          <w:rtl/>
        </w:rPr>
        <w:t xml:space="preserve"> بين </w:t>
      </w:r>
      <w:r w:rsidR="00245447">
        <w:rPr>
          <w:rtl/>
        </w:rPr>
        <w:t>البرمجية</w:t>
      </w:r>
      <w:r w:rsidR="00245447" w:rsidRPr="00C24F55">
        <w:rPr>
          <w:rtl/>
        </w:rPr>
        <w:t xml:space="preserve"> </w:t>
      </w:r>
      <w:r w:rsidR="00245447" w:rsidRPr="00C24F55">
        <w:t>SAP</w:t>
      </w:r>
      <w:r w:rsidR="00245447" w:rsidRPr="00C24F55">
        <w:rPr>
          <w:rtl/>
        </w:rPr>
        <w:t xml:space="preserve"> والوحدة </w:t>
      </w:r>
      <w:r w:rsidR="00245447" w:rsidRPr="00C24F55">
        <w:t>GMM</w:t>
      </w:r>
      <w:r w:rsidR="00245447" w:rsidRPr="00C24F55">
        <w:rPr>
          <w:rtl/>
        </w:rPr>
        <w:t xml:space="preserve">، بتصميمه الحالي، كاف لتلبية احتياجات الإبلاغ عن التمويل من خارج الميزانية. </w:t>
      </w:r>
      <w:r w:rsidR="00245447">
        <w:rPr>
          <w:rtl/>
        </w:rPr>
        <w:t>ولكن</w:t>
      </w:r>
      <w:r w:rsidR="00245447" w:rsidRPr="00C24F55">
        <w:rPr>
          <w:rtl/>
        </w:rPr>
        <w:t xml:space="preserve"> لم </w:t>
      </w:r>
      <w:r w:rsidR="00245447">
        <w:rPr>
          <w:rtl/>
        </w:rPr>
        <w:t xml:space="preserve">تُشرَح وتُوضَح </w:t>
      </w:r>
      <w:r w:rsidR="00245447" w:rsidRPr="00C24F55">
        <w:rPr>
          <w:rtl/>
        </w:rPr>
        <w:t xml:space="preserve">قدرة النظام ولم يقدَّم التدريب إلى المستخدمين مما أدى إلى معالجات إضافية لا لزوم لها. وهذه المشكلة التي اكتُشفت </w:t>
      </w:r>
      <w:r w:rsidR="00245447">
        <w:rPr>
          <w:rtl/>
        </w:rPr>
        <w:t xml:space="preserve">ليست </w:t>
      </w:r>
      <w:r w:rsidR="00245447" w:rsidRPr="00C24F55">
        <w:rPr>
          <w:rtl/>
        </w:rPr>
        <w:t xml:space="preserve">مشكلة في </w:t>
      </w:r>
      <w:r w:rsidR="00245447">
        <w:rPr>
          <w:rtl/>
        </w:rPr>
        <w:t>النظام</w:t>
      </w:r>
      <w:r w:rsidR="00245447" w:rsidRPr="00C24F55">
        <w:rPr>
          <w:rtl/>
        </w:rPr>
        <w:t xml:space="preserve"> وإنما مشكلة في </w:t>
      </w:r>
      <w:r w:rsidR="00245447">
        <w:rPr>
          <w:rtl/>
        </w:rPr>
        <w:t>الإجراء</w:t>
      </w:r>
      <w:r w:rsidR="00245447" w:rsidRPr="00C24F55">
        <w:rPr>
          <w:rtl/>
        </w:rPr>
        <w:t>. وت</w:t>
      </w:r>
      <w:r w:rsidR="00245447">
        <w:rPr>
          <w:rtl/>
        </w:rPr>
        <w:t>َ</w:t>
      </w:r>
      <w:r w:rsidR="00245447" w:rsidRPr="00C24F55">
        <w:rPr>
          <w:rtl/>
        </w:rPr>
        <w:t>بي</w:t>
      </w:r>
      <w:r w:rsidR="00245447">
        <w:rPr>
          <w:rtl/>
        </w:rPr>
        <w:t>َّ</w:t>
      </w:r>
      <w:r w:rsidR="00245447" w:rsidRPr="00C24F55">
        <w:rPr>
          <w:rtl/>
        </w:rPr>
        <w:t>ن أيضا</w:t>
      </w:r>
      <w:r w:rsidR="00725581">
        <w:rPr>
          <w:rFonts w:hint="cs"/>
          <w:rtl/>
        </w:rPr>
        <w:t>ً</w:t>
      </w:r>
      <w:r w:rsidR="00245447" w:rsidRPr="00C24F55">
        <w:rPr>
          <w:rtl/>
        </w:rPr>
        <w:t xml:space="preserve"> أن عمليات إدارة المنح الحالية غير موث</w:t>
      </w:r>
      <w:r w:rsidR="00245447">
        <w:rPr>
          <w:rtl/>
        </w:rPr>
        <w:t>ّ</w:t>
      </w:r>
      <w:r w:rsidR="00245447" w:rsidRPr="00C24F55">
        <w:rPr>
          <w:rtl/>
        </w:rPr>
        <w:t xml:space="preserve">قة، </w:t>
      </w:r>
      <w:r w:rsidR="00245447">
        <w:rPr>
          <w:rtl/>
        </w:rPr>
        <w:t>إضافة إلى</w:t>
      </w:r>
      <w:r w:rsidR="00245447" w:rsidRPr="00C24F55">
        <w:rPr>
          <w:rtl/>
        </w:rPr>
        <w:t xml:space="preserve"> عدم وجود إدارة محد</w:t>
      </w:r>
      <w:r w:rsidR="00245447">
        <w:rPr>
          <w:rtl/>
        </w:rPr>
        <w:t>َ</w:t>
      </w:r>
      <w:r w:rsidR="00245447" w:rsidRPr="00C24F55">
        <w:rPr>
          <w:rtl/>
        </w:rPr>
        <w:t xml:space="preserve">دة للبيانات أو هيكل </w:t>
      </w:r>
      <w:r w:rsidR="00245447">
        <w:rPr>
          <w:rtl/>
        </w:rPr>
        <w:t>محدَد للمسؤولية</w:t>
      </w:r>
      <w:r w:rsidR="00245447" w:rsidRPr="00C24F55">
        <w:rPr>
          <w:rtl/>
        </w:rPr>
        <w:t>.</w:t>
      </w:r>
    </w:p>
    <w:p w14:paraId="70510D57" w14:textId="6DB6A140" w:rsidR="00245447" w:rsidRPr="00C24F55" w:rsidRDefault="009F2444" w:rsidP="009F2444">
      <w:pPr>
        <w:rPr>
          <w:lang w:val="ar-SA" w:eastAsia="zh-TW" w:bidi="en-GB"/>
        </w:rPr>
      </w:pPr>
      <w:r>
        <w:rPr>
          <w:rFonts w:hint="cs"/>
          <w:rtl/>
        </w:rPr>
        <w:t>10</w:t>
      </w:r>
      <w:r>
        <w:rPr>
          <w:rtl/>
        </w:rPr>
        <w:tab/>
      </w:r>
      <w:r w:rsidR="00245447" w:rsidRPr="00C24F55">
        <w:rPr>
          <w:rtl/>
        </w:rPr>
        <w:t>وعُرض تقرير المراجعة النهائي على المسؤولين المعنيين في الأمانة العامة</w:t>
      </w:r>
      <w:r w:rsidR="00245447">
        <w:rPr>
          <w:rtl/>
        </w:rPr>
        <w:t xml:space="preserve"> ونوقش معهم</w:t>
      </w:r>
      <w:r w:rsidR="00245447" w:rsidRPr="00C24F55">
        <w:rPr>
          <w:rtl/>
        </w:rPr>
        <w:t>. و</w:t>
      </w:r>
      <w:r w:rsidR="00245447">
        <w:rPr>
          <w:rtl/>
        </w:rPr>
        <w:t xml:space="preserve">هو </w:t>
      </w:r>
      <w:r w:rsidR="00245447" w:rsidRPr="00C24F55">
        <w:rPr>
          <w:rtl/>
        </w:rPr>
        <w:t xml:space="preserve">يتضمن ست توصيات لمعالجة القضايا ذات الصلة بعمليات إدارة المنح وصدر التقرير إلى الأمينة العامة في 8 يناير 2025. ووافقت الإدارة بشكل عام على </w:t>
      </w:r>
      <w:r w:rsidR="00245447">
        <w:rPr>
          <w:rtl/>
        </w:rPr>
        <w:t>ال</w:t>
      </w:r>
      <w:r w:rsidR="00245447" w:rsidRPr="00C24F55">
        <w:rPr>
          <w:rtl/>
        </w:rPr>
        <w:t>توصيات</w:t>
      </w:r>
      <w:r w:rsidR="00245447">
        <w:rPr>
          <w:rtl/>
        </w:rPr>
        <w:t xml:space="preserve"> التي اقترحتها</w:t>
      </w:r>
      <w:r w:rsidR="00245447" w:rsidRPr="00C24F55">
        <w:rPr>
          <w:rtl/>
        </w:rPr>
        <w:t xml:space="preserve"> المراجعة.</w:t>
      </w:r>
    </w:p>
    <w:p w14:paraId="7079ADE6" w14:textId="13E06E54" w:rsidR="00245447" w:rsidRPr="00F55D3F" w:rsidRDefault="00245447" w:rsidP="00F55D3F">
      <w:pPr>
        <w:pStyle w:val="Headingi"/>
        <w:rPr>
          <w:b/>
          <w:bCs/>
          <w:lang w:val="ar-SA" w:eastAsia="zh-TW" w:bidi="en-GB"/>
        </w:rPr>
      </w:pPr>
      <w:r w:rsidRPr="00F55D3F">
        <w:rPr>
          <w:b/>
          <w:bCs/>
          <w:rtl/>
        </w:rPr>
        <w:t>باء</w:t>
      </w:r>
      <w:r w:rsidRPr="00F55D3F">
        <w:rPr>
          <w:b/>
          <w:bCs/>
          <w:rtl/>
        </w:rPr>
        <w:tab/>
        <w:t>الفريق الإقليمي لمنطقة الدول العربية</w:t>
      </w:r>
    </w:p>
    <w:p w14:paraId="1166946E" w14:textId="50DCF79B" w:rsidR="00026DBB" w:rsidRDefault="00E20ED0" w:rsidP="00026DBB">
      <w:r w:rsidRPr="00026DBB">
        <w:t>11</w:t>
      </w:r>
      <w:r w:rsidRPr="00026DBB">
        <w:tab/>
      </w:r>
      <w:r w:rsidR="00245447" w:rsidRPr="00026DBB">
        <w:rPr>
          <w:rtl/>
        </w:rPr>
        <w:t>أكملت وحدة الرقابة مراجعة شملت المكتب الإقليمي لمنطقة الدول العربية. واستعرضت وحدة الرقابة 12</w:t>
      </w:r>
      <w:r w:rsidR="00725581">
        <w:rPr>
          <w:rFonts w:hint="cs"/>
          <w:rtl/>
        </w:rPr>
        <w:t> </w:t>
      </w:r>
      <w:r w:rsidR="00245447" w:rsidRPr="00026DBB">
        <w:rPr>
          <w:rtl/>
        </w:rPr>
        <w:t>موضوعاً خلال هذه المراجعة وقدمت عرضاً مرئياً للاستنتاجات بحسب الموضوع على النحو التالي</w:t>
      </w:r>
      <w:r w:rsidR="00245447" w:rsidRPr="00C24F55">
        <w:rPr>
          <w:rtl/>
        </w:rPr>
        <w:t>:</w:t>
      </w:r>
    </w:p>
    <w:p w14:paraId="4813C76E" w14:textId="00D5195C" w:rsidR="00DB2D79" w:rsidRDefault="00585537" w:rsidP="004272DC">
      <w:pPr>
        <w:pStyle w:val="Figure"/>
        <w:spacing w:after="0"/>
      </w:pPr>
      <w:r>
        <w:rPr>
          <w:noProof/>
        </w:rPr>
        <w:drawing>
          <wp:inline distT="0" distB="0" distL="0" distR="0" wp14:anchorId="37D26A67" wp14:editId="0A3A80D1">
            <wp:extent cx="5760000" cy="2552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000" cy="2552400"/>
                    </a:xfrm>
                    <a:prstGeom prst="rect">
                      <a:avLst/>
                    </a:prstGeom>
                    <a:noFill/>
                  </pic:spPr>
                </pic:pic>
              </a:graphicData>
            </a:graphic>
          </wp:inline>
        </w:drawing>
      </w:r>
    </w:p>
    <w:p w14:paraId="553438F1" w14:textId="54CD5293" w:rsidR="00245447" w:rsidRPr="00EC0AC2" w:rsidRDefault="00245447" w:rsidP="004272DC">
      <w:pPr>
        <w:tabs>
          <w:tab w:val="left" w:pos="284"/>
        </w:tabs>
        <w:spacing w:after="360"/>
        <w:textDirection w:val="tbRlV"/>
        <w:rPr>
          <w:i/>
          <w:iCs/>
          <w:sz w:val="18"/>
          <w:szCs w:val="18"/>
          <w:lang w:val="ar-SA" w:eastAsia="zh-TW" w:bidi="en-GB"/>
        </w:rPr>
      </w:pPr>
      <w:r w:rsidRPr="00EC0AC2">
        <w:rPr>
          <w:i/>
          <w:iCs/>
          <w:sz w:val="18"/>
          <w:szCs w:val="18"/>
          <w:vertAlign w:val="superscript"/>
          <w:rtl/>
        </w:rPr>
        <w:t>1</w:t>
      </w:r>
      <w:r w:rsidRPr="00EC0AC2">
        <w:rPr>
          <w:sz w:val="18"/>
          <w:szCs w:val="18"/>
          <w:rtl/>
        </w:rPr>
        <w:tab/>
      </w:r>
      <w:r w:rsidRPr="00EC0AC2">
        <w:rPr>
          <w:i/>
          <w:iCs/>
          <w:sz w:val="18"/>
          <w:szCs w:val="18"/>
          <w:rtl/>
        </w:rPr>
        <w:t>لم تُقيّم وفقا</w:t>
      </w:r>
      <w:r w:rsidR="009F2444">
        <w:rPr>
          <w:rFonts w:hint="cs"/>
          <w:i/>
          <w:iCs/>
          <w:sz w:val="18"/>
          <w:szCs w:val="18"/>
          <w:rtl/>
        </w:rPr>
        <w:t>ً</w:t>
      </w:r>
      <w:r w:rsidRPr="00EC0AC2">
        <w:rPr>
          <w:i/>
          <w:iCs/>
          <w:sz w:val="18"/>
          <w:szCs w:val="18"/>
          <w:rtl/>
        </w:rPr>
        <w:t xml:space="preserve"> للمكونات التي حددتها لجنة المنظمات الراعية التابعة للجنة </w:t>
      </w:r>
      <w:proofErr w:type="spellStart"/>
      <w:r w:rsidRPr="00EC0AC2">
        <w:rPr>
          <w:i/>
          <w:iCs/>
          <w:sz w:val="18"/>
          <w:szCs w:val="18"/>
          <w:rtl/>
        </w:rPr>
        <w:t>تريدواي</w:t>
      </w:r>
      <w:proofErr w:type="spellEnd"/>
      <w:r w:rsidRPr="00EC0AC2">
        <w:rPr>
          <w:i/>
          <w:iCs/>
          <w:sz w:val="18"/>
          <w:szCs w:val="18"/>
          <w:rtl/>
        </w:rPr>
        <w:t xml:space="preserve"> </w:t>
      </w:r>
      <w:r w:rsidRPr="00EC0AC2">
        <w:rPr>
          <w:i/>
          <w:iCs/>
          <w:sz w:val="18"/>
          <w:szCs w:val="18"/>
        </w:rPr>
        <w:t>COSO</w:t>
      </w:r>
      <w:r w:rsidRPr="00EC0AC2">
        <w:rPr>
          <w:i/>
          <w:iCs/>
          <w:sz w:val="18"/>
          <w:szCs w:val="18"/>
          <w:rtl/>
        </w:rPr>
        <w:t xml:space="preserve"> وإنما بشكل عام.</w:t>
      </w:r>
    </w:p>
    <w:p w14:paraId="4F7954A2" w14:textId="7EF78E9E" w:rsidR="00245447" w:rsidRDefault="00585537" w:rsidP="003F6F1C">
      <w:pPr>
        <w:pStyle w:val="Figure"/>
        <w:rPr>
          <w:rtl/>
        </w:rPr>
      </w:pPr>
      <w:r>
        <w:rPr>
          <w:noProof/>
        </w:rPr>
        <w:drawing>
          <wp:inline distT="0" distB="0" distL="0" distR="0" wp14:anchorId="65A19302" wp14:editId="7F29BAFE">
            <wp:extent cx="3834765" cy="151193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4765" cy="1511935"/>
                    </a:xfrm>
                    <a:prstGeom prst="rect">
                      <a:avLst/>
                    </a:prstGeom>
                    <a:noFill/>
                  </pic:spPr>
                </pic:pic>
              </a:graphicData>
            </a:graphic>
          </wp:inline>
        </w:drawing>
      </w:r>
    </w:p>
    <w:p w14:paraId="228DAABD" w14:textId="5F0DB637" w:rsidR="00245447" w:rsidRPr="00C24F55" w:rsidRDefault="00A73DEF" w:rsidP="008215F6">
      <w:pPr>
        <w:spacing w:before="240"/>
        <w:rPr>
          <w:lang w:val="ar-SA" w:eastAsia="zh-TW" w:bidi="en-GB"/>
        </w:rPr>
      </w:pPr>
      <w:r>
        <w:t>12</w:t>
      </w:r>
      <w:r>
        <w:tab/>
      </w:r>
      <w:r w:rsidR="00245447" w:rsidRPr="00C24F55">
        <w:rPr>
          <w:rtl/>
        </w:rPr>
        <w:t>و</w:t>
      </w:r>
      <w:r w:rsidRPr="00A73DEF">
        <w:rPr>
          <w:rtl/>
        </w:rPr>
        <w:t>يَخْلُصَ</w:t>
      </w:r>
      <w:r w:rsidR="00245447" w:rsidRPr="00C24F55">
        <w:rPr>
          <w:rtl/>
        </w:rPr>
        <w:t xml:space="preserve"> </w:t>
      </w:r>
      <w:r w:rsidR="00245447" w:rsidRPr="00725581">
        <w:rPr>
          <w:i/>
          <w:iCs/>
          <w:rtl/>
        </w:rPr>
        <w:t>الرأي العام للمراجعة</w:t>
      </w:r>
      <w:r w:rsidR="00245447" w:rsidRPr="00C24F55">
        <w:rPr>
          <w:rtl/>
        </w:rPr>
        <w:t xml:space="preserve"> بشكل معقول إلى وجود أنشطة كافية إلى حد كبير في مجالات الإدارة والمراقبة والرصد، في حين أن المعلومات والاتصالات لا تكفي إلا جزئيا</w:t>
      </w:r>
      <w:r w:rsidR="00245447">
        <w:rPr>
          <w:rtl/>
        </w:rPr>
        <w:t>ً</w:t>
      </w:r>
      <w:r w:rsidR="00245447" w:rsidRPr="00C24F55">
        <w:rPr>
          <w:rtl/>
        </w:rPr>
        <w:t xml:space="preserve"> في بعض الأحيان.</w:t>
      </w:r>
    </w:p>
    <w:p w14:paraId="2FDBD6D3" w14:textId="0DEEC8C2" w:rsidR="00245447" w:rsidRPr="004272DC" w:rsidRDefault="00A73DEF" w:rsidP="009F2444">
      <w:pPr>
        <w:rPr>
          <w:spacing w:val="2"/>
          <w:lang w:val="ar-SA" w:eastAsia="zh-TW" w:bidi="en-GB"/>
        </w:rPr>
      </w:pPr>
      <w:r w:rsidRPr="004272DC">
        <w:rPr>
          <w:spacing w:val="2"/>
        </w:rPr>
        <w:t>13</w:t>
      </w:r>
      <w:r w:rsidRPr="004272DC">
        <w:rPr>
          <w:spacing w:val="2"/>
        </w:rPr>
        <w:tab/>
      </w:r>
      <w:r w:rsidR="00245447" w:rsidRPr="004272DC">
        <w:rPr>
          <w:spacing w:val="2"/>
          <w:rtl/>
        </w:rPr>
        <w:t>وصدر تقرير المراجعة النهائي في نهاية مارس 2025. واستعيض عن هذه النسخة بتقرير صدر في</w:t>
      </w:r>
      <w:r w:rsidR="004272DC">
        <w:rPr>
          <w:rFonts w:hint="cs"/>
          <w:spacing w:val="2"/>
          <w:rtl/>
        </w:rPr>
        <w:t> </w:t>
      </w:r>
      <w:r w:rsidR="00245447" w:rsidRPr="004272DC">
        <w:rPr>
          <w:spacing w:val="2"/>
          <w:rtl/>
        </w:rPr>
        <w:t>15</w:t>
      </w:r>
      <w:r w:rsidR="004272DC">
        <w:rPr>
          <w:rFonts w:hint="cs"/>
          <w:spacing w:val="2"/>
          <w:rtl/>
        </w:rPr>
        <w:t> </w:t>
      </w:r>
      <w:r w:rsidR="00245447" w:rsidRPr="004272DC">
        <w:rPr>
          <w:spacing w:val="2"/>
          <w:rtl/>
        </w:rPr>
        <w:t>مايو</w:t>
      </w:r>
      <w:r w:rsidR="004272DC">
        <w:rPr>
          <w:rFonts w:hint="cs"/>
          <w:spacing w:val="2"/>
          <w:rtl/>
        </w:rPr>
        <w:t> </w:t>
      </w:r>
      <w:r w:rsidR="00245447" w:rsidRPr="004272DC">
        <w:rPr>
          <w:spacing w:val="2"/>
          <w:rtl/>
        </w:rPr>
        <w:t>2025. وتضمن التقرير 13 توصية (توصية واحدة ذات أولوية</w:t>
      </w:r>
      <w:r w:rsidR="00725581" w:rsidRPr="004272DC">
        <w:rPr>
          <w:rFonts w:hint="cs"/>
          <w:spacing w:val="2"/>
          <w:rtl/>
        </w:rPr>
        <w:t xml:space="preserve"> </w:t>
      </w:r>
      <w:r w:rsidR="00245447" w:rsidRPr="004272DC">
        <w:rPr>
          <w:spacing w:val="2"/>
          <w:rtl/>
        </w:rPr>
        <w:t>"عالية" و9 توصيات ذات أولوية "متوسطة" و3 توصيات ذات أولوية "منخفضة") وتعليقات إدارية رسمية. ووافقت الإدارة بشكل عام على التوصيات التي اقترحتها</w:t>
      </w:r>
      <w:r w:rsidR="004272DC">
        <w:rPr>
          <w:rFonts w:hint="cs"/>
          <w:spacing w:val="2"/>
          <w:rtl/>
        </w:rPr>
        <w:t> </w:t>
      </w:r>
      <w:r w:rsidR="00245447" w:rsidRPr="004272DC">
        <w:rPr>
          <w:spacing w:val="2"/>
          <w:rtl/>
        </w:rPr>
        <w:t>المراجعة.</w:t>
      </w:r>
    </w:p>
    <w:p w14:paraId="1FCD1F0B" w14:textId="77777777" w:rsidR="00245447" w:rsidRPr="00CC18D5" w:rsidRDefault="00245447" w:rsidP="00DB2D79">
      <w:pPr>
        <w:pStyle w:val="Headingb"/>
        <w:rPr>
          <w:lang w:val="ar-SA" w:eastAsia="zh-TW" w:bidi="en-GB"/>
        </w:rPr>
      </w:pPr>
      <w:r w:rsidRPr="00CC18D5">
        <w:rPr>
          <w:rtl/>
        </w:rPr>
        <w:lastRenderedPageBreak/>
        <w:t>مهام إضافية</w:t>
      </w:r>
    </w:p>
    <w:p w14:paraId="1B2C99ED" w14:textId="7D4F180A" w:rsidR="00245447" w:rsidRPr="00F55D3F" w:rsidRDefault="00245447" w:rsidP="00F55D3F">
      <w:pPr>
        <w:pStyle w:val="Headingi"/>
        <w:rPr>
          <w:b/>
          <w:bCs/>
        </w:rPr>
      </w:pPr>
      <w:r w:rsidRPr="00F55D3F">
        <w:rPr>
          <w:b/>
          <w:bCs/>
          <w:rtl/>
        </w:rPr>
        <w:t>ألف</w:t>
      </w:r>
      <w:r w:rsidR="00A73DEF" w:rsidRPr="00F55D3F">
        <w:rPr>
          <w:b/>
          <w:bCs/>
        </w:rPr>
        <w:tab/>
      </w:r>
      <w:r w:rsidRPr="00F55D3F">
        <w:rPr>
          <w:b/>
          <w:bCs/>
          <w:rtl/>
        </w:rPr>
        <w:t>تقييم التأمين الصحي بعد انتهاء مدة الخدمة (</w:t>
      </w:r>
      <w:r w:rsidRPr="00F55D3F">
        <w:rPr>
          <w:b/>
          <w:bCs/>
          <w:sz w:val="26"/>
          <w:szCs w:val="26"/>
        </w:rPr>
        <w:t>ASHI</w:t>
      </w:r>
      <w:r w:rsidRPr="00F55D3F">
        <w:rPr>
          <w:b/>
          <w:bCs/>
          <w:rtl/>
        </w:rPr>
        <w:t>)</w:t>
      </w:r>
    </w:p>
    <w:p w14:paraId="1919E407" w14:textId="08B15705" w:rsidR="00245447" w:rsidRPr="00C24F55" w:rsidRDefault="00A73DEF" w:rsidP="00A73DEF">
      <w:pPr>
        <w:rPr>
          <w:lang w:val="ar-SA" w:eastAsia="zh-TW" w:bidi="en-GB"/>
        </w:rPr>
      </w:pPr>
      <w:r>
        <w:t>14</w:t>
      </w:r>
      <w:r>
        <w:tab/>
      </w:r>
      <w:r w:rsidR="00245447" w:rsidRPr="00C24F55">
        <w:rPr>
          <w:rtl/>
        </w:rPr>
        <w:t xml:space="preserve">أنجزت وحدة الرقابة مهمة تأكيد عناصر البيانات الرئيسية التي قُدمت إلى الخبير </w:t>
      </w:r>
      <w:proofErr w:type="spellStart"/>
      <w:r w:rsidR="00245447" w:rsidRPr="00C24F55">
        <w:rPr>
          <w:rtl/>
        </w:rPr>
        <w:t>ال</w:t>
      </w:r>
      <w:r w:rsidR="003F6F1C">
        <w:rPr>
          <w:rFonts w:hint="cs"/>
          <w:rtl/>
        </w:rPr>
        <w:t>ا</w:t>
      </w:r>
      <w:r w:rsidR="00245447" w:rsidRPr="00C24F55">
        <w:rPr>
          <w:rtl/>
        </w:rPr>
        <w:t>كتواري</w:t>
      </w:r>
      <w:proofErr w:type="spellEnd"/>
      <w:r w:rsidR="00245447" w:rsidRPr="00C24F55">
        <w:rPr>
          <w:rtl/>
        </w:rPr>
        <w:t xml:space="preserve"> ل</w:t>
      </w:r>
      <w:r w:rsidR="00245447">
        <w:rPr>
          <w:rtl/>
        </w:rPr>
        <w:t>دى ا</w:t>
      </w:r>
      <w:r w:rsidR="00245447" w:rsidRPr="00C24F55">
        <w:rPr>
          <w:rtl/>
        </w:rPr>
        <w:t xml:space="preserve">لاتحاد </w:t>
      </w:r>
      <w:r>
        <w:t>(</w:t>
      </w:r>
      <w:r w:rsidR="00245447" w:rsidRPr="00C24F55">
        <w:t>AON</w:t>
      </w:r>
      <w:r>
        <w:t>)</w:t>
      </w:r>
      <w:r w:rsidR="00245447" w:rsidRPr="00C24F55">
        <w:rPr>
          <w:rtl/>
        </w:rPr>
        <w:t xml:space="preserve"> </w:t>
      </w:r>
      <w:r w:rsidR="00245447">
        <w:rPr>
          <w:rtl/>
        </w:rPr>
        <w:t>ل</w:t>
      </w:r>
      <w:r w:rsidR="00245447" w:rsidRPr="00C24F55">
        <w:rPr>
          <w:rtl/>
        </w:rPr>
        <w:t>تقييم التأمين الصحي بعد انتهاء مدة الخدمة (</w:t>
      </w:r>
      <w:r w:rsidR="00245447" w:rsidRPr="00C24F55">
        <w:t>ASHI</w:t>
      </w:r>
      <w:r w:rsidR="00245447" w:rsidRPr="00C24F55">
        <w:rPr>
          <w:rtl/>
        </w:rPr>
        <w:t>). وقد طلب تنفيذ هذه المهمة</w:t>
      </w:r>
      <w:r w:rsidR="00245447" w:rsidRPr="00E945D1">
        <w:rPr>
          <w:rFonts w:hint="eastAsia"/>
          <w:rtl/>
        </w:rPr>
        <w:t xml:space="preserve"> لأول</w:t>
      </w:r>
      <w:r w:rsidR="00245447" w:rsidRPr="00E945D1">
        <w:rPr>
          <w:rtl/>
        </w:rPr>
        <w:t xml:space="preserve"> </w:t>
      </w:r>
      <w:r w:rsidR="00245447" w:rsidRPr="00E945D1">
        <w:rPr>
          <w:rFonts w:hint="eastAsia"/>
          <w:rtl/>
        </w:rPr>
        <w:t>مرة</w:t>
      </w:r>
      <w:r w:rsidR="00245447" w:rsidRPr="00C24F55">
        <w:rPr>
          <w:rtl/>
        </w:rPr>
        <w:t xml:space="preserve"> رئيس دائرة إدارة الموارد المالية، بموافقة الأمينة العامة للاتحاد، وذلك أثناء مراجعة البيانات المالية للاتحاد لعام 2022، بمبادرة من المراجع الخارجي للاتحاد.</w:t>
      </w:r>
    </w:p>
    <w:p w14:paraId="114DAC99" w14:textId="6F16D1C2" w:rsidR="00245447" w:rsidRPr="00C24F55" w:rsidRDefault="00A73DEF" w:rsidP="00A73DEF">
      <w:pPr>
        <w:rPr>
          <w:lang w:val="ar-SA" w:eastAsia="zh-TW" w:bidi="en-GB"/>
        </w:rPr>
      </w:pPr>
      <w:r>
        <w:t>15</w:t>
      </w:r>
      <w:r>
        <w:tab/>
      </w:r>
      <w:r w:rsidR="00245447" w:rsidRPr="00C24F55">
        <w:rPr>
          <w:rtl/>
        </w:rPr>
        <w:t xml:space="preserve">وأصدرت وحدة الرقابة في مايو 2023 تقرير مهمة تأكيد </w:t>
      </w:r>
      <w:r w:rsidR="00245447">
        <w:rPr>
          <w:rtl/>
        </w:rPr>
        <w:t>عناصر</w:t>
      </w:r>
      <w:r w:rsidR="00245447" w:rsidRPr="00C24F55">
        <w:rPr>
          <w:rtl/>
        </w:rPr>
        <w:t xml:space="preserve"> البيانات ورسالة إدارية لإبلاغ إدارة الاتحاد بما يلي: ’1‘ أوجه القصور في المراقبة، ’2‘ التوصيات ذات الصلة لتمكين إدارة الاتحاد من الحصول على الضمان اللازم فيما يتعلق بالضوابط المرتبطة بعمليات المراجعة التي سيجريها المراجع الخارجي للاتحاد في نهاية السنة. وتماشياً مع النهج السابق، قدمت وحدة الرقابة مرة أخرى في فبراير 2025 التأكيد اللازم بشأن العناصر الرئيسية للبيانات المستخدمة للتحقق من صحة التأمين الصحي بعد انتهاء الخدمة.</w:t>
      </w:r>
    </w:p>
    <w:p w14:paraId="6BE32B11" w14:textId="77777777" w:rsidR="00245447" w:rsidRPr="00CC18D5" w:rsidRDefault="00245447" w:rsidP="00DB2D79">
      <w:pPr>
        <w:pStyle w:val="Headingb"/>
        <w:rPr>
          <w:lang w:val="ar-SA" w:eastAsia="zh-TW" w:bidi="en-GB"/>
        </w:rPr>
      </w:pPr>
      <w:r w:rsidRPr="00CC18D5">
        <w:rPr>
          <w:rtl/>
        </w:rPr>
        <w:t>متابعة تنفيذ توصيات وحدة المراجعة الداخلية</w:t>
      </w:r>
    </w:p>
    <w:p w14:paraId="04F821F1" w14:textId="053A5419" w:rsidR="00245447" w:rsidRPr="00C24F55" w:rsidRDefault="00E20ED0" w:rsidP="00E20ED0">
      <w:pPr>
        <w:rPr>
          <w:lang w:val="ar-SA" w:eastAsia="zh-TW" w:bidi="en-GB"/>
        </w:rPr>
      </w:pPr>
      <w:r>
        <w:t>16</w:t>
      </w:r>
      <w:r>
        <w:tab/>
      </w:r>
      <w:r w:rsidR="00245447" w:rsidRPr="00C24F55">
        <w:rPr>
          <w:rtl/>
        </w:rPr>
        <w:t xml:space="preserve">واصلت وحدة الرقابة، طيلة الفترة التي يشملها التقرير، متابعة تنفيذ التوصيات التي قُدمت في تقارير المراجعة السابقة. </w:t>
      </w:r>
      <w:r w:rsidR="00245447">
        <w:rPr>
          <w:rtl/>
        </w:rPr>
        <w:t>و</w:t>
      </w:r>
      <w:r w:rsidR="00245447" w:rsidRPr="00C24F55">
        <w:rPr>
          <w:rtl/>
        </w:rPr>
        <w:t>ناقشت الوحدة بانتظام</w:t>
      </w:r>
      <w:r w:rsidR="00245447">
        <w:rPr>
          <w:rtl/>
        </w:rPr>
        <w:t xml:space="preserve"> أيضاً</w:t>
      </w:r>
      <w:r w:rsidR="00245447" w:rsidRPr="00C24F55">
        <w:rPr>
          <w:rtl/>
        </w:rPr>
        <w:t xml:space="preserve"> نتائج هذه المتابعة في اجتماعها مع اللجنة الاستشارية المستقلة للإدارة</w:t>
      </w:r>
      <w:r w:rsidR="00245447">
        <w:rPr>
          <w:rtl/>
        </w:rPr>
        <w:t>.</w:t>
      </w:r>
      <w:r w:rsidR="00245447" w:rsidRPr="00C24F55">
        <w:rPr>
          <w:rtl/>
        </w:rPr>
        <w:t xml:space="preserve"> وكما سبق ذكره أعلاه، قُدِّمت وثيقة إعلامية منفصلة إلى دورة المجلس لعام 2025 تبيِّن متابعة توصيات </w:t>
      </w:r>
      <w:r w:rsidR="00245447" w:rsidRPr="00842B3B">
        <w:rPr>
          <w:u w:val="single"/>
          <w:rtl/>
        </w:rPr>
        <w:t>المراجعة الداخلية</w:t>
      </w:r>
      <w:r w:rsidR="00245447" w:rsidRPr="00C24F55">
        <w:rPr>
          <w:rtl/>
        </w:rPr>
        <w:t xml:space="preserve"> و</w:t>
      </w:r>
      <w:r w:rsidR="00245447" w:rsidRPr="00842B3B">
        <w:rPr>
          <w:u w:val="single"/>
          <w:rtl/>
        </w:rPr>
        <w:t>إجراءات المراجعة الجنائية</w:t>
      </w:r>
      <w:r w:rsidR="00245447" w:rsidRPr="00C24F55">
        <w:rPr>
          <w:rtl/>
        </w:rPr>
        <w:t>. ولوحظ مزي</w:t>
      </w:r>
      <w:r w:rsidR="00245447">
        <w:rPr>
          <w:rtl/>
        </w:rPr>
        <w:t>د</w:t>
      </w:r>
      <w:r w:rsidR="00245447" w:rsidRPr="00C24F55">
        <w:rPr>
          <w:rtl/>
        </w:rPr>
        <w:t xml:space="preserve"> من التقدم في تنفيذ توصيات المراجعة الداخلية حتى 31 مارس 2025، على النحو المبين أدناه:</w:t>
      </w:r>
    </w:p>
    <w:p w14:paraId="3E3ACA48" w14:textId="397694BF" w:rsidR="00245447" w:rsidRPr="00C24F55" w:rsidRDefault="00585537" w:rsidP="00026DBB">
      <w:pPr>
        <w:keepNext/>
        <w:keepLines/>
        <w:spacing w:before="0" w:after="0" w:line="240" w:lineRule="auto"/>
        <w:rPr>
          <w:color w:val="000000"/>
          <w:lang w:eastAsia="en-GB"/>
        </w:rPr>
      </w:pPr>
      <w:r>
        <w:rPr>
          <w:noProof/>
          <w:color w:val="000000"/>
          <w:lang w:eastAsia="en-GB"/>
        </w:rPr>
        <w:drawing>
          <wp:inline distT="0" distB="0" distL="0" distR="0" wp14:anchorId="5D1165FA" wp14:editId="15354552">
            <wp:extent cx="5760000" cy="1828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000" cy="1828800"/>
                    </a:xfrm>
                    <a:prstGeom prst="rect">
                      <a:avLst/>
                    </a:prstGeom>
                    <a:noFill/>
                  </pic:spPr>
                </pic:pic>
              </a:graphicData>
            </a:graphic>
          </wp:inline>
        </w:drawing>
      </w:r>
    </w:p>
    <w:p w14:paraId="706EFAAE" w14:textId="62586DE2" w:rsidR="00245447" w:rsidRPr="002240F8" w:rsidRDefault="00245447" w:rsidP="004272DC">
      <w:pPr>
        <w:keepNext/>
        <w:keepLines/>
        <w:spacing w:before="240"/>
        <w:ind w:left="284" w:hanging="284"/>
        <w:textDirection w:val="tbRlV"/>
        <w:rPr>
          <w:color w:val="000000"/>
          <w:sz w:val="18"/>
          <w:szCs w:val="18"/>
          <w:lang w:val="ar-SA" w:eastAsia="zh-TW" w:bidi="en-GB"/>
        </w:rPr>
      </w:pPr>
      <w:r w:rsidRPr="00F55D3F">
        <w:rPr>
          <w:sz w:val="18"/>
          <w:szCs w:val="18"/>
          <w:rtl/>
        </w:rPr>
        <w:t>*</w:t>
      </w:r>
      <w:r w:rsidR="004272DC">
        <w:rPr>
          <w:sz w:val="18"/>
          <w:szCs w:val="18"/>
          <w:rtl/>
        </w:rPr>
        <w:tab/>
      </w:r>
      <w:r w:rsidR="00F55D3F" w:rsidRPr="003F6F1C">
        <w:rPr>
          <w:sz w:val="18"/>
          <w:szCs w:val="18"/>
          <w:rtl/>
        </w:rPr>
        <w:t>أ</w:t>
      </w:r>
      <w:r w:rsidR="00F55D3F">
        <w:rPr>
          <w:rFonts w:hint="cs"/>
          <w:sz w:val="18"/>
          <w:szCs w:val="18"/>
          <w:rtl/>
        </w:rPr>
        <w:t>ُغلقت</w:t>
      </w:r>
      <w:r w:rsidR="00F55D3F" w:rsidRPr="00F55D3F">
        <w:rPr>
          <w:sz w:val="18"/>
          <w:szCs w:val="18"/>
          <w:rtl/>
        </w:rPr>
        <w:t xml:space="preserve"> </w:t>
      </w:r>
      <w:r w:rsidRPr="00F55D3F">
        <w:rPr>
          <w:sz w:val="18"/>
          <w:szCs w:val="18"/>
          <w:rtl/>
        </w:rPr>
        <w:t>جميع التوصيات الصادرة قبل عام 2017 وهي مدرجة في عمود "المجموع" (في صف بنود "أُغلقت").</w:t>
      </w:r>
    </w:p>
    <w:p w14:paraId="2F538732" w14:textId="77777777" w:rsidR="00F50E3F" w:rsidRDefault="00D63735" w:rsidP="004272DC">
      <w:pPr>
        <w:spacing w:before="600" w:after="0"/>
        <w:jc w:val="center"/>
        <w:rPr>
          <w:rtl/>
          <w:lang w:bidi="ar-EG"/>
        </w:rPr>
      </w:pPr>
      <w:r>
        <w:rPr>
          <w:rFonts w:hint="cs"/>
          <w:rtl/>
          <w:lang w:bidi="ar-EG"/>
        </w:rPr>
        <w:t>ــــــــــــــــــــــــــــــــــــــــــــــــــــــــــــــــــــــــــــــــــــــــــــــــ</w:t>
      </w:r>
    </w:p>
    <w:sectPr w:rsidR="00F50E3F" w:rsidSect="006F363C">
      <w:footerReference w:type="default" r:id="rId14"/>
      <w:headerReference w:type="first" r:id="rId15"/>
      <w:footerReference w:type="first" r:id="rId16"/>
      <w:type w:val="oddPage"/>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CDD16" w14:textId="77777777" w:rsidR="005067AD" w:rsidRDefault="005067AD" w:rsidP="006C3242">
      <w:pPr>
        <w:spacing w:before="0" w:line="240" w:lineRule="auto"/>
      </w:pPr>
      <w:r>
        <w:separator/>
      </w:r>
    </w:p>
  </w:endnote>
  <w:endnote w:type="continuationSeparator" w:id="0">
    <w:p w14:paraId="03130C33" w14:textId="77777777" w:rsidR="005067AD" w:rsidRDefault="005067AD"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ubai">
    <w:panose1 w:val="020B0503030403030204"/>
    <w:charset w:val="00"/>
    <w:family w:val="swiss"/>
    <w:pitch w:val="variable"/>
    <w:sig w:usb0="80002067"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Avenir Nxt2 W1G Medium">
    <w:panose1 w:val="020B0603020202020204"/>
    <w:charset w:val="00"/>
    <w:family w:val="swiss"/>
    <w:notTrueType/>
    <w:pitch w:val="variable"/>
    <w:sig w:usb0="A00002EF"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47"/>
      <w:gridCol w:w="7874"/>
      <w:gridCol w:w="443"/>
    </w:tblGrid>
    <w:tr w:rsidR="00F50E3F" w:rsidRPr="007B0AA0" w14:paraId="51ECAB2F" w14:textId="77777777" w:rsidTr="00A67F05">
      <w:trPr>
        <w:jc w:val="center"/>
      </w:trPr>
      <w:tc>
        <w:tcPr>
          <w:tcW w:w="868" w:type="pct"/>
          <w:vAlign w:val="center"/>
        </w:tcPr>
        <w:p w14:paraId="6BFCCCEA" w14:textId="1663D684" w:rsidR="00F50E3F" w:rsidRPr="009B3F50" w:rsidRDefault="009F2444" w:rsidP="007C76CA">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sz w:val="18"/>
            </w:rPr>
          </w:pPr>
          <w:r w:rsidRPr="009B3F50">
            <w:rPr>
              <w:rFonts w:ascii="Calibri" w:hAnsi="Calibri" w:cs="Arial"/>
              <w:sz w:val="18"/>
              <w:szCs w:val="14"/>
              <w:lang w:val="en-US"/>
            </w:rPr>
            <w:t>2501264</w:t>
          </w:r>
        </w:p>
      </w:tc>
      <w:tc>
        <w:tcPr>
          <w:tcW w:w="3912" w:type="pct"/>
        </w:tcPr>
        <w:p w14:paraId="5C4E2B09" w14:textId="0C442603" w:rsidR="00F50E3F" w:rsidRPr="007B0AA0" w:rsidRDefault="00F50E3F" w:rsidP="007C76CA">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9F2444">
            <w:rPr>
              <w:rFonts w:ascii="Calibri" w:hAnsi="Calibri" w:cs="Arial"/>
              <w:bCs/>
              <w:color w:val="7F7F7F"/>
              <w:sz w:val="18"/>
            </w:rPr>
            <w:t>44</w:t>
          </w:r>
          <w:r w:rsidRPr="007B0AA0">
            <w:rPr>
              <w:rFonts w:ascii="Calibri" w:hAnsi="Calibri" w:cs="Arial"/>
              <w:bCs/>
              <w:color w:val="7F7F7F"/>
              <w:sz w:val="18"/>
            </w:rPr>
            <w:t>-</w:t>
          </w:r>
          <w:r>
            <w:rPr>
              <w:rFonts w:ascii="Calibri" w:hAnsi="Calibri" w:cs="Arial"/>
              <w:bCs/>
              <w:color w:val="7F7F7F"/>
              <w:sz w:val="18"/>
            </w:rPr>
            <w:t>A</w:t>
          </w:r>
        </w:p>
      </w:tc>
      <w:tc>
        <w:tcPr>
          <w:tcW w:w="220" w:type="pct"/>
        </w:tcPr>
        <w:p w14:paraId="3DD5E631" w14:textId="77777777" w:rsidR="00F50E3F" w:rsidRPr="007B0AA0" w:rsidRDefault="00F50E3F" w:rsidP="007C76CA">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7F700B8D" w14:textId="77777777" w:rsidR="006C3242" w:rsidRPr="008215F6" w:rsidRDefault="006C3242" w:rsidP="008215F6">
    <w:pPr>
      <w:pStyle w:val="Footer"/>
      <w:tabs>
        <w:tab w:val="clear" w:pos="4153"/>
        <w:tab w:val="clear" w:pos="8306"/>
        <w:tab w:val="center" w:pos="5103"/>
        <w:tab w:val="right" w:pos="9639"/>
      </w:tabs>
      <w:spacing w:after="0"/>
      <w:rPr>
        <w:sz w:val="2"/>
        <w:szCs w:val="2"/>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bidiVisual/>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39"/>
      <w:gridCol w:w="7584"/>
      <w:gridCol w:w="441"/>
    </w:tblGrid>
    <w:tr w:rsidR="007B0AA0" w:rsidRPr="007B0AA0" w14:paraId="36949BC2" w14:textId="77777777" w:rsidTr="00A67F05">
      <w:trPr>
        <w:jc w:val="center"/>
      </w:trPr>
      <w:tc>
        <w:tcPr>
          <w:tcW w:w="1013" w:type="pct"/>
          <w:vAlign w:val="center"/>
        </w:tcPr>
        <w:p w14:paraId="42B07660" w14:textId="77777777" w:rsidR="007B0AA0" w:rsidRPr="00660DEA" w:rsidRDefault="00660DEA" w:rsidP="007C76CA">
          <w:pPr>
            <w:tabs>
              <w:tab w:val="clear" w:pos="794"/>
            </w:tabs>
            <w:overflowPunct w:val="0"/>
            <w:autoSpaceDE w:val="0"/>
            <w:autoSpaceDN w:val="0"/>
            <w:bidi w:val="0"/>
            <w:adjustRightInd w:val="0"/>
            <w:spacing w:before="0" w:after="0" w:line="240" w:lineRule="auto"/>
            <w:jc w:val="right"/>
            <w:textAlignment w:val="baseline"/>
            <w:rPr>
              <w:rFonts w:ascii="Calibri" w:hAnsi="Calibri" w:cs="Arial"/>
              <w:noProof/>
              <w:color w:val="7F7F7F"/>
              <w:sz w:val="18"/>
            </w:rPr>
          </w:pPr>
          <w:hyperlink r:id="rId1" w:history="1">
            <w:r w:rsidRPr="00660DEA">
              <w:rPr>
                <w:rStyle w:val="Hyperlink"/>
              </w:rPr>
              <w:t>council.itu.int/2025</w:t>
            </w:r>
          </w:hyperlink>
        </w:p>
      </w:tc>
      <w:tc>
        <w:tcPr>
          <w:tcW w:w="3768" w:type="pct"/>
        </w:tcPr>
        <w:p w14:paraId="06BA1519" w14:textId="11097938" w:rsidR="007B0AA0" w:rsidRPr="007B0AA0" w:rsidRDefault="007B0AA0" w:rsidP="007C76CA">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Arial" w:hAnsi="Arial" w:cs="Arial"/>
              <w:b/>
              <w:bCs/>
              <w:color w:val="7F7F7F"/>
              <w:sz w:val="18"/>
              <w:szCs w:val="18"/>
            </w:rPr>
          </w:pPr>
          <w:r w:rsidRPr="007B0AA0">
            <w:rPr>
              <w:rFonts w:ascii="Calibri" w:hAnsi="Calibri" w:cs="Arial"/>
              <w:bCs/>
              <w:color w:val="7F7F7F"/>
              <w:sz w:val="18"/>
            </w:rPr>
            <w:t>C2</w:t>
          </w:r>
          <w:r w:rsidR="006F363C">
            <w:rPr>
              <w:rFonts w:ascii="Calibri" w:hAnsi="Calibri" w:cs="Arial"/>
              <w:bCs/>
              <w:color w:val="7F7F7F"/>
              <w:sz w:val="18"/>
            </w:rPr>
            <w:t>5</w:t>
          </w:r>
          <w:r w:rsidRPr="007B0AA0">
            <w:rPr>
              <w:rFonts w:ascii="Calibri" w:hAnsi="Calibri" w:cs="Arial"/>
              <w:bCs/>
              <w:color w:val="7F7F7F"/>
              <w:sz w:val="18"/>
            </w:rPr>
            <w:t>/</w:t>
          </w:r>
          <w:r w:rsidR="00B2469E">
            <w:rPr>
              <w:rFonts w:ascii="Calibri" w:hAnsi="Calibri" w:cs="Arial"/>
              <w:bCs/>
              <w:color w:val="7F7F7F"/>
              <w:sz w:val="18"/>
            </w:rPr>
            <w:t>44</w:t>
          </w:r>
          <w:r w:rsidRPr="007B0AA0">
            <w:rPr>
              <w:rFonts w:ascii="Calibri" w:hAnsi="Calibri" w:cs="Arial"/>
              <w:bCs/>
              <w:color w:val="7F7F7F"/>
              <w:sz w:val="18"/>
            </w:rPr>
            <w:t>-</w:t>
          </w:r>
          <w:r>
            <w:rPr>
              <w:rFonts w:ascii="Calibri" w:hAnsi="Calibri" w:cs="Arial"/>
              <w:bCs/>
              <w:color w:val="7F7F7F"/>
              <w:sz w:val="18"/>
            </w:rPr>
            <w:t>A</w:t>
          </w:r>
        </w:p>
      </w:tc>
      <w:tc>
        <w:tcPr>
          <w:tcW w:w="220" w:type="pct"/>
        </w:tcPr>
        <w:p w14:paraId="2BC819DA" w14:textId="77777777" w:rsidR="007B0AA0" w:rsidRPr="007B0AA0" w:rsidRDefault="00F50E3F" w:rsidP="007C76CA">
          <w:pPr>
            <w:tabs>
              <w:tab w:val="clear" w:pos="794"/>
              <w:tab w:val="left" w:pos="862"/>
              <w:tab w:val="right" w:pos="8505"/>
              <w:tab w:val="right" w:pos="9639"/>
            </w:tabs>
            <w:overflowPunct w:val="0"/>
            <w:autoSpaceDE w:val="0"/>
            <w:autoSpaceDN w:val="0"/>
            <w:adjustRightInd w:val="0"/>
            <w:spacing w:before="0" w:after="0" w:line="240" w:lineRule="auto"/>
            <w:jc w:val="right"/>
            <w:textAlignment w:val="baseline"/>
            <w:rPr>
              <w:rFonts w:ascii="Calibri" w:hAnsi="Calibri" w:cs="Arial"/>
              <w:bCs/>
              <w:color w:val="7F7F7F"/>
              <w:sz w:val="18"/>
            </w:rPr>
          </w:pPr>
          <w:r w:rsidRPr="007B0AA0">
            <w:rPr>
              <w:rFonts w:ascii="Calibri" w:hAnsi="Calibri" w:cs="Arial"/>
              <w:color w:val="7F7F7F"/>
              <w:sz w:val="18"/>
            </w:rPr>
            <w:fldChar w:fldCharType="begin"/>
          </w:r>
          <w:r w:rsidRPr="007B0AA0">
            <w:rPr>
              <w:rFonts w:ascii="Calibri" w:hAnsi="Calibri" w:cs="Arial"/>
              <w:color w:val="7F7F7F"/>
              <w:sz w:val="18"/>
            </w:rPr>
            <w:instrText>PAGE</w:instrText>
          </w:r>
          <w:r w:rsidRPr="007B0AA0">
            <w:rPr>
              <w:rFonts w:ascii="Calibri" w:hAnsi="Calibri" w:cs="Arial"/>
              <w:color w:val="7F7F7F"/>
              <w:sz w:val="18"/>
            </w:rPr>
            <w:fldChar w:fldCharType="separate"/>
          </w:r>
          <w:r>
            <w:rPr>
              <w:rFonts w:cs="Arial"/>
              <w:color w:val="7F7F7F"/>
              <w:sz w:val="18"/>
            </w:rPr>
            <w:t>1</w:t>
          </w:r>
          <w:r w:rsidRPr="007B0AA0">
            <w:rPr>
              <w:rFonts w:ascii="Calibri" w:hAnsi="Calibri" w:cs="Arial"/>
              <w:noProof/>
              <w:color w:val="7F7F7F"/>
              <w:sz w:val="18"/>
            </w:rPr>
            <w:fldChar w:fldCharType="end"/>
          </w:r>
        </w:p>
      </w:tc>
    </w:tr>
  </w:tbl>
  <w:p w14:paraId="7E2839F7" w14:textId="77777777" w:rsidR="0006468A" w:rsidRPr="008215F6" w:rsidRDefault="0006468A" w:rsidP="008215F6">
    <w:pPr>
      <w:pStyle w:val="Footer"/>
      <w:tabs>
        <w:tab w:val="clear" w:pos="4153"/>
        <w:tab w:val="clear" w:pos="8306"/>
        <w:tab w:val="center" w:pos="5103"/>
        <w:tab w:val="right" w:pos="9639"/>
      </w:tabs>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F79E7" w14:textId="77777777" w:rsidR="005067AD" w:rsidRDefault="005067AD" w:rsidP="006C3242">
      <w:pPr>
        <w:spacing w:before="0" w:line="240" w:lineRule="auto"/>
      </w:pPr>
      <w:r>
        <w:separator/>
      </w:r>
    </w:p>
  </w:footnote>
  <w:footnote w:type="continuationSeparator" w:id="0">
    <w:p w14:paraId="609EA197" w14:textId="77777777" w:rsidR="005067AD" w:rsidRDefault="005067AD" w:rsidP="006C3242">
      <w:pPr>
        <w:spacing w:before="0" w:line="240" w:lineRule="auto"/>
      </w:pPr>
      <w:r>
        <w:continuationSeparator/>
      </w:r>
    </w:p>
  </w:footnote>
  <w:footnote w:id="1">
    <w:p w14:paraId="3879C76A" w14:textId="497E35B2" w:rsidR="00245447" w:rsidRPr="009B3F50" w:rsidRDefault="00245447" w:rsidP="009B3F50">
      <w:pPr>
        <w:pStyle w:val="FootnoteText"/>
        <w:tabs>
          <w:tab w:val="clear" w:pos="794"/>
          <w:tab w:val="left" w:pos="424"/>
        </w:tabs>
      </w:pPr>
      <w:r w:rsidRPr="009B3F50">
        <w:rPr>
          <w:rStyle w:val="FootnoteReference"/>
          <w:position w:val="0"/>
          <w:sz w:val="20"/>
          <w:szCs w:val="20"/>
          <w:rtl/>
        </w:rPr>
        <w:footnoteRef/>
      </w:r>
      <w:r w:rsidRPr="009B3F50">
        <w:rPr>
          <w:szCs w:val="20"/>
          <w:rtl/>
        </w:rPr>
        <w:tab/>
        <w:t>الأمر الإداري 09/24، الصادر عن الأمينة العامة في 10 سبتمبر 2024.</w:t>
      </w:r>
    </w:p>
  </w:footnote>
  <w:footnote w:id="2">
    <w:p w14:paraId="32E400C1" w14:textId="28AD8A2E" w:rsidR="00245447" w:rsidRPr="009B3F50" w:rsidRDefault="00245447" w:rsidP="009B3F50">
      <w:pPr>
        <w:pStyle w:val="FootnoteText"/>
        <w:tabs>
          <w:tab w:val="clear" w:pos="794"/>
          <w:tab w:val="left" w:pos="424"/>
        </w:tabs>
      </w:pPr>
      <w:r w:rsidRPr="009B3F50">
        <w:rPr>
          <w:rStyle w:val="FootnoteReference"/>
          <w:position w:val="0"/>
          <w:sz w:val="20"/>
          <w:szCs w:val="20"/>
          <w:rtl/>
        </w:rPr>
        <w:footnoteRef/>
      </w:r>
      <w:r w:rsidRPr="009B3F50">
        <w:rPr>
          <w:szCs w:val="20"/>
          <w:rtl/>
        </w:rPr>
        <w:tab/>
        <w:t xml:space="preserve">معهد المراجعين الداخليين، </w:t>
      </w:r>
      <w:hyperlink r:id="rId1" w:history="1">
        <w:r w:rsidR="009B3F50" w:rsidRPr="009B3F50">
          <w:rPr>
            <w:rStyle w:val="Hyperlink"/>
            <w:rFonts w:ascii="Dubai" w:eastAsiaTheme="minorEastAsia" w:hAnsi="Dubai" w:cs="Dubai"/>
            <w:noProof w:val="0"/>
            <w:sz w:val="20"/>
            <w:szCs w:val="20"/>
            <w:lang w:val="en-US" w:eastAsia="zh-CN"/>
          </w:rPr>
          <w:t>www.theiia.org</w:t>
        </w:r>
      </w:hyperlink>
      <w:r w:rsidRPr="009B3F50">
        <w:rPr>
          <w:szCs w:val="20"/>
          <w:rtl/>
        </w:rPr>
        <w:t>.</w:t>
      </w:r>
    </w:p>
  </w:footnote>
  <w:footnote w:id="3">
    <w:p w14:paraId="58613E7E" w14:textId="77777777" w:rsidR="008215F6" w:rsidRPr="00BC2896" w:rsidRDefault="008215F6" w:rsidP="008215F6">
      <w:pPr>
        <w:pStyle w:val="FootnoteText"/>
        <w:tabs>
          <w:tab w:val="clear" w:pos="794"/>
          <w:tab w:val="left" w:pos="424"/>
        </w:tabs>
        <w:rPr>
          <w:lang w:val="ar-SA" w:eastAsia="zh-TW" w:bidi="en-GB"/>
        </w:rPr>
      </w:pPr>
      <w:r w:rsidRPr="009B3F50">
        <w:rPr>
          <w:rStyle w:val="FootnoteReference"/>
          <w:position w:val="0"/>
          <w:sz w:val="20"/>
          <w:szCs w:val="20"/>
          <w:rtl/>
        </w:rPr>
        <w:footnoteRef/>
      </w:r>
      <w:r w:rsidRPr="009B3F50">
        <w:rPr>
          <w:szCs w:val="20"/>
          <w:rtl/>
        </w:rPr>
        <w:tab/>
        <w:t>يؤكد المعيار العالمي للمراجعة الداخلية 15.2 المعتمد لدى معهد المراجعين الداخليين تنفيذ التوصيات أو خطط العمل</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9274" w14:textId="77777777" w:rsidR="007B0AA0" w:rsidRDefault="007648A6" w:rsidP="00935AAC">
    <w:pPr>
      <w:pStyle w:val="Header"/>
      <w:spacing w:before="120" w:after="600"/>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2FB30889" wp14:editId="025B2E30">
              <wp:simplePos x="0" y="0"/>
              <wp:positionH relativeFrom="page">
                <wp:posOffset>7453630</wp:posOffset>
              </wp:positionH>
              <wp:positionV relativeFrom="topMargin">
                <wp:posOffset>641294</wp:posOffset>
              </wp:positionV>
              <wp:extent cx="92075" cy="360680"/>
              <wp:effectExtent l="0" t="0" r="3175" b="127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36068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DCDE6" id="Rectangle 5" o:spid="_x0000_s1026" style="position:absolute;margin-left:586.9pt;margin-top:50.5pt;width:7.25pt;height:28.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" fillcolor="#009cd5" stroked="f">
              <w10:wrap anchorx="page" anchory="margin"/>
            </v:rect>
          </w:pict>
        </mc:Fallback>
      </mc:AlternateContent>
    </w:r>
    <w:r w:rsidR="00420F8A">
      <w:rPr>
        <w:rFonts w:ascii="Avenir Nxt2 W1G Medium" w:eastAsia="Avenir Nxt2 W1G Medium" w:hAnsi="Avenir Nxt2 W1G Medium" w:cs="Avenir Nxt2 W1G Medium"/>
        <w:noProof/>
      </w:rPr>
      <w:drawing>
        <wp:inline distT="0" distB="0" distL="0" distR="0" wp14:anchorId="7F07A6AC" wp14:editId="63922060">
          <wp:extent cx="2999433" cy="612775"/>
          <wp:effectExtent l="0" t="0" r="0" b="0"/>
          <wp:docPr id="1631567398" name="Picture 1"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567398" name="Picture 1" descr="A black background with blue text&#10;&#10;AI-generated content may be incorrect."/>
                  <pic:cNvPicPr/>
                </pic:nvPicPr>
                <pic:blipFill rotWithShape="1">
                  <a:blip r:embed="rId1">
                    <a:extLst>
                      <a:ext uri="{28A0092B-C50C-407E-A947-70E740481C1C}">
                        <a14:useLocalDpi xmlns:a14="http://schemas.microsoft.com/office/drawing/2010/main" val="0"/>
                      </a:ext>
                    </a:extLst>
                  </a:blip>
                  <a:srcRect r="18302"/>
                  <a:stretch/>
                </pic:blipFill>
                <pic:spPr bwMode="auto">
                  <a:xfrm>
                    <a:off x="0" y="0"/>
                    <a:ext cx="2999932" cy="61287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0721B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60C0ED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6D2FAD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AFEFB0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9C0653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D1E9F1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4D01A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84A10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52264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8547A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552E63"/>
    <w:multiLevelType w:val="multilevel"/>
    <w:tmpl w:val="9812815E"/>
    <w:lvl w:ilvl="0">
      <w:start w:val="1"/>
      <w:numFmt w:val="decimal"/>
      <w:pStyle w:val="Style1"/>
      <w:lvlText w:val="%1."/>
      <w:lvlJc w:val="left"/>
      <w:pPr>
        <w:ind w:left="360" w:hanging="360"/>
      </w:pPr>
      <w:rPr>
        <w:rFonts w:asciiTheme="majorHAnsi" w:hAnsiTheme="majorHAnsi" w:cstheme="majorHAnsi" w:hint="default"/>
        <w:b w:val="0"/>
        <w:bCs w:val="0"/>
        <w:i w:val="0"/>
        <w:iCs w:val="0"/>
        <w:color w:val="000000"/>
        <w:sz w:val="22"/>
        <w:szCs w:val="22"/>
        <w:lang w:val="en-US"/>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68C314B"/>
    <w:multiLevelType w:val="hybridMultilevel"/>
    <w:tmpl w:val="A7F601B6"/>
    <w:lvl w:ilvl="0" w:tplc="21F65082">
      <w:start w:val="1"/>
      <w:numFmt w:val="decimal"/>
      <w:lvlText w:val="%1."/>
      <w:lvlJc w:val="left"/>
      <w:pPr>
        <w:ind w:left="360" w:hanging="360"/>
      </w:pPr>
      <w:rPr>
        <w:rFonts w:asciiTheme="minorHAnsi" w:hAnsiTheme="minorHAnsi" w:hint="default"/>
        <w:b w:val="0"/>
        <w:bCs w:val="0"/>
        <w:i w:val="0"/>
        <w:iCs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2173746">
    <w:abstractNumId w:val="11"/>
    <w:lvlOverride w:ilvl="0">
      <w:lvl w:ilvl="0" w:tplc="21F65082">
        <w:start w:val="1"/>
        <w:numFmt w:val="decimal"/>
        <w:lvlText w:val="%1."/>
        <w:lvlJc w:val="left"/>
        <w:pPr>
          <w:ind w:left="360" w:hanging="360"/>
        </w:pPr>
        <w:rPr>
          <w:rFonts w:asciiTheme="minorHAnsi" w:hAnsiTheme="minorHAnsi"/>
          <w:b w:val="0"/>
          <w:bCs w:val="0"/>
          <w:i w:val="0"/>
          <w:iCs w:val="0"/>
          <w:sz w:val="22"/>
          <w:szCs w:val="22"/>
        </w:rPr>
      </w:lvl>
    </w:lvlOverride>
  </w:num>
  <w:num w:numId="2" w16cid:durableId="1464037313">
    <w:abstractNumId w:val="10"/>
  </w:num>
  <w:num w:numId="3" w16cid:durableId="2111851668">
    <w:abstractNumId w:val="9"/>
  </w:num>
  <w:num w:numId="4" w16cid:durableId="537662833">
    <w:abstractNumId w:val="7"/>
  </w:num>
  <w:num w:numId="5" w16cid:durableId="1044407761">
    <w:abstractNumId w:val="6"/>
  </w:num>
  <w:num w:numId="6" w16cid:durableId="1080754685">
    <w:abstractNumId w:val="5"/>
  </w:num>
  <w:num w:numId="7" w16cid:durableId="2122870513">
    <w:abstractNumId w:val="4"/>
  </w:num>
  <w:num w:numId="8" w16cid:durableId="1867475473">
    <w:abstractNumId w:val="8"/>
  </w:num>
  <w:num w:numId="9" w16cid:durableId="690835639">
    <w:abstractNumId w:val="3"/>
  </w:num>
  <w:num w:numId="10" w16cid:durableId="553585439">
    <w:abstractNumId w:val="2"/>
  </w:num>
  <w:num w:numId="11" w16cid:durableId="852493582">
    <w:abstractNumId w:val="1"/>
  </w:num>
  <w:num w:numId="12" w16cid:durableId="946084777">
    <w:abstractNumId w:val="0"/>
  </w:num>
  <w:num w:numId="13" w16cid:durableId="1316181788">
    <w:abstractNumId w:val="8"/>
  </w:num>
  <w:num w:numId="14" w16cid:durableId="1735932986">
    <w:abstractNumId w:val="3"/>
  </w:num>
  <w:num w:numId="15" w16cid:durableId="813989105">
    <w:abstractNumId w:val="2"/>
  </w:num>
  <w:num w:numId="16" w16cid:durableId="369496215">
    <w:abstractNumId w:val="1"/>
  </w:num>
  <w:num w:numId="17" w16cid:durableId="1243221886">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AD"/>
    <w:rsid w:val="00026DBB"/>
    <w:rsid w:val="0006468A"/>
    <w:rsid w:val="00065524"/>
    <w:rsid w:val="00090574"/>
    <w:rsid w:val="000C1C0E"/>
    <w:rsid w:val="000C548A"/>
    <w:rsid w:val="000F4E38"/>
    <w:rsid w:val="00166A9A"/>
    <w:rsid w:val="00191059"/>
    <w:rsid w:val="001B6E2B"/>
    <w:rsid w:val="001C0169"/>
    <w:rsid w:val="001C0C21"/>
    <w:rsid w:val="001D1D50"/>
    <w:rsid w:val="001D64C7"/>
    <w:rsid w:val="001D6745"/>
    <w:rsid w:val="001E446E"/>
    <w:rsid w:val="00207747"/>
    <w:rsid w:val="002154EE"/>
    <w:rsid w:val="002276D2"/>
    <w:rsid w:val="0023283D"/>
    <w:rsid w:val="00245447"/>
    <w:rsid w:val="00254393"/>
    <w:rsid w:val="0026373E"/>
    <w:rsid w:val="00271C43"/>
    <w:rsid w:val="00290728"/>
    <w:rsid w:val="002978F4"/>
    <w:rsid w:val="002B028D"/>
    <w:rsid w:val="002B783F"/>
    <w:rsid w:val="002C3F32"/>
    <w:rsid w:val="002E6541"/>
    <w:rsid w:val="00334924"/>
    <w:rsid w:val="003409BC"/>
    <w:rsid w:val="00357185"/>
    <w:rsid w:val="00383829"/>
    <w:rsid w:val="003F4B29"/>
    <w:rsid w:val="003F6F1C"/>
    <w:rsid w:val="00420F8A"/>
    <w:rsid w:val="0042686F"/>
    <w:rsid w:val="004272DC"/>
    <w:rsid w:val="004317D8"/>
    <w:rsid w:val="0043260A"/>
    <w:rsid w:val="00434183"/>
    <w:rsid w:val="00443869"/>
    <w:rsid w:val="00447F32"/>
    <w:rsid w:val="00491BA9"/>
    <w:rsid w:val="00494119"/>
    <w:rsid w:val="004A4701"/>
    <w:rsid w:val="004B7334"/>
    <w:rsid w:val="004E11DC"/>
    <w:rsid w:val="005067AD"/>
    <w:rsid w:val="005130DE"/>
    <w:rsid w:val="00513157"/>
    <w:rsid w:val="00525DDD"/>
    <w:rsid w:val="005409AC"/>
    <w:rsid w:val="005434E0"/>
    <w:rsid w:val="00545664"/>
    <w:rsid w:val="005546CF"/>
    <w:rsid w:val="0055516A"/>
    <w:rsid w:val="00583309"/>
    <w:rsid w:val="0058491B"/>
    <w:rsid w:val="00585537"/>
    <w:rsid w:val="00592EA5"/>
    <w:rsid w:val="005A3170"/>
    <w:rsid w:val="00657019"/>
    <w:rsid w:val="00660DEA"/>
    <w:rsid w:val="006703B2"/>
    <w:rsid w:val="00677396"/>
    <w:rsid w:val="0069200F"/>
    <w:rsid w:val="006942D1"/>
    <w:rsid w:val="006A65CB"/>
    <w:rsid w:val="006B12E5"/>
    <w:rsid w:val="006C3242"/>
    <w:rsid w:val="006C7CC0"/>
    <w:rsid w:val="006E5833"/>
    <w:rsid w:val="006F363C"/>
    <w:rsid w:val="006F63F7"/>
    <w:rsid w:val="007025C7"/>
    <w:rsid w:val="00706D7A"/>
    <w:rsid w:val="00722F0D"/>
    <w:rsid w:val="00725581"/>
    <w:rsid w:val="00735081"/>
    <w:rsid w:val="0074420E"/>
    <w:rsid w:val="007648A6"/>
    <w:rsid w:val="0077110E"/>
    <w:rsid w:val="00783E26"/>
    <w:rsid w:val="007A6684"/>
    <w:rsid w:val="007B0AA0"/>
    <w:rsid w:val="007C3BC7"/>
    <w:rsid w:val="007C3BCD"/>
    <w:rsid w:val="007C3E60"/>
    <w:rsid w:val="007C76CA"/>
    <w:rsid w:val="007D4ACF"/>
    <w:rsid w:val="007D4CDC"/>
    <w:rsid w:val="007F0787"/>
    <w:rsid w:val="00810B7B"/>
    <w:rsid w:val="008215F6"/>
    <w:rsid w:val="0082358A"/>
    <w:rsid w:val="008235CD"/>
    <w:rsid w:val="008247DE"/>
    <w:rsid w:val="008339C0"/>
    <w:rsid w:val="00840B10"/>
    <w:rsid w:val="008513CB"/>
    <w:rsid w:val="00874E9F"/>
    <w:rsid w:val="00886F51"/>
    <w:rsid w:val="00894328"/>
    <w:rsid w:val="00896EF9"/>
    <w:rsid w:val="008A7F84"/>
    <w:rsid w:val="0091702E"/>
    <w:rsid w:val="00923B0C"/>
    <w:rsid w:val="00924F46"/>
    <w:rsid w:val="00935AAC"/>
    <w:rsid w:val="0094021C"/>
    <w:rsid w:val="00952F86"/>
    <w:rsid w:val="00982B28"/>
    <w:rsid w:val="009B3F50"/>
    <w:rsid w:val="009C414D"/>
    <w:rsid w:val="009D313F"/>
    <w:rsid w:val="009F2444"/>
    <w:rsid w:val="00A47A5A"/>
    <w:rsid w:val="00A63AE6"/>
    <w:rsid w:val="00A6683B"/>
    <w:rsid w:val="00A67F05"/>
    <w:rsid w:val="00A73DEF"/>
    <w:rsid w:val="00A97F94"/>
    <w:rsid w:val="00AA7EA2"/>
    <w:rsid w:val="00AB5A56"/>
    <w:rsid w:val="00B03099"/>
    <w:rsid w:val="00B05BC8"/>
    <w:rsid w:val="00B2469E"/>
    <w:rsid w:val="00B26B18"/>
    <w:rsid w:val="00B30F5E"/>
    <w:rsid w:val="00B64B47"/>
    <w:rsid w:val="00B95654"/>
    <w:rsid w:val="00B97F32"/>
    <w:rsid w:val="00BA04B2"/>
    <w:rsid w:val="00C002DE"/>
    <w:rsid w:val="00C0602B"/>
    <w:rsid w:val="00C224DA"/>
    <w:rsid w:val="00C33227"/>
    <w:rsid w:val="00C53BF8"/>
    <w:rsid w:val="00C66157"/>
    <w:rsid w:val="00C674FE"/>
    <w:rsid w:val="00C67501"/>
    <w:rsid w:val="00C75633"/>
    <w:rsid w:val="00CE2EE1"/>
    <w:rsid w:val="00CE3349"/>
    <w:rsid w:val="00CE36E5"/>
    <w:rsid w:val="00CE4360"/>
    <w:rsid w:val="00CF27F5"/>
    <w:rsid w:val="00CF3FFD"/>
    <w:rsid w:val="00D10CCF"/>
    <w:rsid w:val="00D13941"/>
    <w:rsid w:val="00D23F5F"/>
    <w:rsid w:val="00D43F7D"/>
    <w:rsid w:val="00D63735"/>
    <w:rsid w:val="00D77D0F"/>
    <w:rsid w:val="00DA1CC7"/>
    <w:rsid w:val="00DA1CF0"/>
    <w:rsid w:val="00DB2D79"/>
    <w:rsid w:val="00DC1E02"/>
    <w:rsid w:val="00DC24B4"/>
    <w:rsid w:val="00DC5FB0"/>
    <w:rsid w:val="00DF16DC"/>
    <w:rsid w:val="00E10209"/>
    <w:rsid w:val="00E20ED0"/>
    <w:rsid w:val="00E45211"/>
    <w:rsid w:val="00E473C5"/>
    <w:rsid w:val="00E61BE8"/>
    <w:rsid w:val="00E83FF1"/>
    <w:rsid w:val="00E92863"/>
    <w:rsid w:val="00E979B2"/>
    <w:rsid w:val="00EB49C2"/>
    <w:rsid w:val="00EB796D"/>
    <w:rsid w:val="00F058DC"/>
    <w:rsid w:val="00F24FC4"/>
    <w:rsid w:val="00F2676C"/>
    <w:rsid w:val="00F363FE"/>
    <w:rsid w:val="00F50E3F"/>
    <w:rsid w:val="00F55D3F"/>
    <w:rsid w:val="00F84366"/>
    <w:rsid w:val="00F85089"/>
    <w:rsid w:val="00F974C5"/>
    <w:rsid w:val="00FA3763"/>
    <w:rsid w:val="00FA6F46"/>
    <w:rsid w:val="00FC0E94"/>
    <w:rsid w:val="00FC4592"/>
    <w:rsid w:val="00FD527F"/>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77BA4D"/>
  <w15:chartTrackingRefBased/>
  <w15:docId w15:val="{6BFA1F1A-531A-4E68-9A6F-312746235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081"/>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iPriority w:val="9"/>
    <w:unhideWhenUsed/>
    <w:qFormat/>
    <w:rsid w:val="00F974C5"/>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iPriority w:val="9"/>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iPriority w:val="9"/>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iPriority w:val="9"/>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iPriority w:val="9"/>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iPriority w:val="9"/>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iPriority w:val="9"/>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iPriority w:val="9"/>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uiPriority w:val="9"/>
    <w:rsid w:val="00F974C5"/>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_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_No"/>
    <w:basedOn w:val="AgendaItem"/>
    <w:qFormat/>
    <w:rsid w:val="00F974C5"/>
  </w:style>
  <w:style w:type="paragraph" w:customStyle="1" w:styleId="Annextitle">
    <w:name w:val="Annex_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_No"/>
    <w:basedOn w:val="Normal"/>
    <w:qFormat/>
    <w:rsid w:val="00F974C5"/>
    <w:pPr>
      <w:keepNext/>
      <w:keepLines/>
      <w:spacing w:before="360"/>
      <w:jc w:val="center"/>
    </w:pPr>
    <w:rPr>
      <w:sz w:val="26"/>
      <w:szCs w:val="26"/>
      <w:lang w:bidi="ar-SY"/>
    </w:rPr>
  </w:style>
  <w:style w:type="paragraph" w:customStyle="1" w:styleId="Appendixtitle">
    <w:name w:val="Appendix_title"/>
    <w:basedOn w:val="Normal"/>
    <w:qFormat/>
    <w:rsid w:val="00F974C5"/>
    <w:pPr>
      <w:keepNext/>
      <w:keepLines/>
      <w:spacing w:after="360"/>
      <w:jc w:val="center"/>
    </w:pPr>
    <w:rPr>
      <w:b/>
      <w:bCs/>
      <w:sz w:val="28"/>
      <w:szCs w:val="28"/>
    </w:rPr>
  </w:style>
  <w:style w:type="paragraph" w:customStyle="1" w:styleId="ArticleNo">
    <w:name w:val="Article_No"/>
    <w:basedOn w:val="Normal"/>
    <w:qFormat/>
    <w:rsid w:val="00F974C5"/>
    <w:pPr>
      <w:keepNext/>
      <w:keepLines/>
      <w:spacing w:after="360"/>
      <w:jc w:val="center"/>
    </w:pPr>
    <w:rPr>
      <w:sz w:val="26"/>
      <w:szCs w:val="26"/>
      <w:lang w:bidi="ar-SY"/>
    </w:rPr>
  </w:style>
  <w:style w:type="paragraph" w:customStyle="1" w:styleId="Articletitle">
    <w:name w:val="Article_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_No"/>
    <w:basedOn w:val="Normal"/>
    <w:qFormat/>
    <w:rsid w:val="00F974C5"/>
    <w:pPr>
      <w:keepNext/>
      <w:keepLines/>
      <w:spacing w:before="600"/>
      <w:jc w:val="center"/>
    </w:pPr>
    <w:rPr>
      <w:sz w:val="28"/>
      <w:szCs w:val="28"/>
      <w:lang w:bidi="ar-SY"/>
    </w:rPr>
  </w:style>
  <w:style w:type="paragraph" w:customStyle="1" w:styleId="Chaptertitle">
    <w:name w:val="Chapter_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1"/>
    <w:basedOn w:val="Normal"/>
    <w:qFormat/>
    <w:rsid w:val="00F974C5"/>
    <w:pPr>
      <w:spacing w:before="80"/>
      <w:ind w:left="794" w:hanging="794"/>
      <w:outlineLvl w:val="0"/>
    </w:pPr>
    <w:rPr>
      <w:lang w:bidi="ar-SY"/>
    </w:rPr>
  </w:style>
  <w:style w:type="paragraph" w:customStyle="1" w:styleId="enumlev2">
    <w:name w:val="enumlev2"/>
    <w:basedOn w:val="Normal"/>
    <w:next w:val="enumlev1"/>
    <w:qFormat/>
    <w:rsid w:val="00F974C5"/>
    <w:pPr>
      <w:spacing w:before="80"/>
      <w:ind w:left="1588" w:hanging="794"/>
      <w:outlineLvl w:val="1"/>
    </w:pPr>
  </w:style>
  <w:style w:type="paragraph" w:customStyle="1" w:styleId="enumlev3">
    <w:name w:val="enumlev3"/>
    <w:basedOn w:val="Normal"/>
    <w:qFormat/>
    <w:rsid w:val="008A7F84"/>
    <w:pPr>
      <w:spacing w:before="80"/>
      <w:ind w:left="2382" w:hanging="794"/>
      <w:outlineLvl w:val="2"/>
    </w:pPr>
    <w:rPr>
      <w:lang w:bidi="ar-SY"/>
    </w:rPr>
  </w:style>
  <w:style w:type="paragraph" w:customStyle="1" w:styleId="Figurelegend">
    <w:name w:val="Figure_legend"/>
    <w:basedOn w:val="Normal"/>
    <w:qFormat/>
    <w:rsid w:val="00F974C5"/>
    <w:pPr>
      <w:spacing w:before="60"/>
    </w:pPr>
    <w:rPr>
      <w:lang w:bidi="ar-SY"/>
    </w:rPr>
  </w:style>
  <w:style w:type="paragraph" w:styleId="FootnoteText">
    <w:name w:val="footnote text"/>
    <w:basedOn w:val="Normal"/>
    <w:link w:val="FootnoteTextChar"/>
    <w:uiPriority w:val="99"/>
    <w:unhideWhenUsed/>
    <w:qFormat/>
    <w:rsid w:val="002E6541"/>
    <w:pPr>
      <w:spacing w:before="60" w:line="168" w:lineRule="auto"/>
    </w:pPr>
    <w:rPr>
      <w:sz w:val="20"/>
      <w:szCs w:val="26"/>
    </w:rPr>
  </w:style>
  <w:style w:type="character" w:styleId="FootnoteReference">
    <w:name w:val="footnote reference"/>
    <w:aliases w:val="Footnote_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_No"/>
    <w:basedOn w:val="Normal"/>
    <w:qFormat/>
    <w:rsid w:val="00F974C5"/>
    <w:pPr>
      <w:keepNext/>
      <w:keepLines/>
      <w:spacing w:before="360"/>
      <w:jc w:val="center"/>
    </w:pPr>
    <w:rPr>
      <w:sz w:val="26"/>
      <w:szCs w:val="26"/>
    </w:rPr>
  </w:style>
  <w:style w:type="paragraph" w:customStyle="1" w:styleId="Parttitle">
    <w:name w:val="Part_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_1"/>
    <w:basedOn w:val="Normal"/>
    <w:qFormat/>
    <w:rsid w:val="00F974C5"/>
    <w:pPr>
      <w:keepNext/>
      <w:spacing w:before="360" w:after="240"/>
      <w:jc w:val="center"/>
    </w:pPr>
    <w:rPr>
      <w:b/>
      <w:bCs/>
      <w:sz w:val="26"/>
      <w:szCs w:val="26"/>
      <w:lang w:bidi="ar-SY"/>
    </w:rPr>
  </w:style>
  <w:style w:type="paragraph" w:customStyle="1" w:styleId="Section2">
    <w:name w:val="Section_2"/>
    <w:basedOn w:val="Section1"/>
    <w:qFormat/>
    <w:rsid w:val="00F974C5"/>
    <w:pPr>
      <w:spacing w:before="240"/>
    </w:pPr>
    <w:rPr>
      <w:b w:val="0"/>
      <w:bCs w:val="0"/>
    </w:rPr>
  </w:style>
  <w:style w:type="paragraph" w:customStyle="1" w:styleId="SectionNo">
    <w:name w:val="Section_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_No"/>
    <w:basedOn w:val="Normal"/>
    <w:qFormat/>
    <w:rsid w:val="00F974C5"/>
    <w:pPr>
      <w:keepNext/>
      <w:spacing w:before="240"/>
      <w:jc w:val="center"/>
    </w:pPr>
    <w:rPr>
      <w:lang w:bidi="ar-SY"/>
    </w:rPr>
  </w:style>
  <w:style w:type="paragraph" w:customStyle="1" w:styleId="Figuretitle">
    <w:name w:val="Figure_title"/>
    <w:basedOn w:val="Normal"/>
    <w:qFormat/>
    <w:rsid w:val="00F974C5"/>
    <w:pPr>
      <w:keepNext/>
      <w:spacing w:after="240"/>
      <w:jc w:val="center"/>
    </w:pPr>
    <w:rPr>
      <w:b/>
      <w:bCs/>
    </w:rPr>
  </w:style>
  <w:style w:type="paragraph" w:customStyle="1" w:styleId="TableNo">
    <w:name w:val="Table_No"/>
    <w:basedOn w:val="Normal"/>
    <w:qFormat/>
    <w:rsid w:val="00F974C5"/>
    <w:pPr>
      <w:keepNext/>
      <w:spacing w:before="240"/>
      <w:jc w:val="center"/>
    </w:pPr>
    <w:rPr>
      <w:lang w:bidi="ar-SY"/>
    </w:rPr>
  </w:style>
  <w:style w:type="paragraph" w:customStyle="1" w:styleId="Tabletitle">
    <w:name w:val="Table_title"/>
    <w:basedOn w:val="TableNo"/>
    <w:qFormat/>
    <w:rsid w:val="00F974C5"/>
    <w:pPr>
      <w:spacing w:before="120" w:after="240"/>
    </w:pPr>
    <w:rPr>
      <w:b/>
      <w:bCs/>
    </w:rPr>
  </w:style>
  <w:style w:type="paragraph" w:customStyle="1" w:styleId="Tablehead">
    <w:name w:val="Table_head"/>
    <w:basedOn w:val="Normal"/>
    <w:qFormat/>
    <w:rsid w:val="00F974C5"/>
    <w:pPr>
      <w:keepNext/>
      <w:spacing w:before="60" w:after="60" w:line="260" w:lineRule="exact"/>
      <w:jc w:val="center"/>
    </w:pPr>
    <w:rPr>
      <w:b/>
      <w:bCs/>
      <w:sz w:val="20"/>
      <w:szCs w:val="20"/>
    </w:rPr>
  </w:style>
  <w:style w:type="paragraph" w:customStyle="1" w:styleId="Tabletexte">
    <w:name w:val="Table_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iPriority w:val="39"/>
    <w:unhideWhenUsed/>
    <w:rsid w:val="00F974C5"/>
    <w:pPr>
      <w:ind w:left="720" w:hanging="720"/>
    </w:pPr>
  </w:style>
  <w:style w:type="paragraph" w:styleId="TOC2">
    <w:name w:val="toc 2"/>
    <w:basedOn w:val="Normal"/>
    <w:next w:val="Normal"/>
    <w:autoRedefine/>
    <w:uiPriority w:val="39"/>
    <w:unhideWhenUsed/>
    <w:rsid w:val="002978F4"/>
    <w:pPr>
      <w:ind w:left="1514" w:hanging="720"/>
    </w:pPr>
  </w:style>
  <w:style w:type="paragraph" w:styleId="TOC3">
    <w:name w:val="toc 3"/>
    <w:basedOn w:val="Normal"/>
    <w:next w:val="Normal"/>
    <w:autoRedefine/>
    <w:uiPriority w:val="39"/>
    <w:unhideWhenUsed/>
    <w:rsid w:val="002978F4"/>
    <w:pPr>
      <w:ind w:left="2308" w:hanging="720"/>
    </w:pPr>
  </w:style>
  <w:style w:type="paragraph" w:styleId="TOC4">
    <w:name w:val="toc 4"/>
    <w:basedOn w:val="Normal"/>
    <w:next w:val="Normal"/>
    <w:autoRedefine/>
    <w:uiPriority w:val="39"/>
    <w:unhideWhenUsed/>
    <w:rsid w:val="0023283D"/>
    <w:pPr>
      <w:ind w:left="3045" w:hanging="720"/>
    </w:pPr>
  </w:style>
  <w:style w:type="paragraph" w:styleId="TOC5">
    <w:name w:val="toc 5"/>
    <w:basedOn w:val="Normal"/>
    <w:next w:val="Normal"/>
    <w:autoRedefine/>
    <w:uiPriority w:val="39"/>
    <w:unhideWhenUsed/>
    <w:rsid w:val="0023283D"/>
    <w:pPr>
      <w:ind w:left="3782" w:hanging="720"/>
    </w:pPr>
  </w:style>
  <w:style w:type="paragraph" w:styleId="TOC6">
    <w:name w:val="toc 6"/>
    <w:basedOn w:val="Normal"/>
    <w:next w:val="Normal"/>
    <w:autoRedefine/>
    <w:uiPriority w:val="39"/>
    <w:unhideWhenUsed/>
    <w:rsid w:val="0023283D"/>
    <w:pPr>
      <w:ind w:left="4519" w:hanging="720"/>
    </w:pPr>
  </w:style>
  <w:style w:type="paragraph" w:styleId="TOC7">
    <w:name w:val="toc 7"/>
    <w:basedOn w:val="Normal"/>
    <w:next w:val="Normal"/>
    <w:autoRedefine/>
    <w:uiPriority w:val="39"/>
    <w:unhideWhenUsed/>
    <w:rsid w:val="0023283D"/>
    <w:pPr>
      <w:ind w:left="5256" w:hanging="720"/>
    </w:pPr>
  </w:style>
  <w:style w:type="paragraph" w:styleId="TOC8">
    <w:name w:val="toc 8"/>
    <w:basedOn w:val="Normal"/>
    <w:next w:val="Normal"/>
    <w:autoRedefine/>
    <w:uiPriority w:val="39"/>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_No"/>
    <w:basedOn w:val="Normal"/>
    <w:qFormat/>
    <w:rsid w:val="00F974C5"/>
    <w:pPr>
      <w:keepNext/>
      <w:spacing w:before="360"/>
      <w:jc w:val="center"/>
    </w:pPr>
    <w:rPr>
      <w:sz w:val="26"/>
      <w:szCs w:val="26"/>
      <w:lang w:bidi="ar-SY"/>
    </w:rPr>
  </w:style>
  <w:style w:type="paragraph" w:customStyle="1" w:styleId="Volumetitle">
    <w:name w:val="Volume_title"/>
    <w:basedOn w:val="VolumeNo"/>
    <w:qFormat/>
    <w:rsid w:val="00F974C5"/>
    <w:pPr>
      <w:spacing w:before="120" w:after="360"/>
    </w:pPr>
    <w:rPr>
      <w:b/>
      <w:bCs/>
      <w:sz w:val="28"/>
      <w:szCs w:val="28"/>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_No"/>
    <w:basedOn w:val="Normal"/>
    <w:qFormat/>
    <w:rsid w:val="00F974C5"/>
    <w:pPr>
      <w:keepNext/>
      <w:keepLines/>
      <w:spacing w:before="360"/>
      <w:jc w:val="center"/>
    </w:pPr>
    <w:rPr>
      <w:sz w:val="26"/>
      <w:szCs w:val="26"/>
    </w:rPr>
  </w:style>
  <w:style w:type="paragraph" w:customStyle="1" w:styleId="Opiniontitle">
    <w:name w:val="Opinion_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uiPriority w:val="39"/>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uiPriority w:val="99"/>
    <w:rsid w:val="00F974C5"/>
    <w:rPr>
      <w:rFonts w:ascii="Dubai" w:hAnsi="Dubai" w:cs="Dubai"/>
    </w:rPr>
  </w:style>
  <w:style w:type="character" w:styleId="Hyperlink">
    <w:name w:val="Hyperlink"/>
    <w:basedOn w:val="DefaultParagraphFont"/>
    <w:unhideWhenUsed/>
    <w:rsid w:val="000F4E38"/>
    <w:rPr>
      <w:rFonts w:ascii="Calibri" w:eastAsia="Calibri" w:hAnsi="Calibri" w:cs="Arial"/>
      <w:noProof/>
      <w:color w:val="5B9BD5" w:themeColor="accent1"/>
      <w:sz w:val="18"/>
      <w:u w:val="single"/>
      <w:lang w:val="en-GB" w:eastAsia="en-US"/>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_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aliases w:val="List Paragraph (numbered (a)),WB Para,List Paragraph1,Bullets,Lapis Bulleted List,Dot pt,F5 List Paragraph,No Spacing1,List Paragraph Char Char Char,Indicator Text,Numbered Para 1,Bullet 1,List Paragraph12,Bullet Points,MAIN CONTENT,L,lp1"/>
    <w:basedOn w:val="Normal"/>
    <w:link w:val="ListParagraphChar"/>
    <w:uiPriority w:val="34"/>
    <w:qFormat/>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_legend"/>
    <w:basedOn w:val="Normal"/>
    <w:qFormat/>
    <w:rsid w:val="00F974C5"/>
    <w:pPr>
      <w:spacing w:before="80"/>
    </w:pPr>
    <w:rPr>
      <w:lang w:bidi="ar-SY"/>
    </w:rPr>
  </w:style>
  <w:style w:type="paragraph" w:customStyle="1" w:styleId="Headingb">
    <w:name w:val="Heading_b"/>
    <w:basedOn w:val="Normal"/>
    <w:qFormat/>
    <w:rsid w:val="008339C0"/>
    <w:pPr>
      <w:keepNext/>
      <w:spacing w:before="240"/>
      <w:ind w:left="1134" w:hanging="1134"/>
    </w:pPr>
    <w:rPr>
      <w:b/>
      <w:bCs/>
      <w:sz w:val="24"/>
      <w:szCs w:val="24"/>
    </w:rPr>
  </w:style>
  <w:style w:type="table" w:styleId="GridTable5Dark-Accent1">
    <w:name w:val="Grid Table 5 Dark Accent 1"/>
    <w:basedOn w:val="TableNormal"/>
    <w:uiPriority w:val="50"/>
    <w:rsid w:val="00E61BE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Subtitle0">
    <w:name w:val="Sub_title"/>
    <w:basedOn w:val="Normal"/>
    <w:qFormat/>
    <w:rsid w:val="007B0AA0"/>
    <w:rPr>
      <w:sz w:val="30"/>
      <w:szCs w:val="30"/>
      <w:lang w:bidi="ar-EG"/>
    </w:rPr>
  </w:style>
  <w:style w:type="table" w:customStyle="1" w:styleId="TableGrid1">
    <w:name w:val="Table Grid1"/>
    <w:basedOn w:val="TableNormal"/>
    <w:next w:val="TableGrid"/>
    <w:uiPriority w:val="39"/>
    <w:rsid w:val="007B0AA0"/>
    <w:pPr>
      <w:spacing w:after="0" w:line="240" w:lineRule="auto"/>
    </w:pPr>
    <w:rPr>
      <w:rFonts w:eastAsia="Calibr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60DEA"/>
    <w:rPr>
      <w:color w:val="605E5C"/>
      <w:shd w:val="clear" w:color="auto" w:fill="E1DFDD"/>
    </w:rPr>
  </w:style>
  <w:style w:type="character" w:customStyle="1" w:styleId="ListParagraphChar">
    <w:name w:val="List Paragraph Char"/>
    <w:aliases w:val="List Paragraph (numbered (a)) Char,WB Para Char,List Paragraph1 Char,Bullets Char,Lapis Bulleted List Char,Dot pt Char,F5 List Paragraph Char,No Spacing1 Char,List Paragraph Char Char Char Char,Indicator Text Char,Bullet 1 Char"/>
    <w:basedOn w:val="DefaultParagraphFont"/>
    <w:link w:val="ListParagraph"/>
    <w:uiPriority w:val="34"/>
    <w:locked/>
    <w:rsid w:val="00245447"/>
    <w:rPr>
      <w:rFonts w:ascii="Dubai" w:hAnsi="Dubai" w:cs="Dubai"/>
    </w:rPr>
  </w:style>
  <w:style w:type="paragraph" w:customStyle="1" w:styleId="Style1">
    <w:name w:val="Style1"/>
    <w:basedOn w:val="Heading3"/>
    <w:link w:val="Style1Char"/>
    <w:qFormat/>
    <w:rsid w:val="00245447"/>
    <w:pPr>
      <w:keepLines w:val="0"/>
      <w:numPr>
        <w:numId w:val="2"/>
      </w:numPr>
      <w:tabs>
        <w:tab w:val="clear" w:pos="794"/>
      </w:tabs>
      <w:bidi w:val="0"/>
      <w:spacing w:before="0" w:after="0" w:line="240" w:lineRule="auto"/>
    </w:pPr>
    <w:rPr>
      <w:rFonts w:ascii="Times New Roman" w:eastAsia="SimSun" w:hAnsi="CG Times" w:cs="Arial"/>
      <w:b w:val="0"/>
      <w:bCs w:val="0"/>
    </w:rPr>
  </w:style>
  <w:style w:type="character" w:customStyle="1" w:styleId="Style1Char">
    <w:name w:val="Style1 Char"/>
    <w:link w:val="Style1"/>
    <w:rsid w:val="00245447"/>
    <w:rPr>
      <w:rFonts w:ascii="Times New Roman" w:eastAsia="SimSun" w:hAnsi="CG Times" w:cs="Arial"/>
    </w:rPr>
  </w:style>
  <w:style w:type="paragraph" w:customStyle="1" w:styleId="Headingb0">
    <w:name w:val="Heading b"/>
    <w:basedOn w:val="Normal"/>
    <w:rsid w:val="00B2469E"/>
  </w:style>
  <w:style w:type="paragraph" w:customStyle="1" w:styleId="Heading">
    <w:name w:val="Heading"/>
    <w:basedOn w:val="Normal"/>
    <w:rsid w:val="00B2469E"/>
  </w:style>
  <w:style w:type="character" w:styleId="FollowedHyperlink">
    <w:name w:val="FollowedHyperlink"/>
    <w:basedOn w:val="DefaultParagraphFont"/>
    <w:uiPriority w:val="99"/>
    <w:semiHidden/>
    <w:unhideWhenUsed/>
    <w:rsid w:val="00B2469E"/>
    <w:rPr>
      <w:color w:val="954F72" w:themeColor="followedHyperlink"/>
      <w:u w:val="single"/>
    </w:rPr>
  </w:style>
  <w:style w:type="paragraph" w:customStyle="1" w:styleId="Defau">
    <w:name w:val="Defau"/>
    <w:basedOn w:val="Normal"/>
    <w:rsid w:val="00B2469E"/>
  </w:style>
  <w:style w:type="paragraph" w:styleId="Revision">
    <w:name w:val="Revision"/>
    <w:hidden/>
    <w:uiPriority w:val="99"/>
    <w:semiHidden/>
    <w:rsid w:val="000F4E38"/>
    <w:pPr>
      <w:spacing w:after="0" w:line="240" w:lineRule="auto"/>
    </w:pPr>
    <w:rPr>
      <w:rFonts w:ascii="Dubai" w:hAnsi="Dubai" w:cs="Dubai"/>
    </w:rPr>
  </w:style>
  <w:style w:type="paragraph" w:customStyle="1" w:styleId="Figure">
    <w:name w:val="Figure"/>
    <w:basedOn w:val="Figurelegend"/>
    <w:rsid w:val="008215F6"/>
    <w:pPr>
      <w:spacing w:before="12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412735">
      <w:bodyDiv w:val="1"/>
      <w:marLeft w:val="0"/>
      <w:marRight w:val="0"/>
      <w:marTop w:val="0"/>
      <w:marBottom w:val="0"/>
      <w:divBdr>
        <w:top w:val="none" w:sz="0" w:space="0" w:color="auto"/>
        <w:left w:val="none" w:sz="0" w:space="0" w:color="auto"/>
        <w:bottom w:val="none" w:sz="0" w:space="0" w:color="auto"/>
        <w:right w:val="none" w:sz="0" w:space="0" w:color="auto"/>
      </w:divBdr>
    </w:div>
    <w:div w:id="1356811292">
      <w:bodyDiv w:val="1"/>
      <w:marLeft w:val="0"/>
      <w:marRight w:val="0"/>
      <w:marTop w:val="0"/>
      <w:marBottom w:val="0"/>
      <w:divBdr>
        <w:top w:val="none" w:sz="0" w:space="0" w:color="auto"/>
        <w:left w:val="none" w:sz="0" w:space="0" w:color="auto"/>
        <w:bottom w:val="none" w:sz="0" w:space="0" w:color="auto"/>
        <w:right w:val="none" w:sz="0" w:space="0" w:color="auto"/>
      </w:divBdr>
    </w:div>
    <w:div w:id="1931816769">
      <w:bodyDiv w:val="1"/>
      <w:marLeft w:val="0"/>
      <w:marRight w:val="0"/>
      <w:marTop w:val="0"/>
      <w:marBottom w:val="0"/>
      <w:divBdr>
        <w:top w:val="none" w:sz="0" w:space="0" w:color="auto"/>
        <w:left w:val="none" w:sz="0" w:space="0" w:color="auto"/>
        <w:bottom w:val="none" w:sz="0" w:space="0" w:color="auto"/>
        <w:right w:val="none" w:sz="0" w:space="0" w:color="auto"/>
      </w:divBdr>
    </w:div>
    <w:div w:id="207515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Pages/Financial-Regulations.aspx"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tu.int/md/S25-CL-INF-0001/en" TargetMode="External"/><Relationship Id="rId4" Type="http://schemas.openxmlformats.org/officeDocument/2006/relationships/settings" Target="settings.xml"/><Relationship Id="rId9" Type="http://schemas.openxmlformats.org/officeDocument/2006/relationships/hyperlink" Target="https://www.itu.int/en/council/Pages/form-internal-audit.aspx"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5/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hei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5\SG\PA_Council%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28108-4966-4581-8805-B68FC0355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PA_Council 2025.dotx</Template>
  <TotalTime>1</TotalTime>
  <Pages>4</Pages>
  <Words>1085</Words>
  <Characters>5937</Characters>
  <Application>Microsoft Office Word</Application>
  <DocSecurity>0</DocSecurity>
  <Lines>100</Lines>
  <Paragraphs>45</Paragraphs>
  <ScaleCrop>false</ScaleCrop>
  <HeadingPairs>
    <vt:vector size="2" baseType="variant">
      <vt:variant>
        <vt:lpstr>Title</vt:lpstr>
      </vt:variant>
      <vt:variant>
        <vt:i4>1</vt:i4>
      </vt:variant>
    </vt:vector>
  </HeadingPairs>
  <TitlesOfParts>
    <vt:vector size="1" baseType="lpstr">
      <vt:lpstr>Report from the Oversight Unit's internal audit function</vt:lpstr>
    </vt:vector>
  </TitlesOfParts>
  <Company>International Telecommunication Union</Company>
  <LinksUpToDate>false</LinksUpToDate>
  <CharactersWithSpaces>6977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from the Oversight Unit's internal audit function</dc:title>
  <dc:subject>ITU Council 2025</dc:subject>
  <cp:keywords>C2025, C25, Council-25</cp:keywords>
  <dc:description/>
  <dcterms:created xsi:type="dcterms:W3CDTF">2025-06-09T14:10:00Z</dcterms:created>
  <dcterms:modified xsi:type="dcterms:W3CDTF">2025-06-09T14:10:00Z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4764bc0ed8aab6cc3f228418da0bf4d692034987165b3c327d8e9737cd820415</vt:lpwstr>
  </property>
</Properties>
</file>