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D35D16" w14:paraId="45CA9547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6F0D235" w14:textId="372180D9" w:rsidR="00796BD3" w:rsidRPr="00D35D16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D35D16">
              <w:rPr>
                <w:b/>
                <w:lang w:val="ru-RU"/>
              </w:rPr>
              <w:t>Пункт повестки дня:</w:t>
            </w:r>
            <w:r w:rsidR="004A7E61" w:rsidRPr="00D35D16">
              <w:rPr>
                <w:b/>
                <w:lang w:val="ru-RU"/>
              </w:rPr>
              <w:t xml:space="preserve"> </w:t>
            </w:r>
            <w:r w:rsidR="004A7E61" w:rsidRPr="00D35D16">
              <w:rPr>
                <w:b/>
                <w:bCs/>
                <w:color w:val="000000"/>
                <w:szCs w:val="22"/>
                <w:lang w:val="ru-RU"/>
              </w:rPr>
              <w:t>ADM 1</w:t>
            </w:r>
          </w:p>
        </w:tc>
        <w:tc>
          <w:tcPr>
            <w:tcW w:w="5245" w:type="dxa"/>
          </w:tcPr>
          <w:p w14:paraId="6FBD21E7" w14:textId="54F1D484" w:rsidR="00796BD3" w:rsidRPr="00D35D16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D35D16">
              <w:rPr>
                <w:b/>
                <w:lang w:val="ru-RU"/>
              </w:rPr>
              <w:t xml:space="preserve">Документ </w:t>
            </w:r>
            <w:proofErr w:type="spellStart"/>
            <w:r w:rsidR="00796BD3" w:rsidRPr="00D35D16">
              <w:rPr>
                <w:b/>
                <w:lang w:val="ru-RU"/>
              </w:rPr>
              <w:t>C2</w:t>
            </w:r>
            <w:r w:rsidR="00D631AA" w:rsidRPr="00D35D16">
              <w:rPr>
                <w:b/>
                <w:lang w:val="ru-RU"/>
              </w:rPr>
              <w:t>5</w:t>
            </w:r>
            <w:proofErr w:type="spellEnd"/>
            <w:r w:rsidR="00796BD3" w:rsidRPr="00D35D16">
              <w:rPr>
                <w:b/>
                <w:lang w:val="ru-RU"/>
              </w:rPr>
              <w:t>/</w:t>
            </w:r>
            <w:r w:rsidR="004A7E61" w:rsidRPr="00D35D16">
              <w:rPr>
                <w:b/>
                <w:lang w:val="ru-RU"/>
              </w:rPr>
              <w:t>43</w:t>
            </w:r>
            <w:r w:rsidR="00796BD3" w:rsidRPr="00D35D16">
              <w:rPr>
                <w:b/>
                <w:lang w:val="ru-RU"/>
              </w:rPr>
              <w:t>-R</w:t>
            </w:r>
          </w:p>
        </w:tc>
      </w:tr>
      <w:tr w:rsidR="00796BD3" w:rsidRPr="00D35D16" w14:paraId="37E57548" w14:textId="77777777" w:rsidTr="00DA770A">
        <w:trPr>
          <w:cantSplit/>
        </w:trPr>
        <w:tc>
          <w:tcPr>
            <w:tcW w:w="3969" w:type="dxa"/>
            <w:vMerge/>
          </w:tcPr>
          <w:p w14:paraId="07CD901A" w14:textId="77777777" w:rsidR="00796BD3" w:rsidRPr="00D35D16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41DD79C" w14:textId="31511C24" w:rsidR="00796BD3" w:rsidRPr="00D35D16" w:rsidRDefault="004A7E61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D35D16">
              <w:rPr>
                <w:b/>
                <w:lang w:val="ru-RU"/>
              </w:rPr>
              <w:t>22 апреля 2025 года</w:t>
            </w:r>
          </w:p>
        </w:tc>
      </w:tr>
      <w:tr w:rsidR="00796BD3" w:rsidRPr="00D35D16" w14:paraId="1C1A7F2D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78D11D80" w14:textId="77777777" w:rsidR="00796BD3" w:rsidRPr="00D35D16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0965A93F" w14:textId="77777777" w:rsidR="00796BD3" w:rsidRPr="00D35D16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D35D16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D35D16" w14:paraId="711EF6D6" w14:textId="77777777" w:rsidTr="00DA770A">
        <w:trPr>
          <w:cantSplit/>
          <w:trHeight w:val="23"/>
        </w:trPr>
        <w:tc>
          <w:tcPr>
            <w:tcW w:w="3969" w:type="dxa"/>
          </w:tcPr>
          <w:p w14:paraId="3F8D980C" w14:textId="77777777" w:rsidR="00796BD3" w:rsidRPr="00D35D16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360ECEC4" w14:textId="77777777" w:rsidR="00796BD3" w:rsidRPr="00D35D16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D35D16" w14:paraId="62AFE0E6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BF07471" w14:textId="77777777" w:rsidR="00796BD3" w:rsidRPr="00D35D16" w:rsidRDefault="0033025A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D35D16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961BD2" w14:paraId="79F3B161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053CD32" w14:textId="7D9F33E7" w:rsidR="00796BD3" w:rsidRPr="00D35D16" w:rsidRDefault="004A7E61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_Hlk163596052"/>
            <w:bookmarkStart w:id="7" w:name="dtitle1" w:colFirst="0" w:colLast="0"/>
            <w:bookmarkEnd w:id="5"/>
            <w:r w:rsidRPr="00D35D16">
              <w:rPr>
                <w:color w:val="000000"/>
                <w:sz w:val="32"/>
                <w:szCs w:val="32"/>
                <w:lang w:val="ru-RU"/>
              </w:rPr>
              <w:t>РАСПРЕДЕЛЕНИЕ СРЕДСТВ, СЭКОНОМЛЕННЫХ ПРИ ИСПОЛНЕНИИ БЮДЖЕТА НА 2024 ГОД</w:t>
            </w:r>
            <w:bookmarkEnd w:id="6"/>
          </w:p>
        </w:tc>
      </w:tr>
      <w:tr w:rsidR="00796BD3" w:rsidRPr="00D35D16" w14:paraId="67EF4F93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B836CCC" w14:textId="77777777" w:rsidR="004A7E61" w:rsidRPr="00D35D16" w:rsidRDefault="004A7E61" w:rsidP="004A7E61">
            <w:pPr>
              <w:spacing w:before="160"/>
              <w:rPr>
                <w:b/>
                <w:bCs/>
                <w:color w:val="000000"/>
                <w:lang w:val="ru-RU"/>
              </w:rPr>
            </w:pPr>
            <w:r w:rsidRPr="00D35D16">
              <w:rPr>
                <w:b/>
                <w:bCs/>
                <w:color w:val="000000"/>
                <w:lang w:val="ru-RU"/>
              </w:rPr>
              <w:t>Назначение</w:t>
            </w:r>
          </w:p>
          <w:p w14:paraId="6BF19E35" w14:textId="77777777" w:rsidR="004A7E61" w:rsidRPr="00D35D16" w:rsidRDefault="004A7E61" w:rsidP="00961BD2">
            <w:pPr>
              <w:spacing w:after="120"/>
              <w:jc w:val="both"/>
              <w:rPr>
                <w:rFonts w:asciiTheme="minorHAnsi" w:hAnsiTheme="minorHAnsi" w:cstheme="minorBidi"/>
                <w:lang w:val="ru-RU"/>
              </w:rPr>
            </w:pPr>
            <w:r w:rsidRPr="00D35D16">
              <w:rPr>
                <w:color w:val="000000"/>
                <w:lang w:val="ru-RU"/>
              </w:rPr>
              <w:t>Цель настоящего документа состоит в том, чтобы просить Совет разрешить использование средств, сэкономленных в связи с исполнением бюджета на 2024 год, для финансирования некоторых видов деятельности, которые не покрываются регулярным бюджетом Союза.</w:t>
            </w:r>
          </w:p>
          <w:p w14:paraId="2F4F37C3" w14:textId="77777777" w:rsidR="004A7E61" w:rsidRPr="00D35D16" w:rsidRDefault="004A7E61" w:rsidP="001973DE">
            <w:pPr>
              <w:spacing w:before="160"/>
              <w:rPr>
                <w:b/>
                <w:bCs/>
                <w:color w:val="000000"/>
                <w:lang w:val="ru-RU"/>
              </w:rPr>
            </w:pPr>
            <w:r w:rsidRPr="00D35D16">
              <w:rPr>
                <w:b/>
                <w:bCs/>
                <w:color w:val="000000"/>
                <w:lang w:val="ru-RU"/>
              </w:rPr>
              <w:t>Необходимые действия Совета</w:t>
            </w:r>
          </w:p>
          <w:p w14:paraId="0D1B0BE2" w14:textId="1CD8E893" w:rsidR="004A7E61" w:rsidRPr="00D35D16" w:rsidRDefault="004A7E61" w:rsidP="00961BD2">
            <w:pPr>
              <w:spacing w:before="160"/>
              <w:jc w:val="both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D35D16">
              <w:rPr>
                <w:color w:val="000000"/>
                <w:lang w:val="ru-RU"/>
              </w:rPr>
              <w:t xml:space="preserve">Совету предлагается </w:t>
            </w:r>
            <w:r w:rsidRPr="00D35D16">
              <w:rPr>
                <w:b/>
                <w:bCs/>
                <w:color w:val="000000"/>
                <w:lang w:val="ru-RU"/>
              </w:rPr>
              <w:t>утвердить</w:t>
            </w:r>
            <w:r w:rsidRPr="00D35D16">
              <w:rPr>
                <w:color w:val="000000"/>
                <w:lang w:val="ru-RU"/>
              </w:rPr>
              <w:t xml:space="preserve"> проект Резолюции, содержащийся в </w:t>
            </w:r>
            <w:hyperlink w:anchor="Annex" w:history="1">
              <w:r w:rsidRPr="00D35D16">
                <w:rPr>
                  <w:rStyle w:val="Hyperlink"/>
                  <w:lang w:val="ru-RU"/>
                </w:rPr>
                <w:t>Приложении</w:t>
              </w:r>
            </w:hyperlink>
            <w:r w:rsidRPr="00D35D16">
              <w:rPr>
                <w:color w:val="000000"/>
                <w:lang w:val="ru-RU"/>
              </w:rPr>
              <w:t xml:space="preserve"> к настоящему документу.</w:t>
            </w:r>
          </w:p>
          <w:p w14:paraId="61A3A0FC" w14:textId="77777777" w:rsidR="004A7E61" w:rsidRPr="00D35D16" w:rsidRDefault="004A7E61" w:rsidP="001973DE">
            <w:pPr>
              <w:spacing w:before="160"/>
              <w:rPr>
                <w:b/>
                <w:bCs/>
                <w:color w:val="000000"/>
                <w:lang w:val="ru-RU"/>
              </w:rPr>
            </w:pPr>
            <w:r w:rsidRPr="00D35D16">
              <w:rPr>
                <w:b/>
                <w:bCs/>
                <w:color w:val="000000"/>
                <w:lang w:val="ru-RU"/>
              </w:rPr>
              <w:t>Соответствующая увязка со Стратегическим планом</w:t>
            </w:r>
          </w:p>
          <w:p w14:paraId="5D63D31D" w14:textId="5ABAE923" w:rsidR="004A7E61" w:rsidRPr="00D35D16" w:rsidRDefault="004A7E61" w:rsidP="001973DE">
            <w:pPr>
              <w:spacing w:before="160"/>
              <w:rPr>
                <w:szCs w:val="24"/>
                <w:lang w:val="ru-RU"/>
              </w:rPr>
            </w:pPr>
            <w:r w:rsidRPr="00D35D16">
              <w:rPr>
                <w:color w:val="000000"/>
                <w:lang w:val="ru-RU"/>
              </w:rPr>
              <w:t xml:space="preserve">Этот документ соответствует Стратегическому плану на </w:t>
            </w:r>
            <w:proofErr w:type="gramStart"/>
            <w:r w:rsidRPr="00D35D16">
              <w:rPr>
                <w:color w:val="000000"/>
                <w:lang w:val="ru-RU"/>
              </w:rPr>
              <w:t>2024</w:t>
            </w:r>
            <w:r w:rsidR="00961BD2" w:rsidRPr="00961BD2">
              <w:rPr>
                <w:color w:val="000000"/>
                <w:lang w:val="ru-RU"/>
              </w:rPr>
              <w:t>-</w:t>
            </w:r>
            <w:r w:rsidRPr="00D35D16">
              <w:rPr>
                <w:color w:val="000000"/>
                <w:lang w:val="ru-RU"/>
              </w:rPr>
              <w:t>2027</w:t>
            </w:r>
            <w:proofErr w:type="gramEnd"/>
            <w:r w:rsidRPr="00D35D16">
              <w:rPr>
                <w:color w:val="000000"/>
                <w:lang w:val="ru-RU"/>
              </w:rPr>
              <w:t xml:space="preserve"> годы.</w:t>
            </w:r>
          </w:p>
          <w:p w14:paraId="59A6EB22" w14:textId="77777777" w:rsidR="004A7E61" w:rsidRPr="00D35D16" w:rsidRDefault="004A7E61" w:rsidP="001973DE">
            <w:pPr>
              <w:spacing w:before="160"/>
              <w:rPr>
                <w:b/>
                <w:bCs/>
                <w:color w:val="000000"/>
                <w:lang w:val="ru-RU"/>
              </w:rPr>
            </w:pPr>
            <w:r w:rsidRPr="00D35D16">
              <w:rPr>
                <w:b/>
                <w:bCs/>
                <w:sz w:val="26"/>
                <w:szCs w:val="26"/>
                <w:lang w:val="ru-RU"/>
              </w:rPr>
              <w:t xml:space="preserve">Финансовые </w:t>
            </w:r>
            <w:r w:rsidRPr="00D35D16">
              <w:rPr>
                <w:b/>
                <w:bCs/>
                <w:color w:val="000000"/>
                <w:lang w:val="ru-RU"/>
              </w:rPr>
              <w:t>последствия</w:t>
            </w:r>
          </w:p>
          <w:p w14:paraId="73974AE5" w14:textId="2E417FD2" w:rsidR="004A7E61" w:rsidRPr="00D35D16" w:rsidRDefault="004A7E61" w:rsidP="00961BD2">
            <w:pPr>
              <w:spacing w:before="160"/>
              <w:jc w:val="both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D35D16">
              <w:rPr>
                <w:color w:val="000000"/>
                <w:lang w:val="ru-RU"/>
              </w:rPr>
              <w:t xml:space="preserve">Выделение </w:t>
            </w:r>
            <w:r w:rsidRPr="00D35D16">
              <w:rPr>
                <w:b/>
                <w:bCs/>
                <w:color w:val="000000"/>
                <w:lang w:val="ru-RU"/>
              </w:rPr>
              <w:t>5060 тыс. швейцарских франков</w:t>
            </w:r>
            <w:r w:rsidRPr="00D35D16">
              <w:rPr>
                <w:color w:val="000000"/>
                <w:lang w:val="ru-RU"/>
              </w:rPr>
              <w:t>, сэкономленных при исполнении бюджета на</w:t>
            </w:r>
            <w:r w:rsidR="00426020" w:rsidRPr="00D35D16">
              <w:rPr>
                <w:color w:val="000000"/>
                <w:lang w:val="ru-RU"/>
              </w:rPr>
              <w:t> </w:t>
            </w:r>
            <w:r w:rsidRPr="00D35D16">
              <w:rPr>
                <w:color w:val="000000"/>
                <w:lang w:val="ru-RU"/>
              </w:rPr>
              <w:t>2024</w:t>
            </w:r>
            <w:r w:rsidR="00426020" w:rsidRPr="00D35D16">
              <w:rPr>
                <w:color w:val="000000"/>
                <w:lang w:val="ru-RU"/>
              </w:rPr>
              <w:t> </w:t>
            </w:r>
            <w:r w:rsidRPr="00D35D16">
              <w:rPr>
                <w:color w:val="000000"/>
                <w:lang w:val="ru-RU"/>
              </w:rPr>
              <w:t xml:space="preserve">год, на финансирование видов деятельности, которые не покрываются из регулярного </w:t>
            </w:r>
            <w:r w:rsidRPr="00D35D16">
              <w:rPr>
                <w:rFonts w:asciiTheme="minorHAnsi" w:hAnsiTheme="minorHAnsi" w:cstheme="minorHAnsi"/>
                <w:szCs w:val="24"/>
                <w:lang w:val="ru-RU"/>
              </w:rPr>
              <w:t>бюджета.</w:t>
            </w:r>
          </w:p>
          <w:p w14:paraId="0E212157" w14:textId="77777777" w:rsidR="004A7E61" w:rsidRPr="00D35D16" w:rsidRDefault="004A7E61" w:rsidP="001973DE">
            <w:pPr>
              <w:spacing w:before="160"/>
              <w:rPr>
                <w:caps/>
                <w:lang w:val="ru-RU"/>
              </w:rPr>
            </w:pPr>
            <w:r w:rsidRPr="00D35D16">
              <w:rPr>
                <w:color w:val="000000"/>
                <w:lang w:val="ru-RU"/>
              </w:rPr>
              <w:t>__________________</w:t>
            </w:r>
          </w:p>
          <w:p w14:paraId="2808BAAF" w14:textId="77777777" w:rsidR="004A7E61" w:rsidRPr="00D35D16" w:rsidRDefault="004A7E61" w:rsidP="001973DE">
            <w:pPr>
              <w:spacing w:before="160"/>
              <w:rPr>
                <w:b/>
                <w:bCs/>
                <w:color w:val="000000"/>
                <w:lang w:val="ru-RU"/>
              </w:rPr>
            </w:pPr>
            <w:r w:rsidRPr="00D35D16">
              <w:rPr>
                <w:b/>
                <w:bCs/>
                <w:color w:val="000000"/>
                <w:lang w:val="ru-RU"/>
              </w:rPr>
              <w:t>Справочные материалы</w:t>
            </w:r>
          </w:p>
          <w:p w14:paraId="1E9F7F9C" w14:textId="51E7C8D7" w:rsidR="00796BD3" w:rsidRPr="00D35D16" w:rsidRDefault="00D35D16" w:rsidP="00961BD2">
            <w:pPr>
              <w:spacing w:after="160"/>
              <w:jc w:val="both"/>
              <w:rPr>
                <w:i/>
                <w:iCs/>
                <w:lang w:val="ru-RU"/>
              </w:rPr>
            </w:pPr>
            <w:r w:rsidRPr="00D35D16">
              <w:rPr>
                <w:i/>
                <w:iCs/>
                <w:lang w:val="ru-RU"/>
              </w:rPr>
              <w:t>Решение</w:t>
            </w:r>
            <w:r>
              <w:rPr>
                <w:lang w:val="ru-RU"/>
              </w:rPr>
              <w:t xml:space="preserve"> </w:t>
            </w:r>
            <w:hyperlink r:id="rId7" w:history="1">
              <w:r>
                <w:rPr>
                  <w:rStyle w:val="Hyperlink"/>
                  <w:i/>
                  <w:iCs/>
                  <w:lang w:val="ru-RU"/>
                </w:rPr>
                <w:t>5 (</w:t>
              </w:r>
              <w:proofErr w:type="spellStart"/>
              <w:r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>
                <w:rPr>
                  <w:rStyle w:val="Hyperlink"/>
                  <w:i/>
                  <w:iCs/>
                  <w:lang w:val="ru-RU"/>
                </w:rPr>
                <w:t>. Бухарест, 2022 г.)</w:t>
              </w:r>
            </w:hyperlink>
            <w:r w:rsidR="004A7E61" w:rsidRPr="00D35D16">
              <w:rPr>
                <w:i/>
                <w:iCs/>
                <w:color w:val="000000"/>
                <w:lang w:val="ru-RU"/>
              </w:rPr>
              <w:t>;</w:t>
            </w:r>
            <w:r>
              <w:rPr>
                <w:i/>
                <w:iCs/>
                <w:color w:val="000000"/>
                <w:lang w:val="ru-RU"/>
              </w:rPr>
              <w:t xml:space="preserve"> Резолюция</w:t>
            </w:r>
            <w:r w:rsidR="004A7E61" w:rsidRPr="00D35D16">
              <w:rPr>
                <w:color w:val="000000"/>
                <w:lang w:val="ru-RU"/>
              </w:rPr>
              <w:t xml:space="preserve"> </w:t>
            </w:r>
            <w:hyperlink r:id="rId8" w:history="1">
              <w:r>
                <w:rPr>
                  <w:rStyle w:val="Hyperlink"/>
                  <w:i/>
                  <w:iCs/>
                  <w:lang w:val="ru-RU"/>
                </w:rPr>
                <w:t>11 (аннулирована, Бухарест, 2022 г.)</w:t>
              </w:r>
            </w:hyperlink>
            <w:r w:rsidR="004A7E61" w:rsidRPr="00D35D16">
              <w:rPr>
                <w:i/>
                <w:iCs/>
                <w:color w:val="000000"/>
                <w:lang w:val="ru-RU"/>
              </w:rPr>
              <w:t xml:space="preserve"> Полномочной конференции;</w:t>
            </w:r>
            <w:r w:rsidR="004A7E61" w:rsidRPr="00D35D16">
              <w:rPr>
                <w:color w:val="000000"/>
                <w:lang w:val="ru-RU"/>
              </w:rPr>
              <w:t xml:space="preserve"> </w:t>
            </w:r>
            <w:r w:rsidR="004A7E61" w:rsidRPr="00D35D16">
              <w:rPr>
                <w:i/>
                <w:iCs/>
                <w:color w:val="000000"/>
                <w:lang w:val="ru-RU"/>
              </w:rPr>
              <w:t xml:space="preserve">Резолюции </w:t>
            </w:r>
            <w:hyperlink r:id="rId9" w:history="1">
              <w:r w:rsidR="004A7E61" w:rsidRPr="00D35D16">
                <w:rPr>
                  <w:rStyle w:val="Hyperlink"/>
                  <w:i/>
                  <w:iCs/>
                  <w:lang w:val="ru-RU"/>
                </w:rPr>
                <w:t>1111</w:t>
              </w:r>
            </w:hyperlink>
            <w:r w:rsidR="004A7E61" w:rsidRPr="00D35D16">
              <w:rPr>
                <w:i/>
                <w:iCs/>
                <w:color w:val="000000"/>
                <w:lang w:val="ru-RU"/>
              </w:rPr>
              <w:t xml:space="preserve"> и </w:t>
            </w:r>
            <w:hyperlink r:id="rId10" w:history="1">
              <w:r w:rsidR="004A7E61" w:rsidRPr="00D35D16">
                <w:rPr>
                  <w:rStyle w:val="Hyperlink"/>
                  <w:i/>
                  <w:iCs/>
                  <w:lang w:val="ru-RU"/>
                </w:rPr>
                <w:t>1338</w:t>
              </w:r>
            </w:hyperlink>
            <w:r w:rsidR="004A7E61" w:rsidRPr="00D35D16">
              <w:rPr>
                <w:i/>
                <w:iCs/>
                <w:color w:val="000000"/>
                <w:lang w:val="ru-RU"/>
              </w:rPr>
              <w:t xml:space="preserve"> Совета;</w:t>
            </w:r>
            <w:r>
              <w:rPr>
                <w:i/>
                <w:iCs/>
                <w:color w:val="000000"/>
                <w:lang w:val="ru-RU"/>
              </w:rPr>
              <w:t xml:space="preserve"> Документ</w:t>
            </w:r>
            <w:r w:rsidR="004A7E61" w:rsidRPr="00D35D16">
              <w:rPr>
                <w:color w:val="000000"/>
                <w:lang w:val="ru-RU"/>
              </w:rPr>
              <w:t xml:space="preserve"> </w:t>
            </w:r>
            <w:hyperlink r:id="rId11" w:history="1">
              <w:proofErr w:type="spellStart"/>
              <w:r w:rsidR="004A7E61" w:rsidRPr="00D35D16">
                <w:rPr>
                  <w:rStyle w:val="Hyperlink"/>
                  <w:i/>
                  <w:iCs/>
                  <w:lang w:val="ru-RU"/>
                </w:rPr>
                <w:t>C24</w:t>
              </w:r>
              <w:proofErr w:type="spellEnd"/>
              <w:r w:rsidR="004A7E61" w:rsidRPr="00D35D16">
                <w:rPr>
                  <w:rStyle w:val="Hyperlink"/>
                  <w:i/>
                  <w:iCs/>
                  <w:lang w:val="ru-RU"/>
                </w:rPr>
                <w:t>/19</w:t>
              </w:r>
            </w:hyperlink>
            <w:r w:rsidR="004A7E61" w:rsidRPr="00D35D16">
              <w:rPr>
                <w:i/>
                <w:iCs/>
                <w:color w:val="000000"/>
                <w:lang w:val="ru-RU"/>
              </w:rPr>
              <w:t xml:space="preserve"> Совета</w:t>
            </w:r>
          </w:p>
        </w:tc>
      </w:tr>
      <w:bookmarkEnd w:id="2"/>
      <w:bookmarkEnd w:id="7"/>
    </w:tbl>
    <w:p w14:paraId="60D5385C" w14:textId="77777777" w:rsidR="00165D06" w:rsidRPr="00D35D16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D35D16">
        <w:rPr>
          <w:lang w:val="ru-RU"/>
        </w:rPr>
        <w:br w:type="page"/>
      </w:r>
    </w:p>
    <w:p w14:paraId="10C67562" w14:textId="77777777" w:rsidR="004A7E61" w:rsidRPr="00D35D16" w:rsidRDefault="004A7E61" w:rsidP="001973DE">
      <w:pPr>
        <w:pStyle w:val="Heading1"/>
        <w:rPr>
          <w:lang w:val="ru-RU"/>
        </w:rPr>
      </w:pPr>
      <w:r w:rsidRPr="00D35D16">
        <w:rPr>
          <w:lang w:val="ru-RU"/>
        </w:rPr>
        <w:lastRenderedPageBreak/>
        <w:t>1</w:t>
      </w:r>
      <w:r w:rsidRPr="00D35D16">
        <w:rPr>
          <w:lang w:val="ru-RU"/>
        </w:rPr>
        <w:tab/>
        <w:t>Введение</w:t>
      </w:r>
    </w:p>
    <w:p w14:paraId="2891E295" w14:textId="44E22D6C" w:rsidR="004A7E61" w:rsidRPr="00D35D16" w:rsidRDefault="004A7E61" w:rsidP="00961BD2">
      <w:pPr>
        <w:jc w:val="both"/>
        <w:rPr>
          <w:rFonts w:eastAsia="SimSun"/>
          <w:lang w:val="ru-RU"/>
        </w:rPr>
      </w:pPr>
      <w:r w:rsidRPr="00D35D16">
        <w:rPr>
          <w:lang w:val="ru-RU"/>
        </w:rPr>
        <w:t xml:space="preserve">Исполнение бюджета на 2024 год завершилось с активным сальдо в размере </w:t>
      </w:r>
      <w:r w:rsidRPr="00D35D16">
        <w:rPr>
          <w:b/>
          <w:bCs/>
          <w:lang w:val="ru-RU"/>
        </w:rPr>
        <w:t>5652</w:t>
      </w:r>
      <w:r w:rsidR="001973DE" w:rsidRPr="00D35D16">
        <w:rPr>
          <w:b/>
          <w:bCs/>
          <w:lang w:val="ru-RU"/>
        </w:rPr>
        <w:t> </w:t>
      </w:r>
      <w:r w:rsidRPr="00D35D16">
        <w:rPr>
          <w:b/>
          <w:bCs/>
          <w:lang w:val="ru-RU"/>
        </w:rPr>
        <w:t>тыс.</w:t>
      </w:r>
      <w:r w:rsidR="001973DE" w:rsidRPr="00D35D16">
        <w:rPr>
          <w:b/>
          <w:bCs/>
          <w:lang w:val="ru-RU"/>
        </w:rPr>
        <w:t> </w:t>
      </w:r>
      <w:r w:rsidRPr="00D35D16">
        <w:rPr>
          <w:b/>
          <w:bCs/>
          <w:lang w:val="ru-RU"/>
        </w:rPr>
        <w:t>швейцарских франков</w:t>
      </w:r>
      <w:r w:rsidRPr="00D35D16">
        <w:rPr>
          <w:lang w:val="ru-RU"/>
        </w:rPr>
        <w:t xml:space="preserve">. Из этого излишка </w:t>
      </w:r>
      <w:r w:rsidRPr="00D35D16">
        <w:rPr>
          <w:b/>
          <w:bCs/>
          <w:lang w:val="ru-RU"/>
        </w:rPr>
        <w:t>5060 тыс. швейцарских франков</w:t>
      </w:r>
      <w:r w:rsidRPr="00D35D16">
        <w:rPr>
          <w:lang w:val="ru-RU"/>
        </w:rPr>
        <w:t xml:space="preserve"> предлагается использовать для финансирования отдельных видов деятельности, которые не покрываются из регулярного бюджета.</w:t>
      </w:r>
    </w:p>
    <w:p w14:paraId="7FAE2785" w14:textId="77777777" w:rsidR="004A7E61" w:rsidRPr="00D35D16" w:rsidRDefault="004A7E61" w:rsidP="00961BD2">
      <w:pPr>
        <w:jc w:val="both"/>
        <w:rPr>
          <w:lang w:val="ru-RU"/>
        </w:rPr>
      </w:pPr>
      <w:r w:rsidRPr="00D35D16">
        <w:rPr>
          <w:lang w:val="ru-RU"/>
        </w:rPr>
        <w:t>Это активное сальдо стало результатом строгого управления затратами для обеспечения финансирования приоритетных направлений, которые не были профинансированы или в полной мере профинансированы в Финансовом плане на 2024–2027 годы и которые стали необходимыми после его разработки в 2021/2022 годах. Нижеследующие факторы и полный результат будут изложены позднее в проверенной финансовой отчетности за 2024 год, которая будет отдельно представлена Совету. Более подробная информация содержится в следующих подпунктах:</w:t>
      </w:r>
    </w:p>
    <w:p w14:paraId="572F1EC3" w14:textId="1824D470" w:rsidR="004A7E61" w:rsidRPr="00D35D16" w:rsidRDefault="004A7E61" w:rsidP="00961BD2">
      <w:pPr>
        <w:pStyle w:val="enumlev1"/>
        <w:jc w:val="both"/>
        <w:rPr>
          <w:lang w:val="ru-RU"/>
        </w:rPr>
      </w:pPr>
      <w:r w:rsidRPr="00D35D16">
        <w:rPr>
          <w:b/>
          <w:bCs/>
          <w:lang w:val="ru-RU"/>
        </w:rPr>
        <w:t>1.1</w:t>
      </w:r>
      <w:r w:rsidRPr="00D35D16">
        <w:rPr>
          <w:b/>
          <w:bCs/>
          <w:lang w:val="ru-RU"/>
        </w:rPr>
        <w:tab/>
        <w:t>Контроль за расходами</w:t>
      </w:r>
      <w:r w:rsidRPr="00D35D16">
        <w:rPr>
          <w:lang w:val="ru-RU"/>
        </w:rPr>
        <w:t>. В 2024 году Секретариат осуществлял строгое управление расходами на основании ожидаемого дефицита прогнозируемых доходов по сравнению с Финансовым планом МСЭ на 2024–2027 годы. Таким образом, Секретариат смог сократить расходы на 8900 тыс. швейцарских франков, до</w:t>
      </w:r>
      <w:r w:rsidR="00C043ED" w:rsidRPr="00D35D16">
        <w:rPr>
          <w:lang w:val="ru-RU"/>
        </w:rPr>
        <w:t> </w:t>
      </w:r>
      <w:r w:rsidRPr="00D35D16">
        <w:rPr>
          <w:lang w:val="ru-RU"/>
        </w:rPr>
        <w:t>155 830</w:t>
      </w:r>
      <w:r w:rsidR="00C043ED" w:rsidRPr="00D35D16">
        <w:rPr>
          <w:lang w:val="ru-RU"/>
        </w:rPr>
        <w:t> </w:t>
      </w:r>
      <w:r w:rsidRPr="00D35D16">
        <w:rPr>
          <w:lang w:val="ru-RU"/>
        </w:rPr>
        <w:t>тыс. швейцарских франков, в то время как запланированные расходы, включенные в утвержденный бюджет на 2024 год, составляли 164 730</w:t>
      </w:r>
      <w:r w:rsidR="00C043ED" w:rsidRPr="00D35D16">
        <w:rPr>
          <w:lang w:val="ru-RU"/>
        </w:rPr>
        <w:t> </w:t>
      </w:r>
      <w:r w:rsidRPr="00D35D16">
        <w:rPr>
          <w:lang w:val="ru-RU"/>
        </w:rPr>
        <w:t>тыс. швейцарских франков.</w:t>
      </w:r>
    </w:p>
    <w:p w14:paraId="45BC0C03" w14:textId="7840DB90" w:rsidR="004A7E61" w:rsidRPr="00ED3CED" w:rsidRDefault="004A7E61" w:rsidP="00961BD2">
      <w:pPr>
        <w:pStyle w:val="enumlev1"/>
        <w:jc w:val="both"/>
        <w:rPr>
          <w:spacing w:val="-3"/>
          <w:lang w:val="ru-RU"/>
        </w:rPr>
      </w:pPr>
      <w:r w:rsidRPr="00ED3CED">
        <w:rPr>
          <w:b/>
          <w:bCs/>
          <w:spacing w:val="-3"/>
          <w:lang w:val="ru-RU"/>
        </w:rPr>
        <w:t>1.2</w:t>
      </w:r>
      <w:r w:rsidRPr="00ED3CED">
        <w:rPr>
          <w:b/>
          <w:bCs/>
          <w:spacing w:val="-3"/>
          <w:lang w:val="ru-RU"/>
        </w:rPr>
        <w:tab/>
        <w:t>Проценты по депозитам и влияние курса валют</w:t>
      </w:r>
      <w:r w:rsidRPr="00ED3CED">
        <w:rPr>
          <w:spacing w:val="-3"/>
          <w:lang w:val="ru-RU"/>
        </w:rPr>
        <w:t>. МСЭ отметил меньшее, чем ожидалось, снижение доходов в размере −3249 тыс. швейцарских франков. Снижение доходов по линии возмещения затрат в размере −6088</w:t>
      </w:r>
      <w:r w:rsidR="00C043ED" w:rsidRPr="00ED3CED">
        <w:rPr>
          <w:spacing w:val="-3"/>
          <w:lang w:val="ru-RU"/>
        </w:rPr>
        <w:t> </w:t>
      </w:r>
      <w:r w:rsidRPr="00ED3CED">
        <w:rPr>
          <w:spacing w:val="-3"/>
          <w:lang w:val="ru-RU"/>
        </w:rPr>
        <w:t>тыс. швейцарских франков было компенсировано более высокими, чем ожидалось, доходами от процентов по депозитам и курсовыми прибылями. МСЭ управляет несколькими валютами в рамках реализации своих проектов и регулярного бюджета, используя срочные инвестиции, по которым выплачиваются проценты. Эти инвестиции ведутся в разных валютах, исходя из специфики проектов и доноров. В 2024 году МСЭ получил проценты в размере 4635 тыс. швейцарских франков (аналогично 2023 г.) и зафиксировал курсовые убытки по этим инвестициям в размере 1200</w:t>
      </w:r>
      <w:r w:rsidR="00B9552D" w:rsidRPr="00ED3CED">
        <w:rPr>
          <w:spacing w:val="-3"/>
          <w:lang w:val="ru-RU"/>
        </w:rPr>
        <w:t> </w:t>
      </w:r>
      <w:r w:rsidRPr="00ED3CED">
        <w:rPr>
          <w:spacing w:val="-3"/>
          <w:lang w:val="ru-RU"/>
        </w:rPr>
        <w:t>тыс.</w:t>
      </w:r>
      <w:r w:rsidR="00B9552D" w:rsidRPr="00ED3CED">
        <w:rPr>
          <w:spacing w:val="-3"/>
          <w:lang w:val="ru-RU"/>
        </w:rPr>
        <w:t> </w:t>
      </w:r>
      <w:r w:rsidRPr="00ED3CED">
        <w:rPr>
          <w:spacing w:val="-3"/>
          <w:lang w:val="ru-RU"/>
        </w:rPr>
        <w:t>швейцарских франков (в</w:t>
      </w:r>
      <w:r w:rsidR="00C043ED" w:rsidRPr="00ED3CED">
        <w:rPr>
          <w:spacing w:val="-3"/>
          <w:lang w:val="ru-RU"/>
        </w:rPr>
        <w:t> </w:t>
      </w:r>
      <w:r w:rsidRPr="00ED3CED">
        <w:rPr>
          <w:spacing w:val="-3"/>
          <w:lang w:val="ru-RU"/>
        </w:rPr>
        <w:t>2023 г</w:t>
      </w:r>
      <w:r w:rsidR="00D35D16" w:rsidRPr="00ED3CED">
        <w:rPr>
          <w:spacing w:val="-3"/>
          <w:lang w:val="ru-RU"/>
        </w:rPr>
        <w:t>.</w:t>
      </w:r>
      <w:r w:rsidRPr="00ED3CED">
        <w:rPr>
          <w:spacing w:val="-3"/>
          <w:lang w:val="ru-RU"/>
        </w:rPr>
        <w:t xml:space="preserve"> курсовые убытки были более значительными и составили 3600</w:t>
      </w:r>
      <w:r w:rsidR="00C043ED" w:rsidRPr="00ED3CED">
        <w:rPr>
          <w:spacing w:val="-3"/>
          <w:lang w:val="ru-RU"/>
        </w:rPr>
        <w:t> </w:t>
      </w:r>
      <w:r w:rsidRPr="00ED3CED">
        <w:rPr>
          <w:spacing w:val="-3"/>
          <w:lang w:val="ru-RU"/>
        </w:rPr>
        <w:t>тыс.</w:t>
      </w:r>
      <w:r w:rsidR="00D35D16" w:rsidRPr="00ED3CED">
        <w:rPr>
          <w:spacing w:val="-3"/>
          <w:lang w:val="ru-RU"/>
        </w:rPr>
        <w:t> </w:t>
      </w:r>
      <w:r w:rsidRPr="00ED3CED">
        <w:rPr>
          <w:spacing w:val="-3"/>
          <w:lang w:val="ru-RU"/>
        </w:rPr>
        <w:t>шв.</w:t>
      </w:r>
      <w:r w:rsidR="00D35D16" w:rsidRPr="00ED3CED">
        <w:rPr>
          <w:spacing w:val="-3"/>
          <w:lang w:val="ru-RU"/>
        </w:rPr>
        <w:t> </w:t>
      </w:r>
      <w:r w:rsidRPr="00ED3CED">
        <w:rPr>
          <w:spacing w:val="-3"/>
          <w:lang w:val="ru-RU"/>
        </w:rPr>
        <w:t xml:space="preserve">франков). Таким образом, в 2024 году чистый доход МСЭ от процентов по депозитам и курсовых разниц составил 3635 тыс. швейцарских франков. В сочетании с увеличением доходов по линии вспомогательных затрат по проектам и доходов по линии начисленных взносов это привело к меньшему, чем ожидалось, итоговому дефициту доходов в размере −3249 тыс. швейцарских франков. </w:t>
      </w:r>
    </w:p>
    <w:p w14:paraId="5A259B84" w14:textId="77777777" w:rsidR="004A7E61" w:rsidRPr="00D35D16" w:rsidRDefault="004A7E61" w:rsidP="00961BD2">
      <w:pPr>
        <w:jc w:val="both"/>
        <w:rPr>
          <w:lang w:val="ru-RU"/>
        </w:rPr>
      </w:pPr>
      <w:r w:rsidRPr="00D35D16">
        <w:rPr>
          <w:lang w:val="ru-RU"/>
        </w:rPr>
        <w:t xml:space="preserve">Секретариат ранее представлял Членам информацию о сложной финансовой ситуации, в которой находится МСЭ в связи с вопросами финансирования его деятельности и обеспечения разумного управления ресурсами. Активное сальдо за 2024 год указывает не на избыточность ресурсов, а на эффективность и конструктивное управление средствами для целей обеспечения дополнительного финансирования ключевых направлений деятельности, финансируемых в недостаточной степени. </w:t>
      </w:r>
    </w:p>
    <w:p w14:paraId="6FCBFB48" w14:textId="77777777" w:rsidR="004A7E61" w:rsidRPr="00D35D16" w:rsidRDefault="004A7E61" w:rsidP="001973DE">
      <w:pPr>
        <w:pStyle w:val="Heading1"/>
        <w:rPr>
          <w:lang w:val="ru-RU"/>
        </w:rPr>
      </w:pPr>
      <w:r w:rsidRPr="00D35D16">
        <w:rPr>
          <w:lang w:val="ru-RU"/>
        </w:rPr>
        <w:t>2</w:t>
      </w:r>
      <w:r w:rsidRPr="00D35D16">
        <w:rPr>
          <w:lang w:val="ru-RU"/>
        </w:rPr>
        <w:tab/>
        <w:t>Предложения по распределению активного сальдо за 2024 год</w:t>
      </w:r>
    </w:p>
    <w:p w14:paraId="7F73DB4F" w14:textId="780350F6" w:rsidR="004A7E61" w:rsidRPr="00D35D16" w:rsidRDefault="004A7E61" w:rsidP="00961BD2">
      <w:pPr>
        <w:jc w:val="both"/>
        <w:rPr>
          <w:lang w:val="ru-RU"/>
        </w:rPr>
      </w:pPr>
      <w:r w:rsidRPr="00D35D16">
        <w:rPr>
          <w:lang w:val="ru-RU"/>
        </w:rPr>
        <w:t>Совету предлагается утвердить использование Секретариатом активного сальдо за 2024</w:t>
      </w:r>
      <w:r w:rsidR="00C043ED" w:rsidRPr="00D35D16">
        <w:rPr>
          <w:lang w:val="ru-RU"/>
        </w:rPr>
        <w:t> </w:t>
      </w:r>
      <w:r w:rsidRPr="00D35D16">
        <w:rPr>
          <w:lang w:val="ru-RU"/>
        </w:rPr>
        <w:t>год для финансирования важнейших приоритетов Организации на предстоящие годы. Учитывая существующие ограничения в отношении бюджета МСЭ на 2025 год, Секретариат просит Совет разрешить Генеральному секретарю произвести следующие ассигнования из активного сальдо 2024</w:t>
      </w:r>
      <w:r w:rsidR="00C043ED" w:rsidRPr="00D35D16">
        <w:rPr>
          <w:lang w:val="ru-RU"/>
        </w:rPr>
        <w:t> </w:t>
      </w:r>
      <w:r w:rsidRPr="00D35D16">
        <w:rPr>
          <w:lang w:val="ru-RU"/>
        </w:rPr>
        <w:t>года.</w:t>
      </w:r>
    </w:p>
    <w:p w14:paraId="1AB1641B" w14:textId="77777777" w:rsidR="004A7E61" w:rsidRPr="00D35D16" w:rsidRDefault="004A7E61" w:rsidP="001973DE">
      <w:pPr>
        <w:pStyle w:val="Heading1"/>
        <w:rPr>
          <w:lang w:val="ru-RU"/>
        </w:rPr>
      </w:pPr>
      <w:r w:rsidRPr="00D35D16">
        <w:rPr>
          <w:lang w:val="ru-RU"/>
        </w:rPr>
        <w:lastRenderedPageBreak/>
        <w:t>3</w:t>
      </w:r>
      <w:r w:rsidRPr="00D35D16">
        <w:rPr>
          <w:lang w:val="ru-RU"/>
        </w:rPr>
        <w:tab/>
        <w:t>Отсроченная деятельность</w:t>
      </w:r>
    </w:p>
    <w:p w14:paraId="225A23C5" w14:textId="77777777" w:rsidR="004A7E61" w:rsidRPr="00D35D16" w:rsidRDefault="004A7E61" w:rsidP="00961BD2">
      <w:pPr>
        <w:jc w:val="both"/>
        <w:rPr>
          <w:rFonts w:eastAsiaTheme="minorEastAsia"/>
          <w:lang w:val="ru-RU"/>
        </w:rPr>
      </w:pPr>
      <w:r w:rsidRPr="00D35D16">
        <w:rPr>
          <w:lang w:val="ru-RU"/>
        </w:rPr>
        <w:t xml:space="preserve">Планируется, что Всемирная конференция по развитию электросвязи 2025 года (ВКРЭ-25) пройдет в Баку, Азербайджан, в ноябре 2025 года. В связи со сроками процесса подготовки к Конференции региональные подготовительные собрания к ВКРЭ-25 не могли быть запланированы на 2024 год, поскольку их следовало совместить с подготовительным процессом, определяемым Членами. Таким образом, </w:t>
      </w:r>
      <w:r w:rsidRPr="00D35D16">
        <w:rPr>
          <w:b/>
          <w:bCs/>
          <w:lang w:val="ru-RU"/>
        </w:rPr>
        <w:t>203 тыс. швейцарских франков</w:t>
      </w:r>
      <w:r w:rsidRPr="00D35D16">
        <w:rPr>
          <w:lang w:val="ru-RU"/>
        </w:rPr>
        <w:t>, предусмотренных в бюджете на 2024 год для РПС, не могли быть израсходованы в 2024 году, и теперь эти собрания состоятся в 2025 году. Поэтому Секретариат предлагает перенести эти расходы с 2024 на 2025 год.</w:t>
      </w:r>
    </w:p>
    <w:p w14:paraId="771B0CBD" w14:textId="77777777" w:rsidR="004A7E61" w:rsidRPr="00D35D16" w:rsidRDefault="004A7E61" w:rsidP="004A7E61">
      <w:pPr>
        <w:pStyle w:val="Heading1"/>
        <w:rPr>
          <w:lang w:val="ru-RU"/>
        </w:rPr>
      </w:pPr>
      <w:r w:rsidRPr="00D35D16">
        <w:rPr>
          <w:bCs/>
          <w:lang w:val="ru-RU"/>
        </w:rPr>
        <w:t>4</w:t>
      </w:r>
      <w:r w:rsidRPr="00D35D16">
        <w:rPr>
          <w:lang w:val="ru-RU"/>
        </w:rPr>
        <w:tab/>
      </w:r>
      <w:r w:rsidRPr="00D35D16">
        <w:rPr>
          <w:bCs/>
          <w:lang w:val="ru-RU"/>
        </w:rPr>
        <w:t>Резолюция 198</w:t>
      </w:r>
    </w:p>
    <w:p w14:paraId="63C49622" w14:textId="548E4D59" w:rsidR="004A7E61" w:rsidRPr="00BF2F91" w:rsidRDefault="004A7E61" w:rsidP="00961BD2">
      <w:pPr>
        <w:jc w:val="both"/>
        <w:rPr>
          <w:rFonts w:eastAsiaTheme="minorEastAsia"/>
          <w:spacing w:val="-2"/>
          <w:lang w:val="ru-RU"/>
        </w:rPr>
      </w:pPr>
      <w:r w:rsidRPr="00BF2F91">
        <w:rPr>
          <w:spacing w:val="-2"/>
          <w:lang w:val="ru-RU"/>
        </w:rPr>
        <w:t xml:space="preserve">В Резолюции 198 (Пересм. Бухарест, 2022 г.) Полномочной конференции о расширении прав и возможностей молодежи посредством электросвязи/‎информационно-коммуникационных технологий содержится поручение Генеральному секретарю продолжать обеспечивать включение молодежной проблематики в рабочие программы, методы управления и деятельность МСЭ по развитию людских ресурсов. Предложение о выделении </w:t>
      </w:r>
      <w:r w:rsidRPr="00BF2F91">
        <w:rPr>
          <w:b/>
          <w:bCs/>
          <w:spacing w:val="-2"/>
          <w:lang w:val="ru-RU"/>
        </w:rPr>
        <w:t>250</w:t>
      </w:r>
      <w:r w:rsidR="001973DE" w:rsidRPr="00BF2F91">
        <w:rPr>
          <w:b/>
          <w:bCs/>
          <w:spacing w:val="-2"/>
          <w:lang w:val="ru-RU"/>
        </w:rPr>
        <w:t> </w:t>
      </w:r>
      <w:r w:rsidRPr="00BF2F91">
        <w:rPr>
          <w:b/>
          <w:bCs/>
          <w:spacing w:val="-2"/>
          <w:lang w:val="ru-RU"/>
        </w:rPr>
        <w:t>тыс.</w:t>
      </w:r>
      <w:r w:rsidR="001973DE" w:rsidRPr="00BF2F91">
        <w:rPr>
          <w:b/>
          <w:bCs/>
          <w:spacing w:val="-2"/>
          <w:lang w:val="ru-RU"/>
        </w:rPr>
        <w:t> </w:t>
      </w:r>
      <w:r w:rsidRPr="00BF2F91">
        <w:rPr>
          <w:b/>
          <w:bCs/>
          <w:spacing w:val="-2"/>
          <w:lang w:val="ru-RU"/>
        </w:rPr>
        <w:t>швейцарских франков</w:t>
      </w:r>
      <w:r w:rsidRPr="00BF2F91">
        <w:rPr>
          <w:spacing w:val="-2"/>
          <w:lang w:val="ru-RU"/>
        </w:rPr>
        <w:t xml:space="preserve"> (для одной дополнительной должности в рамках программы "Молодые специалисты" (</w:t>
      </w:r>
      <w:proofErr w:type="spellStart"/>
      <w:r w:rsidRPr="00BF2F91">
        <w:rPr>
          <w:spacing w:val="-2"/>
          <w:lang w:val="ru-RU"/>
        </w:rPr>
        <w:t>YPP</w:t>
      </w:r>
      <w:proofErr w:type="spellEnd"/>
      <w:r w:rsidRPr="00BF2F91">
        <w:rPr>
          <w:spacing w:val="-2"/>
          <w:lang w:val="ru-RU"/>
        </w:rPr>
        <w:t>)), полученных за счет экономии, достигнутой при исполнении бюджета в 2024 году, было представлено в</w:t>
      </w:r>
      <w:r w:rsidR="00D35D16" w:rsidRPr="00BF2F91">
        <w:rPr>
          <w:spacing w:val="-2"/>
          <w:lang w:val="ru-RU"/>
        </w:rPr>
        <w:t xml:space="preserve"> Документе</w:t>
      </w:r>
      <w:r w:rsidRPr="00BF2F91">
        <w:rPr>
          <w:spacing w:val="-2"/>
          <w:lang w:val="ru-RU"/>
        </w:rPr>
        <w:t xml:space="preserve"> </w:t>
      </w:r>
      <w:hyperlink r:id="rId12" w:history="1">
        <w:proofErr w:type="spellStart"/>
        <w:r w:rsidRPr="00BF2F91">
          <w:rPr>
            <w:rStyle w:val="Hyperlink"/>
            <w:spacing w:val="-2"/>
            <w:lang w:val="ru-RU"/>
          </w:rPr>
          <w:t>C24</w:t>
        </w:r>
        <w:proofErr w:type="spellEnd"/>
        <w:r w:rsidRPr="00BF2F91">
          <w:rPr>
            <w:rStyle w:val="Hyperlink"/>
            <w:spacing w:val="-2"/>
            <w:lang w:val="ru-RU"/>
          </w:rPr>
          <w:t>/31</w:t>
        </w:r>
      </w:hyperlink>
      <w:r w:rsidRPr="00BF2F91">
        <w:rPr>
          <w:spacing w:val="-2"/>
          <w:lang w:val="ru-RU"/>
        </w:rPr>
        <w:t xml:space="preserve"> и принято к сведению Советом 2024</w:t>
      </w:r>
      <w:r w:rsidR="00E314A0" w:rsidRPr="00BF2F91">
        <w:rPr>
          <w:spacing w:val="-2"/>
          <w:lang w:val="ru-RU"/>
        </w:rPr>
        <w:t> </w:t>
      </w:r>
      <w:r w:rsidRPr="00BF2F91">
        <w:rPr>
          <w:spacing w:val="-2"/>
          <w:lang w:val="ru-RU"/>
        </w:rPr>
        <w:t>года.</w:t>
      </w:r>
    </w:p>
    <w:p w14:paraId="07C090B7" w14:textId="781429F4" w:rsidR="004A7E61" w:rsidRPr="00D35D16" w:rsidRDefault="004A7E61" w:rsidP="004A7E61">
      <w:pPr>
        <w:pStyle w:val="Heading1"/>
        <w:rPr>
          <w:lang w:val="ru-RU"/>
        </w:rPr>
      </w:pPr>
      <w:r w:rsidRPr="00D35D16">
        <w:rPr>
          <w:bCs/>
          <w:lang w:val="ru-RU"/>
        </w:rPr>
        <w:t>5</w:t>
      </w:r>
      <w:r w:rsidRPr="00D35D16">
        <w:rPr>
          <w:lang w:val="ru-RU"/>
        </w:rPr>
        <w:tab/>
      </w:r>
      <w:r w:rsidRPr="00D35D16">
        <w:rPr>
          <w:bCs/>
          <w:lang w:val="ru-RU"/>
        </w:rPr>
        <w:t>Финансирование инициатив, согласованных Советом, но</w:t>
      </w:r>
      <w:r w:rsidR="00E314A0" w:rsidRPr="00D35D16">
        <w:rPr>
          <w:bCs/>
          <w:lang w:val="ru-RU"/>
        </w:rPr>
        <w:t> </w:t>
      </w:r>
      <w:r w:rsidRPr="00D35D16">
        <w:rPr>
          <w:bCs/>
          <w:lang w:val="ru-RU"/>
        </w:rPr>
        <w:t>не</w:t>
      </w:r>
      <w:r w:rsidR="00E314A0" w:rsidRPr="00D35D16">
        <w:rPr>
          <w:bCs/>
          <w:lang w:val="ru-RU"/>
        </w:rPr>
        <w:t> </w:t>
      </w:r>
      <w:r w:rsidRPr="00D35D16">
        <w:rPr>
          <w:bCs/>
          <w:lang w:val="ru-RU"/>
        </w:rPr>
        <w:t>финансируемых</w:t>
      </w:r>
    </w:p>
    <w:p w14:paraId="017C6159" w14:textId="77777777" w:rsidR="004A7E61" w:rsidRPr="00D35D16" w:rsidRDefault="004A7E61" w:rsidP="00961BD2">
      <w:pPr>
        <w:jc w:val="both"/>
        <w:rPr>
          <w:rFonts w:asciiTheme="minorHAnsi" w:eastAsiaTheme="minorEastAsia" w:hAnsiTheme="minorHAnsi" w:cstheme="minorBidi"/>
          <w:lang w:val="ru-RU"/>
        </w:rPr>
      </w:pPr>
      <w:r w:rsidRPr="00D35D16">
        <w:rPr>
          <w:lang w:val="ru-RU"/>
        </w:rPr>
        <w:t>Несколько инициатив обсуждались и были согласованы на Совете, при условии финансирования за счет образующихся излишков средств. Эти инициативы подробно описаны ниже.</w:t>
      </w:r>
    </w:p>
    <w:p w14:paraId="1BAF54E6" w14:textId="77777777" w:rsidR="004A7E61" w:rsidRPr="00D35D16" w:rsidRDefault="004A7E61" w:rsidP="00BF2F91">
      <w:pPr>
        <w:pStyle w:val="Heading2"/>
      </w:pPr>
      <w:r w:rsidRPr="00D35D16">
        <w:t>5.1</w:t>
      </w:r>
      <w:r w:rsidRPr="00D35D16">
        <w:tab/>
        <w:t>Фонд развития информационно-коммуникационных технологий (ФРИКТ)</w:t>
      </w:r>
    </w:p>
    <w:p w14:paraId="3058AC8F" w14:textId="60376822" w:rsidR="004A7E61" w:rsidRPr="00D35D16" w:rsidRDefault="004A7E61" w:rsidP="00961BD2">
      <w:pPr>
        <w:jc w:val="both"/>
        <w:rPr>
          <w:rFonts w:asciiTheme="minorHAnsi" w:eastAsia="SimSun" w:hAnsiTheme="minorHAnsi" w:cstheme="minorBidi"/>
          <w:b/>
          <w:bCs/>
          <w:lang w:val="ru-RU"/>
        </w:rPr>
      </w:pPr>
      <w:r w:rsidRPr="00D35D16">
        <w:rPr>
          <w:lang w:val="ru-RU"/>
        </w:rPr>
        <w:t>Что касается региональных инициатив, созданный в 1997 году Фонд развития информационно-коммуникационных технологий (</w:t>
      </w:r>
      <w:proofErr w:type="spellStart"/>
      <w:r>
        <w:fldChar w:fldCharType="begin"/>
      </w:r>
      <w:r>
        <w:instrText>HYPERLINK</w:instrText>
      </w:r>
      <w:r w:rsidRPr="00961BD2">
        <w:rPr>
          <w:lang w:val="ru-RU"/>
        </w:rPr>
        <w:instrText xml:space="preserve"> "</w:instrText>
      </w:r>
      <w:r>
        <w:instrText>http</w:instrText>
      </w:r>
      <w:r w:rsidRPr="00961BD2">
        <w:rPr>
          <w:lang w:val="ru-RU"/>
        </w:rPr>
        <w:instrText>://</w:instrText>
      </w:r>
      <w:r>
        <w:instrText>www</w:instrText>
      </w:r>
      <w:r w:rsidRPr="00961BD2">
        <w:rPr>
          <w:lang w:val="ru-RU"/>
        </w:rPr>
        <w:instrText>.</w:instrText>
      </w:r>
      <w:r>
        <w:instrText>itu</w:instrText>
      </w:r>
      <w:r w:rsidRPr="00961BD2">
        <w:rPr>
          <w:lang w:val="ru-RU"/>
        </w:rPr>
        <w:instrText>.</w:instrText>
      </w:r>
      <w:r>
        <w:instrText>int</w:instrText>
      </w:r>
      <w:r w:rsidRPr="00961BD2">
        <w:rPr>
          <w:lang w:val="ru-RU"/>
        </w:rPr>
        <w:instrText>/</w:instrText>
      </w:r>
      <w:r>
        <w:instrText>en</w:instrText>
      </w:r>
      <w:r w:rsidRPr="00961BD2">
        <w:rPr>
          <w:lang w:val="ru-RU"/>
        </w:rPr>
        <w:instrText>/</w:instrText>
      </w:r>
      <w:r>
        <w:instrText>ITU</w:instrText>
      </w:r>
      <w:r w:rsidRPr="00961BD2">
        <w:rPr>
          <w:lang w:val="ru-RU"/>
        </w:rPr>
        <w:instrText>-</w:instrText>
      </w:r>
      <w:r>
        <w:instrText>D</w:instrText>
      </w:r>
      <w:r w:rsidRPr="00961BD2">
        <w:rPr>
          <w:lang w:val="ru-RU"/>
        </w:rPr>
        <w:instrText>/</w:instrText>
      </w:r>
      <w:r>
        <w:instrText>Partners</w:instrText>
      </w:r>
      <w:r w:rsidRPr="00961BD2">
        <w:rPr>
          <w:lang w:val="ru-RU"/>
        </w:rPr>
        <w:instrText>/</w:instrText>
      </w:r>
      <w:r>
        <w:instrText>Pages</w:instrText>
      </w:r>
      <w:r w:rsidRPr="00961BD2">
        <w:rPr>
          <w:lang w:val="ru-RU"/>
        </w:rPr>
        <w:instrText>/</w:instrText>
      </w:r>
      <w:r>
        <w:instrText>ICT</w:instrText>
      </w:r>
      <w:r w:rsidRPr="00961BD2">
        <w:rPr>
          <w:lang w:val="ru-RU"/>
        </w:rPr>
        <w:instrText>-</w:instrText>
      </w:r>
      <w:r>
        <w:instrText>DF</w:instrText>
      </w:r>
      <w:r w:rsidRPr="00961BD2">
        <w:rPr>
          <w:lang w:val="ru-RU"/>
        </w:rPr>
        <w:instrText>/</w:instrText>
      </w:r>
      <w:r>
        <w:instrText>default</w:instrText>
      </w:r>
      <w:r w:rsidRPr="00961BD2">
        <w:rPr>
          <w:lang w:val="ru-RU"/>
        </w:rPr>
        <w:instrText>.</w:instrText>
      </w:r>
      <w:r>
        <w:instrText>aspx</w:instrText>
      </w:r>
      <w:r w:rsidRPr="00961BD2">
        <w:rPr>
          <w:lang w:val="ru-RU"/>
        </w:rPr>
        <w:instrText>"</w:instrText>
      </w:r>
      <w:r>
        <w:fldChar w:fldCharType="separate"/>
      </w:r>
      <w:r w:rsidRPr="00D35D16">
        <w:rPr>
          <w:rStyle w:val="Hyperlink"/>
          <w:lang w:val="ru-RU"/>
        </w:rPr>
        <w:t>ФРИКТ</w:t>
      </w:r>
      <w:proofErr w:type="spellEnd"/>
      <w:r>
        <w:fldChar w:fldCharType="end"/>
      </w:r>
      <w:r w:rsidRPr="00D35D16">
        <w:rPr>
          <w:lang w:val="ru-RU"/>
        </w:rPr>
        <w:t>) поддерживает реализацию проектов на основе партнерств с участием многих заинтересованных сторон, заключаемых между Государствами – Членами МСЭ, Членами Секторов, структурами государственного и частного секторов, многосторонними организациями, фондами, финансовыми учреждениями и организациями в области развития. На сессии Совета 2024 года обсуждалась необходимость обеспечения механизмов пополнения Фонда развития ИКТ, и в связи с этим Совет принял к сведению содержащееся в</w:t>
      </w:r>
      <w:r w:rsidR="00D35D16">
        <w:rPr>
          <w:lang w:val="ru-RU"/>
        </w:rPr>
        <w:t xml:space="preserve"> Документе</w:t>
      </w:r>
      <w:r w:rsidRPr="00D35D16">
        <w:rPr>
          <w:lang w:val="ru-RU"/>
        </w:rPr>
        <w:t xml:space="preserve"> </w:t>
      </w:r>
      <w:hyperlink r:id="rId13" w:history="1">
        <w:proofErr w:type="spellStart"/>
        <w:r w:rsidRPr="00D35D16">
          <w:rPr>
            <w:rStyle w:val="Hyperlink"/>
            <w:lang w:val="ru-RU"/>
          </w:rPr>
          <w:t>C24</w:t>
        </w:r>
        <w:proofErr w:type="spellEnd"/>
        <w:r w:rsidRPr="00D35D16">
          <w:rPr>
            <w:rStyle w:val="Hyperlink"/>
            <w:lang w:val="ru-RU"/>
          </w:rPr>
          <w:t>/34(</w:t>
        </w:r>
        <w:proofErr w:type="spellStart"/>
        <w:r w:rsidRPr="00D35D16">
          <w:rPr>
            <w:rStyle w:val="Hyperlink"/>
            <w:lang w:val="ru-RU"/>
          </w:rPr>
          <w:t>Rev.1</w:t>
        </w:r>
        <w:proofErr w:type="spellEnd"/>
        <w:r w:rsidRPr="00D35D16">
          <w:rPr>
            <w:rStyle w:val="Hyperlink"/>
            <w:lang w:val="ru-RU"/>
          </w:rPr>
          <w:t>)</w:t>
        </w:r>
      </w:hyperlink>
      <w:r w:rsidRPr="00D35D16">
        <w:rPr>
          <w:lang w:val="ru-RU"/>
        </w:rPr>
        <w:t xml:space="preserve"> предложение Секретариата о том, что "в качестве дополнительной меры по пополнению ФРИКТ все излишки по </w:t>
      </w:r>
      <w:proofErr w:type="spellStart"/>
      <w:r w:rsidRPr="00D35D16">
        <w:rPr>
          <w:lang w:val="ru-RU"/>
        </w:rPr>
        <w:t>AOS</w:t>
      </w:r>
      <w:proofErr w:type="spellEnd"/>
      <w:r w:rsidRPr="00D35D16">
        <w:rPr>
          <w:lang w:val="ru-RU"/>
        </w:rPr>
        <w:t xml:space="preserve">, превышающие бюджетную сумму, ежегодно начиная с 2024 года должны направляться обратно на счет движения капитала ФРИКТ, при этом основной целью использования таких средств будет поддержка осуществления проектов". В течение 2024 года благодаря повышению доходов по линии вспомогательных затрат, связанных, в частности, с реализацией проектов в 2024 финансовом году, возмещение затрат на </w:t>
      </w:r>
      <w:proofErr w:type="spellStart"/>
      <w:r w:rsidRPr="00D35D16">
        <w:rPr>
          <w:lang w:val="ru-RU"/>
        </w:rPr>
        <w:t>AOS</w:t>
      </w:r>
      <w:proofErr w:type="spellEnd"/>
      <w:r w:rsidRPr="00D35D16">
        <w:rPr>
          <w:lang w:val="ru-RU"/>
        </w:rPr>
        <w:t xml:space="preserve"> превысило предусмотренную в бюджете сумму на </w:t>
      </w:r>
      <w:r w:rsidRPr="00D35D16">
        <w:rPr>
          <w:b/>
          <w:bCs/>
          <w:lang w:val="ru-RU"/>
        </w:rPr>
        <w:t>524</w:t>
      </w:r>
      <w:r w:rsidR="001973DE" w:rsidRPr="00D35D16">
        <w:rPr>
          <w:b/>
          <w:bCs/>
          <w:lang w:val="ru-RU"/>
        </w:rPr>
        <w:t> </w:t>
      </w:r>
      <w:r w:rsidRPr="00D35D16">
        <w:rPr>
          <w:b/>
          <w:bCs/>
          <w:lang w:val="ru-RU"/>
        </w:rPr>
        <w:t>тыс.</w:t>
      </w:r>
      <w:r w:rsidR="001973DE" w:rsidRPr="00D35D16">
        <w:rPr>
          <w:b/>
          <w:bCs/>
          <w:lang w:val="ru-RU"/>
        </w:rPr>
        <w:t> </w:t>
      </w:r>
      <w:r w:rsidRPr="00D35D16">
        <w:rPr>
          <w:b/>
          <w:bCs/>
          <w:lang w:val="ru-RU"/>
        </w:rPr>
        <w:t>швейцарских франков</w:t>
      </w:r>
      <w:r w:rsidRPr="00D35D16">
        <w:rPr>
          <w:lang w:val="ru-RU"/>
        </w:rPr>
        <w:t xml:space="preserve">. Совету предлагается, утвердить выделение этой суммы на нужды Фонда развития информационно-коммуникационных технологий </w:t>
      </w:r>
      <w:r w:rsidR="00D35D16">
        <w:rPr>
          <w:lang w:val="ru-RU"/>
        </w:rPr>
        <w:t xml:space="preserve">(Документ </w:t>
      </w:r>
      <w:hyperlink r:id="rId14" w:history="1">
        <w:proofErr w:type="spellStart"/>
        <w:r w:rsidRPr="00D35D16">
          <w:rPr>
            <w:rStyle w:val="Hyperlink"/>
            <w:lang w:val="ru-RU"/>
          </w:rPr>
          <w:t>C25</w:t>
        </w:r>
        <w:proofErr w:type="spellEnd"/>
        <w:r w:rsidRPr="00D35D16">
          <w:rPr>
            <w:rStyle w:val="Hyperlink"/>
            <w:lang w:val="ru-RU"/>
          </w:rPr>
          <w:t>/34</w:t>
        </w:r>
      </w:hyperlink>
      <w:r w:rsidRPr="00D35D16">
        <w:rPr>
          <w:lang w:val="ru-RU"/>
        </w:rPr>
        <w:t>).</w:t>
      </w:r>
    </w:p>
    <w:p w14:paraId="54E0C759" w14:textId="41D2C12C" w:rsidR="004A7E61" w:rsidRPr="00D35D16" w:rsidRDefault="004A7E61" w:rsidP="00BF2F91">
      <w:pPr>
        <w:pStyle w:val="Heading2"/>
      </w:pPr>
      <w:r w:rsidRPr="00D35D16">
        <w:t>5.2</w:t>
      </w:r>
      <w:r w:rsidRPr="00D35D16">
        <w:tab/>
        <w:t>Инициатива по трансформации МСЭ</w:t>
      </w:r>
    </w:p>
    <w:p w14:paraId="4E4C77E9" w14:textId="45382C63" w:rsidR="004A7E61" w:rsidRPr="00D35D16" w:rsidRDefault="004A7E61" w:rsidP="00961BD2">
      <w:pPr>
        <w:jc w:val="both"/>
        <w:rPr>
          <w:lang w:val="ru-RU"/>
        </w:rPr>
      </w:pPr>
      <w:r w:rsidRPr="00D35D16">
        <w:rPr>
          <w:lang w:val="ru-RU"/>
        </w:rPr>
        <w:t>Проект нового веб-сайта МСЭ был представлен Совету 2024 года в</w:t>
      </w:r>
      <w:r w:rsidR="00D35D16">
        <w:rPr>
          <w:lang w:val="ru-RU"/>
        </w:rPr>
        <w:t xml:space="preserve"> Документе</w:t>
      </w:r>
      <w:r w:rsidRPr="00D35D16">
        <w:rPr>
          <w:lang w:val="ru-RU"/>
        </w:rPr>
        <w:t xml:space="preserve"> </w:t>
      </w:r>
      <w:hyperlink r:id="rId15" w:history="1">
        <w:proofErr w:type="spellStart"/>
        <w:r w:rsidRPr="00D35D16">
          <w:rPr>
            <w:rStyle w:val="Hyperlink"/>
            <w:lang w:val="ru-RU"/>
          </w:rPr>
          <w:t>C24</w:t>
        </w:r>
        <w:proofErr w:type="spellEnd"/>
        <w:r w:rsidRPr="00D35D16">
          <w:rPr>
            <w:rStyle w:val="Hyperlink"/>
            <w:lang w:val="ru-RU"/>
          </w:rPr>
          <w:t>/53</w:t>
        </w:r>
      </w:hyperlink>
      <w:r w:rsidRPr="00D35D16">
        <w:rPr>
          <w:lang w:val="ru-RU"/>
        </w:rPr>
        <w:t xml:space="preserve"> и утвержден. Общий объем финансирования проекта веб-сайта оценивается в</w:t>
      </w:r>
      <w:r w:rsidR="00E314A0" w:rsidRPr="00D35D16">
        <w:rPr>
          <w:lang w:val="ru-RU"/>
        </w:rPr>
        <w:t> </w:t>
      </w:r>
      <w:r w:rsidRPr="00D35D16">
        <w:rPr>
          <w:lang w:val="ru-RU"/>
        </w:rPr>
        <w:t>600</w:t>
      </w:r>
      <w:r w:rsidR="00E314A0" w:rsidRPr="00D35D16">
        <w:rPr>
          <w:lang w:val="ru-RU"/>
        </w:rPr>
        <w:t> </w:t>
      </w:r>
      <w:r w:rsidRPr="00D35D16">
        <w:rPr>
          <w:lang w:val="ru-RU"/>
        </w:rPr>
        <w:t>тыс.</w:t>
      </w:r>
      <w:r w:rsidR="00E314A0" w:rsidRPr="00D35D16">
        <w:rPr>
          <w:lang w:val="ru-RU"/>
        </w:rPr>
        <w:t> </w:t>
      </w:r>
      <w:r w:rsidRPr="00D35D16">
        <w:rPr>
          <w:lang w:val="ru-RU"/>
        </w:rPr>
        <w:t>швейцарских франков, из которых 350 тыс. швейцарских франков были выделены за счет экономии, полученной в 2023 году, в рамках инициативы по трансформации МСЭ. Отчет об использовании этих средств представляется Совету в</w:t>
      </w:r>
      <w:r w:rsidR="00D35D16">
        <w:rPr>
          <w:lang w:val="ru-RU"/>
        </w:rPr>
        <w:t xml:space="preserve"> Документе</w:t>
      </w:r>
      <w:r w:rsidRPr="00D35D16">
        <w:rPr>
          <w:lang w:val="ru-RU"/>
        </w:rPr>
        <w:t xml:space="preserve"> </w:t>
      </w:r>
      <w:hyperlink r:id="rId16" w:history="1">
        <w:proofErr w:type="spellStart"/>
        <w:r w:rsidRPr="00D35D16">
          <w:rPr>
            <w:rStyle w:val="Hyperlink"/>
            <w:lang w:val="ru-RU"/>
          </w:rPr>
          <w:t>C25</w:t>
        </w:r>
        <w:proofErr w:type="spellEnd"/>
        <w:r w:rsidRPr="00D35D16">
          <w:rPr>
            <w:rStyle w:val="Hyperlink"/>
            <w:lang w:val="ru-RU"/>
          </w:rPr>
          <w:t>/55</w:t>
        </w:r>
      </w:hyperlink>
      <w:r w:rsidRPr="00D35D16">
        <w:rPr>
          <w:lang w:val="ru-RU"/>
        </w:rPr>
        <w:t xml:space="preserve">; был достигнут прогресс </w:t>
      </w:r>
      <w:r w:rsidRPr="00D35D16">
        <w:rPr>
          <w:lang w:val="ru-RU"/>
        </w:rPr>
        <w:lastRenderedPageBreak/>
        <w:t xml:space="preserve">в отношении запроса коммерческих предложений для первого этапа проекта. Секретариат просит Совет утвердить выделение дополнительного финансирования проекта веб-сайта из активного сальдо 2024 года, в объеме </w:t>
      </w:r>
      <w:r w:rsidRPr="00D35D16">
        <w:rPr>
          <w:b/>
          <w:bCs/>
          <w:lang w:val="ru-RU"/>
        </w:rPr>
        <w:t>250 тыс. швейцарских франков</w:t>
      </w:r>
      <w:r w:rsidRPr="00D35D16">
        <w:rPr>
          <w:lang w:val="ru-RU"/>
        </w:rPr>
        <w:t>, необходимых для финансирования сметного бюджета.</w:t>
      </w:r>
    </w:p>
    <w:p w14:paraId="66A10E3E" w14:textId="018399E9" w:rsidR="004A7E61" w:rsidRPr="00D35D16" w:rsidRDefault="004A7E61" w:rsidP="00BF2F91">
      <w:pPr>
        <w:pStyle w:val="Heading2"/>
      </w:pPr>
      <w:r w:rsidRPr="00D35D16">
        <w:t>5.3</w:t>
      </w:r>
      <w:r w:rsidRPr="00D35D16">
        <w:tab/>
        <w:t>Инициативы МСЭ в области искусственного интеллекта</w:t>
      </w:r>
    </w:p>
    <w:p w14:paraId="4BAC503E" w14:textId="21E7229E" w:rsidR="004A7E61" w:rsidRPr="00D35D16" w:rsidRDefault="004A7E61" w:rsidP="00961BD2">
      <w:pPr>
        <w:jc w:val="both"/>
        <w:rPr>
          <w:rFonts w:asciiTheme="minorHAnsi" w:eastAsiaTheme="minorEastAsia" w:hAnsiTheme="minorHAnsi" w:cstheme="minorHAnsi"/>
          <w:b/>
          <w:bCs/>
          <w:szCs w:val="24"/>
          <w:lang w:val="ru-RU"/>
        </w:rPr>
      </w:pPr>
      <w:r w:rsidRPr="00D35D16">
        <w:rPr>
          <w:lang w:val="ru-RU"/>
        </w:rPr>
        <w:t>С 2017 года МСЭ реализует масштабную программу в области искусственного интеллекта (ИИ), руководствуясь Резолюцией 214 (Бухарест, 2022 г.) Полномочной конференции, при поддержке новой знаковой резолюции A/78/</w:t>
      </w:r>
      <w:proofErr w:type="spellStart"/>
      <w:r w:rsidRPr="00D35D16">
        <w:rPr>
          <w:lang w:val="ru-RU"/>
        </w:rPr>
        <w:t>L.49</w:t>
      </w:r>
      <w:proofErr w:type="spellEnd"/>
      <w:r w:rsidRPr="00D35D16">
        <w:rPr>
          <w:lang w:val="ru-RU"/>
        </w:rPr>
        <w:t xml:space="preserve"> Генеральной Ассамблеи ООН.</w:t>
      </w:r>
    </w:p>
    <w:p w14:paraId="2C8F2DB2" w14:textId="77777777" w:rsidR="004A7E61" w:rsidRPr="00D35D16" w:rsidRDefault="004A7E61" w:rsidP="00961BD2">
      <w:pPr>
        <w:jc w:val="both"/>
        <w:rPr>
          <w:rFonts w:asciiTheme="minorHAnsi" w:eastAsia="Calibri Light" w:hAnsiTheme="minorHAnsi" w:cstheme="minorHAnsi"/>
          <w:color w:val="000000" w:themeColor="text1"/>
          <w:szCs w:val="24"/>
          <w:lang w:val="ru-RU"/>
        </w:rPr>
      </w:pPr>
      <w:r w:rsidRPr="00D35D16">
        <w:rPr>
          <w:lang w:val="ru-RU"/>
        </w:rPr>
        <w:t xml:space="preserve">Эти усилия напрямую поддерживают принятую на ВАСЭ-24 Резолюцию 101, в которой содержится призыв к постоянной поддержке платформы "ИИ во благо" и расширению международного сотрудничества по вопросам создания потенциала, а также разработки и координации стандартов в области ИИ. Эти мероприятия также отражают оперативное выполнение рекомендаций по ИИ, содержащихся в Глобальном цифровом договоре. </w:t>
      </w:r>
    </w:p>
    <w:p w14:paraId="0BD8D0F8" w14:textId="77777777" w:rsidR="004A7E61" w:rsidRPr="00D35D16" w:rsidRDefault="004A7E61" w:rsidP="00961BD2">
      <w:pPr>
        <w:jc w:val="both"/>
        <w:rPr>
          <w:rFonts w:asciiTheme="minorHAnsi" w:eastAsia="Calibri Light" w:hAnsiTheme="minorHAnsi" w:cstheme="minorHAnsi"/>
          <w:szCs w:val="24"/>
          <w:lang w:val="ru-RU"/>
        </w:rPr>
      </w:pPr>
      <w:r w:rsidRPr="00D35D16">
        <w:rPr>
          <w:lang w:val="ru-RU"/>
        </w:rPr>
        <w:t>Спрос продолжает расти, и МСЭ получает все больше запросов на проведение национальных и региональных мероприятий "ИИ во благо" и проектов по созданию потенциала в области ИИ. Эти просьбы поступают от Государств-Членов, региональных отделений и внешних партнеров, что создает дополнительную нагрузку на имеющиеся ресурсы МСЭ.</w:t>
      </w:r>
    </w:p>
    <w:p w14:paraId="17D582A1" w14:textId="77777777" w:rsidR="004A7E61" w:rsidRPr="00D35D16" w:rsidRDefault="004A7E61" w:rsidP="00961BD2">
      <w:pPr>
        <w:jc w:val="both"/>
        <w:rPr>
          <w:rFonts w:asciiTheme="minorHAnsi" w:eastAsia="Calibri Light" w:hAnsiTheme="minorHAnsi" w:cstheme="minorHAnsi"/>
          <w:szCs w:val="24"/>
          <w:lang w:val="ru-RU"/>
        </w:rPr>
      </w:pPr>
      <w:r w:rsidRPr="00D35D16">
        <w:rPr>
          <w:lang w:val="ru-RU"/>
        </w:rPr>
        <w:t xml:space="preserve">В этом контексте МСЭ предлагает выделить </w:t>
      </w:r>
      <w:r w:rsidRPr="00D35D16">
        <w:rPr>
          <w:b/>
          <w:bCs/>
          <w:lang w:val="ru-RU"/>
        </w:rPr>
        <w:t>500 тыс. швейцарских франков</w:t>
      </w:r>
      <w:r w:rsidRPr="00D35D16">
        <w:rPr>
          <w:lang w:val="ru-RU"/>
        </w:rPr>
        <w:t xml:space="preserve"> из сэкономленных в 2024 году средств на создание фонда для поддержки инициатив МСЭ в области ИИ, реализуемых в рамках Генерального секретариата и БСЭ.</w:t>
      </w:r>
    </w:p>
    <w:p w14:paraId="7501075E" w14:textId="77777777" w:rsidR="004A7E61" w:rsidRPr="00D35D16" w:rsidRDefault="004A7E61" w:rsidP="00961BD2">
      <w:pPr>
        <w:jc w:val="both"/>
        <w:rPr>
          <w:rFonts w:asciiTheme="minorHAnsi" w:eastAsia="Calibri Light" w:hAnsiTheme="minorHAnsi" w:cstheme="minorHAnsi"/>
          <w:szCs w:val="24"/>
          <w:lang w:val="ru-RU"/>
        </w:rPr>
      </w:pPr>
      <w:r w:rsidRPr="00D35D16">
        <w:rPr>
          <w:lang w:val="ru-RU"/>
        </w:rPr>
        <w:t>Запрашиваемые средства будут использованы для покрытия расходов на производство, оплату консультантов, стипендии, исследовательскую работу, веб-разработку и программное обеспечение для целей решения задач, поездок, аренды и материально-технического обеспечения.</w:t>
      </w:r>
    </w:p>
    <w:p w14:paraId="438499C8" w14:textId="77777777" w:rsidR="004A7E61" w:rsidRPr="00D35D16" w:rsidRDefault="004A7E61" w:rsidP="00BF2F91">
      <w:pPr>
        <w:pStyle w:val="Heading2"/>
      </w:pPr>
      <w:r w:rsidRPr="00D35D16">
        <w:t>5.4</w:t>
      </w:r>
      <w:r w:rsidRPr="00D35D16">
        <w:tab/>
        <w:t>ВФПЭ</w:t>
      </w:r>
    </w:p>
    <w:p w14:paraId="510C7894" w14:textId="1DC68275" w:rsidR="004A7E61" w:rsidRPr="00D35D16" w:rsidRDefault="004A7E61" w:rsidP="00BF2F91">
      <w:pPr>
        <w:jc w:val="both"/>
        <w:rPr>
          <w:rFonts w:asciiTheme="minorHAnsi" w:eastAsiaTheme="minorEastAsia" w:hAnsiTheme="minorHAnsi" w:cstheme="minorHAnsi"/>
          <w:szCs w:val="24"/>
          <w:lang w:val="ru-RU"/>
        </w:rPr>
      </w:pPr>
      <w:r w:rsidRPr="00D35D16">
        <w:rPr>
          <w:lang w:val="ru-RU"/>
        </w:rPr>
        <w:t xml:space="preserve">Полномочная конференция (Бухарест, 2022 г.) поручила Совету запланировать проведение Всемирного форума по политике в области электросвязи/ИКТ (ВФПЭ) на 2026 год. Секретариат предлагает выделить </w:t>
      </w:r>
      <w:r w:rsidRPr="00D35D16">
        <w:rPr>
          <w:b/>
          <w:bCs/>
          <w:lang w:val="ru-RU"/>
        </w:rPr>
        <w:t>180 тыс. швейцарских франков</w:t>
      </w:r>
      <w:r w:rsidRPr="00D35D16">
        <w:rPr>
          <w:lang w:val="ru-RU"/>
        </w:rPr>
        <w:t xml:space="preserve"> для финансирования найма дополнительного сотрудника для содействия подготовке и организации проведения </w:t>
      </w:r>
      <w:proofErr w:type="spellStart"/>
      <w:r w:rsidRPr="00D35D16">
        <w:rPr>
          <w:lang w:val="ru-RU"/>
        </w:rPr>
        <w:t>ВФПЭ</w:t>
      </w:r>
      <w:proofErr w:type="spellEnd"/>
      <w:r w:rsidRPr="00D35D16">
        <w:rPr>
          <w:lang w:val="ru-RU"/>
        </w:rPr>
        <w:t xml:space="preserve"> </w:t>
      </w:r>
      <w:r w:rsidR="00D35D16">
        <w:rPr>
          <w:lang w:val="ru-RU"/>
        </w:rPr>
        <w:t xml:space="preserve">(Документ </w:t>
      </w:r>
      <w:hyperlink r:id="rId17" w:history="1">
        <w:proofErr w:type="spellStart"/>
        <w:r w:rsidRPr="00D35D16">
          <w:rPr>
            <w:rStyle w:val="Hyperlink"/>
            <w:lang w:val="ru-RU"/>
          </w:rPr>
          <w:t>C25</w:t>
        </w:r>
        <w:proofErr w:type="spellEnd"/>
        <w:r w:rsidRPr="00D35D16">
          <w:rPr>
            <w:rStyle w:val="Hyperlink"/>
            <w:lang w:val="ru-RU"/>
          </w:rPr>
          <w:t>/19</w:t>
        </w:r>
      </w:hyperlink>
      <w:r w:rsidRPr="00D35D16">
        <w:rPr>
          <w:lang w:val="ru-RU"/>
        </w:rPr>
        <w:t>).</w:t>
      </w:r>
    </w:p>
    <w:p w14:paraId="667AA752" w14:textId="77777777" w:rsidR="004A7E61" w:rsidRPr="00D35D16" w:rsidRDefault="004A7E61" w:rsidP="00BF2F91">
      <w:pPr>
        <w:jc w:val="both"/>
        <w:rPr>
          <w:rFonts w:asciiTheme="minorHAnsi" w:eastAsia="Aptos" w:hAnsiTheme="minorHAnsi" w:cstheme="minorBidi"/>
          <w:lang w:val="ru-RU"/>
        </w:rPr>
      </w:pPr>
      <w:r w:rsidRPr="00D35D16">
        <w:rPr>
          <w:lang w:val="ru-RU"/>
        </w:rPr>
        <w:t xml:space="preserve">Этот сотрудник будет оказывать важнейшую поддержку Секретариату при подготовке к Всемирному форуму по политике в области электросвязи/ИКТ (ВФПЭ), в частности, поддерживать деятельность Неофициальной группы экспертов (НГЭ) и самого ВФПЭ. Эта деятельность включает помощь в подготовке нескольких проектов отчета Генерального секретаря для НГЭ; подготовку отчетов, информационных записок и других справочных материалов; а также поддержку усилий в области стратегических коммуникаций. Этот сотрудник будет также отвечать за общее проектирование и разработку контента веб-сайта ВФПЭ и управление им. Дополнительные обязанности будут включать организацию межсессионных собраний для поддержки неофициальных обсуждений между членами НГЭ и содействие использованию электронных методов работы для укрепления сотрудничества. </w:t>
      </w:r>
    </w:p>
    <w:p w14:paraId="0A71E1AA" w14:textId="77777777" w:rsidR="004A7E61" w:rsidRPr="00D35D16" w:rsidRDefault="004A7E61" w:rsidP="00BF2F91">
      <w:pPr>
        <w:jc w:val="both"/>
        <w:rPr>
          <w:rFonts w:asciiTheme="minorHAnsi" w:eastAsia="Aptos" w:hAnsiTheme="minorHAnsi" w:cstheme="minorHAnsi"/>
          <w:szCs w:val="24"/>
          <w:lang w:val="ru-RU"/>
        </w:rPr>
      </w:pPr>
      <w:r w:rsidRPr="00D35D16">
        <w:rPr>
          <w:lang w:val="ru-RU"/>
        </w:rPr>
        <w:t xml:space="preserve">Принимая во внимание междисциплинарный характер тем ВФПЭ, эта роль также предполагает содействие </w:t>
      </w:r>
      <w:proofErr w:type="spellStart"/>
      <w:r w:rsidRPr="00D35D16">
        <w:rPr>
          <w:lang w:val="ru-RU"/>
        </w:rPr>
        <w:t>межсекторальной</w:t>
      </w:r>
      <w:proofErr w:type="spellEnd"/>
      <w:r w:rsidRPr="00D35D16">
        <w:rPr>
          <w:lang w:val="ru-RU"/>
        </w:rPr>
        <w:t xml:space="preserve"> координации для обеспечения активного взаимодействия всех Бюро МСЭ на протяжении всего подготовительного процесса и в ходе работы самого Форума.</w:t>
      </w:r>
    </w:p>
    <w:p w14:paraId="4DEAE750" w14:textId="1692DC69" w:rsidR="004A7E61" w:rsidRPr="00D35D16" w:rsidRDefault="004A7E61" w:rsidP="00BF2F91">
      <w:pPr>
        <w:pStyle w:val="Heading2"/>
      </w:pPr>
      <w:r w:rsidRPr="00D35D16">
        <w:lastRenderedPageBreak/>
        <w:t>5.5</w:t>
      </w:r>
      <w:r w:rsidRPr="00D35D16">
        <w:tab/>
        <w:t>Фонд эксплуатации зданий</w:t>
      </w:r>
    </w:p>
    <w:p w14:paraId="47B8B683" w14:textId="5BD4371D" w:rsidR="004A7E61" w:rsidRPr="00D35D16" w:rsidRDefault="004A7E61" w:rsidP="00BF2F91">
      <w:pPr>
        <w:jc w:val="both"/>
        <w:rPr>
          <w:rFonts w:asciiTheme="minorHAnsi" w:eastAsiaTheme="minorEastAsia" w:hAnsiTheme="minorHAnsi" w:cstheme="minorBidi"/>
          <w:lang w:val="ru-RU"/>
        </w:rPr>
      </w:pPr>
      <w:r w:rsidRPr="00D35D16">
        <w:rPr>
          <w:lang w:val="ru-RU"/>
        </w:rPr>
        <w:t>Секретариат установил, что текущий уровень ассигнований на эксплуатацию зданий не соответствует объему, необходимому для проведения необходимых работ по восстановлению и профилактических мер. Этот вопрос более подробно освещен в</w:t>
      </w:r>
      <w:r w:rsidR="00D35D16">
        <w:rPr>
          <w:lang w:val="ru-RU"/>
        </w:rPr>
        <w:t xml:space="preserve"> Документе</w:t>
      </w:r>
      <w:r w:rsidRPr="00D35D16">
        <w:rPr>
          <w:lang w:val="ru-RU"/>
        </w:rPr>
        <w:t xml:space="preserve"> </w:t>
      </w:r>
      <w:hyperlink r:id="rId18" w:history="1">
        <w:proofErr w:type="spellStart"/>
        <w:r w:rsidRPr="00D35D16">
          <w:rPr>
            <w:rStyle w:val="Hyperlink"/>
            <w:lang w:val="ru-RU"/>
          </w:rPr>
          <w:t>CWG</w:t>
        </w:r>
        <w:proofErr w:type="spellEnd"/>
        <w:r w:rsidRPr="00D35D16">
          <w:rPr>
            <w:rStyle w:val="Hyperlink"/>
            <w:lang w:val="ru-RU"/>
          </w:rPr>
          <w:t>-</w:t>
        </w:r>
        <w:proofErr w:type="spellStart"/>
        <w:r w:rsidRPr="00D35D16">
          <w:rPr>
            <w:rStyle w:val="Hyperlink"/>
            <w:lang w:val="ru-RU"/>
          </w:rPr>
          <w:t>FHR</w:t>
        </w:r>
        <w:proofErr w:type="spellEnd"/>
        <w:r w:rsidRPr="00D35D16">
          <w:rPr>
            <w:rStyle w:val="Hyperlink"/>
            <w:lang w:val="ru-RU"/>
          </w:rPr>
          <w:t>-20/8</w:t>
        </w:r>
      </w:hyperlink>
      <w:r w:rsidRPr="00D35D16">
        <w:rPr>
          <w:lang w:val="ru-RU"/>
        </w:rPr>
        <w:t xml:space="preserve">, и для МСЭ все более важно уделять внимание обеспечению непрерывности и устойчивости своего присутствия в Женеве. Для удовлетворения этих потребностей Секретариат предлагает выделить </w:t>
      </w:r>
      <w:r w:rsidRPr="00D35D16">
        <w:rPr>
          <w:b/>
          <w:bCs/>
          <w:lang w:val="ru-RU"/>
        </w:rPr>
        <w:t>1000 тыс. швейцарских франков</w:t>
      </w:r>
      <w:r w:rsidRPr="00D35D16">
        <w:rPr>
          <w:lang w:val="ru-RU"/>
        </w:rPr>
        <w:t xml:space="preserve"> в Фонд эксплуатации зданий.</w:t>
      </w:r>
    </w:p>
    <w:p w14:paraId="143EA040" w14:textId="47E5C6B4" w:rsidR="004A7E61" w:rsidRPr="00D35D16" w:rsidRDefault="004A7E61" w:rsidP="00BF2F91">
      <w:pPr>
        <w:pStyle w:val="Heading2"/>
      </w:pPr>
      <w:r w:rsidRPr="00D35D16">
        <w:t>5.6</w:t>
      </w:r>
      <w:r w:rsidRPr="00D35D16">
        <w:tab/>
        <w:t>Капитальный фонд ИКТ</w:t>
      </w:r>
    </w:p>
    <w:p w14:paraId="419676DD" w14:textId="2F8A604B" w:rsidR="004A7E61" w:rsidRPr="00ED3CED" w:rsidRDefault="004A7E61" w:rsidP="00BF2F91">
      <w:pPr>
        <w:jc w:val="both"/>
        <w:rPr>
          <w:rFonts w:asciiTheme="minorHAnsi" w:eastAsiaTheme="minorEastAsia" w:hAnsiTheme="minorHAnsi" w:cstheme="minorBidi"/>
          <w:b/>
          <w:bCs/>
          <w:spacing w:val="-2"/>
          <w:lang w:val="ru-RU"/>
        </w:rPr>
      </w:pPr>
      <w:r w:rsidRPr="00ED3CED">
        <w:rPr>
          <w:spacing w:val="-2"/>
          <w:lang w:val="ru-RU"/>
        </w:rPr>
        <w:t xml:space="preserve">Секретариат предлагает выделить </w:t>
      </w:r>
      <w:r w:rsidRPr="00ED3CED">
        <w:rPr>
          <w:b/>
          <w:bCs/>
          <w:spacing w:val="-2"/>
          <w:lang w:val="ru-RU"/>
        </w:rPr>
        <w:t>1500 тыс. швейцарских франков</w:t>
      </w:r>
      <w:r w:rsidRPr="00ED3CED">
        <w:rPr>
          <w:spacing w:val="-2"/>
          <w:lang w:val="ru-RU"/>
        </w:rPr>
        <w:t xml:space="preserve"> в Капитальный фонд ИКТ для поддержки текущих работ по обслуживани</w:t>
      </w:r>
      <w:r w:rsidR="000A4318" w:rsidRPr="00ED3CED">
        <w:rPr>
          <w:spacing w:val="-2"/>
          <w:lang w:val="ru-RU"/>
        </w:rPr>
        <w:t>ю</w:t>
      </w:r>
      <w:r w:rsidRPr="00ED3CED">
        <w:rPr>
          <w:spacing w:val="-2"/>
          <w:lang w:val="ru-RU"/>
        </w:rPr>
        <w:t>, обновлению и усовершенствованию. МСЭ определил несколько вариантов модернизации систем и услуг ИТ в рамках основных функциональных возможностей ИТ, а также в рамках инициатив по трансформации, которые требуют рассмотрения, но не могут быть профинансированы из текущих ассигнований. Помимо этого, МСЭ сталкивается с ростом затрат со стороны ряда своих основных поставщиков услуг ИКТ, что создает все большую нагрузку на регулярный бюджет и тем самым влияет на способность МСЭ осуществлять постоянные инвестиции в инфраструктуру ИКТ. Выделение этих средств поможет Секретариату получить необходимые ресурсы для осуществления этих усовершенствований. Следует отметить, что такое выделение не в полной мере отвечает потребностям в улучшениях, и поэтому секретариат будет и далее действовать в соответствии с процессом трансформации в целях изыскания дополнительных ресурсов для финансирования этой области.</w:t>
      </w:r>
    </w:p>
    <w:p w14:paraId="445ADE4B" w14:textId="77777777" w:rsidR="004A7E61" w:rsidRPr="00D35D16" w:rsidRDefault="004A7E61" w:rsidP="004A7E61">
      <w:pPr>
        <w:pStyle w:val="Heading1"/>
        <w:rPr>
          <w:lang w:val="ru-RU"/>
        </w:rPr>
      </w:pPr>
      <w:r w:rsidRPr="00D35D16">
        <w:rPr>
          <w:bCs/>
          <w:lang w:val="ru-RU"/>
        </w:rPr>
        <w:t>6</w:t>
      </w:r>
      <w:r w:rsidRPr="00D35D16">
        <w:rPr>
          <w:lang w:val="ru-RU"/>
        </w:rPr>
        <w:tab/>
      </w:r>
      <w:r w:rsidRPr="00D35D16">
        <w:rPr>
          <w:bCs/>
          <w:lang w:val="ru-RU"/>
        </w:rPr>
        <w:t>Финансирование для покрытия новых финансовых последствий всемирных конференций и ассамблей</w:t>
      </w:r>
    </w:p>
    <w:p w14:paraId="6D0EAD33" w14:textId="3FBCA6E9" w:rsidR="004A7E61" w:rsidRPr="00D35D16" w:rsidRDefault="004A7E61" w:rsidP="00BF2F91">
      <w:pPr>
        <w:pStyle w:val="enumlev1"/>
        <w:jc w:val="both"/>
        <w:rPr>
          <w:rFonts w:eastAsiaTheme="minorEastAsia"/>
          <w:lang w:val="ru-RU"/>
        </w:rPr>
      </w:pPr>
      <w:r w:rsidRPr="00D35D16">
        <w:rPr>
          <w:b/>
          <w:bCs/>
          <w:lang w:val="ru-RU"/>
        </w:rPr>
        <w:t>6.1</w:t>
      </w:r>
      <w:r w:rsidRPr="00D35D16">
        <w:rPr>
          <w:lang w:val="ru-RU"/>
        </w:rPr>
        <w:tab/>
      </w:r>
      <w:r w:rsidRPr="00D35D16">
        <w:rPr>
          <w:b/>
          <w:bCs/>
          <w:lang w:val="ru-RU"/>
        </w:rPr>
        <w:t>ВАСЭ-24</w:t>
      </w:r>
      <w:r w:rsidR="000A4318" w:rsidRPr="00D35D16">
        <w:rPr>
          <w:lang w:val="ru-RU"/>
        </w:rPr>
        <w:t xml:space="preserve">: </w:t>
      </w:r>
      <w:r w:rsidRPr="00D35D16">
        <w:rPr>
          <w:lang w:val="ru-RU"/>
        </w:rPr>
        <w:t xml:space="preserve">На ВАСЭ-24 были приняты три новые Резолюции, имеющие финансовые последствия, которые не были учтены в утвержденном бюджете на 2024–2025 годы. Секретариат предлагает разрешить Генеральному секретарю выделить средства из активного сальдо 2024 года для покрытия сметных затрат на 2025 год в размере </w:t>
      </w:r>
      <w:r w:rsidRPr="00D35D16">
        <w:rPr>
          <w:b/>
          <w:bCs/>
          <w:lang w:val="ru-RU"/>
        </w:rPr>
        <w:t>556</w:t>
      </w:r>
      <w:r w:rsidR="000A4318" w:rsidRPr="00D35D16">
        <w:rPr>
          <w:b/>
          <w:bCs/>
          <w:lang w:val="ru-RU"/>
        </w:rPr>
        <w:t> </w:t>
      </w:r>
      <w:r w:rsidRPr="00D35D16">
        <w:rPr>
          <w:b/>
          <w:bCs/>
          <w:lang w:val="ru-RU"/>
        </w:rPr>
        <w:t>тыс. швейцарских франков</w:t>
      </w:r>
      <w:r w:rsidRPr="00D35D16">
        <w:rPr>
          <w:lang w:val="ru-RU"/>
        </w:rPr>
        <w:t xml:space="preserve"> в бюджет БСЭ, с тем чтобы Бюро могло приступить к выполнению этих Резолюций. Дальнейшие выделения средств будут предлагаться ежегодно в случае экономии бюджетных средств и в соответствии со сметной потребностью в достижении соответствующих целей. </w:t>
      </w:r>
    </w:p>
    <w:p w14:paraId="67176214" w14:textId="5DE85E29" w:rsidR="004A7E61" w:rsidRPr="00D35D16" w:rsidRDefault="004A7E61" w:rsidP="00BF2F91">
      <w:pPr>
        <w:pStyle w:val="enumlev1"/>
        <w:jc w:val="both"/>
        <w:rPr>
          <w:rFonts w:eastAsiaTheme="minorEastAsia"/>
          <w:lang w:val="ru-RU"/>
        </w:rPr>
      </w:pPr>
      <w:r w:rsidRPr="00D35D16">
        <w:rPr>
          <w:b/>
          <w:bCs/>
          <w:lang w:val="ru-RU"/>
        </w:rPr>
        <w:t>6.2</w:t>
      </w:r>
      <w:r w:rsidRPr="00D35D16">
        <w:rPr>
          <w:lang w:val="ru-RU"/>
        </w:rPr>
        <w:tab/>
      </w:r>
      <w:r w:rsidRPr="00D35D16">
        <w:rPr>
          <w:b/>
          <w:bCs/>
          <w:lang w:val="ru-RU"/>
        </w:rPr>
        <w:t>ВКР-23</w:t>
      </w:r>
      <w:r w:rsidR="000A4318" w:rsidRPr="00D35D16">
        <w:rPr>
          <w:lang w:val="ru-RU"/>
        </w:rPr>
        <w:t xml:space="preserve">: </w:t>
      </w:r>
      <w:r w:rsidRPr="00D35D16">
        <w:rPr>
          <w:lang w:val="ru-RU"/>
        </w:rPr>
        <w:t>В</w:t>
      </w:r>
      <w:r w:rsidR="00D35D16">
        <w:rPr>
          <w:lang w:val="ru-RU"/>
        </w:rPr>
        <w:t xml:space="preserve"> Документе</w:t>
      </w:r>
      <w:r w:rsidRPr="00D35D16">
        <w:rPr>
          <w:lang w:val="ru-RU"/>
        </w:rPr>
        <w:t xml:space="preserve"> </w:t>
      </w:r>
      <w:hyperlink r:id="rId19" w:history="1">
        <w:proofErr w:type="spellStart"/>
        <w:r w:rsidRPr="00D35D16">
          <w:rPr>
            <w:rStyle w:val="Hyperlink"/>
            <w:lang w:val="ru-RU"/>
          </w:rPr>
          <w:t>C24</w:t>
        </w:r>
        <w:proofErr w:type="spellEnd"/>
        <w:r w:rsidRPr="00D35D16">
          <w:rPr>
            <w:rStyle w:val="Hyperlink"/>
            <w:lang w:val="ru-RU"/>
          </w:rPr>
          <w:t>/19</w:t>
        </w:r>
      </w:hyperlink>
      <w:r w:rsidRPr="00D35D16">
        <w:rPr>
          <w:lang w:val="ru-RU"/>
        </w:rPr>
        <w:t xml:space="preserve"> представлен отчет о затратах на выполнение Резолюций ВКР-23, в соответствии с которым Совет выделил 3,3 млн. швейцарских франков на покрытие всех расходов. Эти выделенные средства не были израсходованы полностью. Предлагается выделить дополнительную сумму в размере до </w:t>
      </w:r>
      <w:r w:rsidRPr="00D35D16">
        <w:rPr>
          <w:b/>
          <w:bCs/>
          <w:lang w:val="ru-RU"/>
        </w:rPr>
        <w:t>300</w:t>
      </w:r>
      <w:r w:rsidR="000A4318" w:rsidRPr="00D35D16">
        <w:rPr>
          <w:b/>
          <w:bCs/>
          <w:lang w:val="ru-RU"/>
        </w:rPr>
        <w:t> </w:t>
      </w:r>
      <w:r w:rsidRPr="00D35D16">
        <w:rPr>
          <w:b/>
          <w:bCs/>
          <w:lang w:val="ru-RU"/>
        </w:rPr>
        <w:t>тыс.</w:t>
      </w:r>
      <w:r w:rsidR="00D35D16">
        <w:rPr>
          <w:b/>
          <w:bCs/>
          <w:lang w:val="ru-RU"/>
        </w:rPr>
        <w:t> </w:t>
      </w:r>
      <w:r w:rsidRPr="00D35D16">
        <w:rPr>
          <w:b/>
          <w:bCs/>
          <w:lang w:val="ru-RU"/>
        </w:rPr>
        <w:t>швейцарских франков</w:t>
      </w:r>
      <w:r w:rsidRPr="00D35D16">
        <w:rPr>
          <w:lang w:val="ru-RU"/>
        </w:rPr>
        <w:t xml:space="preserve"> из активного сальдо 2024 года в дополнение к остатку средств, оставшихся после выделения Советом 2024</w:t>
      </w:r>
      <w:r w:rsidR="006B40F0" w:rsidRPr="00D35D16">
        <w:rPr>
          <w:lang w:val="ru-RU"/>
        </w:rPr>
        <w:t> </w:t>
      </w:r>
      <w:r w:rsidRPr="00D35D16">
        <w:rPr>
          <w:lang w:val="ru-RU"/>
        </w:rPr>
        <w:t>года.</w:t>
      </w:r>
    </w:p>
    <w:p w14:paraId="071A907B" w14:textId="77777777" w:rsidR="004A7E61" w:rsidRPr="00D35D16" w:rsidRDefault="004A7E61" w:rsidP="00BF2F91">
      <w:pPr>
        <w:jc w:val="both"/>
        <w:rPr>
          <w:rFonts w:asciiTheme="minorHAnsi" w:eastAsiaTheme="minorEastAsia" w:hAnsiTheme="minorHAnsi" w:cstheme="minorBidi"/>
          <w:lang w:val="ru-RU"/>
        </w:rPr>
      </w:pPr>
      <w:r w:rsidRPr="00D35D16">
        <w:rPr>
          <w:lang w:val="ru-RU"/>
        </w:rPr>
        <w:t>Секретариат повторяет свою просьбу к Государствам-Членам рассмотреть вопрос о внесении добровольных взносов в МСЭ для поддержки выполнения решений всемирных конференций, которые не были предусмотрены в Финансовом плане Союза.</w:t>
      </w:r>
    </w:p>
    <w:p w14:paraId="212571C9" w14:textId="2EA567EE" w:rsidR="004A7E61" w:rsidRPr="00D35D16" w:rsidRDefault="004A7E61" w:rsidP="00B9552D">
      <w:pPr>
        <w:pStyle w:val="Headingb"/>
        <w:spacing w:after="120"/>
        <w:rPr>
          <w:lang w:val="ru-RU"/>
        </w:rPr>
      </w:pPr>
      <w:bookmarkStart w:id="8" w:name="dnote"/>
      <w:bookmarkEnd w:id="8"/>
      <w:r w:rsidRPr="00D35D16">
        <w:rPr>
          <w:bCs/>
          <w:lang w:val="ru-RU"/>
        </w:rPr>
        <w:lastRenderedPageBreak/>
        <w:t>Краткое изложение предложения</w:t>
      </w:r>
    </w:p>
    <w:tbl>
      <w:tblPr>
        <w:tblW w:w="9061" w:type="dxa"/>
        <w:tblLayout w:type="fixed"/>
        <w:tblLook w:val="04A0" w:firstRow="1" w:lastRow="0" w:firstColumn="1" w:lastColumn="0" w:noHBand="0" w:noVBand="1"/>
      </w:tblPr>
      <w:tblGrid>
        <w:gridCol w:w="640"/>
        <w:gridCol w:w="7005"/>
        <w:gridCol w:w="1416"/>
      </w:tblGrid>
      <w:tr w:rsidR="006B40F0" w:rsidRPr="00D35D16" w14:paraId="0E4CC0E7" w14:textId="77777777" w:rsidTr="000A4318">
        <w:tc>
          <w:tcPr>
            <w:tcW w:w="7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E6F5"/>
            <w:noWrap/>
            <w:vAlign w:val="center"/>
            <w:hideMark/>
          </w:tcPr>
          <w:p w14:paraId="62E173C1" w14:textId="1EC67729" w:rsidR="006B40F0" w:rsidRPr="00D35D16" w:rsidRDefault="006B40F0" w:rsidP="00BF2F91">
            <w:pPr>
              <w:pStyle w:val="Tabletext"/>
              <w:keepNext/>
              <w:rPr>
                <w:b/>
                <w:bCs/>
                <w:lang w:val="ru-RU" w:eastAsia="en-GB"/>
              </w:rPr>
            </w:pPr>
            <w:r w:rsidRPr="00D35D16">
              <w:rPr>
                <w:b/>
                <w:bCs/>
                <w:lang w:val="ru-RU" w:eastAsia="en-GB"/>
              </w:rPr>
              <w:t>Активное сальдо исполнения бюджета 2024 года (тыс. шв. фр.)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noWrap/>
            <w:vAlign w:val="bottom"/>
            <w:hideMark/>
          </w:tcPr>
          <w:p w14:paraId="7E228B73" w14:textId="0278DFF2" w:rsidR="006B40F0" w:rsidRPr="00D35D16" w:rsidRDefault="006B40F0" w:rsidP="00BF2F91">
            <w:pPr>
              <w:pStyle w:val="Tabletext"/>
              <w:keepNext/>
              <w:ind w:right="170"/>
              <w:jc w:val="right"/>
              <w:rPr>
                <w:b/>
                <w:bCs/>
                <w:lang w:val="ru-RU" w:eastAsia="en-GB"/>
              </w:rPr>
            </w:pPr>
            <w:r w:rsidRPr="00D35D16">
              <w:rPr>
                <w:b/>
                <w:bCs/>
                <w:lang w:val="ru-RU" w:eastAsia="en-GB"/>
              </w:rPr>
              <w:t>5 652</w:t>
            </w:r>
          </w:p>
        </w:tc>
      </w:tr>
      <w:tr w:rsidR="006B40F0" w:rsidRPr="00D35D16" w14:paraId="51BB8E4D" w14:textId="77777777" w:rsidTr="000A4318">
        <w:tc>
          <w:tcPr>
            <w:tcW w:w="7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E6F5"/>
            <w:noWrap/>
            <w:vAlign w:val="center"/>
            <w:hideMark/>
          </w:tcPr>
          <w:p w14:paraId="319116CA" w14:textId="227C02C3" w:rsidR="006B40F0" w:rsidRPr="00D35D16" w:rsidRDefault="006B40F0" w:rsidP="00BF2F91">
            <w:pPr>
              <w:pStyle w:val="Tabletext"/>
              <w:keepNext/>
              <w:rPr>
                <w:b/>
                <w:bCs/>
                <w:lang w:val="ru-RU" w:eastAsia="en-GB"/>
              </w:rPr>
            </w:pPr>
            <w:r w:rsidRPr="00D35D16">
              <w:rPr>
                <w:b/>
                <w:bCs/>
                <w:lang w:val="ru-RU" w:eastAsia="en-GB"/>
              </w:rPr>
              <w:t>Отсроченная деятельность и утвержденная ранее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noWrap/>
            <w:vAlign w:val="bottom"/>
            <w:hideMark/>
          </w:tcPr>
          <w:p w14:paraId="2624180E" w14:textId="0980AC85" w:rsidR="006B40F0" w:rsidRPr="00D35D16" w:rsidRDefault="006B40F0" w:rsidP="00BF2F91">
            <w:pPr>
              <w:pStyle w:val="Tabletext"/>
              <w:keepNext/>
              <w:ind w:right="170"/>
              <w:jc w:val="right"/>
              <w:rPr>
                <w:b/>
                <w:bCs/>
                <w:lang w:val="ru-RU" w:eastAsia="en-GB"/>
              </w:rPr>
            </w:pPr>
            <w:r w:rsidRPr="00D35D16">
              <w:rPr>
                <w:b/>
                <w:bCs/>
                <w:lang w:val="ru-RU" w:eastAsia="en-GB"/>
              </w:rPr>
              <w:t>453</w:t>
            </w:r>
          </w:p>
        </w:tc>
      </w:tr>
      <w:tr w:rsidR="00B9552D" w:rsidRPr="00D35D16" w14:paraId="046ED63C" w14:textId="77777777" w:rsidTr="000A4318"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1F0C8"/>
            <w:vAlign w:val="center"/>
          </w:tcPr>
          <w:p w14:paraId="234F092D" w14:textId="4EA37D35" w:rsidR="006B40F0" w:rsidRPr="00D35D16" w:rsidRDefault="006B40F0" w:rsidP="00BF2F91">
            <w:pPr>
              <w:pStyle w:val="Tabletext"/>
              <w:keepNext/>
              <w:rPr>
                <w:lang w:val="ru-RU" w:eastAsia="en-GB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000000" w:fill="C1F0C8"/>
            <w:vAlign w:val="center"/>
            <w:hideMark/>
          </w:tcPr>
          <w:p w14:paraId="2A1FB7B9" w14:textId="77C16993" w:rsidR="006B40F0" w:rsidRPr="00D35D16" w:rsidRDefault="006B40F0" w:rsidP="00BF2F91">
            <w:pPr>
              <w:pStyle w:val="Tabletext"/>
              <w:keepNext/>
              <w:rPr>
                <w:lang w:val="ru-RU" w:eastAsia="en-GB"/>
              </w:rPr>
            </w:pPr>
            <w:r w:rsidRPr="00D35D16">
              <w:rPr>
                <w:lang w:val="ru-RU" w:eastAsia="en-GB"/>
              </w:rPr>
              <w:t>Отсроченная деятельность РПС БРЭ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1F0C8"/>
            <w:vAlign w:val="bottom"/>
            <w:hideMark/>
          </w:tcPr>
          <w:p w14:paraId="1DD80CC6" w14:textId="57A4FC31" w:rsidR="006B40F0" w:rsidRPr="00D35D16" w:rsidRDefault="006B40F0" w:rsidP="00BF2F91">
            <w:pPr>
              <w:pStyle w:val="Tabletext"/>
              <w:keepNext/>
              <w:ind w:right="170"/>
              <w:jc w:val="right"/>
              <w:rPr>
                <w:lang w:val="ru-RU" w:eastAsia="en-GB"/>
              </w:rPr>
            </w:pPr>
            <w:r w:rsidRPr="00D35D16">
              <w:rPr>
                <w:lang w:val="ru-RU" w:eastAsia="en-GB"/>
              </w:rPr>
              <w:t>203</w:t>
            </w:r>
          </w:p>
        </w:tc>
      </w:tr>
      <w:tr w:rsidR="00B9552D" w:rsidRPr="00D35D16" w14:paraId="720F54B4" w14:textId="77777777" w:rsidTr="000A4318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1F0C8"/>
            <w:vAlign w:val="center"/>
          </w:tcPr>
          <w:p w14:paraId="2B1D6828" w14:textId="710728DA" w:rsidR="006B40F0" w:rsidRPr="00D35D16" w:rsidRDefault="006B40F0" w:rsidP="00BF2F91">
            <w:pPr>
              <w:pStyle w:val="Tabletext"/>
              <w:keepNext/>
              <w:rPr>
                <w:lang w:val="ru-RU" w:eastAsia="en-GB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1F0C8"/>
            <w:vAlign w:val="center"/>
            <w:hideMark/>
          </w:tcPr>
          <w:p w14:paraId="22318E64" w14:textId="387CEB0D" w:rsidR="006B40F0" w:rsidRPr="00D35D16" w:rsidRDefault="006B40F0" w:rsidP="00BF2F91">
            <w:pPr>
              <w:pStyle w:val="Tabletext"/>
              <w:keepNext/>
              <w:rPr>
                <w:lang w:val="ru-RU" w:eastAsia="en-GB"/>
              </w:rPr>
            </w:pPr>
            <w:r w:rsidRPr="00D35D16">
              <w:rPr>
                <w:lang w:val="ru-RU" w:eastAsia="en-GB"/>
              </w:rPr>
              <w:t>Выделение средств на программу "Молодые специалисты"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1F0C8"/>
            <w:vAlign w:val="bottom"/>
            <w:hideMark/>
          </w:tcPr>
          <w:p w14:paraId="62304D38" w14:textId="133A4F8C" w:rsidR="006B40F0" w:rsidRPr="00D35D16" w:rsidRDefault="006B40F0" w:rsidP="00BF2F91">
            <w:pPr>
              <w:pStyle w:val="Tabletext"/>
              <w:keepNext/>
              <w:ind w:right="170"/>
              <w:jc w:val="right"/>
              <w:rPr>
                <w:lang w:val="ru-RU" w:eastAsia="en-GB"/>
              </w:rPr>
            </w:pPr>
            <w:r w:rsidRPr="00D35D16">
              <w:rPr>
                <w:lang w:val="ru-RU" w:eastAsia="en-GB"/>
              </w:rPr>
              <w:t>250</w:t>
            </w:r>
          </w:p>
        </w:tc>
      </w:tr>
      <w:tr w:rsidR="006B40F0" w:rsidRPr="00D35D16" w14:paraId="36C67769" w14:textId="77777777" w:rsidTr="000A4318">
        <w:tc>
          <w:tcPr>
            <w:tcW w:w="764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E6F5"/>
            <w:noWrap/>
            <w:vAlign w:val="center"/>
            <w:hideMark/>
          </w:tcPr>
          <w:p w14:paraId="513164CA" w14:textId="0F0A44E7" w:rsidR="006B40F0" w:rsidRPr="00D35D16" w:rsidRDefault="006B40F0" w:rsidP="00BF2F91">
            <w:pPr>
              <w:pStyle w:val="Tabletext"/>
              <w:keepNext/>
              <w:rPr>
                <w:b/>
                <w:bCs/>
                <w:lang w:val="ru-RU" w:eastAsia="en-GB"/>
              </w:rPr>
            </w:pPr>
            <w:r w:rsidRPr="00D35D16">
              <w:rPr>
                <w:b/>
                <w:bCs/>
                <w:lang w:val="ru-RU" w:eastAsia="en-GB"/>
              </w:rPr>
              <w:t>Выделение средств, предлагаемое для утверждения Советом (тыс. шв. фр.)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noWrap/>
            <w:vAlign w:val="bottom"/>
            <w:hideMark/>
          </w:tcPr>
          <w:p w14:paraId="6EF48CB2" w14:textId="507B3018" w:rsidR="006B40F0" w:rsidRPr="00D35D16" w:rsidRDefault="006B40F0" w:rsidP="00BF2F91">
            <w:pPr>
              <w:pStyle w:val="Tabletext"/>
              <w:keepNext/>
              <w:ind w:right="170"/>
              <w:jc w:val="right"/>
              <w:rPr>
                <w:b/>
                <w:bCs/>
                <w:lang w:val="ru-RU" w:eastAsia="en-GB"/>
              </w:rPr>
            </w:pPr>
            <w:r w:rsidRPr="00D35D16">
              <w:rPr>
                <w:b/>
                <w:bCs/>
                <w:lang w:val="ru-RU" w:eastAsia="en-GB"/>
              </w:rPr>
              <w:t>4 810</w:t>
            </w:r>
          </w:p>
        </w:tc>
      </w:tr>
      <w:tr w:rsidR="00B9552D" w:rsidRPr="00D35D16" w14:paraId="1275B91E" w14:textId="77777777" w:rsidTr="000A4318"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BE2D5"/>
            <w:vAlign w:val="center"/>
          </w:tcPr>
          <w:p w14:paraId="76DFBC9A" w14:textId="3AB721CA" w:rsidR="006B40F0" w:rsidRPr="00D35D16" w:rsidRDefault="006B40F0" w:rsidP="00BF2F91">
            <w:pPr>
              <w:pStyle w:val="Tabletext"/>
              <w:keepNext/>
              <w:rPr>
                <w:lang w:val="ru-RU" w:eastAsia="en-GB"/>
              </w:rPr>
            </w:pPr>
          </w:p>
        </w:tc>
        <w:tc>
          <w:tcPr>
            <w:tcW w:w="70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BE2D5"/>
            <w:vAlign w:val="center"/>
            <w:hideMark/>
          </w:tcPr>
          <w:p w14:paraId="00534866" w14:textId="7673890D" w:rsidR="006B40F0" w:rsidRPr="00D35D16" w:rsidRDefault="006B40F0" w:rsidP="00BF2F91">
            <w:pPr>
              <w:pStyle w:val="Tabletext"/>
              <w:keepNext/>
              <w:rPr>
                <w:lang w:val="ru-RU" w:eastAsia="en-GB"/>
              </w:rPr>
            </w:pPr>
            <w:r w:rsidRPr="00D35D16">
              <w:rPr>
                <w:rFonts w:asciiTheme="minorHAnsi" w:eastAsia="SimSun" w:hAnsiTheme="minorHAnsi" w:cstheme="minorHAnsi"/>
                <w:bCs/>
                <w:lang w:val="ru-RU"/>
              </w:rPr>
              <w:t>Выделение средств на деятельность после ВАСЭ-24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E2D5"/>
            <w:vAlign w:val="bottom"/>
            <w:hideMark/>
          </w:tcPr>
          <w:p w14:paraId="160D2CA0" w14:textId="0CA0EDC7" w:rsidR="006B40F0" w:rsidRPr="00D35D16" w:rsidRDefault="006B40F0" w:rsidP="00BF2F91">
            <w:pPr>
              <w:pStyle w:val="Tabletext"/>
              <w:keepNext/>
              <w:ind w:right="170"/>
              <w:jc w:val="right"/>
              <w:rPr>
                <w:lang w:val="ru-RU" w:eastAsia="en-GB"/>
              </w:rPr>
            </w:pPr>
            <w:r w:rsidRPr="00D35D16">
              <w:rPr>
                <w:lang w:val="ru-RU" w:eastAsia="en-GB"/>
              </w:rPr>
              <w:t>556</w:t>
            </w:r>
          </w:p>
        </w:tc>
      </w:tr>
      <w:tr w:rsidR="00B9552D" w:rsidRPr="00D35D16" w14:paraId="2E58ABBB" w14:textId="77777777" w:rsidTr="000A4318"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BE2D5"/>
            <w:vAlign w:val="center"/>
          </w:tcPr>
          <w:p w14:paraId="494B5E37" w14:textId="1E98201F" w:rsidR="006B40F0" w:rsidRPr="00D35D16" w:rsidRDefault="006B40F0" w:rsidP="00BF2F91">
            <w:pPr>
              <w:pStyle w:val="Tabletext"/>
              <w:keepNext/>
              <w:rPr>
                <w:lang w:val="ru-RU" w:eastAsia="en-GB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E2D5"/>
            <w:vAlign w:val="center"/>
            <w:hideMark/>
          </w:tcPr>
          <w:p w14:paraId="6B6A375B" w14:textId="0B1BF7EB" w:rsidR="006B40F0" w:rsidRPr="00D35D16" w:rsidRDefault="006B40F0" w:rsidP="00BF2F91">
            <w:pPr>
              <w:pStyle w:val="Tabletext"/>
              <w:keepNext/>
              <w:rPr>
                <w:lang w:val="ru-RU" w:eastAsia="en-GB"/>
              </w:rPr>
            </w:pPr>
            <w:r w:rsidRPr="00D35D16">
              <w:rPr>
                <w:lang w:val="ru-RU" w:eastAsia="en-GB"/>
              </w:rPr>
              <w:t>Выделение средств на деятельность после ВКР-23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E2D5"/>
            <w:vAlign w:val="bottom"/>
            <w:hideMark/>
          </w:tcPr>
          <w:p w14:paraId="64DA8622" w14:textId="58D858C4" w:rsidR="006B40F0" w:rsidRPr="00D35D16" w:rsidRDefault="006B40F0" w:rsidP="00BF2F91">
            <w:pPr>
              <w:pStyle w:val="Tabletext"/>
              <w:keepNext/>
              <w:ind w:right="170"/>
              <w:jc w:val="right"/>
              <w:rPr>
                <w:lang w:val="ru-RU" w:eastAsia="en-GB"/>
              </w:rPr>
            </w:pPr>
            <w:r w:rsidRPr="00D35D16">
              <w:rPr>
                <w:lang w:val="ru-RU" w:eastAsia="en-GB"/>
              </w:rPr>
              <w:t>300</w:t>
            </w:r>
          </w:p>
        </w:tc>
      </w:tr>
      <w:tr w:rsidR="00B9552D" w:rsidRPr="00D35D16" w14:paraId="52845CAD" w14:textId="77777777" w:rsidTr="000A4318"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BE2D5"/>
            <w:vAlign w:val="center"/>
          </w:tcPr>
          <w:p w14:paraId="1AC0F58F" w14:textId="4D1501A7" w:rsidR="006B40F0" w:rsidRPr="00D35D16" w:rsidRDefault="006B40F0" w:rsidP="00BF2F91">
            <w:pPr>
              <w:pStyle w:val="Tabletext"/>
              <w:keepNext/>
              <w:rPr>
                <w:lang w:val="ru-RU" w:eastAsia="en-GB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vAlign w:val="center"/>
          </w:tcPr>
          <w:p w14:paraId="77993381" w14:textId="1C61B6C3" w:rsidR="006B40F0" w:rsidRPr="00D35D16" w:rsidRDefault="006B40F0" w:rsidP="00BF2F91">
            <w:pPr>
              <w:pStyle w:val="Tabletext"/>
              <w:keepNext/>
              <w:rPr>
                <w:lang w:val="ru-RU" w:eastAsia="en-GB"/>
              </w:rPr>
            </w:pPr>
            <w:r w:rsidRPr="00D35D16">
              <w:rPr>
                <w:rFonts w:asciiTheme="minorHAnsi" w:eastAsia="SimSun" w:hAnsiTheme="minorHAnsi" w:cstheme="minorHAnsi"/>
                <w:bCs/>
                <w:lang w:val="ru-RU"/>
              </w:rPr>
              <w:t xml:space="preserve">Перечисление средств в </w:t>
            </w:r>
            <w:r w:rsidRPr="00D35D16">
              <w:rPr>
                <w:bCs/>
                <w:lang w:val="ru-RU"/>
              </w:rPr>
              <w:t>Фонд развития информационно-коммуникационных технологий (ФРИКТ)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2D5"/>
            <w:vAlign w:val="bottom"/>
            <w:hideMark/>
          </w:tcPr>
          <w:p w14:paraId="4B59E3C8" w14:textId="64AF96A0" w:rsidR="006B40F0" w:rsidRPr="00D35D16" w:rsidRDefault="006B40F0" w:rsidP="00BF2F91">
            <w:pPr>
              <w:pStyle w:val="Tabletext"/>
              <w:keepNext/>
              <w:ind w:right="170"/>
              <w:jc w:val="right"/>
              <w:rPr>
                <w:lang w:val="ru-RU" w:eastAsia="en-GB"/>
              </w:rPr>
            </w:pPr>
            <w:r w:rsidRPr="00D35D16">
              <w:rPr>
                <w:lang w:val="ru-RU" w:eastAsia="en-GB"/>
              </w:rPr>
              <w:t>524</w:t>
            </w:r>
          </w:p>
        </w:tc>
      </w:tr>
      <w:tr w:rsidR="00B9552D" w:rsidRPr="00D35D16" w14:paraId="301DC6D8" w14:textId="77777777" w:rsidTr="000A4318"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BE2D5"/>
            <w:vAlign w:val="center"/>
          </w:tcPr>
          <w:p w14:paraId="3AE43DB4" w14:textId="39ED4CF1" w:rsidR="006B40F0" w:rsidRPr="00D35D16" w:rsidRDefault="006B40F0" w:rsidP="00BF2F91">
            <w:pPr>
              <w:pStyle w:val="Tabletext"/>
              <w:keepNext/>
              <w:rPr>
                <w:lang w:val="ru-RU" w:eastAsia="en-GB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E2D5"/>
            <w:vAlign w:val="center"/>
          </w:tcPr>
          <w:p w14:paraId="611FE899" w14:textId="218527B3" w:rsidR="006B40F0" w:rsidRPr="00D35D16" w:rsidRDefault="006B40F0" w:rsidP="00BF2F91">
            <w:pPr>
              <w:pStyle w:val="Tabletext"/>
              <w:keepNext/>
              <w:rPr>
                <w:lang w:val="ru-RU" w:eastAsia="en-GB"/>
              </w:rPr>
            </w:pPr>
            <w:r w:rsidRPr="00D35D16">
              <w:rPr>
                <w:bCs/>
                <w:lang w:val="ru-RU"/>
              </w:rPr>
              <w:t>Инициативы МСЭ в области ИИ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E2D5"/>
            <w:vAlign w:val="bottom"/>
            <w:hideMark/>
          </w:tcPr>
          <w:p w14:paraId="202B16FE" w14:textId="0CCF10BF" w:rsidR="006B40F0" w:rsidRPr="00D35D16" w:rsidRDefault="006B40F0" w:rsidP="00BF2F91">
            <w:pPr>
              <w:pStyle w:val="Tabletext"/>
              <w:keepNext/>
              <w:ind w:right="170"/>
              <w:jc w:val="right"/>
              <w:rPr>
                <w:lang w:val="ru-RU" w:eastAsia="en-GB"/>
              </w:rPr>
            </w:pPr>
            <w:r w:rsidRPr="00D35D16">
              <w:rPr>
                <w:lang w:val="ru-RU" w:eastAsia="en-GB"/>
              </w:rPr>
              <w:t>500</w:t>
            </w:r>
          </w:p>
        </w:tc>
      </w:tr>
      <w:tr w:rsidR="00B9552D" w:rsidRPr="00D35D16" w14:paraId="3C4CFD0B" w14:textId="77777777" w:rsidTr="000A4318"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BE2D5"/>
            <w:vAlign w:val="center"/>
          </w:tcPr>
          <w:p w14:paraId="01622BA2" w14:textId="5FAD9B41" w:rsidR="006B40F0" w:rsidRPr="00D35D16" w:rsidRDefault="006B40F0" w:rsidP="00BF2F91">
            <w:pPr>
              <w:pStyle w:val="Tabletext"/>
              <w:keepNext/>
              <w:rPr>
                <w:lang w:val="ru-RU" w:eastAsia="en-GB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E2D5"/>
            <w:vAlign w:val="center"/>
          </w:tcPr>
          <w:p w14:paraId="2E308D31" w14:textId="300C7EAD" w:rsidR="006B40F0" w:rsidRPr="00D35D16" w:rsidRDefault="006B40F0" w:rsidP="00BF2F91">
            <w:pPr>
              <w:pStyle w:val="Tabletext"/>
              <w:keepNext/>
              <w:rPr>
                <w:lang w:val="ru-RU" w:eastAsia="en-GB"/>
              </w:rPr>
            </w:pPr>
            <w:r w:rsidRPr="00D35D16">
              <w:rPr>
                <w:rFonts w:asciiTheme="minorHAnsi" w:eastAsia="SimSun" w:hAnsiTheme="minorHAnsi" w:cstheme="minorHAnsi"/>
                <w:bCs/>
                <w:lang w:val="ru-RU"/>
              </w:rPr>
              <w:t>Выделение средств на реализацию дорожной карты по трансформации и</w:t>
            </w:r>
            <w:r w:rsidR="00B9552D" w:rsidRPr="00D35D16">
              <w:rPr>
                <w:rFonts w:asciiTheme="minorHAnsi" w:eastAsia="SimSun" w:hAnsiTheme="minorHAnsi" w:cstheme="minorHAnsi"/>
                <w:bCs/>
                <w:lang w:val="ru-RU"/>
              </w:rPr>
              <w:t> </w:t>
            </w:r>
            <w:r w:rsidRPr="00D35D16">
              <w:rPr>
                <w:rFonts w:asciiTheme="minorHAnsi" w:eastAsia="SimSun" w:hAnsiTheme="minorHAnsi" w:cstheme="minorHAnsi"/>
                <w:bCs/>
                <w:lang w:val="ru-RU"/>
              </w:rPr>
              <w:t xml:space="preserve">дорожной карты по </w:t>
            </w:r>
            <w:r w:rsidRPr="00D35D16">
              <w:rPr>
                <w:bCs/>
                <w:lang w:val="ru-RU"/>
              </w:rPr>
              <w:t>улучшению веб-сайта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E2D5"/>
            <w:vAlign w:val="bottom"/>
            <w:hideMark/>
          </w:tcPr>
          <w:p w14:paraId="17A55224" w14:textId="773F1B49" w:rsidR="006B40F0" w:rsidRPr="00D35D16" w:rsidRDefault="006B40F0" w:rsidP="00BF2F91">
            <w:pPr>
              <w:pStyle w:val="Tabletext"/>
              <w:keepNext/>
              <w:ind w:right="170"/>
              <w:jc w:val="right"/>
              <w:rPr>
                <w:lang w:val="ru-RU" w:eastAsia="en-GB"/>
              </w:rPr>
            </w:pPr>
            <w:r w:rsidRPr="00D35D16">
              <w:rPr>
                <w:lang w:val="ru-RU" w:eastAsia="en-GB"/>
              </w:rPr>
              <w:t>250</w:t>
            </w:r>
          </w:p>
        </w:tc>
      </w:tr>
      <w:tr w:rsidR="00B9552D" w:rsidRPr="00D35D16" w14:paraId="22FC565E" w14:textId="77777777" w:rsidTr="000A4318"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BE2D5"/>
            <w:vAlign w:val="center"/>
          </w:tcPr>
          <w:p w14:paraId="7094558A" w14:textId="222A076C" w:rsidR="006B40F0" w:rsidRPr="00D35D16" w:rsidRDefault="006B40F0" w:rsidP="00BF2F91">
            <w:pPr>
              <w:pStyle w:val="Tabletext"/>
              <w:keepNext/>
              <w:rPr>
                <w:lang w:val="ru-RU" w:eastAsia="en-GB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E2D5"/>
            <w:vAlign w:val="center"/>
          </w:tcPr>
          <w:p w14:paraId="05A27CAF" w14:textId="66BE7FBF" w:rsidR="006B40F0" w:rsidRPr="00D35D16" w:rsidRDefault="006B40F0" w:rsidP="00BF2F91">
            <w:pPr>
              <w:pStyle w:val="Tabletext"/>
              <w:keepNext/>
              <w:rPr>
                <w:lang w:val="ru-RU" w:eastAsia="en-GB"/>
              </w:rPr>
            </w:pPr>
            <w:r w:rsidRPr="00D35D16">
              <w:rPr>
                <w:bCs/>
                <w:lang w:val="ru-RU"/>
              </w:rPr>
              <w:t>Выделение средств на подготовку к ВФПЭ-26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E2D5"/>
            <w:vAlign w:val="bottom"/>
            <w:hideMark/>
          </w:tcPr>
          <w:p w14:paraId="4595E844" w14:textId="596996D2" w:rsidR="006B40F0" w:rsidRPr="00D35D16" w:rsidRDefault="006B40F0" w:rsidP="00BF2F91">
            <w:pPr>
              <w:pStyle w:val="Tabletext"/>
              <w:keepNext/>
              <w:ind w:right="170"/>
              <w:jc w:val="right"/>
              <w:rPr>
                <w:lang w:val="ru-RU" w:eastAsia="en-GB"/>
              </w:rPr>
            </w:pPr>
            <w:r w:rsidRPr="00D35D16">
              <w:rPr>
                <w:lang w:val="ru-RU" w:eastAsia="en-GB"/>
              </w:rPr>
              <w:t>180</w:t>
            </w:r>
          </w:p>
        </w:tc>
      </w:tr>
      <w:tr w:rsidR="00B9552D" w:rsidRPr="00D35D16" w14:paraId="26748700" w14:textId="77777777" w:rsidTr="000A4318"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BE2D5"/>
            <w:vAlign w:val="center"/>
          </w:tcPr>
          <w:p w14:paraId="458A0993" w14:textId="416B88E9" w:rsidR="006B40F0" w:rsidRPr="00D35D16" w:rsidRDefault="006B40F0" w:rsidP="00BF2F91">
            <w:pPr>
              <w:pStyle w:val="Tabletext"/>
              <w:keepNext/>
              <w:rPr>
                <w:lang w:val="ru-RU" w:eastAsia="en-GB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E2D5"/>
            <w:vAlign w:val="center"/>
          </w:tcPr>
          <w:p w14:paraId="5B9E136F" w14:textId="53F1CEB4" w:rsidR="006B40F0" w:rsidRPr="00D35D16" w:rsidRDefault="006B40F0" w:rsidP="00BF2F91">
            <w:pPr>
              <w:pStyle w:val="Tabletext"/>
              <w:keepNext/>
              <w:rPr>
                <w:lang w:val="ru-RU" w:eastAsia="en-GB"/>
              </w:rPr>
            </w:pPr>
            <w:r w:rsidRPr="00D35D16">
              <w:rPr>
                <w:bCs/>
                <w:lang w:val="ru-RU"/>
              </w:rPr>
              <w:t>Выделение средств в Фонд эксплуатации зданий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E2D5"/>
            <w:vAlign w:val="bottom"/>
            <w:hideMark/>
          </w:tcPr>
          <w:p w14:paraId="5A5C6AA8" w14:textId="565840CA" w:rsidR="006B40F0" w:rsidRPr="00D35D16" w:rsidRDefault="006B40F0" w:rsidP="00BF2F91">
            <w:pPr>
              <w:pStyle w:val="Tabletext"/>
              <w:keepNext/>
              <w:ind w:right="170"/>
              <w:jc w:val="right"/>
              <w:rPr>
                <w:lang w:val="ru-RU" w:eastAsia="en-GB"/>
              </w:rPr>
            </w:pPr>
            <w:r w:rsidRPr="00D35D16">
              <w:rPr>
                <w:lang w:val="ru-RU" w:eastAsia="en-GB"/>
              </w:rPr>
              <w:t>1 000</w:t>
            </w:r>
          </w:p>
        </w:tc>
      </w:tr>
      <w:tr w:rsidR="00B9552D" w:rsidRPr="00D35D16" w14:paraId="3634BD88" w14:textId="77777777" w:rsidTr="000A4318"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BE2D5"/>
            <w:vAlign w:val="center"/>
          </w:tcPr>
          <w:p w14:paraId="5F6BC7EA" w14:textId="557021D8" w:rsidR="006B40F0" w:rsidRPr="00D35D16" w:rsidRDefault="006B40F0" w:rsidP="00BF2F91">
            <w:pPr>
              <w:pStyle w:val="Tabletext"/>
              <w:keepNext/>
              <w:rPr>
                <w:lang w:val="ru-RU" w:eastAsia="en-GB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2D5"/>
            <w:vAlign w:val="center"/>
          </w:tcPr>
          <w:p w14:paraId="44E14FB2" w14:textId="4AC610F8" w:rsidR="006B40F0" w:rsidRPr="00D35D16" w:rsidRDefault="006B40F0" w:rsidP="00BF2F91">
            <w:pPr>
              <w:pStyle w:val="Tabletext"/>
              <w:keepNext/>
              <w:rPr>
                <w:lang w:val="ru-RU" w:eastAsia="en-GB"/>
              </w:rPr>
            </w:pPr>
            <w:r w:rsidRPr="00D35D16">
              <w:rPr>
                <w:bCs/>
                <w:lang w:val="ru-RU"/>
              </w:rPr>
              <w:t>Выделение средств в Фонд ИКТ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2D5"/>
            <w:vAlign w:val="bottom"/>
            <w:hideMark/>
          </w:tcPr>
          <w:p w14:paraId="12BB4AE4" w14:textId="14FA8754" w:rsidR="006B40F0" w:rsidRPr="00D35D16" w:rsidRDefault="006B40F0" w:rsidP="00BF2F91">
            <w:pPr>
              <w:pStyle w:val="Tabletext"/>
              <w:keepNext/>
              <w:ind w:right="170"/>
              <w:jc w:val="right"/>
              <w:rPr>
                <w:lang w:val="ru-RU" w:eastAsia="en-GB"/>
              </w:rPr>
            </w:pPr>
            <w:r w:rsidRPr="00D35D16">
              <w:rPr>
                <w:lang w:val="ru-RU" w:eastAsia="en-GB"/>
              </w:rPr>
              <w:t>1 500</w:t>
            </w:r>
          </w:p>
        </w:tc>
      </w:tr>
      <w:tr w:rsidR="006B40F0" w:rsidRPr="00D35D16" w14:paraId="49B4559F" w14:textId="77777777" w:rsidTr="000A4318">
        <w:tc>
          <w:tcPr>
            <w:tcW w:w="76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E6F5"/>
            <w:noWrap/>
            <w:vAlign w:val="center"/>
            <w:hideMark/>
          </w:tcPr>
          <w:p w14:paraId="2057E6CC" w14:textId="60B1F72A" w:rsidR="006B40F0" w:rsidRPr="00D35D16" w:rsidRDefault="006B40F0" w:rsidP="00BF2F91">
            <w:pPr>
              <w:pStyle w:val="Tabletext"/>
              <w:keepNext/>
              <w:rPr>
                <w:b/>
                <w:bCs/>
                <w:lang w:val="ru-RU" w:eastAsia="en-GB"/>
              </w:rPr>
            </w:pPr>
            <w:r w:rsidRPr="00D35D16">
              <w:rPr>
                <w:b/>
                <w:bCs/>
                <w:lang w:val="ru-RU"/>
              </w:rPr>
              <w:t xml:space="preserve">Остаток активного сальдо для перечисления на резервный счет </w:t>
            </w:r>
            <w:r w:rsidRPr="00D35D16">
              <w:rPr>
                <w:b/>
                <w:bCs/>
                <w:lang w:val="ru-RU" w:eastAsia="en-GB"/>
              </w:rPr>
              <w:t>(тыс. шв. фр.)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noWrap/>
            <w:vAlign w:val="bottom"/>
            <w:hideMark/>
          </w:tcPr>
          <w:p w14:paraId="673DD229" w14:textId="17C06942" w:rsidR="006B40F0" w:rsidRPr="00D35D16" w:rsidRDefault="006B40F0" w:rsidP="00BF2F91">
            <w:pPr>
              <w:pStyle w:val="Tabletext"/>
              <w:keepNext/>
              <w:ind w:right="170"/>
              <w:jc w:val="right"/>
              <w:rPr>
                <w:b/>
                <w:bCs/>
                <w:lang w:val="ru-RU" w:eastAsia="en-GB"/>
              </w:rPr>
            </w:pPr>
            <w:r w:rsidRPr="00D35D16">
              <w:rPr>
                <w:b/>
                <w:bCs/>
                <w:lang w:val="ru-RU" w:eastAsia="en-GB"/>
              </w:rPr>
              <w:t>389</w:t>
            </w:r>
          </w:p>
        </w:tc>
      </w:tr>
    </w:tbl>
    <w:p w14:paraId="1AE6927B" w14:textId="77777777" w:rsidR="006B40F0" w:rsidRPr="00D35D16" w:rsidRDefault="006B40F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ru-RU"/>
        </w:rPr>
      </w:pPr>
      <w:r w:rsidRPr="00D35D16">
        <w:rPr>
          <w:lang w:val="ru-RU"/>
        </w:rPr>
        <w:br w:type="page"/>
      </w:r>
    </w:p>
    <w:p w14:paraId="659CAA6C" w14:textId="5C0A86E9" w:rsidR="004A7E61" w:rsidRPr="00D35D16" w:rsidRDefault="004A7E61" w:rsidP="004A7E61">
      <w:pPr>
        <w:pStyle w:val="AnnexNo"/>
        <w:rPr>
          <w:lang w:val="ru-RU"/>
        </w:rPr>
      </w:pPr>
      <w:bookmarkStart w:id="9" w:name="Annex"/>
      <w:r w:rsidRPr="00D35D16">
        <w:rPr>
          <w:lang w:val="ru-RU"/>
        </w:rPr>
        <w:lastRenderedPageBreak/>
        <w:t>ПРИЛОЖЕНИЕ</w:t>
      </w:r>
    </w:p>
    <w:bookmarkEnd w:id="9"/>
    <w:p w14:paraId="4642CBE6" w14:textId="77777777" w:rsidR="004A7E61" w:rsidRPr="00D35D16" w:rsidRDefault="004A7E61" w:rsidP="004A7E61">
      <w:pPr>
        <w:pStyle w:val="ResNo"/>
        <w:rPr>
          <w:rFonts w:asciiTheme="minorHAnsi" w:hAnsiTheme="minorHAnsi" w:cstheme="minorHAnsi"/>
          <w:lang w:val="ru-RU"/>
        </w:rPr>
      </w:pPr>
      <w:r w:rsidRPr="00D35D16">
        <w:rPr>
          <w:lang w:val="ru-RU"/>
        </w:rPr>
        <w:t>ПРОЕКТ НОВОЙ РЕЗОЛЮЦИИ [...]</w:t>
      </w:r>
    </w:p>
    <w:p w14:paraId="0B950828" w14:textId="77777777" w:rsidR="004A7E61" w:rsidRPr="00D35D16" w:rsidRDefault="004A7E61" w:rsidP="004A7E61">
      <w:pPr>
        <w:pStyle w:val="Restitle"/>
        <w:rPr>
          <w:lang w:val="ru-RU"/>
        </w:rPr>
      </w:pPr>
      <w:r w:rsidRPr="00D35D16">
        <w:rPr>
          <w:bCs/>
          <w:lang w:val="ru-RU"/>
        </w:rPr>
        <w:t>Распределение средств, сэкономленных при исполнении бюджета на 2024 год</w:t>
      </w:r>
    </w:p>
    <w:p w14:paraId="6F669296" w14:textId="77777777" w:rsidR="004A7E61" w:rsidRPr="00D35D16" w:rsidRDefault="004A7E61" w:rsidP="004A7E61">
      <w:pPr>
        <w:pStyle w:val="Normalaftertitle"/>
        <w:rPr>
          <w:rStyle w:val="eop"/>
          <w:lang w:val="ru-RU"/>
        </w:rPr>
      </w:pPr>
      <w:r w:rsidRPr="00D35D16">
        <w:rPr>
          <w:lang w:val="ru-RU"/>
        </w:rPr>
        <w:t>Совет МСЭ,</w:t>
      </w:r>
    </w:p>
    <w:p w14:paraId="4D127D34" w14:textId="7951C96B" w:rsidR="004A7E61" w:rsidRPr="00D35D16" w:rsidRDefault="004A7E61" w:rsidP="004A7E61">
      <w:pPr>
        <w:pStyle w:val="Call"/>
        <w:rPr>
          <w:rStyle w:val="eop"/>
          <w:rFonts w:cs="Calibri"/>
          <w:i w:val="0"/>
          <w:iCs/>
          <w:lang w:val="ru-RU"/>
        </w:rPr>
      </w:pPr>
      <w:r w:rsidRPr="00D35D16">
        <w:rPr>
          <w:iCs/>
          <w:lang w:val="ru-RU"/>
        </w:rPr>
        <w:t>приняв во внимание</w:t>
      </w:r>
    </w:p>
    <w:p w14:paraId="5959FF58" w14:textId="732BFB3A" w:rsidR="004A7E61" w:rsidRPr="00D35D16" w:rsidRDefault="004A7E61" w:rsidP="00BF2F91">
      <w:pPr>
        <w:jc w:val="both"/>
        <w:rPr>
          <w:rFonts w:asciiTheme="minorHAnsi" w:hAnsiTheme="minorHAnsi" w:cstheme="minorHAnsi"/>
          <w:szCs w:val="24"/>
          <w:lang w:val="ru-RU"/>
        </w:rPr>
      </w:pPr>
      <w:r w:rsidRPr="00D35D16">
        <w:rPr>
          <w:lang w:val="ru-RU"/>
        </w:rPr>
        <w:t>экономию средств, достигнутую при исполнении бюджета на 2024 год (результат), в объеме 5652</w:t>
      </w:r>
      <w:r w:rsidR="000A4318" w:rsidRPr="00D35D16">
        <w:rPr>
          <w:lang w:val="ru-RU"/>
        </w:rPr>
        <w:t> </w:t>
      </w:r>
      <w:r w:rsidRPr="00D35D16">
        <w:rPr>
          <w:lang w:val="ru-RU"/>
        </w:rPr>
        <w:t>тыс. швейцарских франков,</w:t>
      </w:r>
    </w:p>
    <w:p w14:paraId="6CA5A96F" w14:textId="77777777" w:rsidR="004A7E61" w:rsidRPr="00D35D16" w:rsidRDefault="004A7E61" w:rsidP="00BF2F91">
      <w:pPr>
        <w:pStyle w:val="Call"/>
        <w:jc w:val="both"/>
        <w:rPr>
          <w:rFonts w:asciiTheme="minorHAnsi" w:hAnsiTheme="minorHAnsi" w:cstheme="minorHAnsi"/>
          <w:szCs w:val="24"/>
          <w:lang w:val="ru-RU"/>
        </w:rPr>
      </w:pPr>
      <w:r w:rsidRPr="00D35D16">
        <w:rPr>
          <w:iCs/>
          <w:lang w:val="ru-RU"/>
        </w:rPr>
        <w:t>приняв во внимание далее</w:t>
      </w:r>
    </w:p>
    <w:p w14:paraId="2A61F8B1" w14:textId="77777777" w:rsidR="004A7E61" w:rsidRPr="00D35D16" w:rsidRDefault="004A7E61" w:rsidP="00BF2F91">
      <w:pPr>
        <w:jc w:val="both"/>
        <w:rPr>
          <w:rFonts w:cs="Calibri"/>
          <w:spacing w:val="2"/>
          <w:lang w:val="ru-RU"/>
        </w:rPr>
      </w:pPr>
      <w:r w:rsidRPr="00D35D16">
        <w:rPr>
          <w:lang w:val="ru-RU"/>
        </w:rPr>
        <w:t>статус Фонда развития информационно-коммуникационных технологий (ФРИКТ),</w:t>
      </w:r>
    </w:p>
    <w:p w14:paraId="0B8E7166" w14:textId="77777777" w:rsidR="004A7E61" w:rsidRPr="00D35D16" w:rsidRDefault="004A7E61" w:rsidP="00BF2F91">
      <w:pPr>
        <w:pStyle w:val="Call"/>
        <w:jc w:val="both"/>
        <w:rPr>
          <w:rStyle w:val="eop"/>
          <w:rFonts w:cs="Calibri"/>
          <w:i w:val="0"/>
          <w:iCs/>
          <w:lang w:val="ru-RU"/>
        </w:rPr>
      </w:pPr>
      <w:r w:rsidRPr="00D35D16">
        <w:rPr>
          <w:iCs/>
          <w:lang w:val="ru-RU"/>
        </w:rPr>
        <w:t>решает</w:t>
      </w:r>
    </w:p>
    <w:p w14:paraId="72A11A63" w14:textId="1BEEDEAB" w:rsidR="004A7E61" w:rsidRPr="00D35D16" w:rsidRDefault="004A7E61" w:rsidP="00BF2F91">
      <w:pPr>
        <w:jc w:val="both"/>
        <w:rPr>
          <w:rFonts w:asciiTheme="minorHAnsi" w:eastAsiaTheme="minorEastAsia" w:hAnsiTheme="minorHAnsi" w:cstheme="minorBidi"/>
          <w:lang w:val="ru-RU"/>
        </w:rPr>
      </w:pPr>
      <w:r w:rsidRPr="00D35D16">
        <w:rPr>
          <w:lang w:val="ru-RU"/>
        </w:rPr>
        <w:t>1</w:t>
      </w:r>
      <w:r w:rsidRPr="00D35D16">
        <w:rPr>
          <w:lang w:val="ru-RU"/>
        </w:rPr>
        <w:tab/>
        <w:t>выделить средства, необходимые для первого года исполнения Резолюций ВАСЭ-24 (556</w:t>
      </w:r>
      <w:r w:rsidR="00B9552D" w:rsidRPr="00D35D16">
        <w:rPr>
          <w:lang w:val="ru-RU"/>
        </w:rPr>
        <w:t> </w:t>
      </w:r>
      <w:r w:rsidRPr="00D35D16">
        <w:rPr>
          <w:lang w:val="ru-RU"/>
        </w:rPr>
        <w:t>тыс.</w:t>
      </w:r>
      <w:r w:rsidR="00B9552D" w:rsidRPr="00D35D16">
        <w:rPr>
          <w:lang w:val="ru-RU"/>
        </w:rPr>
        <w:t> </w:t>
      </w:r>
      <w:r w:rsidRPr="00D35D16">
        <w:rPr>
          <w:lang w:val="ru-RU"/>
        </w:rPr>
        <w:t>шв.</w:t>
      </w:r>
      <w:r w:rsidR="00B9552D" w:rsidRPr="00D35D16">
        <w:rPr>
          <w:lang w:val="ru-RU"/>
        </w:rPr>
        <w:t> </w:t>
      </w:r>
      <w:r w:rsidRPr="00D35D16">
        <w:rPr>
          <w:lang w:val="ru-RU"/>
        </w:rPr>
        <w:t>фр</w:t>
      </w:r>
      <w:r w:rsidR="00B9552D" w:rsidRPr="00D35D16">
        <w:rPr>
          <w:lang w:val="ru-RU"/>
        </w:rPr>
        <w:t>.</w:t>
      </w:r>
      <w:r w:rsidRPr="00D35D16">
        <w:rPr>
          <w:lang w:val="ru-RU"/>
        </w:rPr>
        <w:t>), решений ВКР-23 (300 тыс. шв. франков), дорожной карты трансформации, в том числе дорожной карты по совершенствованию веб-сайта (250</w:t>
      </w:r>
      <w:r w:rsidR="00B9552D" w:rsidRPr="00D35D16">
        <w:rPr>
          <w:lang w:val="ru-RU"/>
        </w:rPr>
        <w:t> </w:t>
      </w:r>
      <w:r w:rsidRPr="00D35D16">
        <w:rPr>
          <w:lang w:val="ru-RU"/>
        </w:rPr>
        <w:t>тыс.</w:t>
      </w:r>
      <w:r w:rsidR="00B9552D" w:rsidRPr="00D35D16">
        <w:rPr>
          <w:lang w:val="ru-RU"/>
        </w:rPr>
        <w:t> </w:t>
      </w:r>
      <w:r w:rsidRPr="00D35D16">
        <w:rPr>
          <w:lang w:val="ru-RU"/>
        </w:rPr>
        <w:t>шв.</w:t>
      </w:r>
      <w:r w:rsidR="00B9552D" w:rsidRPr="00D35D16">
        <w:rPr>
          <w:lang w:val="ru-RU"/>
        </w:rPr>
        <w:t> фр.</w:t>
      </w:r>
      <w:r w:rsidRPr="00D35D16">
        <w:rPr>
          <w:lang w:val="ru-RU"/>
        </w:rPr>
        <w:t>), подготовки к</w:t>
      </w:r>
      <w:r w:rsidR="00B9552D" w:rsidRPr="00D35D16">
        <w:rPr>
          <w:lang w:val="ru-RU"/>
        </w:rPr>
        <w:t> </w:t>
      </w:r>
      <w:r w:rsidRPr="00D35D16">
        <w:rPr>
          <w:lang w:val="ru-RU"/>
        </w:rPr>
        <w:t>ВФПЭ-26 (180</w:t>
      </w:r>
      <w:r w:rsidR="00B9552D" w:rsidRPr="00D35D16">
        <w:rPr>
          <w:lang w:val="ru-RU"/>
        </w:rPr>
        <w:t> </w:t>
      </w:r>
      <w:r w:rsidRPr="00D35D16">
        <w:rPr>
          <w:lang w:val="ru-RU"/>
        </w:rPr>
        <w:t>тыс.</w:t>
      </w:r>
      <w:r w:rsidR="00B9552D" w:rsidRPr="00D35D16">
        <w:rPr>
          <w:lang w:val="ru-RU"/>
        </w:rPr>
        <w:t> </w:t>
      </w:r>
      <w:r w:rsidRPr="00D35D16">
        <w:rPr>
          <w:lang w:val="ru-RU"/>
        </w:rPr>
        <w:t>шв.</w:t>
      </w:r>
      <w:r w:rsidR="00B9552D" w:rsidRPr="00D35D16">
        <w:rPr>
          <w:lang w:val="ru-RU"/>
        </w:rPr>
        <w:t> </w:t>
      </w:r>
      <w:r w:rsidRPr="00D35D16">
        <w:rPr>
          <w:lang w:val="ru-RU"/>
        </w:rPr>
        <w:t>фр</w:t>
      </w:r>
      <w:r w:rsidR="00B9552D" w:rsidRPr="00D35D16">
        <w:rPr>
          <w:lang w:val="ru-RU"/>
        </w:rPr>
        <w:t>.</w:t>
      </w:r>
      <w:r w:rsidRPr="00D35D16">
        <w:rPr>
          <w:lang w:val="ru-RU"/>
        </w:rPr>
        <w:t>), Фонда эксплуатации зданий (1000</w:t>
      </w:r>
      <w:r w:rsidR="00B9552D" w:rsidRPr="00D35D16">
        <w:rPr>
          <w:lang w:val="ru-RU"/>
        </w:rPr>
        <w:t> </w:t>
      </w:r>
      <w:r w:rsidRPr="00D35D16">
        <w:rPr>
          <w:lang w:val="ru-RU"/>
        </w:rPr>
        <w:t>тыс.</w:t>
      </w:r>
      <w:r w:rsidR="00B9552D" w:rsidRPr="00D35D16">
        <w:rPr>
          <w:lang w:val="ru-RU"/>
        </w:rPr>
        <w:t> </w:t>
      </w:r>
      <w:r w:rsidRPr="00D35D16">
        <w:rPr>
          <w:lang w:val="ru-RU"/>
        </w:rPr>
        <w:t>шв.</w:t>
      </w:r>
      <w:r w:rsidR="00B9552D" w:rsidRPr="00D35D16">
        <w:rPr>
          <w:lang w:val="ru-RU"/>
        </w:rPr>
        <w:t> </w:t>
      </w:r>
      <w:r w:rsidRPr="00D35D16">
        <w:rPr>
          <w:lang w:val="ru-RU"/>
        </w:rPr>
        <w:t>фр</w:t>
      </w:r>
      <w:r w:rsidR="00B9552D" w:rsidRPr="00D35D16">
        <w:rPr>
          <w:lang w:val="ru-RU"/>
        </w:rPr>
        <w:t>.</w:t>
      </w:r>
      <w:r w:rsidRPr="00D35D16">
        <w:rPr>
          <w:lang w:val="ru-RU"/>
        </w:rPr>
        <w:t>), Капитального фонда ИКТ (1500</w:t>
      </w:r>
      <w:r w:rsidR="00B9552D" w:rsidRPr="00D35D16">
        <w:rPr>
          <w:lang w:val="ru-RU"/>
        </w:rPr>
        <w:t> </w:t>
      </w:r>
      <w:r w:rsidRPr="00D35D16">
        <w:rPr>
          <w:lang w:val="ru-RU"/>
        </w:rPr>
        <w:t>тыс.</w:t>
      </w:r>
      <w:r w:rsidR="00B9552D" w:rsidRPr="00D35D16">
        <w:rPr>
          <w:lang w:val="ru-RU"/>
        </w:rPr>
        <w:t> </w:t>
      </w:r>
      <w:r w:rsidRPr="00D35D16">
        <w:rPr>
          <w:lang w:val="ru-RU"/>
        </w:rPr>
        <w:t>шв.</w:t>
      </w:r>
      <w:r w:rsidR="00B9552D" w:rsidRPr="00D35D16">
        <w:rPr>
          <w:lang w:val="ru-RU"/>
        </w:rPr>
        <w:t> </w:t>
      </w:r>
      <w:r w:rsidRPr="00D35D16">
        <w:rPr>
          <w:lang w:val="ru-RU"/>
        </w:rPr>
        <w:t>фр</w:t>
      </w:r>
      <w:r w:rsidR="00B9552D" w:rsidRPr="00D35D16">
        <w:rPr>
          <w:lang w:val="ru-RU"/>
        </w:rPr>
        <w:t>.</w:t>
      </w:r>
      <w:r w:rsidRPr="00D35D16">
        <w:rPr>
          <w:lang w:val="ru-RU"/>
        </w:rPr>
        <w:t>); выделить 500 тыс. швейцарских франков на деятельность в области ИИ и перевести 524</w:t>
      </w:r>
      <w:r w:rsidR="00B9552D" w:rsidRPr="00D35D16">
        <w:rPr>
          <w:lang w:val="ru-RU"/>
        </w:rPr>
        <w:t> </w:t>
      </w:r>
      <w:r w:rsidRPr="00D35D16">
        <w:rPr>
          <w:lang w:val="ru-RU"/>
        </w:rPr>
        <w:t>тыс. швейцарских франков в Фонд развития ИКТ;</w:t>
      </w:r>
    </w:p>
    <w:p w14:paraId="297E3AFB" w14:textId="51A8F6B2" w:rsidR="004A7E61" w:rsidRPr="00D35D16" w:rsidRDefault="004A7E61" w:rsidP="00BF2F91">
      <w:pPr>
        <w:jc w:val="both"/>
        <w:rPr>
          <w:rFonts w:asciiTheme="minorHAnsi" w:eastAsiaTheme="minorEastAsia" w:hAnsiTheme="minorHAnsi" w:cstheme="minorBidi"/>
          <w:lang w:val="ru-RU"/>
        </w:rPr>
      </w:pPr>
      <w:r w:rsidRPr="00D35D16">
        <w:rPr>
          <w:lang w:val="ru-RU"/>
        </w:rPr>
        <w:t>2</w:t>
      </w:r>
      <w:r w:rsidRPr="00D35D16">
        <w:rPr>
          <w:lang w:val="ru-RU"/>
        </w:rPr>
        <w:tab/>
        <w:t>перечислить остаток активного сальдо (389</w:t>
      </w:r>
      <w:r w:rsidR="00B9552D" w:rsidRPr="00D35D16">
        <w:rPr>
          <w:lang w:val="ru-RU"/>
        </w:rPr>
        <w:t> </w:t>
      </w:r>
      <w:r w:rsidRPr="00D35D16">
        <w:rPr>
          <w:lang w:val="ru-RU"/>
        </w:rPr>
        <w:t>тыс. швейцарских франков) на</w:t>
      </w:r>
      <w:r w:rsidR="00B9552D" w:rsidRPr="00D35D16">
        <w:rPr>
          <w:lang w:val="ru-RU"/>
        </w:rPr>
        <w:t> </w:t>
      </w:r>
      <w:r w:rsidRPr="00D35D16">
        <w:rPr>
          <w:lang w:val="ru-RU"/>
        </w:rPr>
        <w:t>резервный</w:t>
      </w:r>
      <w:r w:rsidR="00B9552D" w:rsidRPr="00D35D16">
        <w:rPr>
          <w:lang w:val="ru-RU"/>
        </w:rPr>
        <w:t> </w:t>
      </w:r>
      <w:r w:rsidRPr="00D35D16">
        <w:rPr>
          <w:lang w:val="ru-RU"/>
        </w:rPr>
        <w:t>счет.</w:t>
      </w:r>
    </w:p>
    <w:p w14:paraId="2ECF0055" w14:textId="77777777" w:rsidR="00B9552D" w:rsidRPr="00D35D16" w:rsidRDefault="00B9552D" w:rsidP="00B9552D">
      <w:pPr>
        <w:spacing w:before="720"/>
        <w:jc w:val="center"/>
        <w:rPr>
          <w:lang w:val="ru-RU"/>
        </w:rPr>
      </w:pPr>
      <w:r w:rsidRPr="00D35D16">
        <w:rPr>
          <w:lang w:val="ru-RU"/>
        </w:rPr>
        <w:t>______________</w:t>
      </w:r>
    </w:p>
    <w:sectPr w:rsidR="00B9552D" w:rsidRPr="00D35D16" w:rsidSect="00796BD3">
      <w:footerReference w:type="default" r:id="rId20"/>
      <w:headerReference w:type="first" r:id="rId21"/>
      <w:footerReference w:type="first" r:id="rId2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CE808" w14:textId="77777777" w:rsidR="004A7E61" w:rsidRDefault="004A7E61">
      <w:r>
        <w:separator/>
      </w:r>
    </w:p>
  </w:endnote>
  <w:endnote w:type="continuationSeparator" w:id="0">
    <w:p w14:paraId="48C0E35B" w14:textId="77777777" w:rsidR="004A7E61" w:rsidRDefault="004A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9368243" w14:textId="77777777" w:rsidTr="00E31DCE">
      <w:trPr>
        <w:jc w:val="center"/>
      </w:trPr>
      <w:tc>
        <w:tcPr>
          <w:tcW w:w="1803" w:type="dxa"/>
          <w:vAlign w:val="center"/>
        </w:tcPr>
        <w:p w14:paraId="4E742BD1" w14:textId="7FDA67A5" w:rsidR="00672F8A" w:rsidRPr="001C0C3D" w:rsidRDefault="001C0C3D" w:rsidP="00672F8A">
          <w:pPr>
            <w:pStyle w:val="Header"/>
            <w:jc w:val="left"/>
            <w:rPr>
              <w:noProof/>
              <w:lang w:val="fr-CH"/>
            </w:rPr>
          </w:pPr>
          <w:r>
            <w:rPr>
              <w:noProof/>
              <w:lang w:val="fr-CH"/>
            </w:rPr>
            <w:t>gDoc 2500979</w:t>
          </w:r>
        </w:p>
      </w:tc>
      <w:tc>
        <w:tcPr>
          <w:tcW w:w="8261" w:type="dxa"/>
        </w:tcPr>
        <w:p w14:paraId="59C1C1D9" w14:textId="7E916506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4A7E61">
            <w:rPr>
              <w:bCs/>
              <w:lang w:val="ru-RU"/>
            </w:rPr>
            <w:t>43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B303BC7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346D804D" w14:textId="77777777" w:rsidTr="00E31DCE">
      <w:trPr>
        <w:jc w:val="center"/>
      </w:trPr>
      <w:tc>
        <w:tcPr>
          <w:tcW w:w="1803" w:type="dxa"/>
          <w:vAlign w:val="center"/>
        </w:tcPr>
        <w:p w14:paraId="4A8C2A43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7E3E3B15" w14:textId="577F3315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r w:rsidRPr="00623AE3">
            <w:rPr>
              <w:bCs/>
            </w:rPr>
            <w:t>/</w:t>
          </w:r>
          <w:r w:rsidR="004A7E61">
            <w:rPr>
              <w:bCs/>
              <w:lang w:val="ru-RU"/>
            </w:rPr>
            <w:t>43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7DFE48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D11E0" w14:textId="77777777" w:rsidR="004A7E61" w:rsidRDefault="004A7E61">
      <w:r>
        <w:t>____________________</w:t>
      </w:r>
    </w:p>
  </w:footnote>
  <w:footnote w:type="continuationSeparator" w:id="0">
    <w:p w14:paraId="091AC927" w14:textId="77777777" w:rsidR="004A7E61" w:rsidRDefault="004A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3C466369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65E1578B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6CF250B0" wp14:editId="270E6534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10E85660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7360985F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4D39B4" wp14:editId="23ABA8FA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F0E4F6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61"/>
    <w:rsid w:val="00005BE0"/>
    <w:rsid w:val="0002183E"/>
    <w:rsid w:val="000569B4"/>
    <w:rsid w:val="0006007D"/>
    <w:rsid w:val="00080E82"/>
    <w:rsid w:val="000A4318"/>
    <w:rsid w:val="000B2DE7"/>
    <w:rsid w:val="000E568E"/>
    <w:rsid w:val="0014229E"/>
    <w:rsid w:val="0014734F"/>
    <w:rsid w:val="00156890"/>
    <w:rsid w:val="0015710D"/>
    <w:rsid w:val="00163A32"/>
    <w:rsid w:val="00165D06"/>
    <w:rsid w:val="00192B41"/>
    <w:rsid w:val="001973DE"/>
    <w:rsid w:val="001B7B09"/>
    <w:rsid w:val="001C0C3D"/>
    <w:rsid w:val="001D6727"/>
    <w:rsid w:val="001E6719"/>
    <w:rsid w:val="001E7F50"/>
    <w:rsid w:val="00225368"/>
    <w:rsid w:val="00227FF0"/>
    <w:rsid w:val="00291EB6"/>
    <w:rsid w:val="002C3F32"/>
    <w:rsid w:val="002D2F57"/>
    <w:rsid w:val="002D48C5"/>
    <w:rsid w:val="0033025A"/>
    <w:rsid w:val="00345D2A"/>
    <w:rsid w:val="003F099E"/>
    <w:rsid w:val="003F235E"/>
    <w:rsid w:val="00401FD7"/>
    <w:rsid w:val="004023E0"/>
    <w:rsid w:val="00403DD8"/>
    <w:rsid w:val="00426020"/>
    <w:rsid w:val="00442515"/>
    <w:rsid w:val="0045686C"/>
    <w:rsid w:val="004918C4"/>
    <w:rsid w:val="00497703"/>
    <w:rsid w:val="004A0374"/>
    <w:rsid w:val="004A45B5"/>
    <w:rsid w:val="004A7E61"/>
    <w:rsid w:val="004D0129"/>
    <w:rsid w:val="00515795"/>
    <w:rsid w:val="0057601C"/>
    <w:rsid w:val="005A64D5"/>
    <w:rsid w:val="005B3DEC"/>
    <w:rsid w:val="00601994"/>
    <w:rsid w:val="00660449"/>
    <w:rsid w:val="00672F8A"/>
    <w:rsid w:val="006B40F0"/>
    <w:rsid w:val="006E2D42"/>
    <w:rsid w:val="00703676"/>
    <w:rsid w:val="00707304"/>
    <w:rsid w:val="00711884"/>
    <w:rsid w:val="00732269"/>
    <w:rsid w:val="00762555"/>
    <w:rsid w:val="0077110E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47FDE"/>
    <w:rsid w:val="00856666"/>
    <w:rsid w:val="008B62B4"/>
    <w:rsid w:val="008D2D7B"/>
    <w:rsid w:val="008E0737"/>
    <w:rsid w:val="008F7C2C"/>
    <w:rsid w:val="00940E96"/>
    <w:rsid w:val="00950A82"/>
    <w:rsid w:val="00961BD2"/>
    <w:rsid w:val="00975412"/>
    <w:rsid w:val="009B0BAE"/>
    <w:rsid w:val="009C1C89"/>
    <w:rsid w:val="009F3448"/>
    <w:rsid w:val="00A01CF9"/>
    <w:rsid w:val="00A20B63"/>
    <w:rsid w:val="00A22AA0"/>
    <w:rsid w:val="00A71773"/>
    <w:rsid w:val="00AE2C85"/>
    <w:rsid w:val="00B0107F"/>
    <w:rsid w:val="00B12A37"/>
    <w:rsid w:val="00B41837"/>
    <w:rsid w:val="00B63EF2"/>
    <w:rsid w:val="00B9552D"/>
    <w:rsid w:val="00BA7D89"/>
    <w:rsid w:val="00BC0D39"/>
    <w:rsid w:val="00BC7BC0"/>
    <w:rsid w:val="00BD57B7"/>
    <w:rsid w:val="00BE63E2"/>
    <w:rsid w:val="00BF2F91"/>
    <w:rsid w:val="00C03917"/>
    <w:rsid w:val="00C043ED"/>
    <w:rsid w:val="00C462C5"/>
    <w:rsid w:val="00CD2009"/>
    <w:rsid w:val="00CF629C"/>
    <w:rsid w:val="00D35D16"/>
    <w:rsid w:val="00D631AA"/>
    <w:rsid w:val="00D92EEA"/>
    <w:rsid w:val="00DA5D4E"/>
    <w:rsid w:val="00DA770A"/>
    <w:rsid w:val="00DE74F0"/>
    <w:rsid w:val="00E05752"/>
    <w:rsid w:val="00E176BA"/>
    <w:rsid w:val="00E314A0"/>
    <w:rsid w:val="00E423EC"/>
    <w:rsid w:val="00E55121"/>
    <w:rsid w:val="00EB4FCB"/>
    <w:rsid w:val="00EC6BC5"/>
    <w:rsid w:val="00ED3CED"/>
    <w:rsid w:val="00F348D0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44DD46C"/>
  <w15:docId w15:val="{746415D8-FE02-442E-AD6B-FFD1EF0F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73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2F91"/>
    <w:pPr>
      <w:keepNext/>
      <w:keepLines/>
      <w:spacing w:before="24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BF2F91"/>
    <w:pPr>
      <w:spacing w:before="200"/>
      <w:outlineLvl w:val="1"/>
    </w:pPr>
    <w:rPr>
      <w:sz w:val="22"/>
      <w:lang w:val="ru-RU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961BD2"/>
    <w:rPr>
      <w:color w:val="0070C0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631AA"/>
    <w:rPr>
      <w:color w:val="666666"/>
    </w:rPr>
  </w:style>
  <w:style w:type="character" w:customStyle="1" w:styleId="eop">
    <w:name w:val="eop"/>
    <w:basedOn w:val="DefaultParagraphFont"/>
    <w:rsid w:val="004A7E61"/>
  </w:style>
  <w:style w:type="character" w:styleId="UnresolvedMention">
    <w:name w:val="Unresolved Mention"/>
    <w:basedOn w:val="DefaultParagraphFont"/>
    <w:uiPriority w:val="99"/>
    <w:semiHidden/>
    <w:unhideWhenUsed/>
    <w:rsid w:val="00D35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RES-011-R.pdf" TargetMode="External"/><Relationship Id="rId13" Type="http://schemas.openxmlformats.org/officeDocument/2006/relationships/hyperlink" Target="https://www.itu.int/md/S24-CL-C-0034/en" TargetMode="External"/><Relationship Id="rId18" Type="http://schemas.openxmlformats.org/officeDocument/2006/relationships/hyperlink" Target="https://www.itu.int/md/S25-CWGFHR20-C-0008/en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itu.int/en/council/Documents/basic-texts/DEC-005-R.pdf" TargetMode="External"/><Relationship Id="rId12" Type="http://schemas.openxmlformats.org/officeDocument/2006/relationships/hyperlink" Target="https://www.itu.int/md/S24-CL-C-0031/en" TargetMode="External"/><Relationship Id="rId17" Type="http://schemas.openxmlformats.org/officeDocument/2006/relationships/hyperlink" Target="https://www.itu.int/md/S25-CL-C-0019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25-CL-C-0055/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4-CL-C-0034/e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4-CL-C-0053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md/S11-CL-C-0106/en" TargetMode="External"/><Relationship Id="rId19" Type="http://schemas.openxmlformats.org/officeDocument/2006/relationships/hyperlink" Target="https://www.itu.int/md/S24-CL-C-0019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council/index97/1997/131/131.html" TargetMode="External"/><Relationship Id="rId14" Type="http://schemas.openxmlformats.org/officeDocument/2006/relationships/hyperlink" Target="https://www.itu.int/md/S25-CL-C-0034/en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1</TotalTime>
  <Pages>7</Pages>
  <Words>2053</Words>
  <Characters>13766</Characters>
  <Application>Microsoft Office Word</Application>
  <DocSecurity>0</DocSecurity>
  <Lines>262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15728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Allocations of savings achieved in 2024 budget implementation and exhibition working capital fund</dc:title>
  <dc:subject>ITU Council 2025</dc:subject>
  <cp:keywords>C2025, C25, Council-25</cp:keywords>
  <dc:description/>
  <cp:lastPrinted>2006-03-28T16:12:00Z</cp:lastPrinted>
  <dcterms:created xsi:type="dcterms:W3CDTF">2025-05-21T13:31:00Z</dcterms:created>
  <dcterms:modified xsi:type="dcterms:W3CDTF">2025-05-21T13:31:00Z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