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76A82899" w:rsidR="00AD3606" w:rsidRPr="00C0458D" w:rsidRDefault="00791B97"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sidR="00A875ED">
              <w:rPr>
                <w:b/>
              </w:rPr>
              <w:t xml:space="preserve">ADM </w:t>
            </w:r>
            <w:r w:rsidR="004D19C9">
              <w:rPr>
                <w:rFonts w:hint="eastAsia"/>
                <w:b/>
                <w:lang w:eastAsia="zh-CN"/>
              </w:rPr>
              <w:t>1</w:t>
            </w:r>
          </w:p>
        </w:tc>
        <w:tc>
          <w:tcPr>
            <w:tcW w:w="5245" w:type="dxa"/>
          </w:tcPr>
          <w:p w14:paraId="6779937E" w14:textId="3CFEC1AF" w:rsidR="00AD3606" w:rsidRPr="00C0458D" w:rsidRDefault="00791B97" w:rsidP="00472BAD">
            <w:pPr>
              <w:tabs>
                <w:tab w:val="left" w:pos="851"/>
              </w:tabs>
              <w:spacing w:before="0" w:line="240" w:lineRule="atLeast"/>
              <w:jc w:val="right"/>
              <w:rPr>
                <w:b/>
                <w:lang w:eastAsia="zh-CN"/>
              </w:rPr>
            </w:pPr>
            <w:r>
              <w:rPr>
                <w:rFonts w:hint="eastAsia"/>
                <w:b/>
                <w:lang w:eastAsia="zh-CN"/>
              </w:rPr>
              <w:t>文件</w:t>
            </w:r>
            <w:r>
              <w:rPr>
                <w:rFonts w:hint="eastAsia"/>
                <w:b/>
                <w:lang w:eastAsia="zh-CN"/>
              </w:rPr>
              <w:t xml:space="preserve"> </w:t>
            </w:r>
            <w:proofErr w:type="spellStart"/>
            <w:r w:rsidR="00AD3606" w:rsidRPr="00C0458D">
              <w:rPr>
                <w:b/>
              </w:rPr>
              <w:t>C2</w:t>
            </w:r>
            <w:r w:rsidR="00BF1FDE" w:rsidRPr="00C0458D">
              <w:rPr>
                <w:b/>
              </w:rPr>
              <w:t>5</w:t>
            </w:r>
            <w:proofErr w:type="spellEnd"/>
            <w:r w:rsidR="00AD3606" w:rsidRPr="00C0458D">
              <w:rPr>
                <w:b/>
              </w:rPr>
              <w:t>/</w:t>
            </w:r>
            <w:r w:rsidR="00D618CB">
              <w:rPr>
                <w:b/>
              </w:rPr>
              <w:t>4</w:t>
            </w:r>
            <w:r w:rsidR="004D19C9">
              <w:rPr>
                <w:rFonts w:hint="eastAsia"/>
                <w:b/>
                <w:lang w:eastAsia="zh-CN"/>
              </w:rPr>
              <w:t>3</w:t>
            </w:r>
            <w:r w:rsidR="00AD3606" w:rsidRPr="00C0458D">
              <w:rPr>
                <w:b/>
              </w:rPr>
              <w:t>-</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3C5B476A" w:rsidR="00AD3606" w:rsidRPr="00C0458D" w:rsidRDefault="00007948" w:rsidP="00AD3606">
            <w:pPr>
              <w:tabs>
                <w:tab w:val="left" w:pos="851"/>
              </w:tabs>
              <w:spacing w:before="0"/>
              <w:jc w:val="right"/>
              <w:rPr>
                <w:b/>
              </w:rPr>
            </w:pPr>
            <w:r>
              <w:rPr>
                <w:b/>
              </w:rPr>
              <w:t>2025</w:t>
            </w:r>
            <w:r w:rsidR="00791B97">
              <w:rPr>
                <w:rFonts w:hint="eastAsia"/>
                <w:b/>
                <w:lang w:eastAsia="zh-CN"/>
              </w:rPr>
              <w:t>年</w:t>
            </w:r>
            <w:r w:rsidR="00791B97">
              <w:rPr>
                <w:rFonts w:hint="eastAsia"/>
                <w:b/>
                <w:lang w:eastAsia="zh-CN"/>
              </w:rPr>
              <w:t>4</w:t>
            </w:r>
            <w:r w:rsidR="00791B97">
              <w:rPr>
                <w:rFonts w:hint="eastAsia"/>
                <w:b/>
                <w:lang w:eastAsia="zh-CN"/>
              </w:rPr>
              <w:t>月</w:t>
            </w:r>
            <w:r w:rsidR="007665AD">
              <w:rPr>
                <w:rFonts w:hint="eastAsia"/>
                <w:b/>
                <w:lang w:eastAsia="zh-CN"/>
              </w:rPr>
              <w:t>2</w:t>
            </w:r>
            <w:r w:rsidR="004D19C9">
              <w:rPr>
                <w:rFonts w:hint="eastAsia"/>
                <w:b/>
                <w:lang w:eastAsia="zh-CN"/>
              </w:rPr>
              <w:t>2</w:t>
            </w:r>
            <w:r w:rsidR="00791B97">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1773AF56" w:rsidR="00AD3606" w:rsidRPr="00C0458D" w:rsidRDefault="00791B97" w:rsidP="00AD3606">
            <w:pPr>
              <w:tabs>
                <w:tab w:val="left" w:pos="851"/>
              </w:tabs>
              <w:spacing w:before="0" w:line="240" w:lineRule="atLeast"/>
              <w:jc w:val="right"/>
              <w:rPr>
                <w:b/>
                <w:lang w:eastAsia="zh-CN"/>
              </w:rPr>
            </w:pPr>
            <w:r>
              <w:rPr>
                <w:rFonts w:hint="eastAsia"/>
                <w:b/>
                <w:lang w:eastAsia="zh-CN"/>
              </w:rPr>
              <w:t>原文：英文</w:t>
            </w:r>
          </w:p>
        </w:tc>
      </w:tr>
      <w:tr w:rsidR="00472BAD" w:rsidRPr="00C0458D" w14:paraId="14DA91C4" w14:textId="77777777" w:rsidTr="00AD3606">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2818C62C" w:rsidR="00AD3606" w:rsidRPr="000F7289" w:rsidRDefault="00791B97" w:rsidP="000F7289">
            <w:pPr>
              <w:pStyle w:val="Source"/>
              <w:framePr w:hSpace="0" w:wrap="auto" w:vAnchor="margin" w:hAnchor="text" w:xAlign="left" w:yAlign="inline"/>
            </w:pPr>
            <w:bookmarkStart w:id="8" w:name="dsource" w:colFirst="0" w:colLast="0"/>
            <w:bookmarkEnd w:id="7"/>
            <w:r>
              <w:rPr>
                <w:rFonts w:hint="eastAsia"/>
                <w:lang w:eastAsia="zh-CN"/>
              </w:rPr>
              <w:t>秘书长的报告</w:t>
            </w:r>
          </w:p>
        </w:tc>
      </w:tr>
      <w:tr w:rsidR="00AD3606" w:rsidRPr="00C0458D" w14:paraId="3A759762" w14:textId="77777777" w:rsidTr="00AD3606">
        <w:trPr>
          <w:cantSplit/>
        </w:trPr>
        <w:tc>
          <w:tcPr>
            <w:tcW w:w="9214" w:type="dxa"/>
            <w:gridSpan w:val="2"/>
            <w:tcMar>
              <w:left w:w="0" w:type="dxa"/>
            </w:tcMar>
          </w:tcPr>
          <w:p w14:paraId="2A2DCF47" w14:textId="1E97B8C9" w:rsidR="00AD3606" w:rsidRPr="000F7289" w:rsidRDefault="004D19C9" w:rsidP="000F7289">
            <w:pPr>
              <w:pStyle w:val="Subtitle"/>
              <w:framePr w:hSpace="0" w:wrap="auto" w:xAlign="left" w:yAlign="inline"/>
              <w:rPr>
                <w:lang w:eastAsia="zh-CN"/>
              </w:rPr>
            </w:pPr>
            <w:bookmarkStart w:id="9" w:name="dtitle1" w:colFirst="0" w:colLast="0"/>
            <w:bookmarkEnd w:id="8"/>
            <w:r w:rsidRPr="004D19C9">
              <w:rPr>
                <w:rFonts w:hint="eastAsia"/>
                <w:caps/>
                <w:lang w:eastAsia="zh-CN"/>
              </w:rPr>
              <w:t>2024</w:t>
            </w:r>
            <w:r w:rsidRPr="004D19C9">
              <w:rPr>
                <w:rFonts w:hint="eastAsia"/>
                <w:caps/>
                <w:lang w:eastAsia="zh-CN"/>
              </w:rPr>
              <w:t>年预算执行中实现节余的分配</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5D39699" w:rsidR="00AD3606" w:rsidRPr="00C0458D" w:rsidRDefault="00791B97" w:rsidP="00F16BAB">
            <w:pPr>
              <w:spacing w:before="160"/>
              <w:rPr>
                <w:b/>
                <w:bCs/>
                <w:sz w:val="26"/>
                <w:szCs w:val="26"/>
                <w:lang w:eastAsia="zh-CN"/>
              </w:rPr>
            </w:pPr>
            <w:r>
              <w:rPr>
                <w:rFonts w:hint="eastAsia"/>
                <w:b/>
                <w:bCs/>
                <w:sz w:val="26"/>
                <w:szCs w:val="26"/>
                <w:lang w:eastAsia="zh-CN"/>
              </w:rPr>
              <w:t>目的</w:t>
            </w:r>
          </w:p>
          <w:p w14:paraId="67D070EA" w14:textId="17996BCF" w:rsidR="00AD3606" w:rsidRPr="00C0458D" w:rsidRDefault="004D19C9" w:rsidP="00235FC4">
            <w:pPr>
              <w:ind w:firstLineChars="200" w:firstLine="480"/>
              <w:rPr>
                <w:lang w:eastAsia="zh-CN"/>
              </w:rPr>
            </w:pPr>
            <w:r>
              <w:rPr>
                <w:color w:val="000000"/>
                <w:lang w:val="zh-CN" w:eastAsia="zh-CN"/>
              </w:rPr>
              <w:t>本文件的目的是请理事会授权使用</w:t>
            </w:r>
            <w:r>
              <w:rPr>
                <w:color w:val="000000"/>
                <w:lang w:val="zh-CN" w:eastAsia="zh-CN"/>
              </w:rPr>
              <w:t>2024</w:t>
            </w:r>
            <w:r>
              <w:rPr>
                <w:color w:val="000000"/>
                <w:lang w:val="zh-CN" w:eastAsia="zh-CN"/>
              </w:rPr>
              <w:t>年预算执行节余为国际电</w:t>
            </w:r>
            <w:proofErr w:type="gramStart"/>
            <w:r>
              <w:rPr>
                <w:color w:val="000000"/>
                <w:lang w:val="zh-CN" w:eastAsia="zh-CN"/>
              </w:rPr>
              <w:t>联正常</w:t>
            </w:r>
            <w:proofErr w:type="gramEnd"/>
            <w:r>
              <w:rPr>
                <w:color w:val="000000"/>
                <w:lang w:val="zh-CN" w:eastAsia="zh-CN"/>
              </w:rPr>
              <w:t>预算未涵盖的某些活动提供资金。</w:t>
            </w:r>
          </w:p>
          <w:p w14:paraId="4288AA6F" w14:textId="0BCE77A9" w:rsidR="00AD3606" w:rsidRDefault="00791B97" w:rsidP="00F16BAB">
            <w:pPr>
              <w:spacing w:before="160"/>
              <w:rPr>
                <w:b/>
                <w:bCs/>
                <w:sz w:val="26"/>
                <w:szCs w:val="26"/>
                <w:lang w:eastAsia="zh-CN"/>
              </w:rPr>
            </w:pPr>
            <w:r w:rsidRPr="00791B97">
              <w:rPr>
                <w:rFonts w:hint="eastAsia"/>
                <w:b/>
                <w:bCs/>
                <w:sz w:val="26"/>
                <w:szCs w:val="26"/>
                <w:lang w:eastAsia="zh-CN"/>
              </w:rPr>
              <w:t>理事会需采取的行动</w:t>
            </w:r>
          </w:p>
          <w:p w14:paraId="0FFF2D9B" w14:textId="5CC013B9" w:rsidR="00722551" w:rsidRDefault="004D19C9" w:rsidP="00482741">
            <w:pPr>
              <w:ind w:firstLineChars="200" w:firstLine="480"/>
              <w:rPr>
                <w:lang w:val="en-US" w:eastAsia="zh-CN"/>
              </w:rPr>
            </w:pPr>
            <w:r>
              <w:rPr>
                <w:color w:val="000000"/>
                <w:lang w:val="zh-CN" w:eastAsia="zh-CN"/>
              </w:rPr>
              <w:t>请理事会</w:t>
            </w:r>
            <w:r w:rsidRPr="000F21BE">
              <w:rPr>
                <w:b/>
                <w:bCs/>
                <w:color w:val="000000"/>
                <w:lang w:val="zh-CN" w:eastAsia="zh-CN"/>
              </w:rPr>
              <w:t>批准</w:t>
            </w:r>
            <w:r>
              <w:rPr>
                <w:color w:val="000000"/>
                <w:lang w:val="zh-CN" w:eastAsia="zh-CN"/>
              </w:rPr>
              <w:t>本文件</w:t>
            </w:r>
            <w:hyperlink w:anchor="Annex" w:history="1">
              <w:r>
                <w:rPr>
                  <w:rStyle w:val="Hyperlink"/>
                  <w:rFonts w:asciiTheme="minorHAnsi" w:hAnsiTheme="minorHAnsi" w:cstheme="minorHAnsi" w:hint="eastAsia"/>
                  <w:szCs w:val="24"/>
                  <w:lang w:eastAsia="zh-CN"/>
                </w:rPr>
                <w:t>附件</w:t>
              </w:r>
            </w:hyperlink>
            <w:r>
              <w:rPr>
                <w:color w:val="000000"/>
                <w:lang w:val="zh-CN" w:eastAsia="zh-CN"/>
              </w:rPr>
              <w:t>中的决议草案。</w:t>
            </w:r>
          </w:p>
          <w:p w14:paraId="5A39FFC8" w14:textId="695FC579" w:rsidR="007665AD" w:rsidRDefault="007665AD" w:rsidP="007665AD">
            <w:pPr>
              <w:spacing w:before="160"/>
              <w:rPr>
                <w:b/>
                <w:bCs/>
                <w:sz w:val="26"/>
                <w:szCs w:val="26"/>
                <w:lang w:eastAsia="zh-CN"/>
              </w:rPr>
            </w:pPr>
            <w:r w:rsidRPr="007665AD">
              <w:rPr>
                <w:rFonts w:hint="eastAsia"/>
                <w:b/>
                <w:bCs/>
                <w:sz w:val="26"/>
                <w:szCs w:val="26"/>
                <w:lang w:eastAsia="zh-CN"/>
              </w:rPr>
              <w:t>与《战略规划》的关联</w:t>
            </w:r>
          </w:p>
          <w:p w14:paraId="7E167B90" w14:textId="74B32EC8" w:rsidR="007665AD" w:rsidRPr="00D56156" w:rsidRDefault="004D19C9" w:rsidP="00482741">
            <w:pPr>
              <w:ind w:firstLineChars="200" w:firstLine="480"/>
              <w:rPr>
                <w:lang w:eastAsia="zh-CN"/>
              </w:rPr>
            </w:pPr>
            <w:r>
              <w:rPr>
                <w:color w:val="000000"/>
                <w:lang w:val="zh-CN" w:eastAsia="zh-CN"/>
              </w:rPr>
              <w:t>本文件与</w:t>
            </w:r>
            <w:r>
              <w:rPr>
                <w:color w:val="000000"/>
                <w:lang w:val="zh-CN" w:eastAsia="zh-CN"/>
              </w:rPr>
              <w:t>2024-2027</w:t>
            </w:r>
            <w:r>
              <w:rPr>
                <w:color w:val="000000"/>
                <w:lang w:val="zh-CN" w:eastAsia="zh-CN"/>
              </w:rPr>
              <w:t>年战略规划保持一致。</w:t>
            </w:r>
          </w:p>
          <w:p w14:paraId="3F8F3055" w14:textId="15F44D35" w:rsidR="007665AD" w:rsidRDefault="007665AD" w:rsidP="007665AD">
            <w:pPr>
              <w:spacing w:before="160"/>
              <w:rPr>
                <w:b/>
                <w:bCs/>
                <w:sz w:val="26"/>
                <w:szCs w:val="26"/>
                <w:lang w:eastAsia="zh-CN"/>
              </w:rPr>
            </w:pPr>
            <w:r>
              <w:rPr>
                <w:rFonts w:hint="eastAsia"/>
                <w:b/>
                <w:bCs/>
                <w:sz w:val="26"/>
                <w:szCs w:val="26"/>
                <w:lang w:eastAsia="zh-CN"/>
              </w:rPr>
              <w:t>财务影响</w:t>
            </w:r>
          </w:p>
          <w:p w14:paraId="00F57B67" w14:textId="13CD9EDE" w:rsidR="007665AD" w:rsidRPr="007665AD" w:rsidRDefault="004D19C9" w:rsidP="00482741">
            <w:pPr>
              <w:spacing w:before="160"/>
              <w:ind w:firstLineChars="200" w:firstLine="480"/>
              <w:rPr>
                <w:szCs w:val="24"/>
                <w:lang w:eastAsia="zh-CN"/>
              </w:rPr>
            </w:pPr>
            <w:r>
              <w:rPr>
                <w:color w:val="000000"/>
                <w:lang w:val="zh-CN" w:eastAsia="zh-CN"/>
              </w:rPr>
              <w:t>从</w:t>
            </w:r>
            <w:r>
              <w:rPr>
                <w:color w:val="000000"/>
                <w:lang w:val="zh-CN" w:eastAsia="zh-CN"/>
              </w:rPr>
              <w:t>202</w:t>
            </w:r>
            <w:r>
              <w:rPr>
                <w:rFonts w:hint="eastAsia"/>
                <w:color w:val="000000"/>
                <w:lang w:val="zh-CN" w:eastAsia="zh-CN"/>
              </w:rPr>
              <w:t>4</w:t>
            </w:r>
            <w:r>
              <w:rPr>
                <w:color w:val="000000"/>
                <w:lang w:val="zh-CN" w:eastAsia="zh-CN"/>
              </w:rPr>
              <w:t>年预算执行节余的</w:t>
            </w:r>
            <w:r w:rsidRPr="000F21BE">
              <w:rPr>
                <w:rFonts w:hint="eastAsia"/>
                <w:color w:val="000000"/>
                <w:lang w:val="zh-CN" w:eastAsia="zh-CN"/>
              </w:rPr>
              <w:t>资金</w:t>
            </w:r>
            <w:r>
              <w:rPr>
                <w:color w:val="000000"/>
                <w:lang w:val="zh-CN" w:eastAsia="zh-CN"/>
              </w:rPr>
              <w:t>中</w:t>
            </w:r>
            <w:r w:rsidRPr="000F21BE">
              <w:rPr>
                <w:rFonts w:hint="eastAsia"/>
                <w:color w:val="000000"/>
                <w:lang w:val="zh-CN" w:eastAsia="zh-CN"/>
              </w:rPr>
              <w:t>划拨</w:t>
            </w:r>
            <w:r w:rsidRPr="005D1B19">
              <w:rPr>
                <w:rFonts w:hint="eastAsia"/>
                <w:b/>
                <w:bCs/>
                <w:color w:val="000000"/>
                <w:lang w:val="zh-CN" w:eastAsia="zh-CN"/>
              </w:rPr>
              <w:t>5</w:t>
            </w:r>
            <w:r w:rsidR="00482741">
              <w:rPr>
                <w:b/>
                <w:bCs/>
                <w:color w:val="000000"/>
                <w:lang w:val="en-US" w:eastAsia="zh-CN"/>
              </w:rPr>
              <w:t> </w:t>
            </w:r>
            <w:r w:rsidRPr="005D1B19">
              <w:rPr>
                <w:rFonts w:hint="eastAsia"/>
                <w:b/>
                <w:bCs/>
                <w:color w:val="000000"/>
                <w:lang w:val="zh-CN" w:eastAsia="zh-CN"/>
              </w:rPr>
              <w:t>060</w:t>
            </w:r>
            <w:r w:rsidR="00482741">
              <w:rPr>
                <w:b/>
                <w:bCs/>
                <w:color w:val="000000"/>
                <w:lang w:val="en-US" w:eastAsia="zh-CN"/>
              </w:rPr>
              <w:t> </w:t>
            </w:r>
            <w:r w:rsidRPr="005D1B19">
              <w:rPr>
                <w:b/>
                <w:bCs/>
                <w:color w:val="000000"/>
                <w:lang w:val="zh-CN" w:eastAsia="zh-CN"/>
              </w:rPr>
              <w:t>000</w:t>
            </w:r>
            <w:r w:rsidRPr="005D1B19">
              <w:rPr>
                <w:b/>
                <w:bCs/>
                <w:color w:val="000000"/>
                <w:lang w:val="zh-CN" w:eastAsia="zh-CN"/>
              </w:rPr>
              <w:t>瑞郎</w:t>
            </w:r>
            <w:r>
              <w:rPr>
                <w:color w:val="000000"/>
                <w:lang w:val="zh-CN" w:eastAsia="zh-CN"/>
              </w:rPr>
              <w:t>，</w:t>
            </w:r>
            <w:r>
              <w:rPr>
                <w:rFonts w:hint="eastAsia"/>
                <w:color w:val="000000"/>
                <w:lang w:val="zh-CN" w:eastAsia="zh-CN"/>
              </w:rPr>
              <w:t>为</w:t>
            </w:r>
            <w:r>
              <w:rPr>
                <w:color w:val="000000"/>
                <w:lang w:val="zh-CN" w:eastAsia="zh-CN"/>
              </w:rPr>
              <w:t>正常预算未涵盖的活动</w:t>
            </w:r>
            <w:r>
              <w:rPr>
                <w:rFonts w:hint="eastAsia"/>
                <w:color w:val="000000"/>
                <w:lang w:val="zh-CN" w:eastAsia="zh-CN"/>
              </w:rPr>
              <w:t>提供资金</w:t>
            </w:r>
            <w:r>
              <w:rPr>
                <w:color w:val="000000"/>
                <w:lang w:val="zh-CN" w:eastAsia="zh-CN"/>
              </w:rPr>
              <w:t>。</w:t>
            </w:r>
          </w:p>
          <w:p w14:paraId="08939791" w14:textId="77777777" w:rsidR="00C0458D" w:rsidRDefault="00C0458D">
            <w:pPr>
              <w:rPr>
                <w:lang w:eastAsia="zh-CN"/>
              </w:rPr>
            </w:pPr>
            <w:r>
              <w:rPr>
                <w:lang w:eastAsia="zh-CN"/>
              </w:rPr>
              <w:t>_______________</w:t>
            </w:r>
          </w:p>
          <w:p w14:paraId="212A584A" w14:textId="0026C8C6" w:rsidR="00AD3606" w:rsidRPr="00C0458D" w:rsidRDefault="00791B97" w:rsidP="00F16BAB">
            <w:pPr>
              <w:spacing w:before="160"/>
              <w:rPr>
                <w:b/>
                <w:bCs/>
                <w:sz w:val="26"/>
                <w:szCs w:val="26"/>
                <w:lang w:eastAsia="zh-CN"/>
              </w:rPr>
            </w:pPr>
            <w:r>
              <w:rPr>
                <w:rFonts w:hint="eastAsia"/>
                <w:b/>
                <w:bCs/>
                <w:sz w:val="26"/>
                <w:szCs w:val="26"/>
                <w:lang w:eastAsia="zh-CN"/>
              </w:rPr>
              <w:t>参考资料</w:t>
            </w:r>
          </w:p>
          <w:p w14:paraId="7089D4B7" w14:textId="7C8C516C" w:rsidR="00AD3606" w:rsidRPr="00482741" w:rsidRDefault="004D19C9" w:rsidP="00A07996">
            <w:pPr>
              <w:spacing w:after="160"/>
              <w:rPr>
                <w:rFonts w:asciiTheme="minorHAnsi" w:eastAsia="STKaiti" w:hAnsiTheme="minorHAnsi" w:cstheme="minorHAnsi"/>
                <w:sz w:val="22"/>
                <w:szCs w:val="22"/>
                <w:lang w:eastAsia="zh-CN"/>
              </w:rPr>
            </w:pPr>
            <w:r w:rsidRPr="00482741">
              <w:rPr>
                <w:rFonts w:asciiTheme="minorHAnsi" w:eastAsia="STKaiti" w:hAnsiTheme="minorHAnsi" w:cstheme="minorHAnsi"/>
                <w:color w:val="000000"/>
                <w:lang w:val="zh-CN" w:eastAsia="zh-CN"/>
              </w:rPr>
              <w:t>全权代表</w:t>
            </w:r>
            <w:proofErr w:type="gramStart"/>
            <w:r w:rsidRPr="00482741">
              <w:rPr>
                <w:rFonts w:asciiTheme="minorHAnsi" w:eastAsia="STKaiti" w:hAnsiTheme="minorHAnsi" w:cstheme="minorHAnsi"/>
                <w:color w:val="000000"/>
                <w:lang w:val="zh-CN" w:eastAsia="zh-CN"/>
              </w:rPr>
              <w:t>大会第</w:t>
            </w:r>
            <w:proofErr w:type="gramEnd"/>
            <w:r>
              <w:fldChar w:fldCharType="begin"/>
            </w:r>
            <w:r>
              <w:rPr>
                <w:lang w:eastAsia="zh-CN"/>
              </w:rPr>
              <w:instrText>HYPERLINK "https://www.itu.int/en/council/Documents/basic-texts/DEC-005-C.pdf"</w:instrText>
            </w:r>
            <w:r>
              <w:fldChar w:fldCharType="separate"/>
            </w:r>
            <w:r w:rsidRPr="00482741">
              <w:rPr>
                <w:rStyle w:val="Hyperlink"/>
                <w:rFonts w:asciiTheme="minorHAnsi" w:eastAsia="STKaiti" w:hAnsiTheme="minorHAnsi" w:cstheme="minorHAnsi"/>
                <w:lang w:val="zh-CN" w:eastAsia="zh-CN"/>
              </w:rPr>
              <w:t>5</w:t>
            </w:r>
            <w:r>
              <w:fldChar w:fldCharType="end"/>
            </w:r>
            <w:r w:rsidRPr="00482741">
              <w:rPr>
                <w:rFonts w:asciiTheme="minorHAnsi" w:eastAsia="STKaiti" w:hAnsiTheme="minorHAnsi" w:cstheme="minorHAnsi"/>
                <w:color w:val="000000"/>
                <w:lang w:val="zh-CN" w:eastAsia="zh-CN"/>
              </w:rPr>
              <w:t>号决定（</w:t>
            </w:r>
            <w:r w:rsidRPr="00482741">
              <w:rPr>
                <w:rFonts w:asciiTheme="minorHAnsi" w:eastAsia="STKaiti" w:hAnsiTheme="minorHAnsi" w:cstheme="minorHAnsi"/>
                <w:color w:val="000000"/>
                <w:lang w:val="zh-CN" w:eastAsia="zh-CN"/>
              </w:rPr>
              <w:t>2022</w:t>
            </w:r>
            <w:r w:rsidRPr="00482741">
              <w:rPr>
                <w:rFonts w:asciiTheme="minorHAnsi" w:eastAsia="STKaiti" w:hAnsiTheme="minorHAnsi" w:cstheme="minorHAnsi"/>
                <w:color w:val="000000"/>
                <w:lang w:val="zh-CN" w:eastAsia="zh-CN"/>
              </w:rPr>
              <w:t>年，布加勒斯特，修订版）；第</w:t>
            </w:r>
            <w:r>
              <w:fldChar w:fldCharType="begin"/>
            </w:r>
            <w:r>
              <w:rPr>
                <w:lang w:eastAsia="zh-CN"/>
              </w:rPr>
              <w:instrText>HYPERLINK "https://www.itu.int/en/council/Documents/basic-texts/RES-011-C.pdf"</w:instrText>
            </w:r>
            <w:r>
              <w:fldChar w:fldCharType="separate"/>
            </w:r>
            <w:r w:rsidRPr="00482741">
              <w:rPr>
                <w:rStyle w:val="Hyperlink"/>
                <w:rFonts w:asciiTheme="minorHAnsi" w:eastAsia="STKaiti" w:hAnsiTheme="minorHAnsi" w:cstheme="minorHAnsi"/>
                <w:sz w:val="22"/>
                <w:szCs w:val="22"/>
                <w:lang w:eastAsia="zh-CN"/>
              </w:rPr>
              <w:t>11</w:t>
            </w:r>
            <w:r>
              <w:fldChar w:fldCharType="end"/>
            </w:r>
            <w:r w:rsidRPr="00482741">
              <w:rPr>
                <w:rFonts w:asciiTheme="minorHAnsi" w:eastAsia="STKaiti" w:hAnsiTheme="minorHAnsi" w:cstheme="minorHAnsi"/>
                <w:color w:val="000000"/>
                <w:lang w:val="zh-CN" w:eastAsia="zh-CN"/>
              </w:rPr>
              <w:t>号决议（</w:t>
            </w:r>
            <w:r w:rsidRPr="00482741">
              <w:rPr>
                <w:rFonts w:asciiTheme="minorHAnsi" w:eastAsia="STKaiti" w:hAnsiTheme="minorHAnsi" w:cstheme="minorHAnsi"/>
                <w:color w:val="000000"/>
                <w:lang w:val="zh-CN" w:eastAsia="zh-CN"/>
              </w:rPr>
              <w:t>2022</w:t>
            </w:r>
            <w:r w:rsidRPr="00482741">
              <w:rPr>
                <w:rFonts w:asciiTheme="minorHAnsi" w:eastAsia="STKaiti" w:hAnsiTheme="minorHAnsi" w:cstheme="minorHAnsi"/>
                <w:color w:val="000000"/>
                <w:lang w:val="zh-CN" w:eastAsia="zh-CN"/>
              </w:rPr>
              <w:t>年，布加勒斯特，已废止）；理事会第</w:t>
            </w:r>
            <w:r>
              <w:fldChar w:fldCharType="begin"/>
            </w:r>
            <w:r>
              <w:rPr>
                <w:lang w:eastAsia="zh-CN"/>
              </w:rPr>
              <w:instrText>HYPERLINK "http://www.itu.int/council/index97/1997/131/131.html" \h</w:instrText>
            </w:r>
            <w:r>
              <w:fldChar w:fldCharType="separate"/>
            </w:r>
            <w:r w:rsidRPr="00482741">
              <w:rPr>
                <w:rStyle w:val="Hyperlink"/>
                <w:rFonts w:asciiTheme="minorHAnsi" w:eastAsia="STKaiti" w:hAnsiTheme="minorHAnsi" w:cstheme="minorHAnsi"/>
                <w:sz w:val="22"/>
                <w:szCs w:val="22"/>
                <w:lang w:eastAsia="zh-CN"/>
              </w:rPr>
              <w:t>1111</w:t>
            </w:r>
            <w:r>
              <w:fldChar w:fldCharType="end"/>
            </w:r>
            <w:r w:rsidRPr="00482741">
              <w:rPr>
                <w:rFonts w:asciiTheme="minorHAnsi" w:eastAsia="STKaiti" w:hAnsiTheme="minorHAnsi" w:cstheme="minorHAnsi"/>
                <w:color w:val="000000"/>
                <w:lang w:val="zh-CN" w:eastAsia="zh-CN"/>
              </w:rPr>
              <w:t>号和第</w:t>
            </w:r>
            <w:r>
              <w:fldChar w:fldCharType="begin"/>
            </w:r>
            <w:r>
              <w:rPr>
                <w:lang w:eastAsia="zh-CN"/>
              </w:rPr>
              <w:instrText>HYPERLINK "http://www.itu.int/md/S11-CL-C-0106/en" \h</w:instrText>
            </w:r>
            <w:r>
              <w:fldChar w:fldCharType="separate"/>
            </w:r>
            <w:r w:rsidRPr="00482741">
              <w:rPr>
                <w:rStyle w:val="Hyperlink"/>
                <w:rFonts w:asciiTheme="minorHAnsi" w:eastAsia="STKaiti" w:hAnsiTheme="minorHAnsi" w:cstheme="minorHAnsi"/>
                <w:sz w:val="22"/>
                <w:szCs w:val="22"/>
                <w:lang w:eastAsia="zh-CN"/>
              </w:rPr>
              <w:t>1338</w:t>
            </w:r>
            <w:r>
              <w:fldChar w:fldCharType="end"/>
            </w:r>
            <w:r w:rsidRPr="00482741">
              <w:rPr>
                <w:rFonts w:asciiTheme="minorHAnsi" w:eastAsia="STKaiti" w:hAnsiTheme="minorHAnsi" w:cstheme="minorHAnsi"/>
                <w:color w:val="000000"/>
                <w:lang w:val="zh-CN" w:eastAsia="zh-CN"/>
              </w:rPr>
              <w:t>号决议；理事会</w:t>
            </w:r>
            <w:r>
              <w:fldChar w:fldCharType="begin"/>
            </w:r>
            <w:r>
              <w:rPr>
                <w:lang w:eastAsia="zh-CN"/>
              </w:rPr>
              <w:instrText>HYPERLINK "https://www.itu.int/md/S24-CL-C-0034/en" \h</w:instrText>
            </w:r>
            <w:r>
              <w:fldChar w:fldCharType="separate"/>
            </w:r>
            <w:proofErr w:type="spellStart"/>
            <w:r w:rsidRPr="00482741">
              <w:rPr>
                <w:rStyle w:val="Hyperlink"/>
                <w:rFonts w:asciiTheme="minorHAnsi" w:eastAsia="STKaiti" w:hAnsiTheme="minorHAnsi" w:cstheme="minorHAnsi"/>
                <w:sz w:val="22"/>
                <w:szCs w:val="22"/>
                <w:lang w:eastAsia="zh-CN"/>
              </w:rPr>
              <w:t>C24</w:t>
            </w:r>
            <w:proofErr w:type="spellEnd"/>
            <w:r w:rsidRPr="00482741">
              <w:rPr>
                <w:rStyle w:val="Hyperlink"/>
                <w:rFonts w:asciiTheme="minorHAnsi" w:eastAsia="STKaiti" w:hAnsiTheme="minorHAnsi" w:cstheme="minorHAnsi"/>
                <w:sz w:val="22"/>
                <w:szCs w:val="22"/>
                <w:lang w:eastAsia="zh-CN"/>
              </w:rPr>
              <w:t>/19</w:t>
            </w:r>
            <w:r>
              <w:fldChar w:fldCharType="end"/>
            </w:r>
            <w:r w:rsidRPr="00482741">
              <w:rPr>
                <w:rFonts w:asciiTheme="minorHAnsi" w:eastAsia="STKaiti" w:hAnsiTheme="minorHAnsi" w:cstheme="minorHAnsi"/>
                <w:color w:val="000000"/>
                <w:lang w:val="zh-CN" w:eastAsia="zh-CN"/>
              </w:rPr>
              <w:t>号文件</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C0458D">
        <w:rPr>
          <w:lang w:eastAsia="zh-CN"/>
        </w:rPr>
        <w:br w:type="page"/>
      </w:r>
    </w:p>
    <w:bookmarkEnd w:id="5"/>
    <w:bookmarkEnd w:id="10"/>
    <w:p w14:paraId="1F5A4F04" w14:textId="77777777" w:rsidR="004D19C9" w:rsidRPr="007B5DEA" w:rsidRDefault="004D19C9" w:rsidP="004D19C9">
      <w:pPr>
        <w:pStyle w:val="Heading1"/>
        <w:rPr>
          <w:lang w:eastAsia="zh-CN"/>
        </w:rPr>
      </w:pPr>
      <w:r>
        <w:rPr>
          <w:bCs/>
          <w:lang w:val="zh-CN" w:eastAsia="zh-CN"/>
        </w:rPr>
        <w:lastRenderedPageBreak/>
        <w:t>1</w:t>
      </w:r>
      <w:r>
        <w:rPr>
          <w:bCs/>
          <w:lang w:val="zh-CN" w:eastAsia="zh-CN"/>
        </w:rPr>
        <w:tab/>
      </w:r>
      <w:r>
        <w:rPr>
          <w:rFonts w:hint="eastAsia"/>
          <w:bCs/>
          <w:lang w:val="zh-CN" w:eastAsia="zh-CN"/>
        </w:rPr>
        <w:t>引言</w:t>
      </w:r>
    </w:p>
    <w:p w14:paraId="6695FCA1" w14:textId="53159AFB" w:rsidR="004D19C9" w:rsidRDefault="004D19C9" w:rsidP="004D19C9">
      <w:pPr>
        <w:ind w:firstLineChars="200" w:firstLine="480"/>
        <w:rPr>
          <w:lang w:eastAsia="zh-CN"/>
        </w:rPr>
      </w:pPr>
      <w:r>
        <w:rPr>
          <w:lang w:val="zh-CN" w:eastAsia="zh-CN"/>
        </w:rPr>
        <w:t>2024</w:t>
      </w:r>
      <w:r>
        <w:rPr>
          <w:lang w:val="zh-CN" w:eastAsia="zh-CN"/>
        </w:rPr>
        <w:t>年预算执行结束</w:t>
      </w:r>
      <w:r w:rsidRPr="005D1B19">
        <w:rPr>
          <w:rFonts w:hint="eastAsia"/>
          <w:lang w:val="zh-CN" w:eastAsia="zh-CN"/>
        </w:rPr>
        <w:t>时有</w:t>
      </w:r>
      <w:r w:rsidRPr="005D1B19">
        <w:rPr>
          <w:b/>
          <w:bCs/>
          <w:lang w:val="zh-CN" w:eastAsia="zh-CN"/>
        </w:rPr>
        <w:t>5</w:t>
      </w:r>
      <w:r>
        <w:rPr>
          <w:b/>
          <w:bCs/>
          <w:lang w:val="en-US" w:eastAsia="zh-CN"/>
        </w:rPr>
        <w:t> </w:t>
      </w:r>
      <w:r w:rsidRPr="005D1B19">
        <w:rPr>
          <w:b/>
          <w:bCs/>
          <w:lang w:val="zh-CN" w:eastAsia="zh-CN"/>
        </w:rPr>
        <w:t>652</w:t>
      </w:r>
      <w:r>
        <w:rPr>
          <w:b/>
          <w:bCs/>
          <w:lang w:val="en-US" w:eastAsia="zh-CN"/>
        </w:rPr>
        <w:t> </w:t>
      </w:r>
      <w:r w:rsidRPr="005D1B19">
        <w:rPr>
          <w:b/>
          <w:bCs/>
          <w:lang w:val="zh-CN" w:eastAsia="zh-CN"/>
        </w:rPr>
        <w:t>000</w:t>
      </w:r>
      <w:r w:rsidRPr="005D1B19">
        <w:rPr>
          <w:b/>
          <w:bCs/>
          <w:lang w:val="zh-CN" w:eastAsia="zh-CN"/>
        </w:rPr>
        <w:t>瑞郎</w:t>
      </w:r>
      <w:r>
        <w:rPr>
          <w:lang w:val="zh-CN" w:eastAsia="zh-CN"/>
        </w:rPr>
        <w:t>的盈余。建议将此盈余中的</w:t>
      </w:r>
      <w:r w:rsidRPr="005D1B19">
        <w:rPr>
          <w:b/>
          <w:bCs/>
          <w:lang w:val="zh-CN" w:eastAsia="zh-CN"/>
        </w:rPr>
        <w:t>5</w:t>
      </w:r>
      <w:r>
        <w:rPr>
          <w:b/>
          <w:bCs/>
          <w:lang w:val="en-US" w:eastAsia="zh-CN"/>
        </w:rPr>
        <w:t> </w:t>
      </w:r>
      <w:r w:rsidRPr="005D1B19">
        <w:rPr>
          <w:b/>
          <w:bCs/>
          <w:lang w:val="zh-CN" w:eastAsia="zh-CN"/>
        </w:rPr>
        <w:t>060</w:t>
      </w:r>
      <w:r>
        <w:rPr>
          <w:b/>
          <w:bCs/>
          <w:lang w:val="en-US" w:eastAsia="zh-CN"/>
        </w:rPr>
        <w:t> </w:t>
      </w:r>
      <w:r w:rsidRPr="005D1B19">
        <w:rPr>
          <w:b/>
          <w:bCs/>
          <w:lang w:val="zh-CN" w:eastAsia="zh-CN"/>
        </w:rPr>
        <w:t>000</w:t>
      </w:r>
      <w:r w:rsidRPr="005D1B19">
        <w:rPr>
          <w:b/>
          <w:bCs/>
          <w:lang w:val="zh-CN" w:eastAsia="zh-CN"/>
        </w:rPr>
        <w:t>瑞</w:t>
      </w:r>
      <w:proofErr w:type="gramStart"/>
      <w:r w:rsidRPr="005D1B19">
        <w:rPr>
          <w:b/>
          <w:bCs/>
          <w:lang w:val="zh-CN" w:eastAsia="zh-CN"/>
        </w:rPr>
        <w:t>郎</w:t>
      </w:r>
      <w:r>
        <w:rPr>
          <w:lang w:val="zh-CN" w:eastAsia="zh-CN"/>
        </w:rPr>
        <w:t>用于</w:t>
      </w:r>
      <w:proofErr w:type="gramEnd"/>
      <w:r>
        <w:rPr>
          <w:lang w:val="zh-CN" w:eastAsia="zh-CN"/>
        </w:rPr>
        <w:t>资助正常预算未涵盖的一些活动。</w:t>
      </w:r>
    </w:p>
    <w:p w14:paraId="2309A4D3" w14:textId="77777777" w:rsidR="004D19C9" w:rsidRDefault="004D19C9" w:rsidP="004D19C9">
      <w:pPr>
        <w:ind w:firstLineChars="200" w:firstLine="480"/>
        <w:rPr>
          <w:lang w:eastAsia="zh-CN"/>
        </w:rPr>
      </w:pPr>
      <w:r>
        <w:rPr>
          <w:lang w:val="zh-CN" w:eastAsia="zh-CN"/>
        </w:rPr>
        <w:t>这一盈余来自于严格的成本管理，以便为</w:t>
      </w:r>
      <w:r>
        <w:rPr>
          <w:lang w:val="zh-CN" w:eastAsia="zh-CN"/>
        </w:rPr>
        <w:t>2024-2027</w:t>
      </w:r>
      <w:r>
        <w:rPr>
          <w:lang w:val="zh-CN" w:eastAsia="zh-CN"/>
        </w:rPr>
        <w:t>年</w:t>
      </w:r>
      <w:r>
        <w:rPr>
          <w:rFonts w:hint="eastAsia"/>
          <w:lang w:val="zh-CN" w:eastAsia="zh-CN"/>
        </w:rPr>
        <w:t>《</w:t>
      </w:r>
      <w:r>
        <w:rPr>
          <w:lang w:val="zh-CN" w:eastAsia="zh-CN"/>
        </w:rPr>
        <w:t>财务规划</w:t>
      </w:r>
      <w:r>
        <w:rPr>
          <w:rFonts w:hint="eastAsia"/>
          <w:lang w:val="zh-CN" w:eastAsia="zh-CN"/>
        </w:rPr>
        <w:t>》</w:t>
      </w:r>
      <w:r>
        <w:rPr>
          <w:lang w:val="zh-CN" w:eastAsia="zh-CN"/>
        </w:rPr>
        <w:t>中未提供资金或</w:t>
      </w:r>
      <w:r w:rsidRPr="005D1B19">
        <w:rPr>
          <w:rFonts w:hint="eastAsia"/>
          <w:lang w:val="zh-CN" w:eastAsia="zh-CN"/>
        </w:rPr>
        <w:t>未全额</w:t>
      </w:r>
      <w:r>
        <w:rPr>
          <w:rFonts w:hint="eastAsia"/>
          <w:lang w:val="zh-CN" w:eastAsia="zh-CN"/>
        </w:rPr>
        <w:t>提供</w:t>
      </w:r>
      <w:r>
        <w:rPr>
          <w:lang w:val="zh-CN" w:eastAsia="zh-CN"/>
        </w:rPr>
        <w:t>资金的优先事项供资，这些优先事项自</w:t>
      </w:r>
      <w:r>
        <w:rPr>
          <w:lang w:val="zh-CN" w:eastAsia="zh-CN"/>
        </w:rPr>
        <w:t>2021/2022</w:t>
      </w:r>
      <w:r>
        <w:rPr>
          <w:lang w:val="zh-CN" w:eastAsia="zh-CN"/>
        </w:rPr>
        <w:t>年制定财务规划以来已成为必要。下列因素和全部结果将在单独提交理事会的</w:t>
      </w:r>
      <w:r>
        <w:rPr>
          <w:lang w:val="zh-CN" w:eastAsia="zh-CN"/>
        </w:rPr>
        <w:t>2024</w:t>
      </w:r>
      <w:r>
        <w:rPr>
          <w:lang w:val="zh-CN" w:eastAsia="zh-CN"/>
        </w:rPr>
        <w:t>年</w:t>
      </w:r>
      <w:r w:rsidRPr="00086FD4">
        <w:rPr>
          <w:rFonts w:hint="eastAsia"/>
          <w:lang w:val="zh-CN" w:eastAsia="zh-CN"/>
        </w:rPr>
        <w:t>经审计的</w:t>
      </w:r>
      <w:r>
        <w:rPr>
          <w:lang w:val="zh-CN" w:eastAsia="zh-CN"/>
        </w:rPr>
        <w:t>财务报表中进一步说明。</w:t>
      </w:r>
      <w:r w:rsidRPr="00086FD4">
        <w:rPr>
          <w:rFonts w:hint="eastAsia"/>
          <w:lang w:val="zh-CN" w:eastAsia="zh-CN"/>
        </w:rPr>
        <w:t>详</w:t>
      </w:r>
      <w:r>
        <w:rPr>
          <w:lang w:val="zh-CN" w:eastAsia="zh-CN"/>
        </w:rPr>
        <w:t>见以下各分段：</w:t>
      </w:r>
    </w:p>
    <w:p w14:paraId="4405018D" w14:textId="4D0BA934" w:rsidR="004D19C9" w:rsidRPr="00D575B0" w:rsidRDefault="004D19C9" w:rsidP="004D19C9">
      <w:pPr>
        <w:pStyle w:val="enumlev1"/>
        <w:rPr>
          <w:lang w:eastAsia="zh-CN"/>
        </w:rPr>
      </w:pPr>
      <w:r>
        <w:rPr>
          <w:b/>
          <w:bCs/>
          <w:lang w:val="zh-CN" w:eastAsia="zh-CN"/>
        </w:rPr>
        <w:t>1.1</w:t>
      </w:r>
      <w:r>
        <w:rPr>
          <w:lang w:val="zh-CN" w:eastAsia="zh-CN"/>
        </w:rPr>
        <w:tab/>
      </w:r>
      <w:r w:rsidRPr="00017D9E">
        <w:rPr>
          <w:b/>
          <w:bCs/>
          <w:lang w:val="zh-CN" w:eastAsia="zh-CN"/>
        </w:rPr>
        <w:t>支出控制</w:t>
      </w:r>
      <w:r>
        <w:rPr>
          <w:lang w:val="zh-CN" w:eastAsia="zh-CN"/>
        </w:rPr>
        <w:t>：</w:t>
      </w:r>
      <w:r>
        <w:rPr>
          <w:lang w:val="zh-CN" w:eastAsia="zh-CN"/>
        </w:rPr>
        <w:t>2024</w:t>
      </w:r>
      <w:r>
        <w:rPr>
          <w:lang w:val="zh-CN" w:eastAsia="zh-CN"/>
        </w:rPr>
        <w:t>年期间，秘书处根据预计收入与国际电联</w:t>
      </w:r>
      <w:r>
        <w:rPr>
          <w:lang w:val="zh-CN" w:eastAsia="zh-CN"/>
        </w:rPr>
        <w:t>2024-2027</w:t>
      </w:r>
      <w:r>
        <w:rPr>
          <w:lang w:val="zh-CN" w:eastAsia="zh-CN"/>
        </w:rPr>
        <w:t>年</w:t>
      </w:r>
      <w:r>
        <w:rPr>
          <w:rFonts w:hint="eastAsia"/>
          <w:lang w:val="zh-CN" w:eastAsia="zh-CN"/>
        </w:rPr>
        <w:t>《</w:t>
      </w:r>
      <w:r>
        <w:rPr>
          <w:lang w:val="zh-CN" w:eastAsia="zh-CN"/>
        </w:rPr>
        <w:t>财务规划</w:t>
      </w:r>
      <w:r>
        <w:rPr>
          <w:rFonts w:hint="eastAsia"/>
          <w:lang w:val="zh-CN" w:eastAsia="zh-CN"/>
        </w:rPr>
        <w:t>》</w:t>
      </w:r>
      <w:r>
        <w:rPr>
          <w:lang w:val="zh-CN" w:eastAsia="zh-CN"/>
        </w:rPr>
        <w:t>相比的缺口，对支出进行了严格管理。通过这种方式，秘书处减少</w:t>
      </w:r>
      <w:r>
        <w:rPr>
          <w:rFonts w:hint="eastAsia"/>
          <w:lang w:val="zh-CN" w:eastAsia="zh-CN"/>
        </w:rPr>
        <w:t>了</w:t>
      </w:r>
      <w:r>
        <w:rPr>
          <w:lang w:val="zh-CN" w:eastAsia="zh-CN"/>
        </w:rPr>
        <w:t>8</w:t>
      </w:r>
      <w:r>
        <w:rPr>
          <w:lang w:val="en-US" w:eastAsia="zh-CN"/>
        </w:rPr>
        <w:t> </w:t>
      </w:r>
      <w:r>
        <w:rPr>
          <w:lang w:val="zh-CN" w:eastAsia="zh-CN"/>
        </w:rPr>
        <w:t>900</w:t>
      </w:r>
      <w:r>
        <w:rPr>
          <w:lang w:val="en-US" w:eastAsia="zh-CN"/>
        </w:rPr>
        <w:t> </w:t>
      </w:r>
      <w:r>
        <w:rPr>
          <w:lang w:val="zh-CN" w:eastAsia="zh-CN"/>
        </w:rPr>
        <w:t>000</w:t>
      </w:r>
      <w:r>
        <w:rPr>
          <w:lang w:val="zh-CN" w:eastAsia="zh-CN"/>
        </w:rPr>
        <w:t>瑞郎的支出，</w:t>
      </w:r>
      <w:r>
        <w:rPr>
          <w:rFonts w:hint="eastAsia"/>
          <w:lang w:val="zh-CN" w:eastAsia="zh-CN"/>
        </w:rPr>
        <w:t>将支出减至</w:t>
      </w:r>
      <w:r>
        <w:rPr>
          <w:lang w:val="zh-CN" w:eastAsia="zh-CN"/>
        </w:rPr>
        <w:t>155</w:t>
      </w:r>
      <w:r>
        <w:rPr>
          <w:lang w:val="en-US" w:eastAsia="zh-CN"/>
        </w:rPr>
        <w:t> </w:t>
      </w:r>
      <w:r>
        <w:rPr>
          <w:lang w:val="zh-CN" w:eastAsia="zh-CN"/>
        </w:rPr>
        <w:t>830</w:t>
      </w:r>
      <w:r>
        <w:rPr>
          <w:lang w:val="en-US" w:eastAsia="zh-CN"/>
        </w:rPr>
        <w:t> </w:t>
      </w:r>
      <w:r>
        <w:rPr>
          <w:lang w:val="zh-CN" w:eastAsia="zh-CN"/>
        </w:rPr>
        <w:t>000</w:t>
      </w:r>
      <w:r>
        <w:rPr>
          <w:lang w:val="zh-CN" w:eastAsia="zh-CN"/>
        </w:rPr>
        <w:t>瑞郎，而</w:t>
      </w:r>
      <w:r>
        <w:rPr>
          <w:lang w:val="zh-CN" w:eastAsia="zh-CN"/>
        </w:rPr>
        <w:t>2024</w:t>
      </w:r>
      <w:r>
        <w:rPr>
          <w:lang w:val="zh-CN" w:eastAsia="zh-CN"/>
        </w:rPr>
        <w:t>年批准预算中的计划支出为</w:t>
      </w:r>
      <w:r>
        <w:rPr>
          <w:lang w:val="zh-CN" w:eastAsia="zh-CN"/>
        </w:rPr>
        <w:t>164</w:t>
      </w:r>
      <w:r>
        <w:rPr>
          <w:lang w:val="en-US" w:eastAsia="zh-CN"/>
        </w:rPr>
        <w:t> </w:t>
      </w:r>
      <w:r>
        <w:rPr>
          <w:lang w:val="zh-CN" w:eastAsia="zh-CN"/>
        </w:rPr>
        <w:t>730</w:t>
      </w:r>
      <w:r>
        <w:rPr>
          <w:lang w:val="en-US" w:eastAsia="zh-CN"/>
        </w:rPr>
        <w:t> </w:t>
      </w:r>
      <w:r>
        <w:rPr>
          <w:lang w:val="zh-CN" w:eastAsia="zh-CN"/>
        </w:rPr>
        <w:t>000</w:t>
      </w:r>
      <w:r>
        <w:rPr>
          <w:lang w:val="zh-CN" w:eastAsia="zh-CN"/>
        </w:rPr>
        <w:t>瑞郎。</w:t>
      </w:r>
    </w:p>
    <w:p w14:paraId="0F196255" w14:textId="712CC95D" w:rsidR="004D19C9" w:rsidRPr="00D575B0" w:rsidRDefault="004D19C9" w:rsidP="004D19C9">
      <w:pPr>
        <w:pStyle w:val="enumlev1"/>
        <w:rPr>
          <w:lang w:eastAsia="zh-CN"/>
        </w:rPr>
      </w:pPr>
      <w:r>
        <w:rPr>
          <w:b/>
          <w:bCs/>
          <w:lang w:val="zh-CN" w:eastAsia="zh-CN"/>
        </w:rPr>
        <w:t>1.2</w:t>
      </w:r>
      <w:r>
        <w:rPr>
          <w:lang w:val="zh-CN" w:eastAsia="zh-CN"/>
        </w:rPr>
        <w:tab/>
      </w:r>
      <w:r w:rsidRPr="00017D9E">
        <w:rPr>
          <w:b/>
          <w:bCs/>
          <w:lang w:val="zh-CN" w:eastAsia="zh-CN"/>
        </w:rPr>
        <w:t>利息和货币兑换结果</w:t>
      </w:r>
      <w:r>
        <w:rPr>
          <w:lang w:val="zh-CN" w:eastAsia="zh-CN"/>
        </w:rPr>
        <w:t>：国际电联的收入缺口</w:t>
      </w:r>
      <w:r>
        <w:rPr>
          <w:rFonts w:hint="eastAsia"/>
          <w:lang w:val="zh-CN" w:eastAsia="zh-CN"/>
        </w:rPr>
        <w:t>为</w:t>
      </w:r>
      <w:r>
        <w:rPr>
          <w:rFonts w:cs="Calibri"/>
          <w:lang w:val="en-US" w:eastAsia="zh-CN"/>
        </w:rPr>
        <w:t>−</w:t>
      </w:r>
      <w:r>
        <w:rPr>
          <w:lang w:val="zh-CN" w:eastAsia="zh-CN"/>
        </w:rPr>
        <w:t>3</w:t>
      </w:r>
      <w:r>
        <w:rPr>
          <w:lang w:val="en-US" w:eastAsia="zh-CN"/>
        </w:rPr>
        <w:t> </w:t>
      </w:r>
      <w:r>
        <w:rPr>
          <w:lang w:val="zh-CN" w:eastAsia="zh-CN"/>
        </w:rPr>
        <w:t>249</w:t>
      </w:r>
      <w:r>
        <w:rPr>
          <w:lang w:val="en-US" w:eastAsia="zh-CN"/>
        </w:rPr>
        <w:t> </w:t>
      </w:r>
      <w:r>
        <w:rPr>
          <w:lang w:val="zh-CN" w:eastAsia="zh-CN"/>
        </w:rPr>
        <w:t>000</w:t>
      </w:r>
      <w:r>
        <w:rPr>
          <w:lang w:val="zh-CN" w:eastAsia="zh-CN"/>
        </w:rPr>
        <w:t>瑞郎</w:t>
      </w:r>
      <w:r>
        <w:rPr>
          <w:rFonts w:hint="eastAsia"/>
          <w:lang w:val="zh-CN" w:eastAsia="zh-CN"/>
        </w:rPr>
        <w:t>，</w:t>
      </w:r>
      <w:r>
        <w:rPr>
          <w:lang w:val="zh-CN" w:eastAsia="zh-CN"/>
        </w:rPr>
        <w:t>小于预期。成本回收收入的缺口为</w:t>
      </w:r>
      <w:r>
        <w:rPr>
          <w:rFonts w:cs="Calibri"/>
          <w:lang w:val="en-US" w:eastAsia="zh-CN"/>
        </w:rPr>
        <w:t>−</w:t>
      </w:r>
      <w:r>
        <w:rPr>
          <w:lang w:val="zh-CN" w:eastAsia="zh-CN"/>
        </w:rPr>
        <w:t>6</w:t>
      </w:r>
      <w:r>
        <w:rPr>
          <w:lang w:val="en-US" w:eastAsia="zh-CN"/>
        </w:rPr>
        <w:t> </w:t>
      </w:r>
      <w:r>
        <w:rPr>
          <w:lang w:val="zh-CN" w:eastAsia="zh-CN"/>
        </w:rPr>
        <w:t>088</w:t>
      </w:r>
      <w:r>
        <w:rPr>
          <w:lang w:val="en-US" w:eastAsia="zh-CN"/>
        </w:rPr>
        <w:t> </w:t>
      </w:r>
      <w:r>
        <w:rPr>
          <w:lang w:val="zh-CN" w:eastAsia="zh-CN"/>
        </w:rPr>
        <w:t>000</w:t>
      </w:r>
      <w:r>
        <w:rPr>
          <w:lang w:val="zh-CN" w:eastAsia="zh-CN"/>
        </w:rPr>
        <w:t>瑞郎，但因利息和货币兑换收益高于预期而得到弥补。作为其项目实施和正常预算的一部分，国际电联通过计息定期投资管理多种货币。这些投资根据项目和捐助</w:t>
      </w:r>
      <w:r w:rsidRPr="00EC58E5">
        <w:rPr>
          <w:rFonts w:hint="eastAsia"/>
          <w:lang w:val="zh-CN" w:eastAsia="zh-CN"/>
        </w:rPr>
        <w:t>方</w:t>
      </w:r>
      <w:r>
        <w:rPr>
          <w:lang w:val="zh-CN" w:eastAsia="zh-CN"/>
        </w:rPr>
        <w:t>的具体情况以不同货币</w:t>
      </w:r>
      <w:r w:rsidRPr="00EC58E5">
        <w:rPr>
          <w:rFonts w:hint="eastAsia"/>
          <w:lang w:val="zh-CN" w:eastAsia="zh-CN"/>
        </w:rPr>
        <w:t>持有</w:t>
      </w:r>
      <w:r>
        <w:rPr>
          <w:lang w:val="zh-CN" w:eastAsia="zh-CN"/>
        </w:rPr>
        <w:t>。</w:t>
      </w:r>
      <w:r>
        <w:rPr>
          <w:lang w:val="zh-CN" w:eastAsia="zh-CN"/>
        </w:rPr>
        <w:t>2024</w:t>
      </w:r>
      <w:r>
        <w:rPr>
          <w:lang w:val="zh-CN" w:eastAsia="zh-CN"/>
        </w:rPr>
        <w:t>年期间，国际电联获得了</w:t>
      </w:r>
      <w:r>
        <w:rPr>
          <w:lang w:val="zh-CN" w:eastAsia="zh-CN"/>
        </w:rPr>
        <w:t>4</w:t>
      </w:r>
      <w:r>
        <w:rPr>
          <w:lang w:val="en-US" w:eastAsia="zh-CN"/>
        </w:rPr>
        <w:t> </w:t>
      </w:r>
      <w:r>
        <w:rPr>
          <w:lang w:val="zh-CN" w:eastAsia="zh-CN"/>
        </w:rPr>
        <w:t>635</w:t>
      </w:r>
      <w:r>
        <w:rPr>
          <w:lang w:val="en-US" w:eastAsia="zh-CN"/>
        </w:rPr>
        <w:t> </w:t>
      </w:r>
      <w:r>
        <w:rPr>
          <w:lang w:val="zh-CN" w:eastAsia="zh-CN"/>
        </w:rPr>
        <w:t>000</w:t>
      </w:r>
      <w:r>
        <w:rPr>
          <w:lang w:val="zh-CN" w:eastAsia="zh-CN"/>
        </w:rPr>
        <w:t>瑞郎的利息</w:t>
      </w:r>
      <w:r w:rsidRPr="00EC58E5">
        <w:rPr>
          <w:rFonts w:hint="eastAsia"/>
          <w:lang w:val="zh-CN" w:eastAsia="zh-CN"/>
        </w:rPr>
        <w:t>收入</w:t>
      </w:r>
      <w:r>
        <w:rPr>
          <w:lang w:val="zh-CN" w:eastAsia="zh-CN"/>
        </w:rPr>
        <w:t>（与</w:t>
      </w:r>
      <w:r>
        <w:rPr>
          <w:lang w:val="zh-CN" w:eastAsia="zh-CN"/>
        </w:rPr>
        <w:t>2023</w:t>
      </w:r>
      <w:r>
        <w:rPr>
          <w:lang w:val="zh-CN" w:eastAsia="zh-CN"/>
        </w:rPr>
        <w:t>年</w:t>
      </w:r>
      <w:r w:rsidRPr="00EC58E5">
        <w:rPr>
          <w:rFonts w:hint="eastAsia"/>
          <w:lang w:val="zh-CN" w:eastAsia="zh-CN"/>
        </w:rPr>
        <w:t>相近</w:t>
      </w:r>
      <w:r>
        <w:rPr>
          <w:lang w:val="zh-CN" w:eastAsia="zh-CN"/>
        </w:rPr>
        <w:t>），这些投资的汇兑损失为</w:t>
      </w:r>
      <w:r>
        <w:rPr>
          <w:lang w:val="zh-CN" w:eastAsia="zh-CN"/>
        </w:rPr>
        <w:t>1</w:t>
      </w:r>
      <w:r>
        <w:rPr>
          <w:lang w:val="en-US" w:eastAsia="zh-CN"/>
        </w:rPr>
        <w:t> </w:t>
      </w:r>
      <w:r>
        <w:rPr>
          <w:lang w:val="zh-CN" w:eastAsia="zh-CN"/>
        </w:rPr>
        <w:t>200</w:t>
      </w:r>
      <w:r>
        <w:rPr>
          <w:lang w:val="en-US" w:eastAsia="zh-CN"/>
        </w:rPr>
        <w:t> </w:t>
      </w:r>
      <w:r>
        <w:rPr>
          <w:lang w:val="zh-CN" w:eastAsia="zh-CN"/>
        </w:rPr>
        <w:t>00</w:t>
      </w:r>
      <w:r>
        <w:rPr>
          <w:rFonts w:hint="eastAsia"/>
          <w:lang w:val="zh-CN" w:eastAsia="zh-CN"/>
        </w:rPr>
        <w:t>0</w:t>
      </w:r>
      <w:r>
        <w:rPr>
          <w:lang w:val="zh-CN" w:eastAsia="zh-CN"/>
        </w:rPr>
        <w:t>瑞郎（</w:t>
      </w:r>
      <w:r>
        <w:rPr>
          <w:lang w:val="zh-CN" w:eastAsia="zh-CN"/>
        </w:rPr>
        <w:t>2023</w:t>
      </w:r>
      <w:r>
        <w:rPr>
          <w:lang w:val="zh-CN" w:eastAsia="zh-CN"/>
        </w:rPr>
        <w:t>年的汇兑损失更大，为</w:t>
      </w:r>
      <w:r>
        <w:rPr>
          <w:lang w:val="zh-CN" w:eastAsia="zh-CN"/>
        </w:rPr>
        <w:t>3</w:t>
      </w:r>
      <w:r>
        <w:rPr>
          <w:lang w:val="en-US" w:eastAsia="zh-CN"/>
        </w:rPr>
        <w:t> </w:t>
      </w:r>
      <w:r>
        <w:rPr>
          <w:lang w:val="zh-CN" w:eastAsia="zh-CN"/>
        </w:rPr>
        <w:t>600</w:t>
      </w:r>
      <w:r>
        <w:rPr>
          <w:lang w:val="en-US" w:eastAsia="zh-CN"/>
        </w:rPr>
        <w:t> </w:t>
      </w:r>
      <w:r>
        <w:rPr>
          <w:lang w:val="zh-CN" w:eastAsia="zh-CN"/>
        </w:rPr>
        <w:t>00</w:t>
      </w:r>
      <w:r>
        <w:rPr>
          <w:rFonts w:hint="eastAsia"/>
          <w:lang w:val="zh-CN" w:eastAsia="zh-CN"/>
        </w:rPr>
        <w:t>0</w:t>
      </w:r>
      <w:r>
        <w:rPr>
          <w:lang w:val="zh-CN" w:eastAsia="zh-CN"/>
        </w:rPr>
        <w:t>瑞郎）。因此，</w:t>
      </w:r>
      <w:r>
        <w:rPr>
          <w:lang w:val="zh-CN" w:eastAsia="zh-CN"/>
        </w:rPr>
        <w:t>2024</w:t>
      </w:r>
      <w:r>
        <w:rPr>
          <w:lang w:val="zh-CN" w:eastAsia="zh-CN"/>
        </w:rPr>
        <w:t>年国际电联的利息和货币兑换率净收入为</w:t>
      </w:r>
      <w:r>
        <w:rPr>
          <w:lang w:val="zh-CN" w:eastAsia="zh-CN"/>
        </w:rPr>
        <w:t>3</w:t>
      </w:r>
      <w:r>
        <w:rPr>
          <w:lang w:val="en-US" w:eastAsia="zh-CN"/>
        </w:rPr>
        <w:t> </w:t>
      </w:r>
      <w:r>
        <w:rPr>
          <w:lang w:val="zh-CN" w:eastAsia="zh-CN"/>
        </w:rPr>
        <w:t>635</w:t>
      </w:r>
      <w:r>
        <w:rPr>
          <w:lang w:val="en-US" w:eastAsia="zh-CN"/>
        </w:rPr>
        <w:t> </w:t>
      </w:r>
      <w:r>
        <w:rPr>
          <w:lang w:val="zh-CN" w:eastAsia="zh-CN"/>
        </w:rPr>
        <w:t>000</w:t>
      </w:r>
      <w:r>
        <w:rPr>
          <w:lang w:val="zh-CN" w:eastAsia="zh-CN"/>
        </w:rPr>
        <w:t>瑞郎。加之项目支助成本收入和分摊会费收入的增加，收入缺口</w:t>
      </w:r>
      <w:r w:rsidRPr="00EC58E5">
        <w:rPr>
          <w:rFonts w:hint="eastAsia"/>
          <w:lang w:val="zh-CN" w:eastAsia="zh-CN"/>
        </w:rPr>
        <w:t>最终为</w:t>
      </w:r>
      <w:r>
        <w:rPr>
          <w:rFonts w:cs="Calibri"/>
          <w:lang w:val="en-US" w:eastAsia="zh-CN"/>
        </w:rPr>
        <w:t>−</w:t>
      </w:r>
      <w:r>
        <w:rPr>
          <w:lang w:val="zh-CN" w:eastAsia="zh-CN"/>
        </w:rPr>
        <w:t>3</w:t>
      </w:r>
      <w:r>
        <w:rPr>
          <w:lang w:val="en-US" w:eastAsia="zh-CN"/>
        </w:rPr>
        <w:t> </w:t>
      </w:r>
      <w:r>
        <w:rPr>
          <w:lang w:val="zh-CN" w:eastAsia="zh-CN"/>
        </w:rPr>
        <w:t>249</w:t>
      </w:r>
      <w:r>
        <w:rPr>
          <w:lang w:val="en-US" w:eastAsia="zh-CN"/>
        </w:rPr>
        <w:t> </w:t>
      </w:r>
      <w:r>
        <w:rPr>
          <w:rFonts w:hint="eastAsia"/>
          <w:lang w:val="zh-CN" w:eastAsia="zh-CN"/>
        </w:rPr>
        <w:t>000</w:t>
      </w:r>
      <w:r>
        <w:rPr>
          <w:lang w:val="zh-CN" w:eastAsia="zh-CN"/>
        </w:rPr>
        <w:t>瑞郎</w:t>
      </w:r>
      <w:r>
        <w:rPr>
          <w:rFonts w:hint="eastAsia"/>
          <w:lang w:val="zh-CN" w:eastAsia="zh-CN"/>
        </w:rPr>
        <w:t>，</w:t>
      </w:r>
      <w:r w:rsidRPr="00EC58E5">
        <w:rPr>
          <w:rFonts w:hint="eastAsia"/>
          <w:lang w:val="zh-CN" w:eastAsia="zh-CN"/>
        </w:rPr>
        <w:t>低</w:t>
      </w:r>
      <w:r>
        <w:rPr>
          <w:lang w:val="zh-CN" w:eastAsia="zh-CN"/>
        </w:rPr>
        <w:t>于预期。</w:t>
      </w:r>
    </w:p>
    <w:p w14:paraId="5BDDFDC4" w14:textId="77777777" w:rsidR="004D19C9" w:rsidRDefault="004D19C9" w:rsidP="004D19C9">
      <w:pPr>
        <w:ind w:firstLineChars="200" w:firstLine="480"/>
        <w:rPr>
          <w:lang w:eastAsia="zh-CN"/>
        </w:rPr>
      </w:pPr>
      <w:r>
        <w:rPr>
          <w:lang w:val="zh-CN" w:eastAsia="zh-CN"/>
        </w:rPr>
        <w:t>秘书处此前曾向成员报告过国际电联在为其活动提供资金和确保审慎的资源管理方面遇到的严峻财务状况。</w:t>
      </w:r>
      <w:r>
        <w:rPr>
          <w:lang w:val="zh-CN" w:eastAsia="zh-CN"/>
        </w:rPr>
        <w:t>2024</w:t>
      </w:r>
      <w:r>
        <w:rPr>
          <w:lang w:val="zh-CN" w:eastAsia="zh-CN"/>
        </w:rPr>
        <w:t>年的盈余并不表示资源过剩，而是反映了效率</w:t>
      </w:r>
      <w:r>
        <w:rPr>
          <w:rFonts w:hint="eastAsia"/>
          <w:lang w:val="zh-CN" w:eastAsia="zh-CN"/>
        </w:rPr>
        <w:t>提高</w:t>
      </w:r>
      <w:r>
        <w:rPr>
          <w:lang w:val="zh-CN" w:eastAsia="zh-CN"/>
        </w:rPr>
        <w:t>和积极的资金管理，目的是为资金不足的关键活动提供额外资金。</w:t>
      </w:r>
    </w:p>
    <w:p w14:paraId="6E5D2C74" w14:textId="77777777" w:rsidR="004D19C9" w:rsidRPr="00D67B52" w:rsidRDefault="004D19C9" w:rsidP="004D19C9">
      <w:pPr>
        <w:pStyle w:val="Heading1"/>
        <w:rPr>
          <w:lang w:eastAsia="zh-CN"/>
        </w:rPr>
      </w:pPr>
      <w:r>
        <w:rPr>
          <w:bCs/>
          <w:lang w:val="zh-CN" w:eastAsia="zh-CN"/>
        </w:rPr>
        <w:t>2</w:t>
      </w:r>
      <w:r>
        <w:rPr>
          <w:bCs/>
          <w:lang w:val="zh-CN" w:eastAsia="zh-CN"/>
        </w:rPr>
        <w:tab/>
      </w:r>
      <w:r>
        <w:rPr>
          <w:bCs/>
          <w:lang w:val="zh-CN" w:eastAsia="zh-CN"/>
        </w:rPr>
        <w:t>有关分配</w:t>
      </w:r>
      <w:r>
        <w:rPr>
          <w:bCs/>
          <w:lang w:val="zh-CN" w:eastAsia="zh-CN"/>
        </w:rPr>
        <w:t>2024</w:t>
      </w:r>
      <w:r>
        <w:rPr>
          <w:bCs/>
          <w:lang w:val="zh-CN" w:eastAsia="zh-CN"/>
        </w:rPr>
        <w:t>年盈余的提案</w:t>
      </w:r>
    </w:p>
    <w:p w14:paraId="077F5FB2" w14:textId="77777777" w:rsidR="004D19C9" w:rsidRDefault="004D19C9" w:rsidP="004D19C9">
      <w:pPr>
        <w:spacing w:before="240" w:line="276" w:lineRule="auto"/>
        <w:ind w:firstLineChars="200" w:firstLine="480"/>
        <w:rPr>
          <w:lang w:eastAsia="zh-CN"/>
        </w:rPr>
      </w:pPr>
      <w:r>
        <w:rPr>
          <w:lang w:val="zh-CN" w:eastAsia="zh-CN"/>
        </w:rPr>
        <w:t>请理事会批准秘书处使用</w:t>
      </w:r>
      <w:r>
        <w:rPr>
          <w:lang w:val="zh-CN" w:eastAsia="zh-CN"/>
        </w:rPr>
        <w:t>2024</w:t>
      </w:r>
      <w:r>
        <w:rPr>
          <w:lang w:val="zh-CN" w:eastAsia="zh-CN"/>
        </w:rPr>
        <w:t>年的盈余为未来几年的关键性组织优先事项提供资金。基于国际电联</w:t>
      </w:r>
      <w:r>
        <w:rPr>
          <w:lang w:val="zh-CN" w:eastAsia="zh-CN"/>
        </w:rPr>
        <w:t>2025</w:t>
      </w:r>
      <w:r>
        <w:rPr>
          <w:lang w:val="zh-CN" w:eastAsia="zh-CN"/>
        </w:rPr>
        <w:t>年预算的现有限制，秘书处请理事会授权秘书长从</w:t>
      </w:r>
      <w:r>
        <w:rPr>
          <w:lang w:val="zh-CN" w:eastAsia="zh-CN"/>
        </w:rPr>
        <w:t>2024</w:t>
      </w:r>
      <w:r>
        <w:rPr>
          <w:lang w:val="zh-CN" w:eastAsia="zh-CN"/>
        </w:rPr>
        <w:t>年盈余中划拨以下款项。</w:t>
      </w:r>
    </w:p>
    <w:p w14:paraId="3C86E563" w14:textId="77777777" w:rsidR="004D19C9" w:rsidRPr="006735B0" w:rsidRDefault="004D19C9" w:rsidP="004D19C9">
      <w:pPr>
        <w:pStyle w:val="Heading1"/>
        <w:rPr>
          <w:lang w:eastAsia="zh-CN"/>
        </w:rPr>
      </w:pPr>
      <w:r>
        <w:rPr>
          <w:bCs/>
          <w:lang w:val="zh-CN" w:eastAsia="zh-CN"/>
        </w:rPr>
        <w:t>3</w:t>
      </w:r>
      <w:r>
        <w:rPr>
          <w:bCs/>
          <w:lang w:val="zh-CN" w:eastAsia="zh-CN"/>
        </w:rPr>
        <w:tab/>
      </w:r>
      <w:r>
        <w:rPr>
          <w:rFonts w:hint="eastAsia"/>
          <w:bCs/>
          <w:lang w:val="zh-CN" w:eastAsia="zh-CN"/>
        </w:rPr>
        <w:t>延期的活动</w:t>
      </w:r>
    </w:p>
    <w:p w14:paraId="1E1AE9DF" w14:textId="09EB2F47" w:rsidR="004D19C9" w:rsidRDefault="004D19C9" w:rsidP="004D19C9">
      <w:pPr>
        <w:ind w:firstLineChars="200" w:firstLine="480"/>
        <w:rPr>
          <w:lang w:eastAsia="zh-CN"/>
        </w:rPr>
      </w:pPr>
      <w:r w:rsidRPr="00DC3162">
        <w:rPr>
          <w:rFonts w:hint="eastAsia"/>
          <w:lang w:val="zh-CN" w:eastAsia="zh-CN"/>
        </w:rPr>
        <w:t>2025</w:t>
      </w:r>
      <w:r w:rsidRPr="00DC3162">
        <w:rPr>
          <w:rFonts w:hint="eastAsia"/>
          <w:lang w:val="zh-CN" w:eastAsia="zh-CN"/>
        </w:rPr>
        <w:t>年世界电信发展大会（</w:t>
      </w:r>
      <w:r w:rsidRPr="00DC3162">
        <w:rPr>
          <w:rFonts w:hint="eastAsia"/>
          <w:lang w:val="zh-CN" w:eastAsia="zh-CN"/>
        </w:rPr>
        <w:t>WTDC-25</w:t>
      </w:r>
      <w:r w:rsidRPr="00DC3162">
        <w:rPr>
          <w:rFonts w:hint="eastAsia"/>
          <w:lang w:val="zh-CN" w:eastAsia="zh-CN"/>
        </w:rPr>
        <w:t>）定于</w:t>
      </w:r>
      <w:r w:rsidRPr="00DC3162">
        <w:rPr>
          <w:rFonts w:hint="eastAsia"/>
          <w:lang w:val="zh-CN" w:eastAsia="zh-CN"/>
        </w:rPr>
        <w:t>2025</w:t>
      </w:r>
      <w:r w:rsidRPr="00DC3162">
        <w:rPr>
          <w:rFonts w:hint="eastAsia"/>
          <w:lang w:val="zh-CN" w:eastAsia="zh-CN"/>
        </w:rPr>
        <w:t>年</w:t>
      </w:r>
      <w:r w:rsidRPr="00DC3162">
        <w:rPr>
          <w:rFonts w:hint="eastAsia"/>
          <w:lang w:val="zh-CN" w:eastAsia="zh-CN"/>
        </w:rPr>
        <w:t>11</w:t>
      </w:r>
      <w:r w:rsidRPr="00DC3162">
        <w:rPr>
          <w:rFonts w:hint="eastAsia"/>
          <w:lang w:val="zh-CN" w:eastAsia="zh-CN"/>
        </w:rPr>
        <w:t>月在阿塞拜疆巴库举行</w:t>
      </w:r>
      <w:r>
        <w:rPr>
          <w:rFonts w:hint="eastAsia"/>
          <w:lang w:val="zh-CN" w:eastAsia="zh-CN"/>
        </w:rPr>
        <w:t>。</w:t>
      </w:r>
      <w:r w:rsidRPr="00DC3162">
        <w:rPr>
          <w:rFonts w:hint="eastAsia"/>
          <w:lang w:val="zh-CN" w:eastAsia="zh-CN"/>
        </w:rPr>
        <w:t>由于</w:t>
      </w:r>
      <w:r>
        <w:rPr>
          <w:rFonts w:hint="eastAsia"/>
          <w:lang w:val="zh-CN" w:eastAsia="zh-CN"/>
        </w:rPr>
        <w:t>该</w:t>
      </w:r>
      <w:r w:rsidRPr="00DC3162">
        <w:rPr>
          <w:rFonts w:hint="eastAsia"/>
          <w:lang w:val="zh-CN" w:eastAsia="zh-CN"/>
        </w:rPr>
        <w:t>大会筹备进程的时间</w:t>
      </w:r>
      <w:r>
        <w:rPr>
          <w:rFonts w:hint="eastAsia"/>
          <w:lang w:val="zh-CN" w:eastAsia="zh-CN"/>
        </w:rPr>
        <w:t>安排</w:t>
      </w:r>
      <w:r w:rsidRPr="00DC3162">
        <w:rPr>
          <w:rFonts w:hint="eastAsia"/>
          <w:lang w:val="zh-CN" w:eastAsia="zh-CN"/>
        </w:rPr>
        <w:t>，</w:t>
      </w:r>
      <w:r>
        <w:rPr>
          <w:rFonts w:hint="eastAsia"/>
          <w:lang w:val="zh-CN" w:eastAsia="zh-CN"/>
        </w:rPr>
        <w:t>为了</w:t>
      </w:r>
      <w:r w:rsidRPr="00DC3162">
        <w:rPr>
          <w:rFonts w:hint="eastAsia"/>
          <w:lang w:val="zh-CN" w:eastAsia="zh-CN"/>
        </w:rPr>
        <w:t>与成员确定的筹备进程保持一致</w:t>
      </w:r>
      <w:r>
        <w:rPr>
          <w:rFonts w:hint="eastAsia"/>
          <w:lang w:val="zh-CN" w:eastAsia="zh-CN"/>
        </w:rPr>
        <w:t>，</w:t>
      </w:r>
      <w:r w:rsidRPr="00DC3162">
        <w:rPr>
          <w:rFonts w:hint="eastAsia"/>
          <w:lang w:val="zh-CN" w:eastAsia="zh-CN"/>
        </w:rPr>
        <w:t>WTDC-25</w:t>
      </w:r>
      <w:r w:rsidRPr="00DC3162">
        <w:rPr>
          <w:rFonts w:hint="eastAsia"/>
          <w:lang w:val="zh-CN" w:eastAsia="zh-CN"/>
        </w:rPr>
        <w:t>的区域性筹备会议</w:t>
      </w:r>
      <w:r>
        <w:rPr>
          <w:rFonts w:hint="eastAsia"/>
          <w:lang w:val="zh-CN" w:eastAsia="zh-CN"/>
        </w:rPr>
        <w:t>（</w:t>
      </w:r>
      <w:r>
        <w:rPr>
          <w:rFonts w:hint="eastAsia"/>
          <w:lang w:val="zh-CN" w:eastAsia="zh-CN"/>
        </w:rPr>
        <w:t>RPM</w:t>
      </w:r>
      <w:r>
        <w:rPr>
          <w:rFonts w:hint="eastAsia"/>
          <w:lang w:val="zh-CN" w:eastAsia="zh-CN"/>
        </w:rPr>
        <w:t>）</w:t>
      </w:r>
      <w:r w:rsidRPr="00DC3162">
        <w:rPr>
          <w:rFonts w:hint="eastAsia"/>
          <w:lang w:val="zh-CN" w:eastAsia="zh-CN"/>
        </w:rPr>
        <w:t>无法安排在</w:t>
      </w:r>
      <w:r w:rsidRPr="00DC3162">
        <w:rPr>
          <w:rFonts w:hint="eastAsia"/>
          <w:lang w:val="zh-CN" w:eastAsia="zh-CN"/>
        </w:rPr>
        <w:t>2024</w:t>
      </w:r>
      <w:r w:rsidRPr="00DC3162">
        <w:rPr>
          <w:rFonts w:hint="eastAsia"/>
          <w:lang w:val="zh-CN" w:eastAsia="zh-CN"/>
        </w:rPr>
        <w:t>年</w:t>
      </w:r>
      <w:r>
        <w:rPr>
          <w:rFonts w:hint="eastAsia"/>
          <w:lang w:val="zh-CN" w:eastAsia="zh-CN"/>
        </w:rPr>
        <w:t>举行</w:t>
      </w:r>
      <w:r w:rsidRPr="00DC3162">
        <w:rPr>
          <w:rFonts w:hint="eastAsia"/>
          <w:lang w:val="zh-CN" w:eastAsia="zh-CN"/>
        </w:rPr>
        <w:t>。因此，</w:t>
      </w:r>
      <w:r w:rsidRPr="00DC3162">
        <w:rPr>
          <w:rFonts w:hint="eastAsia"/>
          <w:lang w:val="zh-CN" w:eastAsia="zh-CN"/>
        </w:rPr>
        <w:t>2024</w:t>
      </w:r>
      <w:r w:rsidRPr="00DC3162">
        <w:rPr>
          <w:rFonts w:hint="eastAsia"/>
          <w:lang w:val="zh-CN" w:eastAsia="zh-CN"/>
        </w:rPr>
        <w:t>年预算中为</w:t>
      </w:r>
      <w:r w:rsidRPr="00DC3162">
        <w:rPr>
          <w:rFonts w:hint="eastAsia"/>
          <w:lang w:val="zh-CN" w:eastAsia="zh-CN"/>
        </w:rPr>
        <w:t>RPM</w:t>
      </w:r>
      <w:r w:rsidRPr="00DC3162">
        <w:rPr>
          <w:rFonts w:hint="eastAsia"/>
          <w:lang w:val="zh-CN" w:eastAsia="zh-CN"/>
        </w:rPr>
        <w:t>提供的</w:t>
      </w:r>
      <w:r w:rsidRPr="00DC3162">
        <w:rPr>
          <w:rFonts w:hint="eastAsia"/>
          <w:b/>
          <w:bCs/>
          <w:lang w:val="zh-CN" w:eastAsia="zh-CN"/>
        </w:rPr>
        <w:t>203</w:t>
      </w:r>
      <w:r>
        <w:rPr>
          <w:b/>
          <w:bCs/>
          <w:lang w:val="en-US" w:eastAsia="zh-CN"/>
        </w:rPr>
        <w:t> </w:t>
      </w:r>
      <w:r w:rsidRPr="00DC3162">
        <w:rPr>
          <w:rFonts w:hint="eastAsia"/>
          <w:b/>
          <w:bCs/>
          <w:lang w:val="zh-CN" w:eastAsia="zh-CN"/>
        </w:rPr>
        <w:t>000</w:t>
      </w:r>
      <w:r w:rsidRPr="00DC3162">
        <w:rPr>
          <w:rFonts w:hint="eastAsia"/>
          <w:b/>
          <w:bCs/>
          <w:lang w:val="zh-CN" w:eastAsia="zh-CN"/>
        </w:rPr>
        <w:t>瑞郎</w:t>
      </w:r>
      <w:r>
        <w:rPr>
          <w:rFonts w:hint="eastAsia"/>
          <w:lang w:val="zh-CN" w:eastAsia="zh-CN"/>
        </w:rPr>
        <w:t>的</w:t>
      </w:r>
      <w:r w:rsidRPr="00DC3162">
        <w:rPr>
          <w:rFonts w:hint="eastAsia"/>
          <w:lang w:val="zh-CN" w:eastAsia="zh-CN"/>
        </w:rPr>
        <w:t>资金无法在</w:t>
      </w:r>
      <w:r w:rsidRPr="00DC3162">
        <w:rPr>
          <w:rFonts w:hint="eastAsia"/>
          <w:lang w:val="zh-CN" w:eastAsia="zh-CN"/>
        </w:rPr>
        <w:t>2024</w:t>
      </w:r>
      <w:r w:rsidRPr="00DC3162">
        <w:rPr>
          <w:rFonts w:hint="eastAsia"/>
          <w:lang w:val="zh-CN" w:eastAsia="zh-CN"/>
        </w:rPr>
        <w:t>年使用，这些会议现在将在</w:t>
      </w:r>
      <w:r w:rsidRPr="00DC3162">
        <w:rPr>
          <w:rFonts w:hint="eastAsia"/>
          <w:lang w:val="zh-CN" w:eastAsia="zh-CN"/>
        </w:rPr>
        <w:t>2025</w:t>
      </w:r>
      <w:r w:rsidRPr="00DC3162">
        <w:rPr>
          <w:rFonts w:hint="eastAsia"/>
          <w:lang w:val="zh-CN" w:eastAsia="zh-CN"/>
        </w:rPr>
        <w:t>年举行。秘书处因此建议将这笔支出从</w:t>
      </w:r>
      <w:r w:rsidRPr="00DC3162">
        <w:rPr>
          <w:rFonts w:hint="eastAsia"/>
          <w:lang w:val="zh-CN" w:eastAsia="zh-CN"/>
        </w:rPr>
        <w:t>2024</w:t>
      </w:r>
      <w:r w:rsidRPr="00DC3162">
        <w:rPr>
          <w:rFonts w:hint="eastAsia"/>
          <w:lang w:val="zh-CN" w:eastAsia="zh-CN"/>
        </w:rPr>
        <w:t>年</w:t>
      </w:r>
      <w:r>
        <w:rPr>
          <w:rFonts w:hint="eastAsia"/>
          <w:lang w:val="zh-CN" w:eastAsia="zh-CN"/>
        </w:rPr>
        <w:t>延期至</w:t>
      </w:r>
      <w:r w:rsidRPr="00DC3162">
        <w:rPr>
          <w:rFonts w:hint="eastAsia"/>
          <w:lang w:val="zh-CN" w:eastAsia="zh-CN"/>
        </w:rPr>
        <w:t>2025</w:t>
      </w:r>
      <w:r w:rsidRPr="00DC3162">
        <w:rPr>
          <w:rFonts w:hint="eastAsia"/>
          <w:lang w:val="zh-CN" w:eastAsia="zh-CN"/>
        </w:rPr>
        <w:t>年</w:t>
      </w:r>
      <w:r>
        <w:rPr>
          <w:rFonts w:hint="eastAsia"/>
          <w:lang w:val="zh-CN" w:eastAsia="zh-CN"/>
        </w:rPr>
        <w:t>。</w:t>
      </w:r>
    </w:p>
    <w:p w14:paraId="098AE0DD" w14:textId="77777777" w:rsidR="004D19C9" w:rsidRPr="00D575B0" w:rsidRDefault="004D19C9" w:rsidP="004D19C9">
      <w:pPr>
        <w:pStyle w:val="Heading1"/>
        <w:rPr>
          <w:lang w:eastAsia="zh-CN"/>
        </w:rPr>
      </w:pPr>
      <w:r>
        <w:rPr>
          <w:bCs/>
          <w:lang w:val="zh-CN" w:eastAsia="zh-CN"/>
        </w:rPr>
        <w:lastRenderedPageBreak/>
        <w:t>4</w:t>
      </w:r>
      <w:r>
        <w:rPr>
          <w:bCs/>
          <w:lang w:val="zh-CN" w:eastAsia="zh-CN"/>
        </w:rPr>
        <w:tab/>
      </w:r>
      <w:r>
        <w:rPr>
          <w:rFonts w:hint="eastAsia"/>
          <w:bCs/>
          <w:lang w:val="zh-CN" w:eastAsia="zh-CN"/>
        </w:rPr>
        <w:t>第</w:t>
      </w:r>
      <w:r>
        <w:rPr>
          <w:rFonts w:hint="eastAsia"/>
          <w:bCs/>
          <w:lang w:val="zh-CN" w:eastAsia="zh-CN"/>
        </w:rPr>
        <w:t>198</w:t>
      </w:r>
      <w:r>
        <w:rPr>
          <w:rFonts w:hint="eastAsia"/>
          <w:bCs/>
          <w:lang w:val="zh-CN" w:eastAsia="zh-CN"/>
        </w:rPr>
        <w:t>号</w:t>
      </w:r>
      <w:r>
        <w:rPr>
          <w:lang w:val="zh-CN" w:eastAsia="zh-CN"/>
        </w:rPr>
        <w:t>决议</w:t>
      </w:r>
    </w:p>
    <w:p w14:paraId="2FE13163" w14:textId="7D456D21" w:rsidR="004D19C9" w:rsidRDefault="004D19C9" w:rsidP="004D19C9">
      <w:pPr>
        <w:keepNext/>
        <w:keepLines/>
        <w:ind w:firstLineChars="200" w:firstLine="480"/>
        <w:rPr>
          <w:lang w:eastAsia="zh-CN"/>
        </w:rPr>
      </w:pPr>
      <w:r>
        <w:rPr>
          <w:lang w:val="zh-CN" w:eastAsia="zh-CN"/>
        </w:rPr>
        <w:t>全权代表大会关于通过电信</w:t>
      </w:r>
      <w:r>
        <w:rPr>
          <w:lang w:val="zh-CN" w:eastAsia="zh-CN"/>
        </w:rPr>
        <w:t>/</w:t>
      </w:r>
      <w:r>
        <w:rPr>
          <w:lang w:val="zh-CN" w:eastAsia="zh-CN"/>
        </w:rPr>
        <w:t>信息通信技术赋予青年权能的第</w:t>
      </w:r>
      <w:r>
        <w:rPr>
          <w:lang w:val="zh-CN" w:eastAsia="zh-CN"/>
        </w:rPr>
        <w:t>198</w:t>
      </w:r>
      <w:r>
        <w:rPr>
          <w:lang w:val="zh-CN" w:eastAsia="zh-CN"/>
        </w:rPr>
        <w:t>号决议（</w:t>
      </w:r>
      <w:r>
        <w:rPr>
          <w:lang w:val="zh-CN" w:eastAsia="zh-CN"/>
        </w:rPr>
        <w:t>2022</w:t>
      </w:r>
      <w:r>
        <w:rPr>
          <w:lang w:val="zh-CN" w:eastAsia="zh-CN"/>
        </w:rPr>
        <w:t>年，布加勒斯特，修订版）责成秘书长继续确保将青年视角纳入国际电联的工作计划、管理方法和人力资源开发活动。</w:t>
      </w:r>
      <w:r>
        <w:fldChar w:fldCharType="begin"/>
      </w:r>
      <w:r>
        <w:rPr>
          <w:lang w:eastAsia="zh-CN"/>
        </w:rPr>
        <w:instrText>HYPERLINK "https://www.itu.int/md/S24-CL-C-0031/en" \h</w:instrText>
      </w:r>
      <w:r>
        <w:fldChar w:fldCharType="separate"/>
      </w:r>
      <w:proofErr w:type="spellStart"/>
      <w:r w:rsidRPr="13C483C2">
        <w:rPr>
          <w:rStyle w:val="Hyperlink"/>
          <w:rFonts w:asciiTheme="minorHAnsi" w:hAnsiTheme="minorHAnsi" w:cstheme="minorBidi"/>
          <w:lang w:eastAsia="zh-CN"/>
        </w:rPr>
        <w:t>C24</w:t>
      </w:r>
      <w:proofErr w:type="spellEnd"/>
      <w:r w:rsidRPr="13C483C2">
        <w:rPr>
          <w:rStyle w:val="Hyperlink"/>
          <w:rFonts w:asciiTheme="minorHAnsi" w:hAnsiTheme="minorHAnsi" w:cstheme="minorBidi"/>
          <w:lang w:eastAsia="zh-CN"/>
        </w:rPr>
        <w:t>/31</w:t>
      </w:r>
      <w:r>
        <w:fldChar w:fldCharType="end"/>
      </w:r>
      <w:r>
        <w:rPr>
          <w:lang w:val="zh-CN" w:eastAsia="zh-CN"/>
        </w:rPr>
        <w:t>号文件介绍了由</w:t>
      </w:r>
      <w:r>
        <w:rPr>
          <w:lang w:val="zh-CN" w:eastAsia="zh-CN"/>
        </w:rPr>
        <w:t>2024</w:t>
      </w:r>
      <w:r>
        <w:rPr>
          <w:lang w:val="zh-CN" w:eastAsia="zh-CN"/>
        </w:rPr>
        <w:t>年预算执行节余</w:t>
      </w:r>
      <w:r>
        <w:rPr>
          <w:rFonts w:hint="eastAsia"/>
          <w:lang w:val="zh-CN" w:eastAsia="zh-CN"/>
        </w:rPr>
        <w:t>提供资金、</w:t>
      </w:r>
      <w:r>
        <w:rPr>
          <w:lang w:val="zh-CN" w:eastAsia="zh-CN"/>
        </w:rPr>
        <w:t>拨款</w:t>
      </w:r>
      <w:r w:rsidRPr="00AC4496">
        <w:rPr>
          <w:b/>
          <w:bCs/>
          <w:lang w:val="zh-CN" w:eastAsia="zh-CN"/>
        </w:rPr>
        <w:t>25</w:t>
      </w:r>
      <w:r w:rsidRPr="00AC4496">
        <w:rPr>
          <w:rFonts w:hint="eastAsia"/>
          <w:b/>
          <w:bCs/>
          <w:lang w:val="zh-CN" w:eastAsia="zh-CN"/>
        </w:rPr>
        <w:t>0</w:t>
      </w:r>
      <w:r>
        <w:rPr>
          <w:b/>
          <w:bCs/>
          <w:lang w:val="en-US" w:eastAsia="zh-CN"/>
        </w:rPr>
        <w:t> </w:t>
      </w:r>
      <w:r w:rsidRPr="00AC4496">
        <w:rPr>
          <w:rFonts w:hint="eastAsia"/>
          <w:b/>
          <w:bCs/>
          <w:lang w:val="zh-CN" w:eastAsia="zh-CN"/>
        </w:rPr>
        <w:t>000</w:t>
      </w:r>
      <w:r w:rsidRPr="00AC4496">
        <w:rPr>
          <w:b/>
          <w:bCs/>
          <w:lang w:val="zh-CN" w:eastAsia="zh-CN"/>
        </w:rPr>
        <w:t>瑞郎</w:t>
      </w:r>
      <w:r>
        <w:rPr>
          <w:lang w:val="zh-CN" w:eastAsia="zh-CN"/>
        </w:rPr>
        <w:t>（用于</w:t>
      </w:r>
      <w:r>
        <w:rPr>
          <w:rFonts w:hint="eastAsia"/>
          <w:lang w:val="zh-CN" w:eastAsia="zh-CN"/>
        </w:rPr>
        <w:t>新增一个</w:t>
      </w:r>
      <w:r>
        <w:rPr>
          <w:lang w:val="zh-CN" w:eastAsia="zh-CN"/>
        </w:rPr>
        <w:t>青年专业人员计划（</w:t>
      </w:r>
      <w:r>
        <w:rPr>
          <w:lang w:val="zh-CN" w:eastAsia="zh-CN"/>
        </w:rPr>
        <w:t>YPP</w:t>
      </w:r>
      <w:r>
        <w:rPr>
          <w:lang w:val="zh-CN" w:eastAsia="zh-CN"/>
        </w:rPr>
        <w:t>）职位）的</w:t>
      </w:r>
      <w:r>
        <w:rPr>
          <w:rFonts w:hint="eastAsia"/>
          <w:lang w:val="zh-CN" w:eastAsia="zh-CN"/>
        </w:rPr>
        <w:t>提案</w:t>
      </w:r>
      <w:r>
        <w:rPr>
          <w:lang w:val="zh-CN" w:eastAsia="zh-CN"/>
        </w:rPr>
        <w:t>，理事会</w:t>
      </w:r>
      <w:r>
        <w:rPr>
          <w:lang w:val="zh-CN" w:eastAsia="zh-CN"/>
        </w:rPr>
        <w:t>2024</w:t>
      </w:r>
      <w:r>
        <w:rPr>
          <w:lang w:val="zh-CN" w:eastAsia="zh-CN"/>
        </w:rPr>
        <w:t>年会议将此</w:t>
      </w:r>
      <w:r>
        <w:rPr>
          <w:rFonts w:hint="eastAsia"/>
          <w:lang w:val="zh-CN" w:eastAsia="zh-CN"/>
        </w:rPr>
        <w:t>提案</w:t>
      </w:r>
      <w:r>
        <w:rPr>
          <w:lang w:val="zh-CN" w:eastAsia="zh-CN"/>
        </w:rPr>
        <w:t>记录在案。</w:t>
      </w:r>
    </w:p>
    <w:p w14:paraId="6D307828" w14:textId="77777777" w:rsidR="004D19C9" w:rsidRPr="00D575B0" w:rsidRDefault="004D19C9" w:rsidP="004D19C9">
      <w:pPr>
        <w:pStyle w:val="Heading1"/>
        <w:rPr>
          <w:lang w:eastAsia="zh-CN"/>
        </w:rPr>
      </w:pPr>
      <w:r>
        <w:rPr>
          <w:bCs/>
          <w:lang w:val="zh-CN" w:eastAsia="zh-CN"/>
        </w:rPr>
        <w:t>5</w:t>
      </w:r>
      <w:r>
        <w:rPr>
          <w:bCs/>
          <w:lang w:val="zh-CN" w:eastAsia="zh-CN"/>
        </w:rPr>
        <w:tab/>
      </w:r>
      <w:r>
        <w:rPr>
          <w:bCs/>
          <w:lang w:val="zh-CN" w:eastAsia="zh-CN"/>
        </w:rPr>
        <w:t>为理事会同意但未提供资金的举措供资</w:t>
      </w:r>
    </w:p>
    <w:p w14:paraId="777E8486" w14:textId="77777777" w:rsidR="004D19C9" w:rsidRPr="001F20DA" w:rsidRDefault="004D19C9" w:rsidP="004D19C9">
      <w:pPr>
        <w:ind w:firstLineChars="200" w:firstLine="480"/>
        <w:rPr>
          <w:rFonts w:asciiTheme="minorHAnsi" w:hAnsiTheme="minorHAnsi" w:cstheme="minorBidi"/>
          <w:lang w:eastAsia="zh-CN"/>
        </w:rPr>
      </w:pPr>
      <w:r>
        <w:rPr>
          <w:lang w:val="zh-CN" w:eastAsia="zh-CN"/>
        </w:rPr>
        <w:t>理事会讨论并同意了几项举措，</w:t>
      </w:r>
      <w:r w:rsidRPr="00B13683">
        <w:rPr>
          <w:rFonts w:hint="eastAsia"/>
          <w:lang w:val="zh-CN" w:eastAsia="zh-CN"/>
        </w:rPr>
        <w:t>但</w:t>
      </w:r>
      <w:r>
        <w:rPr>
          <w:rFonts w:hint="eastAsia"/>
          <w:lang w:val="zh-CN" w:eastAsia="zh-CN"/>
        </w:rPr>
        <w:t>须</w:t>
      </w:r>
      <w:r w:rsidRPr="00B13683">
        <w:rPr>
          <w:rFonts w:hint="eastAsia"/>
          <w:lang w:val="zh-CN" w:eastAsia="zh-CN"/>
        </w:rPr>
        <w:t>从盈余中获得资金，详情如下</w:t>
      </w:r>
      <w:r>
        <w:rPr>
          <w:lang w:val="zh-CN" w:eastAsia="zh-CN"/>
        </w:rPr>
        <w:t>。</w:t>
      </w:r>
    </w:p>
    <w:p w14:paraId="4BAEFB65" w14:textId="77777777" w:rsidR="004D19C9" w:rsidRPr="006708CF" w:rsidRDefault="004D19C9" w:rsidP="004D19C9">
      <w:pPr>
        <w:pStyle w:val="Heading2"/>
        <w:rPr>
          <w:lang w:eastAsia="zh-CN"/>
        </w:rPr>
      </w:pPr>
      <w:r>
        <w:rPr>
          <w:bCs/>
          <w:lang w:val="zh-CN" w:eastAsia="zh-CN"/>
        </w:rPr>
        <w:t>5.1</w:t>
      </w:r>
      <w:r>
        <w:rPr>
          <w:lang w:val="zh-CN" w:eastAsia="zh-CN"/>
        </w:rPr>
        <w:tab/>
      </w:r>
      <w:r>
        <w:rPr>
          <w:bCs/>
          <w:lang w:val="zh-CN" w:eastAsia="zh-CN"/>
        </w:rPr>
        <w:t>信息通信技术发展基金（</w:t>
      </w:r>
      <w:r>
        <w:rPr>
          <w:bCs/>
          <w:lang w:val="zh-CN" w:eastAsia="zh-CN"/>
        </w:rPr>
        <w:t>ICT-DF</w:t>
      </w:r>
      <w:r>
        <w:rPr>
          <w:bCs/>
          <w:lang w:val="zh-CN" w:eastAsia="zh-CN"/>
        </w:rPr>
        <w:t>）</w:t>
      </w:r>
    </w:p>
    <w:p w14:paraId="12EF2F21" w14:textId="74A8698A" w:rsidR="004D19C9" w:rsidRDefault="004D19C9" w:rsidP="004D19C9">
      <w:pPr>
        <w:ind w:firstLineChars="200" w:firstLine="480"/>
        <w:rPr>
          <w:rFonts w:asciiTheme="minorHAnsi" w:hAnsiTheme="minorHAnsi" w:cstheme="minorBidi"/>
          <w:b/>
          <w:bCs/>
          <w:lang w:eastAsia="zh-CN"/>
        </w:rPr>
      </w:pPr>
      <w:r>
        <w:rPr>
          <w:lang w:val="zh-CN" w:eastAsia="zh-CN"/>
        </w:rPr>
        <w:t>关于</w:t>
      </w:r>
      <w:r>
        <w:rPr>
          <w:lang w:val="zh-CN" w:eastAsia="zh-CN"/>
        </w:rPr>
        <w:t>1997</w:t>
      </w:r>
      <w:r>
        <w:rPr>
          <w:lang w:val="zh-CN" w:eastAsia="zh-CN"/>
        </w:rPr>
        <w:t>年发起的各项区域性举措，信息通信技术发展基金（</w:t>
      </w:r>
      <w:hyperlink r:id="rId11">
        <w:r w:rsidRPr="13C483C2">
          <w:rPr>
            <w:rFonts w:asciiTheme="minorHAnsi" w:hAnsiTheme="minorHAnsi" w:cstheme="minorBidi"/>
            <w:color w:val="0563C1"/>
            <w:u w:val="single"/>
            <w:lang w:eastAsia="zh-CN"/>
          </w:rPr>
          <w:t>ICT-DF</w:t>
        </w:r>
      </w:hyperlink>
      <w:r>
        <w:rPr>
          <w:lang w:val="zh-CN" w:eastAsia="zh-CN"/>
        </w:rPr>
        <w:t>）支持在与国际电联成员国、部门成员、公共和私营部门、多边组织、基金会、金融机构和发展机构的利益攸关多方伙伴关系</w:t>
      </w:r>
      <w:r>
        <w:rPr>
          <w:rFonts w:hint="eastAsia"/>
          <w:lang w:val="zh-CN" w:eastAsia="zh-CN"/>
        </w:rPr>
        <w:t>的</w:t>
      </w:r>
      <w:r>
        <w:rPr>
          <w:lang w:val="zh-CN" w:eastAsia="zh-CN"/>
        </w:rPr>
        <w:t>基础上实施相关项目。理事会</w:t>
      </w:r>
      <w:r>
        <w:rPr>
          <w:lang w:val="zh-CN" w:eastAsia="zh-CN"/>
        </w:rPr>
        <w:t>2024</w:t>
      </w:r>
      <w:r>
        <w:rPr>
          <w:lang w:val="zh-CN" w:eastAsia="zh-CN"/>
        </w:rPr>
        <w:t>年会议讨论了提供</w:t>
      </w:r>
      <w:r>
        <w:rPr>
          <w:lang w:val="zh-CN" w:eastAsia="zh-CN"/>
        </w:rPr>
        <w:t>ICT</w:t>
      </w:r>
      <w:r>
        <w:rPr>
          <w:lang w:val="zh-CN" w:eastAsia="zh-CN"/>
        </w:rPr>
        <w:t>发展基金补充机制的必要性，在此方面，理事会注意到秘书处在</w:t>
      </w:r>
      <w:hyperlink r:id="rId12">
        <w:proofErr w:type="spellStart"/>
        <w:r w:rsidRPr="13C483C2">
          <w:rPr>
            <w:rStyle w:val="Hyperlink"/>
            <w:rFonts w:asciiTheme="minorHAnsi" w:hAnsiTheme="minorHAnsi" w:cstheme="minorBidi"/>
            <w:lang w:eastAsia="zh-CN"/>
          </w:rPr>
          <w:t>C24</w:t>
        </w:r>
        <w:proofErr w:type="spellEnd"/>
        <w:r w:rsidRPr="13C483C2">
          <w:rPr>
            <w:rStyle w:val="Hyperlink"/>
            <w:rFonts w:asciiTheme="minorHAnsi" w:hAnsiTheme="minorHAnsi" w:cstheme="minorBidi"/>
            <w:lang w:eastAsia="zh-CN"/>
          </w:rPr>
          <w:t>/34(</w:t>
        </w:r>
        <w:proofErr w:type="spellStart"/>
        <w:r w:rsidRPr="13C483C2">
          <w:rPr>
            <w:rStyle w:val="Hyperlink"/>
            <w:rFonts w:asciiTheme="minorHAnsi" w:hAnsiTheme="minorHAnsi" w:cstheme="minorBidi"/>
            <w:lang w:eastAsia="zh-CN"/>
          </w:rPr>
          <w:t>Rev.1</w:t>
        </w:r>
        <w:proofErr w:type="spellEnd"/>
        <w:r w:rsidRPr="13C483C2">
          <w:rPr>
            <w:rStyle w:val="Hyperlink"/>
            <w:rFonts w:asciiTheme="minorHAnsi" w:hAnsiTheme="minorHAnsi" w:cstheme="minorBidi"/>
            <w:lang w:eastAsia="zh-CN"/>
          </w:rPr>
          <w:t>)</w:t>
        </w:r>
      </w:hyperlink>
      <w:r>
        <w:rPr>
          <w:lang w:val="zh-CN" w:eastAsia="zh-CN"/>
        </w:rPr>
        <w:t>号文件中提出的</w:t>
      </w:r>
      <w:r>
        <w:rPr>
          <w:rFonts w:hint="eastAsia"/>
          <w:lang w:val="zh-CN" w:eastAsia="zh-CN"/>
        </w:rPr>
        <w:t>提案</w:t>
      </w:r>
      <w:r>
        <w:rPr>
          <w:lang w:val="zh-CN" w:eastAsia="zh-CN"/>
        </w:rPr>
        <w:t>，即</w:t>
      </w:r>
      <w:r>
        <w:rPr>
          <w:rFonts w:hint="eastAsia"/>
          <w:lang w:val="zh-CN" w:eastAsia="zh-CN"/>
        </w:rPr>
        <w:t>“</w:t>
      </w:r>
      <w:r>
        <w:rPr>
          <w:lang w:val="zh-CN" w:eastAsia="zh-CN"/>
        </w:rPr>
        <w:t>作为补充</w:t>
      </w:r>
      <w:r>
        <w:rPr>
          <w:lang w:val="zh-CN" w:eastAsia="zh-CN"/>
        </w:rPr>
        <w:t>ICT-DF</w:t>
      </w:r>
      <w:r>
        <w:rPr>
          <w:lang w:val="zh-CN" w:eastAsia="zh-CN"/>
        </w:rPr>
        <w:t>的进一步措施，从</w:t>
      </w:r>
      <w:r>
        <w:rPr>
          <w:lang w:val="zh-CN" w:eastAsia="zh-CN"/>
        </w:rPr>
        <w:t>2024</w:t>
      </w:r>
      <w:r>
        <w:rPr>
          <w:lang w:val="zh-CN" w:eastAsia="zh-CN"/>
        </w:rPr>
        <w:t>年起，每年产生的超出预算金额的任何</w:t>
      </w:r>
      <w:r>
        <w:rPr>
          <w:rFonts w:hint="eastAsia"/>
          <w:lang w:val="zh-CN" w:eastAsia="zh-CN"/>
        </w:rPr>
        <w:t>行政运营服务（</w:t>
      </w:r>
      <w:r>
        <w:rPr>
          <w:lang w:val="zh-CN" w:eastAsia="zh-CN"/>
        </w:rPr>
        <w:t>AOS</w:t>
      </w:r>
      <w:r>
        <w:rPr>
          <w:rFonts w:hint="eastAsia"/>
          <w:lang w:val="zh-CN" w:eastAsia="zh-CN"/>
        </w:rPr>
        <w:t>）</w:t>
      </w:r>
      <w:r>
        <w:rPr>
          <w:lang w:val="zh-CN" w:eastAsia="zh-CN"/>
        </w:rPr>
        <w:t>盈余均须存回</w:t>
      </w:r>
      <w:r>
        <w:rPr>
          <w:lang w:val="zh-CN" w:eastAsia="zh-CN"/>
        </w:rPr>
        <w:t>ICT-DF</w:t>
      </w:r>
      <w:r>
        <w:rPr>
          <w:lang w:val="zh-CN" w:eastAsia="zh-CN"/>
        </w:rPr>
        <w:t>资本账户，这些资金的主要</w:t>
      </w:r>
      <w:r>
        <w:rPr>
          <w:rFonts w:hint="eastAsia"/>
          <w:lang w:val="zh-CN" w:eastAsia="zh-CN"/>
        </w:rPr>
        <w:t>用途</w:t>
      </w:r>
      <w:r>
        <w:rPr>
          <w:lang w:val="zh-CN" w:eastAsia="zh-CN"/>
        </w:rPr>
        <w:t>是支持项目的实施</w:t>
      </w:r>
      <w:r>
        <w:rPr>
          <w:rFonts w:hint="eastAsia"/>
          <w:lang w:val="zh-CN" w:eastAsia="zh-CN"/>
        </w:rPr>
        <w:t>”</w:t>
      </w:r>
      <w:r>
        <w:rPr>
          <w:lang w:val="zh-CN" w:eastAsia="zh-CN"/>
        </w:rPr>
        <w:t>。</w:t>
      </w:r>
      <w:r>
        <w:rPr>
          <w:lang w:val="zh-CN" w:eastAsia="zh-CN"/>
        </w:rPr>
        <w:t>2024</w:t>
      </w:r>
      <w:r>
        <w:rPr>
          <w:lang w:val="zh-CN" w:eastAsia="zh-CN"/>
        </w:rPr>
        <w:t>年期间，由于支持成本的回报</w:t>
      </w:r>
      <w:r>
        <w:rPr>
          <w:rFonts w:hint="eastAsia"/>
          <w:lang w:val="zh-CN" w:eastAsia="zh-CN"/>
        </w:rPr>
        <w:t>较高，</w:t>
      </w:r>
      <w:r>
        <w:rPr>
          <w:lang w:val="zh-CN" w:eastAsia="zh-CN"/>
        </w:rPr>
        <w:t>特别是与</w:t>
      </w:r>
      <w:r>
        <w:rPr>
          <w:lang w:val="zh-CN" w:eastAsia="zh-CN"/>
        </w:rPr>
        <w:t>2024</w:t>
      </w:r>
      <w:r>
        <w:rPr>
          <w:lang w:val="zh-CN" w:eastAsia="zh-CN"/>
        </w:rPr>
        <w:t>财年项目</w:t>
      </w:r>
      <w:r>
        <w:rPr>
          <w:rFonts w:hint="eastAsia"/>
          <w:lang w:val="zh-CN" w:eastAsia="zh-CN"/>
        </w:rPr>
        <w:t>的</w:t>
      </w:r>
      <w:r>
        <w:rPr>
          <w:lang w:val="zh-CN" w:eastAsia="zh-CN"/>
        </w:rPr>
        <w:t>实施</w:t>
      </w:r>
      <w:r>
        <w:rPr>
          <w:rFonts w:hint="eastAsia"/>
          <w:lang w:val="zh-CN" w:eastAsia="zh-CN"/>
        </w:rPr>
        <w:t>有关</w:t>
      </w:r>
      <w:r>
        <w:rPr>
          <w:lang w:val="zh-CN" w:eastAsia="zh-CN"/>
        </w:rPr>
        <w:t>，</w:t>
      </w:r>
      <w:r>
        <w:rPr>
          <w:lang w:val="zh-CN" w:eastAsia="zh-CN"/>
        </w:rPr>
        <w:t>AOS</w:t>
      </w:r>
      <w:r>
        <w:rPr>
          <w:lang w:val="zh-CN" w:eastAsia="zh-CN"/>
        </w:rPr>
        <w:t>回收</w:t>
      </w:r>
      <w:r>
        <w:rPr>
          <w:rFonts w:hint="eastAsia"/>
          <w:lang w:val="zh-CN" w:eastAsia="zh-CN"/>
        </w:rPr>
        <w:t>额比</w:t>
      </w:r>
      <w:r>
        <w:rPr>
          <w:lang w:val="zh-CN" w:eastAsia="zh-CN"/>
        </w:rPr>
        <w:t>预算金额超出</w:t>
      </w:r>
      <w:r w:rsidRPr="009F659C">
        <w:rPr>
          <w:b/>
          <w:bCs/>
          <w:lang w:val="zh-CN" w:eastAsia="zh-CN"/>
        </w:rPr>
        <w:t>524</w:t>
      </w:r>
      <w:r>
        <w:rPr>
          <w:b/>
          <w:bCs/>
          <w:lang w:val="en-US" w:eastAsia="zh-CN"/>
        </w:rPr>
        <w:t> </w:t>
      </w:r>
      <w:r w:rsidRPr="009F659C">
        <w:rPr>
          <w:rFonts w:hint="eastAsia"/>
          <w:b/>
          <w:bCs/>
          <w:lang w:val="zh-CN" w:eastAsia="zh-CN"/>
        </w:rPr>
        <w:t>000</w:t>
      </w:r>
      <w:r w:rsidRPr="009F659C">
        <w:rPr>
          <w:b/>
          <w:bCs/>
          <w:lang w:val="zh-CN" w:eastAsia="zh-CN"/>
        </w:rPr>
        <w:t>瑞郎</w:t>
      </w:r>
      <w:r>
        <w:rPr>
          <w:lang w:val="zh-CN" w:eastAsia="zh-CN"/>
        </w:rPr>
        <w:t>。提议并请理事会批准将这笔款项划拨给</w:t>
      </w:r>
      <w:r>
        <w:rPr>
          <w:lang w:val="zh-CN" w:eastAsia="zh-CN"/>
        </w:rPr>
        <w:t>ICT</w:t>
      </w:r>
      <w:r>
        <w:rPr>
          <w:lang w:val="zh-CN" w:eastAsia="zh-CN"/>
        </w:rPr>
        <w:t>发展基金（</w:t>
      </w:r>
      <w:hyperlink r:id="rId13" w:history="1">
        <w:proofErr w:type="spellStart"/>
        <w:r w:rsidRPr="00F20D8A">
          <w:rPr>
            <w:rStyle w:val="Hyperlink"/>
            <w:rFonts w:asciiTheme="minorHAnsi" w:hAnsiTheme="minorHAnsi" w:cstheme="minorBidi"/>
            <w:lang w:eastAsia="zh-CN"/>
          </w:rPr>
          <w:t>C25</w:t>
        </w:r>
        <w:proofErr w:type="spellEnd"/>
        <w:r w:rsidRPr="00F20D8A">
          <w:rPr>
            <w:rStyle w:val="Hyperlink"/>
            <w:rFonts w:asciiTheme="minorHAnsi" w:hAnsiTheme="minorHAnsi" w:cstheme="minorBidi"/>
            <w:lang w:eastAsia="zh-CN"/>
          </w:rPr>
          <w:t>/34</w:t>
        </w:r>
      </w:hyperlink>
      <w:r>
        <w:rPr>
          <w:lang w:val="zh-CN" w:eastAsia="zh-CN"/>
        </w:rPr>
        <w:t>号文件）。</w:t>
      </w:r>
    </w:p>
    <w:p w14:paraId="7CEFCBDE" w14:textId="77777777" w:rsidR="004D19C9" w:rsidRDefault="004D19C9" w:rsidP="004D19C9">
      <w:pPr>
        <w:pStyle w:val="Heading2"/>
        <w:rPr>
          <w:lang w:eastAsia="zh-CN"/>
        </w:rPr>
      </w:pPr>
      <w:r>
        <w:rPr>
          <w:bCs/>
          <w:lang w:val="zh-CN" w:eastAsia="zh-CN"/>
        </w:rPr>
        <w:t>5.2</w:t>
      </w:r>
      <w:r>
        <w:rPr>
          <w:lang w:val="zh-CN" w:eastAsia="zh-CN"/>
        </w:rPr>
        <w:t xml:space="preserve"> </w:t>
      </w:r>
      <w:r>
        <w:rPr>
          <w:lang w:val="zh-CN" w:eastAsia="zh-CN"/>
        </w:rPr>
        <w:tab/>
      </w:r>
      <w:r>
        <w:rPr>
          <w:rFonts w:hint="eastAsia"/>
          <w:bCs/>
          <w:lang w:val="zh-CN" w:eastAsia="zh-CN"/>
        </w:rPr>
        <w:t>国际电联转型举措</w:t>
      </w:r>
    </w:p>
    <w:p w14:paraId="166CFD69" w14:textId="3B2A1389" w:rsidR="004D19C9" w:rsidRPr="006708CF" w:rsidRDefault="004D19C9" w:rsidP="004D19C9">
      <w:pPr>
        <w:ind w:firstLineChars="200" w:firstLine="480"/>
        <w:rPr>
          <w:lang w:eastAsia="zh-CN"/>
        </w:rPr>
      </w:pPr>
      <w:r>
        <w:rPr>
          <w:lang w:val="zh-CN" w:eastAsia="zh-CN"/>
        </w:rPr>
        <w:t>国际电联新网站项目已通过</w:t>
      </w:r>
      <w:r>
        <w:fldChar w:fldCharType="begin"/>
      </w:r>
      <w:r>
        <w:rPr>
          <w:lang w:eastAsia="zh-CN"/>
        </w:rPr>
        <w:instrText>HYPERLINK "https://www.itu.int/md/S24-CL-C-0053/en"</w:instrText>
      </w:r>
      <w:r>
        <w:fldChar w:fldCharType="separate"/>
      </w:r>
      <w:proofErr w:type="spellStart"/>
      <w:r w:rsidRPr="009A5274">
        <w:rPr>
          <w:rStyle w:val="Hyperlink"/>
          <w:lang w:eastAsia="zh-CN"/>
        </w:rPr>
        <w:t>C24</w:t>
      </w:r>
      <w:proofErr w:type="spellEnd"/>
      <w:r w:rsidRPr="009A5274">
        <w:rPr>
          <w:rStyle w:val="Hyperlink"/>
          <w:lang w:eastAsia="zh-CN"/>
        </w:rPr>
        <w:t>/53</w:t>
      </w:r>
      <w:r>
        <w:fldChar w:fldCharType="end"/>
      </w:r>
      <w:r>
        <w:rPr>
          <w:lang w:val="zh-CN" w:eastAsia="zh-CN"/>
        </w:rPr>
        <w:t>号文件提交理事会</w:t>
      </w:r>
      <w:r>
        <w:rPr>
          <w:lang w:val="zh-CN" w:eastAsia="zh-CN"/>
        </w:rPr>
        <w:t>2024</w:t>
      </w:r>
      <w:r>
        <w:rPr>
          <w:lang w:val="zh-CN" w:eastAsia="zh-CN"/>
        </w:rPr>
        <w:t>年会议并获得批准。网站项目的总资金估计为</w:t>
      </w:r>
      <w:r>
        <w:rPr>
          <w:lang w:val="zh-CN" w:eastAsia="zh-CN"/>
        </w:rPr>
        <w:t>60</w:t>
      </w:r>
      <w:r>
        <w:rPr>
          <w:rFonts w:hint="eastAsia"/>
          <w:lang w:val="zh-CN" w:eastAsia="zh-CN"/>
        </w:rPr>
        <w:t>0</w:t>
      </w:r>
      <w:r>
        <w:rPr>
          <w:lang w:val="en-US" w:eastAsia="zh-CN"/>
        </w:rPr>
        <w:t> </w:t>
      </w:r>
      <w:r>
        <w:rPr>
          <w:rFonts w:hint="eastAsia"/>
          <w:lang w:val="zh-CN" w:eastAsia="zh-CN"/>
        </w:rPr>
        <w:t>000</w:t>
      </w:r>
      <w:r>
        <w:rPr>
          <w:lang w:val="zh-CN" w:eastAsia="zh-CN"/>
        </w:rPr>
        <w:t>瑞郎，其中</w:t>
      </w:r>
      <w:r>
        <w:rPr>
          <w:lang w:val="zh-CN" w:eastAsia="zh-CN"/>
        </w:rPr>
        <w:t>35</w:t>
      </w:r>
      <w:r>
        <w:rPr>
          <w:rFonts w:hint="eastAsia"/>
          <w:lang w:val="zh-CN" w:eastAsia="zh-CN"/>
        </w:rPr>
        <w:t>0</w:t>
      </w:r>
      <w:r>
        <w:rPr>
          <w:lang w:val="en-US" w:eastAsia="zh-CN"/>
        </w:rPr>
        <w:t> </w:t>
      </w:r>
      <w:r>
        <w:rPr>
          <w:rFonts w:hint="eastAsia"/>
          <w:lang w:val="zh-CN" w:eastAsia="zh-CN"/>
        </w:rPr>
        <w:t>000</w:t>
      </w:r>
      <w:r>
        <w:rPr>
          <w:lang w:val="zh-CN" w:eastAsia="zh-CN"/>
        </w:rPr>
        <w:t>瑞</w:t>
      </w:r>
      <w:proofErr w:type="gramStart"/>
      <w:r>
        <w:rPr>
          <w:lang w:val="zh-CN" w:eastAsia="zh-CN"/>
        </w:rPr>
        <w:t>郎来自</w:t>
      </w:r>
      <w:proofErr w:type="gramEnd"/>
      <w:r>
        <w:rPr>
          <w:lang w:val="zh-CN" w:eastAsia="zh-CN"/>
        </w:rPr>
        <w:t>2023</w:t>
      </w:r>
      <w:r>
        <w:rPr>
          <w:lang w:val="zh-CN" w:eastAsia="zh-CN"/>
        </w:rPr>
        <w:t>年产生的节余，</w:t>
      </w:r>
      <w:r>
        <w:rPr>
          <w:rFonts w:hint="eastAsia"/>
          <w:lang w:val="zh-CN" w:eastAsia="zh-CN"/>
        </w:rPr>
        <w:t>作为</w:t>
      </w:r>
      <w:r>
        <w:rPr>
          <w:lang w:val="zh-CN" w:eastAsia="zh-CN"/>
        </w:rPr>
        <w:t>国际电联转型举措的一部分。关于这些资金使用情况的报告</w:t>
      </w:r>
      <w:r w:rsidRPr="00B2602B">
        <w:rPr>
          <w:rFonts w:hint="eastAsia"/>
          <w:lang w:val="zh-CN" w:eastAsia="zh-CN"/>
        </w:rPr>
        <w:t>已</w:t>
      </w:r>
      <w:r>
        <w:rPr>
          <w:lang w:val="zh-CN" w:eastAsia="zh-CN"/>
        </w:rPr>
        <w:t>作为</w:t>
      </w:r>
      <w:hyperlink r:id="rId14" w:history="1">
        <w:proofErr w:type="spellStart"/>
        <w:r w:rsidRPr="003F02FC">
          <w:rPr>
            <w:rStyle w:val="Hyperlink"/>
            <w:lang w:eastAsia="zh-CN"/>
          </w:rPr>
          <w:t>C25</w:t>
        </w:r>
        <w:proofErr w:type="spellEnd"/>
        <w:r w:rsidRPr="003F02FC">
          <w:rPr>
            <w:rStyle w:val="Hyperlink"/>
            <w:lang w:eastAsia="zh-CN"/>
          </w:rPr>
          <w:t>/55</w:t>
        </w:r>
      </w:hyperlink>
      <w:r>
        <w:rPr>
          <w:lang w:val="zh-CN" w:eastAsia="zh-CN"/>
        </w:rPr>
        <w:t>号文件提交给理事会，在发布项目第一阶段的招标书方面取得了进展。秘书处现请求理事会批准从</w:t>
      </w:r>
      <w:r>
        <w:rPr>
          <w:lang w:val="zh-CN" w:eastAsia="zh-CN"/>
        </w:rPr>
        <w:t>2024</w:t>
      </w:r>
      <w:r>
        <w:rPr>
          <w:lang w:val="zh-CN" w:eastAsia="zh-CN"/>
        </w:rPr>
        <w:t>年盈余中向网站项目划拨额外资金，</w:t>
      </w:r>
      <w:r w:rsidRPr="00B2602B">
        <w:rPr>
          <w:rFonts w:hint="eastAsia"/>
          <w:lang w:val="zh-CN" w:eastAsia="zh-CN"/>
        </w:rPr>
        <w:t>数额为</w:t>
      </w:r>
      <w:r>
        <w:rPr>
          <w:lang w:val="zh-CN" w:eastAsia="zh-CN"/>
        </w:rPr>
        <w:t>提供</w:t>
      </w:r>
      <w:r>
        <w:rPr>
          <w:rFonts w:hint="eastAsia"/>
          <w:lang w:val="zh-CN" w:eastAsia="zh-CN"/>
        </w:rPr>
        <w:t>估计</w:t>
      </w:r>
      <w:r>
        <w:rPr>
          <w:lang w:val="zh-CN" w:eastAsia="zh-CN"/>
        </w:rPr>
        <w:t>预算所需资金的剩余</w:t>
      </w:r>
      <w:r w:rsidRPr="00B2602B">
        <w:rPr>
          <w:rFonts w:hint="eastAsia"/>
          <w:b/>
          <w:bCs/>
          <w:lang w:val="zh-CN" w:eastAsia="zh-CN"/>
        </w:rPr>
        <w:t>250</w:t>
      </w:r>
      <w:r>
        <w:rPr>
          <w:b/>
          <w:bCs/>
          <w:lang w:val="en-US" w:eastAsia="zh-CN"/>
        </w:rPr>
        <w:t> </w:t>
      </w:r>
      <w:r w:rsidRPr="00B2602B">
        <w:rPr>
          <w:rFonts w:hint="eastAsia"/>
          <w:b/>
          <w:bCs/>
          <w:lang w:val="zh-CN" w:eastAsia="zh-CN"/>
        </w:rPr>
        <w:t>000</w:t>
      </w:r>
      <w:r w:rsidRPr="00B2602B">
        <w:rPr>
          <w:b/>
          <w:bCs/>
          <w:lang w:val="zh-CN" w:eastAsia="zh-CN"/>
        </w:rPr>
        <w:t>瑞郎</w:t>
      </w:r>
      <w:r>
        <w:rPr>
          <w:lang w:val="zh-CN" w:eastAsia="zh-CN"/>
        </w:rPr>
        <w:t>。</w:t>
      </w:r>
    </w:p>
    <w:p w14:paraId="6E425F10" w14:textId="77777777" w:rsidR="004D19C9" w:rsidRDefault="004D19C9" w:rsidP="004D19C9">
      <w:pPr>
        <w:pStyle w:val="Heading2"/>
        <w:rPr>
          <w:lang w:eastAsia="zh-CN"/>
        </w:rPr>
      </w:pPr>
      <w:r>
        <w:rPr>
          <w:bCs/>
          <w:lang w:val="zh-CN" w:eastAsia="zh-CN"/>
        </w:rPr>
        <w:t>5.3</w:t>
      </w:r>
      <w:r>
        <w:rPr>
          <w:lang w:val="zh-CN" w:eastAsia="zh-CN"/>
        </w:rPr>
        <w:t xml:space="preserve"> </w:t>
      </w:r>
      <w:r>
        <w:rPr>
          <w:lang w:val="zh-CN" w:eastAsia="zh-CN"/>
        </w:rPr>
        <w:tab/>
      </w:r>
      <w:r>
        <w:rPr>
          <w:bCs/>
          <w:lang w:val="zh-CN" w:eastAsia="zh-CN"/>
        </w:rPr>
        <w:t>国际电联人工智能相关举措</w:t>
      </w:r>
    </w:p>
    <w:p w14:paraId="0345D251" w14:textId="77777777" w:rsidR="004D19C9" w:rsidRPr="00B53FA5" w:rsidRDefault="004D19C9" w:rsidP="004D19C9">
      <w:pPr>
        <w:ind w:firstLineChars="200" w:firstLine="480"/>
        <w:rPr>
          <w:rFonts w:asciiTheme="minorHAnsi" w:hAnsiTheme="minorHAnsi" w:cstheme="minorHAnsi"/>
          <w:b/>
          <w:bCs/>
          <w:szCs w:val="24"/>
          <w:lang w:eastAsia="zh-CN"/>
        </w:rPr>
      </w:pPr>
      <w:r w:rsidRPr="00B2602B">
        <w:rPr>
          <w:rFonts w:hint="eastAsia"/>
          <w:lang w:val="zh-CN" w:eastAsia="zh-CN"/>
        </w:rPr>
        <w:t>自</w:t>
      </w:r>
      <w:r w:rsidRPr="00B2602B">
        <w:rPr>
          <w:rFonts w:hint="eastAsia"/>
          <w:lang w:val="zh-CN" w:eastAsia="zh-CN"/>
        </w:rPr>
        <w:t>2017</w:t>
      </w:r>
      <w:r w:rsidRPr="00B2602B">
        <w:rPr>
          <w:rFonts w:hint="eastAsia"/>
          <w:lang w:val="zh-CN" w:eastAsia="zh-CN"/>
        </w:rPr>
        <w:t>年以来，国际电</w:t>
      </w:r>
      <w:proofErr w:type="gramStart"/>
      <w:r w:rsidRPr="00B2602B">
        <w:rPr>
          <w:rFonts w:hint="eastAsia"/>
          <w:lang w:val="zh-CN" w:eastAsia="zh-CN"/>
        </w:rPr>
        <w:t>联一直</w:t>
      </w:r>
      <w:proofErr w:type="gramEnd"/>
      <w:r w:rsidRPr="00B2602B">
        <w:rPr>
          <w:rFonts w:hint="eastAsia"/>
          <w:lang w:val="zh-CN" w:eastAsia="zh-CN"/>
        </w:rPr>
        <w:t>在</w:t>
      </w:r>
      <w:r>
        <w:rPr>
          <w:rFonts w:hint="eastAsia"/>
          <w:lang w:val="zh-CN" w:eastAsia="zh-CN"/>
        </w:rPr>
        <w:t>实施</w:t>
      </w:r>
      <w:r w:rsidRPr="00B2602B">
        <w:rPr>
          <w:rFonts w:hint="eastAsia"/>
          <w:lang w:val="zh-CN" w:eastAsia="zh-CN"/>
        </w:rPr>
        <w:t>一项雄心勃勃的人工智能（</w:t>
      </w:r>
      <w:r w:rsidRPr="00B2602B">
        <w:rPr>
          <w:rFonts w:hint="eastAsia"/>
          <w:lang w:val="zh-CN" w:eastAsia="zh-CN"/>
        </w:rPr>
        <w:t>AI</w:t>
      </w:r>
      <w:r w:rsidRPr="00B2602B">
        <w:rPr>
          <w:rFonts w:hint="eastAsia"/>
          <w:lang w:val="zh-CN" w:eastAsia="zh-CN"/>
        </w:rPr>
        <w:t>）计划，该计划以</w:t>
      </w:r>
      <w:r>
        <w:rPr>
          <w:lang w:val="zh-CN" w:eastAsia="zh-CN"/>
        </w:rPr>
        <w:t>全权代表大会第</w:t>
      </w:r>
      <w:r>
        <w:rPr>
          <w:lang w:val="zh-CN" w:eastAsia="zh-CN"/>
        </w:rPr>
        <w:t>214</w:t>
      </w:r>
      <w:r>
        <w:rPr>
          <w:lang w:val="zh-CN" w:eastAsia="zh-CN"/>
        </w:rPr>
        <w:t>号决议（</w:t>
      </w:r>
      <w:r>
        <w:rPr>
          <w:lang w:val="zh-CN" w:eastAsia="zh-CN"/>
        </w:rPr>
        <w:t>2022</w:t>
      </w:r>
      <w:r>
        <w:rPr>
          <w:lang w:val="zh-CN" w:eastAsia="zh-CN"/>
        </w:rPr>
        <w:t>年，布加勒斯特）</w:t>
      </w:r>
      <w:r w:rsidRPr="00B2602B">
        <w:rPr>
          <w:rFonts w:hint="eastAsia"/>
          <w:lang w:val="zh-CN" w:eastAsia="zh-CN"/>
        </w:rPr>
        <w:t>为指导，</w:t>
      </w:r>
      <w:r>
        <w:rPr>
          <w:lang w:val="zh-CN" w:eastAsia="zh-CN"/>
        </w:rPr>
        <w:t>同时得益于具有里程碑意义的联合国大会新的第</w:t>
      </w:r>
      <w:r>
        <w:rPr>
          <w:lang w:val="zh-CN" w:eastAsia="zh-CN"/>
        </w:rPr>
        <w:t>A/78/L.49</w:t>
      </w:r>
      <w:r>
        <w:rPr>
          <w:lang w:val="zh-CN" w:eastAsia="zh-CN"/>
        </w:rPr>
        <w:t>号决议的</w:t>
      </w:r>
      <w:r>
        <w:rPr>
          <w:rFonts w:hint="eastAsia"/>
          <w:lang w:val="zh-CN" w:eastAsia="zh-CN"/>
        </w:rPr>
        <w:t>加持。</w:t>
      </w:r>
    </w:p>
    <w:p w14:paraId="28A21750" w14:textId="77777777" w:rsidR="004D19C9" w:rsidRPr="00B53FA5" w:rsidRDefault="004D19C9" w:rsidP="004D19C9">
      <w:pPr>
        <w:ind w:firstLineChars="200" w:firstLine="480"/>
        <w:rPr>
          <w:rFonts w:asciiTheme="minorHAnsi" w:eastAsia="Calibri Light" w:hAnsiTheme="minorHAnsi" w:cstheme="minorHAnsi"/>
          <w:color w:val="000000" w:themeColor="text1"/>
          <w:szCs w:val="24"/>
          <w:lang w:eastAsia="zh-CN"/>
        </w:rPr>
      </w:pPr>
      <w:r>
        <w:rPr>
          <w:lang w:val="zh-CN" w:eastAsia="zh-CN"/>
        </w:rPr>
        <w:t>这些工作直接支持</w:t>
      </w:r>
      <w:r>
        <w:rPr>
          <w:lang w:val="zh-CN" w:eastAsia="zh-CN"/>
        </w:rPr>
        <w:t>WTSA-24</w:t>
      </w:r>
      <w:r>
        <w:rPr>
          <w:lang w:val="zh-CN" w:eastAsia="zh-CN"/>
        </w:rPr>
        <w:t>通过的第</w:t>
      </w:r>
      <w:r>
        <w:rPr>
          <w:lang w:val="zh-CN" w:eastAsia="zh-CN"/>
        </w:rPr>
        <w:t>101</w:t>
      </w:r>
      <w:r>
        <w:rPr>
          <w:lang w:val="zh-CN" w:eastAsia="zh-CN"/>
        </w:rPr>
        <w:t>号决议，该决议鼓励继续支持人工智能</w:t>
      </w:r>
      <w:r>
        <w:rPr>
          <w:rFonts w:hint="eastAsia"/>
          <w:lang w:val="zh-CN" w:eastAsia="zh-CN"/>
        </w:rPr>
        <w:t>向善</w:t>
      </w:r>
      <w:r>
        <w:rPr>
          <w:lang w:val="zh-CN" w:eastAsia="zh-CN"/>
        </w:rPr>
        <w:t>平台，加强在人工智能能力建设以及标准制定和协调方面的国际合作。</w:t>
      </w:r>
      <w:r w:rsidRPr="00311E3E">
        <w:rPr>
          <w:rFonts w:hint="eastAsia"/>
          <w:lang w:val="zh-CN" w:eastAsia="zh-CN"/>
        </w:rPr>
        <w:t>这些活动也反映了《全球数字契约》关于人工智能的建议得到了迅速落实</w:t>
      </w:r>
      <w:r>
        <w:rPr>
          <w:rFonts w:hint="eastAsia"/>
          <w:lang w:val="zh-CN" w:eastAsia="zh-CN"/>
        </w:rPr>
        <w:t>。</w:t>
      </w:r>
    </w:p>
    <w:p w14:paraId="6D652025" w14:textId="77777777" w:rsidR="004D19C9" w:rsidRPr="00B53FA5" w:rsidRDefault="004D19C9" w:rsidP="00482741">
      <w:pPr>
        <w:keepNext/>
        <w:keepLines/>
        <w:ind w:firstLineChars="200" w:firstLine="480"/>
        <w:rPr>
          <w:rFonts w:asciiTheme="minorHAnsi" w:eastAsia="Calibri Light" w:hAnsiTheme="minorHAnsi" w:cstheme="minorHAnsi"/>
          <w:szCs w:val="24"/>
          <w:lang w:eastAsia="zh-CN"/>
        </w:rPr>
      </w:pPr>
      <w:r>
        <w:rPr>
          <w:lang w:val="zh-CN" w:eastAsia="zh-CN"/>
        </w:rPr>
        <w:lastRenderedPageBreak/>
        <w:t>随着需求的不断增长，国际电</w:t>
      </w:r>
      <w:proofErr w:type="gramStart"/>
      <w:r>
        <w:rPr>
          <w:lang w:val="zh-CN" w:eastAsia="zh-CN"/>
        </w:rPr>
        <w:t>联看到</w:t>
      </w:r>
      <w:proofErr w:type="gramEnd"/>
      <w:r>
        <w:rPr>
          <w:lang w:val="zh-CN" w:eastAsia="zh-CN"/>
        </w:rPr>
        <w:t>对国家和区域性人工智能</w:t>
      </w:r>
      <w:r>
        <w:rPr>
          <w:rFonts w:hint="eastAsia"/>
          <w:lang w:val="zh-CN" w:eastAsia="zh-CN"/>
        </w:rPr>
        <w:t>向善</w:t>
      </w:r>
      <w:r>
        <w:rPr>
          <w:lang w:val="zh-CN" w:eastAsia="zh-CN"/>
        </w:rPr>
        <w:t>活动以及人工智能相关能力建设项目的需求越来越多。这些请求来自成员国、区域代表处和外部伙伴，增加了国际电</w:t>
      </w:r>
      <w:proofErr w:type="gramStart"/>
      <w:r>
        <w:rPr>
          <w:lang w:val="zh-CN" w:eastAsia="zh-CN"/>
        </w:rPr>
        <w:t>联现有</w:t>
      </w:r>
      <w:proofErr w:type="gramEnd"/>
      <w:r>
        <w:rPr>
          <w:lang w:val="zh-CN" w:eastAsia="zh-CN"/>
        </w:rPr>
        <w:t>资源的压力。</w:t>
      </w:r>
    </w:p>
    <w:p w14:paraId="5B8F123E" w14:textId="5C53041D" w:rsidR="004D19C9" w:rsidRPr="00B53FA5" w:rsidRDefault="004D19C9" w:rsidP="004D19C9">
      <w:pPr>
        <w:keepNext/>
        <w:keepLines/>
        <w:ind w:firstLineChars="200" w:firstLine="480"/>
        <w:rPr>
          <w:rFonts w:asciiTheme="minorHAnsi" w:eastAsia="Calibri Light" w:hAnsiTheme="minorHAnsi" w:cstheme="minorHAnsi"/>
          <w:szCs w:val="24"/>
          <w:lang w:eastAsia="zh-CN"/>
        </w:rPr>
      </w:pPr>
      <w:r>
        <w:rPr>
          <w:lang w:val="zh-CN" w:eastAsia="zh-CN"/>
        </w:rPr>
        <w:t>有鉴于此，国际电联提议从</w:t>
      </w:r>
      <w:r>
        <w:rPr>
          <w:lang w:val="zh-CN" w:eastAsia="zh-CN"/>
        </w:rPr>
        <w:t>2024</w:t>
      </w:r>
      <w:r>
        <w:rPr>
          <w:lang w:val="zh-CN" w:eastAsia="zh-CN"/>
        </w:rPr>
        <w:t>年节余中拨款</w:t>
      </w:r>
      <w:r w:rsidRPr="00311E3E">
        <w:rPr>
          <w:b/>
          <w:bCs/>
          <w:lang w:val="zh-CN" w:eastAsia="zh-CN"/>
        </w:rPr>
        <w:t>50</w:t>
      </w:r>
      <w:r w:rsidRPr="00311E3E">
        <w:rPr>
          <w:rFonts w:hint="eastAsia"/>
          <w:b/>
          <w:bCs/>
          <w:lang w:val="zh-CN" w:eastAsia="zh-CN"/>
        </w:rPr>
        <w:t>0</w:t>
      </w:r>
      <w:r>
        <w:rPr>
          <w:b/>
          <w:bCs/>
          <w:lang w:val="en-US" w:eastAsia="zh-CN"/>
        </w:rPr>
        <w:t> </w:t>
      </w:r>
      <w:r w:rsidRPr="00311E3E">
        <w:rPr>
          <w:rFonts w:hint="eastAsia"/>
          <w:b/>
          <w:bCs/>
          <w:lang w:val="zh-CN" w:eastAsia="zh-CN"/>
        </w:rPr>
        <w:t>000</w:t>
      </w:r>
      <w:r w:rsidRPr="00311E3E">
        <w:rPr>
          <w:b/>
          <w:bCs/>
          <w:lang w:val="zh-CN" w:eastAsia="zh-CN"/>
        </w:rPr>
        <w:t>瑞郎</w:t>
      </w:r>
      <w:r>
        <w:rPr>
          <w:lang w:val="zh-CN" w:eastAsia="zh-CN"/>
        </w:rPr>
        <w:t>，用于设立一个基金，支持国际电联总秘书处和电信标准化局开展的人工智能相关举措。</w:t>
      </w:r>
    </w:p>
    <w:p w14:paraId="1ABBB675" w14:textId="77777777" w:rsidR="004D19C9" w:rsidRPr="00B53FA5" w:rsidRDefault="004D19C9" w:rsidP="004D19C9">
      <w:pPr>
        <w:ind w:firstLineChars="200" w:firstLine="480"/>
        <w:rPr>
          <w:rFonts w:asciiTheme="minorHAnsi" w:eastAsia="Calibri Light" w:hAnsiTheme="minorHAnsi" w:cstheme="minorHAnsi"/>
          <w:szCs w:val="24"/>
          <w:lang w:eastAsia="zh-CN"/>
        </w:rPr>
      </w:pPr>
      <w:r>
        <w:rPr>
          <w:lang w:val="zh-CN" w:eastAsia="zh-CN"/>
        </w:rPr>
        <w:t>申请的资金将用于支付制作、顾问、与会补贴、研究、用于挑战赛的网络和软件工具、旅行、租赁和后勤费用。</w:t>
      </w:r>
    </w:p>
    <w:p w14:paraId="2E53697E" w14:textId="77777777" w:rsidR="004D19C9" w:rsidRDefault="004D19C9" w:rsidP="004D19C9">
      <w:pPr>
        <w:pStyle w:val="Heading2"/>
        <w:rPr>
          <w:lang w:eastAsia="zh-CN"/>
        </w:rPr>
      </w:pPr>
      <w:r>
        <w:rPr>
          <w:bCs/>
          <w:lang w:val="zh-CN" w:eastAsia="zh-CN"/>
        </w:rPr>
        <w:t>5.4</w:t>
      </w:r>
      <w:r>
        <w:rPr>
          <w:lang w:val="zh-CN" w:eastAsia="zh-CN"/>
        </w:rPr>
        <w:tab/>
      </w:r>
      <w:r>
        <w:rPr>
          <w:bCs/>
          <w:lang w:val="zh-CN" w:eastAsia="zh-CN"/>
        </w:rPr>
        <w:t>WTPF</w:t>
      </w:r>
    </w:p>
    <w:p w14:paraId="5102C916" w14:textId="420235E0" w:rsidR="004D19C9" w:rsidRPr="00EC26F8" w:rsidRDefault="004D19C9" w:rsidP="004D19C9">
      <w:pPr>
        <w:ind w:firstLineChars="200" w:firstLine="480"/>
        <w:rPr>
          <w:rFonts w:asciiTheme="minorHAnsi" w:hAnsiTheme="minorHAnsi" w:cstheme="minorHAnsi"/>
          <w:szCs w:val="24"/>
          <w:lang w:eastAsia="zh-CN"/>
        </w:rPr>
      </w:pPr>
      <w:r>
        <w:rPr>
          <w:lang w:val="zh-CN" w:eastAsia="zh-CN"/>
        </w:rPr>
        <w:t>全权代表大会（</w:t>
      </w:r>
      <w:r>
        <w:rPr>
          <w:lang w:val="zh-CN" w:eastAsia="zh-CN"/>
        </w:rPr>
        <w:t>2022</w:t>
      </w:r>
      <w:r>
        <w:rPr>
          <w:lang w:val="zh-CN" w:eastAsia="zh-CN"/>
        </w:rPr>
        <w:t>年，布加勒斯特）责成理事会在</w:t>
      </w:r>
      <w:r>
        <w:rPr>
          <w:lang w:val="zh-CN" w:eastAsia="zh-CN"/>
        </w:rPr>
        <w:t>2026</w:t>
      </w:r>
      <w:r>
        <w:rPr>
          <w:lang w:val="zh-CN" w:eastAsia="zh-CN"/>
        </w:rPr>
        <w:t>年安排举办世界电信</w:t>
      </w:r>
      <w:r>
        <w:rPr>
          <w:lang w:val="zh-CN" w:eastAsia="zh-CN"/>
        </w:rPr>
        <w:t>/</w:t>
      </w:r>
      <w:r>
        <w:rPr>
          <w:lang w:val="zh-CN" w:eastAsia="zh-CN"/>
        </w:rPr>
        <w:t>信息通信技术政策论坛（</w:t>
      </w:r>
      <w:r>
        <w:rPr>
          <w:lang w:val="zh-CN" w:eastAsia="zh-CN"/>
        </w:rPr>
        <w:t>WTPF</w:t>
      </w:r>
      <w:r>
        <w:rPr>
          <w:lang w:val="zh-CN" w:eastAsia="zh-CN"/>
        </w:rPr>
        <w:t>）。秘书处提议拨款</w:t>
      </w:r>
      <w:r w:rsidRPr="00020FC7">
        <w:rPr>
          <w:rFonts w:hint="eastAsia"/>
          <w:b/>
          <w:bCs/>
          <w:lang w:val="zh-CN" w:eastAsia="zh-CN"/>
        </w:rPr>
        <w:t>180</w:t>
      </w:r>
      <w:r>
        <w:rPr>
          <w:b/>
          <w:bCs/>
          <w:lang w:val="en-US" w:eastAsia="zh-CN"/>
        </w:rPr>
        <w:t> </w:t>
      </w:r>
      <w:r w:rsidRPr="00020FC7">
        <w:rPr>
          <w:rFonts w:hint="eastAsia"/>
          <w:b/>
          <w:bCs/>
          <w:lang w:val="zh-CN" w:eastAsia="zh-CN"/>
        </w:rPr>
        <w:t>000</w:t>
      </w:r>
      <w:r w:rsidRPr="00020FC7">
        <w:rPr>
          <w:b/>
          <w:bCs/>
          <w:lang w:val="zh-CN" w:eastAsia="zh-CN"/>
        </w:rPr>
        <w:t>瑞郎</w:t>
      </w:r>
      <w:r>
        <w:rPr>
          <w:lang w:val="zh-CN" w:eastAsia="zh-CN"/>
        </w:rPr>
        <w:t>，用于聘用一名补充工作人员，</w:t>
      </w:r>
      <w:r w:rsidRPr="00020FC7">
        <w:rPr>
          <w:rFonts w:hint="eastAsia"/>
          <w:lang w:val="zh-CN" w:eastAsia="zh-CN"/>
        </w:rPr>
        <w:t>为</w:t>
      </w:r>
      <w:r>
        <w:rPr>
          <w:lang w:val="zh-CN" w:eastAsia="zh-CN"/>
        </w:rPr>
        <w:t>筹备和主办</w:t>
      </w:r>
      <w:r>
        <w:rPr>
          <w:lang w:val="zh-CN" w:eastAsia="zh-CN"/>
        </w:rPr>
        <w:t>WTPF</w:t>
      </w:r>
      <w:r w:rsidRPr="00020FC7">
        <w:rPr>
          <w:rFonts w:hint="eastAsia"/>
          <w:lang w:val="zh-CN" w:eastAsia="zh-CN"/>
        </w:rPr>
        <w:t>提供支持</w:t>
      </w:r>
      <w:r>
        <w:rPr>
          <w:lang w:val="zh-CN" w:eastAsia="zh-CN"/>
        </w:rPr>
        <w:t>（</w:t>
      </w:r>
      <w:hyperlink r:id="rId15" w:history="1">
        <w:proofErr w:type="spellStart"/>
        <w:r w:rsidRPr="0044361F">
          <w:rPr>
            <w:rStyle w:val="Hyperlink"/>
            <w:rFonts w:asciiTheme="minorHAnsi" w:hAnsiTheme="minorHAnsi" w:cstheme="minorHAnsi"/>
            <w:szCs w:val="24"/>
            <w:lang w:eastAsia="zh-CN"/>
          </w:rPr>
          <w:t>C25</w:t>
        </w:r>
        <w:proofErr w:type="spellEnd"/>
        <w:r w:rsidRPr="0044361F">
          <w:rPr>
            <w:rStyle w:val="Hyperlink"/>
            <w:rFonts w:asciiTheme="minorHAnsi" w:hAnsiTheme="minorHAnsi" w:cstheme="minorHAnsi"/>
            <w:szCs w:val="24"/>
            <w:lang w:eastAsia="zh-CN"/>
          </w:rPr>
          <w:t>/19</w:t>
        </w:r>
      </w:hyperlink>
      <w:r>
        <w:rPr>
          <w:lang w:val="zh-CN" w:eastAsia="zh-CN"/>
        </w:rPr>
        <w:t>号文件）。</w:t>
      </w:r>
    </w:p>
    <w:p w14:paraId="72E92150" w14:textId="77777777" w:rsidR="004D19C9" w:rsidRPr="00EC26F8" w:rsidRDefault="004D19C9" w:rsidP="004D19C9">
      <w:pPr>
        <w:ind w:firstLineChars="200" w:firstLine="480"/>
        <w:rPr>
          <w:rFonts w:asciiTheme="minorHAnsi" w:eastAsia="Aptos" w:hAnsiTheme="minorHAnsi" w:cstheme="minorBidi"/>
          <w:lang w:eastAsia="zh-CN"/>
        </w:rPr>
      </w:pPr>
      <w:r>
        <w:rPr>
          <w:lang w:val="zh-CN" w:eastAsia="zh-CN"/>
        </w:rPr>
        <w:t>该工作人员将在筹备世界电信</w:t>
      </w:r>
      <w:r>
        <w:rPr>
          <w:lang w:val="zh-CN" w:eastAsia="zh-CN"/>
        </w:rPr>
        <w:t>/ICT</w:t>
      </w:r>
      <w:r>
        <w:rPr>
          <w:lang w:val="zh-CN" w:eastAsia="zh-CN"/>
        </w:rPr>
        <w:t>政策论坛（</w:t>
      </w:r>
      <w:r>
        <w:rPr>
          <w:lang w:val="zh-CN" w:eastAsia="zh-CN"/>
        </w:rPr>
        <w:t>WTPF</w:t>
      </w:r>
      <w:r>
        <w:rPr>
          <w:lang w:val="zh-CN" w:eastAsia="zh-CN"/>
        </w:rPr>
        <w:t>）</w:t>
      </w:r>
      <w:r w:rsidRPr="0025494C">
        <w:rPr>
          <w:rFonts w:hint="eastAsia"/>
          <w:lang w:val="zh-CN" w:eastAsia="zh-CN"/>
        </w:rPr>
        <w:t>的筹备过程中</w:t>
      </w:r>
      <w:r>
        <w:rPr>
          <w:lang w:val="zh-CN" w:eastAsia="zh-CN"/>
        </w:rPr>
        <w:t>向秘书处提供关键支持，重点支持非正式专家组（</w:t>
      </w:r>
      <w:r>
        <w:rPr>
          <w:lang w:val="zh-CN" w:eastAsia="zh-CN"/>
        </w:rPr>
        <w:t>IEG</w:t>
      </w:r>
      <w:r>
        <w:rPr>
          <w:lang w:val="zh-CN" w:eastAsia="zh-CN"/>
        </w:rPr>
        <w:t>）和</w:t>
      </w:r>
      <w:r>
        <w:rPr>
          <w:lang w:val="zh-CN" w:eastAsia="zh-CN"/>
        </w:rPr>
        <w:t>WTPF</w:t>
      </w:r>
      <w:r>
        <w:rPr>
          <w:lang w:val="zh-CN" w:eastAsia="zh-CN"/>
        </w:rPr>
        <w:t>本身的工作。这包括协助拟定秘书长提交</w:t>
      </w:r>
      <w:r>
        <w:rPr>
          <w:lang w:val="zh-CN" w:eastAsia="zh-CN"/>
        </w:rPr>
        <w:t>IEG</w:t>
      </w:r>
      <w:r>
        <w:rPr>
          <w:lang w:val="zh-CN" w:eastAsia="zh-CN"/>
        </w:rPr>
        <w:t>报告的多份草案</w:t>
      </w:r>
      <w:r>
        <w:rPr>
          <w:rFonts w:hint="eastAsia"/>
          <w:lang w:val="zh-CN" w:eastAsia="zh-CN"/>
        </w:rPr>
        <w:t>；</w:t>
      </w:r>
      <w:r>
        <w:rPr>
          <w:lang w:val="zh-CN" w:eastAsia="zh-CN"/>
        </w:rPr>
        <w:t>编写报告、简报和其他背景材料</w:t>
      </w:r>
      <w:r>
        <w:rPr>
          <w:rFonts w:hint="eastAsia"/>
          <w:lang w:val="zh-CN" w:eastAsia="zh-CN"/>
        </w:rPr>
        <w:t>；</w:t>
      </w:r>
      <w:r>
        <w:rPr>
          <w:lang w:val="zh-CN" w:eastAsia="zh-CN"/>
        </w:rPr>
        <w:t>并支持战略宣传工作。该工作人员还将负责</w:t>
      </w:r>
      <w:r>
        <w:rPr>
          <w:lang w:val="zh-CN" w:eastAsia="zh-CN"/>
        </w:rPr>
        <w:t>WTPF</w:t>
      </w:r>
      <w:r>
        <w:rPr>
          <w:lang w:val="zh-CN" w:eastAsia="zh-CN"/>
        </w:rPr>
        <w:t>网站的整体设计、管理和内容开发。其它职责包括组织会间会议，以支持</w:t>
      </w:r>
      <w:r w:rsidRPr="0025494C">
        <w:rPr>
          <w:rFonts w:hint="eastAsia"/>
          <w:lang w:val="zh-CN" w:eastAsia="zh-CN"/>
        </w:rPr>
        <w:t>IEG</w:t>
      </w:r>
      <w:r>
        <w:rPr>
          <w:lang w:val="zh-CN" w:eastAsia="zh-CN"/>
        </w:rPr>
        <w:t>成员之间的</w:t>
      </w:r>
      <w:r w:rsidRPr="0025494C">
        <w:rPr>
          <w:rFonts w:hint="eastAsia"/>
          <w:lang w:val="zh-CN" w:eastAsia="zh-CN"/>
        </w:rPr>
        <w:t>非正式</w:t>
      </w:r>
      <w:r>
        <w:rPr>
          <w:lang w:val="zh-CN" w:eastAsia="zh-CN"/>
        </w:rPr>
        <w:t>讨论</w:t>
      </w:r>
      <w:r>
        <w:rPr>
          <w:rFonts w:hint="eastAsia"/>
          <w:lang w:val="zh-CN" w:eastAsia="zh-CN"/>
        </w:rPr>
        <w:t>，</w:t>
      </w:r>
      <w:r>
        <w:rPr>
          <w:lang w:val="zh-CN" w:eastAsia="zh-CN"/>
        </w:rPr>
        <w:t>并促进电子工作方法的使用，以加强协作。</w:t>
      </w:r>
    </w:p>
    <w:p w14:paraId="74AFEF79" w14:textId="77777777" w:rsidR="004D19C9" w:rsidRPr="00EC26F8" w:rsidRDefault="004D19C9" w:rsidP="004D19C9">
      <w:pPr>
        <w:ind w:firstLineChars="200" w:firstLine="480"/>
        <w:rPr>
          <w:rFonts w:asciiTheme="minorHAnsi" w:eastAsia="Aptos" w:hAnsiTheme="minorHAnsi" w:cstheme="minorHAnsi"/>
          <w:szCs w:val="24"/>
          <w:lang w:eastAsia="zh-CN"/>
        </w:rPr>
      </w:pPr>
      <w:r>
        <w:rPr>
          <w:lang w:val="zh-CN" w:eastAsia="zh-CN"/>
        </w:rPr>
        <w:t>鉴于</w:t>
      </w:r>
      <w:r>
        <w:rPr>
          <w:lang w:val="zh-CN" w:eastAsia="zh-CN"/>
        </w:rPr>
        <w:t>WTPF</w:t>
      </w:r>
      <w:r>
        <w:rPr>
          <w:lang w:val="zh-CN" w:eastAsia="zh-CN"/>
        </w:rPr>
        <w:t>主题的跨领域性质，</w:t>
      </w:r>
      <w:r w:rsidRPr="00F71E96">
        <w:rPr>
          <w:rFonts w:hint="eastAsia"/>
          <w:lang w:val="zh-CN" w:eastAsia="zh-CN"/>
        </w:rPr>
        <w:t>这一职责</w:t>
      </w:r>
      <w:r>
        <w:rPr>
          <w:lang w:val="zh-CN" w:eastAsia="zh-CN"/>
        </w:rPr>
        <w:t>还涉及促进跨部门协调，以确保国际电联</w:t>
      </w:r>
      <w:r>
        <w:rPr>
          <w:rFonts w:hint="eastAsia"/>
          <w:lang w:val="zh-CN" w:eastAsia="zh-CN"/>
        </w:rPr>
        <w:t>各</w:t>
      </w:r>
      <w:r>
        <w:rPr>
          <w:lang w:val="zh-CN" w:eastAsia="zh-CN"/>
        </w:rPr>
        <w:t>局在整个筹备过程中和论坛本身都能积极参与。</w:t>
      </w:r>
    </w:p>
    <w:p w14:paraId="1C82E713" w14:textId="3DD84ED6" w:rsidR="004D19C9" w:rsidRPr="00EC26F8" w:rsidRDefault="004D19C9" w:rsidP="004D19C9">
      <w:pPr>
        <w:pStyle w:val="Heading2"/>
        <w:rPr>
          <w:lang w:eastAsia="zh-CN"/>
        </w:rPr>
      </w:pPr>
      <w:r>
        <w:rPr>
          <w:bCs/>
          <w:lang w:val="zh-CN" w:eastAsia="zh-CN"/>
        </w:rPr>
        <w:t>5.5</w:t>
      </w:r>
      <w:r>
        <w:rPr>
          <w:lang w:val="zh-CN" w:eastAsia="zh-CN"/>
        </w:rPr>
        <w:tab/>
      </w:r>
      <w:r>
        <w:rPr>
          <w:bCs/>
          <w:lang w:val="zh-CN" w:eastAsia="zh-CN"/>
        </w:rPr>
        <w:t>办公楼维护基金</w:t>
      </w:r>
    </w:p>
    <w:p w14:paraId="64E78FF4" w14:textId="6D0718B5" w:rsidR="004D19C9" w:rsidRDefault="004D19C9" w:rsidP="004D19C9">
      <w:pPr>
        <w:ind w:firstLineChars="200" w:firstLine="480"/>
        <w:rPr>
          <w:rFonts w:asciiTheme="minorHAnsi" w:hAnsiTheme="minorHAnsi" w:cstheme="minorBidi"/>
          <w:lang w:eastAsia="zh-CN"/>
        </w:rPr>
      </w:pPr>
      <w:r>
        <w:rPr>
          <w:lang w:val="zh-CN" w:eastAsia="zh-CN"/>
        </w:rPr>
        <w:t>秘书处已确定，目前用于办公楼维护的拨款水平低于开展必要的</w:t>
      </w:r>
      <w:r>
        <w:rPr>
          <w:rFonts w:hint="eastAsia"/>
          <w:lang w:val="zh-CN" w:eastAsia="zh-CN"/>
        </w:rPr>
        <w:t>修复</w:t>
      </w:r>
      <w:r>
        <w:rPr>
          <w:lang w:val="zh-CN" w:eastAsia="zh-CN"/>
        </w:rPr>
        <w:t>和预防工作所需的金额。</w:t>
      </w:r>
      <w:r>
        <w:fldChar w:fldCharType="begin"/>
      </w:r>
      <w:r>
        <w:rPr>
          <w:lang w:eastAsia="zh-CN"/>
        </w:rPr>
        <w:instrText>HYPERLINK "https://www.itu.int/md/S25-CWGFHR20-C-0008/en"</w:instrText>
      </w:r>
      <w:r>
        <w:fldChar w:fldCharType="separate"/>
      </w:r>
      <w:r w:rsidRPr="001F20DA">
        <w:rPr>
          <w:rStyle w:val="Hyperlink"/>
          <w:rFonts w:asciiTheme="minorHAnsi" w:hAnsiTheme="minorHAnsi" w:cstheme="minorBidi"/>
          <w:lang w:eastAsia="zh-CN"/>
        </w:rPr>
        <w:t>CWG-FHR-20/8</w:t>
      </w:r>
      <w:r>
        <w:fldChar w:fldCharType="end"/>
      </w:r>
      <w:r>
        <w:rPr>
          <w:lang w:val="zh-CN" w:eastAsia="zh-CN"/>
        </w:rPr>
        <w:t>号文件对此进行了进一步详细讨论，国际电联</w:t>
      </w:r>
      <w:r>
        <w:rPr>
          <w:rFonts w:hint="eastAsia"/>
          <w:lang w:val="zh-CN" w:eastAsia="zh-CN"/>
        </w:rPr>
        <w:t>需确保</w:t>
      </w:r>
      <w:r>
        <w:rPr>
          <w:lang w:val="zh-CN" w:eastAsia="zh-CN"/>
        </w:rPr>
        <w:t>其在日内瓦</w:t>
      </w:r>
      <w:r>
        <w:rPr>
          <w:rFonts w:hint="eastAsia"/>
          <w:lang w:val="zh-CN" w:eastAsia="zh-CN"/>
        </w:rPr>
        <w:t>办公</w:t>
      </w:r>
      <w:r>
        <w:rPr>
          <w:lang w:val="zh-CN" w:eastAsia="zh-CN"/>
        </w:rPr>
        <w:t>的持续性和可持续</w:t>
      </w:r>
      <w:r>
        <w:rPr>
          <w:rFonts w:hint="eastAsia"/>
          <w:lang w:val="zh-CN" w:eastAsia="zh-CN"/>
        </w:rPr>
        <w:t>发展</w:t>
      </w:r>
      <w:r w:rsidRPr="00316E6C">
        <w:rPr>
          <w:rFonts w:hint="eastAsia"/>
          <w:lang w:val="zh-CN" w:eastAsia="zh-CN"/>
        </w:rPr>
        <w:t>已变得日益重要</w:t>
      </w:r>
      <w:r>
        <w:rPr>
          <w:lang w:val="zh-CN" w:eastAsia="zh-CN"/>
        </w:rPr>
        <w:t>。为满足这一需要，秘书处建议向办公楼维护基金拨款</w:t>
      </w:r>
      <w:r w:rsidRPr="00492ACB">
        <w:rPr>
          <w:b/>
          <w:bCs/>
          <w:lang w:val="zh-CN" w:eastAsia="zh-CN"/>
        </w:rPr>
        <w:t>1</w:t>
      </w:r>
      <w:r>
        <w:rPr>
          <w:b/>
          <w:bCs/>
          <w:lang w:val="en-US" w:eastAsia="zh-CN"/>
        </w:rPr>
        <w:t> </w:t>
      </w:r>
      <w:r w:rsidRPr="00492ACB">
        <w:rPr>
          <w:b/>
          <w:bCs/>
          <w:lang w:val="zh-CN" w:eastAsia="zh-CN"/>
        </w:rPr>
        <w:t>000</w:t>
      </w:r>
      <w:r>
        <w:rPr>
          <w:b/>
          <w:bCs/>
          <w:lang w:val="en-US" w:eastAsia="zh-CN"/>
        </w:rPr>
        <w:t> </w:t>
      </w:r>
      <w:r w:rsidRPr="00492ACB">
        <w:rPr>
          <w:rFonts w:hint="eastAsia"/>
          <w:b/>
          <w:bCs/>
          <w:lang w:val="zh-CN" w:eastAsia="zh-CN"/>
        </w:rPr>
        <w:t>000</w:t>
      </w:r>
      <w:r w:rsidRPr="00492ACB">
        <w:rPr>
          <w:b/>
          <w:bCs/>
          <w:lang w:val="zh-CN" w:eastAsia="zh-CN"/>
        </w:rPr>
        <w:t>瑞郎</w:t>
      </w:r>
      <w:r>
        <w:rPr>
          <w:lang w:val="zh-CN" w:eastAsia="zh-CN"/>
        </w:rPr>
        <w:t>。</w:t>
      </w:r>
    </w:p>
    <w:p w14:paraId="228A6B7E" w14:textId="5D5C6126" w:rsidR="004D19C9" w:rsidRDefault="004D19C9" w:rsidP="004D19C9">
      <w:pPr>
        <w:pStyle w:val="Heading2"/>
        <w:rPr>
          <w:lang w:eastAsia="zh-CN"/>
        </w:rPr>
      </w:pPr>
      <w:r>
        <w:rPr>
          <w:bCs/>
          <w:lang w:val="zh-CN" w:eastAsia="zh-CN"/>
        </w:rPr>
        <w:t>5.6</w:t>
      </w:r>
      <w:r>
        <w:rPr>
          <w:lang w:val="zh-CN" w:eastAsia="zh-CN"/>
        </w:rPr>
        <w:tab/>
      </w:r>
      <w:r w:rsidRPr="00492ACB">
        <w:rPr>
          <w:rFonts w:hint="eastAsia"/>
          <w:bCs/>
          <w:lang w:val="zh-CN" w:eastAsia="zh-CN"/>
        </w:rPr>
        <w:t>ICT</w:t>
      </w:r>
      <w:r w:rsidRPr="00492ACB">
        <w:rPr>
          <w:rFonts w:hint="eastAsia"/>
          <w:bCs/>
          <w:lang w:val="zh-CN" w:eastAsia="zh-CN"/>
        </w:rPr>
        <w:t>资本基金</w:t>
      </w:r>
    </w:p>
    <w:p w14:paraId="334A912C" w14:textId="20D04209" w:rsidR="004D19C9" w:rsidRPr="00BF17AD" w:rsidRDefault="004D19C9" w:rsidP="004D19C9">
      <w:pPr>
        <w:ind w:firstLineChars="200" w:firstLine="480"/>
        <w:rPr>
          <w:rFonts w:asciiTheme="minorHAnsi" w:hAnsiTheme="minorHAnsi" w:cstheme="minorBidi"/>
          <w:b/>
          <w:bCs/>
          <w:lang w:eastAsia="zh-CN"/>
        </w:rPr>
      </w:pPr>
      <w:r>
        <w:rPr>
          <w:lang w:val="zh-CN" w:eastAsia="zh-CN"/>
        </w:rPr>
        <w:t>秘书处建议向</w:t>
      </w:r>
      <w:r>
        <w:rPr>
          <w:lang w:val="zh-CN" w:eastAsia="zh-CN"/>
        </w:rPr>
        <w:t>ICT</w:t>
      </w:r>
      <w:r>
        <w:rPr>
          <w:lang w:val="zh-CN" w:eastAsia="zh-CN"/>
        </w:rPr>
        <w:t>资本基金拨款</w:t>
      </w:r>
      <w:r w:rsidRPr="007D7BB9">
        <w:rPr>
          <w:b/>
          <w:bCs/>
          <w:lang w:val="zh-CN" w:eastAsia="zh-CN"/>
        </w:rPr>
        <w:t>1</w:t>
      </w:r>
      <w:r>
        <w:rPr>
          <w:b/>
          <w:bCs/>
          <w:lang w:val="en-US" w:eastAsia="zh-CN"/>
        </w:rPr>
        <w:t> </w:t>
      </w:r>
      <w:r w:rsidRPr="007D7BB9">
        <w:rPr>
          <w:b/>
          <w:bCs/>
          <w:lang w:val="zh-CN" w:eastAsia="zh-CN"/>
        </w:rPr>
        <w:t>500</w:t>
      </w:r>
      <w:r>
        <w:rPr>
          <w:b/>
          <w:bCs/>
          <w:lang w:val="en-US" w:eastAsia="zh-CN"/>
        </w:rPr>
        <w:t> </w:t>
      </w:r>
      <w:r w:rsidRPr="007D7BB9">
        <w:rPr>
          <w:b/>
          <w:bCs/>
          <w:lang w:val="zh-CN" w:eastAsia="zh-CN"/>
        </w:rPr>
        <w:t>00</w:t>
      </w:r>
      <w:r w:rsidRPr="007D7BB9">
        <w:rPr>
          <w:rFonts w:hint="eastAsia"/>
          <w:b/>
          <w:bCs/>
          <w:lang w:val="zh-CN" w:eastAsia="zh-CN"/>
        </w:rPr>
        <w:t>0</w:t>
      </w:r>
      <w:r w:rsidRPr="007D7BB9">
        <w:rPr>
          <w:b/>
          <w:bCs/>
          <w:lang w:val="zh-CN" w:eastAsia="zh-CN"/>
        </w:rPr>
        <w:t>瑞郎</w:t>
      </w:r>
      <w:r>
        <w:rPr>
          <w:lang w:val="zh-CN" w:eastAsia="zh-CN"/>
        </w:rPr>
        <w:t>，以支持当前的维护、升级和改进工作。国际电联已确定了核心</w:t>
      </w:r>
      <w:r>
        <w:rPr>
          <w:lang w:val="zh-CN" w:eastAsia="zh-CN"/>
        </w:rPr>
        <w:t>IT</w:t>
      </w:r>
      <w:r>
        <w:rPr>
          <w:lang w:val="zh-CN" w:eastAsia="zh-CN"/>
        </w:rPr>
        <w:t>功能中的几项</w:t>
      </w:r>
      <w:r>
        <w:rPr>
          <w:lang w:val="zh-CN" w:eastAsia="zh-CN"/>
        </w:rPr>
        <w:t>IT</w:t>
      </w:r>
      <w:r>
        <w:rPr>
          <w:lang w:val="zh-CN" w:eastAsia="zh-CN"/>
        </w:rPr>
        <w:t>系统和服务升级，并将其作为转型举措的一部分，这些</w:t>
      </w:r>
      <w:r>
        <w:rPr>
          <w:rFonts w:hint="eastAsia"/>
          <w:lang w:val="zh-CN" w:eastAsia="zh-CN"/>
        </w:rPr>
        <w:t>问题</w:t>
      </w:r>
      <w:r>
        <w:rPr>
          <w:lang w:val="zh-CN" w:eastAsia="zh-CN"/>
        </w:rPr>
        <w:t>需要解决，但目前拨款无法供资。国际电联若干主要</w:t>
      </w:r>
      <w:r>
        <w:rPr>
          <w:lang w:val="zh-CN" w:eastAsia="zh-CN"/>
        </w:rPr>
        <w:t>ICT</w:t>
      </w:r>
      <w:r>
        <w:rPr>
          <w:lang w:val="zh-CN" w:eastAsia="zh-CN"/>
        </w:rPr>
        <w:t>服务提供商</w:t>
      </w:r>
      <w:r w:rsidRPr="007D7BB9">
        <w:rPr>
          <w:rFonts w:hint="eastAsia"/>
          <w:lang w:val="zh-CN" w:eastAsia="zh-CN"/>
        </w:rPr>
        <w:t>还面临</w:t>
      </w:r>
      <w:r>
        <w:rPr>
          <w:lang w:val="zh-CN" w:eastAsia="zh-CN"/>
        </w:rPr>
        <w:t>成本不断增加的问题，这给国际电联的正常预算带来了越来越大的压力，因此影响了国际电联对</w:t>
      </w:r>
      <w:r>
        <w:rPr>
          <w:lang w:val="zh-CN" w:eastAsia="zh-CN"/>
        </w:rPr>
        <w:t>ICT</w:t>
      </w:r>
      <w:r>
        <w:rPr>
          <w:lang w:val="zh-CN" w:eastAsia="zh-CN"/>
        </w:rPr>
        <w:t>基础设施</w:t>
      </w:r>
      <w:r>
        <w:rPr>
          <w:rFonts w:hint="eastAsia"/>
          <w:lang w:val="zh-CN" w:eastAsia="zh-CN"/>
        </w:rPr>
        <w:t>的</w:t>
      </w:r>
      <w:r>
        <w:rPr>
          <w:lang w:val="zh-CN" w:eastAsia="zh-CN"/>
        </w:rPr>
        <w:t>持续投资能力。这笔拨款将帮助秘书处筹措必要资源，以开展改进工作。应当指出，这一</w:t>
      </w:r>
      <w:r>
        <w:rPr>
          <w:rFonts w:hint="eastAsia"/>
          <w:lang w:val="zh-CN" w:eastAsia="zh-CN"/>
        </w:rPr>
        <w:t>拨款</w:t>
      </w:r>
      <w:r>
        <w:rPr>
          <w:lang w:val="zh-CN" w:eastAsia="zh-CN"/>
        </w:rPr>
        <w:t>并不能充分满足改进</w:t>
      </w:r>
      <w:r>
        <w:rPr>
          <w:rFonts w:hint="eastAsia"/>
          <w:lang w:val="zh-CN" w:eastAsia="zh-CN"/>
        </w:rPr>
        <w:t>工作</w:t>
      </w:r>
      <w:r>
        <w:rPr>
          <w:lang w:val="zh-CN" w:eastAsia="zh-CN"/>
        </w:rPr>
        <w:t>的需求，因此秘书处将继续与</w:t>
      </w:r>
      <w:proofErr w:type="gramStart"/>
      <w:r>
        <w:rPr>
          <w:lang w:val="zh-CN" w:eastAsia="zh-CN"/>
        </w:rPr>
        <w:t>转型进程</w:t>
      </w:r>
      <w:proofErr w:type="gramEnd"/>
      <w:r>
        <w:rPr>
          <w:lang w:val="zh-CN" w:eastAsia="zh-CN"/>
        </w:rPr>
        <w:t>保持一致，</w:t>
      </w:r>
      <w:r w:rsidRPr="007D7BB9">
        <w:rPr>
          <w:rFonts w:hint="eastAsia"/>
          <w:lang w:val="zh-CN" w:eastAsia="zh-CN"/>
        </w:rPr>
        <w:t>寻求更多资源分配给这一领域</w:t>
      </w:r>
      <w:r>
        <w:rPr>
          <w:lang w:val="zh-CN" w:eastAsia="zh-CN"/>
        </w:rPr>
        <w:t>。</w:t>
      </w:r>
    </w:p>
    <w:p w14:paraId="4EB01B00" w14:textId="77777777" w:rsidR="004D19C9" w:rsidRPr="00D575B0" w:rsidRDefault="004D19C9" w:rsidP="00482741">
      <w:pPr>
        <w:pStyle w:val="Heading1"/>
        <w:rPr>
          <w:lang w:eastAsia="zh-CN"/>
        </w:rPr>
      </w:pPr>
      <w:r>
        <w:rPr>
          <w:bCs/>
          <w:lang w:val="zh-CN" w:eastAsia="zh-CN"/>
        </w:rPr>
        <w:lastRenderedPageBreak/>
        <w:t>6</w:t>
      </w:r>
      <w:r>
        <w:rPr>
          <w:bCs/>
          <w:lang w:val="zh-CN" w:eastAsia="zh-CN"/>
        </w:rPr>
        <w:tab/>
      </w:r>
      <w:r>
        <w:rPr>
          <w:bCs/>
          <w:lang w:val="zh-CN" w:eastAsia="zh-CN"/>
        </w:rPr>
        <w:t>为满足世界性大会和全会新的财务影响提供资金</w:t>
      </w:r>
    </w:p>
    <w:p w14:paraId="5508BCEB" w14:textId="47F0578F" w:rsidR="004D19C9" w:rsidRDefault="004D19C9" w:rsidP="00482741">
      <w:pPr>
        <w:pStyle w:val="enumlev1"/>
        <w:keepNext/>
        <w:keepLines/>
        <w:rPr>
          <w:lang w:eastAsia="zh-CN"/>
        </w:rPr>
      </w:pPr>
      <w:r>
        <w:rPr>
          <w:b/>
          <w:bCs/>
          <w:lang w:val="zh-CN" w:eastAsia="zh-CN"/>
        </w:rPr>
        <w:t>6.1</w:t>
      </w:r>
      <w:r>
        <w:rPr>
          <w:lang w:val="zh-CN" w:eastAsia="zh-CN"/>
        </w:rPr>
        <w:tab/>
      </w:r>
      <w:r w:rsidRPr="00CF4E5F">
        <w:rPr>
          <w:b/>
          <w:bCs/>
          <w:lang w:val="zh-CN" w:eastAsia="zh-CN"/>
        </w:rPr>
        <w:t>WTSA-24</w:t>
      </w:r>
      <w:r>
        <w:rPr>
          <w:lang w:val="zh-CN" w:eastAsia="zh-CN"/>
        </w:rPr>
        <w:t>：</w:t>
      </w:r>
      <w:r>
        <w:rPr>
          <w:lang w:val="zh-CN" w:eastAsia="zh-CN"/>
        </w:rPr>
        <w:t>WTSA-24</w:t>
      </w:r>
      <w:r>
        <w:rPr>
          <w:lang w:val="zh-CN" w:eastAsia="zh-CN"/>
        </w:rPr>
        <w:t>制定了三项具有财务影响的新决议，这些决议未包含在已批准的</w:t>
      </w:r>
      <w:r>
        <w:rPr>
          <w:lang w:val="zh-CN" w:eastAsia="zh-CN"/>
        </w:rPr>
        <w:t>2024-2025</w:t>
      </w:r>
      <w:r>
        <w:rPr>
          <w:lang w:val="zh-CN" w:eastAsia="zh-CN"/>
        </w:rPr>
        <w:t>年预算中。秘书处建议授权秘书长从</w:t>
      </w:r>
      <w:r>
        <w:rPr>
          <w:lang w:val="zh-CN" w:eastAsia="zh-CN"/>
        </w:rPr>
        <w:t>2024</w:t>
      </w:r>
      <w:r>
        <w:rPr>
          <w:lang w:val="zh-CN" w:eastAsia="zh-CN"/>
        </w:rPr>
        <w:t>年盈余中划拨资金，以支付</w:t>
      </w:r>
      <w:r>
        <w:rPr>
          <w:lang w:val="zh-CN" w:eastAsia="zh-CN"/>
        </w:rPr>
        <w:t>2025</w:t>
      </w:r>
      <w:r>
        <w:rPr>
          <w:lang w:val="zh-CN" w:eastAsia="zh-CN"/>
        </w:rPr>
        <w:t>年的估算费用，即向电信标准化局预算划拨</w:t>
      </w:r>
      <w:r w:rsidRPr="00E96C76">
        <w:rPr>
          <w:b/>
          <w:bCs/>
          <w:lang w:val="zh-CN" w:eastAsia="zh-CN"/>
        </w:rPr>
        <w:t>556</w:t>
      </w:r>
      <w:r>
        <w:rPr>
          <w:b/>
          <w:bCs/>
          <w:lang w:val="en-US" w:eastAsia="zh-CN"/>
        </w:rPr>
        <w:t> </w:t>
      </w:r>
      <w:r w:rsidRPr="00E96C76">
        <w:rPr>
          <w:rFonts w:hint="eastAsia"/>
          <w:b/>
          <w:bCs/>
          <w:lang w:val="zh-CN" w:eastAsia="zh-CN"/>
        </w:rPr>
        <w:t>000</w:t>
      </w:r>
      <w:r w:rsidRPr="00E96C76">
        <w:rPr>
          <w:b/>
          <w:bCs/>
          <w:lang w:val="zh-CN" w:eastAsia="zh-CN"/>
        </w:rPr>
        <w:t>瑞郎</w:t>
      </w:r>
      <w:r>
        <w:rPr>
          <w:lang w:val="zh-CN" w:eastAsia="zh-CN"/>
        </w:rPr>
        <w:t>，使其能够着手落实这些决议。如预算节余允许，并根据实现相关部门目标的预计需求，每年将提出进一步拨款建议。</w:t>
      </w:r>
    </w:p>
    <w:p w14:paraId="4B446F1E" w14:textId="60B3C117" w:rsidR="004D19C9" w:rsidRDefault="004D19C9" w:rsidP="004D19C9">
      <w:pPr>
        <w:pStyle w:val="enumlev1"/>
        <w:rPr>
          <w:lang w:eastAsia="zh-CN"/>
        </w:rPr>
      </w:pPr>
      <w:r>
        <w:rPr>
          <w:b/>
          <w:bCs/>
          <w:lang w:val="zh-CN" w:eastAsia="zh-CN"/>
        </w:rPr>
        <w:t>6.2</w:t>
      </w:r>
      <w:r>
        <w:rPr>
          <w:lang w:val="zh-CN" w:eastAsia="zh-CN"/>
        </w:rPr>
        <w:tab/>
      </w:r>
      <w:r w:rsidRPr="00CF4E5F">
        <w:rPr>
          <w:b/>
          <w:bCs/>
          <w:lang w:val="zh-CN" w:eastAsia="zh-CN"/>
        </w:rPr>
        <w:t>WRC-23</w:t>
      </w:r>
      <w:r>
        <w:rPr>
          <w:lang w:val="zh-CN" w:eastAsia="zh-CN"/>
        </w:rPr>
        <w:t>：</w:t>
      </w:r>
      <w:hyperlink r:id="rId16" w:history="1">
        <w:proofErr w:type="spellStart"/>
        <w:r w:rsidRPr="008C27BD">
          <w:rPr>
            <w:rStyle w:val="Hyperlink"/>
            <w:rFonts w:asciiTheme="minorHAnsi" w:hAnsiTheme="minorHAnsi" w:cstheme="minorBidi"/>
            <w:spacing w:val="2"/>
            <w:lang w:eastAsia="zh-CN"/>
          </w:rPr>
          <w:t>C24</w:t>
        </w:r>
        <w:proofErr w:type="spellEnd"/>
        <w:r w:rsidRPr="008C27BD">
          <w:rPr>
            <w:rStyle w:val="Hyperlink"/>
            <w:rFonts w:asciiTheme="minorHAnsi" w:hAnsiTheme="minorHAnsi" w:cstheme="minorBidi"/>
            <w:spacing w:val="2"/>
            <w:lang w:eastAsia="zh-CN"/>
          </w:rPr>
          <w:t>/19</w:t>
        </w:r>
      </w:hyperlink>
      <w:r>
        <w:rPr>
          <w:lang w:val="zh-CN" w:eastAsia="zh-CN"/>
        </w:rPr>
        <w:t>号文件提供了一份关于</w:t>
      </w:r>
      <w:r>
        <w:rPr>
          <w:lang w:val="zh-CN" w:eastAsia="zh-CN"/>
        </w:rPr>
        <w:t>WRC-23</w:t>
      </w:r>
      <w:r>
        <w:rPr>
          <w:lang w:val="zh-CN" w:eastAsia="zh-CN"/>
        </w:rPr>
        <w:t>决议实施成本的报告，根据该报告，理事会为总成本划拨了</w:t>
      </w:r>
      <w:r>
        <w:rPr>
          <w:lang w:val="zh-CN" w:eastAsia="zh-CN"/>
        </w:rPr>
        <w:t>330</w:t>
      </w:r>
      <w:r>
        <w:rPr>
          <w:lang w:val="zh-CN" w:eastAsia="zh-CN"/>
        </w:rPr>
        <w:t>万瑞郎。这笔拨款并未全部使用。建议从</w:t>
      </w:r>
      <w:r>
        <w:rPr>
          <w:lang w:val="zh-CN" w:eastAsia="zh-CN"/>
        </w:rPr>
        <w:t>2024</w:t>
      </w:r>
      <w:r>
        <w:rPr>
          <w:lang w:val="zh-CN" w:eastAsia="zh-CN"/>
        </w:rPr>
        <w:t>年的盈余中再最多拨款</w:t>
      </w:r>
      <w:r w:rsidRPr="00E96C76">
        <w:rPr>
          <w:b/>
          <w:bCs/>
          <w:lang w:val="zh-CN" w:eastAsia="zh-CN"/>
        </w:rPr>
        <w:t>30</w:t>
      </w:r>
      <w:r w:rsidRPr="00E96C76">
        <w:rPr>
          <w:rFonts w:hint="eastAsia"/>
          <w:b/>
          <w:bCs/>
          <w:lang w:val="zh-CN" w:eastAsia="zh-CN"/>
        </w:rPr>
        <w:t>0</w:t>
      </w:r>
      <w:r>
        <w:rPr>
          <w:b/>
          <w:bCs/>
          <w:lang w:val="en-US" w:eastAsia="zh-CN"/>
        </w:rPr>
        <w:t> </w:t>
      </w:r>
      <w:r w:rsidRPr="00E96C76">
        <w:rPr>
          <w:rFonts w:hint="eastAsia"/>
          <w:b/>
          <w:bCs/>
          <w:lang w:val="zh-CN" w:eastAsia="zh-CN"/>
        </w:rPr>
        <w:t>000</w:t>
      </w:r>
      <w:r w:rsidRPr="00E96C76">
        <w:rPr>
          <w:b/>
          <w:bCs/>
          <w:lang w:val="zh-CN" w:eastAsia="zh-CN"/>
        </w:rPr>
        <w:t>瑞郎</w:t>
      </w:r>
      <w:r>
        <w:rPr>
          <w:lang w:val="zh-CN" w:eastAsia="zh-CN"/>
        </w:rPr>
        <w:t>，以补充理事会</w:t>
      </w:r>
      <w:r>
        <w:rPr>
          <w:lang w:val="zh-CN" w:eastAsia="zh-CN"/>
        </w:rPr>
        <w:t>2024</w:t>
      </w:r>
      <w:r>
        <w:rPr>
          <w:lang w:val="zh-CN" w:eastAsia="zh-CN"/>
        </w:rPr>
        <w:t>年会议拨款的剩余金额。</w:t>
      </w:r>
    </w:p>
    <w:p w14:paraId="1B67B362" w14:textId="77777777" w:rsidR="004D19C9" w:rsidRDefault="004D19C9" w:rsidP="004D19C9">
      <w:pPr>
        <w:ind w:firstLineChars="200" w:firstLine="480"/>
        <w:rPr>
          <w:lang w:val="en-US" w:eastAsia="zh-CN"/>
        </w:rPr>
      </w:pPr>
      <w:r>
        <w:rPr>
          <w:lang w:val="zh-CN" w:eastAsia="zh-CN"/>
        </w:rPr>
        <w:t>秘书处再次</w:t>
      </w:r>
      <w:r w:rsidRPr="00E96C76">
        <w:rPr>
          <w:rFonts w:hint="eastAsia"/>
          <w:lang w:val="zh-CN" w:eastAsia="zh-CN"/>
        </w:rPr>
        <w:t>请</w:t>
      </w:r>
      <w:r>
        <w:rPr>
          <w:lang w:val="zh-CN" w:eastAsia="zh-CN"/>
        </w:rPr>
        <w:t>求成员国考虑向国际电</w:t>
      </w:r>
      <w:proofErr w:type="gramStart"/>
      <w:r>
        <w:rPr>
          <w:lang w:val="zh-CN" w:eastAsia="zh-CN"/>
        </w:rPr>
        <w:t>联提供</w:t>
      </w:r>
      <w:proofErr w:type="gramEnd"/>
      <w:r>
        <w:rPr>
          <w:lang w:val="zh-CN" w:eastAsia="zh-CN"/>
        </w:rPr>
        <w:t>自愿捐款，以支持落实</w:t>
      </w:r>
      <w:r w:rsidRPr="00E96C76">
        <w:rPr>
          <w:rFonts w:hint="eastAsia"/>
          <w:lang w:val="zh-CN" w:eastAsia="zh-CN"/>
        </w:rPr>
        <w:t>未列入</w:t>
      </w:r>
      <w:r>
        <w:rPr>
          <w:lang w:val="zh-CN" w:eastAsia="zh-CN"/>
        </w:rPr>
        <w:t>国际电联《财务规划》的世界</w:t>
      </w:r>
      <w:r>
        <w:rPr>
          <w:rFonts w:hint="eastAsia"/>
          <w:lang w:val="zh-CN" w:eastAsia="zh-CN"/>
        </w:rPr>
        <w:t>性</w:t>
      </w:r>
      <w:r>
        <w:rPr>
          <w:lang w:val="zh-CN" w:eastAsia="zh-CN"/>
        </w:rPr>
        <w:t>大会的</w:t>
      </w:r>
      <w:r>
        <w:rPr>
          <w:rFonts w:hint="eastAsia"/>
          <w:lang w:val="zh-CN" w:eastAsia="zh-CN"/>
        </w:rPr>
        <w:t>各项</w:t>
      </w:r>
      <w:r>
        <w:rPr>
          <w:lang w:val="zh-CN" w:eastAsia="zh-CN"/>
        </w:rPr>
        <w:t>决定。</w:t>
      </w:r>
    </w:p>
    <w:p w14:paraId="6542EDE9" w14:textId="77777777" w:rsidR="00482741" w:rsidRPr="00482741" w:rsidRDefault="00482741" w:rsidP="004D19C9">
      <w:pPr>
        <w:ind w:firstLineChars="200" w:firstLine="480"/>
        <w:rPr>
          <w:rFonts w:asciiTheme="minorHAnsi" w:hAnsiTheme="minorHAnsi" w:cstheme="minorBidi"/>
          <w:lang w:val="en-US" w:eastAsia="zh-CN"/>
        </w:rPr>
      </w:pPr>
    </w:p>
    <w:p w14:paraId="74597623" w14:textId="77777777" w:rsidR="004D19C9" w:rsidRDefault="004D19C9" w:rsidP="004D19C9">
      <w:pPr>
        <w:pStyle w:val="Headingb"/>
      </w:pPr>
      <w:bookmarkStart w:id="11" w:name="dnote"/>
      <w:bookmarkEnd w:id="11"/>
      <w:proofErr w:type="spellStart"/>
      <w:r>
        <w:rPr>
          <w:rFonts w:hint="eastAsia"/>
          <w:bCs/>
          <w:lang w:val="zh-CN"/>
        </w:rPr>
        <w:t>提案摘要</w:t>
      </w:r>
      <w:proofErr w:type="spellEnd"/>
    </w:p>
    <w:p w14:paraId="27161E1E" w14:textId="37277A89" w:rsidR="004D19C9" w:rsidRPr="002E1929" w:rsidRDefault="004D19C9" w:rsidP="004D19C9">
      <w:pPr>
        <w:pStyle w:val="Figure"/>
      </w:pPr>
      <w:r w:rsidRPr="004D19C9">
        <w:rPr>
          <w:noProof/>
        </w:rPr>
        <w:drawing>
          <wp:inline distT="0" distB="0" distL="0" distR="0" wp14:anchorId="4CB97BDC" wp14:editId="634EF759">
            <wp:extent cx="5760085" cy="2805430"/>
            <wp:effectExtent l="0" t="0" r="0" b="0"/>
            <wp:docPr id="1030516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2805430"/>
                    </a:xfrm>
                    <a:prstGeom prst="rect">
                      <a:avLst/>
                    </a:prstGeom>
                    <a:noFill/>
                    <a:ln>
                      <a:noFill/>
                    </a:ln>
                  </pic:spPr>
                </pic:pic>
              </a:graphicData>
            </a:graphic>
          </wp:inline>
        </w:drawing>
      </w:r>
    </w:p>
    <w:p w14:paraId="168E330D" w14:textId="77777777" w:rsidR="004D19C9" w:rsidRDefault="004D19C9" w:rsidP="004D19C9">
      <w:pPr>
        <w:tabs>
          <w:tab w:val="clear" w:pos="567"/>
          <w:tab w:val="clear" w:pos="1134"/>
          <w:tab w:val="clear" w:pos="1701"/>
          <w:tab w:val="clear" w:pos="2268"/>
          <w:tab w:val="clear" w:pos="2835"/>
          <w:tab w:val="left" w:pos="709"/>
        </w:tabs>
        <w:snapToGrid w:val="0"/>
        <w:rPr>
          <w:rFonts w:asciiTheme="minorHAnsi" w:hAnsiTheme="minorHAnsi" w:cstheme="minorHAnsi"/>
          <w:b/>
          <w:szCs w:val="24"/>
        </w:rPr>
      </w:pPr>
      <w:r>
        <w:rPr>
          <w:rFonts w:asciiTheme="minorHAnsi" w:hAnsiTheme="minorHAnsi" w:cstheme="minorHAnsi"/>
          <w:b/>
          <w:szCs w:val="24"/>
        </w:rPr>
        <w:br w:type="page"/>
      </w:r>
    </w:p>
    <w:p w14:paraId="68493E81" w14:textId="77777777" w:rsidR="004D19C9" w:rsidRPr="002E1929" w:rsidRDefault="004D19C9" w:rsidP="004D19C9">
      <w:pPr>
        <w:pStyle w:val="AnnexNo"/>
        <w:rPr>
          <w:lang w:eastAsia="zh-CN"/>
        </w:rPr>
      </w:pPr>
      <w:r>
        <w:rPr>
          <w:rFonts w:hint="eastAsia"/>
          <w:lang w:val="zh-CN" w:eastAsia="zh-CN"/>
        </w:rPr>
        <w:lastRenderedPageBreak/>
        <w:t>附件</w:t>
      </w:r>
    </w:p>
    <w:p w14:paraId="5CEFD153" w14:textId="77777777" w:rsidR="004D19C9" w:rsidRPr="007B5DEA" w:rsidRDefault="004D19C9" w:rsidP="004D19C9">
      <w:pPr>
        <w:pStyle w:val="ResNo"/>
        <w:rPr>
          <w:rFonts w:asciiTheme="minorHAnsi" w:hAnsiTheme="minorHAnsi" w:cstheme="minorHAnsi"/>
          <w:lang w:eastAsia="zh-CN"/>
        </w:rPr>
      </w:pPr>
      <w:r>
        <w:rPr>
          <w:lang w:val="zh-CN" w:eastAsia="zh-CN"/>
        </w:rPr>
        <w:t>新的第</w:t>
      </w:r>
      <w:r>
        <w:rPr>
          <w:lang w:val="zh-CN" w:eastAsia="zh-CN"/>
        </w:rPr>
        <w:t>[...]</w:t>
      </w:r>
      <w:r>
        <w:rPr>
          <w:lang w:val="zh-CN" w:eastAsia="zh-CN"/>
        </w:rPr>
        <w:t>号决议草案</w:t>
      </w:r>
    </w:p>
    <w:p w14:paraId="773E3DA8" w14:textId="77777777" w:rsidR="004D19C9" w:rsidRPr="004D19C9" w:rsidRDefault="004D19C9" w:rsidP="004D19C9">
      <w:pPr>
        <w:pStyle w:val="Restitle"/>
        <w:rPr>
          <w:lang w:eastAsia="zh-CN"/>
        </w:rPr>
      </w:pPr>
      <w:r w:rsidRPr="004D19C9">
        <w:rPr>
          <w:lang w:eastAsia="zh-CN"/>
        </w:rPr>
        <w:t>2024</w:t>
      </w:r>
      <w:r w:rsidRPr="004D19C9">
        <w:rPr>
          <w:lang w:eastAsia="zh-CN"/>
        </w:rPr>
        <w:t>年预算执行中实现节余的分配</w:t>
      </w:r>
    </w:p>
    <w:p w14:paraId="29D05470" w14:textId="77777777" w:rsidR="004D19C9" w:rsidRPr="002E1929" w:rsidRDefault="004D19C9" w:rsidP="004D19C9">
      <w:pPr>
        <w:pStyle w:val="Normalaftertitle"/>
        <w:rPr>
          <w:rStyle w:val="eop"/>
          <w:lang w:eastAsia="zh-CN"/>
        </w:rPr>
      </w:pPr>
      <w:r>
        <w:rPr>
          <w:rFonts w:hint="eastAsia"/>
          <w:lang w:val="zh-CN" w:eastAsia="zh-CN"/>
        </w:rPr>
        <w:t>国际电联</w:t>
      </w:r>
      <w:r>
        <w:rPr>
          <w:lang w:val="zh-CN" w:eastAsia="zh-CN"/>
        </w:rPr>
        <w:t>理事会</w:t>
      </w:r>
      <w:r>
        <w:rPr>
          <w:rFonts w:hint="eastAsia"/>
          <w:lang w:val="zh-CN" w:eastAsia="zh-CN"/>
        </w:rPr>
        <w:t>，</w:t>
      </w:r>
    </w:p>
    <w:p w14:paraId="384410A6" w14:textId="77777777" w:rsidR="004D19C9" w:rsidRPr="00ED2B6E" w:rsidRDefault="004D19C9" w:rsidP="004D19C9">
      <w:pPr>
        <w:pStyle w:val="Call"/>
        <w:rPr>
          <w:rStyle w:val="eop"/>
          <w:rFonts w:ascii="STKaiti" w:eastAsia="STKaiti" w:hAnsi="STKaiti" w:cs="Calibri"/>
          <w:i w:val="0"/>
          <w:lang w:eastAsia="zh-CN"/>
        </w:rPr>
      </w:pPr>
      <w:r w:rsidRPr="00ED2B6E">
        <w:rPr>
          <w:rFonts w:ascii="STKaiti" w:eastAsia="STKaiti" w:hAnsi="STKaiti" w:hint="eastAsia"/>
          <w:i w:val="0"/>
          <w:lang w:val="zh-CN" w:eastAsia="zh-CN"/>
        </w:rPr>
        <w:t>考虑到</w:t>
      </w:r>
    </w:p>
    <w:p w14:paraId="263F807B" w14:textId="77777777" w:rsidR="004D19C9" w:rsidRPr="00C62BB3" w:rsidRDefault="004D19C9" w:rsidP="004D19C9">
      <w:pPr>
        <w:ind w:firstLineChars="200" w:firstLine="480"/>
        <w:rPr>
          <w:rFonts w:asciiTheme="minorHAnsi" w:hAnsiTheme="minorHAnsi" w:cstheme="minorHAnsi"/>
          <w:szCs w:val="24"/>
          <w:lang w:eastAsia="zh-CN"/>
        </w:rPr>
      </w:pPr>
      <w:r>
        <w:rPr>
          <w:lang w:val="zh-CN" w:eastAsia="zh-CN"/>
        </w:rPr>
        <w:t>2024</w:t>
      </w:r>
      <w:r>
        <w:rPr>
          <w:lang w:val="zh-CN" w:eastAsia="zh-CN"/>
        </w:rPr>
        <w:t>年预算（结果）执行中实现的节余为</w:t>
      </w:r>
      <w:r>
        <w:rPr>
          <w:lang w:val="zh-CN" w:eastAsia="zh-CN"/>
        </w:rPr>
        <w:t>5 652 000</w:t>
      </w:r>
      <w:r>
        <w:rPr>
          <w:lang w:val="zh-CN" w:eastAsia="zh-CN"/>
        </w:rPr>
        <w:t>瑞郎，</w:t>
      </w:r>
    </w:p>
    <w:p w14:paraId="6D30AFCB" w14:textId="77777777" w:rsidR="004D19C9" w:rsidRPr="00C62BB3" w:rsidRDefault="004D19C9" w:rsidP="004D19C9">
      <w:pPr>
        <w:pStyle w:val="Call"/>
        <w:rPr>
          <w:rFonts w:asciiTheme="minorHAnsi" w:hAnsiTheme="minorHAnsi" w:cstheme="minorHAnsi"/>
          <w:szCs w:val="24"/>
          <w:lang w:eastAsia="zh-CN"/>
        </w:rPr>
      </w:pPr>
      <w:r w:rsidRPr="00ED2B6E">
        <w:rPr>
          <w:rFonts w:ascii="STKaiti" w:eastAsia="STKaiti" w:hAnsi="STKaiti" w:hint="eastAsia"/>
          <w:i w:val="0"/>
          <w:lang w:val="zh-CN" w:eastAsia="zh-CN"/>
        </w:rPr>
        <w:t>进一步考虑到</w:t>
      </w:r>
    </w:p>
    <w:p w14:paraId="7FD4F907" w14:textId="77777777" w:rsidR="004D19C9" w:rsidRDefault="004D19C9" w:rsidP="004D19C9">
      <w:pPr>
        <w:ind w:firstLineChars="200" w:firstLine="480"/>
        <w:rPr>
          <w:rFonts w:cs="Calibri"/>
          <w:spacing w:val="2"/>
          <w:lang w:eastAsia="zh-CN"/>
        </w:rPr>
      </w:pPr>
      <w:r>
        <w:rPr>
          <w:lang w:val="zh-CN" w:eastAsia="zh-CN"/>
        </w:rPr>
        <w:t>信息通信技术发展基金（</w:t>
      </w:r>
      <w:r>
        <w:rPr>
          <w:lang w:val="zh-CN" w:eastAsia="zh-CN"/>
        </w:rPr>
        <w:t>ICT-DF</w:t>
      </w:r>
      <w:r>
        <w:rPr>
          <w:lang w:val="zh-CN" w:eastAsia="zh-CN"/>
        </w:rPr>
        <w:t>）</w:t>
      </w:r>
      <w:r>
        <w:rPr>
          <w:rFonts w:hint="eastAsia"/>
          <w:lang w:val="zh-CN" w:eastAsia="zh-CN"/>
        </w:rPr>
        <w:t>的现状，</w:t>
      </w:r>
    </w:p>
    <w:p w14:paraId="28626C2B" w14:textId="77777777" w:rsidR="004D19C9" w:rsidRDefault="004D19C9" w:rsidP="004D19C9">
      <w:pPr>
        <w:pStyle w:val="Call"/>
        <w:rPr>
          <w:rStyle w:val="eop"/>
          <w:rFonts w:cs="Calibri"/>
          <w:i w:val="0"/>
          <w:iCs/>
          <w:lang w:eastAsia="zh-CN"/>
        </w:rPr>
      </w:pPr>
      <w:r w:rsidRPr="00ED2B6E">
        <w:rPr>
          <w:rFonts w:ascii="STKaiti" w:eastAsia="STKaiti" w:hAnsi="STKaiti"/>
          <w:i w:val="0"/>
          <w:lang w:val="zh-CN" w:eastAsia="zh-CN"/>
        </w:rPr>
        <w:t>做出决议</w:t>
      </w:r>
    </w:p>
    <w:p w14:paraId="62DC7361" w14:textId="202FAB4F" w:rsidR="004D19C9" w:rsidRDefault="004D19C9" w:rsidP="004D19C9">
      <w:pPr>
        <w:rPr>
          <w:rFonts w:asciiTheme="minorHAnsi" w:hAnsiTheme="minorHAnsi" w:cstheme="minorBidi"/>
          <w:lang w:eastAsia="zh-CN"/>
        </w:rPr>
      </w:pPr>
      <w:r>
        <w:rPr>
          <w:lang w:val="zh-CN" w:eastAsia="zh-CN"/>
        </w:rPr>
        <w:t>1</w:t>
      </w:r>
      <w:r>
        <w:rPr>
          <w:lang w:val="zh-CN" w:eastAsia="zh-CN"/>
        </w:rPr>
        <w:tab/>
      </w:r>
      <w:r>
        <w:rPr>
          <w:lang w:val="zh-CN" w:eastAsia="zh-CN"/>
        </w:rPr>
        <w:t>划拨</w:t>
      </w:r>
      <w:r>
        <w:rPr>
          <w:rFonts w:hint="eastAsia"/>
          <w:lang w:val="zh-CN" w:eastAsia="zh-CN"/>
        </w:rPr>
        <w:t>以下资金：</w:t>
      </w:r>
      <w:r>
        <w:rPr>
          <w:lang w:val="zh-CN" w:eastAsia="zh-CN"/>
        </w:rPr>
        <w:t>落实</w:t>
      </w:r>
      <w:r>
        <w:rPr>
          <w:lang w:val="zh-CN" w:eastAsia="zh-CN"/>
        </w:rPr>
        <w:t>WTSA-24</w:t>
      </w:r>
      <w:r>
        <w:rPr>
          <w:rFonts w:hint="eastAsia"/>
          <w:lang w:val="zh-CN" w:eastAsia="zh-CN"/>
        </w:rPr>
        <w:t>各项</w:t>
      </w:r>
      <w:r>
        <w:rPr>
          <w:lang w:val="zh-CN" w:eastAsia="zh-CN"/>
        </w:rPr>
        <w:t>决议第一年所需的资金（</w:t>
      </w:r>
      <w:r>
        <w:rPr>
          <w:lang w:val="zh-CN" w:eastAsia="zh-CN"/>
        </w:rPr>
        <w:t>556</w:t>
      </w:r>
      <w:r w:rsidR="00482741">
        <w:rPr>
          <w:lang w:val="en-US" w:eastAsia="zh-CN"/>
        </w:rPr>
        <w:t> </w:t>
      </w:r>
      <w:r>
        <w:rPr>
          <w:lang w:val="zh-CN" w:eastAsia="zh-CN"/>
        </w:rPr>
        <w:t>000</w:t>
      </w:r>
      <w:r>
        <w:rPr>
          <w:lang w:val="zh-CN" w:eastAsia="zh-CN"/>
        </w:rPr>
        <w:t>瑞郎）</w:t>
      </w:r>
      <w:r>
        <w:rPr>
          <w:rFonts w:hint="eastAsia"/>
          <w:lang w:val="zh-CN" w:eastAsia="zh-CN"/>
        </w:rPr>
        <w:t>、</w:t>
      </w:r>
      <w:r>
        <w:rPr>
          <w:lang w:val="zh-CN" w:eastAsia="zh-CN"/>
        </w:rPr>
        <w:t>WRC-23</w:t>
      </w:r>
      <w:r>
        <w:rPr>
          <w:lang w:val="zh-CN" w:eastAsia="zh-CN"/>
        </w:rPr>
        <w:t>的</w:t>
      </w:r>
      <w:r>
        <w:rPr>
          <w:rFonts w:hint="eastAsia"/>
          <w:lang w:val="zh-CN" w:eastAsia="zh-CN"/>
        </w:rPr>
        <w:t>各项</w:t>
      </w:r>
      <w:r>
        <w:rPr>
          <w:lang w:val="zh-CN" w:eastAsia="zh-CN"/>
        </w:rPr>
        <w:t>决定（</w:t>
      </w:r>
      <w:r>
        <w:rPr>
          <w:lang w:val="zh-CN" w:eastAsia="zh-CN"/>
        </w:rPr>
        <w:t>300</w:t>
      </w:r>
      <w:r w:rsidR="00482741">
        <w:rPr>
          <w:lang w:val="en-US" w:eastAsia="zh-CN"/>
        </w:rPr>
        <w:t> </w:t>
      </w:r>
      <w:r>
        <w:rPr>
          <w:rFonts w:hint="eastAsia"/>
          <w:lang w:val="zh-CN" w:eastAsia="zh-CN"/>
        </w:rPr>
        <w:t>000</w:t>
      </w:r>
      <w:r>
        <w:rPr>
          <w:lang w:val="zh-CN" w:eastAsia="zh-CN"/>
        </w:rPr>
        <w:t>瑞郎）</w:t>
      </w:r>
      <w:r>
        <w:rPr>
          <w:rFonts w:hint="eastAsia"/>
          <w:lang w:val="zh-CN" w:eastAsia="zh-CN"/>
        </w:rPr>
        <w:t>、</w:t>
      </w:r>
      <w:r>
        <w:rPr>
          <w:lang w:val="zh-CN" w:eastAsia="zh-CN"/>
        </w:rPr>
        <w:t>包括网站改进路线图</w:t>
      </w:r>
      <w:r>
        <w:rPr>
          <w:rFonts w:hint="eastAsia"/>
          <w:lang w:val="zh-CN" w:eastAsia="zh-CN"/>
        </w:rPr>
        <w:t>在内的转型</w:t>
      </w:r>
      <w:r>
        <w:rPr>
          <w:lang w:val="zh-CN" w:eastAsia="zh-CN"/>
        </w:rPr>
        <w:t>路线图（</w:t>
      </w:r>
      <w:r>
        <w:rPr>
          <w:lang w:val="zh-CN" w:eastAsia="zh-CN"/>
        </w:rPr>
        <w:t>25</w:t>
      </w:r>
      <w:r>
        <w:rPr>
          <w:rFonts w:hint="eastAsia"/>
          <w:lang w:val="zh-CN" w:eastAsia="zh-CN"/>
        </w:rPr>
        <w:t>0</w:t>
      </w:r>
      <w:r w:rsidR="00482741">
        <w:rPr>
          <w:lang w:val="en-US" w:eastAsia="zh-CN"/>
        </w:rPr>
        <w:t> </w:t>
      </w:r>
      <w:r>
        <w:rPr>
          <w:rFonts w:hint="eastAsia"/>
          <w:lang w:val="zh-CN" w:eastAsia="zh-CN"/>
        </w:rPr>
        <w:t>000</w:t>
      </w:r>
      <w:r>
        <w:rPr>
          <w:lang w:val="zh-CN" w:eastAsia="zh-CN"/>
        </w:rPr>
        <w:t>瑞郎）、</w:t>
      </w:r>
      <w:r>
        <w:rPr>
          <w:lang w:val="zh-CN" w:eastAsia="zh-CN"/>
        </w:rPr>
        <w:t>WTPF-26</w:t>
      </w:r>
      <w:r>
        <w:rPr>
          <w:lang w:val="zh-CN" w:eastAsia="zh-CN"/>
        </w:rPr>
        <w:t>的筹备（</w:t>
      </w:r>
      <w:r>
        <w:rPr>
          <w:lang w:val="zh-CN" w:eastAsia="zh-CN"/>
        </w:rPr>
        <w:t>18</w:t>
      </w:r>
      <w:r>
        <w:rPr>
          <w:rFonts w:hint="eastAsia"/>
          <w:lang w:val="zh-CN" w:eastAsia="zh-CN"/>
        </w:rPr>
        <w:t>0</w:t>
      </w:r>
      <w:r w:rsidR="00482741">
        <w:rPr>
          <w:lang w:val="en-US" w:eastAsia="zh-CN"/>
        </w:rPr>
        <w:t> </w:t>
      </w:r>
      <w:r>
        <w:rPr>
          <w:rFonts w:hint="eastAsia"/>
          <w:lang w:val="zh-CN" w:eastAsia="zh-CN"/>
        </w:rPr>
        <w:t>000</w:t>
      </w:r>
      <w:r>
        <w:rPr>
          <w:lang w:val="zh-CN" w:eastAsia="zh-CN"/>
        </w:rPr>
        <w:t>瑞郎）、办公楼维护基金（</w:t>
      </w:r>
      <w:r>
        <w:rPr>
          <w:lang w:val="zh-CN" w:eastAsia="zh-CN"/>
        </w:rPr>
        <w:t>1</w:t>
      </w:r>
      <w:proofErr w:type="gramStart"/>
      <w:r w:rsidR="00482741">
        <w:rPr>
          <w:lang w:val="en-US" w:eastAsia="zh-CN"/>
        </w:rPr>
        <w:t> </w:t>
      </w:r>
      <w:r>
        <w:rPr>
          <w:lang w:val="zh-CN" w:eastAsia="zh-CN"/>
        </w:rPr>
        <w:t>000</w:t>
      </w:r>
      <w:r w:rsidR="00482741">
        <w:rPr>
          <w:lang w:val="en-US" w:eastAsia="zh-CN"/>
        </w:rPr>
        <w:t> </w:t>
      </w:r>
      <w:r>
        <w:rPr>
          <w:rFonts w:hint="eastAsia"/>
          <w:lang w:val="zh-CN" w:eastAsia="zh-CN"/>
        </w:rPr>
        <w:t>000</w:t>
      </w:r>
      <w:proofErr w:type="gramEnd"/>
      <w:r>
        <w:rPr>
          <w:lang w:val="zh-CN" w:eastAsia="zh-CN"/>
        </w:rPr>
        <w:t>瑞郎）</w:t>
      </w:r>
      <w:r>
        <w:rPr>
          <w:rFonts w:hint="eastAsia"/>
          <w:lang w:val="zh-CN" w:eastAsia="zh-CN"/>
        </w:rPr>
        <w:t>、</w:t>
      </w:r>
      <w:r>
        <w:rPr>
          <w:lang w:val="zh-CN" w:eastAsia="zh-CN"/>
        </w:rPr>
        <w:t>ICT</w:t>
      </w:r>
      <w:r>
        <w:rPr>
          <w:lang w:val="zh-CN" w:eastAsia="zh-CN"/>
        </w:rPr>
        <w:t>资本基金（</w:t>
      </w:r>
      <w:r>
        <w:rPr>
          <w:lang w:val="zh-CN" w:eastAsia="zh-CN"/>
        </w:rPr>
        <w:t>1</w:t>
      </w:r>
      <w:r w:rsidR="00482741">
        <w:rPr>
          <w:lang w:val="en-US" w:eastAsia="zh-CN"/>
        </w:rPr>
        <w:t> </w:t>
      </w:r>
      <w:r>
        <w:rPr>
          <w:lang w:val="zh-CN" w:eastAsia="zh-CN"/>
        </w:rPr>
        <w:t>500</w:t>
      </w:r>
      <w:r w:rsidR="00482741">
        <w:rPr>
          <w:lang w:val="en-US" w:eastAsia="zh-CN"/>
        </w:rPr>
        <w:t> </w:t>
      </w:r>
      <w:r>
        <w:rPr>
          <w:lang w:val="zh-CN" w:eastAsia="zh-CN"/>
        </w:rPr>
        <w:t>000</w:t>
      </w:r>
      <w:r>
        <w:rPr>
          <w:lang w:val="zh-CN" w:eastAsia="zh-CN"/>
        </w:rPr>
        <w:t>瑞郎）</w:t>
      </w:r>
      <w:r>
        <w:rPr>
          <w:rFonts w:hint="eastAsia"/>
          <w:lang w:val="zh-CN" w:eastAsia="zh-CN"/>
        </w:rPr>
        <w:t>、</w:t>
      </w:r>
      <w:r>
        <w:rPr>
          <w:lang w:val="zh-CN" w:eastAsia="zh-CN"/>
        </w:rPr>
        <w:t>用于人工智能活动</w:t>
      </w:r>
      <w:r>
        <w:rPr>
          <w:rFonts w:hint="eastAsia"/>
          <w:lang w:val="zh-CN" w:eastAsia="zh-CN"/>
        </w:rPr>
        <w:t>的</w:t>
      </w:r>
      <w:r>
        <w:rPr>
          <w:lang w:val="zh-CN" w:eastAsia="zh-CN"/>
        </w:rPr>
        <w:t>50</w:t>
      </w:r>
      <w:r>
        <w:rPr>
          <w:rFonts w:hint="eastAsia"/>
          <w:lang w:val="zh-CN" w:eastAsia="zh-CN"/>
        </w:rPr>
        <w:t>0</w:t>
      </w:r>
      <w:r w:rsidR="00482741">
        <w:rPr>
          <w:lang w:val="en-US" w:eastAsia="zh-CN"/>
        </w:rPr>
        <w:t> </w:t>
      </w:r>
      <w:r>
        <w:rPr>
          <w:rFonts w:hint="eastAsia"/>
          <w:lang w:val="zh-CN" w:eastAsia="zh-CN"/>
        </w:rPr>
        <w:t>000</w:t>
      </w:r>
      <w:r>
        <w:rPr>
          <w:lang w:val="zh-CN" w:eastAsia="zh-CN"/>
        </w:rPr>
        <w:t>瑞郎，并向</w:t>
      </w:r>
      <w:r>
        <w:rPr>
          <w:lang w:val="zh-CN" w:eastAsia="zh-CN"/>
        </w:rPr>
        <w:t>ICT</w:t>
      </w:r>
      <w:r>
        <w:rPr>
          <w:lang w:val="zh-CN" w:eastAsia="zh-CN"/>
        </w:rPr>
        <w:t>发展基金转账</w:t>
      </w:r>
      <w:r>
        <w:rPr>
          <w:lang w:val="zh-CN" w:eastAsia="zh-CN"/>
        </w:rPr>
        <w:t>524</w:t>
      </w:r>
      <w:r w:rsidR="00482741">
        <w:rPr>
          <w:lang w:val="en-US" w:eastAsia="zh-CN"/>
        </w:rPr>
        <w:t> </w:t>
      </w:r>
      <w:r>
        <w:rPr>
          <w:rFonts w:hint="eastAsia"/>
          <w:lang w:val="zh-CN" w:eastAsia="zh-CN"/>
        </w:rPr>
        <w:t>000</w:t>
      </w:r>
      <w:r>
        <w:rPr>
          <w:lang w:val="zh-CN" w:eastAsia="zh-CN"/>
        </w:rPr>
        <w:t>瑞郎</w:t>
      </w:r>
      <w:r>
        <w:rPr>
          <w:rFonts w:hint="eastAsia"/>
          <w:lang w:val="zh-CN" w:eastAsia="zh-CN"/>
        </w:rPr>
        <w:t>；</w:t>
      </w:r>
    </w:p>
    <w:p w14:paraId="3E432E33" w14:textId="25FD344D" w:rsidR="004D19C9" w:rsidRDefault="004D19C9" w:rsidP="004D19C9">
      <w:pPr>
        <w:rPr>
          <w:rFonts w:asciiTheme="minorHAnsi" w:hAnsiTheme="minorHAnsi" w:cstheme="minorBidi"/>
          <w:lang w:eastAsia="zh-CN"/>
        </w:rPr>
      </w:pPr>
      <w:r>
        <w:rPr>
          <w:lang w:val="zh-CN" w:eastAsia="zh-CN"/>
        </w:rPr>
        <w:t>2</w:t>
      </w:r>
      <w:r>
        <w:rPr>
          <w:lang w:val="zh-CN" w:eastAsia="zh-CN"/>
        </w:rPr>
        <w:tab/>
      </w:r>
      <w:r>
        <w:rPr>
          <w:lang w:val="zh-CN" w:eastAsia="zh-CN"/>
        </w:rPr>
        <w:t>将剩余盈余（</w:t>
      </w:r>
      <w:r>
        <w:rPr>
          <w:lang w:val="zh-CN" w:eastAsia="zh-CN"/>
        </w:rPr>
        <w:t>389</w:t>
      </w:r>
      <w:r w:rsidR="00482741">
        <w:rPr>
          <w:lang w:val="en-US" w:eastAsia="zh-CN"/>
        </w:rPr>
        <w:t> </w:t>
      </w:r>
      <w:r>
        <w:rPr>
          <w:rFonts w:hint="eastAsia"/>
          <w:lang w:val="zh-CN" w:eastAsia="zh-CN"/>
        </w:rPr>
        <w:t>000</w:t>
      </w:r>
      <w:r>
        <w:rPr>
          <w:lang w:val="zh-CN" w:eastAsia="zh-CN"/>
        </w:rPr>
        <w:t>瑞郎）划拨至储备金账目。</w:t>
      </w:r>
    </w:p>
    <w:p w14:paraId="35C6D0A5" w14:textId="77777777" w:rsidR="007A3FCD" w:rsidRPr="00C0458D" w:rsidRDefault="007A3FCD" w:rsidP="00D618CB">
      <w:pPr>
        <w:spacing w:before="720"/>
        <w:jc w:val="center"/>
        <w:rPr>
          <w:lang w:eastAsia="zh-CN"/>
        </w:rPr>
      </w:pPr>
      <w:r>
        <w:rPr>
          <w:lang w:eastAsia="zh-CN"/>
        </w:rPr>
        <w:t>______________</w:t>
      </w:r>
    </w:p>
    <w:sectPr w:rsidR="007A3FCD" w:rsidRPr="00C0458D"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F824" w14:textId="77777777" w:rsidR="00D2718F" w:rsidRDefault="00D2718F">
      <w:r>
        <w:separator/>
      </w:r>
    </w:p>
  </w:endnote>
  <w:endnote w:type="continuationSeparator" w:id="0">
    <w:p w14:paraId="681C2C16" w14:textId="77777777" w:rsidR="00D2718F" w:rsidRDefault="00D2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5F4B8883" w:rsidR="00EE49E8" w:rsidRDefault="00EE49E8" w:rsidP="00EE49E8">
          <w:pPr>
            <w:pStyle w:val="Header"/>
            <w:jc w:val="left"/>
            <w:rPr>
              <w:noProof/>
            </w:rPr>
          </w:pPr>
        </w:p>
      </w:tc>
      <w:tc>
        <w:tcPr>
          <w:tcW w:w="8261" w:type="dxa"/>
        </w:tcPr>
        <w:p w14:paraId="6F6B3A01" w14:textId="616E4B4C"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proofErr w:type="spellStart"/>
          <w:r w:rsidRPr="00623AE3">
            <w:rPr>
              <w:bCs/>
            </w:rPr>
            <w:t>C</w:t>
          </w:r>
          <w:r>
            <w:rPr>
              <w:bCs/>
            </w:rPr>
            <w:t>2</w:t>
          </w:r>
          <w:r w:rsidR="00C6520B">
            <w:rPr>
              <w:bCs/>
            </w:rPr>
            <w:t>5</w:t>
          </w:r>
          <w:proofErr w:type="spellEnd"/>
          <w:r w:rsidRPr="00623AE3">
            <w:rPr>
              <w:bCs/>
            </w:rPr>
            <w:t>/</w:t>
          </w:r>
          <w:r w:rsidR="00D618CB">
            <w:rPr>
              <w:bCs/>
            </w:rPr>
            <w:t>4</w:t>
          </w:r>
          <w:r w:rsidR="004D19C9">
            <w:rPr>
              <w:rFonts w:eastAsiaTheme="minorEastAsia" w:hint="eastAsia"/>
              <w:bCs/>
              <w:lang w:eastAsia="zh-CN"/>
            </w:rPr>
            <w:t>3</w:t>
          </w:r>
          <w:r w:rsidRPr="00623AE3">
            <w:rPr>
              <w:bCs/>
            </w:rPr>
            <w:t>-</w:t>
          </w:r>
          <w:r w:rsidR="00356410">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68F817AE" w14:textId="560FC290"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F1FDE">
            <w:rPr>
              <w:bCs/>
            </w:rPr>
            <w:t>5</w:t>
          </w:r>
          <w:proofErr w:type="spellEnd"/>
          <w:r w:rsidRPr="00623AE3">
            <w:rPr>
              <w:bCs/>
            </w:rPr>
            <w:t>/</w:t>
          </w:r>
          <w:r w:rsidR="00D618CB">
            <w:rPr>
              <w:bCs/>
            </w:rPr>
            <w:t>4</w:t>
          </w:r>
          <w:r w:rsidR="004D19C9">
            <w:rPr>
              <w:rFonts w:eastAsiaTheme="minorEastAsia" w:hint="eastAsia"/>
              <w:bCs/>
              <w:lang w:eastAsia="zh-CN"/>
            </w:rPr>
            <w:t>3</w:t>
          </w:r>
          <w:r w:rsidRPr="00623AE3">
            <w:rPr>
              <w:bCs/>
            </w:rPr>
            <w:t>-</w:t>
          </w:r>
          <w:r w:rsidR="005A47FF">
            <w:rPr>
              <w:bCs/>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B247" w14:textId="77777777" w:rsidR="00D2718F" w:rsidRDefault="00D2718F">
      <w:r>
        <w:t>____________________</w:t>
      </w:r>
    </w:p>
  </w:footnote>
  <w:footnote w:type="continuationSeparator" w:id="0">
    <w:p w14:paraId="44B68E21" w14:textId="77777777" w:rsidR="00D2718F" w:rsidRDefault="00D2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5A47FF" w:rsidRPr="00784011" w14:paraId="064E4940" w14:textId="77777777" w:rsidTr="009F4F03">
      <w:trPr>
        <w:trHeight w:val="1104"/>
        <w:jc w:val="center"/>
      </w:trPr>
      <w:tc>
        <w:tcPr>
          <w:tcW w:w="4390" w:type="dxa"/>
          <w:vAlign w:val="center"/>
        </w:tcPr>
        <w:p w14:paraId="6D1271EB" w14:textId="77777777" w:rsidR="005A47FF" w:rsidRPr="009621F8" w:rsidRDefault="005A47FF" w:rsidP="005A47FF">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7799E43D" wp14:editId="65D5F7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7A934AF" w14:textId="77777777" w:rsidR="005A47FF" w:rsidRDefault="005A47FF" w:rsidP="005A47FF">
          <w:pPr>
            <w:pStyle w:val="Header"/>
            <w:jc w:val="right"/>
            <w:rPr>
              <w:rFonts w:ascii="Arial" w:hAnsi="Arial" w:cs="Arial"/>
              <w:b/>
              <w:bCs/>
              <w:color w:val="009CD6"/>
              <w:szCs w:val="18"/>
            </w:rPr>
          </w:pPr>
        </w:p>
        <w:p w14:paraId="31572891" w14:textId="77777777" w:rsidR="005A47FF" w:rsidRDefault="005A47FF" w:rsidP="005A47FF">
          <w:pPr>
            <w:pStyle w:val="Header"/>
            <w:jc w:val="right"/>
            <w:rPr>
              <w:rFonts w:ascii="Arial" w:hAnsi="Arial" w:cs="Arial"/>
              <w:b/>
              <w:bCs/>
              <w:color w:val="009CD6"/>
              <w:szCs w:val="18"/>
            </w:rPr>
          </w:pPr>
        </w:p>
        <w:p w14:paraId="77BC1A6A" w14:textId="77777777" w:rsidR="005A47FF" w:rsidRPr="00784011" w:rsidRDefault="005A47FF" w:rsidP="005A47F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3A13E37B" w:rsidR="00AD3606" w:rsidRPr="005A47FF" w:rsidRDefault="005A47FF" w:rsidP="005A47F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49A4E" wp14:editId="4BF09B6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93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210D4"/>
    <w:rsid w:val="000311D4"/>
    <w:rsid w:val="0006007D"/>
    <w:rsid w:val="00063016"/>
    <w:rsid w:val="00066795"/>
    <w:rsid w:val="000745AB"/>
    <w:rsid w:val="00076AF6"/>
    <w:rsid w:val="00085CF2"/>
    <w:rsid w:val="000B1705"/>
    <w:rsid w:val="000D75B2"/>
    <w:rsid w:val="000F5DDB"/>
    <w:rsid w:val="000F7289"/>
    <w:rsid w:val="001121F5"/>
    <w:rsid w:val="0011568F"/>
    <w:rsid w:val="00126073"/>
    <w:rsid w:val="001400DC"/>
    <w:rsid w:val="00140CE1"/>
    <w:rsid w:val="00172FB7"/>
    <w:rsid w:val="0017539C"/>
    <w:rsid w:val="00175AC2"/>
    <w:rsid w:val="0017609F"/>
    <w:rsid w:val="0019018D"/>
    <w:rsid w:val="001A3154"/>
    <w:rsid w:val="001A6F37"/>
    <w:rsid w:val="001A7D1D"/>
    <w:rsid w:val="001B51DD"/>
    <w:rsid w:val="001C628E"/>
    <w:rsid w:val="001E0F7B"/>
    <w:rsid w:val="001F5569"/>
    <w:rsid w:val="002119FD"/>
    <w:rsid w:val="002130E0"/>
    <w:rsid w:val="00221F46"/>
    <w:rsid w:val="00235FC4"/>
    <w:rsid w:val="00264425"/>
    <w:rsid w:val="00265875"/>
    <w:rsid w:val="0027303B"/>
    <w:rsid w:val="00280689"/>
    <w:rsid w:val="0028109B"/>
    <w:rsid w:val="002A2188"/>
    <w:rsid w:val="002B1F58"/>
    <w:rsid w:val="002B5C7F"/>
    <w:rsid w:val="002C1687"/>
    <w:rsid w:val="002C1C7A"/>
    <w:rsid w:val="002C35EE"/>
    <w:rsid w:val="002C54E2"/>
    <w:rsid w:val="0030160F"/>
    <w:rsid w:val="00320223"/>
    <w:rsid w:val="00322D0D"/>
    <w:rsid w:val="00346896"/>
    <w:rsid w:val="00356410"/>
    <w:rsid w:val="00361465"/>
    <w:rsid w:val="00362846"/>
    <w:rsid w:val="00380F69"/>
    <w:rsid w:val="003877F5"/>
    <w:rsid w:val="003936D3"/>
    <w:rsid w:val="003942D4"/>
    <w:rsid w:val="003958A8"/>
    <w:rsid w:val="003B29C2"/>
    <w:rsid w:val="003C2533"/>
    <w:rsid w:val="003C4863"/>
    <w:rsid w:val="003D5A7F"/>
    <w:rsid w:val="0040435A"/>
    <w:rsid w:val="00416A24"/>
    <w:rsid w:val="00427BFF"/>
    <w:rsid w:val="00431D9E"/>
    <w:rsid w:val="00433CE8"/>
    <w:rsid w:val="00434A5C"/>
    <w:rsid w:val="00453079"/>
    <w:rsid w:val="004544D9"/>
    <w:rsid w:val="00472BAD"/>
    <w:rsid w:val="004811F8"/>
    <w:rsid w:val="00482741"/>
    <w:rsid w:val="0048305E"/>
    <w:rsid w:val="00484009"/>
    <w:rsid w:val="00490E72"/>
    <w:rsid w:val="00491157"/>
    <w:rsid w:val="00491BA9"/>
    <w:rsid w:val="004921C8"/>
    <w:rsid w:val="00495B0B"/>
    <w:rsid w:val="004A1B8B"/>
    <w:rsid w:val="004B25A1"/>
    <w:rsid w:val="004D1851"/>
    <w:rsid w:val="004D19C9"/>
    <w:rsid w:val="004D599D"/>
    <w:rsid w:val="004E2EA5"/>
    <w:rsid w:val="004E3AEB"/>
    <w:rsid w:val="0050223C"/>
    <w:rsid w:val="005243FF"/>
    <w:rsid w:val="005448DF"/>
    <w:rsid w:val="00564FBC"/>
    <w:rsid w:val="00565382"/>
    <w:rsid w:val="005800BC"/>
    <w:rsid w:val="00582442"/>
    <w:rsid w:val="005A47FF"/>
    <w:rsid w:val="005C1EC7"/>
    <w:rsid w:val="005C6A42"/>
    <w:rsid w:val="005F3269"/>
    <w:rsid w:val="00623AE3"/>
    <w:rsid w:val="00630C4D"/>
    <w:rsid w:val="00644EC6"/>
    <w:rsid w:val="0064737F"/>
    <w:rsid w:val="006535F1"/>
    <w:rsid w:val="0065557D"/>
    <w:rsid w:val="00660D50"/>
    <w:rsid w:val="00662984"/>
    <w:rsid w:val="006716BB"/>
    <w:rsid w:val="0069341D"/>
    <w:rsid w:val="006B1859"/>
    <w:rsid w:val="006B6680"/>
    <w:rsid w:val="006B6DCC"/>
    <w:rsid w:val="006B77F1"/>
    <w:rsid w:val="006C5ECF"/>
    <w:rsid w:val="00702DEF"/>
    <w:rsid w:val="00706861"/>
    <w:rsid w:val="00716694"/>
    <w:rsid w:val="00722551"/>
    <w:rsid w:val="00734D0B"/>
    <w:rsid w:val="0075051B"/>
    <w:rsid w:val="007665AD"/>
    <w:rsid w:val="0077110E"/>
    <w:rsid w:val="00783697"/>
    <w:rsid w:val="00791B97"/>
    <w:rsid w:val="00793188"/>
    <w:rsid w:val="00794D34"/>
    <w:rsid w:val="007A3FCD"/>
    <w:rsid w:val="007B19CF"/>
    <w:rsid w:val="007D01AF"/>
    <w:rsid w:val="00810DC9"/>
    <w:rsid w:val="00813E5E"/>
    <w:rsid w:val="0083581B"/>
    <w:rsid w:val="00845BBD"/>
    <w:rsid w:val="00856684"/>
    <w:rsid w:val="00863874"/>
    <w:rsid w:val="00864AFF"/>
    <w:rsid w:val="00865925"/>
    <w:rsid w:val="008B4A6A"/>
    <w:rsid w:val="008C7E27"/>
    <w:rsid w:val="008D0035"/>
    <w:rsid w:val="008F7448"/>
    <w:rsid w:val="0090147A"/>
    <w:rsid w:val="009173EF"/>
    <w:rsid w:val="00932906"/>
    <w:rsid w:val="00961B0B"/>
    <w:rsid w:val="00962D33"/>
    <w:rsid w:val="0096453C"/>
    <w:rsid w:val="009836D5"/>
    <w:rsid w:val="009A014A"/>
    <w:rsid w:val="009A2E74"/>
    <w:rsid w:val="009B38C3"/>
    <w:rsid w:val="009E17BD"/>
    <w:rsid w:val="009E485A"/>
    <w:rsid w:val="00A04CEC"/>
    <w:rsid w:val="00A07996"/>
    <w:rsid w:val="00A272DB"/>
    <w:rsid w:val="00A27F92"/>
    <w:rsid w:val="00A32257"/>
    <w:rsid w:val="00A36D20"/>
    <w:rsid w:val="00A514A4"/>
    <w:rsid w:val="00A537B9"/>
    <w:rsid w:val="00A55622"/>
    <w:rsid w:val="00A73930"/>
    <w:rsid w:val="00A83502"/>
    <w:rsid w:val="00A875ED"/>
    <w:rsid w:val="00A94BAB"/>
    <w:rsid w:val="00AD15B3"/>
    <w:rsid w:val="00AD3606"/>
    <w:rsid w:val="00AD4A3D"/>
    <w:rsid w:val="00AD677D"/>
    <w:rsid w:val="00AF6E49"/>
    <w:rsid w:val="00B04A67"/>
    <w:rsid w:val="00B0583C"/>
    <w:rsid w:val="00B40A81"/>
    <w:rsid w:val="00B44910"/>
    <w:rsid w:val="00B72267"/>
    <w:rsid w:val="00B76EB6"/>
    <w:rsid w:val="00B7737B"/>
    <w:rsid w:val="00B824C8"/>
    <w:rsid w:val="00B84B9D"/>
    <w:rsid w:val="00B9131F"/>
    <w:rsid w:val="00BB0646"/>
    <w:rsid w:val="00BC251A"/>
    <w:rsid w:val="00BD032B"/>
    <w:rsid w:val="00BD6C19"/>
    <w:rsid w:val="00BE01C6"/>
    <w:rsid w:val="00BE0B5F"/>
    <w:rsid w:val="00BE2640"/>
    <w:rsid w:val="00BE6A41"/>
    <w:rsid w:val="00BF1FDE"/>
    <w:rsid w:val="00C01189"/>
    <w:rsid w:val="00C0458D"/>
    <w:rsid w:val="00C374DE"/>
    <w:rsid w:val="00C47AD4"/>
    <w:rsid w:val="00C52D81"/>
    <w:rsid w:val="00C55198"/>
    <w:rsid w:val="00C6520B"/>
    <w:rsid w:val="00C75800"/>
    <w:rsid w:val="00CA30CC"/>
    <w:rsid w:val="00CA6393"/>
    <w:rsid w:val="00CA7995"/>
    <w:rsid w:val="00CB18FF"/>
    <w:rsid w:val="00CB56B7"/>
    <w:rsid w:val="00CD0C08"/>
    <w:rsid w:val="00CD0C73"/>
    <w:rsid w:val="00CE03FB"/>
    <w:rsid w:val="00CE433C"/>
    <w:rsid w:val="00CF0161"/>
    <w:rsid w:val="00CF33F3"/>
    <w:rsid w:val="00CF4A2B"/>
    <w:rsid w:val="00D024CA"/>
    <w:rsid w:val="00D06183"/>
    <w:rsid w:val="00D22C42"/>
    <w:rsid w:val="00D2718F"/>
    <w:rsid w:val="00D30262"/>
    <w:rsid w:val="00D618CB"/>
    <w:rsid w:val="00D62238"/>
    <w:rsid w:val="00D65041"/>
    <w:rsid w:val="00D702E5"/>
    <w:rsid w:val="00DB1936"/>
    <w:rsid w:val="00DB384B"/>
    <w:rsid w:val="00DD11ED"/>
    <w:rsid w:val="00DF0189"/>
    <w:rsid w:val="00DF26C9"/>
    <w:rsid w:val="00E06FD5"/>
    <w:rsid w:val="00E10E80"/>
    <w:rsid w:val="00E124F0"/>
    <w:rsid w:val="00E214A6"/>
    <w:rsid w:val="00E21C7C"/>
    <w:rsid w:val="00E227F3"/>
    <w:rsid w:val="00E545C6"/>
    <w:rsid w:val="00E60754"/>
    <w:rsid w:val="00E60F04"/>
    <w:rsid w:val="00E65B24"/>
    <w:rsid w:val="00E854E4"/>
    <w:rsid w:val="00E86DBF"/>
    <w:rsid w:val="00E969AF"/>
    <w:rsid w:val="00EB0D6F"/>
    <w:rsid w:val="00EB2232"/>
    <w:rsid w:val="00EB4DCD"/>
    <w:rsid w:val="00EC5337"/>
    <w:rsid w:val="00EE49E8"/>
    <w:rsid w:val="00F16BAB"/>
    <w:rsid w:val="00F2150A"/>
    <w:rsid w:val="00F231D8"/>
    <w:rsid w:val="00F41209"/>
    <w:rsid w:val="00F44C00"/>
    <w:rsid w:val="00F45D2C"/>
    <w:rsid w:val="00F46C5F"/>
    <w:rsid w:val="00F632C0"/>
    <w:rsid w:val="00F63631"/>
    <w:rsid w:val="00F641E1"/>
    <w:rsid w:val="00F94A63"/>
    <w:rsid w:val="00FA1C28"/>
    <w:rsid w:val="00FB1279"/>
    <w:rsid w:val="00FB6B76"/>
    <w:rsid w:val="00FB7596"/>
    <w:rsid w:val="00FE4077"/>
    <w:rsid w:val="00FE500D"/>
    <w:rsid w:val="00FE77D2"/>
    <w:rsid w:val="00FF209B"/>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 w:type="character" w:customStyle="1" w:styleId="eop">
    <w:name w:val="eop"/>
    <w:basedOn w:val="DefaultParagraphFont"/>
    <w:rsid w:val="004D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1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L-C-003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4-CL-C-0034/en"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itu.int/md/S24-CL-C-0019/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D/Partners/Pages/ICT-DF/default.aspx" TargetMode="External"/><Relationship Id="rId5" Type="http://schemas.openxmlformats.org/officeDocument/2006/relationships/numbering" Target="numbering.xml"/><Relationship Id="rId15" Type="http://schemas.openxmlformats.org/officeDocument/2006/relationships/hyperlink" Target="https://www.itu.int/md/S25-CL-C-0019/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55/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F2AC-2255-4DBF-9278-6619577B4509}">
  <ds:schemaRefs>
    <ds:schemaRef ds:uri="http://www.w3.org/XML/1998/namespace"/>
    <ds:schemaRef ds:uri="http://purl.org/dc/dcmitype/"/>
    <ds:schemaRef ds:uri="http://purl.org/dc/elements/1.1/"/>
    <ds:schemaRef ds:uri="http://schemas.microsoft.com/office/2006/documentManagement/types"/>
    <ds:schemaRef ds:uri="http://purl.org/dc/terms/"/>
    <ds:schemaRef ds:uri="a1cf676c-2816-4389-ad5d-0f2e7c7e67c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3482</Words>
  <Characters>4102</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Renewal of the mandate of the External Auditor – the United Kingdom’s national audit office (NAO) – for a period of two years</vt:lpstr>
    </vt:vector>
  </TitlesOfParts>
  <Manager>General Secretariat</Manager>
  <Company>International Telecommunication Union (ITU)</Company>
  <LinksUpToDate>false</LinksUpToDate>
  <CharactersWithSpaces>4177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Allocations of savings achieved in 2024 budget implementation and exhibition working capital fund</dc:title>
  <dc:subject>ITU Council 2025</dc:subject>
  <cp:keywords>C25; C2025; Council 2025; ITU160</cp:keywords>
  <dc:description/>
  <cp:lastPrinted>2000-07-18T13:30:00Z</cp:lastPrinted>
  <dcterms:created xsi:type="dcterms:W3CDTF">2025-05-06T08:50:00Z</dcterms:created>
  <dcterms:modified xsi:type="dcterms:W3CDTF">2025-05-06T08:50:00Z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