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158671DC" w14:textId="77777777" w:rsidTr="00F363FE">
        <w:tc>
          <w:tcPr>
            <w:tcW w:w="6512" w:type="dxa"/>
          </w:tcPr>
          <w:p w14:paraId="1B4DC208" w14:textId="198266A0" w:rsidR="007B0AA0" w:rsidRPr="007B0AA0" w:rsidRDefault="007B0AA0" w:rsidP="00F363FE">
            <w:pPr>
              <w:spacing w:before="60" w:after="60" w:line="260" w:lineRule="exact"/>
              <w:rPr>
                <w:b/>
                <w:bCs/>
                <w:rtl/>
                <w:lang w:bidi="ar-EG"/>
              </w:rPr>
            </w:pPr>
            <w:r w:rsidRPr="007B0AA0">
              <w:rPr>
                <w:rFonts w:hint="cs"/>
                <w:b/>
                <w:bCs/>
                <w:rtl/>
                <w:lang w:bidi="ar-EG"/>
              </w:rPr>
              <w:t>بند جدول الأعمال:</w:t>
            </w:r>
            <w:r w:rsidR="007B26BC" w:rsidRPr="00740FB0">
              <w:rPr>
                <w:b/>
                <w:bCs/>
                <w:color w:val="000000"/>
                <w:rtl/>
              </w:rPr>
              <w:t xml:space="preserve"> ADM 1</w:t>
            </w:r>
          </w:p>
        </w:tc>
        <w:tc>
          <w:tcPr>
            <w:tcW w:w="3117" w:type="dxa"/>
          </w:tcPr>
          <w:p w14:paraId="1119600C" w14:textId="66FD7AD4"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6F363C">
              <w:rPr>
                <w:b/>
                <w:bCs/>
                <w:lang w:bidi="ar-EG"/>
              </w:rPr>
              <w:t>5</w:t>
            </w:r>
            <w:r w:rsidRPr="007B0AA0">
              <w:rPr>
                <w:b/>
                <w:bCs/>
                <w:lang w:bidi="ar-EG"/>
              </w:rPr>
              <w:t>/</w:t>
            </w:r>
            <w:r w:rsidR="007B26BC">
              <w:rPr>
                <w:b/>
                <w:bCs/>
                <w:lang w:bidi="ar-EG"/>
              </w:rPr>
              <w:t>43</w:t>
            </w:r>
            <w:r w:rsidRPr="007B0AA0">
              <w:rPr>
                <w:b/>
                <w:bCs/>
                <w:lang w:bidi="ar-EG"/>
              </w:rPr>
              <w:t>-A</w:t>
            </w:r>
          </w:p>
        </w:tc>
      </w:tr>
      <w:tr w:rsidR="007B0AA0" w14:paraId="1B3FA383" w14:textId="77777777" w:rsidTr="00F363FE">
        <w:tc>
          <w:tcPr>
            <w:tcW w:w="6512" w:type="dxa"/>
          </w:tcPr>
          <w:p w14:paraId="61CAB74F" w14:textId="77777777" w:rsidR="007B0AA0" w:rsidRPr="007B0AA0" w:rsidRDefault="007B0AA0" w:rsidP="00F363FE">
            <w:pPr>
              <w:spacing w:before="60" w:after="60" w:line="260" w:lineRule="exact"/>
              <w:rPr>
                <w:b/>
                <w:bCs/>
                <w:rtl/>
                <w:lang w:bidi="ar-EG"/>
              </w:rPr>
            </w:pPr>
          </w:p>
        </w:tc>
        <w:tc>
          <w:tcPr>
            <w:tcW w:w="3117" w:type="dxa"/>
          </w:tcPr>
          <w:p w14:paraId="38E7449A" w14:textId="18CB23B3" w:rsidR="007B0AA0" w:rsidRPr="007B0AA0" w:rsidRDefault="007B26BC" w:rsidP="00F363FE">
            <w:pPr>
              <w:spacing w:before="60" w:after="60" w:line="260" w:lineRule="exact"/>
              <w:rPr>
                <w:b/>
                <w:bCs/>
                <w:rtl/>
                <w:lang w:bidi="ar-EG"/>
              </w:rPr>
            </w:pPr>
            <w:r>
              <w:rPr>
                <w:rFonts w:hint="cs"/>
                <w:b/>
                <w:bCs/>
                <w:rtl/>
              </w:rPr>
              <w:t>‏22‏ أبريل‏ 2025</w:t>
            </w:r>
          </w:p>
        </w:tc>
      </w:tr>
      <w:tr w:rsidR="007B0AA0" w14:paraId="2556A131" w14:textId="77777777" w:rsidTr="00F363FE">
        <w:tc>
          <w:tcPr>
            <w:tcW w:w="6512" w:type="dxa"/>
          </w:tcPr>
          <w:p w14:paraId="73708AB7" w14:textId="77777777" w:rsidR="007B0AA0" w:rsidRPr="007B0AA0" w:rsidRDefault="007B0AA0" w:rsidP="00F363FE">
            <w:pPr>
              <w:spacing w:before="60" w:after="60" w:line="260" w:lineRule="exact"/>
              <w:rPr>
                <w:b/>
                <w:bCs/>
                <w:rtl/>
                <w:lang w:bidi="ar-EG"/>
              </w:rPr>
            </w:pPr>
          </w:p>
        </w:tc>
        <w:tc>
          <w:tcPr>
            <w:tcW w:w="3117" w:type="dxa"/>
          </w:tcPr>
          <w:p w14:paraId="3F867C2D"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50C7686D" w14:textId="77777777" w:rsidTr="00F363FE">
        <w:tc>
          <w:tcPr>
            <w:tcW w:w="6512" w:type="dxa"/>
          </w:tcPr>
          <w:p w14:paraId="07729C49" w14:textId="77777777" w:rsidR="007B0AA0" w:rsidRDefault="007B0AA0" w:rsidP="00F363FE">
            <w:pPr>
              <w:spacing w:before="60" w:after="60" w:line="260" w:lineRule="exact"/>
              <w:rPr>
                <w:lang w:bidi="ar-EG"/>
              </w:rPr>
            </w:pPr>
          </w:p>
        </w:tc>
        <w:tc>
          <w:tcPr>
            <w:tcW w:w="3117" w:type="dxa"/>
          </w:tcPr>
          <w:p w14:paraId="52E25AEF" w14:textId="77777777" w:rsidR="007B0AA0" w:rsidRDefault="007B0AA0" w:rsidP="00F363FE">
            <w:pPr>
              <w:spacing w:before="60" w:after="60" w:line="260" w:lineRule="exact"/>
              <w:rPr>
                <w:rtl/>
                <w:lang w:bidi="ar-EG"/>
              </w:rPr>
            </w:pPr>
          </w:p>
        </w:tc>
      </w:tr>
      <w:tr w:rsidR="007B0AA0" w14:paraId="07CAC130" w14:textId="77777777" w:rsidTr="00EE7446">
        <w:tc>
          <w:tcPr>
            <w:tcW w:w="9629" w:type="dxa"/>
            <w:gridSpan w:val="2"/>
          </w:tcPr>
          <w:p w14:paraId="0CFE0321" w14:textId="77777777" w:rsidR="007B0AA0" w:rsidRDefault="001D64C7" w:rsidP="007B0AA0">
            <w:pPr>
              <w:pStyle w:val="Source"/>
              <w:jc w:val="left"/>
              <w:rPr>
                <w:lang w:bidi="ar-EG"/>
              </w:rPr>
            </w:pPr>
            <w:r>
              <w:rPr>
                <w:rFonts w:hint="cs"/>
                <w:rtl/>
                <w:lang w:bidi="ar-EG"/>
              </w:rPr>
              <w:t>تقرير من الأمينة العامة</w:t>
            </w:r>
          </w:p>
        </w:tc>
      </w:tr>
      <w:tr w:rsidR="007B0AA0" w14:paraId="3443706C" w14:textId="77777777" w:rsidTr="007B0AA0">
        <w:tc>
          <w:tcPr>
            <w:tcW w:w="9629" w:type="dxa"/>
            <w:gridSpan w:val="2"/>
            <w:tcBorders>
              <w:bottom w:val="single" w:sz="4" w:space="0" w:color="auto"/>
            </w:tcBorders>
          </w:tcPr>
          <w:p w14:paraId="08620AC2" w14:textId="47C13EFC" w:rsidR="007B0AA0" w:rsidRPr="005546CF" w:rsidRDefault="007B26BC" w:rsidP="007B0AA0">
            <w:pPr>
              <w:pStyle w:val="Subtitle0"/>
              <w:rPr>
                <w:sz w:val="32"/>
                <w:szCs w:val="32"/>
              </w:rPr>
            </w:pPr>
            <w:r w:rsidRPr="007B26BC">
              <w:rPr>
                <w:sz w:val="32"/>
                <w:szCs w:val="32"/>
                <w:rtl/>
              </w:rPr>
              <w:t>مخصصات الوفورات المحققة في تنفيذ ميزانية 2024</w:t>
            </w:r>
          </w:p>
        </w:tc>
      </w:tr>
      <w:tr w:rsidR="007B0AA0" w14:paraId="10FAFC6C" w14:textId="77777777" w:rsidTr="007B0AA0">
        <w:tc>
          <w:tcPr>
            <w:tcW w:w="9629" w:type="dxa"/>
            <w:gridSpan w:val="2"/>
            <w:tcBorders>
              <w:top w:val="single" w:sz="4" w:space="0" w:color="auto"/>
              <w:bottom w:val="single" w:sz="4" w:space="0" w:color="auto"/>
            </w:tcBorders>
          </w:tcPr>
          <w:p w14:paraId="1A3C9EB4" w14:textId="49215FB6" w:rsidR="007B0AA0" w:rsidRPr="007B0AA0" w:rsidRDefault="007B0AA0" w:rsidP="007B0AA0">
            <w:pPr>
              <w:rPr>
                <w:b/>
                <w:bCs/>
                <w:rtl/>
              </w:rPr>
            </w:pPr>
            <w:r w:rsidRPr="007B0AA0">
              <w:rPr>
                <w:rFonts w:hint="cs"/>
                <w:b/>
                <w:bCs/>
                <w:rtl/>
              </w:rPr>
              <w:t>الغرض</w:t>
            </w:r>
          </w:p>
          <w:p w14:paraId="22A10D19" w14:textId="24D3916E" w:rsidR="007B0AA0" w:rsidRDefault="007B26BC" w:rsidP="007B0AA0">
            <w:pPr>
              <w:rPr>
                <w:rtl/>
              </w:rPr>
            </w:pPr>
            <w:r w:rsidRPr="007B26BC">
              <w:rPr>
                <w:rtl/>
              </w:rPr>
              <w:t>الغرض من هذه الوثيقة أن يُطلب من المجلس تخويل استخدام الوفورات المحققة من تنفيذ ميزانية 2024 لتمويل بعض الأنشطة التي لا تغطيها الميزانية العادية للاتحاد.</w:t>
            </w:r>
          </w:p>
          <w:p w14:paraId="17804A48" w14:textId="77777777" w:rsidR="007B0AA0" w:rsidRPr="007B0AA0" w:rsidRDefault="007B0AA0" w:rsidP="007B0AA0">
            <w:pPr>
              <w:rPr>
                <w:b/>
                <w:bCs/>
                <w:rtl/>
              </w:rPr>
            </w:pPr>
            <w:r w:rsidRPr="007B0AA0">
              <w:rPr>
                <w:rFonts w:hint="cs"/>
                <w:b/>
                <w:bCs/>
                <w:rtl/>
              </w:rPr>
              <w:t>الإجراء المطلوب من المجلس</w:t>
            </w:r>
          </w:p>
          <w:p w14:paraId="2FAE6999" w14:textId="10F98548" w:rsidR="007B0AA0" w:rsidRDefault="007B26BC" w:rsidP="007B0AA0">
            <w:pPr>
              <w:rPr>
                <w:rtl/>
              </w:rPr>
            </w:pPr>
            <w:r w:rsidRPr="00740FB0">
              <w:rPr>
                <w:color w:val="000000"/>
                <w:rtl/>
              </w:rPr>
              <w:t xml:space="preserve">يُدعى المجلس إلى </w:t>
            </w:r>
            <w:r w:rsidRPr="00740FB0">
              <w:rPr>
                <w:b/>
                <w:bCs/>
                <w:color w:val="000000"/>
                <w:rtl/>
              </w:rPr>
              <w:t xml:space="preserve">الموافقة </w:t>
            </w:r>
            <w:r w:rsidRPr="00740FB0">
              <w:rPr>
                <w:color w:val="000000"/>
                <w:rtl/>
              </w:rPr>
              <w:t xml:space="preserve">على مشروع القرار </w:t>
            </w:r>
            <w:hyperlink w:anchor="Annex" w:history="1">
              <w:r w:rsidRPr="007B26BC">
                <w:rPr>
                  <w:rStyle w:val="Hyperlink"/>
                  <w:rFonts w:ascii="Dubai" w:eastAsiaTheme="minorEastAsia" w:hAnsi="Dubai" w:cs="Dubai"/>
                  <w:noProof w:val="0"/>
                  <w:sz w:val="22"/>
                  <w:u w:val="single"/>
                  <w:rtl/>
                  <w:lang w:val="en-US" w:eastAsia="zh-CN"/>
                </w:rPr>
                <w:t>الملحق</w:t>
              </w:r>
            </w:hyperlink>
            <w:r w:rsidRPr="00740FB0">
              <w:rPr>
                <w:color w:val="000000"/>
                <w:rtl/>
              </w:rPr>
              <w:t xml:space="preserve"> بهذه الوثيقة.</w:t>
            </w:r>
          </w:p>
          <w:p w14:paraId="5115EA53" w14:textId="77777777" w:rsidR="007B0AA0" w:rsidRPr="007B0AA0" w:rsidRDefault="007B0AA0" w:rsidP="007B0AA0">
            <w:pPr>
              <w:rPr>
                <w:b/>
                <w:bCs/>
                <w:rtl/>
              </w:rPr>
            </w:pPr>
            <w:r w:rsidRPr="007B0AA0">
              <w:rPr>
                <w:b/>
                <w:bCs/>
                <w:rtl/>
              </w:rPr>
              <w:t>الارتباط ذو الصلة بالخطة (الخطط) ال</w:t>
            </w:r>
            <w:r w:rsidRPr="007B0AA0">
              <w:rPr>
                <w:rFonts w:hint="cs"/>
                <w:b/>
                <w:bCs/>
                <w:rtl/>
              </w:rPr>
              <w:t>ا</w:t>
            </w:r>
            <w:r w:rsidRPr="007B0AA0">
              <w:rPr>
                <w:b/>
                <w:bCs/>
                <w:rtl/>
              </w:rPr>
              <w:t>ستراتيجية</w:t>
            </w:r>
          </w:p>
          <w:p w14:paraId="50CB4087" w14:textId="14D25B53" w:rsidR="007B0AA0" w:rsidRDefault="007B26BC" w:rsidP="007B0AA0">
            <w:pPr>
              <w:rPr>
                <w:rtl/>
              </w:rPr>
            </w:pPr>
            <w:r w:rsidRPr="00740FB0">
              <w:rPr>
                <w:color w:val="000000"/>
                <w:rtl/>
              </w:rPr>
              <w:t>تتوافق هذه الوثيقة مع الخطة الاستراتيجية للفترة 2024-2027.</w:t>
            </w:r>
          </w:p>
          <w:p w14:paraId="207754BC" w14:textId="77777777" w:rsidR="007B0AA0" w:rsidRDefault="007B0AA0" w:rsidP="00B97F32">
            <w:pPr>
              <w:rPr>
                <w:b/>
                <w:bCs/>
              </w:rPr>
            </w:pPr>
            <w:r w:rsidRPr="007B0AA0">
              <w:rPr>
                <w:rFonts w:hint="cs"/>
                <w:b/>
                <w:bCs/>
                <w:rtl/>
              </w:rPr>
              <w:t>الآثار المالية</w:t>
            </w:r>
          </w:p>
          <w:p w14:paraId="1CFA7409" w14:textId="47AA1050" w:rsidR="006F363C" w:rsidRPr="007B26BC" w:rsidRDefault="007B26BC" w:rsidP="007B26BC">
            <w:pPr>
              <w:spacing w:before="160"/>
              <w:rPr>
                <w:b/>
                <w:rtl/>
                <w:lang w:val="ar-SA" w:eastAsia="zh-TW" w:bidi="ar-EG"/>
              </w:rPr>
            </w:pPr>
            <w:r w:rsidRPr="007B26BC">
              <w:rPr>
                <w:b/>
                <w:color w:val="000000"/>
                <w:rtl/>
              </w:rPr>
              <w:t xml:space="preserve">تخصيص مبلغ </w:t>
            </w:r>
            <w:r>
              <w:rPr>
                <w:b/>
                <w:color w:val="000000"/>
              </w:rPr>
              <w:t>5 060</w:t>
            </w:r>
            <w:r w:rsidRPr="007B26BC">
              <w:rPr>
                <w:b/>
                <w:color w:val="000000"/>
                <w:rtl/>
              </w:rPr>
              <w:t xml:space="preserve"> </w:t>
            </w:r>
            <w:r w:rsidRPr="007B26BC">
              <w:rPr>
                <w:bCs/>
                <w:color w:val="000000"/>
                <w:rtl/>
              </w:rPr>
              <w:t>ألف فرنك سويسري</w:t>
            </w:r>
            <w:r w:rsidRPr="007B26BC">
              <w:rPr>
                <w:b/>
                <w:color w:val="000000"/>
                <w:rtl/>
              </w:rPr>
              <w:t xml:space="preserve"> من الوفورات المحققة في تنفيذ ميزانية 2024 لتمويل أنشطة لا تغطيها الميزانية العادية.</w:t>
            </w:r>
          </w:p>
          <w:p w14:paraId="4F42388A"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3A7FD39C" w14:textId="77777777" w:rsidR="007B0AA0" w:rsidRPr="007B0AA0" w:rsidRDefault="007B0AA0" w:rsidP="007B0AA0">
            <w:pPr>
              <w:rPr>
                <w:b/>
                <w:bCs/>
                <w:rtl/>
              </w:rPr>
            </w:pPr>
            <w:r w:rsidRPr="007B0AA0">
              <w:rPr>
                <w:rFonts w:hint="cs"/>
                <w:b/>
                <w:bCs/>
                <w:rtl/>
              </w:rPr>
              <w:t>المراجع</w:t>
            </w:r>
          </w:p>
          <w:p w14:paraId="54E5DA77" w14:textId="40A44B38" w:rsidR="007B0AA0" w:rsidRPr="002A4DB0" w:rsidRDefault="007B26BC" w:rsidP="007B0AA0">
            <w:pPr>
              <w:rPr>
                <w:i/>
                <w:iCs/>
                <w:rtl/>
              </w:rPr>
            </w:pPr>
            <w:r w:rsidRPr="002A4DB0">
              <w:rPr>
                <w:i/>
                <w:iCs/>
                <w:color w:val="000000"/>
                <w:rtl/>
              </w:rPr>
              <w:t xml:space="preserve">المقرر </w:t>
            </w:r>
            <w:hyperlink r:id="rId8" w:history="1">
              <w:r w:rsidRPr="002A4DB0">
                <w:rPr>
                  <w:rStyle w:val="Hyperlink"/>
                  <w:rFonts w:ascii="Dubai" w:eastAsiaTheme="minorEastAsia" w:hAnsi="Dubai" w:cs="Dubai"/>
                  <w:i/>
                  <w:iCs/>
                  <w:noProof w:val="0"/>
                  <w:sz w:val="22"/>
                  <w:u w:val="single"/>
                  <w:rtl/>
                  <w:lang w:val="en-US" w:eastAsia="zh-CN"/>
                </w:rPr>
                <w:t>5 (المراجَع في بوخارست، 2022)</w:t>
              </w:r>
            </w:hyperlink>
            <w:r w:rsidRPr="002A4DB0">
              <w:rPr>
                <w:i/>
                <w:iCs/>
                <w:color w:val="000000"/>
                <w:rtl/>
              </w:rPr>
              <w:t xml:space="preserve">؛ القرار </w:t>
            </w:r>
            <w:hyperlink r:id="rId9" w:history="1">
              <w:r w:rsidRPr="002A4DB0">
                <w:rPr>
                  <w:rStyle w:val="Hyperlink"/>
                  <w:rFonts w:ascii="Dubai" w:eastAsiaTheme="minorEastAsia" w:hAnsi="Dubai" w:cs="Dubai"/>
                  <w:i/>
                  <w:iCs/>
                  <w:noProof w:val="0"/>
                  <w:sz w:val="22"/>
                  <w:u w:val="single"/>
                  <w:rtl/>
                  <w:lang w:val="en-US" w:eastAsia="zh-CN"/>
                </w:rPr>
                <w:t>11 (ملغى. بوخارست، 2022)</w:t>
              </w:r>
            </w:hyperlink>
            <w:r w:rsidRPr="002A4DB0">
              <w:rPr>
                <w:i/>
                <w:iCs/>
                <w:color w:val="000000"/>
                <w:rtl/>
              </w:rPr>
              <w:t xml:space="preserve"> لمؤتمر المندوبين المفوضين؛ قرارا المجلس </w:t>
            </w:r>
            <w:hyperlink r:id="rId10" w:anchor="/ar" w:history="1">
              <w:r w:rsidRPr="00E97A2F">
                <w:rPr>
                  <w:rStyle w:val="Hyperlink"/>
                  <w:rFonts w:ascii="Dubai" w:eastAsiaTheme="minorEastAsia" w:hAnsi="Dubai" w:cs="Dubai"/>
                  <w:i/>
                  <w:iCs/>
                  <w:noProof w:val="0"/>
                  <w:sz w:val="22"/>
                  <w:u w:val="single"/>
                  <w:rtl/>
                  <w:lang w:val="en-US" w:eastAsia="zh-CN"/>
                </w:rPr>
                <w:t>1111</w:t>
              </w:r>
            </w:hyperlink>
            <w:r w:rsidRPr="002A4DB0">
              <w:rPr>
                <w:i/>
                <w:iCs/>
                <w:color w:val="000000"/>
                <w:rtl/>
              </w:rPr>
              <w:t xml:space="preserve"> و</w:t>
            </w:r>
            <w:hyperlink r:id="rId11" w:history="1">
              <w:r w:rsidRPr="002A4DB0">
                <w:rPr>
                  <w:rStyle w:val="Hyperlink"/>
                  <w:rFonts w:ascii="Dubai" w:eastAsiaTheme="minorEastAsia" w:hAnsi="Dubai" w:cs="Dubai"/>
                  <w:i/>
                  <w:iCs/>
                  <w:noProof w:val="0"/>
                  <w:sz w:val="22"/>
                  <w:u w:val="single"/>
                  <w:rtl/>
                  <w:lang w:val="en-US" w:eastAsia="zh-CN"/>
                </w:rPr>
                <w:t>1338</w:t>
              </w:r>
            </w:hyperlink>
            <w:r w:rsidRPr="002A4DB0">
              <w:rPr>
                <w:i/>
                <w:iCs/>
                <w:color w:val="000000"/>
                <w:rtl/>
              </w:rPr>
              <w:t xml:space="preserve">؛ وثيقة المجلس </w:t>
            </w:r>
            <w:hyperlink r:id="rId12" w:history="1">
              <w:r w:rsidRPr="00E97A2F">
                <w:rPr>
                  <w:rStyle w:val="Hyperlink"/>
                  <w:rFonts w:ascii="Dubai" w:eastAsiaTheme="minorEastAsia" w:hAnsi="Dubai" w:cs="Dubai"/>
                  <w:i/>
                  <w:iCs/>
                  <w:noProof w:val="0"/>
                  <w:sz w:val="22"/>
                  <w:u w:val="single"/>
                  <w:rtl/>
                  <w:lang w:val="en-US" w:eastAsia="zh-CN"/>
                </w:rPr>
                <w:t>C24/19</w:t>
              </w:r>
            </w:hyperlink>
          </w:p>
        </w:tc>
      </w:tr>
    </w:tbl>
    <w:p w14:paraId="07B27203" w14:textId="77777777" w:rsidR="00E61BE8" w:rsidRDefault="00E61BE8" w:rsidP="00E61BE8">
      <w:pPr>
        <w:rPr>
          <w:rtl/>
          <w:lang w:bidi="ar-EG"/>
        </w:rPr>
      </w:pPr>
    </w:p>
    <w:p w14:paraId="63CC8819" w14:textId="77777777" w:rsidR="00F50E3F" w:rsidRDefault="00F50E3F" w:rsidP="0043260A">
      <w:pPr>
        <w:rPr>
          <w:rtl/>
          <w:lang w:bidi="ar-EG"/>
        </w:rPr>
      </w:pPr>
      <w:r>
        <w:rPr>
          <w:rtl/>
          <w:lang w:bidi="ar-EG"/>
        </w:rPr>
        <w:br w:type="page"/>
      </w:r>
    </w:p>
    <w:p w14:paraId="35C37904" w14:textId="40184107" w:rsidR="007B26BC" w:rsidRPr="002A4DB0" w:rsidRDefault="002A4DB0" w:rsidP="002A4DB0">
      <w:pPr>
        <w:pStyle w:val="Heading1"/>
        <w:rPr>
          <w:lang w:bidi="ar-EG"/>
        </w:rPr>
      </w:pPr>
      <w:r w:rsidRPr="002A4DB0">
        <w:rPr>
          <w:rFonts w:hint="cs"/>
          <w:rtl/>
        </w:rPr>
        <w:lastRenderedPageBreak/>
        <w:t>1</w:t>
      </w:r>
      <w:r w:rsidRPr="002A4DB0">
        <w:rPr>
          <w:rtl/>
        </w:rPr>
        <w:tab/>
      </w:r>
      <w:r w:rsidR="007B26BC" w:rsidRPr="002A4DB0">
        <w:rPr>
          <w:rtl/>
        </w:rPr>
        <w:t>مقدمة</w:t>
      </w:r>
    </w:p>
    <w:p w14:paraId="2706520A" w14:textId="26E960E6" w:rsidR="007B26BC" w:rsidRPr="002A4DB0" w:rsidRDefault="007B26BC" w:rsidP="002A4DB0">
      <w:r w:rsidRPr="002A4DB0">
        <w:rPr>
          <w:rtl/>
        </w:rPr>
        <w:t xml:space="preserve">انتهى تنفيذ ميزانية 2024 بفائض قدره </w:t>
      </w:r>
      <w:r w:rsidR="002A4DB0" w:rsidRPr="002A4DB0">
        <w:rPr>
          <w:b/>
          <w:bCs/>
        </w:rPr>
        <w:t>5 652</w:t>
      </w:r>
      <w:r w:rsidRPr="002A4DB0">
        <w:rPr>
          <w:b/>
          <w:bCs/>
          <w:rtl/>
        </w:rPr>
        <w:t xml:space="preserve"> ألف فرنك سويسري</w:t>
      </w:r>
      <w:r w:rsidRPr="002A4DB0">
        <w:rPr>
          <w:rtl/>
        </w:rPr>
        <w:t xml:space="preserve">. ويقترح استخدام مبلغ </w:t>
      </w:r>
      <w:r w:rsidRPr="002A4DB0">
        <w:rPr>
          <w:b/>
          <w:bCs/>
        </w:rPr>
        <w:t>5</w:t>
      </w:r>
      <w:r w:rsidR="002A4DB0" w:rsidRPr="002A4DB0">
        <w:rPr>
          <w:b/>
          <w:bCs/>
        </w:rPr>
        <w:t> </w:t>
      </w:r>
      <w:r w:rsidRPr="002A4DB0">
        <w:rPr>
          <w:b/>
          <w:bCs/>
        </w:rPr>
        <w:t>060</w:t>
      </w:r>
      <w:r w:rsidRPr="002A4DB0">
        <w:rPr>
          <w:b/>
          <w:bCs/>
          <w:rtl/>
        </w:rPr>
        <w:t xml:space="preserve"> ألف فرنك سويسري</w:t>
      </w:r>
      <w:r w:rsidRPr="002A4DB0">
        <w:rPr>
          <w:rtl/>
        </w:rPr>
        <w:t xml:space="preserve"> من هذا الفائض لتمويل بعض الأنشطة التي لا تغطيها الميزانية العادية.</w:t>
      </w:r>
    </w:p>
    <w:p w14:paraId="38861D54" w14:textId="77777777" w:rsidR="007B26BC" w:rsidRPr="00740FB0" w:rsidRDefault="007B26BC" w:rsidP="002A4DB0">
      <w:pPr>
        <w:rPr>
          <w:lang w:val="ar-SA" w:eastAsia="zh-TW" w:bidi="en-GB"/>
        </w:rPr>
      </w:pPr>
      <w:r w:rsidRPr="002A4DB0">
        <w:rPr>
          <w:rtl/>
        </w:rPr>
        <w:t>وقد نتج هذا الفائض عن الإدارة الصارمة للتكاليف من أجل توفير التمويل للأولويات التي لم تموَّل أو لم تموَّل بالكامل في الخطة المالية للفترة 2024-2027، والتي أصبحت ضرورية منذ وضعها في عام 2021/2022. وستحدَّد العوامل التالية والنتيجة الكاملة أيضاً في البيانات المالية المراجَعة لعام 2024، التي ستقدَّم إلى المجلس بشكل منفصل. ويرد مزيد من التفاصيل في الفقرات الفرعية التالية:</w:t>
      </w:r>
    </w:p>
    <w:p w14:paraId="0C1FF53D" w14:textId="41DDD863" w:rsidR="007B26BC" w:rsidRPr="002A4DB0" w:rsidRDefault="004653C8" w:rsidP="002A4DB0">
      <w:pPr>
        <w:pStyle w:val="enumlev1"/>
      </w:pPr>
      <w:r>
        <w:rPr>
          <w:b/>
          <w:bCs/>
        </w:rPr>
        <w:t>1.1</w:t>
      </w:r>
      <w:r w:rsidR="007B26BC" w:rsidRPr="002A4DB0">
        <w:rPr>
          <w:b/>
          <w:bCs/>
          <w:rtl/>
        </w:rPr>
        <w:tab/>
        <w:t xml:space="preserve">ضوابط الإنفاق: </w:t>
      </w:r>
      <w:r w:rsidR="007B26BC" w:rsidRPr="002A4DB0">
        <w:rPr>
          <w:rtl/>
        </w:rPr>
        <w:t>خلال عام 2024، مارست الأمانة إدارة صارمة للإنفاق استناداً إلى النقص المتوقع في الإيرادات المتوقعة مقارنةً بخطة الاتحاد المالية للفترة 2024-2027. وبهذه الطريقة، تمكنت الأمانة من خفض نفقاتها بمقدار 900</w:t>
      </w:r>
      <w:r w:rsidR="002A4DB0">
        <w:t> </w:t>
      </w:r>
      <w:r w:rsidR="007B26BC" w:rsidRPr="002A4DB0">
        <w:rPr>
          <w:rtl/>
        </w:rPr>
        <w:t>8 ألف فرنك سويسري، لتصل إلى 830</w:t>
      </w:r>
      <w:r w:rsidR="002A4DB0">
        <w:t> </w:t>
      </w:r>
      <w:r w:rsidR="007B26BC" w:rsidRPr="002A4DB0">
        <w:rPr>
          <w:rtl/>
        </w:rPr>
        <w:t>155 ألف فرنك سويسري مقارنة بالنفقات المخططة البالغة 730</w:t>
      </w:r>
      <w:r w:rsidR="002A4DB0">
        <w:t> </w:t>
      </w:r>
      <w:r w:rsidR="007B26BC" w:rsidRPr="002A4DB0">
        <w:rPr>
          <w:rtl/>
        </w:rPr>
        <w:t>164 ألف فرنك سويسري المدرجة في الميزانية المعتمدة لعام 2024.</w:t>
      </w:r>
    </w:p>
    <w:p w14:paraId="410FD0D8" w14:textId="4FC79078" w:rsidR="007B26BC" w:rsidRPr="002A4DB0" w:rsidRDefault="004653C8" w:rsidP="002A4DB0">
      <w:pPr>
        <w:pStyle w:val="enumlev1"/>
      </w:pPr>
      <w:r>
        <w:rPr>
          <w:b/>
          <w:bCs/>
        </w:rPr>
        <w:t>2.1</w:t>
      </w:r>
      <w:r w:rsidR="007B26BC" w:rsidRPr="002A4DB0">
        <w:rPr>
          <w:b/>
          <w:bCs/>
          <w:rtl/>
        </w:rPr>
        <w:tab/>
        <w:t>نتائج الفوائد وصرف العملات:</w:t>
      </w:r>
      <w:r w:rsidR="007B26BC" w:rsidRPr="002A4DB0">
        <w:rPr>
          <w:rtl/>
        </w:rPr>
        <w:t xml:space="preserve"> شهد الاتحاد نقصاً في الإيرادات أقل من المتوقع قدره -</w:t>
      </w:r>
      <w:r w:rsidR="002A4DB0">
        <w:t>3 249</w:t>
      </w:r>
      <w:r w:rsidR="007B26BC" w:rsidRPr="002A4DB0">
        <w:rPr>
          <w:rtl/>
        </w:rPr>
        <w:t xml:space="preserve"> ألف فرنك سويسري. وتم تعويض العجز البالغ -088</w:t>
      </w:r>
      <w:r w:rsidR="002A4DB0">
        <w:t> </w:t>
      </w:r>
      <w:r w:rsidR="007B26BC" w:rsidRPr="002A4DB0">
        <w:rPr>
          <w:rtl/>
        </w:rPr>
        <w:t>6 ألف فرنك سويسري في إيرادات استرداد التكاليف بتحقيق إيرادات من الفوائد ومكاسب صرف العملات أعلى من المتوقع. ويدير الاتحاد العديد من العملات في إطار تنفيذ مشاريعه وميزانيته العادية، باستخدام استثمارات مدرَّة للفوائد لأجل محدد. وتُدار هذه الاستثمارات بعملات مختلفة بناءً على خصائص المشاريع والجهات المانحة. وفي عام 2024، حقق الاتحاد إيرادات من الفوائد قدرها 635</w:t>
      </w:r>
      <w:r w:rsidR="002A4DB0">
        <w:t> </w:t>
      </w:r>
      <w:r w:rsidR="007B26BC" w:rsidRPr="002A4DB0">
        <w:rPr>
          <w:rtl/>
        </w:rPr>
        <w:t>4 ألف فرنك سويسري (على غرار عام 2023) وسجل خسائر في أسعار الصرف المتعلقة بتلك الاستثمارات قدرها 200</w:t>
      </w:r>
      <w:r w:rsidR="002A4DB0">
        <w:t> </w:t>
      </w:r>
      <w:r w:rsidR="007B26BC" w:rsidRPr="002A4DB0">
        <w:rPr>
          <w:rtl/>
        </w:rPr>
        <w:t>1 ألف فرنك سويسري (في عام 2023 كانت خسائر الصرف أكبر، حيث بلغت 600</w:t>
      </w:r>
      <w:r w:rsidR="002A4DB0">
        <w:t> </w:t>
      </w:r>
      <w:r w:rsidR="007B26BC" w:rsidRPr="002A4DB0">
        <w:rPr>
          <w:rtl/>
        </w:rPr>
        <w:t>3 ألف فرنك سويسري). وبالتالي، حقق الاتحاد في عام 2024 إيرادات صافية من الفوائد وأسعار صرف العملات بقيمة 635</w:t>
      </w:r>
      <w:r w:rsidR="002A4DB0">
        <w:t> </w:t>
      </w:r>
      <w:r w:rsidR="007B26BC" w:rsidRPr="002A4DB0">
        <w:rPr>
          <w:rtl/>
        </w:rPr>
        <w:t>3 ألف فرنك سويسري. وأدى ذلك، إلى جانب المكاسب المحققة في إيرادات تكاليف دعم المشاريع وإيرادات المساهمات المقررة، إلى عجز في الإيرادات أقل من المتوقع، قدره -</w:t>
      </w:r>
      <w:r w:rsidR="002A4DB0">
        <w:t>3 249</w:t>
      </w:r>
      <w:r w:rsidR="007B26BC" w:rsidRPr="002A4DB0">
        <w:rPr>
          <w:rtl/>
        </w:rPr>
        <w:t xml:space="preserve"> ألف فرنك سويسري.</w:t>
      </w:r>
    </w:p>
    <w:p w14:paraId="16CBC457" w14:textId="3C6EC820" w:rsidR="007B26BC" w:rsidRPr="00740FB0" w:rsidRDefault="007B26BC" w:rsidP="002A4DB0">
      <w:pPr>
        <w:rPr>
          <w:lang w:val="ar-SA" w:eastAsia="zh-TW" w:bidi="en-GB"/>
        </w:rPr>
      </w:pPr>
      <w:r w:rsidRPr="00740FB0">
        <w:rPr>
          <w:rtl/>
        </w:rPr>
        <w:t>وقد سبق للأمانة أن أبلغت الأعضاء عن الوضع المالي الصعب الذي يعيشه الاتحاد فيما يتعلق بتمويل أنشطته وضمان الإدارة الحكيمة للموارد. و</w:t>
      </w:r>
      <w:r>
        <w:rPr>
          <w:rtl/>
        </w:rPr>
        <w:t xml:space="preserve">لا يدل </w:t>
      </w:r>
      <w:r w:rsidRPr="00740FB0">
        <w:rPr>
          <w:rtl/>
        </w:rPr>
        <w:t>فائض 2024 على وجود فائض في الموارد، بل يعكس الكفاءة والإدارة الإيجابية للخزينة، بهدف توفير تمويل إضافي للأنشطة الرئيسية التي تعاني من نقص التمويل.</w:t>
      </w:r>
    </w:p>
    <w:p w14:paraId="2237F73A" w14:textId="77777777" w:rsidR="007B26BC" w:rsidRPr="002A4DB0" w:rsidRDefault="007B26BC" w:rsidP="002A4DB0">
      <w:pPr>
        <w:pStyle w:val="Heading1"/>
      </w:pPr>
      <w:r w:rsidRPr="002A4DB0">
        <w:rPr>
          <w:rtl/>
        </w:rPr>
        <w:t>2</w:t>
      </w:r>
      <w:r w:rsidRPr="002A4DB0">
        <w:rPr>
          <w:rtl/>
        </w:rPr>
        <w:tab/>
        <w:t>مقترحات بشأن تخصيص فائض 2024</w:t>
      </w:r>
    </w:p>
    <w:p w14:paraId="581439B2" w14:textId="77777777" w:rsidR="007B26BC" w:rsidRPr="00740FB0" w:rsidRDefault="007B26BC" w:rsidP="002A4DB0">
      <w:pPr>
        <w:rPr>
          <w:lang w:val="ar-SA" w:eastAsia="zh-TW" w:bidi="en-GB"/>
        </w:rPr>
      </w:pPr>
      <w:r w:rsidRPr="002A4DB0">
        <w:rPr>
          <w:rtl/>
        </w:rPr>
        <w:t>يُرجى من المجلس أن يوافق على استخدام الأمانة فائض 2024 لتمويل الأولويات التنظيمية الرئيسية للسنوات القادمة. واستناداً إلى القيود الحالية المفروضة على ميزانية الاتحاد لعام 2025، تطلب الأمانة من المجلس أن يأذن للأمينة العامة باعتماد المخصصات التالية من فائض 2024.</w:t>
      </w:r>
    </w:p>
    <w:p w14:paraId="1AF64266" w14:textId="77777777" w:rsidR="007B26BC" w:rsidRPr="002A4DB0" w:rsidRDefault="007B26BC" w:rsidP="002A4DB0">
      <w:pPr>
        <w:pStyle w:val="Heading1"/>
      </w:pPr>
      <w:r w:rsidRPr="002A4DB0">
        <w:rPr>
          <w:rtl/>
        </w:rPr>
        <w:t>3</w:t>
      </w:r>
      <w:r w:rsidRPr="002A4DB0">
        <w:rPr>
          <w:rtl/>
        </w:rPr>
        <w:tab/>
        <w:t>الأنشطة المؤجَّلة</w:t>
      </w:r>
    </w:p>
    <w:p w14:paraId="745E09A2" w14:textId="26ABC96C" w:rsidR="007B26BC" w:rsidRPr="002A4DB0" w:rsidRDefault="007B26BC" w:rsidP="002A4DB0">
      <w:r w:rsidRPr="002A4DB0">
        <w:rPr>
          <w:rtl/>
        </w:rPr>
        <w:t>تقرر عقد المؤتمر العالمي لتنمية الاتصالات لعام 2025 (WTDC-25) في باكو، أذربيجان، في نوفمبر 2025. ونظراً للجدول الزمني للعملية التحضيرية لهذا المؤتمر، تعذ</w:t>
      </w:r>
      <w:r w:rsidR="002A4DB0">
        <w:rPr>
          <w:rFonts w:hint="cs"/>
          <w:rtl/>
        </w:rPr>
        <w:t>ّ</w:t>
      </w:r>
      <w:r w:rsidRPr="002A4DB0">
        <w:rPr>
          <w:rtl/>
        </w:rPr>
        <w:t xml:space="preserve">ر تحديد مواعيد الاجتماعات الإقليمية التحضيرية للمؤتمر WTDC-25 خلال عام 2024 من أجل مواءمتها مع العملية التحضيرية التي يحددها الأعضاء. وعليه، لم يُصرَف في عام 2024 مبلغ </w:t>
      </w:r>
      <w:r w:rsidRPr="002A4DB0">
        <w:rPr>
          <w:b/>
          <w:bCs/>
          <w:rtl/>
        </w:rPr>
        <w:t>203</w:t>
      </w:r>
      <w:r w:rsidR="00E97A2F">
        <w:rPr>
          <w:rFonts w:hint="cs"/>
          <w:b/>
          <w:bCs/>
          <w:rtl/>
        </w:rPr>
        <w:t> </w:t>
      </w:r>
      <w:r w:rsidRPr="002A4DB0">
        <w:rPr>
          <w:b/>
          <w:bCs/>
          <w:rtl/>
        </w:rPr>
        <w:t>آلاف فرنك سويسري</w:t>
      </w:r>
      <w:r w:rsidRPr="002A4DB0">
        <w:rPr>
          <w:rtl/>
        </w:rPr>
        <w:t xml:space="preserve"> المدرج في ميزانية 2024 للاجتماعات الإقليمية التحضيرية، وستُعقد هذه الاجتماعات الآن في عام</w:t>
      </w:r>
      <w:r w:rsidR="002A4DB0">
        <w:rPr>
          <w:rFonts w:hint="cs"/>
          <w:rtl/>
        </w:rPr>
        <w:t> </w:t>
      </w:r>
      <w:r w:rsidRPr="002A4DB0">
        <w:rPr>
          <w:rtl/>
        </w:rPr>
        <w:t>2025. ولذلك تقترح الأمانة تأجيل هذه النفقات من عام 2024 إلى عام 2025.</w:t>
      </w:r>
    </w:p>
    <w:p w14:paraId="56A49019" w14:textId="77777777" w:rsidR="007B26BC" w:rsidRPr="002A4DB0" w:rsidRDefault="007B26BC" w:rsidP="002A4DB0">
      <w:pPr>
        <w:pStyle w:val="Heading1"/>
      </w:pPr>
      <w:r w:rsidRPr="002A4DB0">
        <w:rPr>
          <w:rtl/>
        </w:rPr>
        <w:t>4</w:t>
      </w:r>
      <w:r w:rsidRPr="002A4DB0">
        <w:rPr>
          <w:rtl/>
        </w:rPr>
        <w:tab/>
        <w:t>القرار 198</w:t>
      </w:r>
    </w:p>
    <w:p w14:paraId="0238FFDA" w14:textId="2F6271DD" w:rsidR="007B26BC" w:rsidRPr="002A4DB0" w:rsidRDefault="007B26BC" w:rsidP="002A4DB0">
      <w:r w:rsidRPr="002A4DB0">
        <w:rPr>
          <w:rtl/>
        </w:rPr>
        <w:t xml:space="preserve">ينص القرار 198 (المراجَع في بوخارست، 2022) لمؤتمر المندوبين المفوضين، بشأن تمكين الشباب من خلال الاتصالات/تكنولوجيا المعلومات والاتصالات، على تكليف الأمين العام بأن يواصل العمل على ضمان إدراج منظور الشباب في برامج العمل ونُهج الإدارة وأنشطة تنمية الموارد البشرية في الاتحاد. وقُدم في الوثيقة </w:t>
      </w:r>
      <w:hyperlink r:id="rId13" w:history="1">
        <w:r w:rsidRPr="00464940">
          <w:rPr>
            <w:rStyle w:val="Hyperlink"/>
            <w:rFonts w:ascii="Dubai" w:eastAsiaTheme="minorEastAsia" w:hAnsi="Dubai" w:cs="Dubai"/>
            <w:noProof w:val="0"/>
            <w:sz w:val="22"/>
            <w:u w:val="single"/>
            <w:rtl/>
            <w:lang w:val="en-US" w:eastAsia="zh-CN"/>
          </w:rPr>
          <w:t>C24/31</w:t>
        </w:r>
      </w:hyperlink>
      <w:r w:rsidRPr="002A4DB0">
        <w:rPr>
          <w:rtl/>
        </w:rPr>
        <w:t xml:space="preserve"> مقترح </w:t>
      </w:r>
      <w:r w:rsidRPr="002A4DB0">
        <w:rPr>
          <w:rtl/>
        </w:rPr>
        <w:lastRenderedPageBreak/>
        <w:t xml:space="preserve">تخصيص مبلغ </w:t>
      </w:r>
      <w:r w:rsidRPr="00464940">
        <w:rPr>
          <w:b/>
          <w:bCs/>
          <w:rtl/>
        </w:rPr>
        <w:t>250 ألف فرنك سويسري</w:t>
      </w:r>
      <w:r w:rsidRPr="002A4DB0">
        <w:rPr>
          <w:rtl/>
        </w:rPr>
        <w:t xml:space="preserve"> (لوظيفة إضافية لبرنامج المهنيين الشباب (</w:t>
      </w:r>
      <w:r w:rsidRPr="002A4DB0">
        <w:t>YPP</w:t>
      </w:r>
      <w:r w:rsidRPr="002A4DB0">
        <w:rPr>
          <w:rtl/>
        </w:rPr>
        <w:t>)) يموَّل من وفورات تنفيذ ميزانية 2024، وأخذ المجلس علماً بهذا المقترح في دورته لعام 2024.</w:t>
      </w:r>
    </w:p>
    <w:p w14:paraId="5FBC0FD5" w14:textId="77777777" w:rsidR="007B26BC" w:rsidRPr="00464940" w:rsidRDefault="007B26BC" w:rsidP="00464940">
      <w:pPr>
        <w:pStyle w:val="Heading1"/>
      </w:pPr>
      <w:r w:rsidRPr="00464940">
        <w:rPr>
          <w:rtl/>
        </w:rPr>
        <w:t>5</w:t>
      </w:r>
      <w:r w:rsidRPr="00464940">
        <w:rPr>
          <w:rtl/>
        </w:rPr>
        <w:tab/>
        <w:t>تمويل المبادرات التي وافق عليها المجلس ولكنها لم تموَّل</w:t>
      </w:r>
    </w:p>
    <w:p w14:paraId="4CB83CB7" w14:textId="77777777" w:rsidR="007B26BC" w:rsidRPr="00464940" w:rsidRDefault="007B26BC" w:rsidP="00464940">
      <w:r w:rsidRPr="00464940">
        <w:rPr>
          <w:rtl/>
        </w:rPr>
        <w:t>نوقشت عدة مبادرات ووافق عليها في المجلس، رهناً بتوافر التمويل من الفوائض التي تتحقق. وتُعرض بمزبد من التفصيل أدناه.</w:t>
      </w:r>
    </w:p>
    <w:p w14:paraId="52FE1D42" w14:textId="017BC11D" w:rsidR="007B26BC" w:rsidRPr="00464940" w:rsidRDefault="00464940" w:rsidP="00464940">
      <w:pPr>
        <w:pStyle w:val="Heading2"/>
      </w:pPr>
      <w:r>
        <w:t>1.5</w:t>
      </w:r>
      <w:r>
        <w:tab/>
      </w:r>
      <w:r w:rsidR="007B26BC" w:rsidRPr="00464940">
        <w:rPr>
          <w:rtl/>
        </w:rPr>
        <w:t xml:space="preserve">صندوق تنمية تكنولوجيا المعلومات والاتصالات </w:t>
      </w:r>
      <w:r w:rsidR="007B26BC" w:rsidRPr="00464940">
        <w:t>(ICT-DF</w:t>
      </w:r>
      <w:r>
        <w:t>)</w:t>
      </w:r>
    </w:p>
    <w:p w14:paraId="79B55293" w14:textId="41E53B54" w:rsidR="007B26BC" w:rsidRPr="00464940" w:rsidRDefault="007B26BC" w:rsidP="00464940">
      <w:r w:rsidRPr="00464940">
        <w:rPr>
          <w:rtl/>
        </w:rPr>
        <w:t xml:space="preserve">فيما يتعلق بالمبادرات الإقليمية، يدعم صندوق تنمية تكنولوجيا المعلومات والاتصالات </w:t>
      </w:r>
      <w:hyperlink r:id="rId14" w:history="1">
        <w:r w:rsidRPr="00464940">
          <w:rPr>
            <w:rStyle w:val="Hyperlink"/>
            <w:rFonts w:ascii="Dubai" w:eastAsiaTheme="minorEastAsia" w:hAnsi="Dubai" w:cs="Dubai"/>
            <w:noProof w:val="0"/>
            <w:sz w:val="22"/>
            <w:u w:val="single"/>
            <w:lang w:val="en-US" w:eastAsia="zh-CN"/>
          </w:rPr>
          <w:t>ICT-DF</w:t>
        </w:r>
      </w:hyperlink>
      <w:r w:rsidR="00464940">
        <w:t>)</w:t>
      </w:r>
      <w:r w:rsidRPr="00464940">
        <w:rPr>
          <w:rtl/>
        </w:rPr>
        <w:t>)، الذي أُطلق في</w:t>
      </w:r>
      <w:r w:rsidR="00464940">
        <w:rPr>
          <w:rFonts w:hint="cs"/>
          <w:rtl/>
        </w:rPr>
        <w:t> </w:t>
      </w:r>
      <w:r w:rsidRPr="00464940">
        <w:rPr>
          <w:rtl/>
        </w:rPr>
        <w:t>عام</w:t>
      </w:r>
      <w:r w:rsidR="00464940">
        <w:rPr>
          <w:rFonts w:hint="cs"/>
          <w:rtl/>
        </w:rPr>
        <w:t> </w:t>
      </w:r>
      <w:r w:rsidRPr="00464940">
        <w:rPr>
          <w:rtl/>
        </w:rPr>
        <w:t>1997، تنفيذ مشاريع تقوم على شراكات متعددة أصحاب المصلحة مع الدول الأعضاء في الاتحاد وأعضاء قطاعات الاتحاد، والقطاعين العام والخاص، ومنظمات متعددة الأطراف، ومؤسسات، ومؤسسات مالية، ووكالات إنمائية. وناقش المجلس في دورته لعام 2024 الحاجة إلى توفير آليات لتجديد موارد صندوق تنمية تكنولوجيا المعلومات والاتصالات، وفي</w:t>
      </w:r>
      <w:r w:rsidR="00464940">
        <w:rPr>
          <w:rFonts w:hint="cs"/>
          <w:rtl/>
        </w:rPr>
        <w:t> </w:t>
      </w:r>
      <w:r w:rsidRPr="00464940">
        <w:rPr>
          <w:rtl/>
        </w:rPr>
        <w:t xml:space="preserve">هذا الصدد، أحاط المجلس علماً بمقترح الأمانة الوارد في الوثيقة </w:t>
      </w:r>
      <w:hyperlink r:id="rId15" w:history="1">
        <w:r w:rsidRPr="00E97A2F">
          <w:rPr>
            <w:rStyle w:val="Hyperlink"/>
            <w:rFonts w:ascii="Dubai" w:eastAsiaTheme="minorEastAsia" w:hAnsi="Dubai" w:cs="Dubai"/>
            <w:noProof w:val="0"/>
            <w:sz w:val="22"/>
            <w:u w:val="single"/>
            <w:rtl/>
            <w:lang w:val="en-US" w:eastAsia="zh-CN"/>
          </w:rPr>
          <w:t>C24/34(Rev.1)</w:t>
        </w:r>
      </w:hyperlink>
      <w:r w:rsidRPr="00464940">
        <w:rPr>
          <w:rtl/>
        </w:rPr>
        <w:t xml:space="preserve"> الذي ينص على أنه "كخطوة أخرى لتجديد موارد صندوق تنمية تكنولوجيا المعلومات والاتصالات، يعاد اعتباراً من عام 2024 أي فائض في تكاليف الخدمات الإدارية والتشغيلية (</w:t>
      </w:r>
      <w:r w:rsidRPr="00464940">
        <w:t>AOS</w:t>
      </w:r>
      <w:r w:rsidRPr="00464940">
        <w:rPr>
          <w:rtl/>
        </w:rPr>
        <w:t xml:space="preserve">) يتجاوز المبلغ المرصود لها في الميزانية السنوية إلى حساب رأسمال صندوق تنمية تكنولوجيا المعلومات والاتصالات، على أن يكون الغرض الأساسي من هذه الأموال هو دعم تنفيذ المشاريع". وخلال عام 2024، نظراً لتحقيق عائد أفضل على تكاليف الدعم المرتبطة بشكل خاص بتنفيذ المشاريع في السنة المالية 2024، تجاوز استرداد تكاليف الخدمات الإدارية والتشغيلية المبلغ المرصود لها في الميزانية بمقدار </w:t>
      </w:r>
      <w:r w:rsidRPr="00464940">
        <w:rPr>
          <w:b/>
          <w:bCs/>
          <w:rtl/>
        </w:rPr>
        <w:t>524 ألف فرنك سويسري</w:t>
      </w:r>
      <w:r w:rsidRPr="00464940">
        <w:rPr>
          <w:rtl/>
        </w:rPr>
        <w:t xml:space="preserve">. ويُقترح تخصيص هذا المبلغ لصندوق تنمية تكنولوجيا المعلومات والاتصالات (الوثيقة </w:t>
      </w:r>
      <w:hyperlink r:id="rId16" w:history="1">
        <w:r w:rsidRPr="00464940">
          <w:rPr>
            <w:rStyle w:val="Hyperlink"/>
            <w:rFonts w:ascii="Dubai" w:eastAsiaTheme="minorEastAsia" w:hAnsi="Dubai" w:cs="Dubai"/>
            <w:noProof w:val="0"/>
            <w:sz w:val="22"/>
            <w:u w:val="single"/>
            <w:rtl/>
            <w:lang w:val="en-US" w:eastAsia="zh-CN"/>
          </w:rPr>
          <w:t>C25/34</w:t>
        </w:r>
      </w:hyperlink>
      <w:r w:rsidRPr="00464940">
        <w:rPr>
          <w:rtl/>
        </w:rPr>
        <w:t>)، ويُدعى المجلس إلى الموافقة على ذلك.</w:t>
      </w:r>
    </w:p>
    <w:p w14:paraId="3C2DDD4B" w14:textId="3CC5AEF8" w:rsidR="007B26BC" w:rsidRPr="00464940" w:rsidRDefault="00464940" w:rsidP="00464940">
      <w:pPr>
        <w:pStyle w:val="Heading2"/>
      </w:pPr>
      <w:r>
        <w:t>2.5</w:t>
      </w:r>
      <w:r w:rsidR="007B26BC" w:rsidRPr="00464940">
        <w:rPr>
          <w:rtl/>
        </w:rPr>
        <w:tab/>
        <w:t>مبادرة التحول في الاتحاد</w:t>
      </w:r>
    </w:p>
    <w:p w14:paraId="468F64E1" w14:textId="186687CD" w:rsidR="007B26BC" w:rsidRPr="00464940" w:rsidRDefault="007B26BC" w:rsidP="00464940">
      <w:r w:rsidRPr="00464940">
        <w:rPr>
          <w:rtl/>
        </w:rPr>
        <w:t xml:space="preserve">عُرض مشروع الموقع الإلكتروني الجديد للاتحاد على المجلس في دورته لعام 2024 في الوثيقة </w:t>
      </w:r>
      <w:hyperlink r:id="rId17" w:history="1">
        <w:r w:rsidRPr="00464940">
          <w:rPr>
            <w:rStyle w:val="Hyperlink"/>
            <w:rFonts w:ascii="Dubai" w:eastAsiaTheme="minorEastAsia" w:hAnsi="Dubai" w:cs="Dubai"/>
            <w:noProof w:val="0"/>
            <w:sz w:val="22"/>
            <w:u w:val="single"/>
            <w:rtl/>
            <w:lang w:val="en-US" w:eastAsia="zh-CN"/>
          </w:rPr>
          <w:t>C24/53</w:t>
        </w:r>
      </w:hyperlink>
      <w:r w:rsidRPr="00464940">
        <w:rPr>
          <w:rtl/>
        </w:rPr>
        <w:t xml:space="preserve"> وتمت الموافقة عليه. وقُدر التمويل الإجمالي لمشروع الموقع الإلكتروني بمبلغ 600 ألف فرنك سويسري، خُصص منه ما مجموعه 350</w:t>
      </w:r>
      <w:r w:rsidR="00464940">
        <w:rPr>
          <w:rFonts w:hint="cs"/>
          <w:rtl/>
        </w:rPr>
        <w:t> </w:t>
      </w:r>
      <w:r w:rsidRPr="00464940">
        <w:rPr>
          <w:rtl/>
        </w:rPr>
        <w:t xml:space="preserve">ألف فرنك سويسري من الوفورات المحققة في عام 2023، في إطار مبادرة التحول في الاتحاد. ويقدَّم تقرير عن استخدام هذه الأموال إلى المجلس في الوثيقة </w:t>
      </w:r>
      <w:hyperlink r:id="rId18" w:history="1">
        <w:r w:rsidRPr="00464940">
          <w:rPr>
            <w:rStyle w:val="Hyperlink"/>
            <w:rFonts w:ascii="Dubai" w:eastAsiaTheme="minorEastAsia" w:hAnsi="Dubai" w:cs="Dubai"/>
            <w:noProof w:val="0"/>
            <w:sz w:val="22"/>
            <w:u w:val="single"/>
            <w:rtl/>
            <w:lang w:val="en-US" w:eastAsia="zh-CN"/>
          </w:rPr>
          <w:t>C25/55</w:t>
        </w:r>
      </w:hyperlink>
      <w:r w:rsidRPr="00464940">
        <w:rPr>
          <w:rtl/>
        </w:rPr>
        <w:t xml:space="preserve">، وأُحرز تقدم في إصدار طلب لتقديم مقترحات بشأن المرحلة الأولى من المشروع. وتطلب الأمانة الآن أن يوافق المجلس على تخصيص تمويل إضافي بمبلغ </w:t>
      </w:r>
      <w:r w:rsidRPr="00464940">
        <w:rPr>
          <w:b/>
          <w:bCs/>
          <w:rtl/>
        </w:rPr>
        <w:t>250 ألف فرنك سويسري</w:t>
      </w:r>
      <w:r w:rsidRPr="00464940">
        <w:rPr>
          <w:rtl/>
        </w:rPr>
        <w:t xml:space="preserve"> المتبقي المطلوب لتمويل الميزانية التقديرية، من فائض 2024 لمشروع الموقع الإلكتروني.</w:t>
      </w:r>
    </w:p>
    <w:p w14:paraId="061DF564" w14:textId="7CD7210B" w:rsidR="007B26BC" w:rsidRPr="00464940" w:rsidRDefault="00464940" w:rsidP="00464940">
      <w:pPr>
        <w:pStyle w:val="Heading2"/>
      </w:pPr>
      <w:r>
        <w:t>3.5</w:t>
      </w:r>
      <w:r w:rsidR="007B26BC" w:rsidRPr="00464940">
        <w:rPr>
          <w:rtl/>
        </w:rPr>
        <w:tab/>
        <w:t>مبادرات الاتحاد المتعلقة بالذكاء الاصطناعي</w:t>
      </w:r>
    </w:p>
    <w:p w14:paraId="465BB526" w14:textId="6A7D6F5C" w:rsidR="007B26BC" w:rsidRPr="00464940" w:rsidRDefault="007B26BC" w:rsidP="00464940">
      <w:r w:rsidRPr="00464940">
        <w:rPr>
          <w:rtl/>
        </w:rPr>
        <w:t xml:space="preserve">ينفذ الاتحاد منذ عام 2017 برنامجاً طموحاً بشأن الذكاء الاصطناعي </w:t>
      </w:r>
      <w:r w:rsidRPr="00464940">
        <w:t>AI</w:t>
      </w:r>
      <w:r w:rsidR="00464940">
        <w:t>)</w:t>
      </w:r>
      <w:r w:rsidRPr="00464940">
        <w:rPr>
          <w:rtl/>
        </w:rPr>
        <w:t xml:space="preserve">)، مسترشداً بالقرار 214 (بوخارست، 2022) لمؤتمر المندوبين المفوضين، الذي يعززه القرار التاريخي الجديد </w:t>
      </w:r>
      <w:r w:rsidRPr="00464940">
        <w:t>A/78/L.49</w:t>
      </w:r>
      <w:r w:rsidRPr="00464940">
        <w:rPr>
          <w:rtl/>
        </w:rPr>
        <w:t xml:space="preserve"> الصادر عن الجمعية العامة للأمم المتحدة.</w:t>
      </w:r>
    </w:p>
    <w:p w14:paraId="47415902" w14:textId="22117A43" w:rsidR="007B26BC" w:rsidRPr="00464940" w:rsidRDefault="007B26BC" w:rsidP="00464940">
      <w:r w:rsidRPr="00464940">
        <w:rPr>
          <w:rtl/>
        </w:rPr>
        <w:t>وتدعم هذه الجهود بشكل مباشر القرار 101 المعتمد في الجمعية العالمية لتقييس الاتصالات لعام 2024 (</w:t>
      </w:r>
      <w:r w:rsidR="00464940">
        <w:t>WTSA</w:t>
      </w:r>
      <w:r w:rsidR="00464940">
        <w:noBreakHyphen/>
        <w:t>24</w:t>
      </w:r>
      <w:r w:rsidRPr="00464940">
        <w:rPr>
          <w:rtl/>
        </w:rPr>
        <w:t>)، الذي يشجع على مواصلة دعم منصة الذكاء الاصطناعي من أجل تحقيق المصلحة العامة، وتعزيز التعاون الدولي بشأن بناء القدرات في مجال الذكاء الاصطناعي ووضع المعايير وتنسيقها. وتعكس هذه الأنشطة أيضاً التنفيذ السريع لتوصيات الميثاق الرقمي العالمي بشأن الذكاء الاصطناعي.</w:t>
      </w:r>
    </w:p>
    <w:p w14:paraId="31007247" w14:textId="77777777" w:rsidR="007B26BC" w:rsidRPr="00464940" w:rsidRDefault="007B26BC" w:rsidP="00464940">
      <w:r w:rsidRPr="00464940">
        <w:rPr>
          <w:rtl/>
        </w:rPr>
        <w:t>ومع استمرار نمو الطلب، يشهد الاتحاد مزيدًا من الطلبات على أحداث الذكاء الاصطناعي من أجل تحقيق المصلحة العامة ومشاريع بناء القدرات ذات الصلة بالذكاء الاصطناعي على الصعيدين الوطني والإقليمي. وترد هذه الطلبات من الدول الأعضاء والمكاتب الإقليمية والشركاء الخارجيين، ما يزيد الضغط على الموارد الحالية للاتحاد.</w:t>
      </w:r>
    </w:p>
    <w:p w14:paraId="792CCB62" w14:textId="77777777" w:rsidR="007B26BC" w:rsidRPr="00464940" w:rsidRDefault="007B26BC" w:rsidP="00464940">
      <w:r w:rsidRPr="00464940">
        <w:rPr>
          <w:rtl/>
        </w:rPr>
        <w:t xml:space="preserve">وبالنظر إلى ذلك، يقترح الاتحاد تخصيص مبلغ </w:t>
      </w:r>
      <w:r w:rsidRPr="004653C8">
        <w:rPr>
          <w:b/>
          <w:bCs/>
          <w:rtl/>
        </w:rPr>
        <w:t>500 ألف فرنك سويسري</w:t>
      </w:r>
      <w:r w:rsidRPr="00464940">
        <w:rPr>
          <w:rtl/>
        </w:rPr>
        <w:t xml:space="preserve"> من وفورات 2024 لإنشاء صندوق لدعم مبادرات الاتحاد المتعلقة بالذكاء الاصطناعي المنفَّذة داخل الأمانة العامة ومكتب تقييس الاتصالات.</w:t>
      </w:r>
    </w:p>
    <w:p w14:paraId="46835447" w14:textId="77777777" w:rsidR="007B26BC" w:rsidRPr="00464940" w:rsidRDefault="007B26BC" w:rsidP="00464940">
      <w:r w:rsidRPr="00464940">
        <w:rPr>
          <w:rtl/>
        </w:rPr>
        <w:t>وستُستخدم الأموال المطلوبة لتغطية تكاليف الإنتاج، والاستشاريين، والمِنح، والبحوث، وأدوات الويب والبرمجيات الخاصة بالمسابقات، والسفر، والإيجارات، واللوجستيات.</w:t>
      </w:r>
    </w:p>
    <w:p w14:paraId="3745145D" w14:textId="17A648AF" w:rsidR="007B26BC" w:rsidRPr="00464940" w:rsidRDefault="004653C8" w:rsidP="004653C8">
      <w:pPr>
        <w:pStyle w:val="Heading2"/>
      </w:pPr>
      <w:r>
        <w:lastRenderedPageBreak/>
        <w:t>4.5</w:t>
      </w:r>
      <w:r w:rsidR="007B26BC" w:rsidRPr="00464940">
        <w:rPr>
          <w:rtl/>
        </w:rPr>
        <w:tab/>
        <w:t xml:space="preserve">المنتدى العالمي لسياسات الاتصالات/تكنولوجيا المعلومات والاتصالات </w:t>
      </w:r>
      <w:r w:rsidR="007B26BC" w:rsidRPr="00464940">
        <w:t>(WTPF</w:t>
      </w:r>
      <w:r>
        <w:t>)</w:t>
      </w:r>
    </w:p>
    <w:p w14:paraId="702B1530" w14:textId="5925AF0E" w:rsidR="007B26BC" w:rsidRPr="00464940" w:rsidRDefault="007B26BC" w:rsidP="00464940">
      <w:r w:rsidRPr="00464940">
        <w:rPr>
          <w:rtl/>
        </w:rPr>
        <w:t>كلَّف مؤتمر المندوبين المفوضين (بوخارست، 2022) المجلس بتحديد موعد لعقد دورة للمنتدى العالمي لسياسات الاتصالات/تكنولوجيا المعلومات والاتصالات (</w:t>
      </w:r>
      <w:r w:rsidRPr="00464940">
        <w:t>WTPF</w:t>
      </w:r>
      <w:r w:rsidRPr="00464940">
        <w:rPr>
          <w:rtl/>
        </w:rPr>
        <w:t xml:space="preserve">) في عام 2026. وتقترح الأمانة تخصيص مبلغ </w:t>
      </w:r>
      <w:r w:rsidRPr="004653C8">
        <w:rPr>
          <w:b/>
          <w:bCs/>
          <w:rtl/>
        </w:rPr>
        <w:t>180 ألف فرنك سويسري</w:t>
      </w:r>
      <w:r w:rsidRPr="00464940">
        <w:rPr>
          <w:rtl/>
        </w:rPr>
        <w:t xml:space="preserve"> لتمويل تعيين موظف إضافي لدعم الأعمال التحضيرية للمنتدى واستضافته (الوثيقة </w:t>
      </w:r>
      <w:hyperlink r:id="rId19" w:history="1">
        <w:r w:rsidRPr="004653C8">
          <w:rPr>
            <w:rStyle w:val="Hyperlink"/>
            <w:rFonts w:ascii="Dubai" w:eastAsiaTheme="minorEastAsia" w:hAnsi="Dubai" w:cs="Dubai"/>
            <w:noProof w:val="0"/>
            <w:sz w:val="22"/>
            <w:u w:val="single"/>
            <w:rtl/>
            <w:lang w:val="en-US" w:eastAsia="zh-CN"/>
          </w:rPr>
          <w:t>C25/19</w:t>
        </w:r>
      </w:hyperlink>
      <w:r w:rsidRPr="00464940">
        <w:rPr>
          <w:rtl/>
        </w:rPr>
        <w:t>).</w:t>
      </w:r>
    </w:p>
    <w:p w14:paraId="3FD8D7BC" w14:textId="73EB6FBB" w:rsidR="007B26BC" w:rsidRPr="00464940" w:rsidRDefault="007B26BC" w:rsidP="00464940">
      <w:r w:rsidRPr="00464940">
        <w:rPr>
          <w:rtl/>
        </w:rPr>
        <w:t>وسيقدم الموظف دعماً بالغ الأهمية للأمانة في الفترة التي تسبق المنتدى</w:t>
      </w:r>
      <w:r w:rsidR="00D63AB4">
        <w:rPr>
          <w:rFonts w:hint="cs"/>
          <w:rtl/>
        </w:rPr>
        <w:t xml:space="preserve"> العالمي لسياسات الاتصالات/تكنولوجيا المعلومات والاتصالات </w:t>
      </w:r>
      <w:r w:rsidR="00D63AB4">
        <w:t>(WTPF)</w:t>
      </w:r>
      <w:r w:rsidRPr="00464940">
        <w:rPr>
          <w:rtl/>
        </w:rPr>
        <w:t xml:space="preserve">، وسيدعم تحديداً فريق الخبراء غير الرسمي </w:t>
      </w:r>
      <w:r w:rsidRPr="00464940">
        <w:t>IEG</w:t>
      </w:r>
      <w:r w:rsidR="004653C8">
        <w:t>)</w:t>
      </w:r>
      <w:r w:rsidRPr="00464940">
        <w:rPr>
          <w:rtl/>
        </w:rPr>
        <w:t>) والمنتدى نفسه. ويشمل ذلك المساعدة في إعداد مشاريع متعددة لتقرير الأمينة العامة إلى فريق الخبراء غير الرسمي؛ وإعداد التقارير والمذكرات الإعلامية وغير ذلك من المواد الأساسية؛ ودعم جهود الاتصالات الاستراتيجية. وسيكون الموظف مسؤولاً أيضاً عن التصميم العام للموقع الإلكتروني للمنتدى وإدارته وتطوير محتواه. وستشمل المسؤوليات الإضافية تنظيم اجتماعات بين الدورات لدعم المناقشات غير الرسمية بين أعضاء فريق الخبراء غير الرسمي وتيسير استخدام أساليب العمل الإلكترونية لتعزيز التعاون.</w:t>
      </w:r>
    </w:p>
    <w:p w14:paraId="7CD92687" w14:textId="77777777" w:rsidR="007B26BC" w:rsidRPr="00464940" w:rsidRDefault="007B26BC" w:rsidP="00464940">
      <w:r w:rsidRPr="00464940">
        <w:rPr>
          <w:rtl/>
        </w:rPr>
        <w:t>ونظراً للطبيعة الشاملة لمواضيع المنتدى، فإن هذا الدور يشمل أيضاً تيسير التنسيق بين القطاعات لضمان المشاركة النشطة لجميع مكاتب الاتحاد طوال العملية التحضيرية وفي المنتدى نفسه.</w:t>
      </w:r>
    </w:p>
    <w:p w14:paraId="31A80414" w14:textId="3FAA12A4" w:rsidR="007B26BC" w:rsidRPr="00464940" w:rsidRDefault="00464940" w:rsidP="004653C8">
      <w:pPr>
        <w:pStyle w:val="Heading2"/>
      </w:pPr>
      <w:r>
        <w:t>5.5</w:t>
      </w:r>
      <w:r w:rsidR="007B26BC" w:rsidRPr="00464940">
        <w:rPr>
          <w:rtl/>
        </w:rPr>
        <w:tab/>
        <w:t>صندوق صيانة المباني</w:t>
      </w:r>
    </w:p>
    <w:p w14:paraId="15B130A3" w14:textId="5EFC6EA8" w:rsidR="007B26BC" w:rsidRPr="00464940" w:rsidRDefault="007B26BC" w:rsidP="00464940">
      <w:r w:rsidRPr="00464940">
        <w:rPr>
          <w:rtl/>
        </w:rPr>
        <w:t>حد</w:t>
      </w:r>
      <w:r w:rsidR="004653C8">
        <w:rPr>
          <w:rFonts w:hint="cs"/>
          <w:rtl/>
        </w:rPr>
        <w:t>ّ</w:t>
      </w:r>
      <w:r w:rsidRPr="00464940">
        <w:rPr>
          <w:rtl/>
        </w:rPr>
        <w:t xml:space="preserve">دت الأمانة أن مستوى الاعتمادات الحالي المخصص لصيانة المباني يقل عن المبلغ اللازم لتنفيذ الأعمال الإصلاحية والوقائية اللازمة. وتناقَش هذه المسألة بمزيد من التفصيل في الوثيقة </w:t>
      </w:r>
      <w:hyperlink r:id="rId20" w:history="1">
        <w:r w:rsidRPr="004653C8">
          <w:rPr>
            <w:rStyle w:val="Hyperlink"/>
            <w:rFonts w:ascii="Dubai" w:eastAsiaTheme="minorEastAsia" w:hAnsi="Dubai" w:cs="Dubai"/>
            <w:noProof w:val="0"/>
            <w:sz w:val="22"/>
            <w:u w:val="single"/>
            <w:rtl/>
            <w:lang w:val="en-US" w:eastAsia="zh-CN"/>
          </w:rPr>
          <w:t>CWG-FHR-20/8</w:t>
        </w:r>
      </w:hyperlink>
      <w:r w:rsidRPr="00464940">
        <w:rPr>
          <w:rtl/>
        </w:rPr>
        <w:t xml:space="preserve">، وتزداد أهميةُ أن يتناول الاتحاد استمرارية واستدامة وجوده في جنيف. وتلبية لهذه الحاجة، تقترح الأمانة تخصيص </w:t>
      </w:r>
      <w:r w:rsidR="004653C8" w:rsidRPr="00D63AB4">
        <w:rPr>
          <w:b/>
          <w:bCs/>
        </w:rPr>
        <w:t>1</w:t>
      </w:r>
      <w:r w:rsidR="004653C8">
        <w:t> </w:t>
      </w:r>
      <w:r w:rsidR="004653C8" w:rsidRPr="004653C8">
        <w:rPr>
          <w:b/>
          <w:bCs/>
        </w:rPr>
        <w:t>000</w:t>
      </w:r>
      <w:r w:rsidRPr="004653C8">
        <w:rPr>
          <w:b/>
          <w:bCs/>
          <w:rtl/>
        </w:rPr>
        <w:t xml:space="preserve"> ألف فرنك سويسري</w:t>
      </w:r>
      <w:r w:rsidRPr="00464940">
        <w:rPr>
          <w:rtl/>
        </w:rPr>
        <w:t xml:space="preserve"> لصندوق صيانة المباني.</w:t>
      </w:r>
    </w:p>
    <w:p w14:paraId="49A387A0" w14:textId="3F6A7B05" w:rsidR="007B26BC" w:rsidRPr="00464940" w:rsidRDefault="00464940" w:rsidP="004653C8">
      <w:pPr>
        <w:pStyle w:val="Heading2"/>
      </w:pPr>
      <w:r>
        <w:t>6.5</w:t>
      </w:r>
      <w:r w:rsidR="007B26BC" w:rsidRPr="00464940">
        <w:rPr>
          <w:rtl/>
        </w:rPr>
        <w:tab/>
        <w:t>صندوق رأسمال تكنولوجيا المعلومات والاتصالات</w:t>
      </w:r>
    </w:p>
    <w:p w14:paraId="2196D7A0" w14:textId="1441E0A1" w:rsidR="007B26BC" w:rsidRPr="00464940" w:rsidRDefault="007B26BC" w:rsidP="00464940">
      <w:r w:rsidRPr="00464940">
        <w:rPr>
          <w:rtl/>
        </w:rPr>
        <w:t xml:space="preserve">تقترح الأمانة تخصيص مبلغ </w:t>
      </w:r>
      <w:r w:rsidR="004653C8" w:rsidRPr="004653C8">
        <w:rPr>
          <w:b/>
          <w:bCs/>
        </w:rPr>
        <w:t>1 500</w:t>
      </w:r>
      <w:r w:rsidRPr="004653C8">
        <w:rPr>
          <w:b/>
          <w:bCs/>
          <w:rtl/>
        </w:rPr>
        <w:t xml:space="preserve"> ألف فرنك سويسري</w:t>
      </w:r>
      <w:r w:rsidRPr="00464940">
        <w:rPr>
          <w:rtl/>
        </w:rPr>
        <w:t> لصندوق رأسمال تكنولوجيا المعلومات والاتصالات لدعم أعمال الصيانة والتحديثات والتحسينات الجارية. وقد حدد الاتحاد العديد من التحسينات التي ينبغي إدخالها على أنظمة وخدمات تكنولوجيا المعلومات في الوظائف الأساسية لتكنولوجيا المعلومات وفي إطار مبادرات التحول، والتي يتعين معالجتها ولكن يتعذر تمويلها من المخصصات الحالية. وواجه الاتحاد أيضاً زيادة التكاليف من جانب العديد من مقدمي خدمات تكنولوجيا المعلومات والاتصالات الرئيسيين، ما فرض ضغوطاً متزايدة على ميزانيته العادية وأثّر بالتالي على قدرته على مواصلة الاستثمار في البنية التحتية لتكنولوجيا المعلومات والاتصالات. وسيساعد تخصيص هذا المبلغ الأمانة في توفير الموارد اللازمة لتنفيذ هذه التحسينات. وجدير بالذكر أن تخصيص هذا المبلغ لا يلبي الحاجة الكاملة إلى التحسينات، ولذلك ستواصل الأمانة السعي، بما يتماشى مع عملية التحول، إلى الحصول على موارد إضافية من أجل تخصيصها لهذا المجال.</w:t>
      </w:r>
    </w:p>
    <w:p w14:paraId="32DAC814" w14:textId="77777777" w:rsidR="007B26BC" w:rsidRPr="00464940" w:rsidRDefault="007B26BC" w:rsidP="004653C8">
      <w:pPr>
        <w:pStyle w:val="Heading1"/>
      </w:pPr>
      <w:r w:rsidRPr="00464940">
        <w:rPr>
          <w:rtl/>
        </w:rPr>
        <w:t>6</w:t>
      </w:r>
      <w:r w:rsidRPr="00464940">
        <w:rPr>
          <w:rtl/>
        </w:rPr>
        <w:tab/>
        <w:t>التمويل اللازم لتغطية الآثار المالية الجديدة المترتبة على المؤتمرات والجمعيات العالمية</w:t>
      </w:r>
    </w:p>
    <w:p w14:paraId="0E3A6E87" w14:textId="4478C08E" w:rsidR="007B26BC" w:rsidRPr="00464940" w:rsidRDefault="004653C8" w:rsidP="004653C8">
      <w:pPr>
        <w:pStyle w:val="enumlev1"/>
      </w:pPr>
      <w:r w:rsidRPr="004653C8">
        <w:rPr>
          <w:b/>
          <w:bCs/>
        </w:rPr>
        <w:t>1.6</w:t>
      </w:r>
      <w:r w:rsidR="007B26BC" w:rsidRPr="004653C8">
        <w:rPr>
          <w:b/>
          <w:bCs/>
          <w:rtl/>
        </w:rPr>
        <w:tab/>
        <w:t>الجمعية العالمية لتقييس الاتصالات لعام 2024 (WTSA-24)</w:t>
      </w:r>
      <w:r w:rsidR="007B26BC" w:rsidRPr="004653C8">
        <w:rPr>
          <w:b/>
          <w:bCs/>
        </w:rPr>
        <w:t>:</w:t>
      </w:r>
      <w:r w:rsidR="007B26BC" w:rsidRPr="004653C8">
        <w:rPr>
          <w:b/>
          <w:bCs/>
          <w:rtl/>
        </w:rPr>
        <w:t xml:space="preserve"> </w:t>
      </w:r>
      <w:r w:rsidR="007B26BC" w:rsidRPr="00464940">
        <w:rPr>
          <w:rtl/>
        </w:rPr>
        <w:t>أصدرت الجمعية WTSA-24 ثلاثة قرارات جديدة تترتب عليها آثار مالية لم ت</w:t>
      </w:r>
      <w:r>
        <w:rPr>
          <w:rFonts w:hint="cs"/>
          <w:rtl/>
        </w:rPr>
        <w:t>ُ</w:t>
      </w:r>
      <w:r w:rsidR="007B26BC" w:rsidRPr="00464940">
        <w:rPr>
          <w:rtl/>
        </w:rPr>
        <w:t xml:space="preserve">درج في الميزانية المعتمدة للفترة </w:t>
      </w:r>
      <w:r>
        <w:t>2024</w:t>
      </w:r>
      <w:r w:rsidR="007B26BC" w:rsidRPr="00464940">
        <w:rPr>
          <w:rtl/>
        </w:rPr>
        <w:t>-</w:t>
      </w:r>
      <w:r>
        <w:t>2025</w:t>
      </w:r>
      <w:r w:rsidR="007B26BC" w:rsidRPr="00464940">
        <w:rPr>
          <w:rtl/>
        </w:rPr>
        <w:t xml:space="preserve">. وتقترح الأمانة أن يخوَّل للأمينة العامة تخصيص أموال من فائض 2024 لتغطية التكاليف التقديرية لعام 2025، بمبلغ </w:t>
      </w:r>
      <w:r w:rsidR="007B26BC" w:rsidRPr="004653C8">
        <w:rPr>
          <w:b/>
          <w:bCs/>
          <w:rtl/>
        </w:rPr>
        <w:t>556 ألف فرنك سويسري</w:t>
      </w:r>
      <w:r w:rsidR="007B26BC" w:rsidRPr="00464940">
        <w:rPr>
          <w:rtl/>
        </w:rPr>
        <w:t xml:space="preserve"> لميزانية مكتب تقييس الاتصالات، كي يتسنى له البدء في تنفيذ هذه القرارات. وستُقترح مخصصات أخرى سنوياً حيثما تسمح وفورات الميزانية بذلك وبما يتماشى مع الاحتياجات التقديرية لتحقيق الأهداف ذات الصلة.</w:t>
      </w:r>
    </w:p>
    <w:p w14:paraId="72AEDA8D" w14:textId="32394E07" w:rsidR="007B26BC" w:rsidRPr="00464940" w:rsidRDefault="004653C8" w:rsidP="004653C8">
      <w:pPr>
        <w:pStyle w:val="enumlev1"/>
      </w:pPr>
      <w:r w:rsidRPr="004653C8">
        <w:rPr>
          <w:b/>
          <w:bCs/>
        </w:rPr>
        <w:t>2.6</w:t>
      </w:r>
      <w:r w:rsidR="007B26BC" w:rsidRPr="004653C8">
        <w:rPr>
          <w:b/>
          <w:bCs/>
          <w:rtl/>
        </w:rPr>
        <w:tab/>
        <w:t>المؤتمر العالمي للاتصالات الراديوية لعام 2023 (WRC-23)</w:t>
      </w:r>
      <w:r w:rsidR="007B26BC" w:rsidRPr="004653C8">
        <w:rPr>
          <w:b/>
          <w:bCs/>
        </w:rPr>
        <w:t>:</w:t>
      </w:r>
      <w:r w:rsidR="007B26BC" w:rsidRPr="00464940">
        <w:rPr>
          <w:rtl/>
        </w:rPr>
        <w:t xml:space="preserve"> قدمت الوثيقة </w:t>
      </w:r>
      <w:hyperlink r:id="rId21" w:history="1">
        <w:r w:rsidR="007B26BC" w:rsidRPr="004653C8">
          <w:rPr>
            <w:rStyle w:val="Hyperlink"/>
            <w:rFonts w:ascii="Dubai" w:eastAsiaTheme="minorEastAsia" w:hAnsi="Dubai" w:cs="Dubai"/>
            <w:noProof w:val="0"/>
            <w:sz w:val="22"/>
            <w:u w:val="single"/>
            <w:rtl/>
            <w:lang w:val="en-US" w:eastAsia="zh-CN"/>
          </w:rPr>
          <w:t>C24/19</w:t>
        </w:r>
      </w:hyperlink>
      <w:r w:rsidR="007B26BC" w:rsidRPr="00464940">
        <w:rPr>
          <w:rtl/>
        </w:rPr>
        <w:t xml:space="preserve"> تقريراً عن تكلفة تنفيذ قرارات المؤتمر WRC-23، وبموجبه خصص المجلس </w:t>
      </w:r>
      <w:r w:rsidR="007B26BC" w:rsidRPr="00D63AB4">
        <w:rPr>
          <w:rtl/>
        </w:rPr>
        <w:t>مبلغ 3,3 ملايين فرنك سويسري</w:t>
      </w:r>
      <w:r w:rsidR="007B26BC" w:rsidRPr="00464940">
        <w:rPr>
          <w:rtl/>
        </w:rPr>
        <w:t xml:space="preserve"> من أجل التكلفة الإجمالية. وهذا المبلغ المخصص لم ينفق بالكامل. ويُقترح تخصيص مبلغ إضافي يصل إلى </w:t>
      </w:r>
      <w:r w:rsidR="007B26BC" w:rsidRPr="004653C8">
        <w:rPr>
          <w:b/>
          <w:bCs/>
          <w:rtl/>
        </w:rPr>
        <w:t>300 ألف فرنك سويسري</w:t>
      </w:r>
      <w:r w:rsidR="007B26BC" w:rsidRPr="00464940">
        <w:rPr>
          <w:rtl/>
        </w:rPr>
        <w:t xml:space="preserve"> من فائض 2024 لتكملة المبلغ المتبقي من المبلغ المخصص في دورة المجلس لعام 2024.</w:t>
      </w:r>
    </w:p>
    <w:p w14:paraId="39034530" w14:textId="77777777" w:rsidR="007B26BC" w:rsidRPr="00464940" w:rsidRDefault="007B26BC" w:rsidP="00464940">
      <w:r w:rsidRPr="00464940">
        <w:rPr>
          <w:rtl/>
        </w:rPr>
        <w:lastRenderedPageBreak/>
        <w:t>وتكرر الأمانة طلبها إلى الدول الأعضاء أن تنظر في تقديم مساهمات طوعية إلى الاتحاد لدعم تنفيذ قرارات المؤتمرات العالمية التي لم تخصَّص لها اعتمادات في الخطة المالية للاتحاد.</w:t>
      </w:r>
    </w:p>
    <w:p w14:paraId="4D8226EA" w14:textId="2714C59C" w:rsidR="007B26BC" w:rsidRDefault="007B26BC" w:rsidP="007B26BC">
      <w:pPr>
        <w:pStyle w:val="Headingb"/>
        <w:textDirection w:val="tbRlV"/>
        <w:rPr>
          <w:sz w:val="22"/>
          <w:szCs w:val="22"/>
        </w:rPr>
      </w:pPr>
      <w:bookmarkStart w:id="0" w:name="dnote"/>
      <w:bookmarkEnd w:id="0"/>
      <w:r w:rsidRPr="00740FB0">
        <w:rPr>
          <w:sz w:val="22"/>
          <w:szCs w:val="22"/>
          <w:rtl/>
        </w:rPr>
        <w:t>ملخص المقترح</w:t>
      </w:r>
    </w:p>
    <w:p w14:paraId="7D62BA7C" w14:textId="5574164E" w:rsidR="004653C8" w:rsidRPr="00E128AD" w:rsidRDefault="00E128AD" w:rsidP="007B26BC">
      <w:pPr>
        <w:pStyle w:val="Headingb"/>
        <w:textDirection w:val="tbRlV"/>
        <w:rPr>
          <w:sz w:val="22"/>
          <w:szCs w:val="22"/>
        </w:rPr>
      </w:pPr>
      <w:r w:rsidRPr="00E128AD">
        <w:rPr>
          <w:noProof/>
          <w:rtl/>
        </w:rPr>
        <w:drawing>
          <wp:inline distT="0" distB="0" distL="0" distR="0" wp14:anchorId="0DE3EDF5" wp14:editId="5458A336">
            <wp:extent cx="5760085" cy="3321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085" cy="3321685"/>
                    </a:xfrm>
                    <a:prstGeom prst="rect">
                      <a:avLst/>
                    </a:prstGeom>
                    <a:noFill/>
                    <a:ln>
                      <a:noFill/>
                    </a:ln>
                  </pic:spPr>
                </pic:pic>
              </a:graphicData>
            </a:graphic>
          </wp:inline>
        </w:drawing>
      </w:r>
    </w:p>
    <w:p w14:paraId="408C5F1E" w14:textId="77777777" w:rsidR="004653C8" w:rsidRPr="00740FB0" w:rsidRDefault="004653C8" w:rsidP="007B26BC">
      <w:pPr>
        <w:pStyle w:val="Headingb"/>
        <w:textDirection w:val="tbRlV"/>
        <w:rPr>
          <w:sz w:val="22"/>
          <w:szCs w:val="22"/>
          <w:lang w:val="ar-SA" w:eastAsia="zh-TW" w:bidi="en-GB"/>
        </w:rPr>
      </w:pPr>
    </w:p>
    <w:p w14:paraId="5796A482" w14:textId="77777777" w:rsidR="007B26BC" w:rsidRDefault="007B26BC" w:rsidP="007B26BC">
      <w:pPr>
        <w:spacing w:before="0"/>
        <w:rPr>
          <w:rtl/>
        </w:rPr>
      </w:pPr>
      <w:r>
        <w:rPr>
          <w:rtl/>
        </w:rPr>
        <w:br w:type="page"/>
      </w:r>
    </w:p>
    <w:p w14:paraId="4931E638" w14:textId="77777777" w:rsidR="007B26BC" w:rsidRPr="00740FB0" w:rsidRDefault="007B26BC" w:rsidP="00CC0D3B">
      <w:pPr>
        <w:pStyle w:val="AnnexNo"/>
        <w:rPr>
          <w:lang w:val="ar-SA" w:eastAsia="zh-TW" w:bidi="en-GB"/>
        </w:rPr>
      </w:pPr>
      <w:bookmarkStart w:id="1" w:name="Annex"/>
      <w:r w:rsidRPr="00740FB0">
        <w:rPr>
          <w:rtl/>
        </w:rPr>
        <w:lastRenderedPageBreak/>
        <w:t>الملحق</w:t>
      </w:r>
      <w:bookmarkEnd w:id="1"/>
    </w:p>
    <w:p w14:paraId="1A59C7C4" w14:textId="77777777" w:rsidR="007B26BC" w:rsidRPr="00740FB0" w:rsidRDefault="007B26BC" w:rsidP="00CC0D3B">
      <w:pPr>
        <w:pStyle w:val="ResNo"/>
        <w:rPr>
          <w:lang w:val="ar-SA" w:eastAsia="zh-TW" w:bidi="en-GB"/>
        </w:rPr>
      </w:pPr>
      <w:r w:rsidRPr="00740FB0">
        <w:rPr>
          <w:rtl/>
        </w:rPr>
        <w:t>مشروع القرار الجديد [...]</w:t>
      </w:r>
    </w:p>
    <w:p w14:paraId="01516061" w14:textId="77777777" w:rsidR="007B26BC" w:rsidRPr="00CC0D3B" w:rsidRDefault="007B26BC" w:rsidP="00CC0D3B">
      <w:pPr>
        <w:pStyle w:val="Restitle"/>
      </w:pPr>
      <w:r w:rsidRPr="00CC0D3B">
        <w:rPr>
          <w:rtl/>
        </w:rPr>
        <w:t>مخصصات الوفورات المحققة في تنفيذ ميزانية 2024</w:t>
      </w:r>
    </w:p>
    <w:p w14:paraId="29EB293B" w14:textId="77777777" w:rsidR="007B26BC" w:rsidRPr="00CC0D3B" w:rsidRDefault="007B26BC" w:rsidP="00CC0D3B">
      <w:pPr>
        <w:pStyle w:val="Normalaftertitle"/>
      </w:pPr>
      <w:r w:rsidRPr="00CC0D3B">
        <w:rPr>
          <w:rtl/>
        </w:rPr>
        <w:t>إن مجلس الاتحاد الدولي للاتصالات،</w:t>
      </w:r>
    </w:p>
    <w:p w14:paraId="3D99748E" w14:textId="77777777" w:rsidR="007B26BC" w:rsidRPr="00CC0D3B" w:rsidRDefault="007B26BC" w:rsidP="00CC0D3B">
      <w:pPr>
        <w:pStyle w:val="Call"/>
      </w:pPr>
      <w:r w:rsidRPr="00CC0D3B">
        <w:rPr>
          <w:rtl/>
        </w:rPr>
        <w:t>إذ يضع في اعتباره</w:t>
      </w:r>
    </w:p>
    <w:p w14:paraId="431952CD" w14:textId="77777777" w:rsidR="007B26BC" w:rsidRPr="00CC0D3B" w:rsidRDefault="007B26BC" w:rsidP="00CC0D3B">
      <w:r w:rsidRPr="00CC0D3B">
        <w:rPr>
          <w:rtl/>
        </w:rPr>
        <w:t>الوفورات المحققة في تنفيذ (نتيجة) ميزانية 2024 البالغة 652 5 ألف فرنك سويسري،</w:t>
      </w:r>
    </w:p>
    <w:p w14:paraId="3D8A5126" w14:textId="77777777" w:rsidR="007B26BC" w:rsidRPr="00CC0D3B" w:rsidRDefault="007B26BC" w:rsidP="00CC0D3B">
      <w:pPr>
        <w:pStyle w:val="Call"/>
      </w:pPr>
      <w:r w:rsidRPr="00CC0D3B">
        <w:rPr>
          <w:rtl/>
        </w:rPr>
        <w:t>وإذ يضع في اعتباره أيضاً</w:t>
      </w:r>
    </w:p>
    <w:p w14:paraId="7E57EE00" w14:textId="7E5DC418" w:rsidR="007B26BC" w:rsidRPr="00CC0D3B" w:rsidRDefault="007B26BC" w:rsidP="00CC0D3B">
      <w:r w:rsidRPr="00CC0D3B">
        <w:rPr>
          <w:rtl/>
        </w:rPr>
        <w:t xml:space="preserve">حالة صندوق تنمية تكنولوجيا المعلومات والاتصالات </w:t>
      </w:r>
      <w:r w:rsidRPr="00CC0D3B">
        <w:t>(ICT-DF</w:t>
      </w:r>
      <w:r w:rsidR="00E97A2F">
        <w:t>)</w:t>
      </w:r>
      <w:r w:rsidRPr="00CC0D3B">
        <w:rPr>
          <w:rtl/>
        </w:rPr>
        <w:t>،</w:t>
      </w:r>
    </w:p>
    <w:p w14:paraId="0E5275FB" w14:textId="77777777" w:rsidR="007B26BC" w:rsidRPr="00CC0D3B" w:rsidRDefault="007B26BC" w:rsidP="00CC0D3B">
      <w:pPr>
        <w:pStyle w:val="Call"/>
      </w:pPr>
      <w:r w:rsidRPr="00CC0D3B">
        <w:rPr>
          <w:rtl/>
        </w:rPr>
        <w:t>يقرر</w:t>
      </w:r>
    </w:p>
    <w:p w14:paraId="0C84DAF4" w14:textId="1605D572" w:rsidR="007B26BC" w:rsidRPr="00740FB0" w:rsidRDefault="007B26BC" w:rsidP="00CC0D3B">
      <w:pPr>
        <w:rPr>
          <w:lang w:val="ar-SA" w:eastAsia="zh-TW" w:bidi="en-GB"/>
        </w:rPr>
      </w:pPr>
      <w:r w:rsidRPr="00740FB0">
        <w:rPr>
          <w:rtl/>
        </w:rPr>
        <w:t>1</w:t>
      </w:r>
      <w:r w:rsidRPr="00740FB0">
        <w:rPr>
          <w:rtl/>
        </w:rPr>
        <w:tab/>
        <w:t>تخصيص الأموال اللازمة لكي تنفَّذ خلال السنة الأولى قرارات الجمعية العالمية لتقييس الاتصالات لعام 2024 (556 ألف فرنك سويسري)؛ وقرارات المؤتمر العالمي للاتصالات الراديوية لعام 2023 (300 ألف فرنك سويسري)؛ وخارطة طريق التحول بما في ذلك خارطة طريق تحسين الموقع الإلكتروني  (250 ألف فرنك سويسري)، والأعمال التحضيرية للمنتدى العالمي لسياسات الاتصالات/تكنولوجيا المعلومات والاتصالات لعام 2026 (180 ألف فرنك سويسري)، وصندوق صيانة المباني (000</w:t>
      </w:r>
      <w:r w:rsidR="00CC0D3B">
        <w:t> </w:t>
      </w:r>
      <w:r w:rsidRPr="00740FB0">
        <w:rPr>
          <w:rtl/>
        </w:rPr>
        <w:t>1 ألف فرنك سويسري)؛ وصندوق رأسمال تكنولوجيا المعلومات والاتصالات  (500</w:t>
      </w:r>
      <w:r w:rsidR="00E97A2F">
        <w:t> </w:t>
      </w:r>
      <w:r w:rsidRPr="00740FB0">
        <w:rPr>
          <w:rtl/>
        </w:rPr>
        <w:t>1 ألف فرنك سويسري)؛ و500 ألف فرنك سويسري للأنشطة المتعلقة بالذكاء الاصطناعي و</w:t>
      </w:r>
      <w:r>
        <w:rPr>
          <w:rtl/>
        </w:rPr>
        <w:t>تحويل</w:t>
      </w:r>
      <w:r w:rsidRPr="00740FB0">
        <w:rPr>
          <w:rtl/>
        </w:rPr>
        <w:t xml:space="preserve"> مبلغ 524 ألف فرنك سويسري إلى صندوق تنمية تكنولوجيا المعلومات والاتصالات؛</w:t>
      </w:r>
    </w:p>
    <w:p w14:paraId="5FD08207" w14:textId="77777777" w:rsidR="007B26BC" w:rsidRPr="00740FB0" w:rsidRDefault="007B26BC" w:rsidP="00CC0D3B">
      <w:pPr>
        <w:rPr>
          <w:lang w:val="ar-SA" w:eastAsia="zh-TW" w:bidi="en-GB"/>
        </w:rPr>
      </w:pPr>
      <w:r w:rsidRPr="00740FB0">
        <w:rPr>
          <w:rtl/>
        </w:rPr>
        <w:t>2</w:t>
      </w:r>
      <w:r w:rsidRPr="00740FB0">
        <w:rPr>
          <w:rtl/>
        </w:rPr>
        <w:tab/>
        <w:t>تخصيص الفائض المتبقي (389 ألف فرنك سويسري) لحساب الاحتياطي.</w:t>
      </w:r>
    </w:p>
    <w:p w14:paraId="18F0EF86" w14:textId="77777777" w:rsidR="00F50E3F" w:rsidRDefault="00F50E3F" w:rsidP="00E61BE8">
      <w:pPr>
        <w:rPr>
          <w:lang w:bidi="ar-EG"/>
        </w:rPr>
      </w:pPr>
    </w:p>
    <w:p w14:paraId="6E219B61"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23"/>
      <w:headerReference w:type="first" r:id="rId24"/>
      <w:footerReference w:type="first" r:id="rId25"/>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F2298" w14:textId="77777777" w:rsidR="00B567FF" w:rsidRDefault="00B567FF" w:rsidP="006C3242">
      <w:pPr>
        <w:spacing w:before="0" w:line="240" w:lineRule="auto"/>
      </w:pPr>
      <w:r>
        <w:separator/>
      </w:r>
    </w:p>
  </w:endnote>
  <w:endnote w:type="continuationSeparator" w:id="0">
    <w:p w14:paraId="6CFC7C20" w14:textId="77777777" w:rsidR="00B567FF" w:rsidRDefault="00B567FF"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G Times">
    <w:altName w:val="Times New Roman"/>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666DB941" w14:textId="77777777" w:rsidTr="00A67F05">
      <w:trPr>
        <w:jc w:val="center"/>
      </w:trPr>
      <w:tc>
        <w:tcPr>
          <w:tcW w:w="868" w:type="pct"/>
          <w:vAlign w:val="center"/>
        </w:tcPr>
        <w:p w14:paraId="0A634DAF" w14:textId="7100F59C" w:rsidR="00F50E3F" w:rsidRPr="007B0AA0" w:rsidRDefault="00F50E3F"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p>
      </w:tc>
      <w:tc>
        <w:tcPr>
          <w:tcW w:w="3912" w:type="pct"/>
        </w:tcPr>
        <w:p w14:paraId="1EA7ED78" w14:textId="2BE98342"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7B26BC">
            <w:rPr>
              <w:rFonts w:ascii="Calibri" w:hAnsi="Calibri" w:cs="Arial"/>
              <w:bCs/>
              <w:color w:val="7F7F7F"/>
              <w:sz w:val="18"/>
            </w:rPr>
            <w:t>43</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B4DE598"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A68E5EE" w14:textId="77777777" w:rsidR="006C3242" w:rsidRPr="0026373E" w:rsidRDefault="006C3242" w:rsidP="00BA04B2">
    <w:pPr>
      <w:pStyle w:val="Footer"/>
      <w:tabs>
        <w:tab w:val="clear" w:pos="4153"/>
        <w:tab w:val="clear" w:pos="8306"/>
        <w:tab w:val="center" w:pos="5103"/>
        <w:tab w:val="right" w:pos="9639"/>
      </w:tabs>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5A7268C6" w14:textId="77777777" w:rsidTr="00A67F05">
      <w:trPr>
        <w:jc w:val="center"/>
      </w:trPr>
      <w:tc>
        <w:tcPr>
          <w:tcW w:w="1013" w:type="pct"/>
          <w:vAlign w:val="center"/>
        </w:tcPr>
        <w:p w14:paraId="5043EEDC" w14:textId="0A7FD87A" w:rsidR="007B0AA0" w:rsidRPr="00660DEA" w:rsidRDefault="00F2728A" w:rsidP="00A67F05">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rPr>
          </w:pPr>
          <w:hyperlink r:id="rId1" w:history="1">
            <w:r w:rsidRPr="00557140">
              <w:rPr>
                <w:rStyle w:val="Hyperlink"/>
                <w:rFonts w:eastAsiaTheme="minorEastAsia"/>
                <w:lang w:val="en-US" w:eastAsia="zh-CN"/>
              </w:rPr>
              <w:t>www.itu.int/council</w:t>
            </w:r>
          </w:hyperlink>
        </w:p>
      </w:tc>
      <w:tc>
        <w:tcPr>
          <w:tcW w:w="3768" w:type="pct"/>
        </w:tcPr>
        <w:p w14:paraId="592F4895" w14:textId="188092D3"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7B26BC">
            <w:rPr>
              <w:rFonts w:ascii="Calibri" w:hAnsi="Calibri" w:cs="Arial"/>
              <w:bCs/>
              <w:color w:val="7F7F7F"/>
              <w:sz w:val="18"/>
            </w:rPr>
            <w:t>43</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6007418"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22A6CA3" w14:textId="77777777" w:rsidR="0006468A" w:rsidRPr="007B0AA0" w:rsidRDefault="0006468A" w:rsidP="00BA04B2">
    <w:pPr>
      <w:pStyle w:val="Footer"/>
      <w:tabs>
        <w:tab w:val="clear" w:pos="4153"/>
        <w:tab w:val="clear" w:pos="8306"/>
        <w:tab w:val="center" w:pos="5103"/>
        <w:tab w:val="right" w:pos="9639"/>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36B1" w14:textId="77777777" w:rsidR="00B567FF" w:rsidRDefault="00B567FF" w:rsidP="006C3242">
      <w:pPr>
        <w:spacing w:before="0" w:line="240" w:lineRule="auto"/>
      </w:pPr>
      <w:r>
        <w:separator/>
      </w:r>
    </w:p>
  </w:footnote>
  <w:footnote w:type="continuationSeparator" w:id="0">
    <w:p w14:paraId="4E8CA441" w14:textId="77777777" w:rsidR="00B567FF" w:rsidRDefault="00B567FF"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5AC7" w14:textId="77777777" w:rsidR="007B0AA0" w:rsidRDefault="007648A6" w:rsidP="00935AAC">
    <w:pPr>
      <w:pStyle w:val="Header"/>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1F87BBB" wp14:editId="74AF7F56">
              <wp:simplePos x="0" y="0"/>
              <wp:positionH relativeFrom="page">
                <wp:posOffset>7453630</wp:posOffset>
              </wp:positionH>
              <wp:positionV relativeFrom="topMargin">
                <wp:posOffset>641294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486AE" id="Rectangle 5" o:spid="_x0000_s1026" style="position:absolute;margin-left:586.9pt;margin-top:50.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" fillcolor="#009cd5" stroked="f">
              <w10:wrap anchorx="page" anchory="margin"/>
            </v:rect>
          </w:pict>
        </mc:Fallback>
      </mc:AlternateContent>
    </w:r>
    <w:r w:rsidR="00420F8A">
      <w:rPr>
        <w:rFonts w:ascii="Avenir Nxt2 W1G Medium" w:eastAsia="Avenir Nxt2 W1G Medium" w:hAnsi="Avenir Nxt2 W1G Medium" w:cs="Avenir Nxt2 W1G Medium"/>
        <w:noProof/>
      </w:rPr>
      <w:drawing>
        <wp:inline distT="0" distB="0" distL="0" distR="0" wp14:anchorId="0BB4EE3F" wp14:editId="37249EDC">
          <wp:extent cx="2999433" cy="612775"/>
          <wp:effectExtent l="0" t="0" r="0" b="0"/>
          <wp:docPr id="163156739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EC"/>
    <w:rsid w:val="0006468A"/>
    <w:rsid w:val="00090574"/>
    <w:rsid w:val="000B2146"/>
    <w:rsid w:val="000C1C0E"/>
    <w:rsid w:val="000C548A"/>
    <w:rsid w:val="00191059"/>
    <w:rsid w:val="001B6E2B"/>
    <w:rsid w:val="001C0169"/>
    <w:rsid w:val="001C0C21"/>
    <w:rsid w:val="001D1D50"/>
    <w:rsid w:val="001D64C7"/>
    <w:rsid w:val="001D6745"/>
    <w:rsid w:val="001E446E"/>
    <w:rsid w:val="002154EE"/>
    <w:rsid w:val="002276D2"/>
    <w:rsid w:val="0023283D"/>
    <w:rsid w:val="00254393"/>
    <w:rsid w:val="0026373E"/>
    <w:rsid w:val="002656AB"/>
    <w:rsid w:val="00271C43"/>
    <w:rsid w:val="00290728"/>
    <w:rsid w:val="002978F4"/>
    <w:rsid w:val="002A4DB0"/>
    <w:rsid w:val="002B028D"/>
    <w:rsid w:val="002C3F32"/>
    <w:rsid w:val="002E6541"/>
    <w:rsid w:val="00334924"/>
    <w:rsid w:val="003409BC"/>
    <w:rsid w:val="00357185"/>
    <w:rsid w:val="00370672"/>
    <w:rsid w:val="00383829"/>
    <w:rsid w:val="003F4B29"/>
    <w:rsid w:val="00420F8A"/>
    <w:rsid w:val="0042686F"/>
    <w:rsid w:val="004317D8"/>
    <w:rsid w:val="0043260A"/>
    <w:rsid w:val="00434183"/>
    <w:rsid w:val="00443869"/>
    <w:rsid w:val="00447F32"/>
    <w:rsid w:val="00464940"/>
    <w:rsid w:val="004653C8"/>
    <w:rsid w:val="00491BA9"/>
    <w:rsid w:val="004A4701"/>
    <w:rsid w:val="004B7334"/>
    <w:rsid w:val="004E11DC"/>
    <w:rsid w:val="005130DE"/>
    <w:rsid w:val="00513157"/>
    <w:rsid w:val="00525DDD"/>
    <w:rsid w:val="005409AC"/>
    <w:rsid w:val="005434E0"/>
    <w:rsid w:val="005546CF"/>
    <w:rsid w:val="0055516A"/>
    <w:rsid w:val="0058491B"/>
    <w:rsid w:val="00592EA5"/>
    <w:rsid w:val="005A3170"/>
    <w:rsid w:val="00660DEA"/>
    <w:rsid w:val="0066434C"/>
    <w:rsid w:val="00677396"/>
    <w:rsid w:val="0069200F"/>
    <w:rsid w:val="006A65CB"/>
    <w:rsid w:val="006B12E5"/>
    <w:rsid w:val="006C3242"/>
    <w:rsid w:val="006C7CC0"/>
    <w:rsid w:val="006F363C"/>
    <w:rsid w:val="006F63F7"/>
    <w:rsid w:val="007025C7"/>
    <w:rsid w:val="00706D7A"/>
    <w:rsid w:val="00722F0D"/>
    <w:rsid w:val="0074420E"/>
    <w:rsid w:val="007648A6"/>
    <w:rsid w:val="0077110E"/>
    <w:rsid w:val="00783E26"/>
    <w:rsid w:val="007A6684"/>
    <w:rsid w:val="007B0AA0"/>
    <w:rsid w:val="007B26BC"/>
    <w:rsid w:val="007C3BC7"/>
    <w:rsid w:val="007C3BCD"/>
    <w:rsid w:val="007D4ACF"/>
    <w:rsid w:val="007F0787"/>
    <w:rsid w:val="00810B7B"/>
    <w:rsid w:val="0082358A"/>
    <w:rsid w:val="008235CD"/>
    <w:rsid w:val="008247DE"/>
    <w:rsid w:val="008339C0"/>
    <w:rsid w:val="00840B10"/>
    <w:rsid w:val="008513CB"/>
    <w:rsid w:val="00874E9F"/>
    <w:rsid w:val="008A7F84"/>
    <w:rsid w:val="0091702E"/>
    <w:rsid w:val="00923B0C"/>
    <w:rsid w:val="00924F46"/>
    <w:rsid w:val="00935AAC"/>
    <w:rsid w:val="0094021C"/>
    <w:rsid w:val="00952F86"/>
    <w:rsid w:val="00982B28"/>
    <w:rsid w:val="00994257"/>
    <w:rsid w:val="009B19EC"/>
    <w:rsid w:val="009D313F"/>
    <w:rsid w:val="00A47A5A"/>
    <w:rsid w:val="00A63AE6"/>
    <w:rsid w:val="00A6683B"/>
    <w:rsid w:val="00A67F05"/>
    <w:rsid w:val="00A97F94"/>
    <w:rsid w:val="00AA7EA2"/>
    <w:rsid w:val="00B03099"/>
    <w:rsid w:val="00B05BC8"/>
    <w:rsid w:val="00B30F5E"/>
    <w:rsid w:val="00B567FF"/>
    <w:rsid w:val="00B64B47"/>
    <w:rsid w:val="00B95654"/>
    <w:rsid w:val="00B97F32"/>
    <w:rsid w:val="00BA04B2"/>
    <w:rsid w:val="00C002DE"/>
    <w:rsid w:val="00C0602B"/>
    <w:rsid w:val="00C224DA"/>
    <w:rsid w:val="00C53BF8"/>
    <w:rsid w:val="00C66157"/>
    <w:rsid w:val="00C674FE"/>
    <w:rsid w:val="00C67501"/>
    <w:rsid w:val="00C75633"/>
    <w:rsid w:val="00CC0D3B"/>
    <w:rsid w:val="00CE2EE1"/>
    <w:rsid w:val="00CE3349"/>
    <w:rsid w:val="00CE36E5"/>
    <w:rsid w:val="00CE4360"/>
    <w:rsid w:val="00CF27F5"/>
    <w:rsid w:val="00CF3FFD"/>
    <w:rsid w:val="00D10CCF"/>
    <w:rsid w:val="00D13941"/>
    <w:rsid w:val="00D23F5F"/>
    <w:rsid w:val="00D43F7D"/>
    <w:rsid w:val="00D63735"/>
    <w:rsid w:val="00D63AB4"/>
    <w:rsid w:val="00D77D0F"/>
    <w:rsid w:val="00DA1CF0"/>
    <w:rsid w:val="00DC1E02"/>
    <w:rsid w:val="00DC24B4"/>
    <w:rsid w:val="00DC5FB0"/>
    <w:rsid w:val="00DF16DC"/>
    <w:rsid w:val="00E128AD"/>
    <w:rsid w:val="00E24EBF"/>
    <w:rsid w:val="00E45211"/>
    <w:rsid w:val="00E473C5"/>
    <w:rsid w:val="00E61BE8"/>
    <w:rsid w:val="00E654A8"/>
    <w:rsid w:val="00E83FF1"/>
    <w:rsid w:val="00E92863"/>
    <w:rsid w:val="00E979B2"/>
    <w:rsid w:val="00E97A2F"/>
    <w:rsid w:val="00EB796D"/>
    <w:rsid w:val="00EE571E"/>
    <w:rsid w:val="00F058DC"/>
    <w:rsid w:val="00F24FC4"/>
    <w:rsid w:val="00F2676C"/>
    <w:rsid w:val="00F2728A"/>
    <w:rsid w:val="00F363FE"/>
    <w:rsid w:val="00F50E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C3A54"/>
  <w15:chartTrackingRefBased/>
  <w15:docId w15:val="{CA1AB1E0-5FDC-485C-810F-067B3F72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after="12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after="12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F974C5"/>
    <w:pPr>
      <w:spacing w:before="80"/>
      <w:ind w:left="794" w:hanging="794"/>
      <w:outlineLvl w:val="0"/>
    </w:pPr>
    <w:rPr>
      <w:lang w:bidi="ar-SY"/>
    </w:rPr>
  </w:style>
  <w:style w:type="paragraph" w:customStyle="1" w:styleId="enumlev2">
    <w:name w:val="enumlev2"/>
    <w:basedOn w:val="Normal"/>
    <w:next w:val="enumlev1"/>
    <w:qFormat/>
    <w:rsid w:val="00F974C5"/>
    <w:pPr>
      <w:spacing w:before="80"/>
      <w:ind w:left="1588" w:hanging="794"/>
      <w:outlineLvl w:val="1"/>
    </w:pPr>
  </w:style>
  <w:style w:type="paragraph" w:customStyle="1" w:styleId="enumlev3">
    <w:name w:val="enumlev3"/>
    <w:basedOn w:val="Normal"/>
    <w:qFormat/>
    <w:rsid w:val="008A7F84"/>
    <w:pPr>
      <w:spacing w:before="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after="12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_No"/>
    <w:basedOn w:val="Normal"/>
    <w:qFormat/>
    <w:rsid w:val="00F974C5"/>
    <w:pPr>
      <w:keepNext/>
      <w:spacing w:before="240" w:after="12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after="12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after="12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after="12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2656AB"/>
    <w:rPr>
      <w:rFonts w:ascii="Calibri" w:eastAsia="Calibri" w:hAnsi="Calibri" w:cs="Arial"/>
      <w:noProof/>
      <w:color w:val="0070C0"/>
      <w:sz w:val="18"/>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pPr>
      <w:spacing w:after="120"/>
    </w:pPr>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paragraph" w:customStyle="1" w:styleId="Figure">
    <w:name w:val="Figure"/>
    <w:basedOn w:val="Normal"/>
    <w:next w:val="Figuretitle"/>
    <w:rsid w:val="007B26BC"/>
    <w:pPr>
      <w:tabs>
        <w:tab w:val="clear" w:pos="794"/>
        <w:tab w:val="left" w:pos="567"/>
        <w:tab w:val="left" w:pos="1134"/>
        <w:tab w:val="left" w:pos="1701"/>
        <w:tab w:val="left" w:pos="2268"/>
        <w:tab w:val="left" w:pos="2835"/>
      </w:tabs>
      <w:overflowPunct w:val="0"/>
      <w:autoSpaceDE w:val="0"/>
      <w:autoSpaceDN w:val="0"/>
      <w:bidi w:val="0"/>
      <w:adjustRightInd w:val="0"/>
      <w:spacing w:after="240" w:line="240" w:lineRule="auto"/>
      <w:jc w:val="center"/>
      <w:textAlignment w:val="baseline"/>
    </w:pPr>
    <w:rPr>
      <w:rFonts w:ascii="Times New Roman" w:eastAsia="SimSun" w:hAnsi="CG Times" w:cs="Simplified Arabic" w:hint="cs"/>
      <w:noProof/>
      <w:sz w:val="24"/>
      <w:szCs w:val="30"/>
    </w:rPr>
  </w:style>
  <w:style w:type="character" w:customStyle="1" w:styleId="eop">
    <w:name w:val="eop"/>
    <w:basedOn w:val="DefaultParagraphFont"/>
    <w:rsid w:val="007B26BC"/>
  </w:style>
  <w:style w:type="character" w:styleId="FollowedHyperlink">
    <w:name w:val="FollowedHyperlink"/>
    <w:basedOn w:val="DefaultParagraphFont"/>
    <w:uiPriority w:val="99"/>
    <w:semiHidden/>
    <w:unhideWhenUsed/>
    <w:rsid w:val="007B26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 w:id="13773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DEC-005-E.pdf" TargetMode="External"/><Relationship Id="rId13" Type="http://schemas.openxmlformats.org/officeDocument/2006/relationships/hyperlink" Target="https://www.itu.int/md/S24-CL-C-0031/en" TargetMode="External"/><Relationship Id="rId18" Type="http://schemas.openxmlformats.org/officeDocument/2006/relationships/hyperlink" Target="https://www.itu.int/md/S25-CL-C-0055/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tu.int/md/S24-CL-C-0019/en" TargetMode="External"/><Relationship Id="rId7" Type="http://schemas.openxmlformats.org/officeDocument/2006/relationships/endnotes" Target="endnotes.xml"/><Relationship Id="rId12" Type="http://schemas.openxmlformats.org/officeDocument/2006/relationships/hyperlink" Target="https://www.itu.int/md/S24-CL-C-0034/en" TargetMode="External"/><Relationship Id="rId17" Type="http://schemas.openxmlformats.org/officeDocument/2006/relationships/hyperlink" Target="https://www.itu.int/md/S24-CL-C-0053/e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tu.int/md/S25-CL-C-0034/en" TargetMode="External"/><Relationship Id="rId20" Type="http://schemas.openxmlformats.org/officeDocument/2006/relationships/hyperlink" Target="https://www.itu.int/md/S25-CWGFHR20-C-0008/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11-CL-C-0106/e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md/S24-CL-C-0034/en" TargetMode="External"/><Relationship Id="rId23" Type="http://schemas.openxmlformats.org/officeDocument/2006/relationships/footer" Target="footer1.xml"/><Relationship Id="rId10" Type="http://schemas.openxmlformats.org/officeDocument/2006/relationships/hyperlink" Target="https://www.itu.int/council/index97/1997/131/131.html" TargetMode="External"/><Relationship Id="rId19" Type="http://schemas.openxmlformats.org/officeDocument/2006/relationships/hyperlink" Target="https://www.itu.int/md/S25-CL-C-0019/en" TargetMode="External"/><Relationship Id="rId4" Type="http://schemas.openxmlformats.org/officeDocument/2006/relationships/settings" Target="settings.xml"/><Relationship Id="rId9" Type="http://schemas.openxmlformats.org/officeDocument/2006/relationships/hyperlink" Target="https://www.itu.int/en/council/Documents/basic-texts/RES-011-E.pdf" TargetMode="External"/><Relationship Id="rId14" Type="http://schemas.openxmlformats.org/officeDocument/2006/relationships/hyperlink" Target="http://www.itu.int/en/ITU-D/Partners/Pages/ICT-DF/default.aspx" TargetMode="External"/><Relationship Id="rId22" Type="http://schemas.openxmlformats.org/officeDocument/2006/relationships/image" Target="media/image1.emf"/><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SG\PA_Council%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 2025.dotx</Template>
  <TotalTime>9</TotalTime>
  <Pages>6</Pages>
  <Words>1875</Words>
  <Characters>10412</Characters>
  <Application>Microsoft Office Word</Application>
  <DocSecurity>0</DocSecurity>
  <Lines>168</Lines>
  <Paragraphs>66</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Allocations of savings achieved in 2024 budget implementation and exhibition working capital fund</dc:title>
  <dc:subject>ITU Council 2025</dc:subject>
  <cp:keywords>C2025; C25; Council-25</cp:keywords>
  <dc:description/>
  <dcterms:created xsi:type="dcterms:W3CDTF">2025-05-09T08:40:00Z</dcterms:created>
  <dcterms:modified xsi:type="dcterms:W3CDTF">2025-05-13T14:56:00Z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