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16C8DD02" w14:textId="77777777" w:rsidTr="00C538FC">
        <w:trPr>
          <w:cantSplit/>
          <w:trHeight w:val="23"/>
        </w:trPr>
        <w:tc>
          <w:tcPr>
            <w:tcW w:w="3969" w:type="dxa"/>
            <w:vMerge w:val="restart"/>
            <w:tcMar>
              <w:left w:w="0" w:type="dxa"/>
            </w:tcMar>
          </w:tcPr>
          <w:p w14:paraId="380780FF" w14:textId="7488746D" w:rsidR="00FE57F6" w:rsidRPr="00BB6FD8" w:rsidRDefault="003143A9"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w:t>
            </w:r>
            <w:r w:rsidRPr="00A9613C">
              <w:rPr>
                <w:b/>
                <w:lang w:val="es-ES"/>
              </w:rPr>
              <w:t xml:space="preserve"> ADM 2</w:t>
            </w:r>
          </w:p>
        </w:tc>
        <w:tc>
          <w:tcPr>
            <w:tcW w:w="5245" w:type="dxa"/>
          </w:tcPr>
          <w:p w14:paraId="12EC8577" w14:textId="252B92D0"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3143A9">
              <w:rPr>
                <w:b/>
              </w:rPr>
              <w:t>42</w:t>
            </w:r>
            <w:r w:rsidRPr="00BB6FD8">
              <w:rPr>
                <w:b/>
              </w:rPr>
              <w:t>-</w:t>
            </w:r>
            <w:r w:rsidR="00F24B71" w:rsidRPr="00BB6FD8">
              <w:rPr>
                <w:b/>
              </w:rPr>
              <w:t>S</w:t>
            </w:r>
          </w:p>
        </w:tc>
      </w:tr>
      <w:tr w:rsidR="00FE57F6" w:rsidRPr="00666D09" w14:paraId="2F7BAD0F" w14:textId="77777777" w:rsidTr="00C538FC">
        <w:trPr>
          <w:cantSplit/>
        </w:trPr>
        <w:tc>
          <w:tcPr>
            <w:tcW w:w="3969" w:type="dxa"/>
            <w:vMerge/>
          </w:tcPr>
          <w:p w14:paraId="32D340BD" w14:textId="77777777" w:rsidR="00FE57F6" w:rsidRPr="00BB6FD8" w:rsidRDefault="00FE57F6" w:rsidP="00C538FC">
            <w:pPr>
              <w:tabs>
                <w:tab w:val="left" w:pos="851"/>
              </w:tabs>
              <w:spacing w:line="240" w:lineRule="atLeast"/>
              <w:rPr>
                <w:b/>
              </w:rPr>
            </w:pPr>
          </w:p>
        </w:tc>
        <w:tc>
          <w:tcPr>
            <w:tcW w:w="5245" w:type="dxa"/>
          </w:tcPr>
          <w:p w14:paraId="6D67502D" w14:textId="4F8A9FBC" w:rsidR="00FE57F6" w:rsidRPr="00666D09" w:rsidRDefault="0072474C" w:rsidP="00C538FC">
            <w:pPr>
              <w:tabs>
                <w:tab w:val="left" w:pos="851"/>
              </w:tabs>
              <w:spacing w:before="0"/>
              <w:jc w:val="right"/>
              <w:rPr>
                <w:b/>
                <w:lang w:val="en-GB"/>
              </w:rPr>
            </w:pPr>
            <w:r>
              <w:rPr>
                <w:b/>
              </w:rPr>
              <w:t>23</w:t>
            </w:r>
            <w:r w:rsidR="003143A9">
              <w:rPr>
                <w:b/>
              </w:rPr>
              <w:t xml:space="preserve"> de abril de 2025</w:t>
            </w:r>
          </w:p>
        </w:tc>
      </w:tr>
      <w:tr w:rsidR="00FE57F6" w:rsidRPr="00BB6FD8" w14:paraId="14ED61B8" w14:textId="77777777" w:rsidTr="00C538FC">
        <w:trPr>
          <w:cantSplit/>
          <w:trHeight w:val="23"/>
        </w:trPr>
        <w:tc>
          <w:tcPr>
            <w:tcW w:w="3969" w:type="dxa"/>
            <w:vMerge/>
          </w:tcPr>
          <w:p w14:paraId="36AAE2B4" w14:textId="77777777" w:rsidR="00FE57F6" w:rsidRPr="00666D09" w:rsidRDefault="00FE57F6" w:rsidP="00C538FC">
            <w:pPr>
              <w:tabs>
                <w:tab w:val="left" w:pos="851"/>
              </w:tabs>
              <w:spacing w:line="240" w:lineRule="atLeast"/>
              <w:rPr>
                <w:b/>
                <w:lang w:val="en-GB"/>
              </w:rPr>
            </w:pPr>
          </w:p>
        </w:tc>
        <w:tc>
          <w:tcPr>
            <w:tcW w:w="5245" w:type="dxa"/>
          </w:tcPr>
          <w:p w14:paraId="54C7ED74" w14:textId="6208FEBE"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28C23F0D" w14:textId="77777777" w:rsidTr="00C538FC">
        <w:trPr>
          <w:cantSplit/>
          <w:trHeight w:val="23"/>
        </w:trPr>
        <w:tc>
          <w:tcPr>
            <w:tcW w:w="3969" w:type="dxa"/>
          </w:tcPr>
          <w:p w14:paraId="71CA9CDE" w14:textId="77777777" w:rsidR="00FE57F6" w:rsidRPr="00BB6FD8" w:rsidRDefault="00FE57F6" w:rsidP="00C538FC">
            <w:pPr>
              <w:tabs>
                <w:tab w:val="left" w:pos="851"/>
              </w:tabs>
              <w:spacing w:line="240" w:lineRule="atLeast"/>
              <w:rPr>
                <w:b/>
              </w:rPr>
            </w:pPr>
          </w:p>
        </w:tc>
        <w:tc>
          <w:tcPr>
            <w:tcW w:w="5245" w:type="dxa"/>
          </w:tcPr>
          <w:p w14:paraId="04F0E65D" w14:textId="77777777" w:rsidR="00FE57F6" w:rsidRPr="00BB6FD8" w:rsidRDefault="00FE57F6" w:rsidP="00C538FC">
            <w:pPr>
              <w:tabs>
                <w:tab w:val="left" w:pos="851"/>
              </w:tabs>
              <w:spacing w:before="0" w:line="240" w:lineRule="atLeast"/>
              <w:jc w:val="right"/>
              <w:rPr>
                <w:b/>
              </w:rPr>
            </w:pPr>
          </w:p>
        </w:tc>
      </w:tr>
      <w:tr w:rsidR="00FE57F6" w:rsidRPr="00BB6FD8" w14:paraId="0744CD5D" w14:textId="77777777" w:rsidTr="00C538FC">
        <w:trPr>
          <w:cantSplit/>
        </w:trPr>
        <w:tc>
          <w:tcPr>
            <w:tcW w:w="9214" w:type="dxa"/>
            <w:gridSpan w:val="2"/>
            <w:tcMar>
              <w:left w:w="0" w:type="dxa"/>
            </w:tcMar>
          </w:tcPr>
          <w:p w14:paraId="3EF99137" w14:textId="62E95F8E"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5E2B474A" w14:textId="77777777" w:rsidTr="00C538FC">
        <w:trPr>
          <w:cantSplit/>
        </w:trPr>
        <w:tc>
          <w:tcPr>
            <w:tcW w:w="9214" w:type="dxa"/>
            <w:gridSpan w:val="2"/>
            <w:tcMar>
              <w:left w:w="0" w:type="dxa"/>
            </w:tcMar>
          </w:tcPr>
          <w:p w14:paraId="75872F37" w14:textId="2376EA78" w:rsidR="00FE57F6" w:rsidRPr="00F92BED" w:rsidRDefault="00077D87" w:rsidP="00F92BED">
            <w:pPr>
              <w:pStyle w:val="Subtitle"/>
              <w:framePr w:hSpace="0" w:wrap="auto" w:vAnchor="margin" w:hAnchor="text" w:xAlign="left" w:yAlign="inline"/>
            </w:pPr>
            <w:bookmarkStart w:id="1" w:name="_Hlk187860421"/>
            <w:r w:rsidRPr="003143A9">
              <w:t>R</w:t>
            </w:r>
            <w:r>
              <w:t>ENOVACIÓN DEL MANDATO DEL AUDITOR EXTERNO (OFICINA NACIONAL DE AUDITORÍA (NAO) DEL REINO UNIDO) POR UN PERIODO DE DOS AÑOS</w:t>
            </w:r>
            <w:bookmarkEnd w:id="1"/>
          </w:p>
        </w:tc>
      </w:tr>
      <w:tr w:rsidR="00FE57F6" w:rsidRPr="00BB6FD8"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17134A2" w:rsidR="00FE57F6" w:rsidRPr="00BB6FD8" w:rsidRDefault="003143A9" w:rsidP="00C538FC">
            <w:pPr>
              <w:spacing w:before="160"/>
              <w:rPr>
                <w:b/>
                <w:bCs/>
                <w:sz w:val="26"/>
                <w:szCs w:val="26"/>
              </w:rPr>
            </w:pPr>
            <w:r>
              <w:rPr>
                <w:b/>
                <w:bCs/>
                <w:sz w:val="26"/>
                <w:szCs w:val="26"/>
              </w:rPr>
              <w:t>Objeto</w:t>
            </w:r>
          </w:p>
          <w:p w14:paraId="618C4414" w14:textId="501F661B" w:rsidR="00FE57F6" w:rsidRPr="00BB6FD8" w:rsidRDefault="0072474C" w:rsidP="00077D87">
            <w:pPr>
              <w:jc w:val="both"/>
            </w:pPr>
            <w:r w:rsidRPr="0072474C">
              <w:rPr>
                <w:lang w:val="es-ES"/>
              </w:rPr>
              <w:t xml:space="preserve">La Secretaria General ha propuesto la renovación del mandato de la Oficina Nacional de Auditoría (NAO) como Auditor Externo de la UIT por un periodo adicional de dos años para los estados financieros de 2026 y 2027. Esta recomendación es el resultado de una evaluación exhaustiva realizada en 2020, en la que se determinó que la NAO ofrecía la mejor relación calidad-precio en función de la competencia técnica y los costes de los servicios de auditoría. </w:t>
            </w:r>
            <w:r w:rsidR="003143A9" w:rsidRPr="00A9613C">
              <w:rPr>
                <w:lang w:val="es-ES"/>
              </w:rPr>
              <w:t xml:space="preserve">El </w:t>
            </w:r>
            <w:r>
              <w:rPr>
                <w:lang w:val="es-ES"/>
              </w:rPr>
              <w:t xml:space="preserve">actual </w:t>
            </w:r>
            <w:r w:rsidR="003143A9" w:rsidRPr="00A9613C">
              <w:rPr>
                <w:lang w:val="es-ES"/>
              </w:rPr>
              <w:t>mandato del Auditor Externo (NAO) relativo a la auditoría de los estados financieros de</w:t>
            </w:r>
            <w:r w:rsidR="00021421">
              <w:rPr>
                <w:lang w:val="es-ES"/>
              </w:rPr>
              <w:t> </w:t>
            </w:r>
            <w:r w:rsidR="003143A9" w:rsidRPr="00A9613C">
              <w:rPr>
                <w:lang w:val="es-ES"/>
              </w:rPr>
              <w:t xml:space="preserve">2022, 2023, 2024 y 2025 </w:t>
            </w:r>
            <w:r w:rsidR="003143A9">
              <w:rPr>
                <w:lang w:val="es-ES"/>
              </w:rPr>
              <w:t xml:space="preserve">finalizará el </w:t>
            </w:r>
            <w:r w:rsidR="003143A9" w:rsidRPr="00A9613C">
              <w:rPr>
                <w:lang w:val="es-ES"/>
              </w:rPr>
              <w:t xml:space="preserve">30 </w:t>
            </w:r>
            <w:r w:rsidR="003143A9">
              <w:rPr>
                <w:lang w:val="es-ES"/>
              </w:rPr>
              <w:t>de junio de</w:t>
            </w:r>
            <w:r w:rsidR="003143A9" w:rsidRPr="00A9613C">
              <w:rPr>
                <w:lang w:val="es-ES"/>
              </w:rPr>
              <w:t> 2026. De acuerdo con lo dispuesto en el párrafo 2 del Artículo 28 del Reglamento Financiero</w:t>
            </w:r>
            <w:r>
              <w:rPr>
                <w:lang w:val="es-ES"/>
              </w:rPr>
              <w:t xml:space="preserve"> y con la práctica habitual adoptada con el anterior Auditor, </w:t>
            </w:r>
            <w:r w:rsidR="003143A9" w:rsidRPr="00A9613C">
              <w:rPr>
                <w:lang w:val="es-ES"/>
              </w:rPr>
              <w:t>se recomienda que el mandato del</w:t>
            </w:r>
            <w:r w:rsidR="00021421">
              <w:rPr>
                <w:lang w:val="es-ES"/>
              </w:rPr>
              <w:t> </w:t>
            </w:r>
            <w:r w:rsidR="003143A9" w:rsidRPr="00A9613C">
              <w:rPr>
                <w:lang w:val="es-ES"/>
              </w:rPr>
              <w:t>Auditor Externo (NAO) s</w:t>
            </w:r>
            <w:r w:rsidR="003143A9">
              <w:rPr>
                <w:lang w:val="es-ES"/>
              </w:rPr>
              <w:t>ea renovado por un periodo de dos años para los estados financieros de 2026 y 2027</w:t>
            </w:r>
            <w:r w:rsidR="003143A9" w:rsidRPr="00A9613C">
              <w:rPr>
                <w:lang w:val="es-ES"/>
              </w:rPr>
              <w:t>.</w:t>
            </w:r>
          </w:p>
          <w:p w14:paraId="5D1C98A4"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28CD17C7" w14:textId="77777777" w:rsidR="003143A9" w:rsidRPr="00A9613C" w:rsidRDefault="003143A9" w:rsidP="00537CA6">
            <w:pPr>
              <w:pStyle w:val="enumlev1"/>
              <w:rPr>
                <w:lang w:val="es-ES"/>
              </w:rPr>
            </w:pPr>
            <w:r w:rsidRPr="00A9613C">
              <w:rPr>
                <w:lang w:val="es-ES"/>
              </w:rPr>
              <w:t>1)</w:t>
            </w:r>
            <w:r w:rsidRPr="00A9613C">
              <w:rPr>
                <w:lang w:val="es-ES"/>
              </w:rPr>
              <w:tab/>
              <w:t xml:space="preserve">Se invita al Consejo a </w:t>
            </w:r>
            <w:r w:rsidRPr="00A9613C">
              <w:rPr>
                <w:b/>
                <w:bCs/>
                <w:lang w:val="es-ES"/>
              </w:rPr>
              <w:t>tomar nota</w:t>
            </w:r>
            <w:r w:rsidRPr="00A9613C">
              <w:rPr>
                <w:lang w:val="es-ES"/>
              </w:rPr>
              <w:t xml:space="preserve"> </w:t>
            </w:r>
            <w:r>
              <w:rPr>
                <w:lang w:val="es-ES"/>
              </w:rPr>
              <w:t>de este documento, y</w:t>
            </w:r>
          </w:p>
          <w:p w14:paraId="4F71C71A" w14:textId="5F15F7FF" w:rsidR="00F92BED" w:rsidRDefault="003143A9" w:rsidP="00537CA6">
            <w:pPr>
              <w:pStyle w:val="enumlev1"/>
              <w:rPr>
                <w:lang w:val="es-ES"/>
              </w:rPr>
            </w:pPr>
            <w:r w:rsidRPr="00A9613C">
              <w:rPr>
                <w:lang w:val="es-ES"/>
              </w:rPr>
              <w:t>2)</w:t>
            </w:r>
            <w:r w:rsidRPr="00A9613C">
              <w:rPr>
                <w:lang w:val="es-ES"/>
              </w:rPr>
              <w:tab/>
              <w:t xml:space="preserve">a </w:t>
            </w:r>
            <w:r w:rsidRPr="00A9613C">
              <w:rPr>
                <w:b/>
                <w:bCs/>
                <w:lang w:val="es-ES"/>
              </w:rPr>
              <w:t xml:space="preserve">adoptar </w:t>
            </w:r>
            <w:r w:rsidRPr="00A9613C">
              <w:rPr>
                <w:lang w:val="es-ES"/>
              </w:rPr>
              <w:t>el proyecto de Acuerdo reco</w:t>
            </w:r>
            <w:r>
              <w:rPr>
                <w:lang w:val="es-ES"/>
              </w:rPr>
              <w:t>gido en el Anexo</w:t>
            </w:r>
            <w:r w:rsidRPr="00A9613C">
              <w:rPr>
                <w:lang w:val="es-ES"/>
              </w:rPr>
              <w:t>.</w:t>
            </w:r>
          </w:p>
          <w:p w14:paraId="217F1EFC" w14:textId="77777777" w:rsidR="0072474C" w:rsidRDefault="0072474C" w:rsidP="0072474C">
            <w:pPr>
              <w:spacing w:before="160"/>
              <w:rPr>
                <w:lang w:val="es-ES"/>
              </w:rPr>
            </w:pPr>
            <w:r w:rsidRPr="0072474C">
              <w:rPr>
                <w:b/>
                <w:bCs/>
                <w:sz w:val="26"/>
                <w:szCs w:val="26"/>
              </w:rPr>
              <w:t>Vinculación</w:t>
            </w:r>
            <w:r>
              <w:rPr>
                <w:b/>
                <w:bCs/>
                <w:lang w:val="es-ES"/>
              </w:rPr>
              <w:t>(es) con el Plan Estratégico</w:t>
            </w:r>
          </w:p>
          <w:p w14:paraId="24D46052" w14:textId="77777777" w:rsidR="0072474C" w:rsidRDefault="0072474C" w:rsidP="0072474C">
            <w:pPr>
              <w:rPr>
                <w:lang w:val="es-ES"/>
              </w:rPr>
            </w:pPr>
            <w:r>
              <w:rPr>
                <w:lang w:val="es-ES"/>
              </w:rPr>
              <w:t>n/a</w:t>
            </w:r>
          </w:p>
          <w:p w14:paraId="027FFB2A" w14:textId="77777777" w:rsidR="0072474C" w:rsidRDefault="0072474C" w:rsidP="0072474C">
            <w:pPr>
              <w:spacing w:before="160"/>
              <w:rPr>
                <w:bCs/>
                <w:lang w:val="es-ES"/>
              </w:rPr>
            </w:pPr>
            <w:r w:rsidRPr="0072474C">
              <w:rPr>
                <w:b/>
                <w:bCs/>
                <w:sz w:val="26"/>
                <w:szCs w:val="26"/>
              </w:rPr>
              <w:t>Repercusiones</w:t>
            </w:r>
            <w:r>
              <w:rPr>
                <w:b/>
                <w:bCs/>
                <w:lang w:val="es-ES"/>
              </w:rPr>
              <w:t xml:space="preserve"> financieras</w:t>
            </w:r>
          </w:p>
          <w:p w14:paraId="45C13E48" w14:textId="4B65D048" w:rsidR="0072474C" w:rsidRPr="0072474C" w:rsidRDefault="0072474C" w:rsidP="0072474C">
            <w:pPr>
              <w:rPr>
                <w:bCs/>
                <w:szCs w:val="24"/>
                <w:lang w:val="es-ES"/>
              </w:rPr>
            </w:pPr>
            <w:r>
              <w:rPr>
                <w:bCs/>
                <w:lang w:val="es-ES"/>
              </w:rPr>
              <w:t>Con cargo al presupuesto asignado para 2026-2027.</w:t>
            </w:r>
          </w:p>
          <w:p w14:paraId="5948AA98" w14:textId="77777777" w:rsidR="00FE57F6" w:rsidRPr="00BB6FD8" w:rsidRDefault="00FE57F6" w:rsidP="00C538FC">
            <w:pPr>
              <w:spacing w:before="160"/>
              <w:rPr>
                <w:caps/>
                <w:sz w:val="22"/>
              </w:rPr>
            </w:pPr>
            <w:r w:rsidRPr="00BB6FD8">
              <w:rPr>
                <w:sz w:val="22"/>
              </w:rPr>
              <w:t>__________________</w:t>
            </w:r>
          </w:p>
          <w:p w14:paraId="53C56EAC" w14:textId="7E818FF8"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58339413" w14:textId="322EA49D" w:rsidR="00FE57F6" w:rsidRPr="004D3A3C" w:rsidRDefault="00512CC2" w:rsidP="00C538FC">
            <w:pPr>
              <w:spacing w:after="160"/>
              <w:rPr>
                <w:i/>
                <w:iCs/>
                <w:sz w:val="22"/>
                <w:szCs w:val="22"/>
              </w:rPr>
            </w:pPr>
            <w:hyperlink r:id="rId6" w:anchor="/es" w:history="1">
              <w:r>
                <w:rPr>
                  <w:rStyle w:val="Hyperlink"/>
                  <w:i/>
                  <w:iCs/>
                  <w:sz w:val="22"/>
                  <w:szCs w:val="22"/>
                  <w:lang w:val="es-ES"/>
                </w:rPr>
                <w:t>S</w:t>
              </w:r>
              <w:r w:rsidR="003143A9" w:rsidRPr="00A9613C">
                <w:rPr>
                  <w:rStyle w:val="Hyperlink"/>
                  <w:i/>
                  <w:iCs/>
                  <w:sz w:val="22"/>
                  <w:szCs w:val="22"/>
                  <w:lang w:val="es-ES"/>
                </w:rPr>
                <w:t>itio web del GTC-RHF</w:t>
              </w:r>
            </w:hyperlink>
            <w:r w:rsidR="003143A9" w:rsidRPr="00A9613C">
              <w:rPr>
                <w:i/>
                <w:iCs/>
                <w:sz w:val="22"/>
                <w:szCs w:val="22"/>
                <w:lang w:val="es-ES"/>
              </w:rPr>
              <w:t xml:space="preserve">; Documento </w:t>
            </w:r>
            <w:hyperlink r:id="rId7" w:history="1">
              <w:r w:rsidR="003143A9" w:rsidRPr="00A9613C">
                <w:rPr>
                  <w:rStyle w:val="Hyperlink"/>
                  <w:i/>
                  <w:iCs/>
                  <w:sz w:val="22"/>
                  <w:szCs w:val="22"/>
                  <w:lang w:val="es-ES"/>
                </w:rPr>
                <w:t>C20/83 – Acuerdo 621</w:t>
              </w:r>
            </w:hyperlink>
            <w:r w:rsidR="003143A9" w:rsidRPr="00A9613C">
              <w:rPr>
                <w:i/>
                <w:iCs/>
                <w:sz w:val="22"/>
                <w:szCs w:val="22"/>
                <w:lang w:val="es-ES"/>
              </w:rPr>
              <w:t>;</w:t>
            </w:r>
            <w:r w:rsidR="003143A9" w:rsidRPr="00A9613C">
              <w:rPr>
                <w:sz w:val="22"/>
                <w:szCs w:val="22"/>
                <w:lang w:val="es-ES"/>
              </w:rPr>
              <w:t xml:space="preserve"> </w:t>
            </w:r>
            <w:hyperlink r:id="rId8" w:history="1">
              <w:r w:rsidR="003143A9" w:rsidRPr="00A9613C">
                <w:rPr>
                  <w:rStyle w:val="Hyperlink"/>
                  <w:rFonts w:cs="Calibri"/>
                  <w:i/>
                  <w:iCs/>
                  <w:sz w:val="22"/>
                  <w:szCs w:val="22"/>
                  <w:lang w:val="es-ES"/>
                </w:rPr>
                <w:t>Resolución 94 (Rev. Bucarest, 2022)</w:t>
              </w:r>
            </w:hyperlink>
            <w:r w:rsidR="003143A9" w:rsidRPr="00A9613C">
              <w:rPr>
                <w:i/>
                <w:iCs/>
                <w:sz w:val="22"/>
                <w:szCs w:val="22"/>
                <w:lang w:val="es-ES"/>
              </w:rPr>
              <w:t>;</w:t>
            </w:r>
            <w:r>
              <w:rPr>
                <w:i/>
                <w:iCs/>
                <w:sz w:val="22"/>
                <w:szCs w:val="22"/>
                <w:lang w:val="es-ES"/>
              </w:rPr>
              <w:br/>
            </w:r>
            <w:r w:rsidR="003143A9" w:rsidRPr="00A9613C">
              <w:rPr>
                <w:i/>
                <w:iCs/>
                <w:sz w:val="22"/>
                <w:szCs w:val="22"/>
                <w:lang w:val="es-ES"/>
              </w:rPr>
              <w:t>Artíc</w:t>
            </w:r>
            <w:r w:rsidR="003143A9">
              <w:rPr>
                <w:i/>
                <w:iCs/>
                <w:sz w:val="22"/>
                <w:szCs w:val="22"/>
                <w:lang w:val="es-ES"/>
              </w:rPr>
              <w:t>ulo</w:t>
            </w:r>
            <w:r w:rsidR="003143A9" w:rsidRPr="00A9613C">
              <w:rPr>
                <w:i/>
                <w:iCs/>
                <w:sz w:val="22"/>
                <w:szCs w:val="22"/>
                <w:lang w:val="es-ES"/>
              </w:rPr>
              <w:t xml:space="preserve"> 28 </w:t>
            </w:r>
            <w:r w:rsidR="003143A9">
              <w:rPr>
                <w:i/>
                <w:iCs/>
                <w:sz w:val="22"/>
                <w:szCs w:val="22"/>
                <w:lang w:val="es-ES"/>
              </w:rPr>
              <w:t>del</w:t>
            </w:r>
            <w:r w:rsidR="003143A9" w:rsidRPr="00A9613C">
              <w:rPr>
                <w:i/>
                <w:iCs/>
                <w:sz w:val="22"/>
                <w:szCs w:val="22"/>
                <w:lang w:val="es-ES"/>
              </w:rPr>
              <w:t xml:space="preserve"> </w:t>
            </w:r>
            <w:hyperlink r:id="rId9" w:history="1">
              <w:r w:rsidR="003143A9">
                <w:rPr>
                  <w:rStyle w:val="Hyperlink"/>
                  <w:i/>
                  <w:iCs/>
                  <w:sz w:val="22"/>
                  <w:szCs w:val="22"/>
                  <w:lang w:val="es-ES"/>
                </w:rPr>
                <w:t>Reglamento Financiero</w:t>
              </w:r>
            </w:hyperlink>
          </w:p>
        </w:tc>
      </w:tr>
      <w:bookmarkEnd w:id="0"/>
    </w:tbl>
    <w:p w14:paraId="44179D23"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55E5C3E" w14:textId="77777777" w:rsidR="003143A9" w:rsidRPr="00A74656" w:rsidRDefault="003143A9" w:rsidP="003143A9">
      <w:pPr>
        <w:pStyle w:val="Heading1"/>
        <w:rPr>
          <w:lang w:val="es-ES"/>
        </w:rPr>
      </w:pPr>
      <w:r w:rsidRPr="00A74656">
        <w:rPr>
          <w:lang w:val="es-ES"/>
        </w:rPr>
        <w:lastRenderedPageBreak/>
        <w:t>I</w:t>
      </w:r>
      <w:r w:rsidRPr="00A74656">
        <w:rPr>
          <w:lang w:val="es-ES"/>
        </w:rPr>
        <w:tab/>
        <w:t>Antecedentes</w:t>
      </w:r>
    </w:p>
    <w:p w14:paraId="5005A292" w14:textId="65062A03" w:rsidR="003143A9" w:rsidRPr="008D794F" w:rsidRDefault="003143A9" w:rsidP="00077D87">
      <w:pPr>
        <w:jc w:val="both"/>
        <w:rPr>
          <w:lang w:val="es-ES"/>
        </w:rPr>
      </w:pPr>
      <w:r w:rsidRPr="008D794F">
        <w:rPr>
          <w:lang w:val="es-ES"/>
        </w:rPr>
        <w:t xml:space="preserve">En 2020 </w:t>
      </w:r>
      <w:r>
        <w:rPr>
          <w:lang w:val="es-ES"/>
        </w:rPr>
        <w:t>e</w:t>
      </w:r>
      <w:r w:rsidRPr="00434F7A">
        <w:rPr>
          <w:lang w:val="es-ES"/>
        </w:rPr>
        <w:t>l Comité de Evaluación</w:t>
      </w:r>
      <w:r w:rsidR="0072474C">
        <w:rPr>
          <w:lang w:val="es-ES"/>
        </w:rPr>
        <w:t>, formado por representantes de las Regiones de la UIT,</w:t>
      </w:r>
      <w:r w:rsidRPr="00434F7A">
        <w:rPr>
          <w:lang w:val="es-ES"/>
        </w:rPr>
        <w:t xml:space="preserve"> examinó y evaluó los componentes técnico y financiero de las ofertas, y también tuvo en cuenta las ventajas y los inconvenientes de cada una de ellas. Para formular su recomendación al Consejo, el Comité de Evaluación tuvo que ponderar varios factores opuestos</w:t>
      </w:r>
      <w:r w:rsidRPr="008D794F">
        <w:rPr>
          <w:lang w:val="es-ES"/>
        </w:rPr>
        <w:t xml:space="preserve">, incluidas las competencias técnicas y el coste del servicio de auditoría. La recomendación del Comité tenía por objeto determinar </w:t>
      </w:r>
      <w:r>
        <w:rPr>
          <w:lang w:val="es-ES"/>
        </w:rPr>
        <w:t>la oferta que presentaba la mejor relación calidad-precio</w:t>
      </w:r>
      <w:r w:rsidRPr="008D794F">
        <w:rPr>
          <w:lang w:val="es-ES"/>
        </w:rPr>
        <w:t>.</w:t>
      </w:r>
    </w:p>
    <w:p w14:paraId="033A9209" w14:textId="77777777" w:rsidR="003143A9" w:rsidRPr="008D794F" w:rsidRDefault="003143A9" w:rsidP="00077D87">
      <w:pPr>
        <w:jc w:val="both"/>
        <w:rPr>
          <w:lang w:val="es-ES"/>
        </w:rPr>
      </w:pPr>
      <w:r w:rsidRPr="008D794F">
        <w:rPr>
          <w:lang w:val="es-ES"/>
        </w:rPr>
        <w:t xml:space="preserve">Partiendo del referido proceso y teniendo en cuenta todos los criterios, el Comité de Evaluación convino en recomendar al Consejo de la UIT que nombrase a la Oficina Nacional de Auditoría </w:t>
      </w:r>
      <w:r>
        <w:rPr>
          <w:lang w:val="es-ES"/>
        </w:rPr>
        <w:t>(NAO) del Reino Unido en calidad de Auditor Externo para los periodos financieros</w:t>
      </w:r>
      <w:r w:rsidRPr="008D794F">
        <w:rPr>
          <w:lang w:val="es-ES"/>
        </w:rPr>
        <w:t xml:space="preserve"> 2022/23 </w:t>
      </w:r>
      <w:r>
        <w:rPr>
          <w:lang w:val="es-ES"/>
        </w:rPr>
        <w:t>y</w:t>
      </w:r>
      <w:r w:rsidRPr="008D794F">
        <w:rPr>
          <w:lang w:val="es-ES"/>
        </w:rPr>
        <w:t> 2024/25.</w:t>
      </w:r>
    </w:p>
    <w:p w14:paraId="53A0B1AD" w14:textId="17FCD022" w:rsidR="0072474C" w:rsidRDefault="003143A9" w:rsidP="00077D87">
      <w:pPr>
        <w:jc w:val="both"/>
        <w:rPr>
          <w:lang w:val="es-ES"/>
        </w:rPr>
      </w:pPr>
      <w:r w:rsidRPr="008D794F">
        <w:rPr>
          <w:lang w:val="es-ES"/>
        </w:rPr>
        <w:t>El mandato del Auditor Externo (NAO) relativo a la auditoría de los estados financie</w:t>
      </w:r>
      <w:r>
        <w:rPr>
          <w:lang w:val="es-ES"/>
        </w:rPr>
        <w:t>ros de</w:t>
      </w:r>
      <w:r w:rsidR="00FE04BF">
        <w:rPr>
          <w:lang w:val="es-ES"/>
        </w:rPr>
        <w:t> </w:t>
      </w:r>
      <w:r w:rsidRPr="008D794F">
        <w:rPr>
          <w:lang w:val="es-ES"/>
        </w:rPr>
        <w:t xml:space="preserve">2022, 2023, 2024 </w:t>
      </w:r>
      <w:r>
        <w:rPr>
          <w:lang w:val="es-ES"/>
        </w:rPr>
        <w:t>y</w:t>
      </w:r>
      <w:r w:rsidRPr="008D794F">
        <w:rPr>
          <w:lang w:val="es-ES"/>
        </w:rPr>
        <w:t xml:space="preserve"> 2025</w:t>
      </w:r>
      <w:r>
        <w:rPr>
          <w:lang w:val="es-ES"/>
        </w:rPr>
        <w:t xml:space="preserve"> finalizará el 30 de junio de</w:t>
      </w:r>
      <w:r w:rsidRPr="008D794F">
        <w:rPr>
          <w:lang w:val="es-ES"/>
        </w:rPr>
        <w:t> 2026</w:t>
      </w:r>
      <w:r w:rsidR="0072474C">
        <w:rPr>
          <w:lang w:val="es-ES"/>
        </w:rPr>
        <w:t>.</w:t>
      </w:r>
    </w:p>
    <w:p w14:paraId="695483E1" w14:textId="77777777" w:rsidR="0072474C" w:rsidRDefault="0072474C" w:rsidP="00077D87">
      <w:pPr>
        <w:jc w:val="both"/>
        <w:rPr>
          <w:lang w:val="es-ES"/>
        </w:rPr>
      </w:pPr>
      <w:r>
        <w:rPr>
          <w:lang w:val="es-ES"/>
        </w:rPr>
        <w:t>Se propone la renovación del mandato de la NAO como Auditor Externo de la UIT por un periodo adicional de dos años para los estados financieros de 2026 y 2027.</w:t>
      </w:r>
    </w:p>
    <w:p w14:paraId="41EE2D81" w14:textId="71B7CFB8" w:rsidR="0072474C" w:rsidRPr="008D794F" w:rsidRDefault="0072474C" w:rsidP="00077D87">
      <w:pPr>
        <w:jc w:val="both"/>
        <w:rPr>
          <w:lang w:val="es-ES"/>
        </w:rPr>
      </w:pPr>
      <w:r>
        <w:rPr>
          <w:lang w:val="es-ES"/>
        </w:rPr>
        <w:t>Esta propuesta es conforme a la práctica habitual adoptada con el anterior Auditor y con el párrafo 2 del Artículo 28 del Reglamento Financiero, que reza que "El man</w:t>
      </w:r>
      <w:r w:rsidR="00021232">
        <w:rPr>
          <w:lang w:val="es-ES"/>
        </w:rPr>
        <w:t>d</w:t>
      </w:r>
      <w:r>
        <w:rPr>
          <w:lang w:val="es-ES"/>
        </w:rPr>
        <w:t>ato podrá renovarse sin un proceso de selección competitivo por decisión del Consejo por un período de dos años y un período adicional de dos años".</w:t>
      </w:r>
    </w:p>
    <w:p w14:paraId="3928D6B1" w14:textId="53500313" w:rsidR="003143A9" w:rsidRDefault="003143A9" w:rsidP="00D25BDF">
      <w:pPr>
        <w:pStyle w:val="Heading1"/>
        <w:rPr>
          <w:rFonts w:eastAsiaTheme="minorEastAsia"/>
          <w:lang w:val="es-ES" w:eastAsia="zh-CN"/>
        </w:rPr>
      </w:pPr>
      <w:r w:rsidRPr="00A74656">
        <w:rPr>
          <w:rFonts w:eastAsiaTheme="minorEastAsia"/>
          <w:lang w:val="es-ES" w:eastAsia="zh-CN"/>
        </w:rPr>
        <w:t>II</w:t>
      </w:r>
      <w:r w:rsidRPr="00A74656">
        <w:rPr>
          <w:rFonts w:eastAsiaTheme="minorEastAsia"/>
          <w:lang w:val="es-ES" w:eastAsia="zh-CN"/>
        </w:rPr>
        <w:tab/>
      </w:r>
      <w:r w:rsidR="0072474C">
        <w:rPr>
          <w:rFonts w:eastAsiaTheme="minorEastAsia"/>
          <w:lang w:val="es-ES" w:eastAsia="zh-CN"/>
        </w:rPr>
        <w:t>Información solicitada por el GTC-RHF – febrero de 2025</w:t>
      </w:r>
    </w:p>
    <w:p w14:paraId="76AE52BB" w14:textId="388E21DD" w:rsidR="0072474C" w:rsidRPr="00FF7C09" w:rsidRDefault="0072474C" w:rsidP="00077D87">
      <w:pPr>
        <w:jc w:val="both"/>
        <w:rPr>
          <w:lang w:val="es-ES" w:eastAsia="en-GB"/>
        </w:rPr>
      </w:pPr>
      <w:r w:rsidRPr="00FF7C09">
        <w:rPr>
          <w:lang w:val="es-ES" w:eastAsia="en-GB"/>
        </w:rPr>
        <w:t xml:space="preserve">A </w:t>
      </w:r>
      <w:r w:rsidR="00077D87" w:rsidRPr="00FF7C09">
        <w:rPr>
          <w:lang w:val="es-ES" w:eastAsia="en-GB"/>
        </w:rPr>
        <w:t>continuación,</w:t>
      </w:r>
      <w:r w:rsidRPr="00FF7C09">
        <w:rPr>
          <w:lang w:val="es-ES" w:eastAsia="en-GB"/>
        </w:rPr>
        <w:t xml:space="preserve"> se reproducen las respuestas a las preguntas planteadas durante la </w:t>
      </w:r>
      <w:r>
        <w:rPr>
          <w:lang w:val="es-ES" w:eastAsia="en-GB"/>
        </w:rPr>
        <w:t>reunión indicada</w:t>
      </w:r>
      <w:r w:rsidRPr="00FF7C09">
        <w:rPr>
          <w:lang w:val="es-ES" w:eastAsia="en-GB"/>
        </w:rPr>
        <w:t>.</w:t>
      </w:r>
    </w:p>
    <w:p w14:paraId="18A8D6CF" w14:textId="77777777" w:rsidR="0072474C" w:rsidRPr="00D25BDF" w:rsidRDefault="0072474C" w:rsidP="00D25BDF">
      <w:pPr>
        <w:pStyle w:val="Headingb"/>
        <w:ind w:left="0" w:firstLine="0"/>
      </w:pPr>
      <w:r w:rsidRPr="00D25BDF">
        <w:t>¿La renovación del mandato sin abrir un nuevo proceso de licitación tiene ventajas financieras?</w:t>
      </w:r>
    </w:p>
    <w:p w14:paraId="204574E1" w14:textId="77777777" w:rsidR="0072474C" w:rsidRPr="00FF7C09" w:rsidRDefault="0072474C" w:rsidP="00077D87">
      <w:pPr>
        <w:jc w:val="both"/>
        <w:rPr>
          <w:lang w:val="es-ES" w:eastAsia="en-GB"/>
        </w:rPr>
      </w:pPr>
      <w:r w:rsidRPr="00FF7C09">
        <w:rPr>
          <w:lang w:val="es-ES" w:eastAsia="en-GB"/>
        </w:rPr>
        <w:t>Además de las observaciones internas:</w:t>
      </w:r>
    </w:p>
    <w:p w14:paraId="23A19FA0" w14:textId="4DC87FD8"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t>De acuerdo con la práctica seguida en el sistema de las Naciones U</w:t>
      </w:r>
      <w:r>
        <w:rPr>
          <w:lang w:val="es-ES" w:eastAsia="en-GB"/>
        </w:rPr>
        <w:t>n</w:t>
      </w:r>
      <w:r w:rsidRPr="00FF7C09">
        <w:rPr>
          <w:lang w:val="es-ES" w:eastAsia="en-GB"/>
        </w:rPr>
        <w:t xml:space="preserve">idas, cuando se </w:t>
      </w:r>
      <w:r>
        <w:rPr>
          <w:lang w:val="es-ES" w:eastAsia="en-GB"/>
        </w:rPr>
        <w:t>prorroga el mandato de un Auditor Externo dentro del plazo permisible, las organizaciones evitan incurrir en los gastos directos asociados a las adquisiciones (por</w:t>
      </w:r>
      <w:r w:rsidR="00077D87">
        <w:rPr>
          <w:lang w:val="es-ES" w:eastAsia="en-GB"/>
        </w:rPr>
        <w:t> </w:t>
      </w:r>
      <w:r>
        <w:rPr>
          <w:lang w:val="es-ES" w:eastAsia="en-GB"/>
        </w:rPr>
        <w:t>ejemplo, publicidad, grupos de evaluación de licitaciones, incorporación</w:t>
      </w:r>
      <w:r w:rsidRPr="00FF7C09">
        <w:rPr>
          <w:lang w:val="es-ES" w:eastAsia="en-GB"/>
        </w:rPr>
        <w:t>).</w:t>
      </w:r>
    </w:p>
    <w:p w14:paraId="0A758655" w14:textId="77777777"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t xml:space="preserve">Por ejemplo, la UNESCO y la OMPI han señalado en los informes de los órganos rectores que los costes de </w:t>
      </w:r>
      <w:r>
        <w:rPr>
          <w:lang w:val="es-ES" w:eastAsia="en-GB"/>
        </w:rPr>
        <w:t>las transiciones de auditores oscilan entre</w:t>
      </w:r>
      <w:r w:rsidRPr="00FF7C09">
        <w:rPr>
          <w:lang w:val="es-ES" w:eastAsia="en-GB"/>
        </w:rPr>
        <w:t xml:space="preserve"> 50 000 </w:t>
      </w:r>
      <w:r>
        <w:rPr>
          <w:lang w:val="es-ES" w:eastAsia="en-GB"/>
        </w:rPr>
        <w:t>USD y</w:t>
      </w:r>
      <w:r w:rsidRPr="00FF7C09">
        <w:rPr>
          <w:lang w:val="es-ES" w:eastAsia="en-GB"/>
        </w:rPr>
        <w:t xml:space="preserve"> 150 000 </w:t>
      </w:r>
      <w:r>
        <w:rPr>
          <w:lang w:val="es-ES" w:eastAsia="en-GB"/>
        </w:rPr>
        <w:t>USD únicamente en concepto de tiempo indirecto del personal y transferencia de conocimientos</w:t>
      </w:r>
      <w:r w:rsidRPr="00FF7C09">
        <w:rPr>
          <w:lang w:val="es-ES" w:eastAsia="en-GB"/>
        </w:rPr>
        <w:t>.</w:t>
      </w:r>
    </w:p>
    <w:p w14:paraId="59AF301D" w14:textId="285E5037"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r>
      <w:r w:rsidR="00D25BDF" w:rsidRPr="00077D87">
        <w:rPr>
          <w:lang w:val="es-ES"/>
        </w:rPr>
        <w:t>L</w:t>
      </w:r>
      <w:r w:rsidRPr="00077D87">
        <w:rPr>
          <w:lang w:val="es-ES"/>
        </w:rPr>
        <w:t>a</w:t>
      </w:r>
      <w:r w:rsidRPr="00FF7C09">
        <w:rPr>
          <w:lang w:val="es-ES" w:eastAsia="en-GB"/>
        </w:rPr>
        <w:t xml:space="preserve"> continuidad reduce el riesgo de una nueva auditoría: un nuevo auditor a menudo tiene que </w:t>
      </w:r>
      <w:r>
        <w:rPr>
          <w:lang w:val="es-ES" w:eastAsia="en-GB"/>
        </w:rPr>
        <w:t>volver a realizar procedimientos para satisfacer las normas de independencia e integridad, lo que puede duplicar el trabajo anterior y ampliar los plazos</w:t>
      </w:r>
      <w:r w:rsidRPr="00FF7C09">
        <w:rPr>
          <w:lang w:val="es-ES" w:eastAsia="en-GB"/>
        </w:rPr>
        <w:t>.</w:t>
      </w:r>
    </w:p>
    <w:p w14:paraId="30D59C15" w14:textId="77777777" w:rsidR="0072474C" w:rsidRPr="00FF7C09" w:rsidRDefault="0072474C" w:rsidP="00D25BDF">
      <w:pPr>
        <w:pStyle w:val="Headingb"/>
        <w:rPr>
          <w:lang w:val="es-ES" w:eastAsia="en-GB"/>
        </w:rPr>
      </w:pPr>
      <w:r w:rsidRPr="00A165AE">
        <w:rPr>
          <w:lang w:val="es-ES" w:eastAsia="en-GB"/>
        </w:rPr>
        <w:t>¿S</w:t>
      </w:r>
      <w:r w:rsidRPr="00FF7C09">
        <w:rPr>
          <w:lang w:val="es-ES" w:eastAsia="en-GB"/>
        </w:rPr>
        <w:t>e minimiza así el riesgo de que la función de auditoría que</w:t>
      </w:r>
      <w:r>
        <w:rPr>
          <w:lang w:val="es-ES" w:eastAsia="en-GB"/>
        </w:rPr>
        <w:t>de vacante en el futuro</w:t>
      </w:r>
      <w:r w:rsidRPr="00FF7C09">
        <w:rPr>
          <w:lang w:val="es-ES" w:eastAsia="en-GB"/>
        </w:rPr>
        <w:t>?</w:t>
      </w:r>
    </w:p>
    <w:p w14:paraId="0DD1996A" w14:textId="77777777" w:rsidR="0072474C" w:rsidRPr="00FF7C09" w:rsidRDefault="0072474C" w:rsidP="00077D87">
      <w:pPr>
        <w:keepNext/>
        <w:keepLines/>
        <w:jc w:val="both"/>
        <w:rPr>
          <w:lang w:val="es-ES" w:eastAsia="en-GB"/>
        </w:rPr>
      </w:pPr>
      <w:r w:rsidRPr="00FF7C09">
        <w:rPr>
          <w:lang w:val="es-ES" w:eastAsia="en-GB"/>
        </w:rPr>
        <w:t xml:space="preserve">Sí y esta práctica se ajusta también a las </w:t>
      </w:r>
      <w:r>
        <w:rPr>
          <w:lang w:val="es-ES" w:eastAsia="en-GB"/>
        </w:rPr>
        <w:t>prácticas de continuidad de la auditoría internacional</w:t>
      </w:r>
      <w:r w:rsidRPr="00FF7C09">
        <w:rPr>
          <w:lang w:val="es-ES" w:eastAsia="en-GB"/>
        </w:rPr>
        <w:t>:</w:t>
      </w:r>
    </w:p>
    <w:p w14:paraId="3CF72B6F" w14:textId="77777777"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t xml:space="preserve">En </w:t>
      </w:r>
      <w:r w:rsidRPr="00D25BDF">
        <w:t>el</w:t>
      </w:r>
      <w:r w:rsidRPr="00FF7C09">
        <w:rPr>
          <w:lang w:val="es-ES" w:eastAsia="en-GB"/>
        </w:rPr>
        <w:t xml:space="preserve"> sistema de las Naciones Unida</w:t>
      </w:r>
      <w:r>
        <w:rPr>
          <w:lang w:val="es-ES" w:eastAsia="en-GB"/>
        </w:rPr>
        <w:t>s, el plazo típico de incorporación de nuevos auditores externos es de entre 3 y 6 meses</w:t>
      </w:r>
      <w:r w:rsidRPr="00FF7C09">
        <w:rPr>
          <w:lang w:val="es-ES" w:eastAsia="en-GB"/>
        </w:rPr>
        <w:t>.</w:t>
      </w:r>
    </w:p>
    <w:p w14:paraId="714A1671" w14:textId="70C0F4BE" w:rsidR="0072474C" w:rsidRPr="00FF7C09" w:rsidRDefault="0072474C" w:rsidP="00077D87">
      <w:pPr>
        <w:pStyle w:val="enumlev1"/>
        <w:jc w:val="both"/>
        <w:rPr>
          <w:lang w:val="es-ES" w:eastAsia="en-GB"/>
        </w:rPr>
      </w:pPr>
      <w:r w:rsidRPr="00FF7C09">
        <w:rPr>
          <w:lang w:val="es-ES" w:eastAsia="en-GB"/>
        </w:rPr>
        <w:lastRenderedPageBreak/>
        <w:t>–</w:t>
      </w:r>
      <w:r w:rsidRPr="00FF7C09">
        <w:rPr>
          <w:lang w:val="es-ES" w:eastAsia="en-GB"/>
        </w:rPr>
        <w:tab/>
      </w:r>
      <w:r w:rsidR="00D25BDF">
        <w:rPr>
          <w:lang w:val="es-ES" w:eastAsia="en-GB"/>
        </w:rPr>
        <w:t>L</w:t>
      </w:r>
      <w:r w:rsidRPr="00FF7C09">
        <w:rPr>
          <w:lang w:val="es-ES" w:eastAsia="en-GB"/>
        </w:rPr>
        <w:t xml:space="preserve">a renovación </w:t>
      </w:r>
      <w:r w:rsidRPr="00D25BDF">
        <w:t>evita</w:t>
      </w:r>
      <w:r w:rsidRPr="00FF7C09">
        <w:rPr>
          <w:lang w:val="es-ES" w:eastAsia="en-GB"/>
        </w:rPr>
        <w:t xml:space="preserve"> lagunas en el conocimien</w:t>
      </w:r>
      <w:r>
        <w:rPr>
          <w:lang w:val="es-ES" w:eastAsia="en-GB"/>
        </w:rPr>
        <w:t>to institucional, de particular valor en el contexto de la actual transformación financiera de la UIT y la reforma de las NICSP</w:t>
      </w:r>
      <w:r w:rsidRPr="00FF7C09">
        <w:rPr>
          <w:lang w:val="es-ES" w:eastAsia="en-GB"/>
        </w:rPr>
        <w:t>.</w:t>
      </w:r>
    </w:p>
    <w:p w14:paraId="424BD414" w14:textId="77777777" w:rsidR="0072474C" w:rsidRPr="00FF7C09" w:rsidRDefault="0072474C" w:rsidP="00077D87">
      <w:pPr>
        <w:pStyle w:val="Headingb"/>
        <w:ind w:left="0" w:firstLine="0"/>
        <w:jc w:val="both"/>
        <w:rPr>
          <w:lang w:val="es-ES" w:eastAsia="en-GB"/>
        </w:rPr>
      </w:pPr>
      <w:r w:rsidRPr="00FF7C09">
        <w:rPr>
          <w:lang w:val="es-ES" w:eastAsia="en-GB"/>
        </w:rPr>
        <w:t xml:space="preserve">¿Cómo </w:t>
      </w:r>
      <w:r w:rsidRPr="00D25BDF">
        <w:t>se</w:t>
      </w:r>
      <w:r w:rsidRPr="00FF7C09">
        <w:rPr>
          <w:lang w:val="es-ES" w:eastAsia="en-GB"/>
        </w:rPr>
        <w:t xml:space="preserve"> integran la continuidad y la diversidad en las </w:t>
      </w:r>
      <w:r>
        <w:rPr>
          <w:lang w:val="es-ES" w:eastAsia="en-GB"/>
        </w:rPr>
        <w:t>prácticas idóneas en materia de auditoría</w:t>
      </w:r>
      <w:r w:rsidRPr="00FF7C09">
        <w:rPr>
          <w:lang w:val="es-ES" w:eastAsia="en-GB"/>
        </w:rPr>
        <w:t>?</w:t>
      </w:r>
    </w:p>
    <w:p w14:paraId="7213D3D0" w14:textId="77777777" w:rsidR="0072474C" w:rsidRPr="00FF7C09" w:rsidRDefault="0072474C" w:rsidP="00077D87">
      <w:pPr>
        <w:jc w:val="both"/>
        <w:rPr>
          <w:lang w:val="es-ES" w:eastAsia="en-GB"/>
        </w:rPr>
      </w:pPr>
      <w:r w:rsidRPr="00FF7C09">
        <w:rPr>
          <w:lang w:val="es-ES" w:eastAsia="en-GB"/>
        </w:rPr>
        <w:t>Se trata de un equilibrio m</w:t>
      </w:r>
      <w:r>
        <w:rPr>
          <w:lang w:val="es-ES" w:eastAsia="en-GB"/>
        </w:rPr>
        <w:t>undialmente reconocido</w:t>
      </w:r>
      <w:r w:rsidRPr="00FF7C09">
        <w:rPr>
          <w:lang w:val="es-ES" w:eastAsia="en-GB"/>
        </w:rPr>
        <w:t>:</w:t>
      </w:r>
    </w:p>
    <w:p w14:paraId="7DB1B683" w14:textId="4AB7A5D0"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r>
      <w:r w:rsidR="00D25BDF">
        <w:rPr>
          <w:lang w:val="es-ES" w:eastAsia="en-GB"/>
        </w:rPr>
        <w:t>L</w:t>
      </w:r>
      <w:r w:rsidRPr="00FF7C09">
        <w:rPr>
          <w:lang w:val="es-ES" w:eastAsia="en-GB"/>
        </w:rPr>
        <w:t>a continuidad garantiza la coherencia del enfoque auditor y la memoria institucional, de particular importan</w:t>
      </w:r>
      <w:r>
        <w:rPr>
          <w:lang w:val="es-ES" w:eastAsia="en-GB"/>
        </w:rPr>
        <w:t>cia en periodos de transformación financiera profunda (como es el caso de la UIT</w:t>
      </w:r>
      <w:r w:rsidRPr="00FF7C09">
        <w:rPr>
          <w:lang w:val="es-ES" w:eastAsia="en-GB"/>
        </w:rPr>
        <w:t>).</w:t>
      </w:r>
    </w:p>
    <w:p w14:paraId="25B3CBC8" w14:textId="5C63C464"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r>
      <w:r w:rsidR="00D25BDF">
        <w:rPr>
          <w:lang w:val="es-ES" w:eastAsia="en-GB"/>
        </w:rPr>
        <w:t>L</w:t>
      </w:r>
      <w:r w:rsidRPr="00FF7C09">
        <w:rPr>
          <w:lang w:val="es-ES" w:eastAsia="en-GB"/>
        </w:rPr>
        <w:t xml:space="preserve">a diversidad de los auditores externos se logra con el tiempo mediante ciclos transparentes de </w:t>
      </w:r>
      <w:r>
        <w:rPr>
          <w:lang w:val="es-ES" w:eastAsia="en-GB"/>
        </w:rPr>
        <w:t>selección competitiva, no necesariamente denegando la renovación del mandato</w:t>
      </w:r>
      <w:r w:rsidRPr="00FF7C09">
        <w:rPr>
          <w:lang w:val="es-ES" w:eastAsia="en-GB"/>
        </w:rPr>
        <w:t>.</w:t>
      </w:r>
    </w:p>
    <w:p w14:paraId="7D9D8BCC" w14:textId="77777777" w:rsidR="0072474C" w:rsidRPr="00FF7C09" w:rsidRDefault="0072474C" w:rsidP="00077D87">
      <w:pPr>
        <w:jc w:val="both"/>
        <w:rPr>
          <w:lang w:val="es-ES" w:eastAsia="en-GB"/>
        </w:rPr>
      </w:pPr>
      <w:r w:rsidRPr="00FF7C09">
        <w:rPr>
          <w:lang w:val="es-ES" w:eastAsia="en-GB"/>
        </w:rPr>
        <w:t xml:space="preserve">Equilibrio de buenas </w:t>
      </w:r>
      <w:r w:rsidRPr="00537CA6">
        <w:rPr>
          <w:lang w:val="es-ES" w:eastAsia="en-GB"/>
        </w:rPr>
        <w:t>prácticas</w:t>
      </w:r>
      <w:r w:rsidRPr="00FF7C09">
        <w:rPr>
          <w:lang w:val="es-ES" w:eastAsia="en-GB"/>
        </w:rPr>
        <w:t>:</w:t>
      </w:r>
    </w:p>
    <w:p w14:paraId="200910A4" w14:textId="77777777"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t xml:space="preserve">La OMPI concede un periodo inicial (generalmente de 6 años), que garantiza tanto la diversidad como </w:t>
      </w:r>
      <w:r>
        <w:rPr>
          <w:lang w:val="es-ES" w:eastAsia="en-GB"/>
        </w:rPr>
        <w:t>la eficacia</w:t>
      </w:r>
      <w:r w:rsidRPr="00FF7C09">
        <w:rPr>
          <w:lang w:val="es-ES" w:eastAsia="en-GB"/>
        </w:rPr>
        <w:t>.</w:t>
      </w:r>
    </w:p>
    <w:p w14:paraId="16D01D0D" w14:textId="063EC24E" w:rsidR="0072474C" w:rsidRPr="00FF7C09" w:rsidRDefault="0072474C" w:rsidP="00077D87">
      <w:pPr>
        <w:pStyle w:val="enumlev1"/>
        <w:jc w:val="both"/>
        <w:rPr>
          <w:lang w:val="es-ES" w:eastAsia="en-GB"/>
        </w:rPr>
      </w:pPr>
      <w:r w:rsidRPr="00FF7C09">
        <w:rPr>
          <w:lang w:val="es-ES" w:eastAsia="en-GB"/>
        </w:rPr>
        <w:t>–</w:t>
      </w:r>
      <w:r w:rsidRPr="00FF7C09">
        <w:rPr>
          <w:lang w:val="es-ES" w:eastAsia="en-GB"/>
        </w:rPr>
        <w:tab/>
      </w:r>
      <w:r w:rsidR="00D25BDF">
        <w:rPr>
          <w:lang w:val="es-ES" w:eastAsia="en-GB"/>
        </w:rPr>
        <w:t>L</w:t>
      </w:r>
      <w:r w:rsidRPr="00FF7C09">
        <w:rPr>
          <w:lang w:val="es-ES" w:eastAsia="en-GB"/>
        </w:rPr>
        <w:t xml:space="preserve">a rotación de los auditores es importante, pero debe ponderarse con el rendimiento, las </w:t>
      </w:r>
      <w:r>
        <w:rPr>
          <w:lang w:val="es-ES" w:eastAsia="en-GB"/>
        </w:rPr>
        <w:t>reformas en curso y la coherencia del ejercicio auditor</w:t>
      </w:r>
      <w:r w:rsidRPr="00FF7C09">
        <w:rPr>
          <w:lang w:val="es-ES" w:eastAsia="en-GB"/>
        </w:rPr>
        <w:t>.</w:t>
      </w:r>
    </w:p>
    <w:p w14:paraId="160DB725" w14:textId="07DA5BE0" w:rsidR="0072474C" w:rsidRPr="0072474C" w:rsidRDefault="0072474C" w:rsidP="0072474C">
      <w:pPr>
        <w:pStyle w:val="Heading1"/>
        <w:rPr>
          <w:rFonts w:eastAsiaTheme="minorEastAsia"/>
          <w:lang w:val="es-ES" w:eastAsia="zh-CN"/>
        </w:rPr>
      </w:pPr>
      <w:r>
        <w:rPr>
          <w:rFonts w:eastAsiaTheme="minorEastAsia"/>
          <w:lang w:val="es-ES" w:eastAsia="zh-CN"/>
        </w:rPr>
        <w:t>III</w:t>
      </w:r>
      <w:r>
        <w:rPr>
          <w:rFonts w:eastAsiaTheme="minorEastAsia"/>
          <w:lang w:val="es-ES" w:eastAsia="zh-CN"/>
        </w:rPr>
        <w:tab/>
        <w:t>Recomendación</w:t>
      </w:r>
    </w:p>
    <w:p w14:paraId="46EC91F1" w14:textId="43813274" w:rsidR="00D25BDF" w:rsidRPr="008D794F" w:rsidRDefault="00D25BDF" w:rsidP="00077D87">
      <w:pPr>
        <w:pStyle w:val="enumlev1"/>
        <w:jc w:val="both"/>
        <w:rPr>
          <w:rFonts w:asciiTheme="minorHAnsi" w:eastAsiaTheme="minorEastAsia" w:hAnsiTheme="minorHAnsi" w:cstheme="minorBidi"/>
          <w:lang w:val="es-ES" w:eastAsia="zh-CN"/>
        </w:rPr>
      </w:pPr>
      <w:r w:rsidRPr="008D794F">
        <w:rPr>
          <w:rFonts w:asciiTheme="minorHAnsi" w:eastAsiaTheme="minorEastAsia" w:hAnsiTheme="minorHAnsi" w:cstheme="minorBidi"/>
          <w:lang w:val="es-ES" w:eastAsia="zh-CN"/>
        </w:rPr>
        <w:t>1</w:t>
      </w:r>
      <w:r>
        <w:rPr>
          <w:rFonts w:asciiTheme="minorHAnsi" w:eastAsiaTheme="minorEastAsia" w:hAnsiTheme="minorHAnsi" w:cstheme="minorBidi"/>
          <w:lang w:val="es-ES" w:eastAsia="zh-CN"/>
        </w:rPr>
        <w:t>)</w:t>
      </w:r>
      <w:r w:rsidRPr="008D794F">
        <w:rPr>
          <w:lang w:val="es-ES"/>
        </w:rPr>
        <w:tab/>
        <w:t>Partiendo de</w:t>
      </w:r>
      <w:r>
        <w:rPr>
          <w:lang w:val="es-ES"/>
        </w:rPr>
        <w:t xml:space="preserve"> las respuestas anteriores, la comparación con otros organismos de referencia, la armonización con las prácticas idóneas y el respeto de la práctica habitual y lo dispuesto en el Reglamento Financiero de la UIT, teniendo además</w:t>
      </w:r>
      <w:r w:rsidRPr="008D794F">
        <w:rPr>
          <w:lang w:val="es-ES"/>
        </w:rPr>
        <w:t xml:space="preserve"> en cuenta todos los criterios, se recomienda la renovación del mandato de la NAO del Reino Unido por un periodo de dos años para la auditoría de los estados financieros de</w:t>
      </w:r>
      <w:r>
        <w:rPr>
          <w:lang w:val="es-ES"/>
        </w:rPr>
        <w:t> </w:t>
      </w:r>
      <w:r w:rsidRPr="008D794F">
        <w:rPr>
          <w:lang w:val="es-ES"/>
        </w:rPr>
        <w:t xml:space="preserve">2026 y </w:t>
      </w:r>
      <w:r>
        <w:rPr>
          <w:lang w:val="es-ES"/>
        </w:rPr>
        <w:t>2027</w:t>
      </w:r>
      <w:r w:rsidRPr="008D794F">
        <w:rPr>
          <w:lang w:val="es-ES"/>
        </w:rPr>
        <w:t>.</w:t>
      </w:r>
    </w:p>
    <w:p w14:paraId="0140E1AB" w14:textId="7CA7B58C" w:rsidR="003143A9" w:rsidRPr="008D794F" w:rsidRDefault="00D25BDF" w:rsidP="00077D87">
      <w:pPr>
        <w:pStyle w:val="enumlev1"/>
        <w:jc w:val="both"/>
        <w:rPr>
          <w:rFonts w:asciiTheme="minorHAnsi" w:eastAsiaTheme="minorEastAsia" w:hAnsiTheme="minorHAnsi" w:cstheme="minorBidi"/>
          <w:color w:val="000000"/>
          <w:lang w:val="es-ES" w:eastAsia="zh-CN"/>
        </w:rPr>
      </w:pPr>
      <w:r w:rsidRPr="008D794F">
        <w:rPr>
          <w:rFonts w:asciiTheme="minorHAnsi" w:eastAsiaTheme="minorEastAsia" w:hAnsiTheme="minorHAnsi" w:cstheme="minorBidi"/>
          <w:color w:val="000000" w:themeColor="text1"/>
          <w:lang w:val="es-ES" w:eastAsia="zh-CN"/>
        </w:rPr>
        <w:t>2</w:t>
      </w:r>
      <w:r>
        <w:rPr>
          <w:rFonts w:asciiTheme="minorHAnsi" w:eastAsiaTheme="minorEastAsia" w:hAnsiTheme="minorHAnsi" w:cstheme="minorBidi"/>
          <w:color w:val="000000" w:themeColor="text1"/>
          <w:lang w:val="es-ES" w:eastAsia="zh-CN"/>
        </w:rPr>
        <w:t>)</w:t>
      </w:r>
      <w:r w:rsidRPr="008D794F">
        <w:rPr>
          <w:lang w:val="es-ES"/>
        </w:rPr>
        <w:tab/>
        <w:t xml:space="preserve">Se invita al Consejo a </w:t>
      </w:r>
      <w:r w:rsidRPr="008D794F">
        <w:rPr>
          <w:b/>
          <w:bCs/>
          <w:lang w:val="es-ES"/>
        </w:rPr>
        <w:t xml:space="preserve">adoptar </w:t>
      </w:r>
      <w:r w:rsidRPr="008D794F">
        <w:rPr>
          <w:lang w:val="es-ES"/>
        </w:rPr>
        <w:t xml:space="preserve">el </w:t>
      </w:r>
      <w:r>
        <w:rPr>
          <w:lang w:val="es-ES"/>
        </w:rPr>
        <w:t>p</w:t>
      </w:r>
      <w:r w:rsidRPr="008D794F">
        <w:rPr>
          <w:lang w:val="es-ES"/>
        </w:rPr>
        <w:t>royecto de Acuerdo r</w:t>
      </w:r>
      <w:r>
        <w:rPr>
          <w:lang w:val="es-ES"/>
        </w:rPr>
        <w:t>ecogido en el Anexo a este documento</w:t>
      </w:r>
      <w:r w:rsidRPr="008D794F">
        <w:rPr>
          <w:lang w:val="es-ES"/>
        </w:rPr>
        <w:t>.</w:t>
      </w:r>
    </w:p>
    <w:p w14:paraId="311E134C" w14:textId="77777777" w:rsidR="003143A9" w:rsidRPr="008D794F" w:rsidRDefault="003143A9" w:rsidP="003143A9">
      <w:pPr>
        <w:spacing w:before="2400"/>
        <w:rPr>
          <w:rFonts w:eastAsiaTheme="minorEastAsia"/>
          <w:lang w:val="es-ES" w:eastAsia="zh-CN"/>
        </w:rPr>
      </w:pPr>
      <w:r w:rsidRPr="008D794F">
        <w:rPr>
          <w:rFonts w:eastAsiaTheme="minorEastAsia"/>
          <w:b/>
          <w:bCs/>
          <w:lang w:val="es-ES" w:eastAsia="zh-CN"/>
        </w:rPr>
        <w:t>Anexo:</w:t>
      </w:r>
      <w:r w:rsidRPr="008D794F">
        <w:rPr>
          <w:rFonts w:eastAsiaTheme="minorEastAsia"/>
          <w:b/>
          <w:bCs/>
          <w:lang w:val="es-ES" w:eastAsia="zh-CN"/>
        </w:rPr>
        <w:tab/>
      </w:r>
      <w:r w:rsidRPr="008D794F">
        <w:rPr>
          <w:rFonts w:eastAsiaTheme="minorEastAsia"/>
          <w:lang w:val="es-ES" w:eastAsia="zh-CN"/>
        </w:rPr>
        <w:t>Proyecto de Acuerdo</w:t>
      </w:r>
    </w:p>
    <w:p w14:paraId="69D70A99" w14:textId="77777777" w:rsidR="003143A9" w:rsidRPr="008D794F" w:rsidRDefault="003143A9" w:rsidP="003143A9">
      <w:pPr>
        <w:tabs>
          <w:tab w:val="clear" w:pos="567"/>
          <w:tab w:val="clear" w:pos="1134"/>
          <w:tab w:val="clear" w:pos="1701"/>
          <w:tab w:val="clear" w:pos="2268"/>
          <w:tab w:val="clear" w:pos="2835"/>
        </w:tabs>
        <w:overflowPunct/>
        <w:autoSpaceDE/>
        <w:autoSpaceDN/>
        <w:adjustRightInd/>
        <w:spacing w:before="0"/>
        <w:textAlignment w:val="auto"/>
        <w:rPr>
          <w:rFonts w:cstheme="minorHAnsi"/>
          <w:color w:val="000000"/>
          <w:szCs w:val="24"/>
          <w:lang w:val="es-ES"/>
        </w:rPr>
      </w:pPr>
      <w:r w:rsidRPr="008D794F">
        <w:rPr>
          <w:rFonts w:cstheme="minorHAnsi"/>
          <w:color w:val="000000"/>
          <w:szCs w:val="24"/>
          <w:lang w:val="es-ES"/>
        </w:rPr>
        <w:br w:type="page"/>
      </w:r>
    </w:p>
    <w:p w14:paraId="79BE7991" w14:textId="77777777" w:rsidR="003143A9" w:rsidRPr="008D794F" w:rsidRDefault="003143A9" w:rsidP="003143A9">
      <w:pPr>
        <w:pStyle w:val="AnnexNo"/>
        <w:rPr>
          <w:lang w:val="es-ES"/>
        </w:rPr>
      </w:pPr>
      <w:r w:rsidRPr="008D794F">
        <w:rPr>
          <w:lang w:val="es-ES"/>
        </w:rPr>
        <w:lastRenderedPageBreak/>
        <w:t>ANEXo</w:t>
      </w:r>
    </w:p>
    <w:p w14:paraId="1805A20C" w14:textId="4CBC48D5" w:rsidR="003143A9" w:rsidRPr="00512CC2" w:rsidRDefault="003143A9" w:rsidP="00512CC2">
      <w:pPr>
        <w:pStyle w:val="Annextitle"/>
        <w:rPr>
          <w:lang w:val="es-ES"/>
        </w:rPr>
      </w:pPr>
      <w:r w:rsidRPr="00A74656">
        <w:rPr>
          <w:lang w:val="es-ES"/>
        </w:rPr>
        <w:t>PROYECTO DE ACUERDO […]</w:t>
      </w:r>
      <w:bookmarkStart w:id="2" w:name="OLE_LINK9"/>
      <w:bookmarkStart w:id="3" w:name="OLE_LINK10"/>
      <w:r w:rsidR="00512CC2">
        <w:rPr>
          <w:lang w:val="es-ES"/>
        </w:rPr>
        <w:br/>
      </w:r>
      <w:r w:rsidRPr="00A74656">
        <w:rPr>
          <w:lang w:val="es-ES"/>
        </w:rPr>
        <w:t>Renovación del mandato del Auditor Externo (Oficina Nacional de Auditoría (NAO) del Reino Unido) por un periodo de dos años</w:t>
      </w:r>
    </w:p>
    <w:bookmarkEnd w:id="2"/>
    <w:bookmarkEnd w:id="3"/>
    <w:p w14:paraId="2B26635A" w14:textId="77777777" w:rsidR="003143A9" w:rsidRPr="008D794F" w:rsidRDefault="003143A9" w:rsidP="00512CC2">
      <w:pPr>
        <w:rPr>
          <w:lang w:val="es-ES"/>
        </w:rPr>
      </w:pPr>
      <w:r w:rsidRPr="008D794F">
        <w:rPr>
          <w:lang w:val="es-ES"/>
        </w:rPr>
        <w:t>El Consejo de la UIT,</w:t>
      </w:r>
    </w:p>
    <w:p w14:paraId="7ABE47FD" w14:textId="77777777" w:rsidR="003143A9" w:rsidRPr="008D794F" w:rsidRDefault="003143A9" w:rsidP="003143A9">
      <w:pPr>
        <w:pStyle w:val="Call"/>
        <w:rPr>
          <w:lang w:val="es-ES"/>
        </w:rPr>
      </w:pPr>
      <w:r w:rsidRPr="008D794F">
        <w:rPr>
          <w:lang w:val="es-ES"/>
        </w:rPr>
        <w:t>habiendo examinado</w:t>
      </w:r>
    </w:p>
    <w:p w14:paraId="70DC9C02" w14:textId="2EAE6392" w:rsidR="003143A9" w:rsidRPr="00A74656" w:rsidRDefault="003143A9" w:rsidP="003143A9">
      <w:pPr>
        <w:rPr>
          <w:lang w:val="es-ES"/>
        </w:rPr>
      </w:pPr>
      <w:r w:rsidRPr="00A74656">
        <w:rPr>
          <w:lang w:val="es-ES"/>
        </w:rPr>
        <w:t xml:space="preserve">el Documento </w:t>
      </w:r>
      <w:hyperlink r:id="rId10" w:history="1">
        <w:r w:rsidRPr="00077D87">
          <w:rPr>
            <w:rStyle w:val="Hyperlink"/>
          </w:rPr>
          <w:t>C25/42</w:t>
        </w:r>
      </w:hyperlink>
      <w:r w:rsidRPr="00A74656">
        <w:rPr>
          <w:lang w:val="es-ES"/>
        </w:rPr>
        <w:t>,</w:t>
      </w:r>
    </w:p>
    <w:p w14:paraId="5A59F688" w14:textId="77777777" w:rsidR="003143A9" w:rsidRPr="00A74656" w:rsidRDefault="003143A9" w:rsidP="003143A9">
      <w:pPr>
        <w:pStyle w:val="Call"/>
        <w:rPr>
          <w:lang w:val="es-ES"/>
        </w:rPr>
      </w:pPr>
      <w:r w:rsidRPr="00A74656">
        <w:rPr>
          <w:lang w:val="es-ES"/>
        </w:rPr>
        <w:t>considerando</w:t>
      </w:r>
    </w:p>
    <w:p w14:paraId="48539859" w14:textId="1A274A7C" w:rsidR="003143A9" w:rsidRPr="008D794F" w:rsidRDefault="003143A9" w:rsidP="00626DDF">
      <w:pPr>
        <w:rPr>
          <w:rFonts w:asciiTheme="minorHAnsi" w:hAnsiTheme="minorHAnsi"/>
          <w:szCs w:val="24"/>
          <w:lang w:val="es-ES"/>
        </w:rPr>
      </w:pPr>
      <w:r w:rsidRPr="008D794F">
        <w:rPr>
          <w:lang w:val="es-ES"/>
        </w:rPr>
        <w:t xml:space="preserve">la </w:t>
      </w:r>
      <w:hyperlink r:id="rId11" w:history="1">
        <w:r w:rsidRPr="008D794F">
          <w:rPr>
            <w:color w:val="0563C1"/>
            <w:u w:val="single"/>
            <w:lang w:val="es-ES"/>
          </w:rPr>
          <w:t>Resolución 94</w:t>
        </w:r>
      </w:hyperlink>
      <w:r w:rsidRPr="008D794F">
        <w:rPr>
          <w:szCs w:val="24"/>
          <w:lang w:val="es-ES"/>
        </w:rPr>
        <w:t xml:space="preserve"> (Rev. Bucarest, 2022) de la Conferencia de Plenipotenciarios y el </w:t>
      </w:r>
      <w:hyperlink r:id="rId12" w:history="1">
        <w:r>
          <w:rPr>
            <w:color w:val="0563C1"/>
            <w:u w:val="single"/>
            <w:lang w:val="es-ES"/>
          </w:rPr>
          <w:t>Acuerdo</w:t>
        </w:r>
        <w:r w:rsidR="00FE04BF">
          <w:rPr>
            <w:color w:val="0563C1"/>
            <w:u w:val="single"/>
            <w:lang w:val="es-ES"/>
          </w:rPr>
          <w:t> </w:t>
        </w:r>
        <w:r>
          <w:rPr>
            <w:color w:val="0563C1"/>
            <w:u w:val="single"/>
            <w:lang w:val="es-ES"/>
          </w:rPr>
          <w:t>621</w:t>
        </w:r>
      </w:hyperlink>
      <w:r w:rsidRPr="008D794F">
        <w:rPr>
          <w:szCs w:val="24"/>
          <w:lang w:val="es-ES"/>
        </w:rPr>
        <w:t xml:space="preserve"> (C20) </w:t>
      </w:r>
      <w:r>
        <w:rPr>
          <w:szCs w:val="24"/>
          <w:lang w:val="es-ES"/>
        </w:rPr>
        <w:t>del Consejo</w:t>
      </w:r>
      <w:r w:rsidRPr="008D794F">
        <w:rPr>
          <w:szCs w:val="24"/>
          <w:lang w:val="es-ES"/>
        </w:rPr>
        <w:t>,</w:t>
      </w:r>
    </w:p>
    <w:p w14:paraId="4A08591C" w14:textId="77777777" w:rsidR="003143A9" w:rsidRPr="00A74656" w:rsidRDefault="003143A9" w:rsidP="003143A9">
      <w:pPr>
        <w:pStyle w:val="Call"/>
        <w:rPr>
          <w:lang w:val="es-ES"/>
        </w:rPr>
      </w:pPr>
      <w:r w:rsidRPr="00A74656">
        <w:rPr>
          <w:lang w:val="es-ES"/>
        </w:rPr>
        <w:t>teniendo en cuenta</w:t>
      </w:r>
    </w:p>
    <w:p w14:paraId="3D4F6BA7" w14:textId="32A55FDB" w:rsidR="003143A9" w:rsidRPr="008D794F" w:rsidRDefault="003143A9" w:rsidP="003143A9">
      <w:pPr>
        <w:rPr>
          <w:lang w:val="es-ES"/>
        </w:rPr>
      </w:pPr>
      <w:r w:rsidRPr="008D794F">
        <w:rPr>
          <w:lang w:val="es-ES"/>
        </w:rPr>
        <w:t xml:space="preserve">el Artículo 28 del </w:t>
      </w:r>
      <w:hyperlink r:id="rId13" w:history="1">
        <w:r>
          <w:rPr>
            <w:color w:val="0563C1"/>
            <w:u w:val="single"/>
            <w:lang w:val="es-ES"/>
          </w:rPr>
          <w:t>Reglamento Financiero</w:t>
        </w:r>
      </w:hyperlink>
      <w:r w:rsidRPr="008D794F">
        <w:rPr>
          <w:lang w:val="es-ES"/>
        </w:rPr>
        <w:t>,</w:t>
      </w:r>
    </w:p>
    <w:p w14:paraId="2AE1AF66" w14:textId="77777777" w:rsidR="003143A9" w:rsidRPr="00A74656" w:rsidRDefault="003143A9" w:rsidP="003143A9">
      <w:pPr>
        <w:pStyle w:val="Call"/>
        <w:rPr>
          <w:lang w:val="es-ES"/>
        </w:rPr>
      </w:pPr>
      <w:r w:rsidRPr="00A74656">
        <w:rPr>
          <w:lang w:val="es-ES"/>
        </w:rPr>
        <w:t>acuerda</w:t>
      </w:r>
    </w:p>
    <w:p w14:paraId="2F12ABB4" w14:textId="4682CB91" w:rsidR="003143A9" w:rsidRPr="008D794F" w:rsidRDefault="003143A9" w:rsidP="00077D87">
      <w:pPr>
        <w:jc w:val="both"/>
        <w:rPr>
          <w:lang w:val="es-ES"/>
        </w:rPr>
      </w:pPr>
      <w:r w:rsidRPr="00626DDF">
        <w:rPr>
          <w:lang w:val="es-ES"/>
        </w:rPr>
        <w:t>renovar</w:t>
      </w:r>
      <w:r w:rsidRPr="008D794F">
        <w:rPr>
          <w:lang w:val="es-ES"/>
        </w:rPr>
        <w:t xml:space="preserve"> el mandato del Auditor Externo (Oficina Nacional de Auditoría (NAO) del Reino Unido) de la UIT por un periodo de dos años para auditar sus estados financieros de 2026 y</w:t>
      </w:r>
      <w:r w:rsidR="00626DDF">
        <w:rPr>
          <w:lang w:val="es-ES"/>
        </w:rPr>
        <w:t> </w:t>
      </w:r>
      <w:r w:rsidRPr="008D794F">
        <w:rPr>
          <w:lang w:val="es-ES"/>
        </w:rPr>
        <w:t>2027,</w:t>
      </w:r>
    </w:p>
    <w:p w14:paraId="7A51F573" w14:textId="77777777" w:rsidR="003143A9" w:rsidRPr="00A74656" w:rsidRDefault="003143A9" w:rsidP="003143A9">
      <w:pPr>
        <w:pStyle w:val="Call"/>
        <w:rPr>
          <w:lang w:val="es-ES"/>
        </w:rPr>
      </w:pPr>
      <w:r w:rsidRPr="00A74656">
        <w:rPr>
          <w:lang w:val="es-ES"/>
        </w:rPr>
        <w:t>encarga al Secretario General</w:t>
      </w:r>
    </w:p>
    <w:p w14:paraId="602B037A" w14:textId="5ED329BD" w:rsidR="00F92BED" w:rsidRPr="003143A9" w:rsidRDefault="003143A9" w:rsidP="00626DDF">
      <w:pPr>
        <w:rPr>
          <w:color w:val="000000"/>
          <w:lang w:val="es-ES"/>
        </w:rPr>
      </w:pPr>
      <w:r w:rsidRPr="008D794F">
        <w:rPr>
          <w:szCs w:val="24"/>
          <w:lang w:val="es-ES"/>
        </w:rPr>
        <w:t xml:space="preserve">que ponga este Acuerdo en conocimiento del Controlador y Auditor General de la </w:t>
      </w:r>
      <w:r w:rsidR="00822AAF">
        <w:rPr>
          <w:szCs w:val="24"/>
          <w:lang w:val="es-ES"/>
        </w:rPr>
        <w:t>O</w:t>
      </w:r>
      <w:r w:rsidRPr="008D794F">
        <w:rPr>
          <w:szCs w:val="24"/>
          <w:lang w:val="es-ES"/>
        </w:rPr>
        <w:t>ficina Nacional de Auditoría de</w:t>
      </w:r>
      <w:r>
        <w:rPr>
          <w:szCs w:val="24"/>
          <w:lang w:val="es-ES"/>
        </w:rPr>
        <w:t>l Reino Unido</w:t>
      </w:r>
      <w:bookmarkStart w:id="4" w:name="_Hlk42012064"/>
      <w:r w:rsidRPr="008D794F">
        <w:rPr>
          <w:color w:val="000000"/>
          <w:lang w:val="es-ES"/>
        </w:rPr>
        <w:t>.</w:t>
      </w:r>
      <w:bookmarkEnd w:id="4"/>
    </w:p>
    <w:p w14:paraId="4B6F4E73" w14:textId="77777777" w:rsidR="00F92BED" w:rsidRDefault="00F92BED" w:rsidP="0032202E">
      <w:pPr>
        <w:pStyle w:val="Reasons"/>
      </w:pPr>
    </w:p>
    <w:p w14:paraId="227EB452" w14:textId="0C5B716D" w:rsidR="00F92BED" w:rsidRPr="00F92BED" w:rsidRDefault="00F92BED" w:rsidP="00F92BED">
      <w:pPr>
        <w:jc w:val="center"/>
      </w:pPr>
      <w:r>
        <w:t>______________</w:t>
      </w:r>
    </w:p>
    <w:sectPr w:rsidR="00F92BED" w:rsidRPr="00F92BED" w:rsidSect="00C538FC">
      <w:headerReference w:type="even" r:id="rId14"/>
      <w:headerReference w:type="default" r:id="rId15"/>
      <w:footerReference w:type="even" r:id="rId1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1282" w14:textId="77777777" w:rsidR="00670563" w:rsidRDefault="00670563">
      <w:r>
        <w:separator/>
      </w:r>
    </w:p>
  </w:endnote>
  <w:endnote w:type="continuationSeparator" w:id="0">
    <w:p w14:paraId="427242BB" w14:textId="77777777" w:rsidR="00670563" w:rsidRDefault="0067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54DA" w14:textId="77777777" w:rsidR="002A1F96" w:rsidRDefault="002A1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4692E79" w:rsidR="003273A4" w:rsidRDefault="002A1F96" w:rsidP="003273A4">
          <w:pPr>
            <w:pStyle w:val="Header"/>
            <w:jc w:val="left"/>
            <w:rPr>
              <w:noProof/>
            </w:rPr>
          </w:pPr>
          <w:r w:rsidRPr="002A1F96">
            <w:rPr>
              <w:noProof/>
            </w:rPr>
            <w:t>R2500715</w:t>
          </w:r>
        </w:p>
      </w:tc>
      <w:tc>
        <w:tcPr>
          <w:tcW w:w="8261" w:type="dxa"/>
        </w:tcPr>
        <w:p w14:paraId="31328314" w14:textId="2377A7FD"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12CC2">
            <w:rPr>
              <w:bCs/>
            </w:rPr>
            <w:t>42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46DBF3A"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20F74E99" w14:textId="6D81C122"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512CC2">
            <w:rPr>
              <w:bCs/>
            </w:rPr>
            <w:t>42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F9E9" w14:textId="77777777" w:rsidR="00670563" w:rsidRDefault="00670563">
      <w:r>
        <w:t>____________________</w:t>
      </w:r>
    </w:p>
  </w:footnote>
  <w:footnote w:type="continuationSeparator" w:id="0">
    <w:p w14:paraId="210A6127" w14:textId="77777777" w:rsidR="00670563" w:rsidRDefault="0067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BD91" w14:textId="77777777" w:rsidR="002A1F96" w:rsidRDefault="002A1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3F01" w14:textId="77777777" w:rsidR="002A1F96" w:rsidRDefault="002A1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4004442A" w14:textId="77777777" w:rsidTr="00666D09">
      <w:trPr>
        <w:trHeight w:val="1104"/>
        <w:jc w:val="center"/>
      </w:trPr>
      <w:tc>
        <w:tcPr>
          <w:tcW w:w="5998" w:type="dxa"/>
          <w:vAlign w:val="center"/>
        </w:tcPr>
        <w:p w14:paraId="47173BAF" w14:textId="6F805533"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95168A9" wp14:editId="2102CD75">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615975AC" w14:textId="77777777" w:rsidR="00666D09" w:rsidRDefault="00666D09" w:rsidP="001559F5">
          <w:pPr>
            <w:pStyle w:val="Header"/>
            <w:jc w:val="right"/>
            <w:rPr>
              <w:rFonts w:ascii="Arial" w:hAnsi="Arial" w:cs="Arial"/>
              <w:b/>
              <w:bCs/>
              <w:color w:val="009CD6"/>
              <w:szCs w:val="18"/>
            </w:rPr>
          </w:pPr>
        </w:p>
      </w:tc>
    </w:tr>
  </w:tbl>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21232"/>
    <w:rsid w:val="00021421"/>
    <w:rsid w:val="0006007D"/>
    <w:rsid w:val="00077D87"/>
    <w:rsid w:val="00093EEB"/>
    <w:rsid w:val="000B0D00"/>
    <w:rsid w:val="000B7C15"/>
    <w:rsid w:val="000D1D0F"/>
    <w:rsid w:val="000E3F07"/>
    <w:rsid w:val="000F5290"/>
    <w:rsid w:val="0010165C"/>
    <w:rsid w:val="00123FCB"/>
    <w:rsid w:val="00141D93"/>
    <w:rsid w:val="0014569F"/>
    <w:rsid w:val="00146BFB"/>
    <w:rsid w:val="001559F5"/>
    <w:rsid w:val="00157AC4"/>
    <w:rsid w:val="0016169C"/>
    <w:rsid w:val="001B6E2B"/>
    <w:rsid w:val="001F14A2"/>
    <w:rsid w:val="002801AA"/>
    <w:rsid w:val="002946E2"/>
    <w:rsid w:val="002A1F96"/>
    <w:rsid w:val="002C3F32"/>
    <w:rsid w:val="002C4676"/>
    <w:rsid w:val="002C70B0"/>
    <w:rsid w:val="002F3CC4"/>
    <w:rsid w:val="003032E2"/>
    <w:rsid w:val="0031300A"/>
    <w:rsid w:val="003143A9"/>
    <w:rsid w:val="003273A4"/>
    <w:rsid w:val="0034796E"/>
    <w:rsid w:val="003A35CA"/>
    <w:rsid w:val="00450E4F"/>
    <w:rsid w:val="00473962"/>
    <w:rsid w:val="004B2CFA"/>
    <w:rsid w:val="004B5D49"/>
    <w:rsid w:val="004D3A3C"/>
    <w:rsid w:val="00512CC2"/>
    <w:rsid w:val="00513630"/>
    <w:rsid w:val="00537CA6"/>
    <w:rsid w:val="00560125"/>
    <w:rsid w:val="00585553"/>
    <w:rsid w:val="005B34D9"/>
    <w:rsid w:val="005D0CCF"/>
    <w:rsid w:val="005F3BCB"/>
    <w:rsid w:val="005F410F"/>
    <w:rsid w:val="0060149A"/>
    <w:rsid w:val="00601924"/>
    <w:rsid w:val="00626DDF"/>
    <w:rsid w:val="006447EA"/>
    <w:rsid w:val="0064481D"/>
    <w:rsid w:val="0064731F"/>
    <w:rsid w:val="00664572"/>
    <w:rsid w:val="00666D09"/>
    <w:rsid w:val="00670563"/>
    <w:rsid w:val="006710F6"/>
    <w:rsid w:val="00677A97"/>
    <w:rsid w:val="006B24F1"/>
    <w:rsid w:val="006C1B56"/>
    <w:rsid w:val="006D4761"/>
    <w:rsid w:val="0072474C"/>
    <w:rsid w:val="00726872"/>
    <w:rsid w:val="00736BA7"/>
    <w:rsid w:val="00760F1C"/>
    <w:rsid w:val="007657F0"/>
    <w:rsid w:val="0077110E"/>
    <w:rsid w:val="0077252D"/>
    <w:rsid w:val="00773AAD"/>
    <w:rsid w:val="007955DA"/>
    <w:rsid w:val="007E5DD3"/>
    <w:rsid w:val="007F350B"/>
    <w:rsid w:val="00820BE4"/>
    <w:rsid w:val="00822AAF"/>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F1A67"/>
    <w:rsid w:val="00D25BDF"/>
    <w:rsid w:val="00D2750E"/>
    <w:rsid w:val="00D375E0"/>
    <w:rsid w:val="00D50A36"/>
    <w:rsid w:val="00D62446"/>
    <w:rsid w:val="00D70565"/>
    <w:rsid w:val="00DA4EA2"/>
    <w:rsid w:val="00DB0867"/>
    <w:rsid w:val="00DC3D3E"/>
    <w:rsid w:val="00DE2C90"/>
    <w:rsid w:val="00DE3B24"/>
    <w:rsid w:val="00DF237A"/>
    <w:rsid w:val="00E06947"/>
    <w:rsid w:val="00E11319"/>
    <w:rsid w:val="00E21444"/>
    <w:rsid w:val="00E34072"/>
    <w:rsid w:val="00E3592D"/>
    <w:rsid w:val="00E50D76"/>
    <w:rsid w:val="00E8018B"/>
    <w:rsid w:val="00E92DE8"/>
    <w:rsid w:val="00EB1212"/>
    <w:rsid w:val="00ED65AB"/>
    <w:rsid w:val="00F12850"/>
    <w:rsid w:val="00F24B71"/>
    <w:rsid w:val="00F27C53"/>
    <w:rsid w:val="00F33BF4"/>
    <w:rsid w:val="00F7105E"/>
    <w:rsid w:val="00F75F57"/>
    <w:rsid w:val="00F82FEE"/>
    <w:rsid w:val="00F92BED"/>
    <w:rsid w:val="00FD57D3"/>
    <w:rsid w:val="00FE04BF"/>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2E3D2CF1-0A3E-4EA3-84A2-53BE65F0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77D87"/>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customStyle="1" w:styleId="DecNo">
    <w:name w:val="Dec_No"/>
    <w:basedOn w:val="ResNo"/>
    <w:rsid w:val="003143A9"/>
    <w:pPr>
      <w:keepNext/>
      <w:keepLines/>
    </w:pPr>
    <w:rPr>
      <w:lang w:val="en-GB"/>
    </w:rPr>
  </w:style>
  <w:style w:type="paragraph" w:customStyle="1" w:styleId="Dectitle">
    <w:name w:val="Dec_title"/>
    <w:basedOn w:val="Restitle"/>
    <w:rsid w:val="003143A9"/>
    <w:pPr>
      <w:keepNext/>
      <w:keepLines/>
      <w:spacing w:before="120"/>
    </w:pPr>
    <w:rPr>
      <w:lang w:val="en-GB"/>
    </w:rPr>
  </w:style>
  <w:style w:type="paragraph" w:customStyle="1" w:styleId="Headingb0">
    <w:name w:val="Heading _b"/>
    <w:basedOn w:val="Normal"/>
    <w:rsid w:val="00D2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PLEN-2022-PDF-S.pdf" TargetMode="External"/><Relationship Id="rId13" Type="http://schemas.openxmlformats.org/officeDocument/2006/relationships/hyperlink" Target="https://www.itu.int/en/council/Documents/Financial-Regulations/2022/Financial_Regulations-2022-Es.pdf"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20-CL-C-0083/es" TargetMode="External"/><Relationship Id="rId12" Type="http://schemas.openxmlformats.org/officeDocument/2006/relationships/hyperlink" Target="https://www.itu.int/md/S20-CL-C-0083/e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en/council/cwg-fhr/Pages/default.aspx" TargetMode="External"/><Relationship Id="rId11" Type="http://schemas.openxmlformats.org/officeDocument/2006/relationships/hyperlink" Target="https://www.itu.int/en/council/Documents/basic-texts-2023/RES-094-S.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25-CL-C-0042/es"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en/council/Documents/Financial-Regulations/2022/Financial_Regulations-2022-EN.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5706</Characters>
  <Application>Microsoft Office Word</Application>
  <DocSecurity>0</DocSecurity>
  <Lines>121</Lines>
  <Paragraphs>60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Renewal of the mandate of the External Auditor - the United Kingdom's national audit office (NAO) - for a period of two years</vt:lpstr>
    </vt:vector>
  </TitlesOfParts>
  <Manager>Secretaría General - Pool</Manager>
  <Company>International Telecommunication Union</Company>
  <LinksUpToDate>false</LinksUpToDate>
  <CharactersWithSpaces>6753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Renovación del mandato del auditor externo (Oficina Nacional de Auditoría (NAO) del Reino Unido) por un periodo de dos años</dc:title>
  <dc:subject>Consejo 2025 de la UIT</dc:subject>
  <cp:keywords>C2025, C25, Council-25</cp:keywords>
  <dc:description/>
  <cp:lastPrinted>2006-03-24T09:51:00Z</cp:lastPrinted>
  <dcterms:created xsi:type="dcterms:W3CDTF">2025-04-30T07:24:00Z</dcterms:created>
  <dcterms:modified xsi:type="dcterms:W3CDTF">2025-05-02T15:33:00Z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