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30882" w14:paraId="7D759251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CA69741" w14:textId="3358BED3" w:rsidR="00796BD3" w:rsidRPr="00B30882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30882">
              <w:rPr>
                <w:b/>
                <w:lang w:val="ru-RU"/>
              </w:rPr>
              <w:t>Пункт повестки дня:</w:t>
            </w:r>
            <w:r w:rsidR="00F31E24" w:rsidRPr="00B30882">
              <w:rPr>
                <w:b/>
                <w:lang w:val="ru-RU"/>
              </w:rPr>
              <w:t xml:space="preserve"> ADM 2</w:t>
            </w:r>
          </w:p>
        </w:tc>
        <w:tc>
          <w:tcPr>
            <w:tcW w:w="5245" w:type="dxa"/>
          </w:tcPr>
          <w:p w14:paraId="0E055409" w14:textId="6F934A62" w:rsidR="00796BD3" w:rsidRPr="00B30882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30882">
              <w:rPr>
                <w:b/>
                <w:lang w:val="ru-RU"/>
              </w:rPr>
              <w:t xml:space="preserve">Документ </w:t>
            </w:r>
            <w:r w:rsidR="00796BD3" w:rsidRPr="00B30882">
              <w:rPr>
                <w:b/>
                <w:lang w:val="ru-RU"/>
              </w:rPr>
              <w:t>C2</w:t>
            </w:r>
            <w:r w:rsidR="00D631AA" w:rsidRPr="00B30882">
              <w:rPr>
                <w:b/>
                <w:lang w:val="ru-RU"/>
              </w:rPr>
              <w:t>5</w:t>
            </w:r>
            <w:r w:rsidR="00796BD3" w:rsidRPr="00B30882">
              <w:rPr>
                <w:b/>
                <w:lang w:val="ru-RU"/>
              </w:rPr>
              <w:t>/</w:t>
            </w:r>
            <w:r w:rsidR="00F31E24" w:rsidRPr="00B30882">
              <w:rPr>
                <w:b/>
                <w:lang w:val="ru-RU"/>
              </w:rPr>
              <w:t>42</w:t>
            </w:r>
            <w:r w:rsidR="00796BD3" w:rsidRPr="00B30882">
              <w:rPr>
                <w:b/>
                <w:lang w:val="ru-RU"/>
              </w:rPr>
              <w:t>-R</w:t>
            </w:r>
          </w:p>
        </w:tc>
      </w:tr>
      <w:tr w:rsidR="00796BD3" w:rsidRPr="00B30882" w14:paraId="2940BB76" w14:textId="77777777" w:rsidTr="00DA770A">
        <w:trPr>
          <w:cantSplit/>
        </w:trPr>
        <w:tc>
          <w:tcPr>
            <w:tcW w:w="3969" w:type="dxa"/>
            <w:vMerge/>
          </w:tcPr>
          <w:p w14:paraId="227B1E58" w14:textId="77777777" w:rsidR="00796BD3" w:rsidRPr="00B3088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6847E59E" w14:textId="78C7E062" w:rsidR="00796BD3" w:rsidRPr="00B30882" w:rsidRDefault="00437DE0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30882">
              <w:rPr>
                <w:b/>
                <w:lang w:val="ru-RU"/>
              </w:rPr>
              <w:t>23</w:t>
            </w:r>
            <w:r w:rsidR="00F31E24" w:rsidRPr="00B30882">
              <w:rPr>
                <w:b/>
                <w:lang w:val="ru-RU"/>
              </w:rPr>
              <w:t xml:space="preserve"> апреля 2025 года</w:t>
            </w:r>
          </w:p>
        </w:tc>
      </w:tr>
      <w:tr w:rsidR="00796BD3" w:rsidRPr="00B30882" w14:paraId="7878F582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33646846" w14:textId="77777777" w:rsidR="00796BD3" w:rsidRPr="00B3088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E010711" w14:textId="77777777" w:rsidR="00796BD3" w:rsidRPr="00B30882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3088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30882" w14:paraId="49099C96" w14:textId="77777777" w:rsidTr="00DA770A">
        <w:trPr>
          <w:cantSplit/>
          <w:trHeight w:val="23"/>
        </w:trPr>
        <w:tc>
          <w:tcPr>
            <w:tcW w:w="3969" w:type="dxa"/>
          </w:tcPr>
          <w:p w14:paraId="536F705D" w14:textId="77777777" w:rsidR="00796BD3" w:rsidRPr="00B30882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5368E9A" w14:textId="77777777" w:rsidR="00796BD3" w:rsidRPr="00B30882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30882" w14:paraId="09A0143F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C8FD0A" w14:textId="77777777" w:rsidR="00796BD3" w:rsidRPr="00B30882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3088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70D8D" w14:paraId="634DDC5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355D6C" w14:textId="3DD49804" w:rsidR="00796BD3" w:rsidRPr="00B30882" w:rsidRDefault="00F31E24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87860421"/>
            <w:bookmarkStart w:id="7" w:name="dtitle1" w:colFirst="0" w:colLast="0"/>
            <w:bookmarkEnd w:id="5"/>
            <w:r w:rsidRPr="00B30882">
              <w:rPr>
                <w:rFonts w:cstheme="minorHAnsi"/>
                <w:sz w:val="32"/>
                <w:szCs w:val="32"/>
                <w:lang w:val="ru-RU"/>
              </w:rPr>
              <w:t>Продление мандата Внешнего аудитора – Национального ревизионного управления (НРУ) Соединенного Королевства – на</w:t>
            </w:r>
            <w:r w:rsidR="00CD49BC" w:rsidRPr="00B30882">
              <w:rPr>
                <w:rFonts w:cstheme="minorHAnsi"/>
                <w:sz w:val="32"/>
                <w:szCs w:val="32"/>
                <w:lang w:val="ru-RU"/>
              </w:rPr>
              <w:t> </w:t>
            </w:r>
            <w:r w:rsidRPr="00B30882">
              <w:rPr>
                <w:rFonts w:cstheme="minorHAnsi"/>
                <w:sz w:val="32"/>
                <w:szCs w:val="32"/>
                <w:lang w:val="ru-RU"/>
              </w:rPr>
              <w:t>двухгодичный период</w:t>
            </w:r>
            <w:bookmarkEnd w:id="6"/>
          </w:p>
        </w:tc>
      </w:tr>
      <w:tr w:rsidR="00796BD3" w:rsidRPr="00B30882" w14:paraId="2A55C787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0AC2DB" w14:textId="77777777" w:rsidR="00796BD3" w:rsidRPr="00B30882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3088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0E22FD0" w14:textId="76B97D9C" w:rsidR="00796BD3" w:rsidRPr="00B30882" w:rsidRDefault="00437DE0" w:rsidP="00DA770A">
            <w:pPr>
              <w:rPr>
                <w:lang w:val="ru-RU"/>
              </w:rPr>
            </w:pPr>
            <w:r w:rsidRPr="00B30882">
              <w:rPr>
                <w:lang w:val="ru-RU"/>
              </w:rPr>
              <w:t>Генеральный секретарь предложила продлить мандат Национального ревизионного управления (НРУ) Соединенного Королевства в качестве Внешнего аудитора МСЭ еще на два года, охватив таким образом финансовую отчетность за 2026 и 2027 годы. Настоящая рекомендация подготовлена после тщательного отбора, проведенного в 2020 году, по итогам которого было определено, что НРУ предлагает наилучшее соотношение цены и качества с учетом технических компетенций и стоимости аудиторских услуг. Действующий м</w:t>
            </w:r>
            <w:r w:rsidR="00F31E24" w:rsidRPr="00B30882">
              <w:rPr>
                <w:lang w:val="ru-RU"/>
              </w:rPr>
              <w:t>андат Внешнего аудитора (НРУ) в отношении аудиторской проверки финансовой отчетности за 2022, 2023, 2024 и 2025 годы истекает 30 июня 2026 года. В соответствии с пунктом 2 Статьи</w:t>
            </w:r>
            <w:r w:rsidR="00F71921" w:rsidRPr="00B30882">
              <w:rPr>
                <w:lang w:val="ru-RU"/>
              </w:rPr>
              <w:t> </w:t>
            </w:r>
            <w:r w:rsidR="00F31E24" w:rsidRPr="00B30882">
              <w:rPr>
                <w:lang w:val="ru-RU"/>
              </w:rPr>
              <w:t xml:space="preserve">28 Финансового регламента </w:t>
            </w:r>
            <w:r w:rsidRPr="00B30882">
              <w:rPr>
                <w:lang w:val="ru-RU"/>
              </w:rPr>
              <w:t xml:space="preserve">и стандартной практикой, применявшейся в случае предыдущего аудитора, </w:t>
            </w:r>
            <w:r w:rsidR="00F31E24" w:rsidRPr="00B30882">
              <w:rPr>
                <w:lang w:val="ru-RU"/>
              </w:rPr>
              <w:t>рекомендуется продлить мандат Внешнего аудитора (НРУ) на двухгодичный период для выполнения аудиторской проверки финансовой отчетности за 2026 и 2027 годы.</w:t>
            </w:r>
          </w:p>
          <w:p w14:paraId="605119C0" w14:textId="77777777" w:rsidR="00796BD3" w:rsidRPr="00B30882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3088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FC86F2D" w14:textId="622C8DD8" w:rsidR="00F31E24" w:rsidRPr="00B30882" w:rsidRDefault="00F31E24" w:rsidP="00237446">
            <w:pPr>
              <w:pStyle w:val="enumlev1"/>
              <w:rPr>
                <w:lang w:val="ru-RU"/>
              </w:rPr>
            </w:pPr>
            <w:r w:rsidRPr="00B30882">
              <w:rPr>
                <w:lang w:val="ru-RU"/>
              </w:rPr>
              <w:t>1</w:t>
            </w:r>
            <w:r w:rsidRPr="00B30882">
              <w:rPr>
                <w:lang w:val="ru-RU"/>
              </w:rPr>
              <w:tab/>
            </w:r>
            <w:r w:rsidRPr="00B30882">
              <w:rPr>
                <w:b/>
                <w:bCs/>
                <w:lang w:val="ru-RU"/>
              </w:rPr>
              <w:t>принять к сведению</w:t>
            </w:r>
            <w:r w:rsidRPr="00B30882">
              <w:rPr>
                <w:lang w:val="ru-RU"/>
              </w:rPr>
              <w:t xml:space="preserve"> настоящий документ;</w:t>
            </w:r>
          </w:p>
          <w:p w14:paraId="2255B6C4" w14:textId="624A91FA" w:rsidR="00796BD3" w:rsidRPr="00B30882" w:rsidRDefault="00F31E24" w:rsidP="00237446">
            <w:pPr>
              <w:pStyle w:val="enumlev1"/>
              <w:rPr>
                <w:lang w:val="ru-RU"/>
              </w:rPr>
            </w:pPr>
            <w:r w:rsidRPr="00B30882">
              <w:rPr>
                <w:lang w:val="ru-RU"/>
              </w:rPr>
              <w:t>2</w:t>
            </w:r>
            <w:r w:rsidRPr="00B30882">
              <w:rPr>
                <w:lang w:val="ru-RU"/>
              </w:rPr>
              <w:tab/>
            </w:r>
            <w:r w:rsidRPr="00B30882">
              <w:rPr>
                <w:b/>
                <w:bCs/>
                <w:lang w:val="ru-RU"/>
              </w:rPr>
              <w:t>принять</w:t>
            </w:r>
            <w:r w:rsidRPr="00B30882">
              <w:rPr>
                <w:lang w:val="ru-RU"/>
              </w:rPr>
              <w:t xml:space="preserve"> проект Решения, содержащийся в Приложении.</w:t>
            </w:r>
          </w:p>
          <w:p w14:paraId="463AC102" w14:textId="77777777" w:rsidR="007C1543" w:rsidRPr="00B30882" w:rsidRDefault="007C1543" w:rsidP="007C15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30882">
              <w:rPr>
                <w:rFonts w:ascii="Aptos" w:eastAsia="Aptos" w:hAnsi="Aptos" w:cs="Arial"/>
                <w:b/>
                <w:bCs/>
                <w:kern w:val="2"/>
                <w:szCs w:val="22"/>
                <w:lang w:val="ru-RU"/>
                <w14:ligatures w14:val="standardContextual"/>
              </w:rPr>
              <w:t>Соответствующая увязка со Стратегическим планом</w:t>
            </w:r>
          </w:p>
          <w:p w14:paraId="570B3BB2" w14:textId="5CE428D7" w:rsidR="007C1543" w:rsidRPr="00B30882" w:rsidRDefault="007C1543" w:rsidP="00237446">
            <w:pPr>
              <w:rPr>
                <w:lang w:val="ru-RU"/>
              </w:rPr>
            </w:pPr>
            <w:r w:rsidRPr="00B30882">
              <w:rPr>
                <w:rFonts w:eastAsia="Aptos"/>
                <w:lang w:val="ru-RU"/>
              </w:rPr>
              <w:t>Неприменимо.</w:t>
            </w:r>
          </w:p>
          <w:p w14:paraId="64FE10ED" w14:textId="77777777" w:rsidR="007C1543" w:rsidRPr="00B30882" w:rsidRDefault="007C1543" w:rsidP="007C15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30882">
              <w:rPr>
                <w:rFonts w:ascii="Aptos" w:eastAsia="Aptos" w:hAnsi="Aptos" w:cs="Arial"/>
                <w:b/>
                <w:bCs/>
                <w:kern w:val="2"/>
                <w:szCs w:val="22"/>
                <w:lang w:val="ru-RU"/>
                <w14:ligatures w14:val="standardContextual"/>
              </w:rPr>
              <w:t>Финансовые последствия</w:t>
            </w:r>
          </w:p>
          <w:p w14:paraId="01DC3835" w14:textId="77777777" w:rsidR="007C1543" w:rsidRPr="00B30882" w:rsidRDefault="007C1543" w:rsidP="00237446">
            <w:pPr>
              <w:rPr>
                <w:lang w:val="ru-RU"/>
              </w:rPr>
            </w:pPr>
            <w:r w:rsidRPr="00B30882">
              <w:rPr>
                <w:rFonts w:eastAsia="Aptos"/>
                <w:lang w:val="ru-RU"/>
              </w:rPr>
              <w:t>В рамках выделенного бюджета на 2026–2027 годы.</w:t>
            </w:r>
          </w:p>
          <w:p w14:paraId="608A9D15" w14:textId="77777777" w:rsidR="00796BD3" w:rsidRPr="00B30882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30882">
              <w:rPr>
                <w:sz w:val="20"/>
                <w:szCs w:val="18"/>
                <w:lang w:val="ru-RU"/>
              </w:rPr>
              <w:t>__________________</w:t>
            </w:r>
          </w:p>
          <w:p w14:paraId="40B91F79" w14:textId="77777777" w:rsidR="00796BD3" w:rsidRPr="00B30882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3088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18F92D91" w14:textId="5C90CF9C" w:rsidR="00796BD3" w:rsidRPr="00B30882" w:rsidRDefault="00F31E24" w:rsidP="00DA770A">
            <w:pPr>
              <w:spacing w:after="160"/>
              <w:rPr>
                <w:i/>
                <w:iCs/>
                <w:lang w:val="ru-RU"/>
              </w:rPr>
            </w:pPr>
            <w:hyperlink r:id="rId7" w:history="1">
              <w:r w:rsidRPr="00B30882">
                <w:rPr>
                  <w:rStyle w:val="Hyperlink"/>
                  <w:i/>
                  <w:iCs/>
                  <w:lang w:val="ru-RU"/>
                </w:rPr>
                <w:t>Веб-сайт РГС-</w:t>
              </w:r>
              <w:proofErr w:type="spellStart"/>
              <w:r w:rsidRPr="00B30882">
                <w:rPr>
                  <w:rStyle w:val="Hyperlink"/>
                  <w:i/>
                  <w:iCs/>
                  <w:lang w:val="ru-RU"/>
                </w:rPr>
                <w:t>ФЛР</w:t>
              </w:r>
              <w:proofErr w:type="spellEnd"/>
            </w:hyperlink>
            <w:r w:rsidRPr="00B30882">
              <w:rPr>
                <w:i/>
                <w:iCs/>
                <w:lang w:val="ru-RU"/>
              </w:rPr>
              <w:t xml:space="preserve">; Документ </w:t>
            </w:r>
            <w:hyperlink r:id="rId8" w:history="1">
              <w:proofErr w:type="spellStart"/>
              <w:r w:rsidRPr="00B30882">
                <w:rPr>
                  <w:rStyle w:val="Hyperlink"/>
                  <w:i/>
                  <w:iCs/>
                  <w:lang w:val="ru-RU"/>
                </w:rPr>
                <w:t>C20</w:t>
              </w:r>
              <w:proofErr w:type="spellEnd"/>
              <w:r w:rsidRPr="00B30882">
                <w:rPr>
                  <w:rStyle w:val="Hyperlink"/>
                  <w:i/>
                  <w:iCs/>
                  <w:lang w:val="ru-RU"/>
                </w:rPr>
                <w:t>/83 – Решение 621</w:t>
              </w:r>
            </w:hyperlink>
            <w:r w:rsidRPr="00B30882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Pr="00B30882">
                <w:rPr>
                  <w:rStyle w:val="Hyperlink"/>
                  <w:i/>
                  <w:iCs/>
                  <w:lang w:val="ru-RU"/>
                </w:rPr>
                <w:t>Резолюция 94 (</w:t>
              </w:r>
              <w:proofErr w:type="spellStart"/>
              <w:r w:rsidRPr="00B3088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Pr="00B30882"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Pr="00B30882">
              <w:rPr>
                <w:i/>
                <w:iCs/>
                <w:lang w:val="ru-RU"/>
              </w:rPr>
              <w:t xml:space="preserve">; Статья 28 </w:t>
            </w:r>
            <w:hyperlink r:id="rId10" w:history="1">
              <w:r w:rsidRPr="00B30882">
                <w:rPr>
                  <w:rStyle w:val="Hyperlink"/>
                  <w:i/>
                  <w:iCs/>
                  <w:lang w:val="ru-RU"/>
                </w:rPr>
                <w:t>Финансового регламента</w:t>
              </w:r>
            </w:hyperlink>
          </w:p>
        </w:tc>
      </w:tr>
      <w:bookmarkEnd w:id="2"/>
      <w:bookmarkEnd w:id="7"/>
    </w:tbl>
    <w:p w14:paraId="37D45432" w14:textId="77777777" w:rsidR="00796BD3" w:rsidRPr="00B30882" w:rsidRDefault="00796BD3" w:rsidP="00796BD3">
      <w:pPr>
        <w:rPr>
          <w:lang w:val="ru-RU"/>
        </w:rPr>
      </w:pPr>
    </w:p>
    <w:p w14:paraId="67AEC6F2" w14:textId="77777777" w:rsidR="00165D06" w:rsidRPr="00B3088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30882">
        <w:rPr>
          <w:lang w:val="ru-RU"/>
        </w:rPr>
        <w:br w:type="page"/>
      </w:r>
    </w:p>
    <w:p w14:paraId="31A69958" w14:textId="77777777" w:rsidR="00F31E24" w:rsidRPr="00B30882" w:rsidRDefault="00F31E24" w:rsidP="00F31E24">
      <w:pPr>
        <w:pStyle w:val="Heading1"/>
        <w:rPr>
          <w:lang w:val="ru-RU"/>
        </w:rPr>
      </w:pPr>
      <w:r w:rsidRPr="00B30882">
        <w:rPr>
          <w:lang w:val="ru-RU"/>
        </w:rPr>
        <w:lastRenderedPageBreak/>
        <w:t>I</w:t>
      </w:r>
      <w:r w:rsidRPr="00B30882">
        <w:rPr>
          <w:lang w:val="ru-RU"/>
        </w:rPr>
        <w:tab/>
        <w:t>Базовая информация</w:t>
      </w:r>
    </w:p>
    <w:p w14:paraId="5F558315" w14:textId="56006613" w:rsidR="00F31E24" w:rsidRPr="00B30882" w:rsidRDefault="00F31E24" w:rsidP="00170D8D">
      <w:pPr>
        <w:jc w:val="both"/>
        <w:rPr>
          <w:lang w:val="ru-RU"/>
        </w:rPr>
      </w:pPr>
      <w:r w:rsidRPr="00B30882">
        <w:rPr>
          <w:lang w:val="ru-RU"/>
        </w:rPr>
        <w:t>В 2020 году Комитет по оценке</w:t>
      </w:r>
      <w:r w:rsidR="007C1543" w:rsidRPr="00B30882">
        <w:rPr>
          <w:lang w:val="ru-RU"/>
        </w:rPr>
        <w:t>, состоящий из представителей регионов МСЭ,</w:t>
      </w:r>
      <w:r w:rsidRPr="00B30882">
        <w:rPr>
          <w:lang w:val="ru-RU"/>
        </w:rPr>
        <w:t xml:space="preserve"> рассмотрел техническую и финансовую составляющие всех полученных в то время предложений, произвел их оценку, а также рассмотрел сильные и слабые стороны. При вынесении рекомендации Совету Комитет по оценке должен был учитывать разнонаправленные факторы, в том числе технические компетенции и стоимость аудиторских услуг. Рекомендация Комитета имела целью определить предложение, которое обеспечивало бы наилучшее соотношение цены</w:t>
      </w:r>
      <w:r w:rsidR="00832AD2" w:rsidRPr="00B30882">
        <w:rPr>
          <w:lang w:val="ru-RU"/>
        </w:rPr>
        <w:t> </w:t>
      </w:r>
      <w:r w:rsidRPr="00B30882">
        <w:rPr>
          <w:lang w:val="ru-RU"/>
        </w:rPr>
        <w:t>и</w:t>
      </w:r>
      <w:r w:rsidR="00832AD2" w:rsidRPr="00B30882">
        <w:rPr>
          <w:lang w:val="ru-RU"/>
        </w:rPr>
        <w:t> </w:t>
      </w:r>
      <w:r w:rsidRPr="00B30882">
        <w:rPr>
          <w:lang w:val="ru-RU"/>
        </w:rPr>
        <w:t>качества.</w:t>
      </w:r>
    </w:p>
    <w:p w14:paraId="6E92ACB8" w14:textId="77777777" w:rsidR="00F31E24" w:rsidRPr="00B30882" w:rsidRDefault="00F31E24" w:rsidP="00170D8D">
      <w:pPr>
        <w:jc w:val="both"/>
        <w:rPr>
          <w:lang w:val="ru-RU"/>
        </w:rPr>
      </w:pPr>
      <w:r w:rsidRPr="00B30882">
        <w:rPr>
          <w:lang w:val="ru-RU"/>
        </w:rPr>
        <w:t>На основании описанной выше процедуры и по итогам рассмотрения всех критериев Комитет по оценке принял решение рекомендовать Совету МСЭ назначить Внешним аудитором МСЭ на финансовые периоды 2022/23 и 2024/25 годов Национальное ревизионное управление (НРУ) Соединенного Королевства.</w:t>
      </w:r>
    </w:p>
    <w:p w14:paraId="0BF904DC" w14:textId="77777777" w:rsidR="00F31E24" w:rsidRPr="00B30882" w:rsidRDefault="00F31E24" w:rsidP="00170D8D">
      <w:pPr>
        <w:jc w:val="both"/>
        <w:rPr>
          <w:lang w:val="ru-RU"/>
        </w:rPr>
      </w:pPr>
      <w:r w:rsidRPr="00B30882">
        <w:rPr>
          <w:lang w:val="ru-RU"/>
        </w:rPr>
        <w:t>Мандат Внешнего аудитора (НРУ) в отношении аудиторской проверки финансовой отчетности за 2022, 2023, 2024 и 2025 годы истекает 30 июня 2026 года.</w:t>
      </w:r>
    </w:p>
    <w:p w14:paraId="2CC9BACD" w14:textId="5F36DAB3" w:rsidR="000139B2" w:rsidRPr="00B30882" w:rsidRDefault="000139B2" w:rsidP="00170D8D">
      <w:pPr>
        <w:jc w:val="both"/>
        <w:rPr>
          <w:lang w:val="ru-RU"/>
        </w:rPr>
      </w:pPr>
      <w:r w:rsidRPr="00B30882">
        <w:rPr>
          <w:lang w:val="ru-RU"/>
        </w:rPr>
        <w:t xml:space="preserve">Предлагается продлить мандат НРУ </w:t>
      </w:r>
      <w:r w:rsidR="000251B6" w:rsidRPr="00B30882">
        <w:rPr>
          <w:lang w:val="ru-RU"/>
        </w:rPr>
        <w:t>в качестве</w:t>
      </w:r>
      <w:r w:rsidRPr="00B30882">
        <w:rPr>
          <w:lang w:val="ru-RU"/>
        </w:rPr>
        <w:t xml:space="preserve"> Внешнего аудитора МСЭ еще на два года, охватив таким образом финансовую отчетность за 2026 и 2027 годы.</w:t>
      </w:r>
    </w:p>
    <w:p w14:paraId="0245BC08" w14:textId="521009F0" w:rsidR="000139B2" w:rsidRPr="00B30882" w:rsidRDefault="000139B2" w:rsidP="00170D8D">
      <w:pPr>
        <w:jc w:val="both"/>
        <w:rPr>
          <w:lang w:val="ru-RU"/>
        </w:rPr>
      </w:pPr>
      <w:r w:rsidRPr="00B30882">
        <w:rPr>
          <w:lang w:val="ru-RU"/>
        </w:rPr>
        <w:t>Это является стандартной практикой, применявшейся в случае предыдущего аудитора, и соответствует пункту 2 Статьи 28 Финансового регламента МСЭ: "Этот срок может быть продлен по решению Совета без процесса конкурсного отбора на двухгодичный период и еще на один двухгодичный период".</w:t>
      </w:r>
    </w:p>
    <w:p w14:paraId="7D9AFB84" w14:textId="60BE203C" w:rsidR="000139B2" w:rsidRPr="00B30882" w:rsidRDefault="00F31E24" w:rsidP="00F31E24">
      <w:pPr>
        <w:pStyle w:val="Heading1"/>
        <w:rPr>
          <w:bCs/>
          <w:lang w:val="ru-RU"/>
        </w:rPr>
      </w:pPr>
      <w:r w:rsidRPr="00B30882">
        <w:rPr>
          <w:lang w:val="ru-RU"/>
        </w:rPr>
        <w:t>II</w:t>
      </w:r>
      <w:r w:rsidRPr="00B30882">
        <w:rPr>
          <w:lang w:val="ru-RU"/>
        </w:rPr>
        <w:tab/>
      </w:r>
      <w:r w:rsidR="000139B2" w:rsidRPr="00B30882">
        <w:rPr>
          <w:bCs/>
          <w:lang w:val="ru-RU"/>
        </w:rPr>
        <w:t xml:space="preserve">Информация, запрошенная РГС-ФЛР </w:t>
      </w:r>
      <w:r w:rsidR="00765F36" w:rsidRPr="00B30882">
        <w:rPr>
          <w:bCs/>
          <w:lang w:val="ru-RU"/>
        </w:rPr>
        <w:t>(</w:t>
      </w:r>
      <w:r w:rsidR="000139B2" w:rsidRPr="00B30882">
        <w:rPr>
          <w:bCs/>
          <w:lang w:val="ru-RU"/>
        </w:rPr>
        <w:t>февраль 2025 г</w:t>
      </w:r>
      <w:r w:rsidR="00765F36" w:rsidRPr="00B30882">
        <w:rPr>
          <w:bCs/>
          <w:lang w:val="ru-RU"/>
        </w:rPr>
        <w:t>.)</w:t>
      </w:r>
    </w:p>
    <w:p w14:paraId="4212CC9B" w14:textId="77777777" w:rsidR="000139B2" w:rsidRPr="00B30882" w:rsidRDefault="000139B2" w:rsidP="00832AD2">
      <w:pPr>
        <w:rPr>
          <w:lang w:val="ru-RU"/>
        </w:rPr>
      </w:pPr>
      <w:r w:rsidRPr="00B30882">
        <w:rPr>
          <w:rFonts w:eastAsia="Aptos"/>
          <w:lang w:val="ru-RU"/>
        </w:rPr>
        <w:t>Ниже приведены ответы на вопросы, поднятые в ходе упомянутой сессии.</w:t>
      </w:r>
    </w:p>
    <w:p w14:paraId="66402E7F" w14:textId="328A8C4E" w:rsidR="000139B2" w:rsidRPr="00B30882" w:rsidRDefault="000139B2" w:rsidP="00832AD2">
      <w:pPr>
        <w:pStyle w:val="Headingb"/>
        <w:rPr>
          <w:sz w:val="24"/>
          <w:lang w:val="ru-RU"/>
        </w:rPr>
      </w:pPr>
      <w:r w:rsidRPr="00B30882">
        <w:rPr>
          <w:rFonts w:eastAsia="Aptos"/>
          <w:lang w:val="ru-RU"/>
        </w:rPr>
        <w:t>Есть ли финансовые преимущества продления мандата вместо объявления нового</w:t>
      </w:r>
      <w:r w:rsidR="00832AD2" w:rsidRPr="00B30882">
        <w:rPr>
          <w:rFonts w:eastAsia="Aptos"/>
          <w:lang w:val="ru-RU"/>
        </w:rPr>
        <w:t> </w:t>
      </w:r>
      <w:r w:rsidRPr="00B30882">
        <w:rPr>
          <w:rFonts w:eastAsia="Aptos"/>
          <w:lang w:val="ru-RU"/>
        </w:rPr>
        <w:t>тендера?</w:t>
      </w:r>
    </w:p>
    <w:p w14:paraId="4744B652" w14:textId="77777777" w:rsidR="000139B2" w:rsidRPr="00B30882" w:rsidRDefault="000139B2" w:rsidP="00832AD2">
      <w:pPr>
        <w:rPr>
          <w:lang w:val="ru-RU"/>
        </w:rPr>
      </w:pPr>
      <w:r w:rsidRPr="00B30882">
        <w:rPr>
          <w:rFonts w:eastAsia="Aptos"/>
          <w:lang w:val="ru-RU"/>
        </w:rPr>
        <w:t>В дополнение к соображениям внутриорганизационного характера:</w:t>
      </w:r>
    </w:p>
    <w:p w14:paraId="32134F1E" w14:textId="0CFD3BDD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Практика ООН показывает, что благодаря продлению мандата Внешнего аудитора в пределах разрешенного срока организации избегают прямых затрат, связанных с процедурой закупок (например, реклама, работа комисс</w:t>
      </w:r>
      <w:r w:rsidR="0040398B" w:rsidRPr="00B30882">
        <w:rPr>
          <w:rFonts w:eastAsia="Aptos"/>
          <w:lang w:val="ru-RU"/>
        </w:rPr>
        <w:t>ии</w:t>
      </w:r>
      <w:r w:rsidR="00F12DAC" w:rsidRPr="00B30882">
        <w:rPr>
          <w:rFonts w:eastAsia="Aptos"/>
          <w:lang w:val="ru-RU"/>
        </w:rPr>
        <w:t xml:space="preserve"> по закупкам</w:t>
      </w:r>
      <w:r w:rsidRPr="00B30882">
        <w:rPr>
          <w:rFonts w:eastAsia="Aptos"/>
          <w:lang w:val="ru-RU"/>
        </w:rPr>
        <w:t>, ознакомление с работой организации).</w:t>
      </w:r>
    </w:p>
    <w:p w14:paraId="29CEF7E2" w14:textId="7E9ED7CB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 xml:space="preserve">Например, в докладах руководящих органов ЮНЕСКО и ВОИС отмечается, что при смене аудитора </w:t>
      </w:r>
      <w:r w:rsidR="006623CE" w:rsidRPr="00B30882">
        <w:rPr>
          <w:rFonts w:eastAsia="Aptos"/>
          <w:lang w:val="ru-RU"/>
        </w:rPr>
        <w:t xml:space="preserve">только косвенные затраты, связанные со временем персонала и передачей знаний, </w:t>
      </w:r>
      <w:r w:rsidRPr="00B30882">
        <w:rPr>
          <w:rFonts w:eastAsia="Aptos"/>
          <w:lang w:val="ru-RU"/>
        </w:rPr>
        <w:t>варьируются между 50 000 долл. США и 150 000 долл. США.</w:t>
      </w:r>
    </w:p>
    <w:p w14:paraId="0408659B" w14:textId="77777777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Непрерывность деятельности аудитора снижает риск повторного аудита: новому аудитору часто приходится заново выполнять процедуры для соблюдения стандартов независимости и полноты исследования, которые могут дублировать предыдущую работу и увеличивать сроки.</w:t>
      </w:r>
    </w:p>
    <w:p w14:paraId="512EB03E" w14:textId="6A2581A1" w:rsidR="000139B2" w:rsidRPr="00B30882" w:rsidRDefault="000139B2" w:rsidP="00832AD2">
      <w:pPr>
        <w:pStyle w:val="Headingb"/>
        <w:rPr>
          <w:sz w:val="24"/>
          <w:lang w:val="ru-RU"/>
        </w:rPr>
      </w:pPr>
      <w:r w:rsidRPr="00B30882">
        <w:rPr>
          <w:rFonts w:eastAsia="Aptos"/>
          <w:lang w:val="ru-RU"/>
        </w:rPr>
        <w:t xml:space="preserve">Минимизирует ли такой подход риск возникновения пробела в выполнении </w:t>
      </w:r>
      <w:r w:rsidR="00FD11A4" w:rsidRPr="00B30882">
        <w:rPr>
          <w:rFonts w:eastAsia="Aptos"/>
          <w:lang w:val="ru-RU"/>
        </w:rPr>
        <w:t xml:space="preserve">аудиторской </w:t>
      </w:r>
      <w:r w:rsidRPr="00B30882">
        <w:rPr>
          <w:rFonts w:eastAsia="Aptos"/>
          <w:lang w:val="ru-RU"/>
        </w:rPr>
        <w:t>функции в будущем?</w:t>
      </w:r>
    </w:p>
    <w:p w14:paraId="072C1890" w14:textId="03E36806" w:rsidR="000139B2" w:rsidRPr="00B30882" w:rsidRDefault="000139B2" w:rsidP="00170D8D">
      <w:pPr>
        <w:jc w:val="both"/>
        <w:rPr>
          <w:lang w:val="ru-RU"/>
        </w:rPr>
      </w:pPr>
      <w:r w:rsidRPr="00B30882">
        <w:rPr>
          <w:rFonts w:eastAsia="Aptos"/>
          <w:lang w:val="ru-RU"/>
        </w:rPr>
        <w:t>Да</w:t>
      </w:r>
      <w:r w:rsidR="00284E54" w:rsidRPr="00B30882">
        <w:rPr>
          <w:rFonts w:eastAsia="Aptos"/>
          <w:lang w:val="ru-RU"/>
        </w:rPr>
        <w:t>.</w:t>
      </w:r>
      <w:r w:rsidRPr="00B30882">
        <w:rPr>
          <w:rFonts w:eastAsia="Aptos"/>
          <w:lang w:val="ru-RU"/>
        </w:rPr>
        <w:t xml:space="preserve"> </w:t>
      </w:r>
      <w:r w:rsidR="00284E54" w:rsidRPr="00B30882">
        <w:rPr>
          <w:rFonts w:eastAsia="Aptos"/>
          <w:lang w:val="ru-RU"/>
        </w:rPr>
        <w:t>Э</w:t>
      </w:r>
      <w:r w:rsidRPr="00B30882">
        <w:rPr>
          <w:rFonts w:eastAsia="Aptos"/>
          <w:lang w:val="ru-RU"/>
        </w:rPr>
        <w:t>то также соответствует международной практике обеспечения непрерывности аудиторской деятельности:</w:t>
      </w:r>
    </w:p>
    <w:p w14:paraId="41B6FE37" w14:textId="5A1557EB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В системе ООН период адаптации новых внешних аудиторов обычно составляет 3</w:t>
      </w:r>
      <w:r w:rsidR="00832AD2" w:rsidRPr="00B30882">
        <w:rPr>
          <w:rFonts w:eastAsia="Aptos"/>
          <w:lang w:val="ru-RU"/>
        </w:rPr>
        <w:sym w:font="Symbol" w:char="F02D"/>
      </w:r>
      <w:r w:rsidRPr="00B30882">
        <w:rPr>
          <w:rFonts w:eastAsia="Aptos"/>
          <w:lang w:val="ru-RU"/>
        </w:rPr>
        <w:t>6</w:t>
      </w:r>
      <w:r w:rsidR="00832AD2" w:rsidRPr="00B30882">
        <w:rPr>
          <w:rFonts w:eastAsia="Aptos"/>
          <w:lang w:val="ru-RU"/>
        </w:rPr>
        <w:t> </w:t>
      </w:r>
      <w:r w:rsidRPr="00B30882">
        <w:rPr>
          <w:rFonts w:eastAsia="Aptos"/>
          <w:lang w:val="ru-RU"/>
        </w:rPr>
        <w:t>месяцев.</w:t>
      </w:r>
    </w:p>
    <w:p w14:paraId="24435CC6" w14:textId="77777777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Продление мандата позволит избежать утраты институциональных знаний, что особенно ценно в период проводимых в настоящее время финансовой трансформации МСЭ и реформ, связанных с внедрением IPSAS.</w:t>
      </w:r>
    </w:p>
    <w:p w14:paraId="474AD4C5" w14:textId="77777777" w:rsidR="000139B2" w:rsidRPr="00B30882" w:rsidRDefault="000139B2" w:rsidP="00832AD2">
      <w:pPr>
        <w:pStyle w:val="Headingb"/>
        <w:rPr>
          <w:sz w:val="24"/>
          <w:lang w:val="ru-RU"/>
        </w:rPr>
      </w:pPr>
      <w:r w:rsidRPr="00B30882">
        <w:rPr>
          <w:rFonts w:eastAsia="Aptos"/>
          <w:lang w:val="ru-RU"/>
        </w:rPr>
        <w:lastRenderedPageBreak/>
        <w:t>Как в передовой практике аудиторской деятельности обеспечивается баланс принципов непрерывности деятельности и многообразия?</w:t>
      </w:r>
    </w:p>
    <w:p w14:paraId="1CD1764A" w14:textId="77777777" w:rsidR="000139B2" w:rsidRPr="00B30882" w:rsidRDefault="000139B2" w:rsidP="00170D8D">
      <w:pPr>
        <w:jc w:val="both"/>
        <w:rPr>
          <w:lang w:val="ru-RU"/>
        </w:rPr>
      </w:pPr>
      <w:r w:rsidRPr="00B30882">
        <w:rPr>
          <w:rFonts w:eastAsia="Aptos"/>
          <w:lang w:val="ru-RU"/>
        </w:rPr>
        <w:t>Необходимость баланса признается во всем мире:</w:t>
      </w:r>
    </w:p>
    <w:p w14:paraId="2AB3BDDD" w14:textId="77777777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Непрерывность деятельности обеспечивает последовательность в подходе к аудиторской проверке и институциональную память, что особенно важно в периоды масштабной финансовой трансформации (как в случае с МСЭ).</w:t>
      </w:r>
    </w:p>
    <w:p w14:paraId="4C879DFA" w14:textId="5747922B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>Разнообразие внешних аудиторов достигается с течением времени за счет прозрачн</w:t>
      </w:r>
      <w:r w:rsidR="001042BB" w:rsidRPr="00B30882">
        <w:rPr>
          <w:rFonts w:eastAsia="Aptos"/>
          <w:lang w:val="ru-RU"/>
        </w:rPr>
        <w:t>ости в проведении</w:t>
      </w:r>
      <w:r w:rsidRPr="00B30882">
        <w:rPr>
          <w:rFonts w:eastAsia="Aptos"/>
          <w:lang w:val="ru-RU"/>
        </w:rPr>
        <w:t xml:space="preserve"> циклов отбора на конкурентной основе, а не обязательно путем отказа от продления в рамках мандата.</w:t>
      </w:r>
    </w:p>
    <w:p w14:paraId="09C45FBB" w14:textId="77777777" w:rsidR="000139B2" w:rsidRPr="00B30882" w:rsidRDefault="000139B2" w:rsidP="00170D8D">
      <w:pPr>
        <w:jc w:val="both"/>
        <w:rPr>
          <w:lang w:val="ru-RU"/>
        </w:rPr>
      </w:pPr>
      <w:r w:rsidRPr="00B30882">
        <w:rPr>
          <w:rFonts w:eastAsia="Aptos"/>
          <w:lang w:val="ru-RU"/>
        </w:rPr>
        <w:t>Обеспечение баланса в передовой практике:</w:t>
      </w:r>
    </w:p>
    <w:p w14:paraId="4D994F97" w14:textId="28977322" w:rsidR="000139B2" w:rsidRPr="00B30882" w:rsidRDefault="000139B2" w:rsidP="00170D8D">
      <w:pPr>
        <w:pStyle w:val="enumlev1"/>
        <w:jc w:val="both"/>
        <w:rPr>
          <w:sz w:val="24"/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 xml:space="preserve">ВОИС предусматривает первоначальный период (как правило, </w:t>
      </w:r>
      <w:r w:rsidR="005C5239" w:rsidRPr="00B30882">
        <w:rPr>
          <w:rFonts w:eastAsia="Aptos"/>
          <w:lang w:val="ru-RU"/>
        </w:rPr>
        <w:t>шесть</w:t>
      </w:r>
      <w:r w:rsidRPr="00B30882">
        <w:rPr>
          <w:rFonts w:eastAsia="Aptos"/>
          <w:lang w:val="ru-RU"/>
        </w:rPr>
        <w:t xml:space="preserve"> лет), что обеспечивает как разнообразие, так и эффективность.</w:t>
      </w:r>
    </w:p>
    <w:p w14:paraId="5674BBDF" w14:textId="04BC92B7" w:rsidR="000139B2" w:rsidRPr="00B30882" w:rsidRDefault="000139B2" w:rsidP="00170D8D">
      <w:pPr>
        <w:pStyle w:val="enumlev1"/>
        <w:jc w:val="both"/>
        <w:rPr>
          <w:lang w:val="ru-RU"/>
        </w:rPr>
      </w:pPr>
      <w:r w:rsidRPr="00B30882">
        <w:rPr>
          <w:rFonts w:eastAsia="Aptos"/>
          <w:lang w:val="ru-RU"/>
        </w:rPr>
        <w:t>–</w:t>
      </w:r>
      <w:r w:rsidRPr="00B30882">
        <w:rPr>
          <w:rFonts w:eastAsia="Aptos"/>
          <w:lang w:val="ru-RU"/>
        </w:rPr>
        <w:tab/>
        <w:t xml:space="preserve">Ротация аудиторов важна, но ее следует оценивать в контексте показателей деятельности, ведущихся реформ и </w:t>
      </w:r>
      <w:r w:rsidR="000802EB" w:rsidRPr="00B30882">
        <w:rPr>
          <w:rFonts w:eastAsia="Aptos"/>
          <w:lang w:val="ru-RU"/>
        </w:rPr>
        <w:t>необходимости</w:t>
      </w:r>
      <w:r w:rsidRPr="00B30882">
        <w:rPr>
          <w:rFonts w:eastAsia="Aptos"/>
          <w:lang w:val="ru-RU"/>
        </w:rPr>
        <w:t xml:space="preserve"> единообраз</w:t>
      </w:r>
      <w:r w:rsidR="000802EB" w:rsidRPr="00B30882">
        <w:rPr>
          <w:rFonts w:eastAsia="Aptos"/>
          <w:lang w:val="ru-RU"/>
        </w:rPr>
        <w:t>ия при</w:t>
      </w:r>
      <w:r w:rsidRPr="00B30882">
        <w:rPr>
          <w:rFonts w:eastAsia="Aptos"/>
          <w:lang w:val="ru-RU"/>
        </w:rPr>
        <w:t xml:space="preserve"> проведени</w:t>
      </w:r>
      <w:r w:rsidR="000802EB" w:rsidRPr="00B30882">
        <w:rPr>
          <w:rFonts w:eastAsia="Aptos"/>
          <w:lang w:val="ru-RU"/>
        </w:rPr>
        <w:t>и</w:t>
      </w:r>
      <w:r w:rsidR="00237446" w:rsidRPr="00B30882">
        <w:rPr>
          <w:rFonts w:eastAsia="Aptos"/>
          <w:lang w:val="ru-RU"/>
        </w:rPr>
        <w:t> </w:t>
      </w:r>
      <w:r w:rsidRPr="00B30882">
        <w:rPr>
          <w:rFonts w:eastAsia="Aptos"/>
          <w:lang w:val="ru-RU"/>
        </w:rPr>
        <w:t>аудита.</w:t>
      </w:r>
    </w:p>
    <w:p w14:paraId="6B3C22B1" w14:textId="7FDAB619" w:rsidR="00F31E24" w:rsidRPr="00B30882" w:rsidRDefault="000139B2" w:rsidP="00F31E24">
      <w:pPr>
        <w:pStyle w:val="Heading1"/>
        <w:rPr>
          <w:rFonts w:eastAsiaTheme="minorEastAsia"/>
          <w:lang w:val="ru-RU"/>
        </w:rPr>
      </w:pPr>
      <w:r w:rsidRPr="00B30882">
        <w:rPr>
          <w:lang w:val="ru-RU"/>
        </w:rPr>
        <w:t>III</w:t>
      </w:r>
      <w:r w:rsidRPr="00B30882">
        <w:rPr>
          <w:lang w:val="ru-RU"/>
        </w:rPr>
        <w:tab/>
      </w:r>
      <w:r w:rsidR="00F31E24" w:rsidRPr="00B30882">
        <w:rPr>
          <w:lang w:val="ru-RU"/>
        </w:rPr>
        <w:t>Рекомендация</w:t>
      </w:r>
    </w:p>
    <w:p w14:paraId="7D0BD808" w14:textId="7FA717AD" w:rsidR="00F31E24" w:rsidRPr="00B30882" w:rsidRDefault="00F31E24" w:rsidP="00170D8D">
      <w:pPr>
        <w:pStyle w:val="enumlev1"/>
        <w:jc w:val="both"/>
        <w:rPr>
          <w:rFonts w:eastAsiaTheme="minorEastAsia"/>
          <w:lang w:val="ru-RU"/>
        </w:rPr>
      </w:pPr>
      <w:r w:rsidRPr="00B30882">
        <w:rPr>
          <w:lang w:val="ru-RU"/>
        </w:rPr>
        <w:t>1</w:t>
      </w:r>
      <w:r w:rsidRPr="00B30882">
        <w:rPr>
          <w:lang w:val="ru-RU"/>
        </w:rPr>
        <w:tab/>
      </w:r>
      <w:r w:rsidR="000139B2" w:rsidRPr="00B30882">
        <w:rPr>
          <w:lang w:val="ru-RU"/>
        </w:rPr>
        <w:t>На основе ответов, представленных выше, сопоставления с эталонными показателями других учреждений и согласования с примерами передового опыта, во исполнение стандартной практики и положений Финансового регламента МСЭ, а также</w:t>
      </w:r>
      <w:r w:rsidRPr="00B30882">
        <w:rPr>
          <w:lang w:val="ru-RU"/>
        </w:rPr>
        <w:t xml:space="preserve"> по итогам рассмотрения всех критериев рекомендуется продлить мандат НРУ Соединенного Королевства на двухгодичный период для выполнения аудиторской проверки финансовой отчетности за 2026 и 2027 годы.</w:t>
      </w:r>
    </w:p>
    <w:p w14:paraId="4A6BB54C" w14:textId="77777777" w:rsidR="00F31E24" w:rsidRPr="00B30882" w:rsidRDefault="00F31E24" w:rsidP="00170D8D">
      <w:pPr>
        <w:pStyle w:val="enumlev1"/>
        <w:jc w:val="both"/>
        <w:rPr>
          <w:rFonts w:eastAsiaTheme="minorEastAsia"/>
          <w:lang w:val="ru-RU"/>
        </w:rPr>
      </w:pPr>
      <w:r w:rsidRPr="00B30882">
        <w:rPr>
          <w:lang w:val="ru-RU"/>
        </w:rPr>
        <w:t>2</w:t>
      </w:r>
      <w:r w:rsidRPr="00B30882">
        <w:rPr>
          <w:lang w:val="ru-RU"/>
        </w:rPr>
        <w:tab/>
        <w:t xml:space="preserve">Совету предлагается </w:t>
      </w:r>
      <w:r w:rsidRPr="00B30882">
        <w:rPr>
          <w:b/>
          <w:bCs/>
          <w:lang w:val="ru-RU"/>
        </w:rPr>
        <w:t>принять</w:t>
      </w:r>
      <w:r w:rsidRPr="00B30882">
        <w:rPr>
          <w:lang w:val="ru-RU"/>
        </w:rPr>
        <w:t xml:space="preserve"> проект Решения, содержащийся в Приложении к настоящему документу.</w:t>
      </w:r>
    </w:p>
    <w:p w14:paraId="21171155" w14:textId="7B38E468" w:rsidR="00F31E24" w:rsidRPr="00B30882" w:rsidRDefault="00F31E24" w:rsidP="00F31E24">
      <w:pPr>
        <w:spacing w:before="1440"/>
        <w:rPr>
          <w:rFonts w:eastAsiaTheme="minorEastAsia"/>
          <w:lang w:val="ru-RU"/>
        </w:rPr>
      </w:pPr>
      <w:r w:rsidRPr="00B30882">
        <w:rPr>
          <w:b/>
          <w:bCs/>
          <w:lang w:val="ru-RU"/>
        </w:rPr>
        <w:t>Приложение</w:t>
      </w:r>
      <w:r w:rsidRPr="00B30882">
        <w:rPr>
          <w:lang w:val="ru-RU"/>
        </w:rPr>
        <w:t>: Проект решения</w:t>
      </w:r>
    </w:p>
    <w:p w14:paraId="0D00B2DD" w14:textId="77777777" w:rsidR="00F31E24" w:rsidRPr="00B30882" w:rsidRDefault="00F31E24" w:rsidP="00F31E24">
      <w:pPr>
        <w:rPr>
          <w:lang w:val="ru-RU"/>
        </w:rPr>
      </w:pPr>
      <w:r w:rsidRPr="00B30882">
        <w:rPr>
          <w:lang w:val="ru-RU"/>
        </w:rPr>
        <w:br w:type="page"/>
      </w:r>
    </w:p>
    <w:p w14:paraId="6EDA789D" w14:textId="77777777" w:rsidR="00F31E24" w:rsidRPr="00B30882" w:rsidRDefault="00F31E24" w:rsidP="00F31E24">
      <w:pPr>
        <w:pStyle w:val="AnnexNo"/>
        <w:rPr>
          <w:lang w:val="ru-RU"/>
        </w:rPr>
      </w:pPr>
      <w:r w:rsidRPr="00B30882">
        <w:rPr>
          <w:lang w:val="ru-RU"/>
        </w:rPr>
        <w:lastRenderedPageBreak/>
        <w:t>ПРИЛОЖЕНИЕ</w:t>
      </w:r>
    </w:p>
    <w:p w14:paraId="4E51FEF1" w14:textId="77777777" w:rsidR="00F31E24" w:rsidRPr="00B30882" w:rsidRDefault="00F31E24" w:rsidP="00F31E24">
      <w:pPr>
        <w:pStyle w:val="DecNo"/>
        <w:rPr>
          <w:lang w:val="ru-RU"/>
        </w:rPr>
      </w:pPr>
      <w:r w:rsidRPr="00B30882">
        <w:rPr>
          <w:lang w:val="ru-RU"/>
        </w:rPr>
        <w:t>ПРОЕКТ РЕШЕНИЯ [...]</w:t>
      </w:r>
    </w:p>
    <w:p w14:paraId="3AAE5092" w14:textId="77777777" w:rsidR="00F31E24" w:rsidRPr="00B30882" w:rsidRDefault="00F31E24" w:rsidP="00F31E24">
      <w:pPr>
        <w:pStyle w:val="Dectitle"/>
        <w:rPr>
          <w:lang w:val="ru-RU"/>
        </w:rPr>
      </w:pPr>
      <w:bookmarkStart w:id="8" w:name="OLE_LINK9"/>
      <w:bookmarkStart w:id="9" w:name="OLE_LINK10"/>
      <w:r w:rsidRPr="00B30882">
        <w:rPr>
          <w:lang w:val="ru-RU"/>
        </w:rPr>
        <w:t>Продление мандата Внешнего аудитора – Национального ревизионного управления (НРУ) Соединенного Королевства – на двухгодичный период</w:t>
      </w:r>
    </w:p>
    <w:bookmarkEnd w:id="8"/>
    <w:bookmarkEnd w:id="9"/>
    <w:p w14:paraId="4C55D5E4" w14:textId="77777777" w:rsidR="00F31E24" w:rsidRPr="00B30882" w:rsidRDefault="00F31E24" w:rsidP="00F31E24">
      <w:pPr>
        <w:pStyle w:val="Normalaftertitle"/>
        <w:rPr>
          <w:lang w:val="ru-RU"/>
        </w:rPr>
      </w:pPr>
      <w:r w:rsidRPr="00B30882">
        <w:rPr>
          <w:lang w:val="ru-RU"/>
        </w:rPr>
        <w:t>Совет МСЭ,</w:t>
      </w:r>
    </w:p>
    <w:p w14:paraId="13FB7867" w14:textId="77777777" w:rsidR="00F31E24" w:rsidRPr="00B30882" w:rsidRDefault="00F31E24" w:rsidP="00F31E24">
      <w:pPr>
        <w:pStyle w:val="Call"/>
        <w:rPr>
          <w:lang w:val="ru-RU"/>
        </w:rPr>
      </w:pPr>
      <w:r w:rsidRPr="00B30882">
        <w:rPr>
          <w:iCs/>
          <w:lang w:val="ru-RU"/>
        </w:rPr>
        <w:t>рассмотрев</w:t>
      </w:r>
    </w:p>
    <w:p w14:paraId="3146C276" w14:textId="77777777" w:rsidR="00F31E24" w:rsidRPr="00B30882" w:rsidRDefault="00F31E24" w:rsidP="00F31E24">
      <w:pPr>
        <w:rPr>
          <w:lang w:val="ru-RU"/>
        </w:rPr>
      </w:pPr>
      <w:r w:rsidRPr="00B30882">
        <w:rPr>
          <w:lang w:val="ru-RU"/>
        </w:rPr>
        <w:t xml:space="preserve">Документ </w:t>
      </w:r>
      <w:hyperlink r:id="rId11" w:history="1">
        <w:proofErr w:type="spellStart"/>
        <w:r w:rsidRPr="00B30882">
          <w:rPr>
            <w:rStyle w:val="Hyperlink"/>
            <w:lang w:val="ru-RU"/>
          </w:rPr>
          <w:t>C25</w:t>
        </w:r>
        <w:proofErr w:type="spellEnd"/>
        <w:r w:rsidRPr="00B30882">
          <w:rPr>
            <w:rStyle w:val="Hyperlink"/>
            <w:lang w:val="ru-RU"/>
          </w:rPr>
          <w:t>/42</w:t>
        </w:r>
      </w:hyperlink>
      <w:r w:rsidRPr="00B30882">
        <w:rPr>
          <w:lang w:val="ru-RU"/>
        </w:rPr>
        <w:t>,</w:t>
      </w:r>
    </w:p>
    <w:p w14:paraId="029F07CE" w14:textId="77777777" w:rsidR="00F31E24" w:rsidRPr="00B30882" w:rsidRDefault="00F31E24" w:rsidP="00F31E24">
      <w:pPr>
        <w:pStyle w:val="Call"/>
        <w:rPr>
          <w:lang w:val="ru-RU"/>
        </w:rPr>
      </w:pPr>
      <w:r w:rsidRPr="00B30882">
        <w:rPr>
          <w:iCs/>
          <w:lang w:val="ru-RU"/>
        </w:rPr>
        <w:t>учитывая</w:t>
      </w:r>
    </w:p>
    <w:p w14:paraId="29FB22A2" w14:textId="3C7F126F" w:rsidR="00F31E24" w:rsidRPr="00B30882" w:rsidRDefault="00F31E24" w:rsidP="00170D8D">
      <w:pPr>
        <w:jc w:val="both"/>
        <w:rPr>
          <w:rFonts w:asciiTheme="minorHAnsi" w:hAnsiTheme="minorHAnsi"/>
          <w:szCs w:val="24"/>
          <w:lang w:val="ru-RU"/>
        </w:rPr>
      </w:pPr>
      <w:hyperlink r:id="rId12" w:history="1">
        <w:r w:rsidRPr="00B30882">
          <w:rPr>
            <w:rStyle w:val="Hyperlink"/>
            <w:lang w:val="ru-RU"/>
          </w:rPr>
          <w:t>Резолюцию 94</w:t>
        </w:r>
      </w:hyperlink>
      <w:r w:rsidRPr="00B30882">
        <w:rPr>
          <w:lang w:val="ru-RU"/>
        </w:rPr>
        <w:t xml:space="preserve"> (</w:t>
      </w:r>
      <w:proofErr w:type="spellStart"/>
      <w:r w:rsidRPr="00B30882">
        <w:rPr>
          <w:lang w:val="ru-RU"/>
        </w:rPr>
        <w:t>Пересм</w:t>
      </w:r>
      <w:proofErr w:type="spellEnd"/>
      <w:r w:rsidRPr="00B30882">
        <w:rPr>
          <w:lang w:val="ru-RU"/>
        </w:rPr>
        <w:t xml:space="preserve">. Бухарест, 2022 г.) Полномочной конференции и </w:t>
      </w:r>
      <w:hyperlink r:id="rId13" w:history="1">
        <w:r w:rsidRPr="00B30882">
          <w:rPr>
            <w:rStyle w:val="Hyperlink"/>
            <w:lang w:val="ru-RU"/>
          </w:rPr>
          <w:t>Решение 621</w:t>
        </w:r>
      </w:hyperlink>
      <w:r w:rsidRPr="00B30882">
        <w:rPr>
          <w:lang w:val="ru-RU"/>
        </w:rPr>
        <w:t xml:space="preserve"> (</w:t>
      </w:r>
      <w:proofErr w:type="spellStart"/>
      <w:r w:rsidRPr="00B30882">
        <w:rPr>
          <w:lang w:val="ru-RU"/>
        </w:rPr>
        <w:t>C20</w:t>
      </w:r>
      <w:proofErr w:type="spellEnd"/>
      <w:r w:rsidRPr="00B30882">
        <w:rPr>
          <w:lang w:val="ru-RU"/>
        </w:rPr>
        <w:t>)</w:t>
      </w:r>
      <w:r w:rsidR="00CF3A09" w:rsidRPr="00B30882">
        <w:rPr>
          <w:lang w:val="ru-RU"/>
        </w:rPr>
        <w:t xml:space="preserve"> </w:t>
      </w:r>
      <w:r w:rsidRPr="00B30882">
        <w:rPr>
          <w:lang w:val="ru-RU"/>
        </w:rPr>
        <w:t>Совета,</w:t>
      </w:r>
    </w:p>
    <w:p w14:paraId="226C6E8F" w14:textId="77777777" w:rsidR="00F31E24" w:rsidRPr="00B30882" w:rsidRDefault="00F31E24" w:rsidP="00F31E24">
      <w:pPr>
        <w:pStyle w:val="Call"/>
        <w:rPr>
          <w:lang w:val="ru-RU"/>
        </w:rPr>
      </w:pPr>
      <w:r w:rsidRPr="00B30882">
        <w:rPr>
          <w:iCs/>
          <w:lang w:val="ru-RU"/>
        </w:rPr>
        <w:t>принимая во внимание</w:t>
      </w:r>
    </w:p>
    <w:p w14:paraId="34DA15ED" w14:textId="54583917" w:rsidR="00F31E24" w:rsidRPr="00B30882" w:rsidRDefault="00F31E24" w:rsidP="00F31E24">
      <w:pPr>
        <w:rPr>
          <w:lang w:val="ru-RU"/>
        </w:rPr>
      </w:pPr>
      <w:r w:rsidRPr="00B30882">
        <w:rPr>
          <w:lang w:val="ru-RU"/>
        </w:rPr>
        <w:t xml:space="preserve">Статью 28 </w:t>
      </w:r>
      <w:hyperlink r:id="rId14" w:history="1">
        <w:r w:rsidRPr="00B30882">
          <w:rPr>
            <w:rStyle w:val="Hyperlink"/>
            <w:lang w:val="ru-RU"/>
          </w:rPr>
          <w:t>Финансового регламента</w:t>
        </w:r>
      </w:hyperlink>
      <w:r w:rsidRPr="00B30882">
        <w:rPr>
          <w:lang w:val="ru-RU"/>
        </w:rPr>
        <w:t>,</w:t>
      </w:r>
    </w:p>
    <w:p w14:paraId="2D8804DC" w14:textId="77777777" w:rsidR="00F31E24" w:rsidRPr="00B30882" w:rsidRDefault="00F31E24" w:rsidP="00F31E24">
      <w:pPr>
        <w:pStyle w:val="Call"/>
        <w:rPr>
          <w:lang w:val="ru-RU"/>
        </w:rPr>
      </w:pPr>
      <w:r w:rsidRPr="00B30882">
        <w:rPr>
          <w:iCs/>
          <w:lang w:val="ru-RU"/>
        </w:rPr>
        <w:t>решает</w:t>
      </w:r>
    </w:p>
    <w:p w14:paraId="562F24A4" w14:textId="77777777" w:rsidR="00F31E24" w:rsidRPr="00B30882" w:rsidRDefault="00F31E24" w:rsidP="00170D8D">
      <w:pPr>
        <w:jc w:val="both"/>
        <w:rPr>
          <w:rFonts w:asciiTheme="minorHAnsi" w:hAnsiTheme="minorHAnsi"/>
          <w:szCs w:val="24"/>
          <w:lang w:val="ru-RU"/>
        </w:rPr>
      </w:pPr>
      <w:r w:rsidRPr="00B30882">
        <w:rPr>
          <w:lang w:val="ru-RU"/>
        </w:rPr>
        <w:t>продлить мандат Национального ревизионного управления (НРУ) Соединенного Королевства как Внешнего аудитора МСЭ на двухгодичный период для аудиторской проверки финансовой отчетности за 2026 и 2027 годы,</w:t>
      </w:r>
    </w:p>
    <w:p w14:paraId="699D94AC" w14:textId="77777777" w:rsidR="00F31E24" w:rsidRPr="00B30882" w:rsidRDefault="00F31E24" w:rsidP="00F31E24">
      <w:pPr>
        <w:pStyle w:val="Call"/>
        <w:rPr>
          <w:lang w:val="ru-RU"/>
        </w:rPr>
      </w:pPr>
      <w:r w:rsidRPr="00B30882">
        <w:rPr>
          <w:iCs/>
          <w:lang w:val="ru-RU"/>
        </w:rPr>
        <w:t>поручает Генеральному секретарю</w:t>
      </w:r>
    </w:p>
    <w:p w14:paraId="5D5D764E" w14:textId="77777777" w:rsidR="00F31E24" w:rsidRPr="00B30882" w:rsidRDefault="00F31E24" w:rsidP="00170D8D">
      <w:pPr>
        <w:jc w:val="both"/>
        <w:rPr>
          <w:color w:val="000000"/>
          <w:lang w:val="ru-RU"/>
        </w:rPr>
      </w:pPr>
      <w:r w:rsidRPr="00B30882">
        <w:rPr>
          <w:lang w:val="ru-RU"/>
        </w:rPr>
        <w:t>довести настоящее решение до сведения Контролера и Генерального ревизора НРУ Соединенного Королевства.</w:t>
      </w:r>
      <w:bookmarkStart w:id="10" w:name="_Hlk42012064"/>
      <w:bookmarkEnd w:id="10"/>
    </w:p>
    <w:p w14:paraId="3A8746A5" w14:textId="77777777" w:rsidR="00796BD3" w:rsidRPr="00B30882" w:rsidRDefault="00C462C5" w:rsidP="00F31E24">
      <w:pPr>
        <w:spacing w:before="720"/>
        <w:jc w:val="center"/>
        <w:rPr>
          <w:lang w:val="ru-RU"/>
        </w:rPr>
      </w:pPr>
      <w:r w:rsidRPr="00B30882">
        <w:rPr>
          <w:lang w:val="ru-RU"/>
        </w:rPr>
        <w:t>______________</w:t>
      </w:r>
    </w:p>
    <w:sectPr w:rsidR="00796BD3" w:rsidRPr="00B30882" w:rsidSect="00796B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97C9" w14:textId="77777777" w:rsidR="00DB7D95" w:rsidRDefault="00DB7D95">
      <w:r>
        <w:separator/>
      </w:r>
    </w:p>
  </w:endnote>
  <w:endnote w:type="continuationSeparator" w:id="0">
    <w:p w14:paraId="5627BF39" w14:textId="77777777" w:rsidR="00DB7D95" w:rsidRDefault="00DB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4DB1" w14:textId="77777777" w:rsidR="00170D8D" w:rsidRDefault="00170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84C31C0" w14:textId="77777777" w:rsidTr="00E31DCE">
      <w:trPr>
        <w:jc w:val="center"/>
      </w:trPr>
      <w:tc>
        <w:tcPr>
          <w:tcW w:w="1803" w:type="dxa"/>
          <w:vAlign w:val="center"/>
        </w:tcPr>
        <w:p w14:paraId="1FAA9C03" w14:textId="38481114" w:rsidR="00672F8A" w:rsidRDefault="00170D8D" w:rsidP="00672F8A">
          <w:pPr>
            <w:pStyle w:val="Header"/>
            <w:jc w:val="left"/>
            <w:rPr>
              <w:noProof/>
            </w:rPr>
          </w:pPr>
          <w:r w:rsidRPr="00170D8D">
            <w:rPr>
              <w:noProof/>
            </w:rPr>
            <w:t>R2500715</w:t>
          </w:r>
        </w:p>
      </w:tc>
      <w:tc>
        <w:tcPr>
          <w:tcW w:w="8261" w:type="dxa"/>
        </w:tcPr>
        <w:p w14:paraId="6F2FD005" w14:textId="2AFF8D2B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31E24">
            <w:rPr>
              <w:bCs/>
              <w:lang w:val="ru-RU"/>
            </w:rPr>
            <w:t>42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1D55D0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0B031E2" w14:textId="77777777" w:rsidTr="00E31DCE">
      <w:trPr>
        <w:jc w:val="center"/>
      </w:trPr>
      <w:tc>
        <w:tcPr>
          <w:tcW w:w="1803" w:type="dxa"/>
          <w:vAlign w:val="center"/>
        </w:tcPr>
        <w:p w14:paraId="5EBF562B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6D5994D9" w14:textId="48BC2F9E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F31E24">
            <w:rPr>
              <w:bCs/>
              <w:lang w:val="ru-RU"/>
            </w:rPr>
            <w:t>42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276780E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F82B" w14:textId="77777777" w:rsidR="00DB7D95" w:rsidRDefault="00DB7D95">
      <w:r>
        <w:t>____________________</w:t>
      </w:r>
    </w:p>
  </w:footnote>
  <w:footnote w:type="continuationSeparator" w:id="0">
    <w:p w14:paraId="7E432382" w14:textId="77777777" w:rsidR="00DB7D95" w:rsidRDefault="00DB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E0BBC" w14:textId="77777777" w:rsidR="00170D8D" w:rsidRDefault="00170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8A121" w14:textId="77777777" w:rsidR="00170D8D" w:rsidRDefault="00170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546AF6CD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58258BA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41B7396E" wp14:editId="2D231AFC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336C14E9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268AED3E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F1036" wp14:editId="40ADB937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42F0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24"/>
    <w:rsid w:val="00005BE0"/>
    <w:rsid w:val="000139B2"/>
    <w:rsid w:val="0002183E"/>
    <w:rsid w:val="000251B6"/>
    <w:rsid w:val="000363E6"/>
    <w:rsid w:val="000569B4"/>
    <w:rsid w:val="0006007D"/>
    <w:rsid w:val="000802EB"/>
    <w:rsid w:val="00080E82"/>
    <w:rsid w:val="000A11D6"/>
    <w:rsid w:val="000B2DE7"/>
    <w:rsid w:val="000E568E"/>
    <w:rsid w:val="00103465"/>
    <w:rsid w:val="001042BB"/>
    <w:rsid w:val="00123FCB"/>
    <w:rsid w:val="0014229E"/>
    <w:rsid w:val="0014734F"/>
    <w:rsid w:val="00156890"/>
    <w:rsid w:val="0015710D"/>
    <w:rsid w:val="00163A32"/>
    <w:rsid w:val="00165D06"/>
    <w:rsid w:val="00170D8D"/>
    <w:rsid w:val="00192B41"/>
    <w:rsid w:val="001B7B09"/>
    <w:rsid w:val="001E6719"/>
    <w:rsid w:val="001E7F50"/>
    <w:rsid w:val="00225368"/>
    <w:rsid w:val="00227FF0"/>
    <w:rsid w:val="00237446"/>
    <w:rsid w:val="00284E54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2845"/>
    <w:rsid w:val="0040398B"/>
    <w:rsid w:val="00403DD8"/>
    <w:rsid w:val="004127BE"/>
    <w:rsid w:val="00437DE0"/>
    <w:rsid w:val="00442515"/>
    <w:rsid w:val="0045686C"/>
    <w:rsid w:val="004918C4"/>
    <w:rsid w:val="00497703"/>
    <w:rsid w:val="004A0374"/>
    <w:rsid w:val="004A45B5"/>
    <w:rsid w:val="004D0129"/>
    <w:rsid w:val="00515795"/>
    <w:rsid w:val="005A64D5"/>
    <w:rsid w:val="005B3DEC"/>
    <w:rsid w:val="005C5239"/>
    <w:rsid w:val="00601994"/>
    <w:rsid w:val="00660449"/>
    <w:rsid w:val="006623CE"/>
    <w:rsid w:val="00672F8A"/>
    <w:rsid w:val="006E2D42"/>
    <w:rsid w:val="00703676"/>
    <w:rsid w:val="00706215"/>
    <w:rsid w:val="00707304"/>
    <w:rsid w:val="00732269"/>
    <w:rsid w:val="00751255"/>
    <w:rsid w:val="00762555"/>
    <w:rsid w:val="00765F36"/>
    <w:rsid w:val="0077110E"/>
    <w:rsid w:val="00785ABD"/>
    <w:rsid w:val="00796BD3"/>
    <w:rsid w:val="007A2DD4"/>
    <w:rsid w:val="007C1543"/>
    <w:rsid w:val="007D38B5"/>
    <w:rsid w:val="007E7EA0"/>
    <w:rsid w:val="00807255"/>
    <w:rsid w:val="0081023E"/>
    <w:rsid w:val="008173AA"/>
    <w:rsid w:val="00832AD2"/>
    <w:rsid w:val="00840A14"/>
    <w:rsid w:val="008856B9"/>
    <w:rsid w:val="008B62B4"/>
    <w:rsid w:val="008D2D7B"/>
    <w:rsid w:val="008D51ED"/>
    <w:rsid w:val="008E0737"/>
    <w:rsid w:val="008F7C2C"/>
    <w:rsid w:val="00940E96"/>
    <w:rsid w:val="00950A82"/>
    <w:rsid w:val="009B0BAE"/>
    <w:rsid w:val="009C1C89"/>
    <w:rsid w:val="009E0FC3"/>
    <w:rsid w:val="009F3448"/>
    <w:rsid w:val="00A01CF9"/>
    <w:rsid w:val="00A20B63"/>
    <w:rsid w:val="00A71773"/>
    <w:rsid w:val="00A867C7"/>
    <w:rsid w:val="00AE2C85"/>
    <w:rsid w:val="00B0107F"/>
    <w:rsid w:val="00B12A37"/>
    <w:rsid w:val="00B30882"/>
    <w:rsid w:val="00B41837"/>
    <w:rsid w:val="00B63EF2"/>
    <w:rsid w:val="00BA7D89"/>
    <w:rsid w:val="00BC0D39"/>
    <w:rsid w:val="00BC7BC0"/>
    <w:rsid w:val="00BD57B7"/>
    <w:rsid w:val="00BE63E2"/>
    <w:rsid w:val="00C462C5"/>
    <w:rsid w:val="00CD2009"/>
    <w:rsid w:val="00CD49BC"/>
    <w:rsid w:val="00CF116B"/>
    <w:rsid w:val="00CF11D8"/>
    <w:rsid w:val="00CF3A09"/>
    <w:rsid w:val="00CF629C"/>
    <w:rsid w:val="00D55F8C"/>
    <w:rsid w:val="00D631AA"/>
    <w:rsid w:val="00D92EEA"/>
    <w:rsid w:val="00DA5D4E"/>
    <w:rsid w:val="00DA770A"/>
    <w:rsid w:val="00DB7D95"/>
    <w:rsid w:val="00E05752"/>
    <w:rsid w:val="00E176BA"/>
    <w:rsid w:val="00E423EC"/>
    <w:rsid w:val="00E55121"/>
    <w:rsid w:val="00E60FB6"/>
    <w:rsid w:val="00E710AC"/>
    <w:rsid w:val="00EB4FCB"/>
    <w:rsid w:val="00EC6BC5"/>
    <w:rsid w:val="00EC6E01"/>
    <w:rsid w:val="00EF657F"/>
    <w:rsid w:val="00F12DAC"/>
    <w:rsid w:val="00F31E24"/>
    <w:rsid w:val="00F348D0"/>
    <w:rsid w:val="00F35898"/>
    <w:rsid w:val="00F36E95"/>
    <w:rsid w:val="00F5225B"/>
    <w:rsid w:val="00F7070B"/>
    <w:rsid w:val="00F71921"/>
    <w:rsid w:val="00FD11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1E52C4"/>
  <w15:docId w15:val="{DA76CB63-271D-43AB-923C-7CE6788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170D8D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31E24"/>
    <w:rPr>
      <w:color w:val="605E5C"/>
      <w:shd w:val="clear" w:color="auto" w:fill="E1DFDD"/>
    </w:rPr>
  </w:style>
  <w:style w:type="paragraph" w:customStyle="1" w:styleId="DecNo">
    <w:name w:val="Dec_No"/>
    <w:basedOn w:val="ResNo"/>
    <w:rsid w:val="00F31E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</w:pPr>
    <w:rPr>
      <w:caps w:val="0"/>
    </w:rPr>
  </w:style>
  <w:style w:type="paragraph" w:customStyle="1" w:styleId="Dectitle">
    <w:name w:val="Dec_title"/>
    <w:basedOn w:val="Restitle"/>
    <w:rsid w:val="00F31E2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240"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83/en" TargetMode="External"/><Relationship Id="rId13" Type="http://schemas.openxmlformats.org/officeDocument/2006/relationships/hyperlink" Target="https://www.itu.int/md/S20-CL-C-0083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tu.int/en/council/cwg-fhr/Pages/default.aspx" TargetMode="External"/><Relationship Id="rId12" Type="http://schemas.openxmlformats.org/officeDocument/2006/relationships/hyperlink" Target="https://www.itu.int/en/council/Documents/basic-texts-2023/RES-094-R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5-CL-C-0042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Financial-Regulations/2022/Financial_Regulations-2022-RU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pub/itu-s/opb/conf/S-CONF-PLEN-2022-PDF-R.pdf" TargetMode="External"/><Relationship Id="rId14" Type="http://schemas.openxmlformats.org/officeDocument/2006/relationships/hyperlink" Target="https://www.itu.int/en/council/Documents/Financial-Regulations/2022/Financial_Regulations-2022-RU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11</TotalTime>
  <Pages>4</Pages>
  <Words>845</Words>
  <Characters>5826</Characters>
  <Application>Microsoft Office Word</Application>
  <DocSecurity>0</DocSecurity>
  <Lines>126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the mandate of the External Auditor - the United Kingdom's national audit office (NAO) - for a period of two years</vt:lpstr>
    </vt:vector>
  </TitlesOfParts>
  <Manager>General Secretariat - Pool</Manager>
  <Company>International Telecommunication Union (ITU)</Company>
  <LinksUpToDate>false</LinksUpToDate>
  <CharactersWithSpaces>6623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the mandate of the External Auditor - the United Kingdom's national audit office (NAO) - for a period of two years</dc:title>
  <dc:subject>ITU Council 2025</dc:subject>
  <cp:keywords>C2025, C25, Council-25</cp:keywords>
  <dc:description/>
  <cp:lastPrinted>2006-03-28T16:12:00Z</cp:lastPrinted>
  <dcterms:created xsi:type="dcterms:W3CDTF">2025-04-25T12:41:00Z</dcterms:created>
  <dcterms:modified xsi:type="dcterms:W3CDTF">2025-05-02T15:29:00Z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