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1A3BCE" w14:paraId="57C49099" w14:textId="77777777" w:rsidTr="001A3BCE">
        <w:trPr>
          <w:cantSplit/>
        </w:trPr>
        <w:tc>
          <w:tcPr>
            <w:tcW w:w="3969" w:type="dxa"/>
            <w:vMerge w:val="restart"/>
            <w:tcMar>
              <w:left w:w="0" w:type="dxa"/>
            </w:tcMar>
          </w:tcPr>
          <w:p w14:paraId="1D6228A2" w14:textId="5F53F61B" w:rsidR="00D72F49" w:rsidRPr="001A3BCE" w:rsidRDefault="00D72F49" w:rsidP="00D72F49">
            <w:pPr>
              <w:tabs>
                <w:tab w:val="left" w:pos="851"/>
              </w:tabs>
              <w:spacing w:before="0" w:line="240" w:lineRule="atLeast"/>
              <w:rPr>
                <w:b/>
              </w:rPr>
            </w:pPr>
            <w:r w:rsidRPr="001A3BCE">
              <w:rPr>
                <w:b/>
              </w:rPr>
              <w:t>Point de l'ordre du jour:</w:t>
            </w:r>
            <w:r w:rsidR="001E7D36" w:rsidRPr="001A3BCE">
              <w:rPr>
                <w:b/>
              </w:rPr>
              <w:t xml:space="preserve"> ADM 2</w:t>
            </w:r>
          </w:p>
        </w:tc>
        <w:tc>
          <w:tcPr>
            <w:tcW w:w="5245" w:type="dxa"/>
          </w:tcPr>
          <w:p w14:paraId="59BD8C84" w14:textId="29A4301D" w:rsidR="00D72F49" w:rsidRPr="001A3BCE" w:rsidRDefault="00D72F49" w:rsidP="00D72F49">
            <w:pPr>
              <w:tabs>
                <w:tab w:val="left" w:pos="851"/>
              </w:tabs>
              <w:spacing w:before="0" w:line="240" w:lineRule="atLeast"/>
              <w:jc w:val="right"/>
              <w:rPr>
                <w:b/>
              </w:rPr>
            </w:pPr>
            <w:r w:rsidRPr="001A3BCE">
              <w:rPr>
                <w:b/>
              </w:rPr>
              <w:t>Document C2</w:t>
            </w:r>
            <w:r w:rsidR="00FC6D7D" w:rsidRPr="001A3BCE">
              <w:rPr>
                <w:b/>
              </w:rPr>
              <w:t>5</w:t>
            </w:r>
            <w:r w:rsidRPr="001A3BCE">
              <w:rPr>
                <w:b/>
              </w:rPr>
              <w:t>/</w:t>
            </w:r>
            <w:r w:rsidR="001E7D36" w:rsidRPr="001A3BCE">
              <w:rPr>
                <w:b/>
              </w:rPr>
              <w:t>42</w:t>
            </w:r>
            <w:r w:rsidRPr="001A3BCE">
              <w:rPr>
                <w:b/>
              </w:rPr>
              <w:t>-F</w:t>
            </w:r>
          </w:p>
        </w:tc>
      </w:tr>
      <w:tr w:rsidR="00D72F49" w:rsidRPr="001A3BCE" w14:paraId="7D6DEB75" w14:textId="77777777" w:rsidTr="001A3BCE">
        <w:trPr>
          <w:cantSplit/>
        </w:trPr>
        <w:tc>
          <w:tcPr>
            <w:tcW w:w="3969" w:type="dxa"/>
            <w:vMerge/>
          </w:tcPr>
          <w:p w14:paraId="2AEC25F5" w14:textId="77777777" w:rsidR="00D72F49" w:rsidRPr="001A3BCE" w:rsidRDefault="00D72F49" w:rsidP="00D72F49">
            <w:pPr>
              <w:tabs>
                <w:tab w:val="left" w:pos="851"/>
              </w:tabs>
              <w:spacing w:line="240" w:lineRule="atLeast"/>
              <w:rPr>
                <w:b/>
              </w:rPr>
            </w:pPr>
          </w:p>
        </w:tc>
        <w:tc>
          <w:tcPr>
            <w:tcW w:w="5245" w:type="dxa"/>
          </w:tcPr>
          <w:p w14:paraId="407902D1" w14:textId="4A59D3A4" w:rsidR="00D72F49" w:rsidRPr="001A3BCE" w:rsidRDefault="0084713B" w:rsidP="00D72F49">
            <w:pPr>
              <w:tabs>
                <w:tab w:val="left" w:pos="851"/>
              </w:tabs>
              <w:spacing w:before="0"/>
              <w:jc w:val="right"/>
              <w:rPr>
                <w:b/>
              </w:rPr>
            </w:pPr>
            <w:r w:rsidRPr="001A3BCE">
              <w:rPr>
                <w:b/>
              </w:rPr>
              <w:t>23</w:t>
            </w:r>
            <w:r w:rsidR="001E7D36" w:rsidRPr="001A3BCE">
              <w:rPr>
                <w:b/>
              </w:rPr>
              <w:t xml:space="preserve"> avril 2025</w:t>
            </w:r>
          </w:p>
        </w:tc>
      </w:tr>
      <w:tr w:rsidR="00D72F49" w:rsidRPr="001A3BCE" w14:paraId="300D67A8" w14:textId="77777777" w:rsidTr="001A3BCE">
        <w:trPr>
          <w:cantSplit/>
        </w:trPr>
        <w:tc>
          <w:tcPr>
            <w:tcW w:w="3969" w:type="dxa"/>
            <w:vMerge/>
          </w:tcPr>
          <w:p w14:paraId="7CEED80B" w14:textId="77777777" w:rsidR="00D72F49" w:rsidRPr="001A3BCE" w:rsidRDefault="00D72F49" w:rsidP="00D72F49">
            <w:pPr>
              <w:tabs>
                <w:tab w:val="left" w:pos="851"/>
              </w:tabs>
              <w:spacing w:line="240" w:lineRule="atLeast"/>
              <w:rPr>
                <w:b/>
              </w:rPr>
            </w:pPr>
          </w:p>
        </w:tc>
        <w:tc>
          <w:tcPr>
            <w:tcW w:w="5245" w:type="dxa"/>
          </w:tcPr>
          <w:p w14:paraId="71E3179A" w14:textId="77777777" w:rsidR="00D72F49" w:rsidRPr="001A3BCE" w:rsidRDefault="00D72F49" w:rsidP="00D72F49">
            <w:pPr>
              <w:tabs>
                <w:tab w:val="left" w:pos="851"/>
              </w:tabs>
              <w:spacing w:before="0" w:line="240" w:lineRule="atLeast"/>
              <w:jc w:val="right"/>
              <w:rPr>
                <w:b/>
              </w:rPr>
            </w:pPr>
            <w:r w:rsidRPr="001A3BCE">
              <w:rPr>
                <w:b/>
              </w:rPr>
              <w:t>Original: anglais</w:t>
            </w:r>
          </w:p>
        </w:tc>
      </w:tr>
      <w:tr w:rsidR="00D72F49" w:rsidRPr="001A3BCE" w14:paraId="4E0F2CF5" w14:textId="77777777" w:rsidTr="001A3BCE">
        <w:trPr>
          <w:cantSplit/>
        </w:trPr>
        <w:tc>
          <w:tcPr>
            <w:tcW w:w="3969" w:type="dxa"/>
          </w:tcPr>
          <w:p w14:paraId="0D4E637D" w14:textId="77777777" w:rsidR="00D72F49" w:rsidRPr="001A3BCE" w:rsidRDefault="00D72F49" w:rsidP="00EC0932">
            <w:pPr>
              <w:tabs>
                <w:tab w:val="left" w:pos="851"/>
              </w:tabs>
              <w:spacing w:before="0" w:line="240" w:lineRule="atLeast"/>
              <w:rPr>
                <w:b/>
              </w:rPr>
            </w:pPr>
          </w:p>
        </w:tc>
        <w:tc>
          <w:tcPr>
            <w:tcW w:w="5245" w:type="dxa"/>
          </w:tcPr>
          <w:p w14:paraId="134B6284" w14:textId="77777777" w:rsidR="00D72F49" w:rsidRPr="001A3BCE" w:rsidRDefault="00D72F49" w:rsidP="00EC0932">
            <w:pPr>
              <w:tabs>
                <w:tab w:val="left" w:pos="851"/>
              </w:tabs>
              <w:spacing w:before="0" w:line="240" w:lineRule="atLeast"/>
              <w:jc w:val="right"/>
              <w:rPr>
                <w:b/>
              </w:rPr>
            </w:pPr>
          </w:p>
        </w:tc>
      </w:tr>
      <w:tr w:rsidR="00D72F49" w:rsidRPr="001A3BCE" w14:paraId="27EE77E9" w14:textId="77777777" w:rsidTr="001A3BCE">
        <w:trPr>
          <w:cantSplit/>
        </w:trPr>
        <w:tc>
          <w:tcPr>
            <w:tcW w:w="9214" w:type="dxa"/>
            <w:gridSpan w:val="2"/>
            <w:tcMar>
              <w:left w:w="0" w:type="dxa"/>
            </w:tcMar>
          </w:tcPr>
          <w:p w14:paraId="373C8606" w14:textId="77777777" w:rsidR="00D72F49" w:rsidRPr="001A3BCE" w:rsidRDefault="00D72F49" w:rsidP="001A3BCE">
            <w:pPr>
              <w:pStyle w:val="Source"/>
              <w:spacing w:before="720"/>
              <w:jc w:val="left"/>
              <w:rPr>
                <w:sz w:val="34"/>
                <w:szCs w:val="34"/>
              </w:rPr>
            </w:pPr>
            <w:r w:rsidRPr="001A3BCE">
              <w:rPr>
                <w:rFonts w:cstheme="minorHAnsi"/>
                <w:color w:val="000000"/>
                <w:sz w:val="34"/>
                <w:szCs w:val="34"/>
              </w:rPr>
              <w:t xml:space="preserve">Rapport </w:t>
            </w:r>
            <w:r w:rsidR="00E95647" w:rsidRPr="001A3BCE">
              <w:rPr>
                <w:rFonts w:cstheme="minorHAnsi"/>
                <w:color w:val="000000"/>
                <w:sz w:val="34"/>
                <w:szCs w:val="34"/>
              </w:rPr>
              <w:t xml:space="preserve">de la </w:t>
            </w:r>
            <w:r w:rsidRPr="001A3BCE">
              <w:rPr>
                <w:rFonts w:cstheme="minorHAnsi"/>
                <w:color w:val="000000"/>
                <w:sz w:val="34"/>
                <w:szCs w:val="34"/>
              </w:rPr>
              <w:t>Secrétaire général</w:t>
            </w:r>
            <w:r w:rsidR="00E95647" w:rsidRPr="001A3BCE">
              <w:rPr>
                <w:rFonts w:cstheme="minorHAnsi"/>
                <w:color w:val="000000"/>
                <w:sz w:val="34"/>
                <w:szCs w:val="34"/>
              </w:rPr>
              <w:t>e</w:t>
            </w:r>
          </w:p>
        </w:tc>
      </w:tr>
      <w:tr w:rsidR="00D72F49" w:rsidRPr="001A3BCE" w14:paraId="424C395E" w14:textId="77777777" w:rsidTr="001A3BCE">
        <w:trPr>
          <w:cantSplit/>
        </w:trPr>
        <w:tc>
          <w:tcPr>
            <w:tcW w:w="9214" w:type="dxa"/>
            <w:gridSpan w:val="2"/>
            <w:tcBorders>
              <w:bottom w:val="single" w:sz="4" w:space="0" w:color="auto"/>
            </w:tcBorders>
            <w:tcMar>
              <w:left w:w="0" w:type="dxa"/>
            </w:tcMar>
          </w:tcPr>
          <w:p w14:paraId="027AF66C" w14:textId="67D90613" w:rsidR="00D72F49" w:rsidRPr="001A3BCE" w:rsidRDefault="00B4688C" w:rsidP="00EC0932">
            <w:pPr>
              <w:pStyle w:val="Subtitle"/>
              <w:framePr w:hSpace="0" w:wrap="auto" w:hAnchor="text" w:xAlign="left" w:yAlign="inline"/>
              <w:spacing w:after="120"/>
              <w:rPr>
                <w:sz w:val="32"/>
                <w:szCs w:val="32"/>
                <w:lang w:val="fr-FR"/>
              </w:rPr>
            </w:pPr>
            <w:r w:rsidRPr="001A3BCE">
              <w:rPr>
                <w:rFonts w:cstheme="minorHAnsi"/>
                <w:sz w:val="32"/>
                <w:szCs w:val="32"/>
                <w:lang w:val="fr-FR"/>
              </w:rPr>
              <w:t>RENOUVELLEMENT DU MANDAT DU VÉRIFICATEUR EXTÉRIEUR DES COMPTES (BUREAU NATIONAL DE CONTRÔLE DES FINANCES PUBLIQUES DU ROYAUME-UNI) POUR UNE DURÉE DE DEUX ANS</w:t>
            </w:r>
          </w:p>
        </w:tc>
      </w:tr>
      <w:tr w:rsidR="00EC0932" w:rsidRPr="001A3BCE" w14:paraId="0E1C6C64" w14:textId="77777777" w:rsidTr="001A3BCE">
        <w:trPr>
          <w:cantSplit/>
        </w:trPr>
        <w:tc>
          <w:tcPr>
            <w:tcW w:w="9214" w:type="dxa"/>
            <w:gridSpan w:val="2"/>
            <w:tcBorders>
              <w:top w:val="single" w:sz="4" w:space="0" w:color="auto"/>
            </w:tcBorders>
            <w:tcMar>
              <w:left w:w="0" w:type="dxa"/>
            </w:tcMar>
          </w:tcPr>
          <w:p w14:paraId="0141A478" w14:textId="77777777" w:rsidR="00EC0932" w:rsidRPr="001A3BCE" w:rsidRDefault="00EC0932" w:rsidP="00D72F49">
            <w:pPr>
              <w:spacing w:before="160"/>
              <w:rPr>
                <w:b/>
                <w:bCs/>
                <w:sz w:val="26"/>
                <w:szCs w:val="26"/>
              </w:rPr>
            </w:pPr>
            <w:r w:rsidRPr="001A3BCE">
              <w:rPr>
                <w:b/>
                <w:bCs/>
                <w:sz w:val="26"/>
                <w:szCs w:val="26"/>
              </w:rPr>
              <w:t>Objet</w:t>
            </w:r>
          </w:p>
          <w:p w14:paraId="4E4F477D" w14:textId="0FED43A6" w:rsidR="00EC0932" w:rsidRPr="001A3BCE" w:rsidRDefault="00EC0932" w:rsidP="00EC0932">
            <w:pPr>
              <w:jc w:val="both"/>
              <w:rPr>
                <w:spacing w:val="-2"/>
              </w:rPr>
            </w:pPr>
            <w:r w:rsidRPr="001A3BCE">
              <w:rPr>
                <w:spacing w:val="-2"/>
              </w:rPr>
              <w:t>La Secrétaire générale a proposé de renouveler le mandat du Bureau national de contrôle des finances publiques du Royaume-Uni en tant que Vérificateur extérieur des comptes de l'UIT pour une durée supplémentaire de deux ans, en vue de la vérification des états financiers pour 2026 et 2027. Cette recommandation fait suite à une évaluation approfondie réalisée en 2020, à l'issue de laquelle il a été déterminé que le Bureau national de contrôle des finances publiques du Royaume-Uni proposait le meilleur rapport qualité/prix sur le plan des compétences techniques et du coût des services de vérification. Le mandat actuel du Vérificateur extérieur des comptes relatif à la vérification des états financiers pour 2022, 2023, 2024 et 2025 prendra fin le 30 juin 2026. Conformément au paragraphe 2 de l'Article 28 du Règlement financier, et dans la droite ligne de la pratique habituelle suivie pour le précédent Vérificateur extérieur des comptes, il est recommandé que le mandat du Vérificateur extérieur des comptes (Bureau national de contrôle des finances publiques du Royaume-Uni) soit renouvelé pour une durée de deux ans en vue de la vérification des états financiers pour 2026 et 2027.</w:t>
            </w:r>
          </w:p>
          <w:p w14:paraId="52767395" w14:textId="77777777" w:rsidR="00EC0932" w:rsidRPr="001A3BCE" w:rsidRDefault="00EC0932" w:rsidP="00D72F49">
            <w:pPr>
              <w:spacing w:before="160"/>
              <w:rPr>
                <w:b/>
                <w:bCs/>
                <w:sz w:val="26"/>
                <w:szCs w:val="26"/>
              </w:rPr>
            </w:pPr>
            <w:r w:rsidRPr="001A3BCE">
              <w:rPr>
                <w:b/>
                <w:bCs/>
                <w:sz w:val="26"/>
                <w:szCs w:val="26"/>
              </w:rPr>
              <w:t>Suite à donner par le Conseil</w:t>
            </w:r>
          </w:p>
          <w:p w14:paraId="5AC1F81E" w14:textId="1E91B25B" w:rsidR="00EC0932" w:rsidRPr="001A3BCE" w:rsidRDefault="00EC0932" w:rsidP="00EC0932">
            <w:pPr>
              <w:spacing w:before="80"/>
            </w:pPr>
            <w:r w:rsidRPr="001A3BCE">
              <w:t>1</w:t>
            </w:r>
            <w:r w:rsidRPr="001A3BCE">
              <w:tab/>
            </w:r>
            <w:r w:rsidRPr="001A3BCE">
              <w:rPr>
                <w:b/>
                <w:bCs/>
              </w:rPr>
              <w:t xml:space="preserve">prendre note </w:t>
            </w:r>
            <w:r w:rsidRPr="001A3BCE">
              <w:t>du présent document; et</w:t>
            </w:r>
          </w:p>
          <w:p w14:paraId="253CF306" w14:textId="3F1F4D15" w:rsidR="00EC0932" w:rsidRPr="001A3BCE" w:rsidRDefault="00EC0932" w:rsidP="00EC0932">
            <w:pPr>
              <w:spacing w:before="80"/>
            </w:pPr>
            <w:r w:rsidRPr="001A3BCE">
              <w:t>2</w:t>
            </w:r>
            <w:r w:rsidRPr="001A3BCE">
              <w:tab/>
            </w:r>
            <w:r w:rsidRPr="001A3BCE">
              <w:rPr>
                <w:b/>
                <w:bCs/>
              </w:rPr>
              <w:t>adopter</w:t>
            </w:r>
            <w:r w:rsidRPr="001A3BCE">
              <w:t xml:space="preserve"> le projet de Décision reproduit en Annexe.</w:t>
            </w:r>
          </w:p>
          <w:p w14:paraId="1BAF64F4" w14:textId="589E177E" w:rsidR="00EC0932" w:rsidRPr="001A3BCE" w:rsidRDefault="00EC0932" w:rsidP="00100063">
            <w:pPr>
              <w:spacing w:before="160"/>
              <w:rPr>
                <w:b/>
                <w:bCs/>
                <w:sz w:val="26"/>
                <w:szCs w:val="26"/>
              </w:rPr>
            </w:pPr>
            <w:r w:rsidRPr="001A3BCE">
              <w:rPr>
                <w:b/>
                <w:bCs/>
                <w:sz w:val="26"/>
                <w:szCs w:val="26"/>
              </w:rPr>
              <w:t>Liens pertinents avec le plan stratégique</w:t>
            </w:r>
          </w:p>
          <w:p w14:paraId="70DD7534" w14:textId="0F90CC81" w:rsidR="00EC0932" w:rsidRPr="001A3BCE" w:rsidRDefault="00EC0932" w:rsidP="001E7D36">
            <w:r w:rsidRPr="001A3BCE">
              <w:t>Aucun</w:t>
            </w:r>
          </w:p>
          <w:p w14:paraId="0B894026" w14:textId="5194E8FC" w:rsidR="00EC0932" w:rsidRPr="001A3BCE" w:rsidRDefault="00EC0932" w:rsidP="00100063">
            <w:pPr>
              <w:spacing w:before="160"/>
            </w:pPr>
            <w:r w:rsidRPr="001A3BCE">
              <w:rPr>
                <w:b/>
                <w:bCs/>
                <w:sz w:val="26"/>
                <w:szCs w:val="26"/>
              </w:rPr>
              <w:t>Incidences financières</w:t>
            </w:r>
          </w:p>
          <w:p w14:paraId="4F648FE9" w14:textId="5B976D84" w:rsidR="00EC0932" w:rsidRPr="001A3BCE" w:rsidRDefault="00EC0932" w:rsidP="001E7D36">
            <w:r w:rsidRPr="001A3BCE">
              <w:t>Dans les limites du budget alloué pour 2026-2027</w:t>
            </w:r>
          </w:p>
          <w:p w14:paraId="5855591E" w14:textId="77777777" w:rsidR="00EC0932" w:rsidRPr="001A3BCE" w:rsidRDefault="00EC0932" w:rsidP="00EC0932">
            <w:pPr>
              <w:spacing w:before="160"/>
              <w:rPr>
                <w:caps/>
                <w:sz w:val="22"/>
              </w:rPr>
            </w:pPr>
            <w:r w:rsidRPr="001A3BCE">
              <w:rPr>
                <w:sz w:val="22"/>
              </w:rPr>
              <w:t>__________________</w:t>
            </w:r>
          </w:p>
          <w:p w14:paraId="5D48AF62" w14:textId="77777777" w:rsidR="00EC0932" w:rsidRPr="001A3BCE" w:rsidRDefault="00EC0932" w:rsidP="00EC0932">
            <w:r w:rsidRPr="001A3BCE">
              <w:rPr>
                <w:b/>
                <w:bCs/>
                <w:sz w:val="26"/>
                <w:szCs w:val="26"/>
              </w:rPr>
              <w:t>Références</w:t>
            </w:r>
          </w:p>
          <w:p w14:paraId="5289DE27" w14:textId="487D3A7D" w:rsidR="00EC0932" w:rsidRPr="001A3BCE" w:rsidRDefault="00EC0932" w:rsidP="00DB52A8">
            <w:pPr>
              <w:spacing w:before="160"/>
              <w:rPr>
                <w:caps/>
                <w:sz w:val="22"/>
                <w:szCs w:val="22"/>
              </w:rPr>
            </w:pPr>
            <w:hyperlink r:id="rId7" w:history="1">
              <w:r w:rsidRPr="001A3BCE">
                <w:rPr>
                  <w:rStyle w:val="Hyperlink"/>
                  <w:rFonts w:eastAsia="Times New Roman" w:cs="Times New Roman"/>
                  <w:i/>
                  <w:iCs/>
                  <w:sz w:val="22"/>
                </w:rPr>
                <w:t>Site web du GTC-FHR</w:t>
              </w:r>
            </w:hyperlink>
            <w:r w:rsidRPr="001A3BCE">
              <w:rPr>
                <w:i/>
                <w:iCs/>
                <w:sz w:val="22"/>
                <w:szCs w:val="22"/>
              </w:rPr>
              <w:t xml:space="preserve">; Document </w:t>
            </w:r>
            <w:hyperlink r:id="rId8" w:history="1">
              <w:r w:rsidRPr="001A3BCE">
                <w:rPr>
                  <w:rStyle w:val="Hyperlink"/>
                  <w:rFonts w:eastAsia="Times New Roman" w:cs="Times New Roman"/>
                  <w:i/>
                  <w:iCs/>
                  <w:sz w:val="22"/>
                </w:rPr>
                <w:t>C20/83 – Décision 621</w:t>
              </w:r>
            </w:hyperlink>
            <w:r w:rsidRPr="001A3BCE">
              <w:rPr>
                <w:i/>
                <w:iCs/>
                <w:sz w:val="22"/>
                <w:szCs w:val="22"/>
              </w:rPr>
              <w:t xml:space="preserve">; Résolution </w:t>
            </w:r>
            <w:hyperlink r:id="rId9" w:history="1">
              <w:r w:rsidRPr="001A3BCE">
                <w:rPr>
                  <w:rStyle w:val="Hyperlink"/>
                  <w:rFonts w:eastAsia="Times New Roman" w:cs="Times New Roman"/>
                  <w:i/>
                  <w:iCs/>
                  <w:sz w:val="22"/>
                </w:rPr>
                <w:t>94 (Rév. Bucarest, 2022)</w:t>
              </w:r>
            </w:hyperlink>
            <w:r w:rsidRPr="001A3BCE">
              <w:rPr>
                <w:i/>
                <w:iCs/>
                <w:sz w:val="22"/>
                <w:szCs w:val="22"/>
              </w:rPr>
              <w:t xml:space="preserve"> de la Conférence de plénipotentiaires; Article 28 du </w:t>
            </w:r>
            <w:hyperlink r:id="rId10" w:history="1">
              <w:r w:rsidRPr="001A3BCE">
                <w:rPr>
                  <w:rStyle w:val="Hyperlink"/>
                  <w:rFonts w:eastAsia="Times New Roman" w:cs="Times New Roman"/>
                  <w:i/>
                  <w:iCs/>
                  <w:sz w:val="22"/>
                </w:rPr>
                <w:t>Règlement financier</w:t>
              </w:r>
            </w:hyperlink>
          </w:p>
        </w:tc>
      </w:tr>
    </w:tbl>
    <w:p w14:paraId="355DA2B5" w14:textId="77777777" w:rsidR="00A51849" w:rsidRPr="001A3BCE" w:rsidRDefault="00A51849">
      <w:pPr>
        <w:tabs>
          <w:tab w:val="clear" w:pos="567"/>
          <w:tab w:val="clear" w:pos="1134"/>
          <w:tab w:val="clear" w:pos="1701"/>
          <w:tab w:val="clear" w:pos="2268"/>
          <w:tab w:val="clear" w:pos="2835"/>
        </w:tabs>
        <w:overflowPunct/>
        <w:autoSpaceDE/>
        <w:autoSpaceDN/>
        <w:adjustRightInd/>
        <w:spacing w:before="0"/>
        <w:textAlignment w:val="auto"/>
      </w:pPr>
      <w:r w:rsidRPr="001A3BCE">
        <w:br w:type="page"/>
      </w:r>
    </w:p>
    <w:p w14:paraId="6E54FDB7" w14:textId="6F33A26B" w:rsidR="001E7D36" w:rsidRPr="001A3BCE" w:rsidRDefault="001E7D36" w:rsidP="001E7D36">
      <w:pPr>
        <w:pStyle w:val="Heading1"/>
      </w:pPr>
      <w:r w:rsidRPr="001A3BCE">
        <w:lastRenderedPageBreak/>
        <w:t>I</w:t>
      </w:r>
      <w:r w:rsidRPr="001A3BCE">
        <w:tab/>
        <w:t>Considérations générales</w:t>
      </w:r>
    </w:p>
    <w:p w14:paraId="4D9647BF" w14:textId="45E43F1A" w:rsidR="001E7D36" w:rsidRPr="001A3BCE" w:rsidRDefault="001E7D36" w:rsidP="001A3BCE">
      <w:pPr>
        <w:jc w:val="both"/>
      </w:pPr>
      <w:r w:rsidRPr="001A3BCE">
        <w:t>En 2020, le Comité d'évaluation</w:t>
      </w:r>
      <w:r w:rsidR="00100063" w:rsidRPr="001A3BCE">
        <w:t>, composé de représentants des régions de l'UIT,</w:t>
      </w:r>
      <w:r w:rsidRPr="001A3BCE">
        <w:t xml:space="preserve"> a examiné et évalué les volets technique et financier, ainsi</w:t>
      </w:r>
      <w:r w:rsidR="001E7323" w:rsidRPr="001A3BCE">
        <w:t> </w:t>
      </w:r>
      <w:r w:rsidRPr="001A3BCE">
        <w:t>que les points forts et les points faibles de chaque offre reçue à l'époque. Lorsqu</w:t>
      </w:r>
      <w:r w:rsidR="00AC5EB9" w:rsidRPr="001A3BCE">
        <w:t>'</w:t>
      </w:r>
      <w:r w:rsidRPr="001A3BCE">
        <w:t>il formule sa recommandation à l</w:t>
      </w:r>
      <w:r w:rsidR="00AC5EB9" w:rsidRPr="001A3BCE">
        <w:t>'</w:t>
      </w:r>
      <w:r w:rsidRPr="001A3BCE">
        <w:t>intention du Conseil, le Comité d</w:t>
      </w:r>
      <w:r w:rsidR="00AC5EB9" w:rsidRPr="001A3BCE">
        <w:t>'</w:t>
      </w:r>
      <w:r w:rsidRPr="001A3BCE">
        <w:t>évaluation doit prendre en considération plusieurs facteurs contradictoires, notamment les compétences techniques et le coût des services de vérification des comptes. Par conséquent, la recommandation du Comité visait à identifier l'offre qui correspondait au meilleur rapport qualité/prix.</w:t>
      </w:r>
    </w:p>
    <w:p w14:paraId="194B4461" w14:textId="5416E0E1" w:rsidR="001E7D36" w:rsidRPr="001A3BCE" w:rsidRDefault="001E7D36" w:rsidP="001A3BCE">
      <w:pPr>
        <w:jc w:val="both"/>
      </w:pPr>
      <w:r w:rsidRPr="001A3BCE">
        <w:t>Sur la base du processus décrit ci-dessus et compte tenu de tous les critères, le Comité d'évaluation est convenu de recommander au Conseil de l'UIT de désigner le Bureau national de contrôle des finances publiques du Royaume-Uni en tant que Vérificateur extérieur des comptes de l'UIT pour les exercices 2022-</w:t>
      </w:r>
      <w:r w:rsidR="00AC5EB9" w:rsidRPr="001A3BCE">
        <w:t>20</w:t>
      </w:r>
      <w:r w:rsidRPr="001A3BCE">
        <w:t>23 et 2024-</w:t>
      </w:r>
      <w:r w:rsidR="00AC5EB9" w:rsidRPr="001A3BCE">
        <w:t>20</w:t>
      </w:r>
      <w:r w:rsidRPr="001A3BCE">
        <w:t>25.</w:t>
      </w:r>
    </w:p>
    <w:p w14:paraId="778AF67B" w14:textId="77777777" w:rsidR="001E7D36" w:rsidRPr="001A3BCE" w:rsidRDefault="001E7D36" w:rsidP="001A3BCE">
      <w:pPr>
        <w:jc w:val="both"/>
      </w:pPr>
      <w:r w:rsidRPr="001A3BCE">
        <w:t>Le mandat du Vérificateur extérieur des comptes (Bureau national de contrôle des finances publiques du Royaume-Uni) relatif à la vérification des états financiers pour 2022, 2023, 2024 et 2025 prendra fin le 30 juin 2026.</w:t>
      </w:r>
    </w:p>
    <w:p w14:paraId="31EDD376" w14:textId="66883AB0" w:rsidR="00100063" w:rsidRPr="001A3BCE" w:rsidRDefault="00100063" w:rsidP="001A3BCE">
      <w:pPr>
        <w:jc w:val="both"/>
      </w:pPr>
      <w:r w:rsidRPr="001A3BCE">
        <w:t>Il est proposé de renouveler le mandat du Bureau national de contrôle des finances publiques du Royaume-Uni en tant que Vérificateur extérieur des comptes de l'UIT pendant une durée supplémentaire de deux ans, en vue de la vérification des états financiers pour</w:t>
      </w:r>
      <w:r w:rsidR="00E4663E" w:rsidRPr="001A3BCE">
        <w:t> </w:t>
      </w:r>
      <w:r w:rsidRPr="001A3BCE">
        <w:t>2026 et 2027.</w:t>
      </w:r>
    </w:p>
    <w:p w14:paraId="71F507D7" w14:textId="34F00697" w:rsidR="00100063" w:rsidRPr="001A3BCE" w:rsidRDefault="008E5302" w:rsidP="001A3BCE">
      <w:pPr>
        <w:jc w:val="both"/>
      </w:pPr>
      <w:r w:rsidRPr="001A3BCE">
        <w:t xml:space="preserve">Il s'agit d'une pratique courante, conforme à celle suivie dans le cas du </w:t>
      </w:r>
      <w:r w:rsidR="00100063" w:rsidRPr="001A3BCE">
        <w:t>précédent</w:t>
      </w:r>
      <w:r w:rsidRPr="001A3BCE">
        <w:t xml:space="preserve"> Vérificateur extérieur des comptes</w:t>
      </w:r>
      <w:r w:rsidR="00100063" w:rsidRPr="001A3BCE">
        <w:t>, conformément au paragraphe 2 de l'Article 28 du Règlement financier de l'UIT</w:t>
      </w:r>
      <w:r w:rsidRPr="001A3BCE">
        <w:t>:</w:t>
      </w:r>
      <w:r w:rsidR="00100063" w:rsidRPr="001A3BCE">
        <w:t xml:space="preserve"> "</w:t>
      </w:r>
      <w:r w:rsidRPr="001A3BCE">
        <w:t>C</w:t>
      </w:r>
      <w:r w:rsidR="00100063" w:rsidRPr="001A3BCE">
        <w:t xml:space="preserve">e mandat peut être </w:t>
      </w:r>
      <w:r w:rsidRPr="001A3BCE">
        <w:t>prorogé</w:t>
      </w:r>
      <w:r w:rsidR="00100063" w:rsidRPr="001A3BCE">
        <w:t xml:space="preserve"> sans processus d</w:t>
      </w:r>
      <w:r w:rsidRPr="001A3BCE">
        <w:t>'appel</w:t>
      </w:r>
      <w:r w:rsidR="00100063" w:rsidRPr="001A3BCE">
        <w:t xml:space="preserve"> </w:t>
      </w:r>
      <w:r w:rsidRPr="001A3BCE">
        <w:t xml:space="preserve">d'offres, </w:t>
      </w:r>
      <w:r w:rsidR="00100063" w:rsidRPr="001A3BCE">
        <w:t>sur décision du Conseil</w:t>
      </w:r>
      <w:r w:rsidRPr="001A3BCE">
        <w:t>,</w:t>
      </w:r>
      <w:r w:rsidR="00100063" w:rsidRPr="001A3BCE">
        <w:t xml:space="preserve"> pour une période de deux ans et une nouvelle période </w:t>
      </w:r>
      <w:r w:rsidRPr="001A3BCE">
        <w:t xml:space="preserve">supplémentaire </w:t>
      </w:r>
      <w:r w:rsidR="00100063" w:rsidRPr="001A3BCE">
        <w:t>de deux ans".</w:t>
      </w:r>
    </w:p>
    <w:p w14:paraId="4FCAF0A9" w14:textId="134061CF" w:rsidR="00100063" w:rsidRPr="001A3BCE" w:rsidRDefault="00100063" w:rsidP="00E4663E">
      <w:pPr>
        <w:pStyle w:val="Heading1"/>
      </w:pPr>
      <w:r w:rsidRPr="001A3BCE">
        <w:t>II</w:t>
      </w:r>
      <w:r w:rsidR="008E5302" w:rsidRPr="001A3BCE">
        <w:tab/>
      </w:r>
      <w:r w:rsidRPr="001A3BCE">
        <w:t>Informations demandées par le GTC-FHR – février 2025</w:t>
      </w:r>
    </w:p>
    <w:p w14:paraId="377F63C1" w14:textId="448A0926" w:rsidR="00100063" w:rsidRPr="001A3BCE" w:rsidRDefault="00100063" w:rsidP="001A3BCE">
      <w:pPr>
        <w:jc w:val="both"/>
      </w:pPr>
      <w:r w:rsidRPr="001A3BCE">
        <w:t xml:space="preserve">On trouvera ci-après les réponses aux questions soulevées pendant la </w:t>
      </w:r>
      <w:r w:rsidR="008E5302" w:rsidRPr="001A3BCE">
        <w:t xml:space="preserve">réunion du GTC-FHR </w:t>
      </w:r>
      <w:r w:rsidRPr="001A3BCE">
        <w:t>susmentionnée.</w:t>
      </w:r>
    </w:p>
    <w:p w14:paraId="2D22AD38" w14:textId="044B4A1B" w:rsidR="00100063" w:rsidRPr="001A3BCE" w:rsidRDefault="00100063" w:rsidP="00E4663E">
      <w:pPr>
        <w:pStyle w:val="Headingb"/>
        <w:ind w:left="0" w:firstLine="0"/>
      </w:pPr>
      <w:r w:rsidRPr="001A3BCE">
        <w:t>Y a-t-il des avantages financiers à renouveler le mandat sans lancer de nouvelle procédure d'appel d'offres</w:t>
      </w:r>
      <w:r w:rsidR="00E4663E" w:rsidRPr="001A3BCE">
        <w:t>?</w:t>
      </w:r>
    </w:p>
    <w:p w14:paraId="7C461269" w14:textId="2B43CC1D" w:rsidR="00100063" w:rsidRPr="001A3BCE" w:rsidRDefault="00100063" w:rsidP="001A3BCE">
      <w:r w:rsidRPr="001A3BCE">
        <w:t xml:space="preserve">Outre les </w:t>
      </w:r>
      <w:r w:rsidR="001A3BCE" w:rsidRPr="001A3BCE">
        <w:t>j</w:t>
      </w:r>
      <w:r w:rsidRPr="001A3BCE">
        <w:t xml:space="preserve"> satisfaire aux normes d'indépendance et d'exhaustivité, ce qui peut faire double emploi avec les travaux antérieurs et prolonger les délais</w:t>
      </w:r>
      <w:r w:rsidR="00CA2557" w:rsidRPr="001A3BCE">
        <w:t xml:space="preserve"> de la vérification</w:t>
      </w:r>
      <w:r w:rsidRPr="001A3BCE">
        <w:t>.</w:t>
      </w:r>
    </w:p>
    <w:p w14:paraId="273D308B" w14:textId="0B088F5E" w:rsidR="00100063" w:rsidRPr="001A3BCE" w:rsidRDefault="00100063" w:rsidP="00E4663E">
      <w:pPr>
        <w:pStyle w:val="Headingb"/>
        <w:ind w:left="0" w:firstLine="0"/>
      </w:pPr>
      <w:r w:rsidRPr="001A3BCE">
        <w:t xml:space="preserve">Cette approche permettra-t-elle de réduire à un minimum le risque d'écart dans la fonction </w:t>
      </w:r>
      <w:r w:rsidR="00CA2557" w:rsidRPr="001A3BCE">
        <w:t>de vérification</w:t>
      </w:r>
      <w:r w:rsidRPr="001A3BCE">
        <w:t xml:space="preserve"> dans l'avenir</w:t>
      </w:r>
      <w:r w:rsidR="00CA2557" w:rsidRPr="001A3BCE">
        <w:t>?</w:t>
      </w:r>
    </w:p>
    <w:p w14:paraId="717C1BA3" w14:textId="0FF18D28" w:rsidR="00100063" w:rsidRPr="001A3BCE" w:rsidRDefault="00100063" w:rsidP="00100063">
      <w:r w:rsidRPr="001A3BCE">
        <w:t xml:space="preserve">Oui, </w:t>
      </w:r>
      <w:r w:rsidR="00CA2557" w:rsidRPr="001A3BCE">
        <w:t xml:space="preserve">et cette approche </w:t>
      </w:r>
      <w:r w:rsidRPr="001A3BCE">
        <w:t xml:space="preserve">est également conforme aux pratiques </w:t>
      </w:r>
      <w:r w:rsidR="00CA2557" w:rsidRPr="001A3BCE">
        <w:t>en matière de</w:t>
      </w:r>
      <w:r w:rsidRPr="001A3BCE">
        <w:t xml:space="preserve"> continuité </w:t>
      </w:r>
      <w:r w:rsidR="00CA2557" w:rsidRPr="001A3BCE">
        <w:t xml:space="preserve">de la vérification à l'échelle </w:t>
      </w:r>
      <w:r w:rsidRPr="001A3BCE">
        <w:t>internationa</w:t>
      </w:r>
      <w:r w:rsidR="00CA2557" w:rsidRPr="001A3BCE">
        <w:t>le</w:t>
      </w:r>
      <w:r w:rsidRPr="001A3BCE">
        <w:t>:</w:t>
      </w:r>
    </w:p>
    <w:p w14:paraId="413D1F92" w14:textId="0A5EB94A" w:rsidR="00100063" w:rsidRPr="001A3BCE" w:rsidRDefault="00E4663E" w:rsidP="00E4663E">
      <w:pPr>
        <w:pStyle w:val="enumlev1"/>
      </w:pPr>
      <w:r w:rsidRPr="001A3BCE">
        <w:t>–</w:t>
      </w:r>
      <w:r w:rsidRPr="001A3BCE">
        <w:tab/>
      </w:r>
      <w:r w:rsidR="00100063" w:rsidRPr="001A3BCE">
        <w:t xml:space="preserve">Dans le système des Nations Unies, </w:t>
      </w:r>
      <w:r w:rsidR="00CA2557" w:rsidRPr="001A3BCE">
        <w:t xml:space="preserve">il est courant de prévoir </w:t>
      </w:r>
      <w:r w:rsidR="00100063" w:rsidRPr="001A3BCE">
        <w:t xml:space="preserve">une période </w:t>
      </w:r>
      <w:r w:rsidR="00CA2557" w:rsidRPr="001A3BCE">
        <w:t xml:space="preserve">d'intégration </w:t>
      </w:r>
      <w:r w:rsidR="00100063" w:rsidRPr="001A3BCE">
        <w:t xml:space="preserve">de 3 à 6 mois </w:t>
      </w:r>
      <w:r w:rsidR="00CA2557" w:rsidRPr="001A3BCE">
        <w:t>pour les v</w:t>
      </w:r>
      <w:r w:rsidR="00100063" w:rsidRPr="001A3BCE">
        <w:t>érificateurs extérieurs</w:t>
      </w:r>
      <w:r w:rsidR="00CA2557" w:rsidRPr="001A3BCE">
        <w:t xml:space="preserve"> des comptes nouvellement mandatés</w:t>
      </w:r>
      <w:r w:rsidR="00100063" w:rsidRPr="001A3BCE">
        <w:t>.</w:t>
      </w:r>
    </w:p>
    <w:p w14:paraId="60F0F87B" w14:textId="165E6AB3" w:rsidR="00100063" w:rsidRPr="001A3BCE" w:rsidRDefault="00E4663E" w:rsidP="00E4663E">
      <w:pPr>
        <w:pStyle w:val="enumlev1"/>
      </w:pPr>
      <w:r w:rsidRPr="001A3BCE">
        <w:t>–</w:t>
      </w:r>
      <w:r w:rsidRPr="001A3BCE">
        <w:tab/>
      </w:r>
      <w:r w:rsidR="00CA2557" w:rsidRPr="001A3BCE">
        <w:t>Le</w:t>
      </w:r>
      <w:r w:rsidR="00100063" w:rsidRPr="001A3BCE">
        <w:t xml:space="preserve"> renouvellement </w:t>
      </w:r>
      <w:r w:rsidR="00CA2557" w:rsidRPr="001A3BCE">
        <w:t xml:space="preserve">du mandat permet d'éviter les décalages au niveau de la connaissance </w:t>
      </w:r>
      <w:r w:rsidR="00100063" w:rsidRPr="001A3BCE">
        <w:t>institutionnelle,</w:t>
      </w:r>
      <w:r w:rsidR="00CA2557" w:rsidRPr="001A3BCE">
        <w:t xml:space="preserve"> un critère </w:t>
      </w:r>
      <w:r w:rsidR="00100063" w:rsidRPr="001A3BCE">
        <w:t xml:space="preserve">particulièrement précieux </w:t>
      </w:r>
      <w:r w:rsidR="00CA2557" w:rsidRPr="001A3BCE">
        <w:t xml:space="preserve">au regard de </w:t>
      </w:r>
      <w:r w:rsidR="00100063" w:rsidRPr="001A3BCE">
        <w:t xml:space="preserve">la transformation financière en cours </w:t>
      </w:r>
      <w:r w:rsidR="00CA2557" w:rsidRPr="001A3BCE">
        <w:t xml:space="preserve">à </w:t>
      </w:r>
      <w:r w:rsidR="00100063" w:rsidRPr="001A3BCE">
        <w:t xml:space="preserve">l'UIT et </w:t>
      </w:r>
      <w:r w:rsidR="00CA2557" w:rsidRPr="001A3BCE">
        <w:t xml:space="preserve">aux </w:t>
      </w:r>
      <w:r w:rsidR="00100063" w:rsidRPr="001A3BCE">
        <w:t>réformes des normes IPSAS.</w:t>
      </w:r>
    </w:p>
    <w:p w14:paraId="17797BB9" w14:textId="2674362E" w:rsidR="00100063" w:rsidRPr="001A3BCE" w:rsidRDefault="00100063" w:rsidP="00E4663E">
      <w:pPr>
        <w:pStyle w:val="Headingb"/>
        <w:ind w:left="0" w:firstLine="0"/>
      </w:pPr>
      <w:r w:rsidRPr="001A3BCE">
        <w:lastRenderedPageBreak/>
        <w:t xml:space="preserve">Comment la continuité et la diversité s'inscrivent-elles dans les bonnes pratiques en matière </w:t>
      </w:r>
      <w:r w:rsidR="00CA2557" w:rsidRPr="001A3BCE">
        <w:t>de vérification?</w:t>
      </w:r>
    </w:p>
    <w:p w14:paraId="2A8C3768" w14:textId="08B9B5EE" w:rsidR="00100063" w:rsidRPr="001A3BCE" w:rsidRDefault="00CA2557" w:rsidP="001A3BCE">
      <w:pPr>
        <w:jc w:val="both"/>
      </w:pPr>
      <w:r w:rsidRPr="001A3BCE">
        <w:t xml:space="preserve">Cette solution équilibrée est </w:t>
      </w:r>
      <w:r w:rsidR="00100063" w:rsidRPr="001A3BCE">
        <w:t>reconnu</w:t>
      </w:r>
      <w:r w:rsidRPr="001A3BCE">
        <w:t>e</w:t>
      </w:r>
      <w:r w:rsidR="00100063" w:rsidRPr="001A3BCE">
        <w:t xml:space="preserve"> </w:t>
      </w:r>
      <w:r w:rsidRPr="001A3BCE">
        <w:t>à l'échelle mondiale</w:t>
      </w:r>
      <w:r w:rsidR="00100063" w:rsidRPr="001A3BCE">
        <w:t>:</w:t>
      </w:r>
    </w:p>
    <w:p w14:paraId="60366A65" w14:textId="3476FE28" w:rsidR="00100063" w:rsidRPr="001A3BCE" w:rsidRDefault="00E4663E" w:rsidP="001A3BCE">
      <w:pPr>
        <w:pStyle w:val="enumlev1"/>
        <w:jc w:val="both"/>
      </w:pPr>
      <w:r w:rsidRPr="001A3BCE">
        <w:t>–</w:t>
      </w:r>
      <w:r w:rsidRPr="001A3BCE">
        <w:tab/>
      </w:r>
      <w:r w:rsidR="00100063" w:rsidRPr="001A3BCE">
        <w:t>La continuité</w:t>
      </w:r>
      <w:r w:rsidR="00CA2557" w:rsidRPr="001A3BCE">
        <w:t xml:space="preserve"> permet d'</w:t>
      </w:r>
      <w:r w:rsidR="00100063" w:rsidRPr="001A3BCE">
        <w:t>assure</w:t>
      </w:r>
      <w:r w:rsidR="00CA2557" w:rsidRPr="001A3BCE">
        <w:t>r</w:t>
      </w:r>
      <w:r w:rsidR="00100063" w:rsidRPr="001A3BCE">
        <w:t xml:space="preserve"> la cohérence de l'approche </w:t>
      </w:r>
      <w:r w:rsidR="00CA2557" w:rsidRPr="001A3BCE">
        <w:t xml:space="preserve">en matière de vérification </w:t>
      </w:r>
      <w:r w:rsidR="00100063" w:rsidRPr="001A3BCE">
        <w:t xml:space="preserve">et de la mémoire institutionnelle, particulièrement importante </w:t>
      </w:r>
      <w:r w:rsidR="00CA2557" w:rsidRPr="001A3BCE">
        <w:t xml:space="preserve">durant </w:t>
      </w:r>
      <w:r w:rsidR="00100063" w:rsidRPr="001A3BCE">
        <w:t xml:space="preserve">les périodes de transformation financière </w:t>
      </w:r>
      <w:r w:rsidR="00CA2557" w:rsidRPr="001A3BCE">
        <w:t>d'envergure</w:t>
      </w:r>
      <w:r w:rsidR="00100063" w:rsidRPr="001A3BCE">
        <w:t xml:space="preserve"> (comme </w:t>
      </w:r>
      <w:r w:rsidR="00CA2557" w:rsidRPr="001A3BCE">
        <w:t>dans</w:t>
      </w:r>
      <w:r w:rsidR="00100063" w:rsidRPr="001A3BCE">
        <w:t xml:space="preserve"> le cas </w:t>
      </w:r>
      <w:r w:rsidR="00CA2557" w:rsidRPr="001A3BCE">
        <w:t>de</w:t>
      </w:r>
      <w:r w:rsidR="00100063" w:rsidRPr="001A3BCE">
        <w:t xml:space="preserve"> l'UIT).</w:t>
      </w:r>
    </w:p>
    <w:p w14:paraId="229C87D3" w14:textId="4A614F66" w:rsidR="00100063" w:rsidRPr="001A3BCE" w:rsidRDefault="00E4663E" w:rsidP="001A3BCE">
      <w:pPr>
        <w:pStyle w:val="enumlev1"/>
        <w:jc w:val="both"/>
      </w:pPr>
      <w:r w:rsidRPr="001A3BCE">
        <w:t>–</w:t>
      </w:r>
      <w:r w:rsidRPr="001A3BCE">
        <w:tab/>
      </w:r>
      <w:r w:rsidR="00100063" w:rsidRPr="001A3BCE">
        <w:t xml:space="preserve">La diversité des </w:t>
      </w:r>
      <w:r w:rsidR="00CA2557" w:rsidRPr="001A3BCE">
        <w:t>vérificateurs</w:t>
      </w:r>
      <w:r w:rsidR="00100063" w:rsidRPr="001A3BCE">
        <w:t xml:space="preserve"> </w:t>
      </w:r>
      <w:r w:rsidR="00CA2557" w:rsidRPr="001A3BCE">
        <w:t>extérieurs</w:t>
      </w:r>
      <w:r w:rsidR="00100063" w:rsidRPr="001A3BCE">
        <w:t xml:space="preserve"> </w:t>
      </w:r>
      <w:r w:rsidR="00CA2557" w:rsidRPr="001A3BCE">
        <w:t xml:space="preserve">des comptes </w:t>
      </w:r>
      <w:r w:rsidR="00100063" w:rsidRPr="001A3BCE">
        <w:t xml:space="preserve">est </w:t>
      </w:r>
      <w:r w:rsidR="00CA2557" w:rsidRPr="001A3BCE">
        <w:t>assurée</w:t>
      </w:r>
      <w:r w:rsidR="00100063" w:rsidRPr="001A3BCE">
        <w:t xml:space="preserve"> au fil du temps</w:t>
      </w:r>
      <w:r w:rsidR="00CA2557" w:rsidRPr="001A3BCE">
        <w:t xml:space="preserve">, </w:t>
      </w:r>
      <w:r w:rsidR="00100063" w:rsidRPr="001A3BCE">
        <w:t xml:space="preserve">grâce à des cycles de sélection transparents et </w:t>
      </w:r>
      <w:r w:rsidR="00CA2557" w:rsidRPr="001A3BCE">
        <w:t xml:space="preserve">concurrentiels </w:t>
      </w:r>
      <w:r w:rsidR="00100063" w:rsidRPr="001A3BCE">
        <w:t>– pas nécessairement en diminuant le renouvellement d'un mandat.</w:t>
      </w:r>
    </w:p>
    <w:p w14:paraId="6A13690A" w14:textId="0C6D9687" w:rsidR="00100063" w:rsidRPr="001A3BCE" w:rsidRDefault="00CA2557" w:rsidP="001A3BCE">
      <w:pPr>
        <w:jc w:val="both"/>
      </w:pPr>
      <w:r w:rsidRPr="001A3BCE">
        <w:t>Bonnes pratiques pour conserver cet équilibre</w:t>
      </w:r>
      <w:r w:rsidR="00100063" w:rsidRPr="001A3BCE">
        <w:t>:</w:t>
      </w:r>
    </w:p>
    <w:p w14:paraId="518111C9" w14:textId="5041A2F5" w:rsidR="00100063" w:rsidRPr="001A3BCE" w:rsidRDefault="00E4663E" w:rsidP="001A3BCE">
      <w:pPr>
        <w:pStyle w:val="enumlev1"/>
        <w:jc w:val="both"/>
      </w:pPr>
      <w:r w:rsidRPr="001A3BCE">
        <w:t>–</w:t>
      </w:r>
      <w:r w:rsidRPr="001A3BCE">
        <w:tab/>
      </w:r>
      <w:r w:rsidR="00100063" w:rsidRPr="001A3BCE">
        <w:t>L'O</w:t>
      </w:r>
      <w:r w:rsidR="0048048C" w:rsidRPr="001A3BCE">
        <w:t>rganisation mondiale de la propriété intellectuelle (O</w:t>
      </w:r>
      <w:r w:rsidR="00100063" w:rsidRPr="001A3BCE">
        <w:t>MPI</w:t>
      </w:r>
      <w:r w:rsidR="0048048C" w:rsidRPr="001A3BCE">
        <w:t>)</w:t>
      </w:r>
      <w:r w:rsidR="00100063" w:rsidRPr="001A3BCE">
        <w:t xml:space="preserve"> prévoit une période initiale (en général 6 ans)</w:t>
      </w:r>
      <w:r w:rsidR="00CA2557" w:rsidRPr="001A3BCE">
        <w:t xml:space="preserve"> permettant de garantir</w:t>
      </w:r>
      <w:r w:rsidR="00100063" w:rsidRPr="001A3BCE">
        <w:t xml:space="preserve"> à la fois la diversité et l'efficacité.</w:t>
      </w:r>
    </w:p>
    <w:p w14:paraId="2B6CDB07" w14:textId="2F0C827E" w:rsidR="00CA2557" w:rsidRPr="001A3BCE" w:rsidRDefault="00E4663E" w:rsidP="001A3BCE">
      <w:pPr>
        <w:pStyle w:val="enumlev1"/>
        <w:jc w:val="both"/>
      </w:pPr>
      <w:r w:rsidRPr="001A3BCE">
        <w:t>–</w:t>
      </w:r>
      <w:r w:rsidRPr="001A3BCE">
        <w:tab/>
      </w:r>
      <w:r w:rsidR="00CA2557" w:rsidRPr="001A3BCE">
        <w:t xml:space="preserve">La rotation des Vérificateurs extérieurs des comptes est importante, mais devrait être mise en </w:t>
      </w:r>
      <w:r w:rsidR="00D76554" w:rsidRPr="001A3BCE">
        <w:t>balance avec la performance, les réformes en cours et la cohérence des activités de vérification.</w:t>
      </w:r>
    </w:p>
    <w:p w14:paraId="291EC432" w14:textId="61B239E6" w:rsidR="001E7D36" w:rsidRPr="001A3BCE" w:rsidRDefault="001E7D36" w:rsidP="001E7D36">
      <w:pPr>
        <w:pStyle w:val="Heading1"/>
      </w:pPr>
      <w:r w:rsidRPr="001A3BCE">
        <w:t>I</w:t>
      </w:r>
      <w:r w:rsidR="00D76554" w:rsidRPr="001A3BCE">
        <w:t>I</w:t>
      </w:r>
      <w:r w:rsidRPr="001A3BCE">
        <w:t>I</w:t>
      </w:r>
      <w:r w:rsidRPr="001A3BCE">
        <w:tab/>
        <w:t>Recommandation</w:t>
      </w:r>
    </w:p>
    <w:p w14:paraId="1C598137" w14:textId="34EE6D12" w:rsidR="001E7D36" w:rsidRPr="001A3BCE" w:rsidRDefault="001E7D36" w:rsidP="001A3BCE">
      <w:pPr>
        <w:pStyle w:val="enumlev1"/>
        <w:jc w:val="both"/>
      </w:pPr>
      <w:r w:rsidRPr="001A3BCE">
        <w:t>1</w:t>
      </w:r>
      <w:r w:rsidR="00D2226C" w:rsidRPr="001A3BCE">
        <w:t>)</w:t>
      </w:r>
      <w:r w:rsidRPr="001A3BCE">
        <w:tab/>
        <w:t>Compte tenu de</w:t>
      </w:r>
      <w:r w:rsidR="00D76554" w:rsidRPr="001A3BCE">
        <w:t>s réponses apportées ci-dessus</w:t>
      </w:r>
      <w:r w:rsidR="0048048C" w:rsidRPr="001A3BCE">
        <w:t xml:space="preserve"> et </w:t>
      </w:r>
      <w:r w:rsidR="00D76554" w:rsidRPr="001A3BCE">
        <w:t xml:space="preserve">d'une analyse comparative réalisée auprès d'autres institutions </w:t>
      </w:r>
      <w:r w:rsidRPr="001A3BCE">
        <w:t>et après examen de tous les critères, il est recommandé</w:t>
      </w:r>
      <w:r w:rsidR="00D76554" w:rsidRPr="001A3BCE">
        <w:t xml:space="preserve">, au regard des bonnes pratiques, de l'approche couramment suivie et des dispositions du Règlement financier de l'UIT, </w:t>
      </w:r>
      <w:r w:rsidRPr="001A3BCE">
        <w:t xml:space="preserve">de renouveler le mandat du Bureau national de contrôle des finances publiques du Royaume-Uni pour une </w:t>
      </w:r>
      <w:r w:rsidR="0048048C" w:rsidRPr="001A3BCE">
        <w:t>durée</w:t>
      </w:r>
      <w:r w:rsidRPr="001A3BCE">
        <w:t xml:space="preserve"> de deux ans, en vue de la vérification des états</w:t>
      </w:r>
      <w:r w:rsidR="001E7323" w:rsidRPr="001A3BCE">
        <w:t> </w:t>
      </w:r>
      <w:r w:rsidRPr="001A3BCE">
        <w:t>financiers pour 2026 et 2027.</w:t>
      </w:r>
    </w:p>
    <w:p w14:paraId="30BEE6A9" w14:textId="39DB095B" w:rsidR="001E7D36" w:rsidRPr="001A3BCE" w:rsidRDefault="001E7D36" w:rsidP="001A3BCE">
      <w:pPr>
        <w:pStyle w:val="enumlev1"/>
        <w:jc w:val="both"/>
      </w:pPr>
      <w:r w:rsidRPr="001A3BCE">
        <w:t>2</w:t>
      </w:r>
      <w:r w:rsidR="00D2226C" w:rsidRPr="001A3BCE">
        <w:t>)</w:t>
      </w:r>
      <w:r w:rsidRPr="001A3BCE">
        <w:tab/>
        <w:t xml:space="preserve">Le Conseil est également invité à </w:t>
      </w:r>
      <w:r w:rsidRPr="001A3BCE">
        <w:rPr>
          <w:b/>
          <w:bCs/>
        </w:rPr>
        <w:t>adopter</w:t>
      </w:r>
      <w:r w:rsidRPr="001A3BCE">
        <w:t xml:space="preserve"> le projet de Décision figurant dans l'Annexe du présent document.</w:t>
      </w:r>
    </w:p>
    <w:p w14:paraId="562B05DB" w14:textId="200F456B" w:rsidR="00E4663E" w:rsidRPr="001A3BCE" w:rsidRDefault="001E7D36" w:rsidP="00E4663E">
      <w:pPr>
        <w:spacing w:before="600"/>
      </w:pPr>
      <w:r w:rsidRPr="001A3BCE">
        <w:rPr>
          <w:b/>
          <w:bCs/>
        </w:rPr>
        <w:t>Annex</w:t>
      </w:r>
      <w:r w:rsidR="001E7323" w:rsidRPr="001A3BCE">
        <w:rPr>
          <w:b/>
          <w:bCs/>
        </w:rPr>
        <w:t>e</w:t>
      </w:r>
      <w:r w:rsidRPr="001A3BCE">
        <w:t>:</w:t>
      </w:r>
      <w:r w:rsidRPr="001A3BCE">
        <w:tab/>
        <w:t xml:space="preserve">Projet de </w:t>
      </w:r>
      <w:r w:rsidR="00D20C37" w:rsidRPr="001A3BCE">
        <w:t>D</w:t>
      </w:r>
      <w:r w:rsidRPr="001A3BCE">
        <w:t>écision</w:t>
      </w:r>
      <w:r w:rsidR="00E4663E" w:rsidRPr="001A3BCE">
        <w:br w:type="page"/>
      </w:r>
    </w:p>
    <w:p w14:paraId="3553CBEC" w14:textId="77777777" w:rsidR="00AC5EB9" w:rsidRPr="001A3BCE" w:rsidRDefault="00AC5EB9" w:rsidP="00AC5EB9">
      <w:pPr>
        <w:pStyle w:val="AnnexNo"/>
      </w:pPr>
      <w:r w:rsidRPr="001A3BCE">
        <w:lastRenderedPageBreak/>
        <w:t>Annexe</w:t>
      </w:r>
    </w:p>
    <w:p w14:paraId="6AC2F5E6" w14:textId="77777777" w:rsidR="00AC5EB9" w:rsidRPr="001A3BCE" w:rsidRDefault="00AC5EB9" w:rsidP="00AC5EB9">
      <w:pPr>
        <w:pStyle w:val="AnnexNo"/>
      </w:pPr>
      <w:r w:rsidRPr="001A3BCE">
        <w:t>Projet de décision [...]</w:t>
      </w:r>
    </w:p>
    <w:p w14:paraId="5460583D" w14:textId="039032AA" w:rsidR="00AC5EB9" w:rsidRPr="001A3BCE" w:rsidRDefault="00AC5EB9" w:rsidP="00AC5EB9">
      <w:pPr>
        <w:pStyle w:val="Annextitle"/>
      </w:pPr>
      <w:r w:rsidRPr="001A3BCE">
        <w:t>Renouvellement du mandat du Vérificateur extérieur des comptes (Bureau national de contrôle des finances publiques</w:t>
      </w:r>
      <w:r w:rsidRPr="001A3BCE">
        <w:br/>
        <w:t>du Royaume-Uni) pour une durée de deux ans</w:t>
      </w:r>
    </w:p>
    <w:p w14:paraId="0F25F447" w14:textId="77777777" w:rsidR="00AC5EB9" w:rsidRPr="001A3BCE" w:rsidRDefault="00AC5EB9" w:rsidP="00AC5EB9">
      <w:pPr>
        <w:pStyle w:val="Normalaftertitle"/>
      </w:pPr>
      <w:r w:rsidRPr="001A3BCE">
        <w:t>Le Conseil de l'UIT,</w:t>
      </w:r>
    </w:p>
    <w:p w14:paraId="3E1912A6" w14:textId="77777777" w:rsidR="00AC5EB9" w:rsidRPr="001A3BCE" w:rsidRDefault="00AC5EB9" w:rsidP="00AC5EB9">
      <w:pPr>
        <w:pStyle w:val="Call"/>
      </w:pPr>
      <w:r w:rsidRPr="001A3BCE">
        <w:t>ayant examiné</w:t>
      </w:r>
    </w:p>
    <w:p w14:paraId="62ED2F63" w14:textId="5828F8CC" w:rsidR="00AC5EB9" w:rsidRPr="001A3BCE" w:rsidRDefault="00AC5EB9" w:rsidP="00AC5EB9">
      <w:r w:rsidRPr="001A3BCE">
        <w:t xml:space="preserve">le Document </w:t>
      </w:r>
      <w:hyperlink r:id="rId11" w:history="1">
        <w:r w:rsidRPr="001A3BCE">
          <w:rPr>
            <w:rStyle w:val="Hyperlink"/>
            <w:rFonts w:eastAsia="Times New Roman" w:cs="Times New Roman"/>
            <w:szCs w:val="20"/>
          </w:rPr>
          <w:t>C2</w:t>
        </w:r>
        <w:r w:rsidR="00D2226C" w:rsidRPr="001A3BCE">
          <w:rPr>
            <w:rStyle w:val="Hyperlink"/>
            <w:rFonts w:eastAsia="Times New Roman" w:cs="Times New Roman"/>
            <w:szCs w:val="20"/>
          </w:rPr>
          <w:t>5</w:t>
        </w:r>
        <w:r w:rsidRPr="001A3BCE">
          <w:rPr>
            <w:rStyle w:val="Hyperlink"/>
            <w:rFonts w:eastAsia="Times New Roman" w:cs="Times New Roman"/>
            <w:szCs w:val="20"/>
          </w:rPr>
          <w:t>/42</w:t>
        </w:r>
      </w:hyperlink>
      <w:r w:rsidRPr="001A3BCE">
        <w:t>,</w:t>
      </w:r>
    </w:p>
    <w:p w14:paraId="403FD4F0" w14:textId="77777777" w:rsidR="00AC5EB9" w:rsidRPr="001A3BCE" w:rsidRDefault="00AC5EB9" w:rsidP="00AC5EB9">
      <w:pPr>
        <w:pStyle w:val="Call"/>
      </w:pPr>
      <w:r w:rsidRPr="001A3BCE">
        <w:t>considérant</w:t>
      </w:r>
    </w:p>
    <w:p w14:paraId="6BD8CB35" w14:textId="4DE4D939" w:rsidR="00AC5EB9" w:rsidRPr="001A3BCE" w:rsidRDefault="00AC5EB9" w:rsidP="001A3BCE">
      <w:pPr>
        <w:jc w:val="both"/>
      </w:pPr>
      <w:r w:rsidRPr="001A3BCE">
        <w:t xml:space="preserve">la Résolution </w:t>
      </w:r>
      <w:hyperlink r:id="rId12" w:history="1">
        <w:r w:rsidRPr="001A3BCE">
          <w:rPr>
            <w:rStyle w:val="Hyperlink"/>
            <w:rFonts w:eastAsia="Times New Roman" w:cs="Times New Roman"/>
            <w:szCs w:val="20"/>
          </w:rPr>
          <w:t>94 (Rév. Bucarest, 2022)</w:t>
        </w:r>
      </w:hyperlink>
      <w:r w:rsidRPr="001A3BCE">
        <w:t xml:space="preserve"> de la Conférence de plénipotentiaires et la Décision </w:t>
      </w:r>
      <w:hyperlink r:id="rId13" w:history="1">
        <w:r w:rsidRPr="001A3BCE">
          <w:rPr>
            <w:rStyle w:val="Hyperlink"/>
            <w:rFonts w:eastAsia="Times New Roman" w:cs="Times New Roman"/>
            <w:szCs w:val="20"/>
          </w:rPr>
          <w:t>621 (C20)</w:t>
        </w:r>
      </w:hyperlink>
      <w:r w:rsidRPr="001A3BCE">
        <w:t xml:space="preserve"> du Conseil,</w:t>
      </w:r>
    </w:p>
    <w:p w14:paraId="76F8B027" w14:textId="77777777" w:rsidR="00AC5EB9" w:rsidRPr="001A3BCE" w:rsidRDefault="00AC5EB9" w:rsidP="00AC5EB9">
      <w:pPr>
        <w:pStyle w:val="Call"/>
      </w:pPr>
      <w:r w:rsidRPr="001A3BCE">
        <w:t>tenant compte</w:t>
      </w:r>
    </w:p>
    <w:p w14:paraId="3D8ACAC5" w14:textId="3E659541" w:rsidR="00AC5EB9" w:rsidRPr="001A3BCE" w:rsidRDefault="00AC5EB9" w:rsidP="00AC5EB9">
      <w:r w:rsidRPr="001A3BCE">
        <w:t xml:space="preserve">de l'Article 28 du </w:t>
      </w:r>
      <w:hyperlink r:id="rId14" w:history="1">
        <w:r w:rsidRPr="001A3BCE">
          <w:rPr>
            <w:rStyle w:val="Hyperlink"/>
            <w:rFonts w:eastAsia="Times New Roman" w:cs="Times New Roman"/>
            <w:szCs w:val="20"/>
          </w:rPr>
          <w:t>Règlement financier</w:t>
        </w:r>
      </w:hyperlink>
      <w:r w:rsidRPr="001A3BCE">
        <w:t>,</w:t>
      </w:r>
    </w:p>
    <w:p w14:paraId="1091B220" w14:textId="77777777" w:rsidR="00AC5EB9" w:rsidRPr="001A3BCE" w:rsidRDefault="00AC5EB9" w:rsidP="00AC5EB9">
      <w:pPr>
        <w:pStyle w:val="Call"/>
      </w:pPr>
      <w:r w:rsidRPr="001A3BCE">
        <w:t xml:space="preserve">décide </w:t>
      </w:r>
    </w:p>
    <w:p w14:paraId="406B1ED6" w14:textId="7615118A" w:rsidR="00AC5EB9" w:rsidRPr="001A3BCE" w:rsidRDefault="00AC5EB9" w:rsidP="001A3BCE">
      <w:pPr>
        <w:jc w:val="both"/>
      </w:pPr>
      <w:r w:rsidRPr="001A3BCE">
        <w:t>de renouveler le mandat du Bureau national de contrôle des finances publiques du Royaume</w:t>
      </w:r>
      <w:r w:rsidRPr="001A3BCE">
        <w:noBreakHyphen/>
        <w:t>Uni en tant que Vérificateur extérieur des comptes de l'UIT pour une durée de deux</w:t>
      </w:r>
      <w:r w:rsidR="00D20C37" w:rsidRPr="001A3BCE">
        <w:t> </w:t>
      </w:r>
      <w:r w:rsidRPr="001A3BCE">
        <w:t>ans en vue de la vérification des états financiers de l'Union pour 2026 et 2027,</w:t>
      </w:r>
    </w:p>
    <w:p w14:paraId="688ACDD5" w14:textId="77777777" w:rsidR="00AC5EB9" w:rsidRPr="001A3BCE" w:rsidRDefault="00AC5EB9" w:rsidP="00AC5EB9">
      <w:pPr>
        <w:pStyle w:val="Call"/>
      </w:pPr>
      <w:r w:rsidRPr="001A3BCE">
        <w:t>charge le Secrétaire général</w:t>
      </w:r>
    </w:p>
    <w:p w14:paraId="4160EE40" w14:textId="30075945" w:rsidR="001E7323" w:rsidRPr="001A3BCE" w:rsidRDefault="00AC5EB9" w:rsidP="001A3BCE">
      <w:pPr>
        <w:jc w:val="both"/>
      </w:pPr>
      <w:r w:rsidRPr="001A3BCE">
        <w:t>de porter la présente Décision à la connaissance du Contrôleur et Vérificateur général du Bureau national de contrôle des finances publiques du Royaume-Uni.</w:t>
      </w:r>
    </w:p>
    <w:p w14:paraId="011E7AF9" w14:textId="77777777" w:rsidR="007A2A1F" w:rsidRPr="001A3BCE" w:rsidRDefault="007A2A1F" w:rsidP="00AC5EB9"/>
    <w:p w14:paraId="6C84674C" w14:textId="77777777" w:rsidR="00897553" w:rsidRPr="001A3BCE" w:rsidRDefault="006A11AE" w:rsidP="006A11AE">
      <w:pPr>
        <w:jc w:val="center"/>
      </w:pPr>
      <w:r w:rsidRPr="001A3BCE">
        <w:t>______________</w:t>
      </w:r>
    </w:p>
    <w:sectPr w:rsidR="00897553" w:rsidRPr="001A3BCE" w:rsidSect="00D72F49">
      <w:headerReference w:type="even" r:id="rId15"/>
      <w:footerReference w:type="even" r:id="rId16"/>
      <w:footerReference w:type="default" r:id="rId17"/>
      <w:headerReference w:type="first" r:id="rId18"/>
      <w:footerReference w:type="first" r:id="rId19"/>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1D6D3" w14:textId="77777777" w:rsidR="00FF5E9A" w:rsidRDefault="00FF5E9A">
      <w:r>
        <w:separator/>
      </w:r>
    </w:p>
  </w:endnote>
  <w:endnote w:type="continuationSeparator" w:id="0">
    <w:p w14:paraId="33393778" w14:textId="77777777" w:rsidR="00FF5E9A" w:rsidRDefault="00FF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0D24" w14:textId="36DB5F12" w:rsidR="00732045" w:rsidRDefault="00FF5E9A">
    <w:pPr>
      <w:pStyle w:val="Footer"/>
    </w:pPr>
    <w:fldSimple w:instr=" FILENAME \p \* MERGEFORMAT ">
      <w:r>
        <w:t>Document1</w:t>
      </w:r>
    </w:fldSimple>
    <w:r w:rsidR="00732045">
      <w:tab/>
    </w:r>
    <w:r w:rsidR="002F1B76">
      <w:fldChar w:fldCharType="begin"/>
    </w:r>
    <w:r w:rsidR="00732045">
      <w:instrText xml:space="preserve"> savedate \@ dd.MM.yy </w:instrText>
    </w:r>
    <w:r w:rsidR="002F1B76">
      <w:fldChar w:fldCharType="separate"/>
    </w:r>
    <w:r w:rsidR="00B4688C">
      <w:t>29.04.25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12A56EA" w14:textId="77777777" w:rsidTr="00E31DCE">
      <w:trPr>
        <w:jc w:val="center"/>
      </w:trPr>
      <w:tc>
        <w:tcPr>
          <w:tcW w:w="1803" w:type="dxa"/>
          <w:vAlign w:val="center"/>
        </w:tcPr>
        <w:p w14:paraId="4BC350FA" w14:textId="34388A31" w:rsidR="00A51849" w:rsidRDefault="001E7323" w:rsidP="00A51849">
          <w:pPr>
            <w:pStyle w:val="Header"/>
            <w:jc w:val="left"/>
            <w:rPr>
              <w:noProof/>
            </w:rPr>
          </w:pPr>
          <w:r>
            <w:rPr>
              <w:noProof/>
            </w:rPr>
            <w:t>2500715</w:t>
          </w:r>
        </w:p>
      </w:tc>
      <w:tc>
        <w:tcPr>
          <w:tcW w:w="8261" w:type="dxa"/>
        </w:tcPr>
        <w:p w14:paraId="1F065652" w14:textId="189611AB"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1E7323">
            <w:rPr>
              <w:bCs/>
            </w:rPr>
            <w:t>42</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605521A7" w14:textId="77777777" w:rsidR="00732045" w:rsidRPr="00A51849" w:rsidRDefault="00732045" w:rsidP="00E46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1331167" w14:textId="77777777" w:rsidTr="00E31DCE">
      <w:trPr>
        <w:jc w:val="center"/>
      </w:trPr>
      <w:tc>
        <w:tcPr>
          <w:tcW w:w="1803" w:type="dxa"/>
          <w:vAlign w:val="center"/>
        </w:tcPr>
        <w:p w14:paraId="102C6555"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12383417" w14:textId="60D95AF0"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1E7D36">
            <w:rPr>
              <w:bCs/>
            </w:rPr>
            <w:t>42</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F2F54FC"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1F957" w14:textId="77777777" w:rsidR="00FF5E9A" w:rsidRDefault="00FF5E9A">
      <w:r>
        <w:t>____________________</w:t>
      </w:r>
    </w:p>
  </w:footnote>
  <w:footnote w:type="continuationSeparator" w:id="0">
    <w:p w14:paraId="353428A8" w14:textId="77777777" w:rsidR="00FF5E9A" w:rsidRDefault="00FF5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A074"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101271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6C99336F" w14:textId="77777777" w:rsidTr="00D37B53">
      <w:trPr>
        <w:trHeight w:val="1104"/>
        <w:jc w:val="center"/>
      </w:trPr>
      <w:tc>
        <w:tcPr>
          <w:tcW w:w="5317" w:type="dxa"/>
          <w:vAlign w:val="center"/>
        </w:tcPr>
        <w:p w14:paraId="34591EC0"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E8EC09A" wp14:editId="757FB4AD">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59FD7C5F" w14:textId="77777777" w:rsidR="00524E8D" w:rsidRDefault="00524E8D" w:rsidP="00A51849">
          <w:pPr>
            <w:pStyle w:val="Header"/>
            <w:jc w:val="right"/>
            <w:rPr>
              <w:rFonts w:ascii="Arial" w:hAnsi="Arial" w:cs="Arial"/>
              <w:b/>
              <w:bCs/>
              <w:color w:val="009CD6"/>
              <w:szCs w:val="18"/>
            </w:rPr>
          </w:pPr>
        </w:p>
      </w:tc>
    </w:tr>
  </w:tbl>
  <w:p w14:paraId="4C570AE1"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F433DDE" wp14:editId="11A95294">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A1D0A"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9A"/>
    <w:rsid w:val="00024DC3"/>
    <w:rsid w:val="00076A2C"/>
    <w:rsid w:val="000D0D0A"/>
    <w:rsid w:val="00100063"/>
    <w:rsid w:val="00103163"/>
    <w:rsid w:val="00106B19"/>
    <w:rsid w:val="001133EF"/>
    <w:rsid w:val="00115D93"/>
    <w:rsid w:val="00123FCB"/>
    <w:rsid w:val="001247A8"/>
    <w:rsid w:val="001370B2"/>
    <w:rsid w:val="001378C0"/>
    <w:rsid w:val="0018694A"/>
    <w:rsid w:val="001A3287"/>
    <w:rsid w:val="001A3BCE"/>
    <w:rsid w:val="001A6508"/>
    <w:rsid w:val="001D4C31"/>
    <w:rsid w:val="001E4D21"/>
    <w:rsid w:val="001E7323"/>
    <w:rsid w:val="001E7D36"/>
    <w:rsid w:val="00207CD1"/>
    <w:rsid w:val="00226657"/>
    <w:rsid w:val="002477A2"/>
    <w:rsid w:val="00263A51"/>
    <w:rsid w:val="00263FAF"/>
    <w:rsid w:val="00267E02"/>
    <w:rsid w:val="002A5D44"/>
    <w:rsid w:val="002C3F32"/>
    <w:rsid w:val="002C4E3D"/>
    <w:rsid w:val="002E0BC4"/>
    <w:rsid w:val="002F1B76"/>
    <w:rsid w:val="0033568E"/>
    <w:rsid w:val="00342197"/>
    <w:rsid w:val="00355FF5"/>
    <w:rsid w:val="00361350"/>
    <w:rsid w:val="003C3FAE"/>
    <w:rsid w:val="004038CB"/>
    <w:rsid w:val="0040546F"/>
    <w:rsid w:val="004177BD"/>
    <w:rsid w:val="0042404A"/>
    <w:rsid w:val="0044618F"/>
    <w:rsid w:val="00450E2D"/>
    <w:rsid w:val="0046769A"/>
    <w:rsid w:val="00475FB3"/>
    <w:rsid w:val="0048048C"/>
    <w:rsid w:val="004C37A9"/>
    <w:rsid w:val="004D1D50"/>
    <w:rsid w:val="004F259E"/>
    <w:rsid w:val="005116D6"/>
    <w:rsid w:val="00511F1D"/>
    <w:rsid w:val="00520F36"/>
    <w:rsid w:val="00524E8D"/>
    <w:rsid w:val="00532111"/>
    <w:rsid w:val="00534E13"/>
    <w:rsid w:val="00540615"/>
    <w:rsid w:val="00540A6D"/>
    <w:rsid w:val="00566679"/>
    <w:rsid w:val="00571EEA"/>
    <w:rsid w:val="00575417"/>
    <w:rsid w:val="005768E1"/>
    <w:rsid w:val="005B1938"/>
    <w:rsid w:val="005C3890"/>
    <w:rsid w:val="005F7BFE"/>
    <w:rsid w:val="00600017"/>
    <w:rsid w:val="006235CA"/>
    <w:rsid w:val="0062366E"/>
    <w:rsid w:val="006643AB"/>
    <w:rsid w:val="006A116E"/>
    <w:rsid w:val="006A11AE"/>
    <w:rsid w:val="006F0A53"/>
    <w:rsid w:val="007210CD"/>
    <w:rsid w:val="00732045"/>
    <w:rsid w:val="0073275D"/>
    <w:rsid w:val="007369DB"/>
    <w:rsid w:val="0077110E"/>
    <w:rsid w:val="007956C2"/>
    <w:rsid w:val="007A187E"/>
    <w:rsid w:val="007A2A1F"/>
    <w:rsid w:val="007C72C2"/>
    <w:rsid w:val="007D4436"/>
    <w:rsid w:val="007F257A"/>
    <w:rsid w:val="007F3665"/>
    <w:rsid w:val="00800037"/>
    <w:rsid w:val="0082299A"/>
    <w:rsid w:val="0083391C"/>
    <w:rsid w:val="0084713B"/>
    <w:rsid w:val="00861D73"/>
    <w:rsid w:val="00882919"/>
    <w:rsid w:val="00897553"/>
    <w:rsid w:val="008A4E87"/>
    <w:rsid w:val="008D76E6"/>
    <w:rsid w:val="008E5302"/>
    <w:rsid w:val="0092392D"/>
    <w:rsid w:val="0093234A"/>
    <w:rsid w:val="00956A78"/>
    <w:rsid w:val="0097363B"/>
    <w:rsid w:val="00973F53"/>
    <w:rsid w:val="009A6BAA"/>
    <w:rsid w:val="009C307F"/>
    <w:rsid w:val="009C353C"/>
    <w:rsid w:val="009C51FD"/>
    <w:rsid w:val="009F0FB8"/>
    <w:rsid w:val="00A2113E"/>
    <w:rsid w:val="00A23A51"/>
    <w:rsid w:val="00A24607"/>
    <w:rsid w:val="00A25CD3"/>
    <w:rsid w:val="00A51849"/>
    <w:rsid w:val="00A709FE"/>
    <w:rsid w:val="00A73C60"/>
    <w:rsid w:val="00A82767"/>
    <w:rsid w:val="00AA332F"/>
    <w:rsid w:val="00AA7BBB"/>
    <w:rsid w:val="00AB64A8"/>
    <w:rsid w:val="00AC0266"/>
    <w:rsid w:val="00AC5EB9"/>
    <w:rsid w:val="00AD24EC"/>
    <w:rsid w:val="00B12D4B"/>
    <w:rsid w:val="00B27B00"/>
    <w:rsid w:val="00B309F9"/>
    <w:rsid w:val="00B32B60"/>
    <w:rsid w:val="00B4688C"/>
    <w:rsid w:val="00B51005"/>
    <w:rsid w:val="00B61619"/>
    <w:rsid w:val="00BB4545"/>
    <w:rsid w:val="00BD5873"/>
    <w:rsid w:val="00BF4B60"/>
    <w:rsid w:val="00C049D7"/>
    <w:rsid w:val="00C04BE3"/>
    <w:rsid w:val="00C25D29"/>
    <w:rsid w:val="00C27A7C"/>
    <w:rsid w:val="00C42437"/>
    <w:rsid w:val="00C43C10"/>
    <w:rsid w:val="00CA08ED"/>
    <w:rsid w:val="00CA2557"/>
    <w:rsid w:val="00CC6EAA"/>
    <w:rsid w:val="00CF183B"/>
    <w:rsid w:val="00D20C37"/>
    <w:rsid w:val="00D2226C"/>
    <w:rsid w:val="00D375CD"/>
    <w:rsid w:val="00D37B53"/>
    <w:rsid w:val="00D553A2"/>
    <w:rsid w:val="00D72F49"/>
    <w:rsid w:val="00D76554"/>
    <w:rsid w:val="00D774D3"/>
    <w:rsid w:val="00D904E8"/>
    <w:rsid w:val="00DA08C3"/>
    <w:rsid w:val="00DB5A3E"/>
    <w:rsid w:val="00DC22AA"/>
    <w:rsid w:val="00DD1A99"/>
    <w:rsid w:val="00DF74DD"/>
    <w:rsid w:val="00E25AD0"/>
    <w:rsid w:val="00E4428F"/>
    <w:rsid w:val="00E4663E"/>
    <w:rsid w:val="00E47427"/>
    <w:rsid w:val="00E82EAF"/>
    <w:rsid w:val="00E93668"/>
    <w:rsid w:val="00E95647"/>
    <w:rsid w:val="00EB6350"/>
    <w:rsid w:val="00EC0932"/>
    <w:rsid w:val="00F15B57"/>
    <w:rsid w:val="00F35EF4"/>
    <w:rsid w:val="00F37FE5"/>
    <w:rsid w:val="00F427DB"/>
    <w:rsid w:val="00FA5EB1"/>
    <w:rsid w:val="00FA7439"/>
    <w:rsid w:val="00FC4EC0"/>
    <w:rsid w:val="00FC6D7D"/>
    <w:rsid w:val="00FF0181"/>
    <w:rsid w:val="00FF5E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AA70E"/>
  <w15:docId w15:val="{A3839CF1-7784-4DEF-B8DF-9EA72290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83/fr" TargetMode="External"/><Relationship Id="rId13" Type="http://schemas.openxmlformats.org/officeDocument/2006/relationships/hyperlink" Target="https://www.itu.int/md/S20-CL-C-0083/f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tu.int/en/council/cwg-fhr/Pages/default.aspx" TargetMode="External"/><Relationship Id="rId12" Type="http://schemas.openxmlformats.org/officeDocument/2006/relationships/hyperlink" Target="https://www.itu.int/en/council/Documents/basic-texts-2023/RES-094-F.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5-CL-C-0042/f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en/council/ties/Documents/Financial-regulations/S-GEN-REG_RGTFIN-2022-PDF-F.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dms_pub/itu-s/opb/conf/S-CONF-PLEN-2022-PDF-F.pdf" TargetMode="External"/><Relationship Id="rId14" Type="http://schemas.openxmlformats.org/officeDocument/2006/relationships/hyperlink" Target="https://www.itu.int/en/council/ties/Documents/Financial-regulations/S-GEN-REG_RGTFIN-2022-PDF-F.pd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7813C-333A-4BE9-A5E6-5B6247AB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175</TotalTime>
  <Pages>4</Pages>
  <Words>1079</Words>
  <Characters>6256</Characters>
  <Application>Microsoft Office Word</Application>
  <DocSecurity>0</DocSecurity>
  <Lines>123</Lines>
  <Paragraphs>58</Paragraphs>
  <ScaleCrop>false</ScaleCrop>
  <HeadingPairs>
    <vt:vector size="2" baseType="variant">
      <vt:variant>
        <vt:lpstr>Title</vt:lpstr>
      </vt:variant>
      <vt:variant>
        <vt:i4>1</vt:i4>
      </vt:variant>
    </vt:vector>
  </HeadingPairs>
  <TitlesOfParts>
    <vt:vector size="1" baseType="lpstr">
      <vt:lpstr>Renouvellement du mandat du vérificateur extérieur des comptes (Bureau national de contrôle des finances publiques du Royaume-Uni) pour une durée de deux ans</vt:lpstr>
    </vt:vector>
  </TitlesOfParts>
  <Manager>Secrétariat général - Pool</Manager>
  <Company>Union internationale des télécommunications (UIT)</Company>
  <LinksUpToDate>false</LinksUpToDate>
  <CharactersWithSpaces>7055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Renouvellement du mandat du vérificateur extérieur des comptes (Bureau national de contrôle des finances publiques du Royaume-Uni) pour une durée de deux ans</dc:title>
  <dc:subject>Conseil 2025 de l'UIT</dc:subject>
  <cp:keywords>C2025, C25, Council-25</cp:keywords>
  <dc:description/>
  <cp:lastPrinted>2000-07-18T08:55:00Z</cp:lastPrinted>
  <dcterms:created xsi:type="dcterms:W3CDTF">2025-04-29T12:13:00Z</dcterms:created>
  <dcterms:modified xsi:type="dcterms:W3CDTF">2025-05-02T15:28:00Z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