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5D9D756D">
        <w:trPr>
          <w:cantSplit/>
          <w:trHeight w:val="23"/>
        </w:trPr>
        <w:tc>
          <w:tcPr>
            <w:tcW w:w="3969" w:type="dxa"/>
            <w:vMerge w:val="restart"/>
            <w:tcMar>
              <w:left w:w="0" w:type="dxa"/>
            </w:tcMar>
          </w:tcPr>
          <w:p w14:paraId="7147B863" w14:textId="779AE3EA" w:rsidR="00AD3606" w:rsidRPr="00C0458D" w:rsidRDefault="00AD3606" w:rsidP="00D56156">
            <w:pPr>
              <w:pStyle w:val="ListParagraph"/>
              <w:tabs>
                <w:tab w:val="left" w:pos="851"/>
              </w:tabs>
              <w:spacing w:before="0" w:line="240" w:lineRule="atLeast"/>
              <w:ind w:left="0"/>
              <w:rPr>
                <w:b/>
                <w:bCs/>
                <w:szCs w:val="24"/>
              </w:rPr>
            </w:pPr>
            <w:bookmarkStart w:id="0" w:name="dmeeting"/>
            <w:bookmarkStart w:id="1" w:name="dnum"/>
            <w:bookmarkStart w:id="2" w:name="_Hlk133421839"/>
            <w:bookmarkStart w:id="3" w:name="_Hlk133421856"/>
            <w:bookmarkStart w:id="4" w:name="_Hlk133422370"/>
            <w:bookmarkStart w:id="5" w:name="_Hlk133586559"/>
            <w:r w:rsidRPr="6E6B855F">
              <w:rPr>
                <w:b/>
                <w:bCs/>
              </w:rPr>
              <w:t xml:space="preserve">Agenda item: </w:t>
            </w:r>
            <w:r w:rsidR="00A875ED" w:rsidRPr="6E6B855F">
              <w:rPr>
                <w:b/>
                <w:bCs/>
              </w:rPr>
              <w:t>ADM 2</w:t>
            </w:r>
          </w:p>
        </w:tc>
        <w:tc>
          <w:tcPr>
            <w:tcW w:w="5245" w:type="dxa"/>
          </w:tcPr>
          <w:p w14:paraId="6779937E" w14:textId="5EE86174"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D618CB">
              <w:rPr>
                <w:b/>
              </w:rPr>
              <w:t>42</w:t>
            </w:r>
            <w:r w:rsidRPr="00C0458D">
              <w:rPr>
                <w:b/>
              </w:rPr>
              <w:t>-E</w:t>
            </w:r>
          </w:p>
        </w:tc>
      </w:tr>
      <w:tr w:rsidR="00AD3606" w:rsidRPr="00C0458D" w14:paraId="3E3F9DA5" w14:textId="77777777" w:rsidTr="5D9D756D">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05E339D2" w:rsidR="00AD3606" w:rsidRPr="00C0458D" w:rsidRDefault="00D56156" w:rsidP="00AD3606">
            <w:pPr>
              <w:tabs>
                <w:tab w:val="left" w:pos="851"/>
              </w:tabs>
              <w:spacing w:before="0"/>
              <w:jc w:val="right"/>
              <w:rPr>
                <w:b/>
              </w:rPr>
            </w:pPr>
            <w:r>
              <w:rPr>
                <w:b/>
              </w:rPr>
              <w:t>23</w:t>
            </w:r>
            <w:r w:rsidR="00D618CB">
              <w:rPr>
                <w:b/>
              </w:rPr>
              <w:t xml:space="preserve"> April</w:t>
            </w:r>
            <w:r w:rsidR="00007948">
              <w:rPr>
                <w:b/>
              </w:rPr>
              <w:t xml:space="preserve"> 2025</w:t>
            </w:r>
          </w:p>
        </w:tc>
      </w:tr>
      <w:tr w:rsidR="00AD3606" w:rsidRPr="00C0458D" w14:paraId="75730376" w14:textId="77777777" w:rsidTr="5D9D756D">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5D9D756D">
        <w:trPr>
          <w:cantSplit/>
          <w:trHeight w:val="23"/>
        </w:trPr>
        <w:tc>
          <w:tcPr>
            <w:tcW w:w="3969" w:type="dxa"/>
          </w:tcPr>
          <w:p w14:paraId="5858B25D" w14:textId="29F7EE76"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5D9D756D">
        <w:trPr>
          <w:cantSplit/>
        </w:trPr>
        <w:tc>
          <w:tcPr>
            <w:tcW w:w="9214" w:type="dxa"/>
            <w:gridSpan w:val="2"/>
            <w:tcMar>
              <w:left w:w="0" w:type="dxa"/>
            </w:tcMar>
          </w:tcPr>
          <w:p w14:paraId="2016C4A0" w14:textId="77777777" w:rsidR="00AD3606" w:rsidRPr="000F7289" w:rsidRDefault="00AD3606" w:rsidP="000F7289">
            <w:pPr>
              <w:pStyle w:val="Source"/>
              <w:framePr w:hSpace="0" w:wrap="auto" w:vAnchor="margin" w:hAnchor="text" w:xAlign="left" w:yAlign="inline"/>
            </w:pPr>
            <w:bookmarkStart w:id="8" w:name="dsource" w:colFirst="0" w:colLast="0"/>
            <w:bookmarkEnd w:id="7"/>
            <w:r w:rsidRPr="000F7289">
              <w:t>Report by the Secretary-General</w:t>
            </w:r>
          </w:p>
        </w:tc>
      </w:tr>
      <w:tr w:rsidR="00AD3606" w:rsidRPr="00C0458D" w14:paraId="3A759762" w14:textId="77777777" w:rsidTr="5D9D756D">
        <w:trPr>
          <w:cantSplit/>
        </w:trPr>
        <w:tc>
          <w:tcPr>
            <w:tcW w:w="9214" w:type="dxa"/>
            <w:gridSpan w:val="2"/>
            <w:tcMar>
              <w:left w:w="0" w:type="dxa"/>
            </w:tcMar>
          </w:tcPr>
          <w:p w14:paraId="2A2DCF47" w14:textId="38C88FAD" w:rsidR="00AD3606" w:rsidRPr="000F7289" w:rsidRDefault="0011568F" w:rsidP="190E3039">
            <w:pPr>
              <w:pStyle w:val="Subtitle"/>
              <w:framePr w:hSpace="0" w:wrap="auto" w:xAlign="left" w:yAlign="inline"/>
              <w:rPr>
                <w:caps/>
              </w:rPr>
            </w:pPr>
            <w:bookmarkStart w:id="9" w:name="_Hlk187860421"/>
            <w:bookmarkStart w:id="10" w:name="dtitle1"/>
            <w:bookmarkEnd w:id="8"/>
            <w:r w:rsidRPr="6E6B855F">
              <w:rPr>
                <w:caps/>
              </w:rPr>
              <w:t>Renewal of the mandate of the external AUDITOR – THE</w:t>
            </w:r>
            <w:r w:rsidRPr="6E6B855F">
              <w:rPr>
                <w:caps/>
                <w:color w:val="000000" w:themeColor="text1"/>
              </w:rPr>
              <w:t xml:space="preserve"> UNITED KINGDOM’S National Audit Office </w:t>
            </w:r>
            <w:r w:rsidRPr="6E6B855F">
              <w:rPr>
                <w:caps/>
              </w:rPr>
              <w:t>(NAO) – FOR A PERIOD OF TWO YEARS</w:t>
            </w:r>
            <w:bookmarkEnd w:id="9"/>
          </w:p>
        </w:tc>
      </w:tr>
      <w:tr w:rsidR="00AD3606" w:rsidRPr="00C0458D" w14:paraId="72B25568" w14:textId="77777777" w:rsidTr="5D9D756D">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67D070EA" w14:textId="5EBF7F91" w:rsidR="00AD3606" w:rsidRPr="00C0458D" w:rsidRDefault="0BE45064" w:rsidP="00D56156">
            <w:pPr>
              <w:jc w:val="both"/>
            </w:pPr>
            <w:r>
              <w:t>The Secretary-General has proposed the renewal of the mandate of the United Kingdom’s National Audit Office (NAO) as the external auditor of the ITU for an additional two years, covering the financial statements for 2026 and 2027. This recommendation follows a thorough appraisal in 2020, which identified the NAO as offering the best value for money based on technical competency and audit service costs.</w:t>
            </w:r>
            <w:r w:rsidR="442675D0">
              <w:t xml:space="preserve"> </w:t>
            </w:r>
            <w:r w:rsidR="0011568F">
              <w:t xml:space="preserve">The </w:t>
            </w:r>
            <w:r w:rsidR="005B5C22">
              <w:t>current</w:t>
            </w:r>
            <w:r w:rsidR="586D8498">
              <w:t xml:space="preserve"> mandate of the External Auditor (NAO) relating to the auditing of the 2022, 2023, 2024 and 2025 financial statements will end on 30 June 2026. Pursuant to paragraph 2 of Article 28 of the Financial </w:t>
            </w:r>
            <w:r w:rsidR="586D8498" w:rsidRPr="007E6AB0">
              <w:rPr>
                <w:szCs w:val="24"/>
              </w:rPr>
              <w:t>Regulations</w:t>
            </w:r>
            <w:r w:rsidR="442675D0" w:rsidRPr="007E6AB0">
              <w:rPr>
                <w:szCs w:val="24"/>
              </w:rPr>
              <w:t xml:space="preserve"> and </w:t>
            </w:r>
            <w:r w:rsidR="442675D0" w:rsidRPr="00D56156">
              <w:rPr>
                <w:rFonts w:ascii="Segoe UI" w:hAnsi="Segoe UI" w:cs="Segoe UI"/>
                <w:color w:val="707070"/>
                <w:szCs w:val="24"/>
              </w:rPr>
              <w:t>as</w:t>
            </w:r>
            <w:r w:rsidR="442675D0" w:rsidRPr="007E6AB0">
              <w:rPr>
                <w:szCs w:val="24"/>
              </w:rPr>
              <w:t xml:space="preserve"> per the standard practice followed </w:t>
            </w:r>
            <w:r w:rsidR="00D72689">
              <w:rPr>
                <w:szCs w:val="24"/>
              </w:rPr>
              <w:t xml:space="preserve">with the previous auditor </w:t>
            </w:r>
            <w:r w:rsidR="586D8498" w:rsidRPr="007E6AB0">
              <w:rPr>
                <w:szCs w:val="24"/>
              </w:rPr>
              <w:t xml:space="preserve"> it is recommended that the mandate of the External Auditor (NAO) be renewed for a period of two years for the auditing of the 2026 and 2027 financial statements</w:t>
            </w:r>
            <w:r w:rsidR="586D8498">
              <w:t>.</w:t>
            </w:r>
          </w:p>
          <w:p w14:paraId="4288AA6F"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EDDC285" w14:textId="4BBDA1F1" w:rsidR="0011568F" w:rsidRPr="00BF0AB4" w:rsidRDefault="0011568F" w:rsidP="0011568F">
            <w:pPr>
              <w:spacing w:after="120"/>
              <w:rPr>
                <w:lang w:val="en-US"/>
              </w:rPr>
            </w:pPr>
            <w:r w:rsidRPr="00BF0AB4">
              <w:rPr>
                <w:lang w:val="en-US"/>
              </w:rPr>
              <w:t>1</w:t>
            </w:r>
            <w:r w:rsidRPr="00BF0AB4">
              <w:rPr>
                <w:lang w:val="en-US"/>
              </w:rPr>
              <w:tab/>
            </w:r>
            <w:r w:rsidR="00DC049E">
              <w:rPr>
                <w:lang w:val="en-US"/>
              </w:rPr>
              <w:t xml:space="preserve">to </w:t>
            </w:r>
            <w:r w:rsidRPr="00BF0AB4">
              <w:rPr>
                <w:b/>
                <w:bCs/>
                <w:lang w:val="en-US"/>
              </w:rPr>
              <w:t>take note</w:t>
            </w:r>
            <w:r w:rsidRPr="00BF0AB4">
              <w:rPr>
                <w:lang w:val="en-US"/>
              </w:rPr>
              <w:t xml:space="preserve"> of this document</w:t>
            </w:r>
            <w:r w:rsidR="00DC049E">
              <w:rPr>
                <w:lang w:val="en-US"/>
              </w:rPr>
              <w:t xml:space="preserve">, and </w:t>
            </w:r>
          </w:p>
          <w:p w14:paraId="0FFF2D9B" w14:textId="44FA7EE1" w:rsidR="00722551" w:rsidRDefault="005C6A42" w:rsidP="00722551">
            <w:pPr>
              <w:rPr>
                <w:lang w:val="en-US"/>
              </w:rPr>
            </w:pPr>
            <w:r>
              <w:rPr>
                <w:lang w:val="en-US"/>
              </w:rPr>
              <w:t>2</w:t>
            </w:r>
            <w:r>
              <w:rPr>
                <w:lang w:val="en-US"/>
              </w:rPr>
              <w:tab/>
            </w:r>
            <w:r w:rsidR="00DC049E">
              <w:rPr>
                <w:lang w:val="en-US"/>
              </w:rPr>
              <w:t xml:space="preserve">to </w:t>
            </w:r>
            <w:r>
              <w:rPr>
                <w:b/>
                <w:bCs/>
                <w:lang w:val="en-US"/>
              </w:rPr>
              <w:t xml:space="preserve">adopt </w:t>
            </w:r>
            <w:r w:rsidRPr="00BF0AB4">
              <w:rPr>
                <w:lang w:val="en-US"/>
              </w:rPr>
              <w:t>the draft decision in Annex</w:t>
            </w:r>
            <w:r>
              <w:rPr>
                <w:lang w:val="en-US"/>
              </w:rPr>
              <w:t>.</w:t>
            </w:r>
          </w:p>
          <w:p w14:paraId="477B3DFC" w14:textId="77777777" w:rsidR="005746C3" w:rsidRDefault="005746C3" w:rsidP="005746C3">
            <w:pPr>
              <w:spacing w:before="160"/>
              <w:rPr>
                <w:b/>
                <w:bCs/>
                <w:sz w:val="26"/>
                <w:szCs w:val="26"/>
              </w:rPr>
            </w:pPr>
            <w:r>
              <w:rPr>
                <w:b/>
                <w:bCs/>
                <w:sz w:val="26"/>
                <w:szCs w:val="26"/>
              </w:rPr>
              <w:t>Relevant link(s) with the Strategic Plan</w:t>
            </w:r>
          </w:p>
          <w:p w14:paraId="13D23C18" w14:textId="738DCA65" w:rsidR="00583034" w:rsidRPr="00D56156" w:rsidRDefault="005746C3" w:rsidP="004955F4">
            <w:r>
              <w:t>n/a</w:t>
            </w:r>
          </w:p>
          <w:p w14:paraId="1AC6B971" w14:textId="77777777" w:rsidR="00B70631" w:rsidRDefault="00B70631" w:rsidP="00B70631">
            <w:pPr>
              <w:spacing w:before="160"/>
              <w:rPr>
                <w:b/>
                <w:bCs/>
                <w:sz w:val="26"/>
                <w:szCs w:val="26"/>
              </w:rPr>
            </w:pPr>
            <w:r>
              <w:rPr>
                <w:b/>
                <w:bCs/>
                <w:sz w:val="26"/>
                <w:szCs w:val="26"/>
              </w:rPr>
              <w:t>Financial implications</w:t>
            </w:r>
          </w:p>
          <w:p w14:paraId="54C4EC35" w14:textId="58E25FE5" w:rsidR="00B70631" w:rsidRPr="00453079" w:rsidRDefault="00B70631" w:rsidP="00B70631">
            <w:pPr>
              <w:spacing w:before="160"/>
              <w:rPr>
                <w:szCs w:val="24"/>
              </w:rPr>
            </w:pPr>
            <w:r w:rsidRPr="00027E8F">
              <w:rPr>
                <w:szCs w:val="24"/>
              </w:rPr>
              <w:t>Within the allocated budget 202</w:t>
            </w:r>
            <w:r>
              <w:rPr>
                <w:szCs w:val="24"/>
              </w:rPr>
              <w:t>6</w:t>
            </w:r>
            <w:r w:rsidRPr="00027E8F">
              <w:rPr>
                <w:szCs w:val="24"/>
              </w:rPr>
              <w:t>-202</w:t>
            </w:r>
            <w:r>
              <w:rPr>
                <w:szCs w:val="24"/>
              </w:rPr>
              <w:t>7</w:t>
            </w:r>
            <w:r w:rsidR="00DC049E">
              <w:rPr>
                <w:szCs w:val="24"/>
              </w:rPr>
              <w:t>.</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0F2E3D16" w:rsidR="00AD3606" w:rsidRPr="00D618CB" w:rsidRDefault="005C6A42" w:rsidP="00A07996">
            <w:pPr>
              <w:spacing w:after="160"/>
              <w:rPr>
                <w:i/>
                <w:iCs/>
                <w:sz w:val="22"/>
                <w:szCs w:val="22"/>
              </w:rPr>
            </w:pPr>
            <w:hyperlink r:id="rId11" w:history="1">
              <w:r w:rsidRPr="00D618CB">
                <w:rPr>
                  <w:rStyle w:val="Hyperlink"/>
                  <w:i/>
                  <w:iCs/>
                  <w:sz w:val="22"/>
                  <w:szCs w:val="22"/>
                </w:rPr>
                <w:t>CWG-FHR website</w:t>
              </w:r>
            </w:hyperlink>
            <w:r w:rsidRPr="00D618CB">
              <w:rPr>
                <w:i/>
                <w:iCs/>
                <w:sz w:val="22"/>
                <w:szCs w:val="22"/>
              </w:rPr>
              <w:t xml:space="preserve">; Document </w:t>
            </w:r>
            <w:hyperlink r:id="rId12" w:history="1">
              <w:r w:rsidRPr="00D618CB">
                <w:rPr>
                  <w:rStyle w:val="Hyperlink"/>
                  <w:i/>
                  <w:iCs/>
                  <w:sz w:val="22"/>
                  <w:szCs w:val="22"/>
                </w:rPr>
                <w:t>C20/83 – Decision 621</w:t>
              </w:r>
            </w:hyperlink>
            <w:r w:rsidR="00346896" w:rsidRPr="00D618CB">
              <w:rPr>
                <w:i/>
                <w:iCs/>
                <w:sz w:val="22"/>
                <w:szCs w:val="22"/>
              </w:rPr>
              <w:t>;</w:t>
            </w:r>
            <w:r w:rsidRPr="00D618CB">
              <w:rPr>
                <w:sz w:val="22"/>
                <w:szCs w:val="22"/>
              </w:rPr>
              <w:t xml:space="preserve"> </w:t>
            </w:r>
            <w:hyperlink r:id="rId13" w:history="1">
              <w:r w:rsidRPr="00D618CB">
                <w:rPr>
                  <w:rStyle w:val="Hyperlink"/>
                  <w:rFonts w:cs="Calibri"/>
                  <w:i/>
                  <w:iCs/>
                  <w:sz w:val="22"/>
                  <w:szCs w:val="22"/>
                </w:rPr>
                <w:t>Resolution 94 (Rev. Bucharest, 2022)</w:t>
              </w:r>
            </w:hyperlink>
            <w:r w:rsidR="00346896" w:rsidRPr="00D618CB">
              <w:rPr>
                <w:i/>
                <w:iCs/>
                <w:sz w:val="22"/>
                <w:szCs w:val="22"/>
              </w:rPr>
              <w:t>;</w:t>
            </w:r>
            <w:r w:rsidRPr="00D618CB">
              <w:rPr>
                <w:rStyle w:val="Hyperlink"/>
                <w:rFonts w:cs="Calibri"/>
                <w:i/>
                <w:iCs/>
                <w:sz w:val="22"/>
                <w:szCs w:val="22"/>
                <w:u w:val="none"/>
              </w:rPr>
              <w:t xml:space="preserve"> </w:t>
            </w:r>
            <w:r w:rsidR="009836D5" w:rsidRPr="00D618CB">
              <w:rPr>
                <w:rStyle w:val="Hyperlink"/>
                <w:rFonts w:cs="Calibri"/>
                <w:i/>
                <w:iCs/>
                <w:sz w:val="22"/>
                <w:szCs w:val="22"/>
                <w:u w:val="none"/>
              </w:rPr>
              <w:br/>
            </w:r>
            <w:r w:rsidRPr="00D618CB">
              <w:rPr>
                <w:i/>
                <w:iCs/>
                <w:sz w:val="22"/>
                <w:szCs w:val="22"/>
              </w:rPr>
              <w:t xml:space="preserve">Article 28 of the </w:t>
            </w:r>
            <w:hyperlink r:id="rId14" w:history="1">
              <w:r w:rsidRPr="00D618CB">
                <w:rPr>
                  <w:rStyle w:val="Hyperlink"/>
                  <w:i/>
                  <w:iCs/>
                  <w:sz w:val="22"/>
                  <w:szCs w:val="22"/>
                </w:rPr>
                <w:t>Financial Regulations</w:t>
              </w:r>
            </w:hyperlink>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1"/>
    <w:p w14:paraId="1BAFB6BE" w14:textId="77777777" w:rsidR="00047613" w:rsidRPr="00CB56B7" w:rsidRDefault="00047613" w:rsidP="00047613">
      <w:pPr>
        <w:pStyle w:val="Heading1"/>
      </w:pPr>
      <w:r w:rsidRPr="00CB56B7">
        <w:lastRenderedPageBreak/>
        <w:t>I</w:t>
      </w:r>
      <w:r w:rsidRPr="00CB56B7">
        <w:tab/>
        <w:t>Background</w:t>
      </w:r>
    </w:p>
    <w:p w14:paraId="3F0248DA" w14:textId="41BFFD97" w:rsidR="00047613" w:rsidRPr="00CB56B7" w:rsidRDefault="3EA1DE4E" w:rsidP="00047613">
      <w:pPr>
        <w:jc w:val="both"/>
      </w:pPr>
      <w:r>
        <w:t xml:space="preserve">In 2020, the Appraisal Committee </w:t>
      </w:r>
      <w:r w:rsidR="5804BB53">
        <w:t xml:space="preserve">comprised of representatives of the ITU regions </w:t>
      </w:r>
      <w:r>
        <w:t>reviewed and assessed the technical and financial components and considered the strengths and weaknesses of each bid received at that period. In making its recommendation to the Council, the Appraisal Committee had to weigh up several competing factors including technical competency and cost of the audit service. The Committee’s recommendation aimed at identifying the bid that offered the best value for money.</w:t>
      </w:r>
    </w:p>
    <w:p w14:paraId="55B1A504" w14:textId="77777777" w:rsidR="00047613" w:rsidRPr="00CB56B7" w:rsidRDefault="00047613" w:rsidP="00047613">
      <w:pPr>
        <w:jc w:val="both"/>
      </w:pPr>
      <w:r w:rsidRPr="00CB56B7">
        <w:t>Based on the above process and having considered all criteria, the Appraisal Committee agreed to recommend to the ITU Council that the United Kingdom’s National Audit Office (NAO) be appointed as the External Auditor of the ITU for the financial periods 2022/23 and</w:t>
      </w:r>
      <w:r>
        <w:t> </w:t>
      </w:r>
      <w:r w:rsidRPr="00CB56B7">
        <w:t>2024/25.</w:t>
      </w:r>
    </w:p>
    <w:p w14:paraId="1B1471C8" w14:textId="77777777" w:rsidR="00047613" w:rsidRPr="00CB56B7" w:rsidRDefault="3EA1DE4E" w:rsidP="00047613">
      <w:pPr>
        <w:jc w:val="both"/>
      </w:pPr>
      <w:r>
        <w:t>The mandate of the External Auditor (NAO) relating to the auditing of the 2022, 2023, 2024 and 2025 financial statements will end on 30 June 2026.</w:t>
      </w:r>
    </w:p>
    <w:p w14:paraId="2388E1E1" w14:textId="0EC1488E" w:rsidR="536F2360" w:rsidRDefault="536F2360" w:rsidP="5D9D756D">
      <w:pPr>
        <w:jc w:val="both"/>
      </w:pPr>
      <w:r>
        <w:t>The renewal of the mandate of the NAO as the external auditor of the ITU for an additional two years is proposed, covering the financial statements for 2026 and 2027.</w:t>
      </w:r>
    </w:p>
    <w:p w14:paraId="656FC674" w14:textId="0F366ED5" w:rsidR="536F2360" w:rsidRDefault="536F2360" w:rsidP="5D9D756D">
      <w:pPr>
        <w:jc w:val="both"/>
        <w:rPr>
          <w:i/>
          <w:iCs/>
        </w:rPr>
      </w:pPr>
      <w:r>
        <w:t xml:space="preserve">This </w:t>
      </w:r>
      <w:r w:rsidR="7624E588">
        <w:t xml:space="preserve">adheres to </w:t>
      </w:r>
      <w:r>
        <w:t xml:space="preserve">the standard practice followed </w:t>
      </w:r>
      <w:r w:rsidR="005E44F5">
        <w:t>with</w:t>
      </w:r>
      <w:r>
        <w:t xml:space="preserve"> the </w:t>
      </w:r>
      <w:r w:rsidR="2F794CAE">
        <w:t xml:space="preserve">previous </w:t>
      </w:r>
      <w:r w:rsidR="00CD26BF">
        <w:t>auditor</w:t>
      </w:r>
      <w:r w:rsidR="730D2010">
        <w:t xml:space="preserve">, as per the </w:t>
      </w:r>
      <w:r w:rsidR="0D429CAB">
        <w:t xml:space="preserve">ITU Financial Regulations Article 28 para 2: </w:t>
      </w:r>
      <w:r w:rsidR="0D429CAB" w:rsidRPr="002B5E40">
        <w:t xml:space="preserve">"The term may be renewed without a competitive selection process by the decision of </w:t>
      </w:r>
      <w:r w:rsidR="002C6D08">
        <w:t xml:space="preserve">the </w:t>
      </w:r>
      <w:r w:rsidR="0D429CAB" w:rsidRPr="002B5E40">
        <w:t>Council for a period of two years and a further period of two years."</w:t>
      </w:r>
    </w:p>
    <w:p w14:paraId="7B77959E" w14:textId="491EF045" w:rsidR="00550405" w:rsidRPr="00CB56B7" w:rsidRDefault="00550405" w:rsidP="00550405">
      <w:pPr>
        <w:pStyle w:val="Heading1"/>
        <w:rPr>
          <w:rFonts w:eastAsiaTheme="minorEastAsia"/>
          <w:lang w:val="en-US" w:eastAsia="zh-CN"/>
        </w:rPr>
      </w:pPr>
      <w:r w:rsidRPr="00CB56B7">
        <w:rPr>
          <w:rFonts w:eastAsiaTheme="minorEastAsia"/>
          <w:lang w:val="en-US" w:eastAsia="zh-CN"/>
        </w:rPr>
        <w:t>II</w:t>
      </w:r>
      <w:r w:rsidRPr="00CB56B7">
        <w:rPr>
          <w:rFonts w:eastAsiaTheme="minorEastAsia"/>
          <w:lang w:val="en-US" w:eastAsia="zh-CN"/>
        </w:rPr>
        <w:tab/>
      </w:r>
      <w:r w:rsidR="00EB74E2">
        <w:rPr>
          <w:rFonts w:eastAsiaTheme="minorEastAsia"/>
          <w:lang w:val="en-US" w:eastAsia="zh-CN"/>
        </w:rPr>
        <w:t>Information requested by CWG-FHR – February 2025</w:t>
      </w:r>
    </w:p>
    <w:p w14:paraId="2B958807" w14:textId="28A8FA45" w:rsidR="009F0798" w:rsidRPr="00D56156" w:rsidRDefault="009F0798" w:rsidP="009F0798">
      <w:pPr>
        <w:jc w:val="both"/>
        <w:rPr>
          <w:rFonts w:asciiTheme="minorHAnsi" w:hAnsiTheme="minorHAnsi" w:cstheme="minorHAnsi"/>
          <w:lang w:eastAsia="en-GB"/>
        </w:rPr>
      </w:pPr>
      <w:r w:rsidRPr="00D56156">
        <w:rPr>
          <w:rFonts w:asciiTheme="minorHAnsi" w:hAnsiTheme="minorHAnsi" w:cstheme="minorHAnsi"/>
          <w:lang w:eastAsia="en-GB"/>
        </w:rPr>
        <w:t xml:space="preserve">Included below </w:t>
      </w:r>
      <w:r w:rsidR="00AD27AC">
        <w:rPr>
          <w:rFonts w:asciiTheme="minorHAnsi" w:hAnsiTheme="minorHAnsi" w:cstheme="minorHAnsi"/>
          <w:lang w:eastAsia="en-GB"/>
        </w:rPr>
        <w:t xml:space="preserve">are the </w:t>
      </w:r>
      <w:r w:rsidR="00EB74E2">
        <w:rPr>
          <w:rFonts w:asciiTheme="minorHAnsi" w:hAnsiTheme="minorHAnsi" w:cstheme="minorHAnsi"/>
          <w:lang w:eastAsia="en-GB"/>
        </w:rPr>
        <w:t xml:space="preserve">responses to the </w:t>
      </w:r>
      <w:r w:rsidRPr="00D56156">
        <w:rPr>
          <w:rFonts w:asciiTheme="minorHAnsi" w:hAnsiTheme="minorHAnsi" w:cstheme="minorHAnsi"/>
          <w:lang w:eastAsia="en-GB"/>
        </w:rPr>
        <w:t xml:space="preserve">questions </w:t>
      </w:r>
      <w:r w:rsidR="00EB74E2">
        <w:rPr>
          <w:rFonts w:asciiTheme="minorHAnsi" w:hAnsiTheme="minorHAnsi" w:cstheme="minorHAnsi"/>
          <w:lang w:eastAsia="en-GB"/>
        </w:rPr>
        <w:t>raised</w:t>
      </w:r>
      <w:r w:rsidR="003D0817">
        <w:rPr>
          <w:rFonts w:asciiTheme="minorHAnsi" w:hAnsiTheme="minorHAnsi" w:cstheme="minorHAnsi"/>
          <w:lang w:eastAsia="en-GB"/>
        </w:rPr>
        <w:t xml:space="preserve"> </w:t>
      </w:r>
      <w:r w:rsidRPr="00D56156">
        <w:rPr>
          <w:rFonts w:asciiTheme="minorHAnsi" w:hAnsiTheme="minorHAnsi" w:cstheme="minorHAnsi"/>
          <w:lang w:eastAsia="en-GB"/>
        </w:rPr>
        <w:t>during the above-mentioned session.</w:t>
      </w:r>
    </w:p>
    <w:p w14:paraId="11A95EFB" w14:textId="77777777" w:rsidR="009F0798" w:rsidRPr="00D56156" w:rsidRDefault="009F0798" w:rsidP="002B5E40">
      <w:pPr>
        <w:pStyle w:val="Headingb"/>
        <w:rPr>
          <w:lang w:eastAsia="en-GB"/>
        </w:rPr>
      </w:pPr>
      <w:r w:rsidRPr="00D56156">
        <w:rPr>
          <w:lang w:eastAsia="en-GB"/>
        </w:rPr>
        <w:t>Are there financial advantages in renewing the mandate without launching a new tender process?</w:t>
      </w:r>
    </w:p>
    <w:p w14:paraId="29AD7563" w14:textId="77777777" w:rsidR="009F0798" w:rsidRPr="00D56156" w:rsidRDefault="009F0798" w:rsidP="002B5E40">
      <w:pPr>
        <w:rPr>
          <w:lang w:eastAsia="en-GB"/>
        </w:rPr>
      </w:pPr>
      <w:r w:rsidRPr="00D56156">
        <w:rPr>
          <w:lang w:eastAsia="en-GB"/>
        </w:rPr>
        <w:t>In addition to internal observations:</w:t>
      </w:r>
    </w:p>
    <w:p w14:paraId="7E7D2543" w14:textId="50475578" w:rsidR="009F0798" w:rsidRPr="00D56156" w:rsidRDefault="002B5E40" w:rsidP="002B5E40">
      <w:pPr>
        <w:pStyle w:val="enumlev1"/>
        <w:jc w:val="both"/>
        <w:rPr>
          <w:lang w:eastAsia="en-GB"/>
        </w:rPr>
      </w:pPr>
      <w:r>
        <w:rPr>
          <w:lang w:eastAsia="en-GB"/>
        </w:rPr>
        <w:t>–</w:t>
      </w:r>
      <w:r>
        <w:rPr>
          <w:lang w:eastAsia="en-GB"/>
        </w:rPr>
        <w:tab/>
      </w:r>
      <w:r w:rsidR="009F0798" w:rsidRPr="00D56156">
        <w:rPr>
          <w:lang w:eastAsia="en-GB"/>
        </w:rPr>
        <w:t>UN-wide practice shows that when External Auditor mandates are extended within their allowable period, organizations avoid direct costs associated with procurement (e.g. advertising, tender evaluation panels, onboarding).</w:t>
      </w:r>
    </w:p>
    <w:p w14:paraId="220B746D" w14:textId="20221B6F" w:rsidR="009F0798" w:rsidRPr="00D56156" w:rsidRDefault="002B5E40" w:rsidP="002B5E40">
      <w:pPr>
        <w:pStyle w:val="enumlev1"/>
        <w:jc w:val="both"/>
        <w:rPr>
          <w:lang w:eastAsia="en-GB"/>
        </w:rPr>
      </w:pPr>
      <w:r>
        <w:rPr>
          <w:lang w:eastAsia="en-GB"/>
        </w:rPr>
        <w:t>–</w:t>
      </w:r>
      <w:r>
        <w:rPr>
          <w:lang w:eastAsia="en-GB"/>
        </w:rPr>
        <w:tab/>
      </w:r>
      <w:r w:rsidR="009F0798" w:rsidRPr="00D56156">
        <w:rPr>
          <w:lang w:eastAsia="en-GB"/>
        </w:rPr>
        <w:t>For example, UNESCO and WIPO have noted in governing body reports that auditor transitions cost range between USD 50</w:t>
      </w:r>
      <w:r w:rsidR="002C6D08">
        <w:rPr>
          <w:lang w:eastAsia="en-GB"/>
        </w:rPr>
        <w:t> </w:t>
      </w:r>
      <w:r w:rsidR="009F0798" w:rsidRPr="00D56156">
        <w:rPr>
          <w:lang w:eastAsia="en-GB"/>
        </w:rPr>
        <w:t>000 to USD 150</w:t>
      </w:r>
      <w:r w:rsidR="002C6D08">
        <w:rPr>
          <w:lang w:eastAsia="en-GB"/>
        </w:rPr>
        <w:t> </w:t>
      </w:r>
      <w:r w:rsidR="009F0798" w:rsidRPr="00D56156">
        <w:rPr>
          <w:lang w:eastAsia="en-GB"/>
        </w:rPr>
        <w:t>000 in indirect staff time and knowledge transfer alone.</w:t>
      </w:r>
    </w:p>
    <w:p w14:paraId="2C7E4175" w14:textId="67CF5058" w:rsidR="009F0798" w:rsidRPr="00D56156" w:rsidRDefault="002B5E40" w:rsidP="002B5E40">
      <w:pPr>
        <w:pStyle w:val="enumlev1"/>
        <w:jc w:val="both"/>
        <w:rPr>
          <w:lang w:eastAsia="en-GB"/>
        </w:rPr>
      </w:pPr>
      <w:r>
        <w:rPr>
          <w:lang w:eastAsia="en-GB"/>
        </w:rPr>
        <w:t>–</w:t>
      </w:r>
      <w:r>
        <w:rPr>
          <w:lang w:eastAsia="en-GB"/>
        </w:rPr>
        <w:tab/>
      </w:r>
      <w:r w:rsidR="009F0798" w:rsidRPr="00D56156">
        <w:rPr>
          <w:lang w:eastAsia="en-GB"/>
        </w:rPr>
        <w:t>Continuity reduces re-audit risk: a new auditor often has to re-perform procedures to satisfy independence and completeness standards, which can duplicate prior work and extend timelines.</w:t>
      </w:r>
    </w:p>
    <w:p w14:paraId="02A1E067" w14:textId="77777777" w:rsidR="009F0798" w:rsidRPr="00D56156" w:rsidRDefault="009F0798" w:rsidP="002B5E40">
      <w:pPr>
        <w:pStyle w:val="Headingb"/>
        <w:rPr>
          <w:lang w:eastAsia="en-GB"/>
        </w:rPr>
      </w:pPr>
      <w:r w:rsidRPr="00D56156">
        <w:rPr>
          <w:lang w:eastAsia="en-GB"/>
        </w:rPr>
        <w:t>Does this approach minimize the risk of a gap in the audit function in the future?</w:t>
      </w:r>
    </w:p>
    <w:p w14:paraId="172A7A0E" w14:textId="77777777" w:rsidR="009F0798" w:rsidRPr="00D56156" w:rsidRDefault="009F0798" w:rsidP="002B5E40">
      <w:pPr>
        <w:rPr>
          <w:lang w:eastAsia="en-GB"/>
        </w:rPr>
      </w:pPr>
      <w:r w:rsidRPr="00D56156">
        <w:rPr>
          <w:lang w:eastAsia="en-GB"/>
        </w:rPr>
        <w:t>Yes, and it is also aligned with international audit continuity practices:</w:t>
      </w:r>
    </w:p>
    <w:p w14:paraId="53992C20" w14:textId="75CA2852" w:rsidR="009F0798" w:rsidRPr="00D56156" w:rsidRDefault="002B5E40" w:rsidP="002B5E40">
      <w:pPr>
        <w:pStyle w:val="enumlev1"/>
        <w:jc w:val="both"/>
        <w:rPr>
          <w:lang w:eastAsia="en-GB"/>
        </w:rPr>
      </w:pPr>
      <w:r>
        <w:rPr>
          <w:lang w:eastAsia="en-GB"/>
        </w:rPr>
        <w:t>–</w:t>
      </w:r>
      <w:r>
        <w:rPr>
          <w:lang w:eastAsia="en-GB"/>
        </w:rPr>
        <w:tab/>
      </w:r>
      <w:r w:rsidR="009F0798" w:rsidRPr="00D56156">
        <w:rPr>
          <w:lang w:eastAsia="en-GB"/>
        </w:rPr>
        <w:t>In the UN system, a 3</w:t>
      </w:r>
      <w:r>
        <w:rPr>
          <w:lang w:eastAsia="en-GB"/>
        </w:rPr>
        <w:t>-</w:t>
      </w:r>
      <w:r w:rsidR="009F0798" w:rsidRPr="00D56156">
        <w:rPr>
          <w:lang w:eastAsia="en-GB"/>
        </w:rPr>
        <w:t>6</w:t>
      </w:r>
      <w:r>
        <w:rPr>
          <w:lang w:eastAsia="en-GB"/>
        </w:rPr>
        <w:t>-</w:t>
      </w:r>
      <w:r w:rsidR="009F0798" w:rsidRPr="00D56156">
        <w:rPr>
          <w:lang w:eastAsia="en-GB"/>
        </w:rPr>
        <w:t>month onboarding period is typical for new external auditors.</w:t>
      </w:r>
    </w:p>
    <w:p w14:paraId="363EAB95" w14:textId="3DE21594" w:rsidR="009F0798" w:rsidRPr="00D56156" w:rsidRDefault="002B5E40" w:rsidP="002B5E40">
      <w:pPr>
        <w:pStyle w:val="enumlev1"/>
        <w:jc w:val="both"/>
        <w:rPr>
          <w:lang w:eastAsia="en-GB"/>
        </w:rPr>
      </w:pPr>
      <w:r>
        <w:rPr>
          <w:lang w:eastAsia="en-GB"/>
        </w:rPr>
        <w:t>–</w:t>
      </w:r>
      <w:r>
        <w:rPr>
          <w:lang w:eastAsia="en-GB"/>
        </w:rPr>
        <w:tab/>
      </w:r>
      <w:r w:rsidR="009F0798" w:rsidRPr="00D56156">
        <w:rPr>
          <w:lang w:eastAsia="en-GB"/>
        </w:rPr>
        <w:t xml:space="preserve">A renewal avoids that gap in institutional knowledge, particularly valuable during ITU’s ongoing financial transformation and </w:t>
      </w:r>
      <w:proofErr w:type="spellStart"/>
      <w:r w:rsidR="009F0798" w:rsidRPr="00D56156">
        <w:rPr>
          <w:lang w:eastAsia="en-GB"/>
        </w:rPr>
        <w:t>IPSAS</w:t>
      </w:r>
      <w:proofErr w:type="spellEnd"/>
      <w:r w:rsidR="009F0798" w:rsidRPr="00D56156">
        <w:rPr>
          <w:lang w:eastAsia="en-GB"/>
        </w:rPr>
        <w:t xml:space="preserve"> reforms.</w:t>
      </w:r>
    </w:p>
    <w:p w14:paraId="1D493272" w14:textId="77777777" w:rsidR="009F0798" w:rsidRPr="00D56156" w:rsidRDefault="009F0798" w:rsidP="002B5E40">
      <w:pPr>
        <w:pStyle w:val="Headingb"/>
        <w:rPr>
          <w:lang w:eastAsia="en-GB"/>
        </w:rPr>
      </w:pPr>
      <w:r w:rsidRPr="00D56156">
        <w:rPr>
          <w:lang w:eastAsia="en-GB"/>
        </w:rPr>
        <w:lastRenderedPageBreak/>
        <w:t>How do continuity and diversity fit into audit best practices?</w:t>
      </w:r>
    </w:p>
    <w:p w14:paraId="1C21058D" w14:textId="77777777" w:rsidR="009F0798" w:rsidRPr="00D56156" w:rsidRDefault="009F0798" w:rsidP="002B5E40">
      <w:pPr>
        <w:rPr>
          <w:lang w:eastAsia="en-GB"/>
        </w:rPr>
      </w:pPr>
      <w:r w:rsidRPr="00D56156">
        <w:rPr>
          <w:lang w:eastAsia="en-GB"/>
        </w:rPr>
        <w:t>This is a balance recognized globally:</w:t>
      </w:r>
    </w:p>
    <w:p w14:paraId="39DEA64C" w14:textId="48F2806D" w:rsidR="009F0798" w:rsidRPr="00D56156" w:rsidRDefault="009B1A65" w:rsidP="009B1A65">
      <w:pPr>
        <w:pStyle w:val="enumlev1"/>
        <w:jc w:val="both"/>
        <w:rPr>
          <w:lang w:eastAsia="en-GB"/>
        </w:rPr>
      </w:pPr>
      <w:r>
        <w:rPr>
          <w:lang w:eastAsia="en-GB"/>
        </w:rPr>
        <w:t>–</w:t>
      </w:r>
      <w:r>
        <w:rPr>
          <w:lang w:eastAsia="en-GB"/>
        </w:rPr>
        <w:tab/>
      </w:r>
      <w:r w:rsidR="009F0798" w:rsidRPr="00D56156">
        <w:rPr>
          <w:lang w:eastAsia="en-GB"/>
        </w:rPr>
        <w:t>Continuity ensures consistency of audit approach and institutional memory</w:t>
      </w:r>
      <w:r>
        <w:rPr>
          <w:lang w:eastAsia="en-GB"/>
        </w:rPr>
        <w:t xml:space="preserve"> </w:t>
      </w:r>
      <w:r w:rsidR="009F0798" w:rsidRPr="00D56156">
        <w:rPr>
          <w:lang w:eastAsia="en-GB"/>
        </w:rPr>
        <w:t>—especially important during periods of significant financial transformation (as is the case with ITU).</w:t>
      </w:r>
    </w:p>
    <w:p w14:paraId="2D9E94AB" w14:textId="1A35B941" w:rsidR="009F0798" w:rsidRPr="00D56156" w:rsidRDefault="009B1A65" w:rsidP="009B1A65">
      <w:pPr>
        <w:pStyle w:val="enumlev1"/>
        <w:jc w:val="both"/>
        <w:rPr>
          <w:lang w:eastAsia="en-GB"/>
        </w:rPr>
      </w:pPr>
      <w:r>
        <w:rPr>
          <w:lang w:eastAsia="en-GB"/>
        </w:rPr>
        <w:t>–</w:t>
      </w:r>
      <w:r>
        <w:rPr>
          <w:lang w:eastAsia="en-GB"/>
        </w:rPr>
        <w:tab/>
      </w:r>
      <w:r w:rsidR="009F0798" w:rsidRPr="00D56156">
        <w:rPr>
          <w:lang w:eastAsia="en-GB"/>
        </w:rPr>
        <w:t>Diversity in external auditors is achieved over time through transparent, competitive selection cycles</w:t>
      </w:r>
      <w:r>
        <w:rPr>
          <w:lang w:eastAsia="en-GB"/>
        </w:rPr>
        <w:t xml:space="preserve"> </w:t>
      </w:r>
      <w:r w:rsidR="009F0798" w:rsidRPr="00D56156">
        <w:rPr>
          <w:lang w:eastAsia="en-GB"/>
        </w:rPr>
        <w:t>—not necessarily by declining a renewal within a mandate.</w:t>
      </w:r>
    </w:p>
    <w:p w14:paraId="37BA1C8B" w14:textId="77777777" w:rsidR="009F0798" w:rsidRPr="00D56156" w:rsidRDefault="009F0798" w:rsidP="009F0798">
      <w:pPr>
        <w:jc w:val="both"/>
        <w:rPr>
          <w:rFonts w:asciiTheme="minorHAnsi" w:hAnsiTheme="minorHAnsi" w:cstheme="minorHAnsi"/>
          <w:lang w:eastAsia="en-GB"/>
        </w:rPr>
      </w:pPr>
      <w:r w:rsidRPr="00D56156">
        <w:rPr>
          <w:rFonts w:asciiTheme="minorHAnsi" w:hAnsiTheme="minorHAnsi" w:cstheme="minorHAnsi"/>
          <w:lang w:eastAsia="en-GB"/>
        </w:rPr>
        <w:t>Good practice balance:</w:t>
      </w:r>
    </w:p>
    <w:p w14:paraId="79E5D1B7" w14:textId="0F192B7E" w:rsidR="009F0798" w:rsidRPr="00D56156" w:rsidRDefault="009B1A65" w:rsidP="009B1A65">
      <w:pPr>
        <w:pStyle w:val="enumlev1"/>
        <w:jc w:val="both"/>
        <w:rPr>
          <w:lang w:eastAsia="en-GB"/>
        </w:rPr>
      </w:pPr>
      <w:r>
        <w:rPr>
          <w:lang w:eastAsia="en-GB"/>
        </w:rPr>
        <w:t>–</w:t>
      </w:r>
      <w:r>
        <w:rPr>
          <w:lang w:eastAsia="en-GB"/>
        </w:rPr>
        <w:tab/>
      </w:r>
      <w:r w:rsidR="009F0798" w:rsidRPr="00D56156">
        <w:rPr>
          <w:lang w:eastAsia="en-GB"/>
        </w:rPr>
        <w:t xml:space="preserve">WIPO </w:t>
      </w:r>
      <w:r>
        <w:rPr>
          <w:lang w:eastAsia="en-GB"/>
        </w:rPr>
        <w:t>allows</w:t>
      </w:r>
      <w:r w:rsidR="009F0798" w:rsidRPr="00D56156">
        <w:rPr>
          <w:lang w:eastAsia="en-GB"/>
        </w:rPr>
        <w:t xml:space="preserve"> an initial period (typically 6 years), ensuring both diversity and effectiveness.</w:t>
      </w:r>
    </w:p>
    <w:p w14:paraId="00AB55CA" w14:textId="30BFCB99" w:rsidR="009F0798" w:rsidRPr="00D56156" w:rsidRDefault="009B1A65" w:rsidP="009B1A65">
      <w:pPr>
        <w:pStyle w:val="enumlev1"/>
        <w:jc w:val="both"/>
        <w:rPr>
          <w:lang w:eastAsia="en-GB"/>
        </w:rPr>
      </w:pPr>
      <w:r>
        <w:rPr>
          <w:lang w:eastAsia="en-GB"/>
        </w:rPr>
        <w:t>–</w:t>
      </w:r>
      <w:r>
        <w:rPr>
          <w:lang w:eastAsia="en-GB"/>
        </w:rPr>
        <w:tab/>
      </w:r>
      <w:r w:rsidR="009F0798" w:rsidRPr="00D56156">
        <w:rPr>
          <w:lang w:eastAsia="en-GB"/>
        </w:rPr>
        <w:t>Auditor rotation is important, but it should be weighed against performance, ongoing reforms, and audit delivery consistency.</w:t>
      </w:r>
    </w:p>
    <w:p w14:paraId="7A5DCBA3" w14:textId="77658276" w:rsidR="00047613" w:rsidRPr="009B1A65" w:rsidRDefault="00047613" w:rsidP="009B1A65">
      <w:pPr>
        <w:pStyle w:val="Heading1"/>
        <w:rPr>
          <w:rFonts w:eastAsiaTheme="minorEastAsia"/>
        </w:rPr>
      </w:pPr>
      <w:r w:rsidRPr="009B1A65">
        <w:rPr>
          <w:rFonts w:eastAsiaTheme="minorEastAsia"/>
        </w:rPr>
        <w:t>I</w:t>
      </w:r>
      <w:r w:rsidR="00550405" w:rsidRPr="009B1A65">
        <w:rPr>
          <w:rFonts w:eastAsiaTheme="minorEastAsia"/>
        </w:rPr>
        <w:t>I</w:t>
      </w:r>
      <w:r w:rsidRPr="009B1A65">
        <w:rPr>
          <w:rFonts w:eastAsiaTheme="minorEastAsia"/>
        </w:rPr>
        <w:t>I</w:t>
      </w:r>
      <w:r w:rsidRPr="009B1A65">
        <w:rPr>
          <w:rFonts w:eastAsiaTheme="minorEastAsia"/>
        </w:rPr>
        <w:tab/>
        <w:t>Recommendation</w:t>
      </w:r>
    </w:p>
    <w:p w14:paraId="7B5A1F14" w14:textId="4190DE60" w:rsidR="00047613" w:rsidRPr="009B1A65" w:rsidRDefault="3EA1DE4E" w:rsidP="009B1A65">
      <w:pPr>
        <w:pStyle w:val="enumlev1"/>
        <w:jc w:val="both"/>
        <w:rPr>
          <w:rFonts w:eastAsiaTheme="minorEastAsia"/>
        </w:rPr>
      </w:pPr>
      <w:r w:rsidRPr="009B1A65">
        <w:rPr>
          <w:rFonts w:eastAsiaTheme="minorEastAsia"/>
        </w:rPr>
        <w:t>1</w:t>
      </w:r>
      <w:r w:rsidR="00047613" w:rsidRPr="009B1A65">
        <w:tab/>
      </w:r>
      <w:r w:rsidRPr="009B1A65">
        <w:rPr>
          <w:rFonts w:eastAsiaTheme="minorEastAsia"/>
        </w:rPr>
        <w:t xml:space="preserve">Based on the above </w:t>
      </w:r>
      <w:r w:rsidR="00D81984" w:rsidRPr="009B1A65">
        <w:rPr>
          <w:rFonts w:eastAsiaTheme="minorEastAsia"/>
        </w:rPr>
        <w:t xml:space="preserve">responses, benchmarking from other agencies, alignment to best practices </w:t>
      </w:r>
      <w:r w:rsidR="003609C1" w:rsidRPr="009B1A65">
        <w:rPr>
          <w:rFonts w:eastAsiaTheme="minorEastAsia"/>
        </w:rPr>
        <w:t xml:space="preserve">and </w:t>
      </w:r>
      <w:r w:rsidR="7430F9C2" w:rsidRPr="009B1A65">
        <w:rPr>
          <w:rFonts w:eastAsiaTheme="minorEastAsia"/>
        </w:rPr>
        <w:t xml:space="preserve">adhering to the </w:t>
      </w:r>
      <w:r w:rsidR="02EB516D" w:rsidRPr="009B1A65">
        <w:rPr>
          <w:rFonts w:eastAsiaTheme="minorEastAsia"/>
        </w:rPr>
        <w:t xml:space="preserve">standard practice </w:t>
      </w:r>
      <w:r w:rsidR="4175BDEF" w:rsidRPr="009B1A65">
        <w:rPr>
          <w:rFonts w:eastAsiaTheme="minorEastAsia"/>
        </w:rPr>
        <w:t xml:space="preserve">and the provisions of the ITU Financial Regulations, </w:t>
      </w:r>
      <w:r w:rsidRPr="009B1A65">
        <w:rPr>
          <w:rFonts w:eastAsiaTheme="minorEastAsia"/>
        </w:rPr>
        <w:t xml:space="preserve">and having considered all criteria, </w:t>
      </w:r>
      <w:r w:rsidRPr="009B1A65">
        <w:t>it is recommended that the mandate of the UK’s NAO be renewed for a period of two years for the auditing of the 2026 and 2027 financial statements.</w:t>
      </w:r>
    </w:p>
    <w:p w14:paraId="3C189A5D" w14:textId="4B672DA3" w:rsidR="00CB56B7" w:rsidRPr="009B1A65" w:rsidRDefault="00047613" w:rsidP="009B1A65">
      <w:pPr>
        <w:pStyle w:val="enumlev1"/>
        <w:jc w:val="both"/>
        <w:rPr>
          <w:rFonts w:eastAsiaTheme="minorEastAsia"/>
        </w:rPr>
      </w:pPr>
      <w:r w:rsidRPr="009B1A65">
        <w:rPr>
          <w:rFonts w:eastAsiaTheme="minorEastAsia"/>
        </w:rPr>
        <w:t>2</w:t>
      </w:r>
      <w:r w:rsidRPr="009B1A65">
        <w:tab/>
      </w:r>
      <w:r w:rsidRPr="009B1A65">
        <w:rPr>
          <w:rFonts w:eastAsiaTheme="minorEastAsia"/>
        </w:rPr>
        <w:t>T</w:t>
      </w:r>
      <w:r w:rsidRPr="009B1A65">
        <w:t xml:space="preserve">he Council is invited </w:t>
      </w:r>
      <w:r w:rsidRPr="009B1A65">
        <w:rPr>
          <w:b/>
          <w:bCs/>
        </w:rPr>
        <w:t>to adopt</w:t>
      </w:r>
      <w:r w:rsidRPr="009B1A65">
        <w:t xml:space="preserve"> the draft Decision contained in the Annex to this document.</w:t>
      </w:r>
    </w:p>
    <w:p w14:paraId="16E6AF90" w14:textId="1AB5EFAD" w:rsidR="00CB56B7" w:rsidRPr="00CB56B7" w:rsidRDefault="00CB56B7" w:rsidP="00A07996">
      <w:pPr>
        <w:spacing w:before="2400"/>
        <w:rPr>
          <w:rFonts w:eastAsiaTheme="minorEastAsia"/>
          <w:lang w:val="en-US" w:eastAsia="zh-CN"/>
        </w:rPr>
      </w:pPr>
      <w:r w:rsidRPr="00CB56B7">
        <w:rPr>
          <w:rFonts w:eastAsiaTheme="minorEastAsia"/>
          <w:b/>
          <w:bCs/>
          <w:lang w:val="en-US" w:eastAsia="zh-CN"/>
        </w:rPr>
        <w:t>Annex:</w:t>
      </w:r>
      <w:r w:rsidR="009836D5">
        <w:rPr>
          <w:rFonts w:eastAsiaTheme="minorEastAsia"/>
          <w:b/>
          <w:bCs/>
          <w:lang w:val="en-US" w:eastAsia="zh-CN"/>
        </w:rPr>
        <w:tab/>
      </w:r>
      <w:r w:rsidRPr="00CB56B7">
        <w:rPr>
          <w:rFonts w:eastAsiaTheme="minorEastAsia"/>
          <w:lang w:val="en-US" w:eastAsia="zh-CN"/>
        </w:rPr>
        <w:t>Draft Decision</w:t>
      </w:r>
    </w:p>
    <w:p w14:paraId="2AE9EF9F" w14:textId="77777777" w:rsidR="00CB56B7" w:rsidRPr="00CB56B7" w:rsidRDefault="00CB56B7" w:rsidP="00CB56B7">
      <w:pPr>
        <w:tabs>
          <w:tab w:val="clear" w:pos="567"/>
          <w:tab w:val="clear" w:pos="1134"/>
          <w:tab w:val="clear" w:pos="1701"/>
          <w:tab w:val="clear" w:pos="2268"/>
          <w:tab w:val="clear" w:pos="2835"/>
        </w:tabs>
        <w:overflowPunct/>
        <w:autoSpaceDE/>
        <w:autoSpaceDN/>
        <w:adjustRightInd/>
        <w:spacing w:before="0"/>
        <w:textAlignment w:val="auto"/>
        <w:rPr>
          <w:rFonts w:cstheme="minorHAnsi"/>
          <w:color w:val="000000"/>
          <w:szCs w:val="24"/>
        </w:rPr>
      </w:pPr>
      <w:r w:rsidRPr="00CB56B7">
        <w:rPr>
          <w:rFonts w:cstheme="minorHAnsi"/>
          <w:color w:val="000000"/>
          <w:szCs w:val="24"/>
        </w:rPr>
        <w:br w:type="page"/>
      </w:r>
    </w:p>
    <w:p w14:paraId="6B9A651A" w14:textId="77777777" w:rsidR="00CB56B7" w:rsidRPr="00CB56B7" w:rsidRDefault="00CB56B7" w:rsidP="00EB4DCD">
      <w:pPr>
        <w:pStyle w:val="AnnexNo"/>
      </w:pPr>
      <w:r w:rsidRPr="00CB56B7">
        <w:lastRenderedPageBreak/>
        <w:t>ANNEX</w:t>
      </w:r>
    </w:p>
    <w:p w14:paraId="1D257515" w14:textId="77777777" w:rsidR="00CB56B7" w:rsidRPr="00CB56B7" w:rsidRDefault="00CB56B7" w:rsidP="00EB4DCD">
      <w:pPr>
        <w:pStyle w:val="DecNo"/>
      </w:pPr>
      <w:r w:rsidRPr="00CB56B7">
        <w:t>DRAFT DECISION […]</w:t>
      </w:r>
    </w:p>
    <w:p w14:paraId="410969FD" w14:textId="77777777" w:rsidR="00CB56B7" w:rsidRPr="00CB56B7" w:rsidRDefault="00CB56B7" w:rsidP="00EB4DCD">
      <w:pPr>
        <w:pStyle w:val="Dectitle"/>
        <w:rPr>
          <w:rFonts w:asciiTheme="minorHAnsi" w:hAnsiTheme="minorHAnsi"/>
        </w:rPr>
      </w:pPr>
      <w:bookmarkStart w:id="12" w:name="OLE_LINK9"/>
      <w:bookmarkStart w:id="13" w:name="OLE_LINK10"/>
      <w:r w:rsidRPr="00CB56B7">
        <w:t>Renewal of the mandate of the External Auditor – the United Kingdom’s</w:t>
      </w:r>
      <w:r w:rsidRPr="00CB56B7">
        <w:rPr>
          <w:color w:val="000000"/>
          <w:szCs w:val="24"/>
        </w:rPr>
        <w:t xml:space="preserve"> National Audit Office</w:t>
      </w:r>
      <w:r w:rsidRPr="00CB56B7">
        <w:t xml:space="preserve"> (NAO) for a period of two years</w:t>
      </w:r>
    </w:p>
    <w:bookmarkEnd w:id="12"/>
    <w:bookmarkEnd w:id="13"/>
    <w:p w14:paraId="2133F411" w14:textId="77777777" w:rsidR="00CB56B7" w:rsidRPr="00CB56B7" w:rsidRDefault="00CB56B7" w:rsidP="00EB4DCD">
      <w:pPr>
        <w:pStyle w:val="Normalaftertitle"/>
      </w:pPr>
      <w:r w:rsidRPr="00CB56B7">
        <w:t>The ITU Council,</w:t>
      </w:r>
    </w:p>
    <w:p w14:paraId="6126EBE4" w14:textId="77777777" w:rsidR="00CB56B7" w:rsidRPr="00CB56B7" w:rsidRDefault="00CB56B7" w:rsidP="00EB4DCD">
      <w:pPr>
        <w:pStyle w:val="Call"/>
      </w:pPr>
      <w:r w:rsidRPr="00CB56B7">
        <w:t>having examined</w:t>
      </w:r>
    </w:p>
    <w:p w14:paraId="2D34811E" w14:textId="28799001" w:rsidR="00CB56B7" w:rsidRPr="00CB56B7" w:rsidRDefault="00CB56B7" w:rsidP="00EB4DCD">
      <w:r w:rsidRPr="00783697">
        <w:t xml:space="preserve">Document </w:t>
      </w:r>
      <w:hyperlink r:id="rId15" w:history="1">
        <w:r w:rsidRPr="00783697">
          <w:rPr>
            <w:rStyle w:val="Hyperlink"/>
          </w:rPr>
          <w:t>C25/</w:t>
        </w:r>
        <w:r w:rsidR="00783697" w:rsidRPr="00783697">
          <w:rPr>
            <w:rStyle w:val="Hyperlink"/>
          </w:rPr>
          <w:t>42</w:t>
        </w:r>
      </w:hyperlink>
      <w:r w:rsidRPr="00783697">
        <w:t>,</w:t>
      </w:r>
    </w:p>
    <w:p w14:paraId="524A15F8" w14:textId="77777777" w:rsidR="00CB56B7" w:rsidRPr="00CB56B7" w:rsidRDefault="00CB56B7" w:rsidP="00EB4DCD">
      <w:pPr>
        <w:pStyle w:val="Call"/>
      </w:pPr>
      <w:r w:rsidRPr="00CB56B7">
        <w:t>considering</w:t>
      </w:r>
    </w:p>
    <w:p w14:paraId="7F399C2A" w14:textId="400AF27F" w:rsidR="00CB56B7" w:rsidRPr="00CB56B7" w:rsidRDefault="00CB56B7" w:rsidP="00EB4DCD">
      <w:pPr>
        <w:jc w:val="both"/>
        <w:rPr>
          <w:rFonts w:asciiTheme="minorHAnsi" w:hAnsiTheme="minorHAnsi"/>
          <w:szCs w:val="24"/>
        </w:rPr>
      </w:pPr>
      <w:hyperlink r:id="rId16" w:history="1">
        <w:r w:rsidRPr="00CB56B7">
          <w:rPr>
            <w:color w:val="0563C1"/>
            <w:u w:val="single"/>
          </w:rPr>
          <w:t>Resolution 94</w:t>
        </w:r>
      </w:hyperlink>
      <w:r w:rsidRPr="00CB56B7">
        <w:rPr>
          <w:szCs w:val="24"/>
        </w:rPr>
        <w:t xml:space="preserve"> (Rev. Bucharest, 2022) of the Plenipotentiary Conference and </w:t>
      </w:r>
      <w:hyperlink r:id="rId17" w:history="1">
        <w:r w:rsidRPr="00CB56B7">
          <w:rPr>
            <w:color w:val="0563C1"/>
            <w:u w:val="single"/>
          </w:rPr>
          <w:t>Decision 621</w:t>
        </w:r>
      </w:hyperlink>
      <w:r w:rsidRPr="00CB56B7">
        <w:rPr>
          <w:szCs w:val="24"/>
        </w:rPr>
        <w:t xml:space="preserve"> (C20) of the Council,</w:t>
      </w:r>
    </w:p>
    <w:p w14:paraId="6028E5A0" w14:textId="77777777" w:rsidR="00CB56B7" w:rsidRPr="00CB56B7" w:rsidRDefault="00CB56B7" w:rsidP="00EB4DCD">
      <w:pPr>
        <w:pStyle w:val="Call"/>
      </w:pPr>
      <w:r w:rsidRPr="00CB56B7">
        <w:t>taking into account</w:t>
      </w:r>
    </w:p>
    <w:p w14:paraId="1BFE1A65" w14:textId="77777777" w:rsidR="00CB56B7" w:rsidRPr="00CB56B7" w:rsidRDefault="00CB56B7" w:rsidP="00CB56B7">
      <w:r w:rsidRPr="00CB56B7">
        <w:t xml:space="preserve">Article 28 of the </w:t>
      </w:r>
      <w:hyperlink r:id="rId18" w:history="1">
        <w:r w:rsidRPr="00CB56B7">
          <w:rPr>
            <w:color w:val="0563C1"/>
            <w:u w:val="single"/>
          </w:rPr>
          <w:t>Financial Regulations</w:t>
        </w:r>
      </w:hyperlink>
      <w:r w:rsidRPr="00CB56B7">
        <w:t>,</w:t>
      </w:r>
    </w:p>
    <w:p w14:paraId="7E476469" w14:textId="77777777" w:rsidR="00CB56B7" w:rsidRPr="00EB4DCD" w:rsidRDefault="00CB56B7" w:rsidP="00EB4DCD">
      <w:pPr>
        <w:pStyle w:val="Call"/>
      </w:pPr>
      <w:r w:rsidRPr="00EB4DCD">
        <w:t>decides</w:t>
      </w:r>
    </w:p>
    <w:p w14:paraId="13E41A8A" w14:textId="77777777" w:rsidR="00CB56B7" w:rsidRPr="00CB56B7" w:rsidRDefault="00CB56B7" w:rsidP="00EB4DCD">
      <w:pPr>
        <w:jc w:val="both"/>
        <w:rPr>
          <w:rFonts w:asciiTheme="minorHAnsi" w:hAnsiTheme="minorHAnsi"/>
          <w:szCs w:val="24"/>
        </w:rPr>
      </w:pPr>
      <w:r w:rsidRPr="00CB56B7">
        <w:rPr>
          <w:rFonts w:asciiTheme="minorHAnsi" w:hAnsiTheme="minorHAnsi"/>
          <w:szCs w:val="24"/>
        </w:rPr>
        <w:t xml:space="preserve">to </w:t>
      </w:r>
      <w:r w:rsidRPr="00EB4DCD">
        <w:t>renew</w:t>
      </w:r>
      <w:r w:rsidRPr="00CB56B7">
        <w:rPr>
          <w:rFonts w:asciiTheme="minorHAnsi" w:hAnsiTheme="minorHAnsi"/>
          <w:szCs w:val="24"/>
        </w:rPr>
        <w:t xml:space="preserve"> the mandate of the United Kingdom’s National Audit Office (NAO) as the external auditor of the ITU for a period of two years for auditing its 2026 and 2027 financial statements,</w:t>
      </w:r>
    </w:p>
    <w:p w14:paraId="30DAE67E" w14:textId="77777777" w:rsidR="00CB56B7" w:rsidRPr="00EB4DCD" w:rsidRDefault="00CB56B7" w:rsidP="00EB4DCD">
      <w:pPr>
        <w:pStyle w:val="Call"/>
      </w:pPr>
      <w:r w:rsidRPr="00EB4DCD">
        <w:t>instructs the Secretary-General</w:t>
      </w:r>
    </w:p>
    <w:p w14:paraId="58C938C1" w14:textId="77777777" w:rsidR="00CB56B7" w:rsidRPr="00CB56B7" w:rsidRDefault="00CB56B7" w:rsidP="00EB4DCD">
      <w:pPr>
        <w:jc w:val="both"/>
        <w:rPr>
          <w:color w:val="000000"/>
        </w:rPr>
      </w:pPr>
      <w:r w:rsidRPr="00CB56B7">
        <w:rPr>
          <w:szCs w:val="24"/>
        </w:rPr>
        <w:t xml:space="preserve">to bring this Decision </w:t>
      </w:r>
      <w:r w:rsidRPr="00CB56B7">
        <w:t xml:space="preserve">to the notice of the Comptroller and Auditor General of the </w:t>
      </w:r>
      <w:r w:rsidRPr="00CB56B7">
        <w:rPr>
          <w:color w:val="000000"/>
        </w:rPr>
        <w:t xml:space="preserve">United Kingdom’s </w:t>
      </w:r>
      <w:bookmarkStart w:id="14" w:name="_Hlk42012064"/>
      <w:r w:rsidRPr="00CB56B7">
        <w:rPr>
          <w:color w:val="000000"/>
        </w:rPr>
        <w:t>NAO.</w:t>
      </w:r>
      <w:bookmarkEnd w:id="14"/>
    </w:p>
    <w:p w14:paraId="35C6D0A5" w14:textId="77777777" w:rsidR="007A3FCD" w:rsidRPr="00C0458D" w:rsidRDefault="007A3FCD" w:rsidP="00D618CB">
      <w:pPr>
        <w:spacing w:before="720"/>
        <w:jc w:val="center"/>
      </w:pPr>
      <w:r>
        <w:t>______________</w:t>
      </w:r>
    </w:p>
    <w:sectPr w:rsidR="007A3FCD" w:rsidRPr="00C0458D"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38E5" w14:textId="77777777" w:rsidR="000E5E71" w:rsidRDefault="000E5E71">
      <w:r>
        <w:separator/>
      </w:r>
    </w:p>
  </w:endnote>
  <w:endnote w:type="continuationSeparator" w:id="0">
    <w:p w14:paraId="06FF4167" w14:textId="77777777" w:rsidR="000E5E71" w:rsidRDefault="000E5E71">
      <w:r>
        <w:continuationSeparator/>
      </w:r>
    </w:p>
  </w:endnote>
  <w:endnote w:type="continuationNotice" w:id="1">
    <w:p w14:paraId="10D7D181" w14:textId="77777777" w:rsidR="000E5E71" w:rsidRDefault="000E5E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trPr>
        <w:jc w:val="center"/>
      </w:trPr>
      <w:tc>
        <w:tcPr>
          <w:tcW w:w="1803" w:type="dxa"/>
          <w:vAlign w:val="center"/>
        </w:tcPr>
        <w:p w14:paraId="5B3DDD9A" w14:textId="0B67F393" w:rsidR="00EE49E8" w:rsidRDefault="00C6520B" w:rsidP="00EE49E8">
          <w:pPr>
            <w:pStyle w:val="Header"/>
            <w:jc w:val="left"/>
            <w:rPr>
              <w:noProof/>
            </w:rPr>
          </w:pPr>
          <w:r>
            <w:rPr>
              <w:noProof/>
            </w:rPr>
            <w:t xml:space="preserve">gDoc </w:t>
          </w:r>
          <w:r w:rsidR="00DC049E" w:rsidRPr="00DC049E">
            <w:rPr>
              <w:noProof/>
            </w:rPr>
            <w:t>R2500715</w:t>
          </w:r>
        </w:p>
      </w:tc>
      <w:tc>
        <w:tcPr>
          <w:tcW w:w="8261" w:type="dxa"/>
        </w:tcPr>
        <w:p w14:paraId="6F6B3A01" w14:textId="24057655" w:rsidR="00EE49E8" w:rsidRPr="00E06FD5" w:rsidRDefault="00EE49E8" w:rsidP="00A07996">
          <w:pPr>
            <w:pStyle w:val="Header"/>
            <w:tabs>
              <w:tab w:val="left" w:pos="6737"/>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D618CB">
            <w:rPr>
              <w:bCs/>
            </w:rPr>
            <w:t>42</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22CCE935" w:rsidR="00EE49E8" w:rsidRPr="00E06FD5" w:rsidRDefault="00EE49E8" w:rsidP="00A07996">
          <w:pPr>
            <w:pStyle w:val="Header"/>
            <w:tabs>
              <w:tab w:val="left" w:pos="6737"/>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D618CB">
            <w:rPr>
              <w:bCs/>
            </w:rPr>
            <w:t>42</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ADB4" w14:textId="77777777" w:rsidR="000E5E71" w:rsidRDefault="000E5E71">
      <w:r>
        <w:t>____________________</w:t>
      </w:r>
    </w:p>
  </w:footnote>
  <w:footnote w:type="continuationSeparator" w:id="0">
    <w:p w14:paraId="2ED88DC6" w14:textId="77777777" w:rsidR="000E5E71" w:rsidRDefault="000E5E71">
      <w:r>
        <w:continuationSeparator/>
      </w:r>
    </w:p>
  </w:footnote>
  <w:footnote w:type="continuationNotice" w:id="1">
    <w:p w14:paraId="1FCBB32B" w14:textId="77777777" w:rsidR="000E5E71" w:rsidRDefault="000E5E7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5"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B06625C">
            <v:rect id="Rectangle 5"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7F5D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665E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C2F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2DF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468A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D0A1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4C4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FE5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581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34D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B65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C115F"/>
    <w:multiLevelType w:val="multilevel"/>
    <w:tmpl w:val="14E6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15648"/>
    <w:multiLevelType w:val="multilevel"/>
    <w:tmpl w:val="BDA4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A1AE3"/>
    <w:multiLevelType w:val="hybridMultilevel"/>
    <w:tmpl w:val="E70C34DA"/>
    <w:lvl w:ilvl="0" w:tplc="E1F40F9C">
      <w:start w:val="1"/>
      <w:numFmt w:val="bullet"/>
      <w:lvlText w:val="-"/>
      <w:lvlJc w:val="left"/>
      <w:pPr>
        <w:ind w:left="720" w:hanging="360"/>
      </w:pPr>
      <w:rPr>
        <w:rFonts w:ascii="Aptos" w:hAnsi="Aptos" w:hint="default"/>
      </w:rPr>
    </w:lvl>
    <w:lvl w:ilvl="1" w:tplc="57B056C0">
      <w:start w:val="1"/>
      <w:numFmt w:val="bullet"/>
      <w:lvlText w:val="o"/>
      <w:lvlJc w:val="left"/>
      <w:pPr>
        <w:ind w:left="1440" w:hanging="360"/>
      </w:pPr>
      <w:rPr>
        <w:rFonts w:ascii="Courier New" w:hAnsi="Courier New" w:hint="default"/>
      </w:rPr>
    </w:lvl>
    <w:lvl w:ilvl="2" w:tplc="598CDDD4">
      <w:start w:val="1"/>
      <w:numFmt w:val="bullet"/>
      <w:lvlText w:val=""/>
      <w:lvlJc w:val="left"/>
      <w:pPr>
        <w:ind w:left="2160" w:hanging="360"/>
      </w:pPr>
      <w:rPr>
        <w:rFonts w:ascii="Wingdings" w:hAnsi="Wingdings" w:hint="default"/>
      </w:rPr>
    </w:lvl>
    <w:lvl w:ilvl="3" w:tplc="929CE9DC">
      <w:start w:val="1"/>
      <w:numFmt w:val="bullet"/>
      <w:lvlText w:val=""/>
      <w:lvlJc w:val="left"/>
      <w:pPr>
        <w:ind w:left="2880" w:hanging="360"/>
      </w:pPr>
      <w:rPr>
        <w:rFonts w:ascii="Symbol" w:hAnsi="Symbol" w:hint="default"/>
      </w:rPr>
    </w:lvl>
    <w:lvl w:ilvl="4" w:tplc="3DF8B126">
      <w:start w:val="1"/>
      <w:numFmt w:val="bullet"/>
      <w:lvlText w:val="o"/>
      <w:lvlJc w:val="left"/>
      <w:pPr>
        <w:ind w:left="3600" w:hanging="360"/>
      </w:pPr>
      <w:rPr>
        <w:rFonts w:ascii="Courier New" w:hAnsi="Courier New" w:hint="default"/>
      </w:rPr>
    </w:lvl>
    <w:lvl w:ilvl="5" w:tplc="902C8352">
      <w:start w:val="1"/>
      <w:numFmt w:val="bullet"/>
      <w:lvlText w:val=""/>
      <w:lvlJc w:val="left"/>
      <w:pPr>
        <w:ind w:left="4320" w:hanging="360"/>
      </w:pPr>
      <w:rPr>
        <w:rFonts w:ascii="Wingdings" w:hAnsi="Wingdings" w:hint="default"/>
      </w:rPr>
    </w:lvl>
    <w:lvl w:ilvl="6" w:tplc="81006200">
      <w:start w:val="1"/>
      <w:numFmt w:val="bullet"/>
      <w:lvlText w:val=""/>
      <w:lvlJc w:val="left"/>
      <w:pPr>
        <w:ind w:left="5040" w:hanging="360"/>
      </w:pPr>
      <w:rPr>
        <w:rFonts w:ascii="Symbol" w:hAnsi="Symbol" w:hint="default"/>
      </w:rPr>
    </w:lvl>
    <w:lvl w:ilvl="7" w:tplc="2F94A7D6">
      <w:start w:val="1"/>
      <w:numFmt w:val="bullet"/>
      <w:lvlText w:val="o"/>
      <w:lvlJc w:val="left"/>
      <w:pPr>
        <w:ind w:left="5760" w:hanging="360"/>
      </w:pPr>
      <w:rPr>
        <w:rFonts w:ascii="Courier New" w:hAnsi="Courier New" w:hint="default"/>
      </w:rPr>
    </w:lvl>
    <w:lvl w:ilvl="8" w:tplc="2C308C84">
      <w:start w:val="1"/>
      <w:numFmt w:val="bullet"/>
      <w:lvlText w:val=""/>
      <w:lvlJc w:val="left"/>
      <w:pPr>
        <w:ind w:left="6480" w:hanging="360"/>
      </w:pPr>
      <w:rPr>
        <w:rFonts w:ascii="Wingdings" w:hAnsi="Wingdings" w:hint="default"/>
      </w:rPr>
    </w:lvl>
  </w:abstractNum>
  <w:abstractNum w:abstractNumId="13" w15:restartNumberingAfterBreak="0">
    <w:nsid w:val="67B25AE9"/>
    <w:multiLevelType w:val="multilevel"/>
    <w:tmpl w:val="E6C4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E1957"/>
    <w:multiLevelType w:val="multilevel"/>
    <w:tmpl w:val="AB44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156377">
    <w:abstractNumId w:val="12"/>
  </w:num>
  <w:num w:numId="2" w16cid:durableId="1374816267">
    <w:abstractNumId w:val="9"/>
  </w:num>
  <w:num w:numId="3" w16cid:durableId="526060877">
    <w:abstractNumId w:val="7"/>
  </w:num>
  <w:num w:numId="4" w16cid:durableId="1517227191">
    <w:abstractNumId w:val="6"/>
  </w:num>
  <w:num w:numId="5" w16cid:durableId="2083940608">
    <w:abstractNumId w:val="5"/>
  </w:num>
  <w:num w:numId="6" w16cid:durableId="1440831355">
    <w:abstractNumId w:val="4"/>
  </w:num>
  <w:num w:numId="7" w16cid:durableId="1469274345">
    <w:abstractNumId w:val="8"/>
  </w:num>
  <w:num w:numId="8" w16cid:durableId="1595625436">
    <w:abstractNumId w:val="3"/>
  </w:num>
  <w:num w:numId="9" w16cid:durableId="1047339128">
    <w:abstractNumId w:val="2"/>
  </w:num>
  <w:num w:numId="10" w16cid:durableId="637880343">
    <w:abstractNumId w:val="1"/>
  </w:num>
  <w:num w:numId="11" w16cid:durableId="1781563013">
    <w:abstractNumId w:val="0"/>
  </w:num>
  <w:num w:numId="12" w16cid:durableId="1859080470">
    <w:abstractNumId w:val="8"/>
  </w:num>
  <w:num w:numId="13" w16cid:durableId="155414043">
    <w:abstractNumId w:val="3"/>
  </w:num>
  <w:num w:numId="14" w16cid:durableId="2041319012">
    <w:abstractNumId w:val="2"/>
  </w:num>
  <w:num w:numId="15" w16cid:durableId="954947632">
    <w:abstractNumId w:val="1"/>
  </w:num>
  <w:num w:numId="16" w16cid:durableId="1399134059">
    <w:abstractNumId w:val="0"/>
  </w:num>
  <w:num w:numId="17" w16cid:durableId="738600626">
    <w:abstractNumId w:val="8"/>
  </w:num>
  <w:num w:numId="18" w16cid:durableId="224611617">
    <w:abstractNumId w:val="3"/>
  </w:num>
  <w:num w:numId="19" w16cid:durableId="525951670">
    <w:abstractNumId w:val="2"/>
  </w:num>
  <w:num w:numId="20" w16cid:durableId="74590421">
    <w:abstractNumId w:val="1"/>
  </w:num>
  <w:num w:numId="21" w16cid:durableId="1917863451">
    <w:abstractNumId w:val="0"/>
  </w:num>
  <w:num w:numId="22" w16cid:durableId="1168716127">
    <w:abstractNumId w:val="8"/>
  </w:num>
  <w:num w:numId="23" w16cid:durableId="85929431">
    <w:abstractNumId w:val="3"/>
  </w:num>
  <w:num w:numId="24" w16cid:durableId="676469403">
    <w:abstractNumId w:val="2"/>
  </w:num>
  <w:num w:numId="25" w16cid:durableId="945383661">
    <w:abstractNumId w:val="1"/>
  </w:num>
  <w:num w:numId="26" w16cid:durableId="1134104765">
    <w:abstractNumId w:val="0"/>
  </w:num>
  <w:num w:numId="27" w16cid:durableId="481822578">
    <w:abstractNumId w:val="13"/>
  </w:num>
  <w:num w:numId="28" w16cid:durableId="1670788390">
    <w:abstractNumId w:val="11"/>
  </w:num>
  <w:num w:numId="29" w16cid:durableId="1737624109">
    <w:abstractNumId w:val="14"/>
  </w:num>
  <w:num w:numId="30" w16cid:durableId="598031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7948"/>
    <w:rsid w:val="000210D4"/>
    <w:rsid w:val="00047613"/>
    <w:rsid w:val="0006007D"/>
    <w:rsid w:val="00063016"/>
    <w:rsid w:val="00066795"/>
    <w:rsid w:val="000745AB"/>
    <w:rsid w:val="00076AF6"/>
    <w:rsid w:val="00076BD6"/>
    <w:rsid w:val="00083342"/>
    <w:rsid w:val="00085CF2"/>
    <w:rsid w:val="000B1705"/>
    <w:rsid w:val="000D75B2"/>
    <w:rsid w:val="000E5E71"/>
    <w:rsid w:val="000F0D3D"/>
    <w:rsid w:val="000F5DDB"/>
    <w:rsid w:val="000F7289"/>
    <w:rsid w:val="001121F5"/>
    <w:rsid w:val="0011568F"/>
    <w:rsid w:val="001400DC"/>
    <w:rsid w:val="00140CE1"/>
    <w:rsid w:val="00164DF7"/>
    <w:rsid w:val="00172FB7"/>
    <w:rsid w:val="0017539C"/>
    <w:rsid w:val="00175AC2"/>
    <w:rsid w:val="0017609F"/>
    <w:rsid w:val="001A3154"/>
    <w:rsid w:val="001A7D1D"/>
    <w:rsid w:val="001B51DD"/>
    <w:rsid w:val="001C628E"/>
    <w:rsid w:val="001E0F7B"/>
    <w:rsid w:val="001F5569"/>
    <w:rsid w:val="001F7C9A"/>
    <w:rsid w:val="00203C2A"/>
    <w:rsid w:val="00204833"/>
    <w:rsid w:val="00205453"/>
    <w:rsid w:val="002119FD"/>
    <w:rsid w:val="002130E0"/>
    <w:rsid w:val="00221F46"/>
    <w:rsid w:val="00233839"/>
    <w:rsid w:val="00264425"/>
    <w:rsid w:val="00265875"/>
    <w:rsid w:val="0027303B"/>
    <w:rsid w:val="00280689"/>
    <w:rsid w:val="0028109B"/>
    <w:rsid w:val="002A2188"/>
    <w:rsid w:val="002B134D"/>
    <w:rsid w:val="002B1F58"/>
    <w:rsid w:val="002B5E40"/>
    <w:rsid w:val="002C1C7A"/>
    <w:rsid w:val="002C26A6"/>
    <w:rsid w:val="002C54E2"/>
    <w:rsid w:val="002C6D08"/>
    <w:rsid w:val="002D699A"/>
    <w:rsid w:val="002F1346"/>
    <w:rsid w:val="0030160F"/>
    <w:rsid w:val="00320223"/>
    <w:rsid w:val="00322D0D"/>
    <w:rsid w:val="00346896"/>
    <w:rsid w:val="003609C1"/>
    <w:rsid w:val="00361465"/>
    <w:rsid w:val="003877F5"/>
    <w:rsid w:val="00387DF1"/>
    <w:rsid w:val="003936D3"/>
    <w:rsid w:val="003942D4"/>
    <w:rsid w:val="003958A8"/>
    <w:rsid w:val="003B29C2"/>
    <w:rsid w:val="003B4262"/>
    <w:rsid w:val="003C2533"/>
    <w:rsid w:val="003D0817"/>
    <w:rsid w:val="003D51F5"/>
    <w:rsid w:val="003D5A7F"/>
    <w:rsid w:val="0040435A"/>
    <w:rsid w:val="00416A24"/>
    <w:rsid w:val="00427BFF"/>
    <w:rsid w:val="00431D9E"/>
    <w:rsid w:val="00433CE8"/>
    <w:rsid w:val="00434A5C"/>
    <w:rsid w:val="00453079"/>
    <w:rsid w:val="004544D9"/>
    <w:rsid w:val="004548B0"/>
    <w:rsid w:val="00464F89"/>
    <w:rsid w:val="00472BAD"/>
    <w:rsid w:val="004811F8"/>
    <w:rsid w:val="00484009"/>
    <w:rsid w:val="00490E72"/>
    <w:rsid w:val="00491157"/>
    <w:rsid w:val="00491BA9"/>
    <w:rsid w:val="004921C8"/>
    <w:rsid w:val="00492E16"/>
    <w:rsid w:val="004955F4"/>
    <w:rsid w:val="00495B0B"/>
    <w:rsid w:val="004A1B8B"/>
    <w:rsid w:val="004B25A1"/>
    <w:rsid w:val="004D1851"/>
    <w:rsid w:val="004D599D"/>
    <w:rsid w:val="004E2EA5"/>
    <w:rsid w:val="004E3AEB"/>
    <w:rsid w:val="0050223C"/>
    <w:rsid w:val="005243FF"/>
    <w:rsid w:val="00527211"/>
    <w:rsid w:val="005448DF"/>
    <w:rsid w:val="00550405"/>
    <w:rsid w:val="00564FBC"/>
    <w:rsid w:val="005746C3"/>
    <w:rsid w:val="005800BC"/>
    <w:rsid w:val="00581D97"/>
    <w:rsid w:val="00582442"/>
    <w:rsid w:val="00583034"/>
    <w:rsid w:val="005832BD"/>
    <w:rsid w:val="005838EB"/>
    <w:rsid w:val="005B5C22"/>
    <w:rsid w:val="005C68D3"/>
    <w:rsid w:val="005C6A42"/>
    <w:rsid w:val="005E44F5"/>
    <w:rsid w:val="005F3269"/>
    <w:rsid w:val="00623AE3"/>
    <w:rsid w:val="00626018"/>
    <w:rsid w:val="00630C4D"/>
    <w:rsid w:val="00644EC6"/>
    <w:rsid w:val="0064737F"/>
    <w:rsid w:val="006535F1"/>
    <w:rsid w:val="0065557D"/>
    <w:rsid w:val="00660D50"/>
    <w:rsid w:val="00662984"/>
    <w:rsid w:val="006716BB"/>
    <w:rsid w:val="006B1859"/>
    <w:rsid w:val="006B6680"/>
    <w:rsid w:val="006B6DCC"/>
    <w:rsid w:val="006B77F1"/>
    <w:rsid w:val="006C3760"/>
    <w:rsid w:val="006C5ECF"/>
    <w:rsid w:val="00702DEF"/>
    <w:rsid w:val="00706861"/>
    <w:rsid w:val="00722551"/>
    <w:rsid w:val="00734D0B"/>
    <w:rsid w:val="0075051B"/>
    <w:rsid w:val="0077110E"/>
    <w:rsid w:val="00783697"/>
    <w:rsid w:val="00793188"/>
    <w:rsid w:val="00794D34"/>
    <w:rsid w:val="007A3FCD"/>
    <w:rsid w:val="007B19CF"/>
    <w:rsid w:val="007C3116"/>
    <w:rsid w:val="007D01AF"/>
    <w:rsid w:val="007D419F"/>
    <w:rsid w:val="007E6AB0"/>
    <w:rsid w:val="00810DC9"/>
    <w:rsid w:val="00813E5E"/>
    <w:rsid w:val="00820AE2"/>
    <w:rsid w:val="00825323"/>
    <w:rsid w:val="0083581B"/>
    <w:rsid w:val="00863874"/>
    <w:rsid w:val="00864AFF"/>
    <w:rsid w:val="00865925"/>
    <w:rsid w:val="008A7D17"/>
    <w:rsid w:val="008B4A6A"/>
    <w:rsid w:val="008C082D"/>
    <w:rsid w:val="008C7E27"/>
    <w:rsid w:val="008E3B72"/>
    <w:rsid w:val="008F7448"/>
    <w:rsid w:val="0090147A"/>
    <w:rsid w:val="009173EF"/>
    <w:rsid w:val="009276E8"/>
    <w:rsid w:val="00932906"/>
    <w:rsid w:val="00961B0B"/>
    <w:rsid w:val="00962D33"/>
    <w:rsid w:val="0096453C"/>
    <w:rsid w:val="00970F93"/>
    <w:rsid w:val="009836D5"/>
    <w:rsid w:val="009B1A65"/>
    <w:rsid w:val="009B38C3"/>
    <w:rsid w:val="009E17BD"/>
    <w:rsid w:val="009E485A"/>
    <w:rsid w:val="009F0798"/>
    <w:rsid w:val="00A04CEC"/>
    <w:rsid w:val="00A07996"/>
    <w:rsid w:val="00A27F92"/>
    <w:rsid w:val="00A32257"/>
    <w:rsid w:val="00A36D20"/>
    <w:rsid w:val="00A44161"/>
    <w:rsid w:val="00A514A4"/>
    <w:rsid w:val="00A55622"/>
    <w:rsid w:val="00A73930"/>
    <w:rsid w:val="00A83502"/>
    <w:rsid w:val="00A875ED"/>
    <w:rsid w:val="00A94BAB"/>
    <w:rsid w:val="00AB133E"/>
    <w:rsid w:val="00AD15B3"/>
    <w:rsid w:val="00AD27AC"/>
    <w:rsid w:val="00AD3606"/>
    <w:rsid w:val="00AD4A3D"/>
    <w:rsid w:val="00AD677D"/>
    <w:rsid w:val="00AF0824"/>
    <w:rsid w:val="00AF0C79"/>
    <w:rsid w:val="00AF6E49"/>
    <w:rsid w:val="00B04A67"/>
    <w:rsid w:val="00B0583C"/>
    <w:rsid w:val="00B11576"/>
    <w:rsid w:val="00B3556A"/>
    <w:rsid w:val="00B40A81"/>
    <w:rsid w:val="00B44890"/>
    <w:rsid w:val="00B44910"/>
    <w:rsid w:val="00B70631"/>
    <w:rsid w:val="00B72267"/>
    <w:rsid w:val="00B76EB6"/>
    <w:rsid w:val="00B7737B"/>
    <w:rsid w:val="00B824C8"/>
    <w:rsid w:val="00B84B9D"/>
    <w:rsid w:val="00B9131F"/>
    <w:rsid w:val="00B92317"/>
    <w:rsid w:val="00BB0646"/>
    <w:rsid w:val="00BB0C65"/>
    <w:rsid w:val="00BC251A"/>
    <w:rsid w:val="00BD032B"/>
    <w:rsid w:val="00BE01C6"/>
    <w:rsid w:val="00BE0B5F"/>
    <w:rsid w:val="00BE2640"/>
    <w:rsid w:val="00BE6A41"/>
    <w:rsid w:val="00BF1FDE"/>
    <w:rsid w:val="00C01189"/>
    <w:rsid w:val="00C0458D"/>
    <w:rsid w:val="00C135A9"/>
    <w:rsid w:val="00C374DE"/>
    <w:rsid w:val="00C47AD4"/>
    <w:rsid w:val="00C51A2B"/>
    <w:rsid w:val="00C52D81"/>
    <w:rsid w:val="00C55198"/>
    <w:rsid w:val="00C6520B"/>
    <w:rsid w:val="00C85E05"/>
    <w:rsid w:val="00CA2DDD"/>
    <w:rsid w:val="00CA30CC"/>
    <w:rsid w:val="00CA6393"/>
    <w:rsid w:val="00CA7995"/>
    <w:rsid w:val="00CB18FF"/>
    <w:rsid w:val="00CB56B7"/>
    <w:rsid w:val="00CD0C08"/>
    <w:rsid w:val="00CD26BF"/>
    <w:rsid w:val="00CE03FB"/>
    <w:rsid w:val="00CE433C"/>
    <w:rsid w:val="00CF0161"/>
    <w:rsid w:val="00CF33F3"/>
    <w:rsid w:val="00CF4A2B"/>
    <w:rsid w:val="00D024CA"/>
    <w:rsid w:val="00D06183"/>
    <w:rsid w:val="00D17021"/>
    <w:rsid w:val="00D22C42"/>
    <w:rsid w:val="00D56156"/>
    <w:rsid w:val="00D618CB"/>
    <w:rsid w:val="00D65041"/>
    <w:rsid w:val="00D702E5"/>
    <w:rsid w:val="00D72689"/>
    <w:rsid w:val="00D81984"/>
    <w:rsid w:val="00D96717"/>
    <w:rsid w:val="00DB1936"/>
    <w:rsid w:val="00DB384B"/>
    <w:rsid w:val="00DC049E"/>
    <w:rsid w:val="00DC6F23"/>
    <w:rsid w:val="00DD11ED"/>
    <w:rsid w:val="00DF0189"/>
    <w:rsid w:val="00DF26C9"/>
    <w:rsid w:val="00E06FD5"/>
    <w:rsid w:val="00E10E80"/>
    <w:rsid w:val="00E124F0"/>
    <w:rsid w:val="00E214A6"/>
    <w:rsid w:val="00E227F3"/>
    <w:rsid w:val="00E545C6"/>
    <w:rsid w:val="00E55CFD"/>
    <w:rsid w:val="00E60754"/>
    <w:rsid w:val="00E60F04"/>
    <w:rsid w:val="00E65A1E"/>
    <w:rsid w:val="00E65B24"/>
    <w:rsid w:val="00E75049"/>
    <w:rsid w:val="00E854E4"/>
    <w:rsid w:val="00E86DBF"/>
    <w:rsid w:val="00E969AF"/>
    <w:rsid w:val="00EB0D6F"/>
    <w:rsid w:val="00EB2232"/>
    <w:rsid w:val="00EB4DCD"/>
    <w:rsid w:val="00EB74E2"/>
    <w:rsid w:val="00EC5337"/>
    <w:rsid w:val="00EE49E8"/>
    <w:rsid w:val="00F01266"/>
    <w:rsid w:val="00F16BAB"/>
    <w:rsid w:val="00F2150A"/>
    <w:rsid w:val="00F231D8"/>
    <w:rsid w:val="00F41209"/>
    <w:rsid w:val="00F44C00"/>
    <w:rsid w:val="00F45D2C"/>
    <w:rsid w:val="00F46C5F"/>
    <w:rsid w:val="00F632C0"/>
    <w:rsid w:val="00F641E1"/>
    <w:rsid w:val="00F66177"/>
    <w:rsid w:val="00F9075A"/>
    <w:rsid w:val="00F94A63"/>
    <w:rsid w:val="00FA1C28"/>
    <w:rsid w:val="00FB1279"/>
    <w:rsid w:val="00FB6B76"/>
    <w:rsid w:val="00FB7596"/>
    <w:rsid w:val="00FC6DFA"/>
    <w:rsid w:val="00FE4077"/>
    <w:rsid w:val="00FE500D"/>
    <w:rsid w:val="00FE50CB"/>
    <w:rsid w:val="00FE77D2"/>
    <w:rsid w:val="00FF39B1"/>
    <w:rsid w:val="02899468"/>
    <w:rsid w:val="02EB516D"/>
    <w:rsid w:val="0A531AFD"/>
    <w:rsid w:val="0BE45064"/>
    <w:rsid w:val="0CC22B79"/>
    <w:rsid w:val="0D429CAB"/>
    <w:rsid w:val="1047818F"/>
    <w:rsid w:val="129FFD24"/>
    <w:rsid w:val="190E3039"/>
    <w:rsid w:val="1D5E3A7E"/>
    <w:rsid w:val="207391A8"/>
    <w:rsid w:val="24DD6417"/>
    <w:rsid w:val="2B361E70"/>
    <w:rsid w:val="2BFD3558"/>
    <w:rsid w:val="2F794CAE"/>
    <w:rsid w:val="2FB09DAB"/>
    <w:rsid w:val="340413F0"/>
    <w:rsid w:val="3A6EB715"/>
    <w:rsid w:val="3EA1DE4E"/>
    <w:rsid w:val="4175BDEF"/>
    <w:rsid w:val="41AEFA4C"/>
    <w:rsid w:val="439DBF33"/>
    <w:rsid w:val="442675D0"/>
    <w:rsid w:val="4D54569F"/>
    <w:rsid w:val="536F2360"/>
    <w:rsid w:val="5804BB53"/>
    <w:rsid w:val="586D8498"/>
    <w:rsid w:val="5D9D756D"/>
    <w:rsid w:val="6E6B855F"/>
    <w:rsid w:val="6EAE47AF"/>
    <w:rsid w:val="730D2010"/>
    <w:rsid w:val="7430F9C2"/>
    <w:rsid w:val="7624E588"/>
    <w:rsid w:val="76EC2E58"/>
    <w:rsid w:val="782D7C0F"/>
    <w:rsid w:val="7BA102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CF8F391-FDF5-43A9-BE97-9347ACA7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DecNo">
    <w:name w:val="Dec_No"/>
    <w:basedOn w:val="ResNo"/>
    <w:rsid w:val="00EB4DCD"/>
  </w:style>
  <w:style w:type="paragraph" w:customStyle="1" w:styleId="Dectitle">
    <w:name w:val="Dec_title"/>
    <w:basedOn w:val="Restitle"/>
    <w:rsid w:val="00EB4DCD"/>
  </w:style>
  <w:style w:type="paragraph" w:styleId="Revision">
    <w:name w:val="Revision"/>
    <w:hidden/>
    <w:uiPriority w:val="99"/>
    <w:semiHidden/>
    <w:rsid w:val="00AB133E"/>
    <w:rPr>
      <w:rFonts w:ascii="Calibri" w:hAnsi="Calibri"/>
      <w:sz w:val="24"/>
      <w:lang w:val="en-GB" w:eastAsia="en-US"/>
    </w:rPr>
  </w:style>
  <w:style w:type="character" w:styleId="CommentReference">
    <w:name w:val="annotation reference"/>
    <w:basedOn w:val="DefaultParagraphFont"/>
    <w:semiHidden/>
    <w:unhideWhenUsed/>
    <w:rsid w:val="00AF0824"/>
    <w:rPr>
      <w:sz w:val="16"/>
      <w:szCs w:val="16"/>
    </w:rPr>
  </w:style>
  <w:style w:type="paragraph" w:styleId="CommentText">
    <w:name w:val="annotation text"/>
    <w:basedOn w:val="Normal"/>
    <w:link w:val="CommentTextChar"/>
    <w:unhideWhenUsed/>
    <w:rsid w:val="00AF0824"/>
    <w:rPr>
      <w:sz w:val="20"/>
    </w:rPr>
  </w:style>
  <w:style w:type="character" w:customStyle="1" w:styleId="CommentTextChar">
    <w:name w:val="Comment Text Char"/>
    <w:basedOn w:val="DefaultParagraphFont"/>
    <w:link w:val="CommentText"/>
    <w:rsid w:val="00AF0824"/>
    <w:rPr>
      <w:rFonts w:ascii="Calibri" w:hAnsi="Calibri"/>
      <w:lang w:val="en-GB" w:eastAsia="en-US"/>
    </w:rPr>
  </w:style>
  <w:style w:type="paragraph" w:styleId="CommentSubject">
    <w:name w:val="annotation subject"/>
    <w:basedOn w:val="CommentText"/>
    <w:next w:val="CommentText"/>
    <w:link w:val="CommentSubjectChar"/>
    <w:semiHidden/>
    <w:unhideWhenUsed/>
    <w:rsid w:val="00AF0824"/>
    <w:rPr>
      <w:b/>
      <w:bCs/>
    </w:rPr>
  </w:style>
  <w:style w:type="character" w:customStyle="1" w:styleId="CommentSubjectChar">
    <w:name w:val="Comment Subject Char"/>
    <w:basedOn w:val="CommentTextChar"/>
    <w:link w:val="CommentSubject"/>
    <w:semiHidden/>
    <w:rsid w:val="00AF0824"/>
    <w:rPr>
      <w:rFonts w:ascii="Calibri" w:hAnsi="Calibri"/>
      <w:b/>
      <w:bCs/>
      <w:lang w:val="en-GB" w:eastAsia="en-US"/>
    </w:rPr>
  </w:style>
  <w:style w:type="paragraph" w:styleId="ListParagraph">
    <w:name w:val="List Paragraph"/>
    <w:basedOn w:val="Normal"/>
    <w:uiPriority w:val="34"/>
    <w:qFormat/>
    <w:rsid w:val="6E6B8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pub/itu-s/opb/conf/S-CONF-PLEN-2022-PDF-E.pdf" TargetMode="External"/><Relationship Id="rId18" Type="http://schemas.openxmlformats.org/officeDocument/2006/relationships/hyperlink" Target="https://www.itu.int/en/council/Documents/Financial-Regulations/2022/Financial_Regulations-2022-EN.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0-CL-C-0083/en" TargetMode="External"/><Relationship Id="rId17" Type="http://schemas.openxmlformats.org/officeDocument/2006/relationships/hyperlink" Target="https://www.itu.int/md/S20-CL-C-0083/en" TargetMode="External"/><Relationship Id="rId2" Type="http://schemas.openxmlformats.org/officeDocument/2006/relationships/customXml" Target="../customXml/item2.xml"/><Relationship Id="rId16" Type="http://schemas.openxmlformats.org/officeDocument/2006/relationships/hyperlink" Target="https://www.itu.int/en/council/Documents/basic-texts-2023/RES-094-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hyperlink" Target="https://www.itu.int/md/S25-CL-C-0042/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Financial-Regulations/2022/Financial_Regulations-2022-EN.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1F103-556F-4F1C-89B0-0C477AAF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4.xml><?xml version="1.0" encoding="utf-8"?>
<ds:datastoreItem xmlns:ds="http://schemas.openxmlformats.org/officeDocument/2006/customXml" ds:itemID="{11E2F2AC-2255-4DBF-9278-6619577B4509}">
  <ds:schemaRefs>
    <ds:schemaRef ds:uri="http://www.w3.org/XML/1998/namespace"/>
    <ds:schemaRef ds:uri="http://purl.org/dc/elements/1.1/"/>
    <ds:schemaRef ds:uri="http://purl.org/dc/dcmitype/"/>
    <ds:schemaRef ds:uri="http://schemas.microsoft.com/office/2006/documentManagement/types"/>
    <ds:schemaRef ds:uri="a1cf676c-2816-4389-ad5d-0f2e7c7e67c4"/>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933</Words>
  <Characters>5097</Characters>
  <Application>Microsoft Office Word</Application>
  <DocSecurity>0</DocSecurity>
  <Lines>115</Lines>
  <Paragraphs>61</Paragraphs>
  <ScaleCrop>false</ScaleCrop>
  <HeadingPairs>
    <vt:vector size="2" baseType="variant">
      <vt:variant>
        <vt:lpstr>Title</vt:lpstr>
      </vt:variant>
      <vt:variant>
        <vt:i4>1</vt:i4>
      </vt:variant>
    </vt:vector>
  </HeadingPairs>
  <TitlesOfParts>
    <vt:vector size="1" baseType="lpstr">
      <vt:lpstr>Renewal of the mandate of the External Auditor – the United Kingdom’s national audit office (NAO) – for a period of two years</vt:lpstr>
    </vt:vector>
  </TitlesOfParts>
  <Manager>General Secretariat</Manager>
  <Company>International Telecommunication Union (ITU)</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the mandate of the External Auditor – the United Kingdom’s national audit office (NAO) – for a period of two years</dc:title>
  <dc:subject>Council 2025</dc:subject>
  <cp:keywords>C25; C2025; Council 2025; ITU160</cp:keywords>
  <dc:description/>
  <cp:lastPrinted>2000-07-19T07:30:00Z</cp:lastPrinted>
  <dcterms:created xsi:type="dcterms:W3CDTF">2025-04-23T10:07:00Z</dcterms:created>
  <dcterms:modified xsi:type="dcterms:W3CDTF">2025-04-23T12:18:00Z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