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page" w:tblpX="1821" w:tblpY="2317"/>
        <w:tblW w:w="9214" w:type="dxa"/>
        <w:tblLayout w:type="fixed"/>
        <w:tblLook w:val="0000" w:firstRow="0" w:lastRow="0" w:firstColumn="0" w:lastColumn="0" w:noHBand="0" w:noVBand="0"/>
      </w:tblPr>
      <w:tblGrid>
        <w:gridCol w:w="3969"/>
        <w:gridCol w:w="5245"/>
      </w:tblGrid>
      <w:tr w:rsidR="00AD3606" w:rsidRPr="00C0458D" w14:paraId="3E1C2769" w14:textId="77777777" w:rsidTr="00AD3606">
        <w:trPr>
          <w:cantSplit/>
          <w:trHeight w:val="23"/>
        </w:trPr>
        <w:tc>
          <w:tcPr>
            <w:tcW w:w="3969" w:type="dxa"/>
            <w:vMerge w:val="restart"/>
            <w:tcMar>
              <w:left w:w="0" w:type="dxa"/>
            </w:tcMar>
          </w:tcPr>
          <w:p w14:paraId="7147B863" w14:textId="106AF5ED" w:rsidR="00AD3606" w:rsidRPr="00C0458D" w:rsidRDefault="00791B97" w:rsidP="00472BAD">
            <w:pPr>
              <w:tabs>
                <w:tab w:val="left" w:pos="851"/>
              </w:tabs>
              <w:spacing w:before="0" w:line="240" w:lineRule="atLeast"/>
              <w:rPr>
                <w:b/>
              </w:rPr>
            </w:pPr>
            <w:bookmarkStart w:id="0" w:name="dmeeting" w:colFirst="0" w:colLast="0"/>
            <w:bookmarkStart w:id="1" w:name="dnum" w:colFirst="1" w:colLast="1"/>
            <w:bookmarkStart w:id="2" w:name="_Hlk133421839"/>
            <w:bookmarkStart w:id="3" w:name="_Hlk133421856"/>
            <w:bookmarkStart w:id="4" w:name="_Hlk133422370"/>
            <w:bookmarkStart w:id="5" w:name="_Hlk133586559"/>
            <w:r>
              <w:rPr>
                <w:rFonts w:hint="eastAsia"/>
                <w:b/>
                <w:lang w:eastAsia="zh-CN"/>
              </w:rPr>
              <w:t>议项：</w:t>
            </w:r>
            <w:r w:rsidR="00A875ED">
              <w:rPr>
                <w:b/>
              </w:rPr>
              <w:t>ADM 2</w:t>
            </w:r>
          </w:p>
        </w:tc>
        <w:tc>
          <w:tcPr>
            <w:tcW w:w="5245" w:type="dxa"/>
          </w:tcPr>
          <w:p w14:paraId="6779937E" w14:textId="2F387C08" w:rsidR="00AD3606" w:rsidRPr="00C0458D" w:rsidRDefault="00791B97" w:rsidP="00472BAD">
            <w:pPr>
              <w:tabs>
                <w:tab w:val="left" w:pos="851"/>
              </w:tabs>
              <w:spacing w:before="0" w:line="240" w:lineRule="atLeast"/>
              <w:jc w:val="right"/>
              <w:rPr>
                <w:b/>
                <w:lang w:eastAsia="zh-CN"/>
              </w:rPr>
            </w:pPr>
            <w:r>
              <w:rPr>
                <w:rFonts w:hint="eastAsia"/>
                <w:b/>
                <w:lang w:eastAsia="zh-CN"/>
              </w:rPr>
              <w:t>文件</w:t>
            </w:r>
            <w:r>
              <w:rPr>
                <w:rFonts w:hint="eastAsia"/>
                <w:b/>
                <w:lang w:eastAsia="zh-CN"/>
              </w:rPr>
              <w:t xml:space="preserve"> </w:t>
            </w:r>
            <w:r w:rsidR="00AD3606" w:rsidRPr="00C0458D">
              <w:rPr>
                <w:b/>
              </w:rPr>
              <w:t>C2</w:t>
            </w:r>
            <w:r w:rsidR="00BF1FDE" w:rsidRPr="00C0458D">
              <w:rPr>
                <w:b/>
              </w:rPr>
              <w:t>5</w:t>
            </w:r>
            <w:r w:rsidR="00AD3606" w:rsidRPr="00C0458D">
              <w:rPr>
                <w:b/>
              </w:rPr>
              <w:t>/</w:t>
            </w:r>
            <w:r w:rsidR="00D618CB">
              <w:rPr>
                <w:b/>
              </w:rPr>
              <w:t>42</w:t>
            </w:r>
            <w:r w:rsidR="00AD3606" w:rsidRPr="00C0458D">
              <w:rPr>
                <w:b/>
              </w:rPr>
              <w:t>-</w:t>
            </w:r>
            <w:r>
              <w:rPr>
                <w:rFonts w:hint="eastAsia"/>
                <w:b/>
                <w:lang w:eastAsia="zh-CN"/>
              </w:rPr>
              <w:t>C</w:t>
            </w:r>
          </w:p>
        </w:tc>
      </w:tr>
      <w:tr w:rsidR="00AD3606" w:rsidRPr="00C0458D" w14:paraId="3E3F9DA5" w14:textId="77777777" w:rsidTr="00AD3606">
        <w:trPr>
          <w:cantSplit/>
        </w:trPr>
        <w:tc>
          <w:tcPr>
            <w:tcW w:w="3969" w:type="dxa"/>
            <w:vMerge/>
          </w:tcPr>
          <w:p w14:paraId="5920AA6E" w14:textId="77777777" w:rsidR="00AD3606" w:rsidRPr="00C0458D" w:rsidRDefault="00AD3606" w:rsidP="00AD3606">
            <w:pPr>
              <w:tabs>
                <w:tab w:val="left" w:pos="851"/>
              </w:tabs>
              <w:spacing w:line="240" w:lineRule="atLeast"/>
              <w:rPr>
                <w:b/>
              </w:rPr>
            </w:pPr>
            <w:bookmarkStart w:id="6" w:name="ddate" w:colFirst="1" w:colLast="1"/>
            <w:bookmarkEnd w:id="0"/>
            <w:bookmarkEnd w:id="1"/>
          </w:p>
        </w:tc>
        <w:tc>
          <w:tcPr>
            <w:tcW w:w="5245" w:type="dxa"/>
          </w:tcPr>
          <w:p w14:paraId="55371C25" w14:textId="60030381" w:rsidR="00AD3606" w:rsidRPr="00C0458D" w:rsidRDefault="00007948" w:rsidP="00AD3606">
            <w:pPr>
              <w:tabs>
                <w:tab w:val="left" w:pos="851"/>
              </w:tabs>
              <w:spacing w:before="0"/>
              <w:jc w:val="right"/>
              <w:rPr>
                <w:b/>
              </w:rPr>
            </w:pPr>
            <w:r>
              <w:rPr>
                <w:b/>
              </w:rPr>
              <w:t>2025</w:t>
            </w:r>
            <w:r w:rsidR="00791B97">
              <w:rPr>
                <w:rFonts w:hint="eastAsia"/>
                <w:b/>
                <w:lang w:eastAsia="zh-CN"/>
              </w:rPr>
              <w:t>年</w:t>
            </w:r>
            <w:r w:rsidR="00791B97">
              <w:rPr>
                <w:rFonts w:hint="eastAsia"/>
                <w:b/>
                <w:lang w:eastAsia="zh-CN"/>
              </w:rPr>
              <w:t>4</w:t>
            </w:r>
            <w:r w:rsidR="00791B97">
              <w:rPr>
                <w:rFonts w:hint="eastAsia"/>
                <w:b/>
                <w:lang w:eastAsia="zh-CN"/>
              </w:rPr>
              <w:t>月</w:t>
            </w:r>
            <w:r w:rsidR="007665AD">
              <w:rPr>
                <w:rFonts w:hint="eastAsia"/>
                <w:b/>
                <w:lang w:eastAsia="zh-CN"/>
              </w:rPr>
              <w:t>23</w:t>
            </w:r>
            <w:r w:rsidR="00791B97">
              <w:rPr>
                <w:rFonts w:hint="eastAsia"/>
                <w:b/>
                <w:lang w:eastAsia="zh-CN"/>
              </w:rPr>
              <w:t>日</w:t>
            </w:r>
          </w:p>
        </w:tc>
      </w:tr>
      <w:tr w:rsidR="00AD3606" w:rsidRPr="00C0458D" w14:paraId="75730376" w14:textId="77777777" w:rsidTr="00AD3606">
        <w:trPr>
          <w:cantSplit/>
          <w:trHeight w:val="23"/>
        </w:trPr>
        <w:tc>
          <w:tcPr>
            <w:tcW w:w="3969" w:type="dxa"/>
            <w:vMerge/>
          </w:tcPr>
          <w:p w14:paraId="298F937E" w14:textId="77777777" w:rsidR="00AD3606" w:rsidRPr="00C0458D" w:rsidRDefault="00AD3606" w:rsidP="00AD3606">
            <w:pPr>
              <w:tabs>
                <w:tab w:val="left" w:pos="851"/>
              </w:tabs>
              <w:spacing w:line="240" w:lineRule="atLeast"/>
              <w:rPr>
                <w:b/>
              </w:rPr>
            </w:pPr>
            <w:bookmarkStart w:id="7" w:name="dorlang" w:colFirst="1" w:colLast="1"/>
            <w:bookmarkEnd w:id="6"/>
          </w:p>
        </w:tc>
        <w:tc>
          <w:tcPr>
            <w:tcW w:w="5245" w:type="dxa"/>
          </w:tcPr>
          <w:p w14:paraId="041A065E" w14:textId="1773AF56" w:rsidR="00AD3606" w:rsidRPr="00C0458D" w:rsidRDefault="00791B97" w:rsidP="00AD3606">
            <w:pPr>
              <w:tabs>
                <w:tab w:val="left" w:pos="851"/>
              </w:tabs>
              <w:spacing w:before="0" w:line="240" w:lineRule="atLeast"/>
              <w:jc w:val="right"/>
              <w:rPr>
                <w:b/>
                <w:lang w:eastAsia="zh-CN"/>
              </w:rPr>
            </w:pPr>
            <w:r>
              <w:rPr>
                <w:rFonts w:hint="eastAsia"/>
                <w:b/>
                <w:lang w:eastAsia="zh-CN"/>
              </w:rPr>
              <w:t>原文：英文</w:t>
            </w:r>
          </w:p>
        </w:tc>
      </w:tr>
      <w:tr w:rsidR="00472BAD" w:rsidRPr="00C0458D" w14:paraId="14DA91C4" w14:textId="77777777" w:rsidTr="00AD3606">
        <w:trPr>
          <w:cantSplit/>
          <w:trHeight w:val="23"/>
        </w:trPr>
        <w:tc>
          <w:tcPr>
            <w:tcW w:w="3969" w:type="dxa"/>
          </w:tcPr>
          <w:p w14:paraId="5858B25D" w14:textId="29F7EE76" w:rsidR="00472BAD" w:rsidRPr="00C0458D" w:rsidRDefault="00472BAD" w:rsidP="00AD3606">
            <w:pPr>
              <w:tabs>
                <w:tab w:val="left" w:pos="851"/>
              </w:tabs>
              <w:spacing w:line="240" w:lineRule="atLeast"/>
              <w:rPr>
                <w:b/>
              </w:rPr>
            </w:pPr>
          </w:p>
        </w:tc>
        <w:tc>
          <w:tcPr>
            <w:tcW w:w="5245" w:type="dxa"/>
          </w:tcPr>
          <w:p w14:paraId="5DBF7439" w14:textId="77777777" w:rsidR="00472BAD" w:rsidRPr="00C0458D" w:rsidRDefault="00472BAD" w:rsidP="00AD3606">
            <w:pPr>
              <w:tabs>
                <w:tab w:val="left" w:pos="851"/>
              </w:tabs>
              <w:spacing w:before="0" w:line="240" w:lineRule="atLeast"/>
              <w:jc w:val="right"/>
              <w:rPr>
                <w:b/>
              </w:rPr>
            </w:pPr>
          </w:p>
        </w:tc>
      </w:tr>
      <w:tr w:rsidR="00AD3606" w:rsidRPr="00C0458D" w14:paraId="2481FF59" w14:textId="77777777" w:rsidTr="00AD3606">
        <w:trPr>
          <w:cantSplit/>
        </w:trPr>
        <w:tc>
          <w:tcPr>
            <w:tcW w:w="9214" w:type="dxa"/>
            <w:gridSpan w:val="2"/>
            <w:tcMar>
              <w:left w:w="0" w:type="dxa"/>
            </w:tcMar>
          </w:tcPr>
          <w:p w14:paraId="2016C4A0" w14:textId="2818C62C" w:rsidR="00AD3606" w:rsidRPr="000F7289" w:rsidRDefault="00791B97" w:rsidP="000F7289">
            <w:pPr>
              <w:pStyle w:val="Source"/>
              <w:framePr w:hSpace="0" w:wrap="auto" w:vAnchor="margin" w:hAnchor="text" w:xAlign="left" w:yAlign="inline"/>
            </w:pPr>
            <w:bookmarkStart w:id="8" w:name="dsource" w:colFirst="0" w:colLast="0"/>
            <w:bookmarkEnd w:id="7"/>
            <w:r>
              <w:rPr>
                <w:rFonts w:hint="eastAsia"/>
                <w:lang w:eastAsia="zh-CN"/>
              </w:rPr>
              <w:t>秘书长的报告</w:t>
            </w:r>
          </w:p>
        </w:tc>
      </w:tr>
      <w:tr w:rsidR="00AD3606" w:rsidRPr="00C0458D" w14:paraId="3A759762" w14:textId="77777777" w:rsidTr="00AD3606">
        <w:trPr>
          <w:cantSplit/>
        </w:trPr>
        <w:tc>
          <w:tcPr>
            <w:tcW w:w="9214" w:type="dxa"/>
            <w:gridSpan w:val="2"/>
            <w:tcMar>
              <w:left w:w="0" w:type="dxa"/>
            </w:tcMar>
          </w:tcPr>
          <w:p w14:paraId="2A2DCF47" w14:textId="285D0BA0" w:rsidR="00AD3606" w:rsidRPr="000F7289" w:rsidRDefault="00791B97" w:rsidP="000F7289">
            <w:pPr>
              <w:pStyle w:val="Subtitle"/>
              <w:framePr w:hSpace="0" w:wrap="auto" w:xAlign="left" w:yAlign="inline"/>
              <w:rPr>
                <w:lang w:eastAsia="zh-CN"/>
              </w:rPr>
            </w:pPr>
            <w:bookmarkStart w:id="9" w:name="dtitle1" w:colFirst="0" w:colLast="0"/>
            <w:bookmarkEnd w:id="8"/>
            <w:r w:rsidRPr="00791B97">
              <w:rPr>
                <w:rFonts w:hint="eastAsia"/>
                <w:caps/>
                <w:lang w:eastAsia="zh-CN"/>
              </w:rPr>
              <w:t>将外部审计员</w:t>
            </w:r>
            <w:r w:rsidRPr="00791B97">
              <w:rPr>
                <w:rFonts w:hint="eastAsia"/>
                <w:caps/>
                <w:lang w:eastAsia="zh-CN"/>
              </w:rPr>
              <w:t xml:space="preserve"> </w:t>
            </w:r>
            <w:r>
              <w:rPr>
                <w:caps/>
                <w:lang w:eastAsia="zh-CN"/>
              </w:rPr>
              <w:t>–</w:t>
            </w:r>
            <w:r w:rsidRPr="00791B97">
              <w:rPr>
                <w:rFonts w:hint="eastAsia"/>
                <w:caps/>
                <w:lang w:eastAsia="zh-CN"/>
              </w:rPr>
              <w:t xml:space="preserve"> </w:t>
            </w:r>
            <w:r w:rsidRPr="00791B97">
              <w:rPr>
                <w:rFonts w:hint="eastAsia"/>
                <w:caps/>
                <w:lang w:eastAsia="zh-CN"/>
              </w:rPr>
              <w:t>英国国家审计署（</w:t>
            </w:r>
            <w:r w:rsidRPr="00791B97">
              <w:rPr>
                <w:rFonts w:hint="eastAsia"/>
                <w:caps/>
                <w:lang w:eastAsia="zh-CN"/>
              </w:rPr>
              <w:t>NAO</w:t>
            </w:r>
            <w:r w:rsidRPr="00791B97">
              <w:rPr>
                <w:rFonts w:hint="eastAsia"/>
                <w:caps/>
                <w:lang w:eastAsia="zh-CN"/>
              </w:rPr>
              <w:t>）</w:t>
            </w:r>
            <w:r>
              <w:rPr>
                <w:rFonts w:hint="eastAsia"/>
                <w:caps/>
                <w:lang w:eastAsia="zh-CN"/>
              </w:rPr>
              <w:t xml:space="preserve"> </w:t>
            </w:r>
            <w:r>
              <w:rPr>
                <w:caps/>
                <w:lang w:eastAsia="zh-CN"/>
              </w:rPr>
              <w:t>–</w:t>
            </w:r>
            <w:r>
              <w:rPr>
                <w:rFonts w:hint="eastAsia"/>
                <w:caps/>
                <w:lang w:eastAsia="zh-CN"/>
              </w:rPr>
              <w:t xml:space="preserve"> </w:t>
            </w:r>
            <w:r w:rsidRPr="00791B97">
              <w:rPr>
                <w:rFonts w:hint="eastAsia"/>
                <w:caps/>
                <w:lang w:eastAsia="zh-CN"/>
              </w:rPr>
              <w:t>的授权期</w:t>
            </w:r>
            <w:r>
              <w:rPr>
                <w:rFonts w:hint="eastAsia"/>
                <w:caps/>
                <w:lang w:eastAsia="zh-CN"/>
              </w:rPr>
              <w:t>延长</w:t>
            </w:r>
            <w:r w:rsidRPr="00791B97">
              <w:rPr>
                <w:rFonts w:hint="eastAsia"/>
                <w:caps/>
                <w:lang w:eastAsia="zh-CN"/>
              </w:rPr>
              <w:t>两年</w:t>
            </w:r>
          </w:p>
        </w:tc>
      </w:tr>
      <w:tr w:rsidR="00AD3606" w:rsidRPr="00C0458D" w14:paraId="72B25568" w14:textId="77777777" w:rsidTr="00AD3606">
        <w:trPr>
          <w:cantSplit/>
        </w:trPr>
        <w:tc>
          <w:tcPr>
            <w:tcW w:w="9214" w:type="dxa"/>
            <w:gridSpan w:val="2"/>
            <w:tcBorders>
              <w:top w:val="single" w:sz="4" w:space="0" w:color="auto"/>
              <w:bottom w:val="single" w:sz="4" w:space="0" w:color="auto"/>
            </w:tcBorders>
            <w:tcMar>
              <w:left w:w="0" w:type="dxa"/>
            </w:tcMar>
          </w:tcPr>
          <w:p w14:paraId="4C3D541B" w14:textId="65D39699" w:rsidR="00AD3606" w:rsidRPr="00C0458D" w:rsidRDefault="00791B97" w:rsidP="00F16BAB">
            <w:pPr>
              <w:spacing w:before="160"/>
              <w:rPr>
                <w:b/>
                <w:bCs/>
                <w:sz w:val="26"/>
                <w:szCs w:val="26"/>
                <w:lang w:eastAsia="zh-CN"/>
              </w:rPr>
            </w:pPr>
            <w:r>
              <w:rPr>
                <w:rFonts w:hint="eastAsia"/>
                <w:b/>
                <w:bCs/>
                <w:sz w:val="26"/>
                <w:szCs w:val="26"/>
                <w:lang w:eastAsia="zh-CN"/>
              </w:rPr>
              <w:t>目的</w:t>
            </w:r>
          </w:p>
          <w:p w14:paraId="67D070EA" w14:textId="2624B29A" w:rsidR="00AD3606" w:rsidRPr="00C0458D" w:rsidRDefault="007665AD" w:rsidP="00235FC4">
            <w:pPr>
              <w:ind w:firstLineChars="200" w:firstLine="480"/>
              <w:rPr>
                <w:lang w:eastAsia="zh-CN"/>
              </w:rPr>
            </w:pPr>
            <w:r w:rsidRPr="007665AD">
              <w:rPr>
                <w:rFonts w:hint="eastAsia"/>
                <w:lang w:eastAsia="zh-CN"/>
              </w:rPr>
              <w:t>秘书长提议将英国国家审计署（</w:t>
            </w:r>
            <w:r w:rsidRPr="007665AD">
              <w:rPr>
                <w:rFonts w:hint="eastAsia"/>
                <w:lang w:eastAsia="zh-CN"/>
              </w:rPr>
              <w:t>NAO</w:t>
            </w:r>
            <w:r w:rsidRPr="007665AD">
              <w:rPr>
                <w:rFonts w:hint="eastAsia"/>
                <w:lang w:eastAsia="zh-CN"/>
              </w:rPr>
              <w:t>）作为国际电联外部审计员的授权期</w:t>
            </w:r>
            <w:r>
              <w:rPr>
                <w:rFonts w:hint="eastAsia"/>
                <w:lang w:eastAsia="zh-CN"/>
              </w:rPr>
              <w:t>延长</w:t>
            </w:r>
            <w:r w:rsidRPr="007665AD">
              <w:rPr>
                <w:rFonts w:hint="eastAsia"/>
                <w:lang w:eastAsia="zh-CN"/>
              </w:rPr>
              <w:t>两年，涵盖</w:t>
            </w:r>
            <w:r w:rsidRPr="007665AD">
              <w:rPr>
                <w:rFonts w:hint="eastAsia"/>
                <w:lang w:eastAsia="zh-CN"/>
              </w:rPr>
              <w:t>2026</w:t>
            </w:r>
            <w:r w:rsidRPr="007665AD">
              <w:rPr>
                <w:rFonts w:hint="eastAsia"/>
                <w:lang w:eastAsia="zh-CN"/>
              </w:rPr>
              <w:t>年和</w:t>
            </w:r>
            <w:r w:rsidRPr="007665AD">
              <w:rPr>
                <w:rFonts w:hint="eastAsia"/>
                <w:lang w:eastAsia="zh-CN"/>
              </w:rPr>
              <w:t>2027</w:t>
            </w:r>
            <w:r w:rsidRPr="007665AD">
              <w:rPr>
                <w:rFonts w:hint="eastAsia"/>
                <w:lang w:eastAsia="zh-CN"/>
              </w:rPr>
              <w:t>年的财务报表。</w:t>
            </w:r>
            <w:r w:rsidRPr="007665AD">
              <w:rPr>
                <w:rFonts w:hint="eastAsia"/>
                <w:lang w:eastAsia="zh-CN"/>
              </w:rPr>
              <w:t>2020</w:t>
            </w:r>
            <w:r w:rsidRPr="007665AD">
              <w:rPr>
                <w:rFonts w:hint="eastAsia"/>
                <w:lang w:eastAsia="zh-CN"/>
              </w:rPr>
              <w:t>年</w:t>
            </w:r>
            <w:r>
              <w:rPr>
                <w:rFonts w:hint="eastAsia"/>
                <w:lang w:eastAsia="zh-CN"/>
              </w:rPr>
              <w:t>的</w:t>
            </w:r>
            <w:r w:rsidRPr="007665AD">
              <w:rPr>
                <w:rFonts w:hint="eastAsia"/>
                <w:lang w:eastAsia="zh-CN"/>
              </w:rPr>
              <w:t>全面评估确定</w:t>
            </w:r>
            <w:r w:rsidRPr="007665AD">
              <w:rPr>
                <w:rFonts w:hint="eastAsia"/>
                <w:lang w:eastAsia="zh-CN"/>
              </w:rPr>
              <w:t>NAO</w:t>
            </w:r>
            <w:r w:rsidRPr="007665AD">
              <w:rPr>
                <w:rFonts w:hint="eastAsia"/>
                <w:lang w:eastAsia="zh-CN"/>
              </w:rPr>
              <w:t>在技术能力和审计服务</w:t>
            </w:r>
            <w:r>
              <w:rPr>
                <w:rFonts w:hint="eastAsia"/>
                <w:lang w:eastAsia="zh-CN"/>
              </w:rPr>
              <w:t>费用</w:t>
            </w:r>
            <w:r w:rsidRPr="007665AD">
              <w:rPr>
                <w:rFonts w:hint="eastAsia"/>
                <w:lang w:eastAsia="zh-CN"/>
              </w:rPr>
              <w:t>方面物有所值</w:t>
            </w:r>
            <w:r>
              <w:rPr>
                <w:rFonts w:hint="eastAsia"/>
                <w:lang w:eastAsia="zh-CN"/>
              </w:rPr>
              <w:t>，基于此，提出了</w:t>
            </w:r>
            <w:r w:rsidRPr="007665AD">
              <w:rPr>
                <w:rFonts w:hint="eastAsia"/>
                <w:lang w:eastAsia="zh-CN"/>
              </w:rPr>
              <w:t>该建议</w:t>
            </w:r>
            <w:r>
              <w:rPr>
                <w:rFonts w:hint="eastAsia"/>
                <w:lang w:eastAsia="zh-CN"/>
              </w:rPr>
              <w:t>。</w:t>
            </w:r>
            <w:r w:rsidR="00791B97" w:rsidRPr="00791B97">
              <w:rPr>
                <w:rFonts w:hint="eastAsia"/>
                <w:lang w:eastAsia="zh-CN"/>
              </w:rPr>
              <w:t>外部审计员（</w:t>
            </w:r>
            <w:r w:rsidR="00791B97" w:rsidRPr="00791B97">
              <w:rPr>
                <w:rFonts w:hint="eastAsia"/>
                <w:lang w:eastAsia="zh-CN"/>
              </w:rPr>
              <w:t>NAO</w:t>
            </w:r>
            <w:r w:rsidR="00791B97" w:rsidRPr="00791B97">
              <w:rPr>
                <w:rFonts w:hint="eastAsia"/>
                <w:lang w:eastAsia="zh-CN"/>
              </w:rPr>
              <w:t>）</w:t>
            </w:r>
            <w:r>
              <w:rPr>
                <w:rFonts w:hint="eastAsia"/>
                <w:lang w:eastAsia="zh-CN"/>
              </w:rPr>
              <w:t>当前</w:t>
            </w:r>
            <w:r w:rsidR="00791B97" w:rsidRPr="00791B97">
              <w:rPr>
                <w:rFonts w:hint="eastAsia"/>
                <w:lang w:eastAsia="zh-CN"/>
              </w:rPr>
              <w:t>有关</w:t>
            </w:r>
            <w:r w:rsidR="00791B97" w:rsidRPr="00791B97">
              <w:rPr>
                <w:rFonts w:hint="eastAsia"/>
                <w:lang w:eastAsia="zh-CN"/>
              </w:rPr>
              <w:t>2022</w:t>
            </w:r>
            <w:r w:rsidR="00791B97" w:rsidRPr="00791B97">
              <w:rPr>
                <w:rFonts w:hint="eastAsia"/>
                <w:lang w:eastAsia="zh-CN"/>
              </w:rPr>
              <w:t>、</w:t>
            </w:r>
            <w:r w:rsidR="00791B97" w:rsidRPr="00791B97">
              <w:rPr>
                <w:rFonts w:hint="eastAsia"/>
                <w:lang w:eastAsia="zh-CN"/>
              </w:rPr>
              <w:t>2023</w:t>
            </w:r>
            <w:r w:rsidR="00791B97" w:rsidRPr="00791B97">
              <w:rPr>
                <w:rFonts w:hint="eastAsia"/>
                <w:lang w:eastAsia="zh-CN"/>
              </w:rPr>
              <w:t>、</w:t>
            </w:r>
            <w:r w:rsidR="00791B97" w:rsidRPr="00791B97">
              <w:rPr>
                <w:rFonts w:hint="eastAsia"/>
                <w:lang w:eastAsia="zh-CN"/>
              </w:rPr>
              <w:t>2024</w:t>
            </w:r>
            <w:r w:rsidR="00791B97" w:rsidRPr="00791B97">
              <w:rPr>
                <w:rFonts w:hint="eastAsia"/>
                <w:lang w:eastAsia="zh-CN"/>
              </w:rPr>
              <w:t>和</w:t>
            </w:r>
            <w:r w:rsidR="00791B97" w:rsidRPr="00791B97">
              <w:rPr>
                <w:rFonts w:hint="eastAsia"/>
                <w:lang w:eastAsia="zh-CN"/>
              </w:rPr>
              <w:t>2025</w:t>
            </w:r>
            <w:r w:rsidR="00791B97" w:rsidRPr="00791B97">
              <w:rPr>
                <w:rFonts w:hint="eastAsia"/>
                <w:lang w:eastAsia="zh-CN"/>
              </w:rPr>
              <w:t>年财务报表</w:t>
            </w:r>
            <w:r w:rsidR="00791B97">
              <w:rPr>
                <w:rFonts w:hint="eastAsia"/>
                <w:lang w:eastAsia="zh-CN"/>
              </w:rPr>
              <w:t>的</w:t>
            </w:r>
            <w:r w:rsidR="00791B97" w:rsidRPr="00791B97">
              <w:rPr>
                <w:rFonts w:hint="eastAsia"/>
                <w:lang w:eastAsia="zh-CN"/>
              </w:rPr>
              <w:t>审计职责将于</w:t>
            </w:r>
            <w:r w:rsidR="00791B97" w:rsidRPr="00791B97">
              <w:rPr>
                <w:rFonts w:hint="eastAsia"/>
                <w:lang w:eastAsia="zh-CN"/>
              </w:rPr>
              <w:t>2026</w:t>
            </w:r>
            <w:r w:rsidR="00791B97" w:rsidRPr="00791B97">
              <w:rPr>
                <w:rFonts w:hint="eastAsia"/>
                <w:lang w:eastAsia="zh-CN"/>
              </w:rPr>
              <w:t>年</w:t>
            </w:r>
            <w:r w:rsidR="00791B97" w:rsidRPr="00791B97">
              <w:rPr>
                <w:rFonts w:hint="eastAsia"/>
                <w:lang w:eastAsia="zh-CN"/>
              </w:rPr>
              <w:t>6</w:t>
            </w:r>
            <w:r w:rsidR="00791B97" w:rsidRPr="00791B97">
              <w:rPr>
                <w:rFonts w:hint="eastAsia"/>
                <w:lang w:eastAsia="zh-CN"/>
              </w:rPr>
              <w:t>月</w:t>
            </w:r>
            <w:r w:rsidR="00791B97" w:rsidRPr="00791B97">
              <w:rPr>
                <w:rFonts w:hint="eastAsia"/>
                <w:lang w:eastAsia="zh-CN"/>
              </w:rPr>
              <w:t>30</w:t>
            </w:r>
            <w:r w:rsidR="00791B97" w:rsidRPr="00791B97">
              <w:rPr>
                <w:rFonts w:hint="eastAsia"/>
                <w:lang w:eastAsia="zh-CN"/>
              </w:rPr>
              <w:t>日结束。根据《财务规则》第</w:t>
            </w:r>
            <w:r w:rsidR="00791B97" w:rsidRPr="00791B97">
              <w:rPr>
                <w:rFonts w:hint="eastAsia"/>
                <w:lang w:eastAsia="zh-CN"/>
              </w:rPr>
              <w:t>28</w:t>
            </w:r>
            <w:r w:rsidR="00791B97" w:rsidRPr="00791B97">
              <w:rPr>
                <w:rFonts w:hint="eastAsia"/>
                <w:lang w:eastAsia="zh-CN"/>
              </w:rPr>
              <w:t>条第</w:t>
            </w:r>
            <w:r w:rsidR="00791B97" w:rsidRPr="00791B97">
              <w:rPr>
                <w:rFonts w:hint="eastAsia"/>
                <w:lang w:eastAsia="zh-CN"/>
              </w:rPr>
              <w:t>2</w:t>
            </w:r>
            <w:r w:rsidR="00791B97" w:rsidRPr="00791B97">
              <w:rPr>
                <w:rFonts w:hint="eastAsia"/>
                <w:lang w:eastAsia="zh-CN"/>
              </w:rPr>
              <w:t>段，</w:t>
            </w:r>
            <w:r>
              <w:rPr>
                <w:rFonts w:hint="eastAsia"/>
                <w:lang w:eastAsia="zh-CN"/>
              </w:rPr>
              <w:t>同时</w:t>
            </w:r>
            <w:r w:rsidRPr="007665AD">
              <w:rPr>
                <w:rFonts w:hint="eastAsia"/>
                <w:lang w:eastAsia="zh-CN"/>
              </w:rPr>
              <w:t>根据</w:t>
            </w:r>
            <w:r>
              <w:rPr>
                <w:rFonts w:hint="eastAsia"/>
                <w:lang w:eastAsia="zh-CN"/>
              </w:rPr>
              <w:t>对</w:t>
            </w:r>
            <w:r w:rsidRPr="007665AD">
              <w:rPr>
                <w:rFonts w:hint="eastAsia"/>
                <w:lang w:eastAsia="zh-CN"/>
              </w:rPr>
              <w:t>前任审计员</w:t>
            </w:r>
            <w:r w:rsidR="00716694">
              <w:rPr>
                <w:rFonts w:hint="eastAsia"/>
                <w:lang w:eastAsia="zh-CN"/>
              </w:rPr>
              <w:t>采取</w:t>
            </w:r>
            <w:r w:rsidRPr="007665AD">
              <w:rPr>
                <w:rFonts w:hint="eastAsia"/>
                <w:lang w:eastAsia="zh-CN"/>
              </w:rPr>
              <w:t>的标准做法</w:t>
            </w:r>
            <w:r>
              <w:rPr>
                <w:rFonts w:hint="eastAsia"/>
                <w:lang w:eastAsia="zh-CN"/>
              </w:rPr>
              <w:t>，</w:t>
            </w:r>
            <w:r w:rsidR="00791B97" w:rsidRPr="00791B97">
              <w:rPr>
                <w:rFonts w:hint="eastAsia"/>
                <w:lang w:eastAsia="zh-CN"/>
              </w:rPr>
              <w:t>建议将外部审计员（</w:t>
            </w:r>
            <w:r w:rsidR="00791B97" w:rsidRPr="00791B97">
              <w:rPr>
                <w:rFonts w:hint="eastAsia"/>
                <w:lang w:eastAsia="zh-CN"/>
              </w:rPr>
              <w:t>NAO</w:t>
            </w:r>
            <w:r w:rsidR="00791B97" w:rsidRPr="00791B97">
              <w:rPr>
                <w:rFonts w:hint="eastAsia"/>
                <w:lang w:eastAsia="zh-CN"/>
              </w:rPr>
              <w:t>）的授权期</w:t>
            </w:r>
            <w:r w:rsidR="00791B97">
              <w:rPr>
                <w:rFonts w:hint="eastAsia"/>
                <w:lang w:eastAsia="zh-CN"/>
              </w:rPr>
              <w:t>延长</w:t>
            </w:r>
            <w:r w:rsidR="00791B97" w:rsidRPr="00791B97">
              <w:rPr>
                <w:rFonts w:hint="eastAsia"/>
                <w:lang w:eastAsia="zh-CN"/>
              </w:rPr>
              <w:t>两年，以便</w:t>
            </w:r>
            <w:r w:rsidR="00791B97">
              <w:rPr>
                <w:rFonts w:hint="eastAsia"/>
                <w:lang w:eastAsia="zh-CN"/>
              </w:rPr>
              <w:t>审计</w:t>
            </w:r>
            <w:r w:rsidR="00791B97" w:rsidRPr="00791B97">
              <w:rPr>
                <w:rFonts w:hint="eastAsia"/>
                <w:lang w:eastAsia="zh-CN"/>
              </w:rPr>
              <w:t>2026</w:t>
            </w:r>
            <w:r w:rsidR="00845BBD">
              <w:rPr>
                <w:rFonts w:hint="eastAsia"/>
                <w:lang w:eastAsia="zh-CN"/>
              </w:rPr>
              <w:t>年</w:t>
            </w:r>
            <w:r w:rsidR="00791B97" w:rsidRPr="00791B97">
              <w:rPr>
                <w:rFonts w:hint="eastAsia"/>
                <w:lang w:eastAsia="zh-CN"/>
              </w:rPr>
              <w:t>和</w:t>
            </w:r>
            <w:r w:rsidR="00791B97" w:rsidRPr="00791B97">
              <w:rPr>
                <w:rFonts w:hint="eastAsia"/>
                <w:lang w:eastAsia="zh-CN"/>
              </w:rPr>
              <w:t>2027</w:t>
            </w:r>
            <w:r w:rsidR="00791B97" w:rsidRPr="00791B97">
              <w:rPr>
                <w:rFonts w:hint="eastAsia"/>
                <w:lang w:eastAsia="zh-CN"/>
              </w:rPr>
              <w:t>年</w:t>
            </w:r>
            <w:r w:rsidR="00791B97">
              <w:rPr>
                <w:rFonts w:hint="eastAsia"/>
                <w:lang w:eastAsia="zh-CN"/>
              </w:rPr>
              <w:t>的</w:t>
            </w:r>
            <w:r w:rsidR="00791B97" w:rsidRPr="00791B97">
              <w:rPr>
                <w:rFonts w:hint="eastAsia"/>
                <w:lang w:eastAsia="zh-CN"/>
              </w:rPr>
              <w:t>财务报表。</w:t>
            </w:r>
          </w:p>
          <w:p w14:paraId="4288AA6F" w14:textId="0BCE77A9" w:rsidR="00AD3606" w:rsidRDefault="00791B97" w:rsidP="00F16BAB">
            <w:pPr>
              <w:spacing w:before="160"/>
              <w:rPr>
                <w:b/>
                <w:bCs/>
                <w:sz w:val="26"/>
                <w:szCs w:val="26"/>
                <w:lang w:eastAsia="zh-CN"/>
              </w:rPr>
            </w:pPr>
            <w:r w:rsidRPr="00791B97">
              <w:rPr>
                <w:rFonts w:hint="eastAsia"/>
                <w:b/>
                <w:bCs/>
                <w:sz w:val="26"/>
                <w:szCs w:val="26"/>
                <w:lang w:eastAsia="zh-CN"/>
              </w:rPr>
              <w:t>理事会需采取的行动</w:t>
            </w:r>
          </w:p>
          <w:p w14:paraId="6EDDC285" w14:textId="3C9DADE3" w:rsidR="0011568F" w:rsidRPr="00BF0AB4" w:rsidRDefault="0011568F" w:rsidP="0011568F">
            <w:pPr>
              <w:spacing w:after="120"/>
              <w:rPr>
                <w:lang w:val="en-US" w:eastAsia="zh-CN"/>
              </w:rPr>
            </w:pPr>
            <w:r w:rsidRPr="00BF0AB4">
              <w:rPr>
                <w:lang w:val="en-US" w:eastAsia="zh-CN"/>
              </w:rPr>
              <w:t>1)</w:t>
            </w:r>
            <w:r w:rsidRPr="00BF0AB4">
              <w:rPr>
                <w:lang w:val="en-US" w:eastAsia="zh-CN"/>
              </w:rPr>
              <w:tab/>
            </w:r>
            <w:r w:rsidR="00791B97">
              <w:rPr>
                <w:rFonts w:hint="eastAsia"/>
                <w:lang w:val="en-US" w:eastAsia="zh-CN"/>
              </w:rPr>
              <w:t>将本文件</w:t>
            </w:r>
            <w:r w:rsidR="00791B97" w:rsidRPr="00791B97">
              <w:rPr>
                <w:rFonts w:hint="eastAsia"/>
                <w:b/>
                <w:bCs/>
                <w:lang w:val="en-US" w:eastAsia="zh-CN"/>
              </w:rPr>
              <w:t>记录在案</w:t>
            </w:r>
            <w:r w:rsidR="00791B97">
              <w:rPr>
                <w:rFonts w:hint="eastAsia"/>
                <w:lang w:val="en-US" w:eastAsia="zh-CN"/>
              </w:rPr>
              <w:t>；</w:t>
            </w:r>
            <w:r w:rsidR="007665AD">
              <w:rPr>
                <w:rFonts w:hint="eastAsia"/>
                <w:lang w:val="en-US" w:eastAsia="zh-CN"/>
              </w:rPr>
              <w:t>和</w:t>
            </w:r>
          </w:p>
          <w:p w14:paraId="0FFF2D9B" w14:textId="7218BCF2" w:rsidR="00722551" w:rsidRDefault="005C6A42" w:rsidP="00722551">
            <w:pPr>
              <w:rPr>
                <w:lang w:val="en-US" w:eastAsia="zh-CN"/>
              </w:rPr>
            </w:pPr>
            <w:r>
              <w:rPr>
                <w:lang w:val="en-US" w:eastAsia="zh-CN"/>
              </w:rPr>
              <w:t>2)</w:t>
            </w:r>
            <w:r>
              <w:rPr>
                <w:lang w:val="en-US" w:eastAsia="zh-CN"/>
              </w:rPr>
              <w:tab/>
            </w:r>
            <w:r w:rsidR="00791B97">
              <w:rPr>
                <w:rFonts w:hint="eastAsia"/>
                <w:b/>
                <w:bCs/>
                <w:lang w:val="en-US" w:eastAsia="zh-CN"/>
              </w:rPr>
              <w:t>通过</w:t>
            </w:r>
            <w:r w:rsidR="00791B97">
              <w:rPr>
                <w:rFonts w:hint="eastAsia"/>
                <w:lang w:val="en-US" w:eastAsia="zh-CN"/>
              </w:rPr>
              <w:t>附件中的决定草案。</w:t>
            </w:r>
          </w:p>
          <w:p w14:paraId="5A39FFC8" w14:textId="695FC579" w:rsidR="007665AD" w:rsidRDefault="007665AD" w:rsidP="007665AD">
            <w:pPr>
              <w:spacing w:before="160"/>
              <w:rPr>
                <w:b/>
                <w:bCs/>
                <w:sz w:val="26"/>
                <w:szCs w:val="26"/>
                <w:lang w:eastAsia="zh-CN"/>
              </w:rPr>
            </w:pPr>
            <w:r w:rsidRPr="007665AD">
              <w:rPr>
                <w:rFonts w:hint="eastAsia"/>
                <w:b/>
                <w:bCs/>
                <w:sz w:val="26"/>
                <w:szCs w:val="26"/>
                <w:lang w:eastAsia="zh-CN"/>
              </w:rPr>
              <w:t>与《战略规划》的关联</w:t>
            </w:r>
          </w:p>
          <w:p w14:paraId="7E167B90" w14:textId="40884BBD" w:rsidR="007665AD" w:rsidRPr="00D56156" w:rsidRDefault="007665AD" w:rsidP="007665AD">
            <w:pPr>
              <w:rPr>
                <w:lang w:eastAsia="zh-CN"/>
              </w:rPr>
            </w:pPr>
            <w:r>
              <w:rPr>
                <w:rFonts w:hint="eastAsia"/>
                <w:lang w:eastAsia="zh-CN"/>
              </w:rPr>
              <w:t>不适用</w:t>
            </w:r>
          </w:p>
          <w:p w14:paraId="3F8F3055" w14:textId="15F44D35" w:rsidR="007665AD" w:rsidRDefault="007665AD" w:rsidP="007665AD">
            <w:pPr>
              <w:spacing w:before="160"/>
              <w:rPr>
                <w:b/>
                <w:bCs/>
                <w:sz w:val="26"/>
                <w:szCs w:val="26"/>
                <w:lang w:eastAsia="zh-CN"/>
              </w:rPr>
            </w:pPr>
            <w:r>
              <w:rPr>
                <w:rFonts w:hint="eastAsia"/>
                <w:b/>
                <w:bCs/>
                <w:sz w:val="26"/>
                <w:szCs w:val="26"/>
                <w:lang w:eastAsia="zh-CN"/>
              </w:rPr>
              <w:t>财务影响</w:t>
            </w:r>
          </w:p>
          <w:p w14:paraId="00F57B67" w14:textId="0D3D6788" w:rsidR="007665AD" w:rsidRPr="007665AD" w:rsidRDefault="007665AD" w:rsidP="007665AD">
            <w:pPr>
              <w:spacing w:before="160"/>
              <w:rPr>
                <w:szCs w:val="24"/>
                <w:lang w:eastAsia="zh-CN"/>
              </w:rPr>
            </w:pPr>
            <w:r>
              <w:rPr>
                <w:rFonts w:hint="eastAsia"/>
                <w:szCs w:val="24"/>
                <w:lang w:eastAsia="zh-CN"/>
              </w:rPr>
              <w:t>在</w:t>
            </w:r>
            <w:r w:rsidRPr="00027E8F">
              <w:rPr>
                <w:szCs w:val="24"/>
                <w:lang w:eastAsia="zh-CN"/>
              </w:rPr>
              <w:t>202</w:t>
            </w:r>
            <w:r>
              <w:rPr>
                <w:szCs w:val="24"/>
                <w:lang w:eastAsia="zh-CN"/>
              </w:rPr>
              <w:t>6</w:t>
            </w:r>
            <w:r w:rsidRPr="00027E8F">
              <w:rPr>
                <w:szCs w:val="24"/>
                <w:lang w:eastAsia="zh-CN"/>
              </w:rPr>
              <w:t>-202</w:t>
            </w:r>
            <w:r>
              <w:rPr>
                <w:szCs w:val="24"/>
                <w:lang w:eastAsia="zh-CN"/>
              </w:rPr>
              <w:t>7</w:t>
            </w:r>
            <w:r>
              <w:rPr>
                <w:rFonts w:hint="eastAsia"/>
                <w:szCs w:val="24"/>
                <w:lang w:eastAsia="zh-CN"/>
              </w:rPr>
              <w:t>年划拨预算范围内。</w:t>
            </w:r>
          </w:p>
          <w:p w14:paraId="08939791" w14:textId="77777777" w:rsidR="00C0458D" w:rsidRDefault="00C0458D">
            <w:pPr>
              <w:rPr>
                <w:lang w:eastAsia="zh-CN"/>
              </w:rPr>
            </w:pPr>
            <w:r>
              <w:rPr>
                <w:lang w:eastAsia="zh-CN"/>
              </w:rPr>
              <w:t>_______________</w:t>
            </w:r>
          </w:p>
          <w:p w14:paraId="212A584A" w14:textId="0026C8C6" w:rsidR="00AD3606" w:rsidRPr="00C0458D" w:rsidRDefault="00791B97" w:rsidP="00F16BAB">
            <w:pPr>
              <w:spacing w:before="160"/>
              <w:rPr>
                <w:b/>
                <w:bCs/>
                <w:sz w:val="26"/>
                <w:szCs w:val="26"/>
                <w:lang w:eastAsia="zh-CN"/>
              </w:rPr>
            </w:pPr>
            <w:r>
              <w:rPr>
                <w:rFonts w:hint="eastAsia"/>
                <w:b/>
                <w:bCs/>
                <w:sz w:val="26"/>
                <w:szCs w:val="26"/>
                <w:lang w:eastAsia="zh-CN"/>
              </w:rPr>
              <w:t>参考资料</w:t>
            </w:r>
          </w:p>
          <w:p w14:paraId="7089D4B7" w14:textId="0E3BCBA0" w:rsidR="00AD3606" w:rsidRPr="00791B97" w:rsidRDefault="00362846" w:rsidP="00A07996">
            <w:pPr>
              <w:spacing w:after="160"/>
              <w:rPr>
                <w:rFonts w:eastAsia="STKaiti"/>
                <w:sz w:val="22"/>
                <w:szCs w:val="22"/>
                <w:lang w:eastAsia="zh-CN"/>
              </w:rPr>
            </w:pPr>
            <w:r>
              <w:fldChar w:fldCharType="begin"/>
            </w:r>
            <w:r>
              <w:rPr>
                <w:lang w:eastAsia="zh-CN"/>
              </w:rPr>
              <w:instrText>HYPERLINK "https://www.itu.int/en/council/cwg-fhr/Pages/default.aspx"</w:instrText>
            </w:r>
            <w:r>
              <w:fldChar w:fldCharType="separate"/>
            </w:r>
            <w:r>
              <w:rPr>
                <w:rStyle w:val="Hyperlink"/>
                <w:rFonts w:eastAsia="STKaiti"/>
                <w:sz w:val="22"/>
                <w:szCs w:val="22"/>
                <w:lang w:eastAsia="zh-CN"/>
              </w:rPr>
              <w:t>理事会财务和人力资源工作组（</w:t>
            </w:r>
            <w:r>
              <w:rPr>
                <w:rStyle w:val="Hyperlink"/>
                <w:rFonts w:eastAsia="STKaiti"/>
                <w:sz w:val="22"/>
                <w:szCs w:val="22"/>
                <w:lang w:eastAsia="zh-CN"/>
              </w:rPr>
              <w:t>CWG-FHR</w:t>
            </w:r>
            <w:r>
              <w:rPr>
                <w:rStyle w:val="Hyperlink"/>
                <w:rFonts w:eastAsia="STKaiti"/>
                <w:sz w:val="22"/>
                <w:szCs w:val="22"/>
                <w:lang w:eastAsia="zh-CN"/>
              </w:rPr>
              <w:t>）网站</w:t>
            </w:r>
            <w:r>
              <w:fldChar w:fldCharType="end"/>
            </w:r>
            <w:r w:rsidR="00791B97" w:rsidRPr="00791B97">
              <w:rPr>
                <w:rFonts w:eastAsia="STKaiti" w:hint="eastAsia"/>
                <w:sz w:val="22"/>
                <w:szCs w:val="22"/>
                <w:lang w:eastAsia="zh-CN"/>
              </w:rPr>
              <w:t>；</w:t>
            </w:r>
            <w:hyperlink r:id="rId11" w:history="1">
              <w:r w:rsidR="00791B97">
                <w:rPr>
                  <w:rStyle w:val="Hyperlink"/>
                  <w:rFonts w:eastAsia="STKaiti"/>
                  <w:sz w:val="22"/>
                  <w:szCs w:val="22"/>
                  <w:lang w:eastAsia="zh-CN"/>
                </w:rPr>
                <w:t>C20/83</w:t>
              </w:r>
              <w:r w:rsidR="00791B97">
                <w:rPr>
                  <w:rStyle w:val="Hyperlink"/>
                  <w:rFonts w:eastAsia="STKaiti"/>
                  <w:sz w:val="22"/>
                  <w:szCs w:val="22"/>
                  <w:lang w:eastAsia="zh-CN"/>
                </w:rPr>
                <w:t>号文件</w:t>
              </w:r>
              <w:r w:rsidR="00791B97">
                <w:rPr>
                  <w:rStyle w:val="Hyperlink"/>
                  <w:rFonts w:eastAsia="STKaiti"/>
                  <w:sz w:val="22"/>
                  <w:szCs w:val="22"/>
                  <w:lang w:eastAsia="zh-CN"/>
                </w:rPr>
                <w:t xml:space="preserve"> </w:t>
              </w:r>
              <w:r w:rsidR="00791B97">
                <w:rPr>
                  <w:rStyle w:val="Hyperlink"/>
                  <w:rFonts w:eastAsia="STKaiti"/>
                  <w:sz w:val="22"/>
                  <w:szCs w:val="22"/>
                  <w:lang w:eastAsia="zh-CN"/>
                </w:rPr>
                <w:t xml:space="preserve">– </w:t>
              </w:r>
              <w:r w:rsidR="00791B97">
                <w:rPr>
                  <w:rStyle w:val="Hyperlink"/>
                  <w:rFonts w:eastAsia="STKaiti"/>
                  <w:sz w:val="22"/>
                  <w:szCs w:val="22"/>
                  <w:lang w:eastAsia="zh-CN"/>
                </w:rPr>
                <w:t>第</w:t>
              </w:r>
              <w:r w:rsidR="00791B97">
                <w:rPr>
                  <w:rStyle w:val="Hyperlink"/>
                  <w:rFonts w:eastAsia="STKaiti"/>
                  <w:sz w:val="22"/>
                  <w:szCs w:val="22"/>
                  <w:lang w:eastAsia="zh-CN"/>
                </w:rPr>
                <w:t>621</w:t>
              </w:r>
              <w:r w:rsidR="00791B97">
                <w:rPr>
                  <w:rStyle w:val="Hyperlink"/>
                  <w:rFonts w:eastAsia="STKaiti"/>
                  <w:sz w:val="22"/>
                  <w:szCs w:val="22"/>
                  <w:lang w:eastAsia="zh-CN"/>
                </w:rPr>
                <w:t>号决定</w:t>
              </w:r>
            </w:hyperlink>
            <w:r w:rsidR="00791B97">
              <w:rPr>
                <w:rFonts w:eastAsia="STKaiti" w:hint="eastAsia"/>
                <w:sz w:val="22"/>
                <w:szCs w:val="22"/>
                <w:lang w:eastAsia="zh-CN"/>
              </w:rPr>
              <w:t>；</w:t>
            </w:r>
            <w:r w:rsidR="00235FC4">
              <w:rPr>
                <w:rFonts w:eastAsia="STKaiti"/>
                <w:sz w:val="22"/>
                <w:szCs w:val="22"/>
                <w:lang w:val="en-US" w:eastAsia="zh-CN"/>
              </w:rPr>
              <w:br/>
            </w:r>
            <w:hyperlink r:id="rId12" w:history="1">
              <w:r w:rsidR="00791B97">
                <w:rPr>
                  <w:rStyle w:val="Hyperlink"/>
                  <w:rFonts w:eastAsia="STKaiti" w:cs="Calibri"/>
                  <w:sz w:val="22"/>
                  <w:szCs w:val="22"/>
                  <w:lang w:eastAsia="zh-CN"/>
                </w:rPr>
                <w:t>第</w:t>
              </w:r>
              <w:r w:rsidR="00791B97">
                <w:rPr>
                  <w:rStyle w:val="Hyperlink"/>
                  <w:rFonts w:eastAsia="STKaiti" w:cs="Calibri"/>
                  <w:sz w:val="22"/>
                  <w:szCs w:val="22"/>
                  <w:lang w:eastAsia="zh-CN"/>
                </w:rPr>
                <w:t>94</w:t>
              </w:r>
              <w:r w:rsidR="00791B97">
                <w:rPr>
                  <w:rStyle w:val="Hyperlink"/>
                  <w:rFonts w:eastAsia="STKaiti" w:cs="Calibri"/>
                  <w:sz w:val="22"/>
                  <w:szCs w:val="22"/>
                  <w:lang w:eastAsia="zh-CN"/>
                </w:rPr>
                <w:t>号决</w:t>
              </w:r>
              <w:r w:rsidR="00791B97">
                <w:rPr>
                  <w:rStyle w:val="Hyperlink"/>
                  <w:rFonts w:eastAsia="STKaiti" w:cs="Calibri"/>
                  <w:sz w:val="22"/>
                  <w:szCs w:val="22"/>
                  <w:lang w:eastAsia="zh-CN"/>
                </w:rPr>
                <w:t>议</w:t>
              </w:r>
              <w:r w:rsidR="00791B97">
                <w:rPr>
                  <w:rStyle w:val="Hyperlink"/>
                  <w:rFonts w:eastAsia="STKaiti" w:cs="Calibri"/>
                  <w:sz w:val="22"/>
                  <w:szCs w:val="22"/>
                  <w:lang w:eastAsia="zh-CN"/>
                </w:rPr>
                <w:t>（</w:t>
              </w:r>
              <w:r w:rsidR="00791B97">
                <w:rPr>
                  <w:rStyle w:val="Hyperlink"/>
                  <w:rFonts w:eastAsia="STKaiti" w:cs="Calibri"/>
                  <w:sz w:val="22"/>
                  <w:szCs w:val="22"/>
                  <w:lang w:eastAsia="zh-CN"/>
                </w:rPr>
                <w:t>2022</w:t>
              </w:r>
              <w:r w:rsidR="00791B97">
                <w:rPr>
                  <w:rStyle w:val="Hyperlink"/>
                  <w:rFonts w:eastAsia="STKaiti" w:cs="Calibri"/>
                  <w:sz w:val="22"/>
                  <w:szCs w:val="22"/>
                  <w:lang w:eastAsia="zh-CN"/>
                </w:rPr>
                <w:t>年，布</w:t>
              </w:r>
              <w:r w:rsidR="00791B97">
                <w:rPr>
                  <w:rStyle w:val="Hyperlink"/>
                  <w:rFonts w:eastAsia="STKaiti" w:cs="Calibri"/>
                  <w:sz w:val="22"/>
                  <w:szCs w:val="22"/>
                  <w:lang w:eastAsia="zh-CN"/>
                </w:rPr>
                <w:t>加</w:t>
              </w:r>
              <w:r w:rsidR="00791B97">
                <w:rPr>
                  <w:rStyle w:val="Hyperlink"/>
                  <w:rFonts w:eastAsia="STKaiti" w:cs="Calibri"/>
                  <w:sz w:val="22"/>
                  <w:szCs w:val="22"/>
                  <w:lang w:eastAsia="zh-CN"/>
                </w:rPr>
                <w:t>勒斯特，修订版）</w:t>
              </w:r>
            </w:hyperlink>
            <w:r w:rsidR="00791B97">
              <w:rPr>
                <w:rFonts w:eastAsia="STKaiti" w:hint="eastAsia"/>
                <w:sz w:val="22"/>
                <w:szCs w:val="22"/>
                <w:lang w:eastAsia="zh-CN"/>
              </w:rPr>
              <w:t>；</w:t>
            </w:r>
            <w:r w:rsidR="009836D5" w:rsidRPr="00791B97">
              <w:rPr>
                <w:rStyle w:val="Hyperlink"/>
                <w:rFonts w:eastAsia="STKaiti" w:cs="Calibri"/>
                <w:sz w:val="22"/>
                <w:szCs w:val="22"/>
                <w:u w:val="none"/>
                <w:lang w:eastAsia="zh-CN"/>
              </w:rPr>
              <w:br/>
            </w:r>
            <w:hyperlink r:id="rId13" w:history="1">
              <w:r w:rsidR="00791B97">
                <w:rPr>
                  <w:rStyle w:val="Hyperlink"/>
                  <w:rFonts w:eastAsia="STKaiti"/>
                  <w:sz w:val="22"/>
                  <w:szCs w:val="22"/>
                  <w:lang w:eastAsia="zh-CN"/>
                </w:rPr>
                <w:t>《财务规则》</w:t>
              </w:r>
            </w:hyperlink>
            <w:r w:rsidR="00791B97">
              <w:rPr>
                <w:rFonts w:eastAsia="STKaiti" w:hint="eastAsia"/>
                <w:sz w:val="22"/>
                <w:szCs w:val="22"/>
                <w:lang w:eastAsia="zh-CN"/>
              </w:rPr>
              <w:t>第</w:t>
            </w:r>
            <w:r w:rsidR="00791B97" w:rsidRPr="00791B97">
              <w:rPr>
                <w:rFonts w:eastAsia="STKaiti"/>
                <w:sz w:val="22"/>
                <w:szCs w:val="22"/>
                <w:lang w:eastAsia="zh-CN"/>
              </w:rPr>
              <w:t>28</w:t>
            </w:r>
            <w:r w:rsidR="00791B97">
              <w:rPr>
                <w:rFonts w:eastAsia="STKaiti" w:hint="eastAsia"/>
                <w:sz w:val="22"/>
                <w:szCs w:val="22"/>
                <w:lang w:eastAsia="zh-CN"/>
              </w:rPr>
              <w:t>条</w:t>
            </w:r>
          </w:p>
        </w:tc>
      </w:tr>
    </w:tbl>
    <w:p w14:paraId="3E836A65" w14:textId="77777777" w:rsidR="00E227F3" w:rsidRPr="00C0458D" w:rsidRDefault="00E227F3">
      <w:pPr>
        <w:tabs>
          <w:tab w:val="clear" w:pos="567"/>
          <w:tab w:val="clear" w:pos="1134"/>
          <w:tab w:val="clear" w:pos="1701"/>
          <w:tab w:val="clear" w:pos="2268"/>
          <w:tab w:val="clear" w:pos="2835"/>
        </w:tabs>
        <w:overflowPunct/>
        <w:autoSpaceDE/>
        <w:autoSpaceDN/>
        <w:adjustRightInd/>
        <w:spacing w:before="0"/>
        <w:textAlignment w:val="auto"/>
        <w:rPr>
          <w:lang w:eastAsia="zh-CN"/>
        </w:rPr>
      </w:pPr>
      <w:bookmarkStart w:id="10" w:name="_Hlk133421428"/>
      <w:bookmarkEnd w:id="2"/>
      <w:bookmarkEnd w:id="9"/>
    </w:p>
    <w:bookmarkEnd w:id="3"/>
    <w:bookmarkEnd w:id="4"/>
    <w:p w14:paraId="52958905" w14:textId="77777777" w:rsidR="0090147A" w:rsidRPr="00C0458D" w:rsidRDefault="0090147A">
      <w:pPr>
        <w:tabs>
          <w:tab w:val="clear" w:pos="567"/>
          <w:tab w:val="clear" w:pos="1134"/>
          <w:tab w:val="clear" w:pos="1701"/>
          <w:tab w:val="clear" w:pos="2268"/>
          <w:tab w:val="clear" w:pos="2835"/>
        </w:tabs>
        <w:overflowPunct/>
        <w:autoSpaceDE/>
        <w:autoSpaceDN/>
        <w:adjustRightInd/>
        <w:spacing w:before="0"/>
        <w:textAlignment w:val="auto"/>
        <w:rPr>
          <w:b/>
          <w:lang w:eastAsia="zh-CN"/>
        </w:rPr>
      </w:pPr>
      <w:r w:rsidRPr="00C0458D">
        <w:rPr>
          <w:lang w:eastAsia="zh-CN"/>
        </w:rPr>
        <w:br w:type="page"/>
      </w:r>
    </w:p>
    <w:bookmarkEnd w:id="5"/>
    <w:bookmarkEnd w:id="10"/>
    <w:p w14:paraId="63343394" w14:textId="6B5B6A79" w:rsidR="00CB56B7" w:rsidRPr="00CB56B7" w:rsidRDefault="00CB56B7" w:rsidP="00A07996">
      <w:pPr>
        <w:pStyle w:val="Heading1"/>
        <w:rPr>
          <w:lang w:eastAsia="zh-CN"/>
        </w:rPr>
      </w:pPr>
      <w:r w:rsidRPr="00CB56B7">
        <w:rPr>
          <w:lang w:eastAsia="zh-CN"/>
        </w:rPr>
        <w:lastRenderedPageBreak/>
        <w:t>I</w:t>
      </w:r>
      <w:r w:rsidRPr="00CB56B7">
        <w:rPr>
          <w:lang w:eastAsia="zh-CN"/>
        </w:rPr>
        <w:tab/>
      </w:r>
      <w:r w:rsidR="00356410">
        <w:rPr>
          <w:rFonts w:hint="eastAsia"/>
          <w:lang w:eastAsia="zh-CN"/>
        </w:rPr>
        <w:t>背景</w:t>
      </w:r>
    </w:p>
    <w:p w14:paraId="64AB9559" w14:textId="72A8E680" w:rsidR="00CB56B7" w:rsidRPr="00CB56B7" w:rsidRDefault="00356410" w:rsidP="00235FC4">
      <w:pPr>
        <w:ind w:firstLineChars="200" w:firstLine="480"/>
        <w:jc w:val="both"/>
        <w:rPr>
          <w:lang w:eastAsia="zh-CN"/>
        </w:rPr>
      </w:pPr>
      <w:r w:rsidRPr="00356410">
        <w:rPr>
          <w:rFonts w:hint="eastAsia"/>
          <w:lang w:eastAsia="zh-CN"/>
        </w:rPr>
        <w:t>2020</w:t>
      </w:r>
      <w:r w:rsidRPr="00356410">
        <w:rPr>
          <w:rFonts w:hint="eastAsia"/>
          <w:lang w:eastAsia="zh-CN"/>
        </w:rPr>
        <w:t>年，</w:t>
      </w:r>
      <w:r w:rsidR="002C1687">
        <w:rPr>
          <w:rFonts w:hint="eastAsia"/>
          <w:lang w:eastAsia="zh-CN"/>
        </w:rPr>
        <w:t>由国际电联各区域代表组成的</w:t>
      </w:r>
      <w:r w:rsidRPr="00356410">
        <w:rPr>
          <w:rFonts w:hint="eastAsia"/>
          <w:lang w:eastAsia="zh-CN"/>
        </w:rPr>
        <w:t>评</w:t>
      </w:r>
      <w:r>
        <w:rPr>
          <w:rFonts w:hint="eastAsia"/>
          <w:lang w:eastAsia="zh-CN"/>
        </w:rPr>
        <w:t>审</w:t>
      </w:r>
      <w:r w:rsidRPr="00356410">
        <w:rPr>
          <w:rFonts w:hint="eastAsia"/>
          <w:lang w:eastAsia="zh-CN"/>
        </w:rPr>
        <w:t>委员会审查和评估了技术和财务部分，并审议了同期收到的每份投标书的优</w:t>
      </w:r>
      <w:r>
        <w:rPr>
          <w:rFonts w:hint="eastAsia"/>
          <w:lang w:eastAsia="zh-CN"/>
        </w:rPr>
        <w:t>点</w:t>
      </w:r>
      <w:r w:rsidRPr="00356410">
        <w:rPr>
          <w:rFonts w:hint="eastAsia"/>
          <w:lang w:eastAsia="zh-CN"/>
        </w:rPr>
        <w:t>和</w:t>
      </w:r>
      <w:r>
        <w:rPr>
          <w:rFonts w:hint="eastAsia"/>
          <w:lang w:eastAsia="zh-CN"/>
        </w:rPr>
        <w:t>不足</w:t>
      </w:r>
      <w:r w:rsidRPr="00356410">
        <w:rPr>
          <w:rFonts w:hint="eastAsia"/>
          <w:lang w:eastAsia="zh-CN"/>
        </w:rPr>
        <w:t>。在向理事会提出建议时，</w:t>
      </w:r>
      <w:r>
        <w:rPr>
          <w:rFonts w:hint="eastAsia"/>
          <w:lang w:eastAsia="zh-CN"/>
        </w:rPr>
        <w:t>评审</w:t>
      </w:r>
      <w:r w:rsidRPr="00356410">
        <w:rPr>
          <w:rFonts w:hint="eastAsia"/>
          <w:lang w:eastAsia="zh-CN"/>
        </w:rPr>
        <w:t>委员会</w:t>
      </w:r>
      <w:r>
        <w:rPr>
          <w:rFonts w:hint="eastAsia"/>
          <w:lang w:eastAsia="zh-CN"/>
        </w:rPr>
        <w:t>需</w:t>
      </w:r>
      <w:r w:rsidRPr="00356410">
        <w:rPr>
          <w:rFonts w:hint="eastAsia"/>
          <w:lang w:eastAsia="zh-CN"/>
        </w:rPr>
        <w:t>权衡若干</w:t>
      </w:r>
      <w:r>
        <w:rPr>
          <w:rFonts w:hint="eastAsia"/>
          <w:lang w:eastAsia="zh-CN"/>
        </w:rPr>
        <w:t>竞争</w:t>
      </w:r>
      <w:r w:rsidRPr="00356410">
        <w:rPr>
          <w:rFonts w:hint="eastAsia"/>
          <w:lang w:eastAsia="zh-CN"/>
        </w:rPr>
        <w:t>因素，包括技术能力和审计服务成本。委员会</w:t>
      </w:r>
      <w:r>
        <w:rPr>
          <w:rFonts w:hint="eastAsia"/>
          <w:lang w:eastAsia="zh-CN"/>
        </w:rPr>
        <w:t>提出的</w:t>
      </w:r>
      <w:r w:rsidRPr="00356410">
        <w:rPr>
          <w:rFonts w:hint="eastAsia"/>
          <w:lang w:eastAsia="zh-CN"/>
        </w:rPr>
        <w:t>建议旨在确定性价比最高的投标。</w:t>
      </w:r>
    </w:p>
    <w:p w14:paraId="258D6D59" w14:textId="3BA383C3" w:rsidR="00CB56B7" w:rsidRPr="00CB56B7" w:rsidRDefault="00356410" w:rsidP="00235FC4">
      <w:pPr>
        <w:ind w:firstLineChars="200" w:firstLine="480"/>
        <w:jc w:val="both"/>
        <w:rPr>
          <w:lang w:eastAsia="zh-CN"/>
        </w:rPr>
      </w:pPr>
      <w:r w:rsidRPr="00356410">
        <w:rPr>
          <w:rFonts w:hint="eastAsia"/>
          <w:lang w:eastAsia="zh-CN"/>
        </w:rPr>
        <w:t>基于上述程序并</w:t>
      </w:r>
      <w:r w:rsidR="0019018D">
        <w:rPr>
          <w:rFonts w:hint="eastAsia"/>
          <w:lang w:eastAsia="zh-CN"/>
        </w:rPr>
        <w:t>考虑到</w:t>
      </w:r>
      <w:r w:rsidRPr="00356410">
        <w:rPr>
          <w:rFonts w:hint="eastAsia"/>
          <w:lang w:eastAsia="zh-CN"/>
        </w:rPr>
        <w:t>所有标准，评</w:t>
      </w:r>
      <w:r w:rsidR="0019018D">
        <w:rPr>
          <w:rFonts w:hint="eastAsia"/>
          <w:lang w:eastAsia="zh-CN"/>
        </w:rPr>
        <w:t>审</w:t>
      </w:r>
      <w:r w:rsidRPr="00356410">
        <w:rPr>
          <w:rFonts w:hint="eastAsia"/>
          <w:lang w:eastAsia="zh-CN"/>
        </w:rPr>
        <w:t>委员会同意向国际电联理事会建议</w:t>
      </w:r>
      <w:r w:rsidR="0019018D">
        <w:rPr>
          <w:rFonts w:hint="eastAsia"/>
          <w:lang w:eastAsia="zh-CN"/>
        </w:rPr>
        <w:t>，</w:t>
      </w:r>
      <w:r w:rsidRPr="00356410">
        <w:rPr>
          <w:rFonts w:hint="eastAsia"/>
          <w:lang w:eastAsia="zh-CN"/>
        </w:rPr>
        <w:t>任命英国国家审计署（</w:t>
      </w:r>
      <w:r w:rsidRPr="00356410">
        <w:rPr>
          <w:rFonts w:hint="eastAsia"/>
          <w:lang w:eastAsia="zh-CN"/>
        </w:rPr>
        <w:t>NAO</w:t>
      </w:r>
      <w:r w:rsidRPr="00356410">
        <w:rPr>
          <w:rFonts w:hint="eastAsia"/>
          <w:lang w:eastAsia="zh-CN"/>
        </w:rPr>
        <w:t>）为国际电联</w:t>
      </w:r>
      <w:r w:rsidRPr="00356410">
        <w:rPr>
          <w:rFonts w:hint="eastAsia"/>
          <w:lang w:eastAsia="zh-CN"/>
        </w:rPr>
        <w:t>2022/23</w:t>
      </w:r>
      <w:r w:rsidRPr="00356410">
        <w:rPr>
          <w:rFonts w:hint="eastAsia"/>
          <w:lang w:eastAsia="zh-CN"/>
        </w:rPr>
        <w:t>和</w:t>
      </w:r>
      <w:r w:rsidRPr="00356410">
        <w:rPr>
          <w:rFonts w:hint="eastAsia"/>
          <w:lang w:eastAsia="zh-CN"/>
        </w:rPr>
        <w:t>2024/25</w:t>
      </w:r>
      <w:r w:rsidRPr="00356410">
        <w:rPr>
          <w:rFonts w:hint="eastAsia"/>
          <w:lang w:eastAsia="zh-CN"/>
        </w:rPr>
        <w:t>财年的外部审计员。</w:t>
      </w:r>
    </w:p>
    <w:p w14:paraId="7187E95F" w14:textId="77777777" w:rsidR="002C1687" w:rsidRDefault="00356410" w:rsidP="002C1687">
      <w:pPr>
        <w:ind w:firstLineChars="200" w:firstLine="480"/>
        <w:jc w:val="both"/>
        <w:rPr>
          <w:lang w:eastAsia="zh-CN"/>
        </w:rPr>
      </w:pPr>
      <w:r w:rsidRPr="00356410">
        <w:rPr>
          <w:rFonts w:hint="eastAsia"/>
          <w:lang w:eastAsia="zh-CN"/>
        </w:rPr>
        <w:t>外部审计员（</w:t>
      </w:r>
      <w:r w:rsidRPr="00356410">
        <w:rPr>
          <w:rFonts w:hint="eastAsia"/>
          <w:lang w:eastAsia="zh-CN"/>
        </w:rPr>
        <w:t>NAO</w:t>
      </w:r>
      <w:r w:rsidRPr="00356410">
        <w:rPr>
          <w:rFonts w:hint="eastAsia"/>
          <w:lang w:eastAsia="zh-CN"/>
        </w:rPr>
        <w:t>）有关</w:t>
      </w:r>
      <w:r w:rsidRPr="00356410">
        <w:rPr>
          <w:rFonts w:hint="eastAsia"/>
          <w:lang w:eastAsia="zh-CN"/>
        </w:rPr>
        <w:t>2022</w:t>
      </w:r>
      <w:r w:rsidRPr="00356410">
        <w:rPr>
          <w:rFonts w:hint="eastAsia"/>
          <w:lang w:eastAsia="zh-CN"/>
        </w:rPr>
        <w:t>、</w:t>
      </w:r>
      <w:r w:rsidRPr="00356410">
        <w:rPr>
          <w:rFonts w:hint="eastAsia"/>
          <w:lang w:eastAsia="zh-CN"/>
        </w:rPr>
        <w:t>2023</w:t>
      </w:r>
      <w:r w:rsidRPr="00356410">
        <w:rPr>
          <w:rFonts w:hint="eastAsia"/>
          <w:lang w:eastAsia="zh-CN"/>
        </w:rPr>
        <w:t>、</w:t>
      </w:r>
      <w:r w:rsidRPr="00356410">
        <w:rPr>
          <w:rFonts w:hint="eastAsia"/>
          <w:lang w:eastAsia="zh-CN"/>
        </w:rPr>
        <w:t>2024</w:t>
      </w:r>
      <w:r w:rsidRPr="00356410">
        <w:rPr>
          <w:rFonts w:hint="eastAsia"/>
          <w:lang w:eastAsia="zh-CN"/>
        </w:rPr>
        <w:t>和</w:t>
      </w:r>
      <w:r w:rsidRPr="00356410">
        <w:rPr>
          <w:rFonts w:hint="eastAsia"/>
          <w:lang w:eastAsia="zh-CN"/>
        </w:rPr>
        <w:t>2025</w:t>
      </w:r>
      <w:r w:rsidRPr="00356410">
        <w:rPr>
          <w:rFonts w:hint="eastAsia"/>
          <w:lang w:eastAsia="zh-CN"/>
        </w:rPr>
        <w:t>年财务报表</w:t>
      </w:r>
      <w:r w:rsidR="0019018D">
        <w:rPr>
          <w:rFonts w:hint="eastAsia"/>
          <w:lang w:eastAsia="zh-CN"/>
        </w:rPr>
        <w:t>的</w:t>
      </w:r>
      <w:r w:rsidRPr="00356410">
        <w:rPr>
          <w:rFonts w:hint="eastAsia"/>
          <w:lang w:eastAsia="zh-CN"/>
        </w:rPr>
        <w:t>审计职责将于</w:t>
      </w:r>
      <w:r w:rsidRPr="00356410">
        <w:rPr>
          <w:rFonts w:hint="eastAsia"/>
          <w:lang w:eastAsia="zh-CN"/>
        </w:rPr>
        <w:t>2026</w:t>
      </w:r>
      <w:r w:rsidRPr="00356410">
        <w:rPr>
          <w:rFonts w:hint="eastAsia"/>
          <w:lang w:eastAsia="zh-CN"/>
        </w:rPr>
        <w:t>年</w:t>
      </w:r>
      <w:r w:rsidRPr="00356410">
        <w:rPr>
          <w:rFonts w:hint="eastAsia"/>
          <w:lang w:eastAsia="zh-CN"/>
        </w:rPr>
        <w:t>6</w:t>
      </w:r>
      <w:r w:rsidRPr="00356410">
        <w:rPr>
          <w:rFonts w:hint="eastAsia"/>
          <w:lang w:eastAsia="zh-CN"/>
        </w:rPr>
        <w:t>月</w:t>
      </w:r>
      <w:r w:rsidRPr="00356410">
        <w:rPr>
          <w:rFonts w:hint="eastAsia"/>
          <w:lang w:eastAsia="zh-CN"/>
        </w:rPr>
        <w:t>30</w:t>
      </w:r>
      <w:r w:rsidRPr="00356410">
        <w:rPr>
          <w:rFonts w:hint="eastAsia"/>
          <w:lang w:eastAsia="zh-CN"/>
        </w:rPr>
        <w:t>日结束。</w:t>
      </w:r>
    </w:p>
    <w:p w14:paraId="7A9DF7E8" w14:textId="7E063901" w:rsidR="002C1687" w:rsidRDefault="00362846" w:rsidP="002C1687">
      <w:pPr>
        <w:ind w:firstLineChars="200" w:firstLine="480"/>
        <w:jc w:val="both"/>
        <w:rPr>
          <w:lang w:eastAsia="zh-CN"/>
        </w:rPr>
      </w:pPr>
      <w:r w:rsidRPr="00362846">
        <w:rPr>
          <w:rFonts w:hint="eastAsia"/>
          <w:lang w:eastAsia="zh-CN"/>
        </w:rPr>
        <w:t>建议将</w:t>
      </w:r>
      <w:r w:rsidRPr="00362846">
        <w:rPr>
          <w:rFonts w:hint="eastAsia"/>
          <w:lang w:eastAsia="zh-CN"/>
        </w:rPr>
        <w:t>NAO</w:t>
      </w:r>
      <w:r w:rsidRPr="00362846">
        <w:rPr>
          <w:rFonts w:hint="eastAsia"/>
          <w:lang w:eastAsia="zh-CN"/>
        </w:rPr>
        <w:t>作为国际电联外部审计员的授权期</w:t>
      </w:r>
      <w:r>
        <w:rPr>
          <w:rFonts w:hint="eastAsia"/>
          <w:lang w:eastAsia="zh-CN"/>
        </w:rPr>
        <w:t>再延长</w:t>
      </w:r>
      <w:r w:rsidRPr="00362846">
        <w:rPr>
          <w:rFonts w:hint="eastAsia"/>
          <w:lang w:eastAsia="zh-CN"/>
        </w:rPr>
        <w:t>两年，涵盖</w:t>
      </w:r>
      <w:r w:rsidRPr="00362846">
        <w:rPr>
          <w:rFonts w:hint="eastAsia"/>
          <w:lang w:eastAsia="zh-CN"/>
        </w:rPr>
        <w:t>2026</w:t>
      </w:r>
      <w:r w:rsidRPr="00362846">
        <w:rPr>
          <w:rFonts w:hint="eastAsia"/>
          <w:lang w:eastAsia="zh-CN"/>
        </w:rPr>
        <w:t>年和</w:t>
      </w:r>
      <w:r w:rsidRPr="00362846">
        <w:rPr>
          <w:rFonts w:hint="eastAsia"/>
          <w:lang w:eastAsia="zh-CN"/>
        </w:rPr>
        <w:t>2027</w:t>
      </w:r>
      <w:r w:rsidRPr="00362846">
        <w:rPr>
          <w:rFonts w:hint="eastAsia"/>
          <w:lang w:eastAsia="zh-CN"/>
        </w:rPr>
        <w:t>年的财务报表</w:t>
      </w:r>
      <w:r>
        <w:rPr>
          <w:rFonts w:hint="eastAsia"/>
          <w:lang w:eastAsia="zh-CN"/>
        </w:rPr>
        <w:t>。</w:t>
      </w:r>
    </w:p>
    <w:p w14:paraId="0DFA83DE" w14:textId="2BE42A4A" w:rsidR="002C1687" w:rsidRDefault="00362846" w:rsidP="00362846">
      <w:pPr>
        <w:ind w:firstLineChars="200" w:firstLine="480"/>
        <w:jc w:val="both"/>
        <w:rPr>
          <w:lang w:eastAsia="zh-CN"/>
        </w:rPr>
      </w:pPr>
      <w:r w:rsidRPr="00362846">
        <w:rPr>
          <w:rFonts w:hint="eastAsia"/>
          <w:lang w:eastAsia="zh-CN"/>
        </w:rPr>
        <w:t>这</w:t>
      </w:r>
      <w:r>
        <w:rPr>
          <w:rFonts w:hint="eastAsia"/>
          <w:lang w:eastAsia="zh-CN"/>
        </w:rPr>
        <w:t>遵循了对</w:t>
      </w:r>
      <w:r w:rsidRPr="00362846">
        <w:rPr>
          <w:rFonts w:hint="eastAsia"/>
          <w:lang w:eastAsia="zh-CN"/>
        </w:rPr>
        <w:t>前任审计员</w:t>
      </w:r>
      <w:r>
        <w:rPr>
          <w:rFonts w:hint="eastAsia"/>
          <w:lang w:eastAsia="zh-CN"/>
        </w:rPr>
        <w:t>采取</w:t>
      </w:r>
      <w:r w:rsidRPr="00362846">
        <w:rPr>
          <w:rFonts w:hint="eastAsia"/>
          <w:lang w:eastAsia="zh-CN"/>
        </w:rPr>
        <w:t>的标准做法</w:t>
      </w:r>
      <w:r>
        <w:rPr>
          <w:rFonts w:hint="eastAsia"/>
          <w:lang w:eastAsia="zh-CN"/>
        </w:rPr>
        <w:t>，并</w:t>
      </w:r>
      <w:r w:rsidRPr="00362846">
        <w:rPr>
          <w:rFonts w:hint="eastAsia"/>
          <w:lang w:eastAsia="zh-CN"/>
        </w:rPr>
        <w:t>符合国际电联《财务规则》第</w:t>
      </w:r>
      <w:r w:rsidRPr="00362846">
        <w:rPr>
          <w:rFonts w:hint="eastAsia"/>
          <w:lang w:eastAsia="zh-CN"/>
        </w:rPr>
        <w:t>28</w:t>
      </w:r>
      <w:r w:rsidRPr="00362846">
        <w:rPr>
          <w:rFonts w:hint="eastAsia"/>
          <w:lang w:eastAsia="zh-CN"/>
        </w:rPr>
        <w:t>条第</w:t>
      </w:r>
      <w:r w:rsidRPr="00362846">
        <w:rPr>
          <w:rFonts w:hint="eastAsia"/>
          <w:lang w:eastAsia="zh-CN"/>
        </w:rPr>
        <w:t>2</w:t>
      </w:r>
      <w:r w:rsidRPr="00362846">
        <w:rPr>
          <w:rFonts w:hint="eastAsia"/>
          <w:lang w:eastAsia="zh-CN"/>
        </w:rPr>
        <w:t>段</w:t>
      </w:r>
      <w:r>
        <w:rPr>
          <w:rFonts w:hint="eastAsia"/>
          <w:lang w:eastAsia="zh-CN"/>
        </w:rPr>
        <w:t>的</w:t>
      </w:r>
      <w:r w:rsidRPr="00362846">
        <w:rPr>
          <w:rFonts w:hint="eastAsia"/>
          <w:lang w:eastAsia="zh-CN"/>
        </w:rPr>
        <w:t>规定：“</w:t>
      </w:r>
      <w:r>
        <w:rPr>
          <w:rFonts w:hint="eastAsia"/>
          <w:lang w:eastAsia="zh-CN"/>
        </w:rPr>
        <w:t>可在不经过竞争性遴选程序的情况下由理事会通过决定将该任期延期两年，并随后再延期两年。</w:t>
      </w:r>
      <w:r w:rsidRPr="00362846">
        <w:rPr>
          <w:rFonts w:hint="eastAsia"/>
          <w:lang w:eastAsia="zh-CN"/>
        </w:rPr>
        <w:t>”</w:t>
      </w:r>
    </w:p>
    <w:p w14:paraId="00E484F8" w14:textId="1D498B3A" w:rsidR="002C1687" w:rsidRPr="00CB56B7" w:rsidRDefault="002C1687" w:rsidP="002C1687">
      <w:pPr>
        <w:pStyle w:val="Heading1"/>
        <w:rPr>
          <w:lang w:val="en-US" w:eastAsia="zh-CN"/>
        </w:rPr>
      </w:pPr>
      <w:r w:rsidRPr="00CB56B7">
        <w:rPr>
          <w:lang w:val="en-US" w:eastAsia="zh-CN"/>
        </w:rPr>
        <w:t>II</w:t>
      </w:r>
      <w:r w:rsidRPr="00CB56B7">
        <w:rPr>
          <w:lang w:val="en-US" w:eastAsia="zh-CN"/>
        </w:rPr>
        <w:tab/>
      </w:r>
      <w:r>
        <w:rPr>
          <w:lang w:val="en-US" w:eastAsia="zh-CN"/>
        </w:rPr>
        <w:t>CWG-FHR</w:t>
      </w:r>
      <w:r w:rsidR="00362846">
        <w:rPr>
          <w:rFonts w:hint="eastAsia"/>
          <w:lang w:val="en-US" w:eastAsia="zh-CN"/>
        </w:rPr>
        <w:t>要求的信息</w:t>
      </w:r>
      <w:r>
        <w:rPr>
          <w:lang w:val="en-US" w:eastAsia="zh-CN"/>
        </w:rPr>
        <w:t xml:space="preserve"> – 2025</w:t>
      </w:r>
      <w:r w:rsidR="00362846">
        <w:rPr>
          <w:rFonts w:hint="eastAsia"/>
          <w:lang w:val="en-US" w:eastAsia="zh-CN"/>
        </w:rPr>
        <w:t>年</w:t>
      </w:r>
      <w:r w:rsidR="00362846">
        <w:rPr>
          <w:rFonts w:hint="eastAsia"/>
          <w:lang w:val="en-US" w:eastAsia="zh-CN"/>
        </w:rPr>
        <w:t>2</w:t>
      </w:r>
      <w:r w:rsidR="00362846">
        <w:rPr>
          <w:rFonts w:hint="eastAsia"/>
          <w:lang w:val="en-US" w:eastAsia="zh-CN"/>
        </w:rPr>
        <w:t>月</w:t>
      </w:r>
    </w:p>
    <w:p w14:paraId="59CDD610" w14:textId="3CF809E8" w:rsidR="002C1687" w:rsidRPr="00D56156" w:rsidRDefault="00362846" w:rsidP="001A6F37">
      <w:pPr>
        <w:ind w:firstLineChars="200" w:firstLine="480"/>
        <w:jc w:val="both"/>
        <w:rPr>
          <w:rFonts w:asciiTheme="minorHAnsi" w:hAnsiTheme="minorHAnsi" w:cstheme="minorHAnsi"/>
          <w:lang w:eastAsia="zh-CN"/>
        </w:rPr>
      </w:pPr>
      <w:r w:rsidRPr="00362846">
        <w:rPr>
          <w:rFonts w:asciiTheme="minorHAnsi" w:hAnsiTheme="minorHAnsi" w:cstheme="minorHAnsi" w:hint="eastAsia"/>
          <w:lang w:eastAsia="zh-CN"/>
        </w:rPr>
        <w:t>以下是对上述会议期间所提问题的答复</w:t>
      </w:r>
      <w:r>
        <w:rPr>
          <w:rFonts w:asciiTheme="minorHAnsi" w:hAnsiTheme="minorHAnsi" w:cstheme="minorHAnsi" w:hint="eastAsia"/>
          <w:lang w:eastAsia="zh-CN"/>
        </w:rPr>
        <w:t>。</w:t>
      </w:r>
    </w:p>
    <w:p w14:paraId="489A17F4" w14:textId="78F4CD7E" w:rsidR="002C1687" w:rsidRPr="00D56156" w:rsidRDefault="00362846" w:rsidP="002C1687">
      <w:pPr>
        <w:pStyle w:val="Headingb"/>
        <w:rPr>
          <w:lang w:eastAsia="zh-CN"/>
        </w:rPr>
      </w:pPr>
      <w:r w:rsidRPr="00362846">
        <w:rPr>
          <w:rFonts w:hint="eastAsia"/>
          <w:lang w:eastAsia="zh-CN"/>
        </w:rPr>
        <w:t>在不启动新的招标程序的情况下延长授权</w:t>
      </w:r>
      <w:r w:rsidR="002C35EE">
        <w:rPr>
          <w:rFonts w:hint="eastAsia"/>
          <w:lang w:eastAsia="zh-CN"/>
        </w:rPr>
        <w:t>期</w:t>
      </w:r>
      <w:r w:rsidRPr="00362846">
        <w:rPr>
          <w:rFonts w:hint="eastAsia"/>
          <w:lang w:eastAsia="zh-CN"/>
        </w:rPr>
        <w:t>是否有财务优势？</w:t>
      </w:r>
    </w:p>
    <w:p w14:paraId="5A95BF69" w14:textId="24449270" w:rsidR="002C1687" w:rsidRPr="00D56156" w:rsidRDefault="002C35EE" w:rsidP="001A6F37">
      <w:pPr>
        <w:ind w:firstLineChars="200" w:firstLine="480"/>
        <w:rPr>
          <w:lang w:eastAsia="zh-CN"/>
        </w:rPr>
      </w:pPr>
      <w:r>
        <w:rPr>
          <w:rFonts w:hint="eastAsia"/>
          <w:lang w:eastAsia="zh-CN"/>
        </w:rPr>
        <w:t>除内部意见外：</w:t>
      </w:r>
    </w:p>
    <w:p w14:paraId="3DDCFBD5" w14:textId="5ED96E6E" w:rsidR="002C1687" w:rsidRPr="00D56156" w:rsidRDefault="002C1687" w:rsidP="002C1687">
      <w:pPr>
        <w:pStyle w:val="enumlev1"/>
        <w:jc w:val="both"/>
        <w:rPr>
          <w:lang w:eastAsia="zh-CN"/>
        </w:rPr>
      </w:pPr>
      <w:r>
        <w:rPr>
          <w:lang w:eastAsia="zh-CN"/>
        </w:rPr>
        <w:t>–</w:t>
      </w:r>
      <w:r>
        <w:rPr>
          <w:lang w:eastAsia="zh-CN"/>
        </w:rPr>
        <w:tab/>
      </w:r>
      <w:r w:rsidR="002C35EE" w:rsidRPr="002C35EE">
        <w:rPr>
          <w:rFonts w:hint="eastAsia"/>
          <w:lang w:eastAsia="zh-CN"/>
        </w:rPr>
        <w:t>联合国范围内的实践表明，在允许期限内延长外部审计员的授权</w:t>
      </w:r>
      <w:r w:rsidR="002C35EE">
        <w:rPr>
          <w:rFonts w:hint="eastAsia"/>
          <w:lang w:eastAsia="zh-CN"/>
        </w:rPr>
        <w:t>期</w:t>
      </w:r>
      <w:r w:rsidR="002C35EE" w:rsidRPr="002C35EE">
        <w:rPr>
          <w:rFonts w:hint="eastAsia"/>
          <w:lang w:eastAsia="zh-CN"/>
        </w:rPr>
        <w:t>，</w:t>
      </w:r>
      <w:r w:rsidR="00D30262">
        <w:rPr>
          <w:rFonts w:hint="eastAsia"/>
          <w:lang w:eastAsia="zh-CN"/>
        </w:rPr>
        <w:t>各</w:t>
      </w:r>
      <w:r w:rsidR="002C35EE" w:rsidRPr="002C35EE">
        <w:rPr>
          <w:rFonts w:hint="eastAsia"/>
          <w:lang w:eastAsia="zh-CN"/>
        </w:rPr>
        <w:t>组织可避免</w:t>
      </w:r>
      <w:r w:rsidR="002C35EE">
        <w:rPr>
          <w:rFonts w:hint="eastAsia"/>
          <w:lang w:eastAsia="zh-CN"/>
        </w:rPr>
        <w:t>产生</w:t>
      </w:r>
      <w:r w:rsidR="002C35EE" w:rsidRPr="002C35EE">
        <w:rPr>
          <w:rFonts w:hint="eastAsia"/>
          <w:lang w:eastAsia="zh-CN"/>
        </w:rPr>
        <w:t>与采购相关的直接成本（如广告、评标小组、入职培训</w:t>
      </w:r>
      <w:r w:rsidR="002C35EE">
        <w:rPr>
          <w:rFonts w:hint="eastAsia"/>
          <w:lang w:eastAsia="zh-CN"/>
        </w:rPr>
        <w:t>等</w:t>
      </w:r>
      <w:r w:rsidR="002C35EE" w:rsidRPr="002C35EE">
        <w:rPr>
          <w:rFonts w:hint="eastAsia"/>
          <w:lang w:eastAsia="zh-CN"/>
        </w:rPr>
        <w:t>）</w:t>
      </w:r>
      <w:r w:rsidR="002C35EE">
        <w:rPr>
          <w:rFonts w:hint="eastAsia"/>
          <w:lang w:eastAsia="zh-CN"/>
        </w:rPr>
        <w:t>。</w:t>
      </w:r>
    </w:p>
    <w:p w14:paraId="61B5E84D" w14:textId="5939E254" w:rsidR="002C1687" w:rsidRPr="00D56156" w:rsidRDefault="002C1687" w:rsidP="002C1687">
      <w:pPr>
        <w:pStyle w:val="enumlev1"/>
        <w:jc w:val="both"/>
        <w:rPr>
          <w:lang w:eastAsia="zh-CN"/>
        </w:rPr>
      </w:pPr>
      <w:r>
        <w:rPr>
          <w:lang w:eastAsia="zh-CN"/>
        </w:rPr>
        <w:t>–</w:t>
      </w:r>
      <w:r>
        <w:rPr>
          <w:lang w:eastAsia="zh-CN"/>
        </w:rPr>
        <w:tab/>
      </w:r>
      <w:r w:rsidR="002C35EE" w:rsidRPr="002C35EE">
        <w:rPr>
          <w:rFonts w:hint="eastAsia"/>
          <w:lang w:eastAsia="zh-CN"/>
        </w:rPr>
        <w:t>例如，</w:t>
      </w:r>
      <w:r w:rsidR="002C35EE">
        <w:rPr>
          <w:rFonts w:hint="eastAsia"/>
          <w:lang w:eastAsia="zh-CN"/>
        </w:rPr>
        <w:t>联合国教科文组织（</w:t>
      </w:r>
      <w:r w:rsidR="002C35EE" w:rsidRPr="002C35EE">
        <w:rPr>
          <w:rFonts w:hint="eastAsia"/>
          <w:lang w:eastAsia="zh-CN"/>
        </w:rPr>
        <w:t>UNESCO</w:t>
      </w:r>
      <w:r w:rsidR="002C35EE">
        <w:rPr>
          <w:rFonts w:hint="eastAsia"/>
          <w:lang w:eastAsia="zh-CN"/>
        </w:rPr>
        <w:t>）</w:t>
      </w:r>
      <w:r w:rsidR="002C35EE" w:rsidRPr="002C35EE">
        <w:rPr>
          <w:rFonts w:hint="eastAsia"/>
          <w:lang w:eastAsia="zh-CN"/>
        </w:rPr>
        <w:t>和</w:t>
      </w:r>
      <w:r w:rsidR="002C35EE">
        <w:rPr>
          <w:rFonts w:hint="eastAsia"/>
          <w:lang w:eastAsia="zh-CN"/>
        </w:rPr>
        <w:t>世界知识产权组织（</w:t>
      </w:r>
      <w:r w:rsidR="002C35EE" w:rsidRPr="002C35EE">
        <w:rPr>
          <w:rFonts w:hint="eastAsia"/>
          <w:lang w:eastAsia="zh-CN"/>
        </w:rPr>
        <w:t>WIPO</w:t>
      </w:r>
      <w:r w:rsidR="002C35EE">
        <w:rPr>
          <w:rFonts w:hint="eastAsia"/>
          <w:lang w:eastAsia="zh-CN"/>
        </w:rPr>
        <w:t>）</w:t>
      </w:r>
      <w:r w:rsidR="002C35EE" w:rsidRPr="002C35EE">
        <w:rPr>
          <w:rFonts w:hint="eastAsia"/>
          <w:lang w:eastAsia="zh-CN"/>
        </w:rPr>
        <w:t>在管理机构报告中指出，</w:t>
      </w:r>
      <w:r w:rsidR="002C35EE">
        <w:rPr>
          <w:rFonts w:hint="eastAsia"/>
          <w:lang w:eastAsia="zh-CN"/>
        </w:rPr>
        <w:t>仅</w:t>
      </w:r>
      <w:r w:rsidR="002C35EE" w:rsidRPr="002C35EE">
        <w:rPr>
          <w:rFonts w:hint="eastAsia"/>
          <w:lang w:eastAsia="zh-CN"/>
        </w:rPr>
        <w:t>在间接工作人员时间和知识转移方面</w:t>
      </w:r>
      <w:r w:rsidR="002C35EE">
        <w:rPr>
          <w:rFonts w:hint="eastAsia"/>
          <w:lang w:eastAsia="zh-CN"/>
        </w:rPr>
        <w:t>产生的</w:t>
      </w:r>
      <w:r w:rsidR="002C35EE" w:rsidRPr="002C35EE">
        <w:rPr>
          <w:rFonts w:hint="eastAsia"/>
          <w:lang w:eastAsia="zh-CN"/>
        </w:rPr>
        <w:t>审计员过渡成本在</w:t>
      </w:r>
      <w:r w:rsidR="002C35EE" w:rsidRPr="002C35EE">
        <w:rPr>
          <w:rFonts w:hint="eastAsia"/>
          <w:lang w:eastAsia="zh-CN"/>
        </w:rPr>
        <w:t>50</w:t>
      </w:r>
      <w:r w:rsidR="001A6F37">
        <w:rPr>
          <w:lang w:eastAsia="zh-CN"/>
        </w:rPr>
        <w:t> </w:t>
      </w:r>
      <w:r w:rsidR="002C35EE" w:rsidRPr="002C35EE">
        <w:rPr>
          <w:rFonts w:hint="eastAsia"/>
          <w:lang w:eastAsia="zh-CN"/>
        </w:rPr>
        <w:t>000</w:t>
      </w:r>
      <w:r w:rsidR="002C35EE" w:rsidRPr="002C35EE">
        <w:rPr>
          <w:rFonts w:hint="eastAsia"/>
          <w:lang w:eastAsia="zh-CN"/>
        </w:rPr>
        <w:t>至</w:t>
      </w:r>
      <w:r w:rsidR="002C35EE" w:rsidRPr="002C35EE">
        <w:rPr>
          <w:rFonts w:hint="eastAsia"/>
          <w:lang w:eastAsia="zh-CN"/>
        </w:rPr>
        <w:t>150</w:t>
      </w:r>
      <w:r w:rsidR="001A6F37">
        <w:rPr>
          <w:lang w:eastAsia="zh-CN"/>
        </w:rPr>
        <w:t> </w:t>
      </w:r>
      <w:r w:rsidR="002C35EE" w:rsidRPr="002C35EE">
        <w:rPr>
          <w:rFonts w:hint="eastAsia"/>
          <w:lang w:eastAsia="zh-CN"/>
        </w:rPr>
        <w:t>000</w:t>
      </w:r>
      <w:r w:rsidR="002C35EE" w:rsidRPr="002C35EE">
        <w:rPr>
          <w:rFonts w:hint="eastAsia"/>
          <w:lang w:eastAsia="zh-CN"/>
        </w:rPr>
        <w:t>美元之间</w:t>
      </w:r>
      <w:r w:rsidR="002C35EE">
        <w:rPr>
          <w:rFonts w:hint="eastAsia"/>
          <w:lang w:eastAsia="zh-CN"/>
        </w:rPr>
        <w:t>。</w:t>
      </w:r>
    </w:p>
    <w:p w14:paraId="1A9DCE95" w14:textId="6240D7CC" w:rsidR="002C1687" w:rsidRPr="00D56156" w:rsidRDefault="002C1687" w:rsidP="002C1687">
      <w:pPr>
        <w:pStyle w:val="enumlev1"/>
        <w:jc w:val="both"/>
        <w:rPr>
          <w:lang w:eastAsia="zh-CN"/>
        </w:rPr>
      </w:pPr>
      <w:r>
        <w:rPr>
          <w:lang w:eastAsia="zh-CN"/>
        </w:rPr>
        <w:t>–</w:t>
      </w:r>
      <w:r>
        <w:rPr>
          <w:lang w:eastAsia="zh-CN"/>
        </w:rPr>
        <w:tab/>
      </w:r>
      <w:r w:rsidR="002C35EE" w:rsidRPr="002C35EE">
        <w:rPr>
          <w:rFonts w:hint="eastAsia"/>
          <w:lang w:eastAsia="zh-CN"/>
        </w:rPr>
        <w:t>连续性降低了重新审计的风险：新的审计员</w:t>
      </w:r>
      <w:r w:rsidR="002C35EE">
        <w:rPr>
          <w:rFonts w:hint="eastAsia"/>
          <w:lang w:eastAsia="zh-CN"/>
        </w:rPr>
        <w:t>通</w:t>
      </w:r>
      <w:r w:rsidR="002C35EE" w:rsidRPr="002C35EE">
        <w:rPr>
          <w:rFonts w:hint="eastAsia"/>
          <w:lang w:eastAsia="zh-CN"/>
        </w:rPr>
        <w:t>常需要重新执行程序以满足独立性和完整性标准，这可能会重复以前的工作并延长时间</w:t>
      </w:r>
      <w:r w:rsidR="002C35EE">
        <w:rPr>
          <w:rFonts w:hint="eastAsia"/>
          <w:lang w:eastAsia="zh-CN"/>
        </w:rPr>
        <w:t>线。</w:t>
      </w:r>
    </w:p>
    <w:p w14:paraId="330AE03A" w14:textId="336CB359" w:rsidR="002C1687" w:rsidRPr="00D56156" w:rsidRDefault="00D62238" w:rsidP="002C1687">
      <w:pPr>
        <w:pStyle w:val="Headingb"/>
        <w:rPr>
          <w:lang w:eastAsia="zh-CN"/>
        </w:rPr>
      </w:pPr>
      <w:r w:rsidRPr="00D62238">
        <w:rPr>
          <w:rFonts w:hint="eastAsia"/>
          <w:lang w:eastAsia="zh-CN"/>
        </w:rPr>
        <w:t>这种方式是否能够最大限度地降低未来审计职能出现缺口的风险？</w:t>
      </w:r>
    </w:p>
    <w:p w14:paraId="4348F074" w14:textId="4E086878" w:rsidR="002C1687" w:rsidRPr="00D56156" w:rsidRDefault="00D62238" w:rsidP="001A6F37">
      <w:pPr>
        <w:ind w:firstLineChars="200" w:firstLine="480"/>
        <w:rPr>
          <w:lang w:eastAsia="zh-CN"/>
        </w:rPr>
      </w:pPr>
      <w:r w:rsidRPr="00D62238">
        <w:rPr>
          <w:rFonts w:hint="eastAsia"/>
          <w:lang w:eastAsia="zh-CN"/>
        </w:rPr>
        <w:t>是，且也符合国际审计连续性做法：</w:t>
      </w:r>
    </w:p>
    <w:p w14:paraId="603D74BF" w14:textId="719A661C" w:rsidR="002C1687" w:rsidRPr="00D56156" w:rsidRDefault="002C1687" w:rsidP="002C1687">
      <w:pPr>
        <w:pStyle w:val="enumlev1"/>
        <w:jc w:val="both"/>
        <w:rPr>
          <w:lang w:eastAsia="zh-CN"/>
        </w:rPr>
      </w:pPr>
      <w:r>
        <w:rPr>
          <w:lang w:eastAsia="zh-CN"/>
        </w:rPr>
        <w:t>–</w:t>
      </w:r>
      <w:r>
        <w:rPr>
          <w:lang w:eastAsia="zh-CN"/>
        </w:rPr>
        <w:tab/>
      </w:r>
      <w:r w:rsidR="00D62238" w:rsidRPr="00D62238">
        <w:rPr>
          <w:rFonts w:hint="eastAsia"/>
          <w:lang w:eastAsia="zh-CN"/>
        </w:rPr>
        <w:t>在联合国系统，新的外部审计员的入职期通常为</w:t>
      </w:r>
      <w:r w:rsidR="00D62238" w:rsidRPr="00D62238">
        <w:rPr>
          <w:rFonts w:hint="eastAsia"/>
          <w:lang w:eastAsia="zh-CN"/>
        </w:rPr>
        <w:t>3-6</w:t>
      </w:r>
      <w:r w:rsidR="00D62238" w:rsidRPr="00D62238">
        <w:rPr>
          <w:rFonts w:hint="eastAsia"/>
          <w:lang w:eastAsia="zh-CN"/>
        </w:rPr>
        <w:t>个月</w:t>
      </w:r>
      <w:r w:rsidR="00D62238">
        <w:rPr>
          <w:rFonts w:hint="eastAsia"/>
          <w:lang w:eastAsia="zh-CN"/>
        </w:rPr>
        <w:t>。</w:t>
      </w:r>
    </w:p>
    <w:p w14:paraId="30B49EBA" w14:textId="7E38D21D" w:rsidR="002C1687" w:rsidRPr="00D56156" w:rsidRDefault="002C1687" w:rsidP="002C1687">
      <w:pPr>
        <w:pStyle w:val="enumlev1"/>
        <w:jc w:val="both"/>
        <w:rPr>
          <w:lang w:eastAsia="zh-CN"/>
        </w:rPr>
      </w:pPr>
      <w:r>
        <w:rPr>
          <w:lang w:eastAsia="zh-CN"/>
        </w:rPr>
        <w:t>–</w:t>
      </w:r>
      <w:r>
        <w:rPr>
          <w:lang w:eastAsia="zh-CN"/>
        </w:rPr>
        <w:tab/>
      </w:r>
      <w:r w:rsidR="00D62238">
        <w:rPr>
          <w:rFonts w:hint="eastAsia"/>
          <w:lang w:eastAsia="zh-CN"/>
        </w:rPr>
        <w:t>延长授权期</w:t>
      </w:r>
      <w:r w:rsidR="00D62238" w:rsidRPr="00D62238">
        <w:rPr>
          <w:rFonts w:hint="eastAsia"/>
          <w:lang w:eastAsia="zh-CN"/>
        </w:rPr>
        <w:t>可避免</w:t>
      </w:r>
      <w:r w:rsidR="00D62238">
        <w:rPr>
          <w:rFonts w:hint="eastAsia"/>
          <w:lang w:eastAsia="zh-CN"/>
        </w:rPr>
        <w:t>产生</w:t>
      </w:r>
      <w:r w:rsidR="00D62238" w:rsidRPr="00D62238">
        <w:rPr>
          <w:rFonts w:hint="eastAsia"/>
          <w:lang w:eastAsia="zh-CN"/>
        </w:rPr>
        <w:t>机构知识</w:t>
      </w:r>
      <w:r w:rsidR="00D62238">
        <w:rPr>
          <w:rFonts w:hint="eastAsia"/>
          <w:lang w:eastAsia="zh-CN"/>
        </w:rPr>
        <w:t>缺口</w:t>
      </w:r>
      <w:r w:rsidR="00D62238" w:rsidRPr="00D62238">
        <w:rPr>
          <w:rFonts w:hint="eastAsia"/>
          <w:lang w:eastAsia="zh-CN"/>
        </w:rPr>
        <w:t>，</w:t>
      </w:r>
      <w:r w:rsidR="00D62238">
        <w:rPr>
          <w:rFonts w:hint="eastAsia"/>
          <w:lang w:eastAsia="zh-CN"/>
        </w:rPr>
        <w:t>这对于</w:t>
      </w:r>
      <w:r w:rsidR="00D62238" w:rsidRPr="00D62238">
        <w:rPr>
          <w:rFonts w:hint="eastAsia"/>
          <w:lang w:eastAsia="zh-CN"/>
        </w:rPr>
        <w:t>国际电联正在进行</w:t>
      </w:r>
      <w:r w:rsidR="00D62238">
        <w:rPr>
          <w:rFonts w:hint="eastAsia"/>
          <w:lang w:eastAsia="zh-CN"/>
        </w:rPr>
        <w:t>的</w:t>
      </w:r>
      <w:r w:rsidR="00D62238" w:rsidRPr="00D62238">
        <w:rPr>
          <w:rFonts w:hint="eastAsia"/>
          <w:lang w:eastAsia="zh-CN"/>
        </w:rPr>
        <w:t>财务改革和</w:t>
      </w:r>
      <w:r w:rsidR="00D62238">
        <w:rPr>
          <w:rFonts w:hint="eastAsia"/>
          <w:lang w:eastAsia="zh-CN"/>
        </w:rPr>
        <w:t>《</w:t>
      </w:r>
      <w:r w:rsidR="00D62238" w:rsidRPr="00D62238">
        <w:rPr>
          <w:rFonts w:hint="eastAsia"/>
          <w:lang w:eastAsia="zh-CN"/>
        </w:rPr>
        <w:t>国际公共部门会计准则</w:t>
      </w:r>
      <w:r w:rsidR="00D62238">
        <w:rPr>
          <w:rFonts w:hint="eastAsia"/>
          <w:lang w:eastAsia="zh-CN"/>
        </w:rPr>
        <w:t>》（</w:t>
      </w:r>
      <w:r w:rsidR="00D62238" w:rsidRPr="00D62238">
        <w:rPr>
          <w:rFonts w:hint="eastAsia"/>
          <w:lang w:eastAsia="zh-CN"/>
        </w:rPr>
        <w:t>IPSAS</w:t>
      </w:r>
      <w:r w:rsidR="00D62238">
        <w:rPr>
          <w:rFonts w:hint="eastAsia"/>
          <w:lang w:eastAsia="zh-CN"/>
        </w:rPr>
        <w:t>）</w:t>
      </w:r>
      <w:r w:rsidR="00D62238" w:rsidRPr="00D62238">
        <w:rPr>
          <w:rFonts w:hint="eastAsia"/>
          <w:lang w:eastAsia="zh-CN"/>
        </w:rPr>
        <w:t>改革尤其</w:t>
      </w:r>
      <w:r w:rsidR="00D62238">
        <w:rPr>
          <w:rFonts w:hint="eastAsia"/>
          <w:lang w:eastAsia="zh-CN"/>
        </w:rPr>
        <w:t>珍贵。</w:t>
      </w:r>
    </w:p>
    <w:p w14:paraId="1C3A0928" w14:textId="3EF64226" w:rsidR="002C1687" w:rsidRPr="00D56156" w:rsidRDefault="00D62238" w:rsidP="002C1687">
      <w:pPr>
        <w:pStyle w:val="Headingb"/>
        <w:rPr>
          <w:lang w:eastAsia="zh-CN"/>
        </w:rPr>
      </w:pPr>
      <w:r w:rsidRPr="00D62238">
        <w:rPr>
          <w:rFonts w:hint="eastAsia"/>
          <w:lang w:eastAsia="zh-CN"/>
        </w:rPr>
        <w:t>连续性和多样性如何</w:t>
      </w:r>
      <w:r w:rsidR="00380F69">
        <w:rPr>
          <w:rFonts w:hint="eastAsia"/>
          <w:lang w:eastAsia="zh-CN"/>
        </w:rPr>
        <w:t>适应</w:t>
      </w:r>
      <w:r w:rsidRPr="00D62238">
        <w:rPr>
          <w:rFonts w:hint="eastAsia"/>
          <w:lang w:eastAsia="zh-CN"/>
        </w:rPr>
        <w:t>审计最佳做法？</w:t>
      </w:r>
    </w:p>
    <w:p w14:paraId="797E1739" w14:textId="390E2031" w:rsidR="002C1687" w:rsidRPr="00D56156" w:rsidRDefault="00D62238" w:rsidP="001A6F37">
      <w:pPr>
        <w:ind w:firstLineChars="200" w:firstLine="480"/>
        <w:rPr>
          <w:lang w:eastAsia="zh-CN"/>
        </w:rPr>
      </w:pPr>
      <w:r w:rsidRPr="00D62238">
        <w:rPr>
          <w:rFonts w:hint="eastAsia"/>
          <w:lang w:eastAsia="zh-CN"/>
        </w:rPr>
        <w:t>这是一种全球公认的平衡：</w:t>
      </w:r>
    </w:p>
    <w:p w14:paraId="754DE1C9" w14:textId="584AA4BE" w:rsidR="002C1687" w:rsidRPr="00D56156" w:rsidRDefault="002C1687" w:rsidP="002C1687">
      <w:pPr>
        <w:pStyle w:val="enumlev1"/>
        <w:jc w:val="both"/>
        <w:rPr>
          <w:lang w:eastAsia="zh-CN"/>
        </w:rPr>
      </w:pPr>
      <w:r>
        <w:rPr>
          <w:lang w:eastAsia="zh-CN"/>
        </w:rPr>
        <w:t>–</w:t>
      </w:r>
      <w:r>
        <w:rPr>
          <w:lang w:eastAsia="zh-CN"/>
        </w:rPr>
        <w:tab/>
      </w:r>
      <w:r w:rsidR="00D62238" w:rsidRPr="00D62238">
        <w:rPr>
          <w:rFonts w:hint="eastAsia"/>
          <w:lang w:eastAsia="zh-CN"/>
        </w:rPr>
        <w:t>连续性确保了审计方法和机构记忆的一致性，这在重大财务</w:t>
      </w:r>
      <w:r w:rsidR="00380F69">
        <w:rPr>
          <w:rFonts w:hint="eastAsia"/>
          <w:lang w:eastAsia="zh-CN"/>
        </w:rPr>
        <w:t>改革</w:t>
      </w:r>
      <w:r w:rsidR="00D62238" w:rsidRPr="00D62238">
        <w:rPr>
          <w:rFonts w:hint="eastAsia"/>
          <w:lang w:eastAsia="zh-CN"/>
        </w:rPr>
        <w:t>时期尤为重要（如国际电联的情况）</w:t>
      </w:r>
      <w:r w:rsidR="00D62238">
        <w:rPr>
          <w:rFonts w:hint="eastAsia"/>
          <w:lang w:eastAsia="zh-CN"/>
        </w:rPr>
        <w:t>。</w:t>
      </w:r>
    </w:p>
    <w:p w14:paraId="47DBD46E" w14:textId="32EC0A03" w:rsidR="002C1687" w:rsidRPr="00D56156" w:rsidRDefault="002C1687" w:rsidP="002C1687">
      <w:pPr>
        <w:pStyle w:val="enumlev1"/>
        <w:jc w:val="both"/>
        <w:rPr>
          <w:lang w:eastAsia="zh-CN"/>
        </w:rPr>
      </w:pPr>
      <w:r>
        <w:rPr>
          <w:lang w:eastAsia="zh-CN"/>
        </w:rPr>
        <w:t>–</w:t>
      </w:r>
      <w:r>
        <w:rPr>
          <w:lang w:eastAsia="zh-CN"/>
        </w:rPr>
        <w:tab/>
      </w:r>
      <w:r w:rsidR="00D62238" w:rsidRPr="00D62238">
        <w:rPr>
          <w:rFonts w:hint="eastAsia"/>
          <w:lang w:eastAsia="zh-CN"/>
        </w:rPr>
        <w:t>外部审计员的多样</w:t>
      </w:r>
      <w:r w:rsidR="00380F69">
        <w:rPr>
          <w:rFonts w:hint="eastAsia"/>
          <w:lang w:eastAsia="zh-CN"/>
        </w:rPr>
        <w:t>性</w:t>
      </w:r>
      <w:r w:rsidR="00D62238" w:rsidRPr="00D62238">
        <w:rPr>
          <w:rFonts w:hint="eastAsia"/>
          <w:lang w:eastAsia="zh-CN"/>
        </w:rPr>
        <w:t>是通过透明</w:t>
      </w:r>
      <w:r w:rsidR="00380F69" w:rsidRPr="00D62238">
        <w:rPr>
          <w:rFonts w:hint="eastAsia"/>
          <w:lang w:eastAsia="zh-CN"/>
        </w:rPr>
        <w:t>的</w:t>
      </w:r>
      <w:r w:rsidR="00D62238" w:rsidRPr="00D62238">
        <w:rPr>
          <w:rFonts w:hint="eastAsia"/>
          <w:lang w:eastAsia="zh-CN"/>
        </w:rPr>
        <w:t>竞争遴选周期逐步实现的，而不一定通过拒绝一</w:t>
      </w:r>
      <w:r w:rsidR="00380F69">
        <w:rPr>
          <w:rFonts w:hint="eastAsia"/>
          <w:lang w:eastAsia="zh-CN"/>
        </w:rPr>
        <w:t>次授权期延长</w:t>
      </w:r>
      <w:r w:rsidR="00D62238" w:rsidRPr="00D62238">
        <w:rPr>
          <w:rFonts w:hint="eastAsia"/>
          <w:lang w:eastAsia="zh-CN"/>
        </w:rPr>
        <w:t>来实现</w:t>
      </w:r>
      <w:r w:rsidR="00D62238">
        <w:rPr>
          <w:rFonts w:hint="eastAsia"/>
          <w:lang w:eastAsia="zh-CN"/>
        </w:rPr>
        <w:t>。</w:t>
      </w:r>
    </w:p>
    <w:p w14:paraId="577155E7" w14:textId="3A5C5DA6" w:rsidR="002C1687" w:rsidRPr="00D56156" w:rsidRDefault="00380F69" w:rsidP="001A6F37">
      <w:pPr>
        <w:ind w:firstLineChars="200" w:firstLine="480"/>
        <w:jc w:val="both"/>
        <w:rPr>
          <w:rFonts w:asciiTheme="minorHAnsi" w:hAnsiTheme="minorHAnsi" w:cstheme="minorHAnsi"/>
          <w:lang w:eastAsia="zh-CN"/>
        </w:rPr>
      </w:pPr>
      <w:r w:rsidRPr="00380F69">
        <w:rPr>
          <w:rFonts w:asciiTheme="minorHAnsi" w:hAnsiTheme="minorHAnsi" w:cstheme="minorHAnsi" w:hint="eastAsia"/>
          <w:lang w:eastAsia="zh-CN"/>
        </w:rPr>
        <w:lastRenderedPageBreak/>
        <w:t>良好</w:t>
      </w:r>
      <w:r>
        <w:rPr>
          <w:rFonts w:asciiTheme="minorHAnsi" w:hAnsiTheme="minorHAnsi" w:cstheme="minorHAnsi" w:hint="eastAsia"/>
          <w:lang w:eastAsia="zh-CN"/>
        </w:rPr>
        <w:t>的</w:t>
      </w:r>
      <w:r w:rsidRPr="00380F69">
        <w:rPr>
          <w:rFonts w:asciiTheme="minorHAnsi" w:hAnsiTheme="minorHAnsi" w:cstheme="minorHAnsi" w:hint="eastAsia"/>
          <w:lang w:eastAsia="zh-CN"/>
        </w:rPr>
        <w:t>平衡</w:t>
      </w:r>
      <w:r>
        <w:rPr>
          <w:rFonts w:asciiTheme="minorHAnsi" w:hAnsiTheme="minorHAnsi" w:cstheme="minorHAnsi" w:hint="eastAsia"/>
          <w:lang w:eastAsia="zh-CN"/>
        </w:rPr>
        <w:t>做法</w:t>
      </w:r>
      <w:r w:rsidRPr="00380F69">
        <w:rPr>
          <w:rFonts w:asciiTheme="minorHAnsi" w:hAnsiTheme="minorHAnsi" w:cstheme="minorHAnsi" w:hint="eastAsia"/>
          <w:lang w:eastAsia="zh-CN"/>
        </w:rPr>
        <w:t>：</w:t>
      </w:r>
    </w:p>
    <w:p w14:paraId="31F965DF" w14:textId="34654D41" w:rsidR="002C1687" w:rsidRPr="00D56156" w:rsidRDefault="002C1687" w:rsidP="002C1687">
      <w:pPr>
        <w:pStyle w:val="enumlev1"/>
        <w:jc w:val="both"/>
        <w:rPr>
          <w:lang w:eastAsia="zh-CN"/>
        </w:rPr>
      </w:pPr>
      <w:r>
        <w:rPr>
          <w:lang w:eastAsia="zh-CN"/>
        </w:rPr>
        <w:t>–</w:t>
      </w:r>
      <w:r>
        <w:rPr>
          <w:lang w:eastAsia="zh-CN"/>
        </w:rPr>
        <w:tab/>
      </w:r>
      <w:r w:rsidR="00380F69" w:rsidRPr="00380F69">
        <w:rPr>
          <w:rFonts w:hint="eastAsia"/>
          <w:lang w:eastAsia="zh-CN"/>
        </w:rPr>
        <w:t>WIPO</w:t>
      </w:r>
      <w:r w:rsidR="00380F69" w:rsidRPr="00380F69">
        <w:rPr>
          <w:rFonts w:hint="eastAsia"/>
          <w:lang w:eastAsia="zh-CN"/>
        </w:rPr>
        <w:t>允许有一个初始阶段（通常为</w:t>
      </w:r>
      <w:r w:rsidR="00380F69" w:rsidRPr="00380F69">
        <w:rPr>
          <w:rFonts w:hint="eastAsia"/>
          <w:lang w:eastAsia="zh-CN"/>
        </w:rPr>
        <w:t>6</w:t>
      </w:r>
      <w:r w:rsidR="00380F69" w:rsidRPr="00380F69">
        <w:rPr>
          <w:rFonts w:hint="eastAsia"/>
          <w:lang w:eastAsia="zh-CN"/>
        </w:rPr>
        <w:t>年），</w:t>
      </w:r>
      <w:r w:rsidR="00380F69">
        <w:rPr>
          <w:rFonts w:hint="eastAsia"/>
          <w:lang w:eastAsia="zh-CN"/>
        </w:rPr>
        <w:t>来保障</w:t>
      </w:r>
      <w:r w:rsidR="00380F69" w:rsidRPr="00380F69">
        <w:rPr>
          <w:rFonts w:hint="eastAsia"/>
          <w:lang w:eastAsia="zh-CN"/>
        </w:rPr>
        <w:t>多样性和有效性</w:t>
      </w:r>
      <w:r w:rsidR="00380F69">
        <w:rPr>
          <w:rFonts w:hint="eastAsia"/>
          <w:lang w:eastAsia="zh-CN"/>
        </w:rPr>
        <w:t>。</w:t>
      </w:r>
    </w:p>
    <w:p w14:paraId="47C5E584" w14:textId="30812E5C" w:rsidR="002C1687" w:rsidRPr="00D56156" w:rsidRDefault="002C1687" w:rsidP="002C1687">
      <w:pPr>
        <w:pStyle w:val="enumlev1"/>
        <w:jc w:val="both"/>
        <w:rPr>
          <w:lang w:eastAsia="zh-CN"/>
        </w:rPr>
      </w:pPr>
      <w:r>
        <w:rPr>
          <w:lang w:eastAsia="zh-CN"/>
        </w:rPr>
        <w:t>–</w:t>
      </w:r>
      <w:r>
        <w:rPr>
          <w:lang w:eastAsia="zh-CN"/>
        </w:rPr>
        <w:tab/>
      </w:r>
      <w:r w:rsidR="00380F69" w:rsidRPr="00380F69">
        <w:rPr>
          <w:rFonts w:hint="eastAsia"/>
          <w:lang w:eastAsia="zh-CN"/>
        </w:rPr>
        <w:t>审计员轮换很重要，但应与绩效、正在进行的改革和审计工作一致性</w:t>
      </w:r>
      <w:r w:rsidR="00380F69">
        <w:rPr>
          <w:rFonts w:hint="eastAsia"/>
          <w:lang w:eastAsia="zh-CN"/>
        </w:rPr>
        <w:t>相</w:t>
      </w:r>
      <w:r w:rsidR="00380F69" w:rsidRPr="00380F69">
        <w:rPr>
          <w:rFonts w:hint="eastAsia"/>
          <w:lang w:eastAsia="zh-CN"/>
        </w:rPr>
        <w:t>权衡</w:t>
      </w:r>
      <w:r w:rsidR="00380F69">
        <w:rPr>
          <w:rFonts w:hint="eastAsia"/>
          <w:lang w:eastAsia="zh-CN"/>
        </w:rPr>
        <w:t>。</w:t>
      </w:r>
    </w:p>
    <w:p w14:paraId="5A18E0D2" w14:textId="4F9CCD1B" w:rsidR="002C1687" w:rsidRPr="00CB56B7" w:rsidRDefault="002C1687" w:rsidP="002C1687">
      <w:pPr>
        <w:pStyle w:val="Heading1"/>
        <w:rPr>
          <w:lang w:eastAsia="zh-CN"/>
        </w:rPr>
      </w:pPr>
      <w:r w:rsidRPr="009B1A65">
        <w:rPr>
          <w:lang w:eastAsia="zh-CN"/>
        </w:rPr>
        <w:t>III</w:t>
      </w:r>
      <w:r w:rsidRPr="009B1A65">
        <w:rPr>
          <w:lang w:eastAsia="zh-CN"/>
        </w:rPr>
        <w:tab/>
      </w:r>
      <w:r>
        <w:rPr>
          <w:rFonts w:hint="eastAsia"/>
          <w:lang w:eastAsia="zh-CN"/>
        </w:rPr>
        <w:t>建议</w:t>
      </w:r>
    </w:p>
    <w:p w14:paraId="48B3FDB3" w14:textId="24737EA4" w:rsidR="00CB56B7" w:rsidRPr="00CB56B7" w:rsidRDefault="00CB56B7" w:rsidP="009836D5">
      <w:pPr>
        <w:pStyle w:val="enumlev1"/>
        <w:jc w:val="both"/>
        <w:rPr>
          <w:rFonts w:asciiTheme="minorHAnsi" w:hAnsiTheme="minorHAnsi" w:cstheme="minorBidi"/>
          <w:lang w:val="en-US" w:eastAsia="zh-CN"/>
        </w:rPr>
      </w:pPr>
      <w:r w:rsidRPr="00CB56B7">
        <w:rPr>
          <w:rFonts w:asciiTheme="minorHAnsi" w:hAnsiTheme="minorHAnsi" w:cstheme="minorBidi"/>
          <w:lang w:val="en-US" w:eastAsia="zh-CN"/>
        </w:rPr>
        <w:t>1</w:t>
      </w:r>
      <w:r w:rsidRPr="00CB56B7">
        <w:rPr>
          <w:lang w:eastAsia="zh-CN"/>
        </w:rPr>
        <w:tab/>
      </w:r>
      <w:r w:rsidR="00356410" w:rsidRPr="00356410">
        <w:rPr>
          <w:rFonts w:hint="eastAsia"/>
          <w:lang w:eastAsia="zh-CN"/>
        </w:rPr>
        <w:t>基于上述</w:t>
      </w:r>
      <w:r w:rsidR="002C1687">
        <w:rPr>
          <w:rFonts w:hint="eastAsia"/>
          <w:lang w:eastAsia="zh-CN"/>
        </w:rPr>
        <w:t>回复、</w:t>
      </w:r>
      <w:r w:rsidR="002C1687" w:rsidRPr="002C1687">
        <w:rPr>
          <w:rFonts w:hint="eastAsia"/>
          <w:lang w:eastAsia="zh-CN"/>
        </w:rPr>
        <w:t>其他机构的基准、与最佳做法</w:t>
      </w:r>
      <w:r w:rsidR="002C1687">
        <w:rPr>
          <w:rFonts w:hint="eastAsia"/>
          <w:lang w:eastAsia="zh-CN"/>
        </w:rPr>
        <w:t>保持</w:t>
      </w:r>
      <w:r w:rsidR="002C1687" w:rsidRPr="002C1687">
        <w:rPr>
          <w:rFonts w:hint="eastAsia"/>
          <w:lang w:eastAsia="zh-CN"/>
        </w:rPr>
        <w:t>一致、</w:t>
      </w:r>
      <w:r w:rsidR="002C1687">
        <w:rPr>
          <w:rFonts w:hint="eastAsia"/>
          <w:lang w:eastAsia="zh-CN"/>
        </w:rPr>
        <w:t>对</w:t>
      </w:r>
      <w:r w:rsidR="002C1687" w:rsidRPr="002C1687">
        <w:rPr>
          <w:rFonts w:hint="eastAsia"/>
          <w:lang w:eastAsia="zh-CN"/>
        </w:rPr>
        <w:t>国际电联《财务规则》标准做法和条款</w:t>
      </w:r>
      <w:r w:rsidR="002C1687">
        <w:rPr>
          <w:rFonts w:hint="eastAsia"/>
          <w:lang w:eastAsia="zh-CN"/>
        </w:rPr>
        <w:t>的遵守</w:t>
      </w:r>
      <w:r w:rsidR="002C1687" w:rsidRPr="002C1687">
        <w:rPr>
          <w:rFonts w:hint="eastAsia"/>
          <w:lang w:eastAsia="zh-CN"/>
        </w:rPr>
        <w:t>，</w:t>
      </w:r>
      <w:r w:rsidR="00356410" w:rsidRPr="00356410">
        <w:rPr>
          <w:rFonts w:hint="eastAsia"/>
          <w:lang w:eastAsia="zh-CN"/>
        </w:rPr>
        <w:t>并考虑</w:t>
      </w:r>
      <w:r w:rsidR="0019018D">
        <w:rPr>
          <w:rFonts w:hint="eastAsia"/>
          <w:lang w:eastAsia="zh-CN"/>
        </w:rPr>
        <w:t>到</w:t>
      </w:r>
      <w:r w:rsidR="00356410" w:rsidRPr="00356410">
        <w:rPr>
          <w:rFonts w:hint="eastAsia"/>
          <w:lang w:eastAsia="zh-CN"/>
        </w:rPr>
        <w:t>所有标准，建议将英国</w:t>
      </w:r>
      <w:r w:rsidR="00356410" w:rsidRPr="00356410">
        <w:rPr>
          <w:rFonts w:hint="eastAsia"/>
          <w:lang w:eastAsia="zh-CN"/>
        </w:rPr>
        <w:t>NAO</w:t>
      </w:r>
      <w:r w:rsidR="00356410" w:rsidRPr="00356410">
        <w:rPr>
          <w:rFonts w:hint="eastAsia"/>
          <w:lang w:eastAsia="zh-CN"/>
        </w:rPr>
        <w:t>的授权期</w:t>
      </w:r>
      <w:r w:rsidR="0019018D">
        <w:rPr>
          <w:rFonts w:hint="eastAsia"/>
          <w:lang w:eastAsia="zh-CN"/>
        </w:rPr>
        <w:t>延长</w:t>
      </w:r>
      <w:r w:rsidR="00356410" w:rsidRPr="00356410">
        <w:rPr>
          <w:rFonts w:hint="eastAsia"/>
          <w:lang w:eastAsia="zh-CN"/>
        </w:rPr>
        <w:t>两年，以审计</w:t>
      </w:r>
      <w:r w:rsidR="00356410" w:rsidRPr="00356410">
        <w:rPr>
          <w:rFonts w:hint="eastAsia"/>
          <w:lang w:eastAsia="zh-CN"/>
        </w:rPr>
        <w:t>2026</w:t>
      </w:r>
      <w:r w:rsidR="00356410" w:rsidRPr="00356410">
        <w:rPr>
          <w:rFonts w:hint="eastAsia"/>
          <w:lang w:eastAsia="zh-CN"/>
        </w:rPr>
        <w:t>年和</w:t>
      </w:r>
      <w:r w:rsidR="00356410" w:rsidRPr="00356410">
        <w:rPr>
          <w:rFonts w:hint="eastAsia"/>
          <w:lang w:eastAsia="zh-CN"/>
        </w:rPr>
        <w:t>2027</w:t>
      </w:r>
      <w:r w:rsidR="00356410" w:rsidRPr="00356410">
        <w:rPr>
          <w:rFonts w:hint="eastAsia"/>
          <w:lang w:eastAsia="zh-CN"/>
        </w:rPr>
        <w:t>年</w:t>
      </w:r>
      <w:r w:rsidR="0019018D">
        <w:rPr>
          <w:rFonts w:hint="eastAsia"/>
          <w:lang w:eastAsia="zh-CN"/>
        </w:rPr>
        <w:t>的</w:t>
      </w:r>
      <w:r w:rsidR="00356410" w:rsidRPr="00356410">
        <w:rPr>
          <w:rFonts w:hint="eastAsia"/>
          <w:lang w:eastAsia="zh-CN"/>
        </w:rPr>
        <w:t>财务报表。</w:t>
      </w:r>
    </w:p>
    <w:p w14:paraId="3C189A5D" w14:textId="76B60443" w:rsidR="00CB56B7" w:rsidRPr="00CB56B7" w:rsidRDefault="00CB56B7" w:rsidP="009836D5">
      <w:pPr>
        <w:pStyle w:val="enumlev1"/>
        <w:jc w:val="both"/>
        <w:rPr>
          <w:rFonts w:asciiTheme="minorHAnsi" w:hAnsiTheme="minorHAnsi" w:cstheme="minorBidi"/>
          <w:color w:val="000000"/>
          <w:lang w:val="en-US" w:eastAsia="zh-CN"/>
        </w:rPr>
      </w:pPr>
      <w:r w:rsidRPr="00CB56B7">
        <w:rPr>
          <w:rFonts w:asciiTheme="minorHAnsi" w:hAnsiTheme="minorHAnsi" w:cstheme="minorBidi"/>
          <w:color w:val="000000" w:themeColor="text1"/>
          <w:lang w:val="en-US" w:eastAsia="zh-CN"/>
        </w:rPr>
        <w:t>2</w:t>
      </w:r>
      <w:r w:rsidRPr="00CB56B7">
        <w:rPr>
          <w:lang w:eastAsia="zh-CN"/>
        </w:rPr>
        <w:tab/>
      </w:r>
      <w:r w:rsidR="0019018D">
        <w:rPr>
          <w:rFonts w:hint="eastAsia"/>
          <w:lang w:eastAsia="zh-CN"/>
        </w:rPr>
        <w:t>请</w:t>
      </w:r>
      <w:r w:rsidR="00356410" w:rsidRPr="00356410">
        <w:rPr>
          <w:rFonts w:hint="eastAsia"/>
          <w:lang w:eastAsia="zh-CN"/>
        </w:rPr>
        <w:t>理事会</w:t>
      </w:r>
      <w:r w:rsidR="0019018D" w:rsidRPr="0019018D">
        <w:rPr>
          <w:rFonts w:hint="eastAsia"/>
          <w:b/>
          <w:bCs/>
          <w:lang w:eastAsia="zh-CN"/>
        </w:rPr>
        <w:t>通过</w:t>
      </w:r>
      <w:r w:rsidR="00356410" w:rsidRPr="00356410">
        <w:rPr>
          <w:rFonts w:hint="eastAsia"/>
          <w:lang w:eastAsia="zh-CN"/>
        </w:rPr>
        <w:t>本文件附件所</w:t>
      </w:r>
      <w:r w:rsidR="0019018D">
        <w:rPr>
          <w:rFonts w:hint="eastAsia"/>
          <w:lang w:eastAsia="zh-CN"/>
        </w:rPr>
        <w:t>包</w:t>
      </w:r>
      <w:r w:rsidR="00356410" w:rsidRPr="00356410">
        <w:rPr>
          <w:rFonts w:hint="eastAsia"/>
          <w:lang w:eastAsia="zh-CN"/>
        </w:rPr>
        <w:t>含的决定草案。</w:t>
      </w:r>
    </w:p>
    <w:p w14:paraId="16E6AF90" w14:textId="3ED992BE" w:rsidR="00CB56B7" w:rsidRPr="00CB56B7" w:rsidRDefault="00356410" w:rsidP="00A07996">
      <w:pPr>
        <w:spacing w:before="2400"/>
        <w:rPr>
          <w:lang w:val="en-US" w:eastAsia="zh-CN"/>
        </w:rPr>
      </w:pPr>
      <w:r>
        <w:rPr>
          <w:rFonts w:hint="eastAsia"/>
          <w:b/>
          <w:bCs/>
          <w:lang w:val="en-US" w:eastAsia="zh-CN"/>
        </w:rPr>
        <w:t>附件：</w:t>
      </w:r>
      <w:r w:rsidR="009836D5">
        <w:rPr>
          <w:b/>
          <w:bCs/>
          <w:lang w:val="en-US" w:eastAsia="zh-CN"/>
        </w:rPr>
        <w:tab/>
      </w:r>
      <w:r>
        <w:rPr>
          <w:rFonts w:hint="eastAsia"/>
          <w:lang w:val="en-US" w:eastAsia="zh-CN"/>
        </w:rPr>
        <w:t>决定草案</w:t>
      </w:r>
    </w:p>
    <w:p w14:paraId="2AE9EF9F" w14:textId="77777777" w:rsidR="00CB56B7" w:rsidRPr="00CB56B7" w:rsidRDefault="00CB56B7" w:rsidP="00CB56B7">
      <w:pPr>
        <w:tabs>
          <w:tab w:val="clear" w:pos="567"/>
          <w:tab w:val="clear" w:pos="1134"/>
          <w:tab w:val="clear" w:pos="1701"/>
          <w:tab w:val="clear" w:pos="2268"/>
          <w:tab w:val="clear" w:pos="2835"/>
        </w:tabs>
        <w:overflowPunct/>
        <w:autoSpaceDE/>
        <w:autoSpaceDN/>
        <w:adjustRightInd/>
        <w:spacing w:before="0"/>
        <w:textAlignment w:val="auto"/>
        <w:rPr>
          <w:rFonts w:cstheme="minorHAnsi"/>
          <w:color w:val="000000"/>
          <w:szCs w:val="24"/>
          <w:lang w:eastAsia="zh-CN"/>
        </w:rPr>
      </w:pPr>
      <w:r w:rsidRPr="00CB56B7">
        <w:rPr>
          <w:rFonts w:cstheme="minorHAnsi"/>
          <w:color w:val="000000"/>
          <w:szCs w:val="24"/>
          <w:lang w:eastAsia="zh-CN"/>
        </w:rPr>
        <w:br w:type="page"/>
      </w:r>
    </w:p>
    <w:p w14:paraId="6B9A651A" w14:textId="2D5AC4A5" w:rsidR="00CB56B7" w:rsidRPr="00CB56B7" w:rsidRDefault="00356410" w:rsidP="00EB4DCD">
      <w:pPr>
        <w:pStyle w:val="AnnexNo"/>
        <w:rPr>
          <w:lang w:eastAsia="zh-CN"/>
        </w:rPr>
      </w:pPr>
      <w:r>
        <w:rPr>
          <w:rFonts w:hint="eastAsia"/>
          <w:lang w:eastAsia="zh-CN"/>
        </w:rPr>
        <w:lastRenderedPageBreak/>
        <w:t>附件</w:t>
      </w:r>
    </w:p>
    <w:p w14:paraId="1D257515" w14:textId="2BE0EEF0" w:rsidR="00CB56B7" w:rsidRPr="00CB56B7" w:rsidRDefault="00CB56B7" w:rsidP="00EB4DCD">
      <w:pPr>
        <w:pStyle w:val="DecNo"/>
        <w:rPr>
          <w:lang w:eastAsia="zh-CN"/>
        </w:rPr>
      </w:pPr>
      <w:r w:rsidRPr="00CB56B7">
        <w:rPr>
          <w:lang w:eastAsia="zh-CN"/>
        </w:rPr>
        <w:t>[</w:t>
      </w:r>
      <w:proofErr w:type="gramStart"/>
      <w:r w:rsidRPr="00CB56B7">
        <w:rPr>
          <w:lang w:eastAsia="zh-CN"/>
        </w:rPr>
        <w:t>…]</w:t>
      </w:r>
      <w:r w:rsidR="00356410">
        <w:rPr>
          <w:rFonts w:hint="eastAsia"/>
          <w:lang w:eastAsia="zh-CN"/>
        </w:rPr>
        <w:t>决定草案</w:t>
      </w:r>
      <w:proofErr w:type="gramEnd"/>
    </w:p>
    <w:p w14:paraId="410969FD" w14:textId="3DB35E47" w:rsidR="00CB56B7" w:rsidRPr="00CB56B7" w:rsidRDefault="00356410" w:rsidP="00EB4DCD">
      <w:pPr>
        <w:pStyle w:val="Dectitle"/>
        <w:rPr>
          <w:rFonts w:asciiTheme="minorHAnsi" w:hAnsiTheme="minorHAnsi"/>
          <w:lang w:eastAsia="zh-CN"/>
        </w:rPr>
      </w:pPr>
      <w:bookmarkStart w:id="11" w:name="OLE_LINK9"/>
      <w:bookmarkStart w:id="12" w:name="OLE_LINK10"/>
      <w:r w:rsidRPr="00356410">
        <w:rPr>
          <w:rFonts w:hint="eastAsia"/>
          <w:lang w:eastAsia="zh-CN"/>
        </w:rPr>
        <w:t>将外部审计员</w:t>
      </w:r>
      <w:r w:rsidRPr="00356410">
        <w:rPr>
          <w:rFonts w:hint="eastAsia"/>
          <w:lang w:eastAsia="zh-CN"/>
        </w:rPr>
        <w:t xml:space="preserve"> </w:t>
      </w:r>
      <w:r w:rsidR="0019018D" w:rsidRPr="00CB56B7">
        <w:rPr>
          <w:lang w:eastAsia="zh-CN"/>
        </w:rPr>
        <w:t>–</w:t>
      </w:r>
      <w:r w:rsidRPr="00356410">
        <w:rPr>
          <w:rFonts w:hint="eastAsia"/>
          <w:lang w:eastAsia="zh-CN"/>
        </w:rPr>
        <w:t xml:space="preserve"> </w:t>
      </w:r>
      <w:r w:rsidRPr="00356410">
        <w:rPr>
          <w:rFonts w:hint="eastAsia"/>
          <w:lang w:eastAsia="zh-CN"/>
        </w:rPr>
        <w:t>英国国家审计署（</w:t>
      </w:r>
      <w:r w:rsidRPr="00356410">
        <w:rPr>
          <w:rFonts w:hint="eastAsia"/>
          <w:lang w:eastAsia="zh-CN"/>
        </w:rPr>
        <w:t>NAO</w:t>
      </w:r>
      <w:r w:rsidRPr="00356410">
        <w:rPr>
          <w:rFonts w:hint="eastAsia"/>
          <w:lang w:eastAsia="zh-CN"/>
        </w:rPr>
        <w:t>）</w:t>
      </w:r>
      <w:r w:rsidRPr="00356410">
        <w:rPr>
          <w:rFonts w:hint="eastAsia"/>
          <w:lang w:eastAsia="zh-CN"/>
        </w:rPr>
        <w:t xml:space="preserve"> </w:t>
      </w:r>
      <w:r w:rsidR="0019018D" w:rsidRPr="00CB56B7">
        <w:rPr>
          <w:lang w:eastAsia="zh-CN"/>
        </w:rPr>
        <w:t>–</w:t>
      </w:r>
      <w:r w:rsidRPr="00356410">
        <w:rPr>
          <w:rFonts w:hint="eastAsia"/>
          <w:lang w:eastAsia="zh-CN"/>
        </w:rPr>
        <w:t xml:space="preserve"> </w:t>
      </w:r>
      <w:r w:rsidRPr="00356410">
        <w:rPr>
          <w:rFonts w:hint="eastAsia"/>
          <w:lang w:eastAsia="zh-CN"/>
        </w:rPr>
        <w:t>的授权期延长两年</w:t>
      </w:r>
    </w:p>
    <w:bookmarkEnd w:id="11"/>
    <w:bookmarkEnd w:id="12"/>
    <w:p w14:paraId="2133F411" w14:textId="7C33D841" w:rsidR="00CB56B7" w:rsidRPr="00CB56B7" w:rsidRDefault="00356410" w:rsidP="00EB4DCD">
      <w:pPr>
        <w:pStyle w:val="Normalaftertitle"/>
        <w:rPr>
          <w:lang w:eastAsia="zh-CN"/>
        </w:rPr>
      </w:pPr>
      <w:r>
        <w:rPr>
          <w:rFonts w:hint="eastAsia"/>
          <w:lang w:eastAsia="zh-CN"/>
        </w:rPr>
        <w:t>国际电联理事会，</w:t>
      </w:r>
    </w:p>
    <w:p w14:paraId="6126EBE4" w14:textId="7AAA3F24" w:rsidR="00CB56B7" w:rsidRPr="00356410" w:rsidRDefault="00356410" w:rsidP="00EB4DCD">
      <w:pPr>
        <w:pStyle w:val="Call"/>
        <w:rPr>
          <w:rFonts w:ascii="STKaiti" w:eastAsia="STKaiti" w:hAnsi="STKaiti"/>
          <w:i w:val="0"/>
          <w:iCs/>
          <w:lang w:eastAsia="zh-CN"/>
        </w:rPr>
      </w:pPr>
      <w:r w:rsidRPr="00356410">
        <w:rPr>
          <w:rFonts w:ascii="STKaiti" w:eastAsia="STKaiti" w:hAnsi="STKaiti" w:hint="eastAsia"/>
          <w:i w:val="0"/>
          <w:iCs/>
          <w:lang w:eastAsia="zh-CN"/>
        </w:rPr>
        <w:t>审查了</w:t>
      </w:r>
    </w:p>
    <w:p w14:paraId="2D34811E" w14:textId="09CAE2D6" w:rsidR="00CB56B7" w:rsidRPr="00CB56B7" w:rsidRDefault="00CB56B7" w:rsidP="00235FC4">
      <w:pPr>
        <w:ind w:firstLineChars="200" w:firstLine="480"/>
        <w:rPr>
          <w:lang w:eastAsia="zh-CN"/>
        </w:rPr>
      </w:pPr>
      <w:hyperlink r:id="rId14" w:history="1">
        <w:r w:rsidRPr="00783697">
          <w:rPr>
            <w:rStyle w:val="Hyperlink"/>
            <w:lang w:eastAsia="zh-CN"/>
          </w:rPr>
          <w:t>C25/</w:t>
        </w:r>
        <w:r w:rsidR="00783697" w:rsidRPr="00783697">
          <w:rPr>
            <w:rStyle w:val="Hyperlink"/>
            <w:lang w:eastAsia="zh-CN"/>
          </w:rPr>
          <w:t>42</w:t>
        </w:r>
      </w:hyperlink>
      <w:r w:rsidR="00356410">
        <w:rPr>
          <w:rFonts w:hint="eastAsia"/>
          <w:lang w:eastAsia="zh-CN"/>
        </w:rPr>
        <w:t>号文件，</w:t>
      </w:r>
    </w:p>
    <w:p w14:paraId="524A15F8" w14:textId="094C664C" w:rsidR="00CB56B7" w:rsidRPr="00356410" w:rsidRDefault="00356410" w:rsidP="00EB4DCD">
      <w:pPr>
        <w:pStyle w:val="Call"/>
        <w:rPr>
          <w:rFonts w:ascii="STKaiti" w:eastAsia="STKaiti" w:hAnsi="STKaiti"/>
          <w:i w:val="0"/>
          <w:iCs/>
          <w:lang w:eastAsia="zh-CN"/>
        </w:rPr>
      </w:pPr>
      <w:r w:rsidRPr="00356410">
        <w:rPr>
          <w:rFonts w:ascii="STKaiti" w:eastAsia="STKaiti" w:hAnsi="STKaiti" w:hint="eastAsia"/>
          <w:i w:val="0"/>
          <w:iCs/>
          <w:lang w:eastAsia="zh-CN"/>
        </w:rPr>
        <w:t>考虑到</w:t>
      </w:r>
    </w:p>
    <w:p w14:paraId="7F399C2A" w14:textId="7A2629A8" w:rsidR="00CB56B7" w:rsidRPr="00CB56B7" w:rsidRDefault="00356410" w:rsidP="00235FC4">
      <w:pPr>
        <w:ind w:firstLineChars="200" w:firstLine="480"/>
        <w:jc w:val="both"/>
        <w:rPr>
          <w:rFonts w:asciiTheme="minorHAnsi" w:hAnsiTheme="minorHAnsi"/>
          <w:szCs w:val="24"/>
          <w:lang w:eastAsia="zh-CN"/>
        </w:rPr>
      </w:pPr>
      <w:r>
        <w:rPr>
          <w:rFonts w:hint="eastAsia"/>
          <w:szCs w:val="24"/>
          <w:lang w:eastAsia="zh-CN"/>
        </w:rPr>
        <w:t>全权代表大会</w:t>
      </w:r>
      <w:hyperlink r:id="rId15" w:history="1">
        <w:r>
          <w:rPr>
            <w:color w:val="0563C1"/>
            <w:u w:val="single"/>
            <w:lang w:eastAsia="zh-CN"/>
          </w:rPr>
          <w:t>第</w:t>
        </w:r>
        <w:r>
          <w:rPr>
            <w:color w:val="0563C1"/>
            <w:u w:val="single"/>
            <w:lang w:eastAsia="zh-CN"/>
          </w:rPr>
          <w:t>94</w:t>
        </w:r>
        <w:r>
          <w:rPr>
            <w:color w:val="0563C1"/>
            <w:u w:val="single"/>
            <w:lang w:eastAsia="zh-CN"/>
          </w:rPr>
          <w:t>号决议</w:t>
        </w:r>
      </w:hyperlink>
      <w:r>
        <w:rPr>
          <w:rFonts w:hint="eastAsia"/>
          <w:szCs w:val="24"/>
          <w:lang w:eastAsia="zh-CN"/>
        </w:rPr>
        <w:t>（</w:t>
      </w:r>
      <w:r>
        <w:rPr>
          <w:rFonts w:hint="eastAsia"/>
          <w:szCs w:val="24"/>
          <w:lang w:eastAsia="zh-CN"/>
        </w:rPr>
        <w:t>2022</w:t>
      </w:r>
      <w:r>
        <w:rPr>
          <w:rFonts w:hint="eastAsia"/>
          <w:szCs w:val="24"/>
          <w:lang w:eastAsia="zh-CN"/>
        </w:rPr>
        <w:t>年，布加勒斯特，修订版）和理事会</w:t>
      </w:r>
      <w:hyperlink r:id="rId16" w:history="1">
        <w:r>
          <w:rPr>
            <w:color w:val="0563C1"/>
            <w:u w:val="single"/>
            <w:lang w:eastAsia="zh-CN"/>
          </w:rPr>
          <w:t>第</w:t>
        </w:r>
        <w:r>
          <w:rPr>
            <w:color w:val="0563C1"/>
            <w:u w:val="single"/>
            <w:lang w:eastAsia="zh-CN"/>
          </w:rPr>
          <w:t>621</w:t>
        </w:r>
        <w:r>
          <w:rPr>
            <w:color w:val="0563C1"/>
            <w:u w:val="single"/>
            <w:lang w:eastAsia="zh-CN"/>
          </w:rPr>
          <w:t>号决定</w:t>
        </w:r>
      </w:hyperlink>
      <w:r>
        <w:rPr>
          <w:rFonts w:hint="eastAsia"/>
          <w:szCs w:val="24"/>
          <w:lang w:eastAsia="zh-CN"/>
        </w:rPr>
        <w:t>（</w:t>
      </w:r>
      <w:r>
        <w:rPr>
          <w:rFonts w:hint="eastAsia"/>
          <w:szCs w:val="24"/>
          <w:lang w:eastAsia="zh-CN"/>
        </w:rPr>
        <w:t>C20</w:t>
      </w:r>
      <w:r>
        <w:rPr>
          <w:rFonts w:hint="eastAsia"/>
          <w:szCs w:val="24"/>
          <w:lang w:eastAsia="zh-CN"/>
        </w:rPr>
        <w:t>），</w:t>
      </w:r>
    </w:p>
    <w:p w14:paraId="6028E5A0" w14:textId="514BE866" w:rsidR="00CB56B7" w:rsidRPr="00CB56B7" w:rsidRDefault="00356410" w:rsidP="00EB4DCD">
      <w:pPr>
        <w:pStyle w:val="Call"/>
        <w:rPr>
          <w:lang w:eastAsia="zh-CN"/>
        </w:rPr>
      </w:pPr>
      <w:r w:rsidRPr="00356410">
        <w:rPr>
          <w:rFonts w:ascii="STKaiti" w:eastAsia="STKaiti" w:hAnsi="STKaiti" w:hint="eastAsia"/>
          <w:i w:val="0"/>
          <w:iCs/>
          <w:lang w:eastAsia="zh-CN"/>
        </w:rPr>
        <w:t>顾及</w:t>
      </w:r>
    </w:p>
    <w:p w14:paraId="1BFE1A65" w14:textId="4F715669" w:rsidR="00CB56B7" w:rsidRPr="00CB56B7" w:rsidRDefault="00356410" w:rsidP="001A6F37">
      <w:pPr>
        <w:ind w:firstLineChars="200" w:firstLine="480"/>
        <w:rPr>
          <w:lang w:eastAsia="zh-CN"/>
        </w:rPr>
      </w:pPr>
      <w:hyperlink r:id="rId17" w:history="1">
        <w:r>
          <w:rPr>
            <w:color w:val="0563C1"/>
            <w:u w:val="single"/>
            <w:lang w:eastAsia="zh-CN"/>
          </w:rPr>
          <w:t>《财务规则》</w:t>
        </w:r>
      </w:hyperlink>
      <w:r>
        <w:rPr>
          <w:rFonts w:hint="eastAsia"/>
          <w:lang w:eastAsia="zh-CN"/>
        </w:rPr>
        <w:t>第</w:t>
      </w:r>
      <w:r w:rsidRPr="00CB56B7">
        <w:rPr>
          <w:lang w:eastAsia="zh-CN"/>
        </w:rPr>
        <w:t>28</w:t>
      </w:r>
      <w:r>
        <w:rPr>
          <w:rFonts w:hint="eastAsia"/>
          <w:lang w:eastAsia="zh-CN"/>
        </w:rPr>
        <w:t>条，</w:t>
      </w:r>
    </w:p>
    <w:p w14:paraId="7E476469" w14:textId="7BD77EA5" w:rsidR="00CB56B7" w:rsidRPr="00EB4DCD" w:rsidRDefault="00356410" w:rsidP="00EB4DCD">
      <w:pPr>
        <w:pStyle w:val="Call"/>
        <w:rPr>
          <w:lang w:eastAsia="zh-CN"/>
        </w:rPr>
      </w:pPr>
      <w:r w:rsidRPr="00356410">
        <w:rPr>
          <w:rFonts w:ascii="STKaiti" w:eastAsia="STKaiti" w:hAnsi="STKaiti" w:hint="eastAsia"/>
          <w:i w:val="0"/>
          <w:iCs/>
          <w:lang w:eastAsia="zh-CN"/>
        </w:rPr>
        <w:t>决定</w:t>
      </w:r>
    </w:p>
    <w:p w14:paraId="13E41A8A" w14:textId="02A7FD53" w:rsidR="00CB56B7" w:rsidRPr="00CB56B7" w:rsidRDefault="00356410" w:rsidP="00235FC4">
      <w:pPr>
        <w:ind w:firstLineChars="200" w:firstLine="480"/>
        <w:jc w:val="both"/>
        <w:rPr>
          <w:rFonts w:asciiTheme="minorHAnsi" w:hAnsiTheme="minorHAnsi"/>
          <w:szCs w:val="24"/>
          <w:lang w:eastAsia="zh-CN"/>
        </w:rPr>
      </w:pPr>
      <w:r w:rsidRPr="00356410">
        <w:rPr>
          <w:rFonts w:asciiTheme="minorHAnsi" w:hAnsiTheme="minorHAnsi" w:hint="eastAsia"/>
          <w:szCs w:val="24"/>
          <w:lang w:eastAsia="zh-CN"/>
        </w:rPr>
        <w:t>将</w:t>
      </w:r>
      <w:r w:rsidR="0019018D" w:rsidRPr="00356410">
        <w:rPr>
          <w:rFonts w:asciiTheme="minorHAnsi" w:hAnsiTheme="minorHAnsi" w:hint="eastAsia"/>
          <w:szCs w:val="24"/>
          <w:lang w:eastAsia="zh-CN"/>
        </w:rPr>
        <w:t>英国国家审计署（</w:t>
      </w:r>
      <w:r w:rsidR="0019018D" w:rsidRPr="00356410">
        <w:rPr>
          <w:rFonts w:asciiTheme="minorHAnsi" w:hAnsiTheme="minorHAnsi" w:hint="eastAsia"/>
          <w:szCs w:val="24"/>
          <w:lang w:eastAsia="zh-CN"/>
        </w:rPr>
        <w:t>NAO</w:t>
      </w:r>
      <w:r w:rsidR="0019018D" w:rsidRPr="00356410">
        <w:rPr>
          <w:rFonts w:asciiTheme="minorHAnsi" w:hAnsiTheme="minorHAnsi" w:hint="eastAsia"/>
          <w:szCs w:val="24"/>
          <w:lang w:eastAsia="zh-CN"/>
        </w:rPr>
        <w:t>）</w:t>
      </w:r>
      <w:r w:rsidRPr="00356410">
        <w:rPr>
          <w:rFonts w:asciiTheme="minorHAnsi" w:hAnsiTheme="minorHAnsi" w:hint="eastAsia"/>
          <w:szCs w:val="24"/>
          <w:lang w:eastAsia="zh-CN"/>
        </w:rPr>
        <w:t>作为国际电联外部审计员的的授权期</w:t>
      </w:r>
      <w:r w:rsidR="0019018D">
        <w:rPr>
          <w:rFonts w:asciiTheme="minorHAnsi" w:hAnsiTheme="minorHAnsi" w:hint="eastAsia"/>
          <w:szCs w:val="24"/>
          <w:lang w:eastAsia="zh-CN"/>
        </w:rPr>
        <w:t>延长</w:t>
      </w:r>
      <w:r w:rsidRPr="00356410">
        <w:rPr>
          <w:rFonts w:asciiTheme="minorHAnsi" w:hAnsiTheme="minorHAnsi" w:hint="eastAsia"/>
          <w:szCs w:val="24"/>
          <w:lang w:eastAsia="zh-CN"/>
        </w:rPr>
        <w:t>两年，以便审计其</w:t>
      </w:r>
      <w:r w:rsidRPr="00356410">
        <w:rPr>
          <w:rFonts w:asciiTheme="minorHAnsi" w:hAnsiTheme="minorHAnsi" w:hint="eastAsia"/>
          <w:szCs w:val="24"/>
          <w:lang w:eastAsia="zh-CN"/>
        </w:rPr>
        <w:t>2026</w:t>
      </w:r>
      <w:r w:rsidRPr="00356410">
        <w:rPr>
          <w:rFonts w:asciiTheme="minorHAnsi" w:hAnsiTheme="minorHAnsi" w:hint="eastAsia"/>
          <w:szCs w:val="24"/>
          <w:lang w:eastAsia="zh-CN"/>
        </w:rPr>
        <w:t>年和</w:t>
      </w:r>
      <w:r w:rsidRPr="00356410">
        <w:rPr>
          <w:rFonts w:asciiTheme="minorHAnsi" w:hAnsiTheme="minorHAnsi" w:hint="eastAsia"/>
          <w:szCs w:val="24"/>
          <w:lang w:eastAsia="zh-CN"/>
        </w:rPr>
        <w:t>2027</w:t>
      </w:r>
      <w:r w:rsidRPr="00356410">
        <w:rPr>
          <w:rFonts w:asciiTheme="minorHAnsi" w:hAnsiTheme="minorHAnsi" w:hint="eastAsia"/>
          <w:szCs w:val="24"/>
          <w:lang w:eastAsia="zh-CN"/>
        </w:rPr>
        <w:t>年的财务报表，</w:t>
      </w:r>
    </w:p>
    <w:p w14:paraId="30DAE67E" w14:textId="31F58997" w:rsidR="00CB56B7" w:rsidRPr="00EB4DCD" w:rsidRDefault="00356410" w:rsidP="00EB4DCD">
      <w:pPr>
        <w:pStyle w:val="Call"/>
        <w:rPr>
          <w:lang w:eastAsia="zh-CN"/>
        </w:rPr>
      </w:pPr>
      <w:r w:rsidRPr="00356410">
        <w:rPr>
          <w:rFonts w:ascii="STKaiti" w:eastAsia="STKaiti" w:hAnsi="STKaiti" w:hint="eastAsia"/>
          <w:i w:val="0"/>
          <w:iCs/>
          <w:lang w:eastAsia="zh-CN"/>
        </w:rPr>
        <w:t>责成秘书长</w:t>
      </w:r>
    </w:p>
    <w:p w14:paraId="58C938C1" w14:textId="2A30EC58" w:rsidR="00CB56B7" w:rsidRPr="00CB56B7" w:rsidRDefault="00356410" w:rsidP="00235FC4">
      <w:pPr>
        <w:ind w:firstLineChars="200" w:firstLine="480"/>
        <w:jc w:val="both"/>
        <w:rPr>
          <w:color w:val="000000"/>
          <w:lang w:eastAsia="zh-CN"/>
        </w:rPr>
      </w:pPr>
      <w:r w:rsidRPr="00356410">
        <w:rPr>
          <w:rFonts w:hint="eastAsia"/>
          <w:color w:val="000000"/>
          <w:lang w:eastAsia="zh-CN"/>
        </w:rPr>
        <w:t>将本决定通知英国国家</w:t>
      </w:r>
      <w:r w:rsidR="0019018D">
        <w:rPr>
          <w:rFonts w:hint="eastAsia"/>
          <w:color w:val="000000"/>
          <w:lang w:eastAsia="zh-CN"/>
        </w:rPr>
        <w:t>审计署审计主任</w:t>
      </w:r>
      <w:r w:rsidRPr="00356410">
        <w:rPr>
          <w:rFonts w:hint="eastAsia"/>
          <w:color w:val="000000"/>
          <w:lang w:eastAsia="zh-CN"/>
        </w:rPr>
        <w:t>兼审计长。</w:t>
      </w:r>
    </w:p>
    <w:p w14:paraId="35C6D0A5" w14:textId="77777777" w:rsidR="007A3FCD" w:rsidRPr="00C0458D" w:rsidRDefault="007A3FCD" w:rsidP="00D618CB">
      <w:pPr>
        <w:spacing w:before="720"/>
        <w:jc w:val="center"/>
        <w:rPr>
          <w:lang w:eastAsia="zh-CN"/>
        </w:rPr>
      </w:pPr>
      <w:r>
        <w:rPr>
          <w:lang w:eastAsia="zh-CN"/>
        </w:rPr>
        <w:t>______________</w:t>
      </w:r>
    </w:p>
    <w:sectPr w:rsidR="007A3FCD" w:rsidRPr="00C0458D" w:rsidSect="00AD3606">
      <w:footerReference w:type="default" r:id="rId18"/>
      <w:headerReference w:type="first" r:id="rId19"/>
      <w:footerReference w:type="first" r:id="rId20"/>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C5F824" w14:textId="77777777" w:rsidR="00D2718F" w:rsidRDefault="00D2718F">
      <w:r>
        <w:separator/>
      </w:r>
    </w:p>
  </w:endnote>
  <w:endnote w:type="continuationSeparator" w:id="0">
    <w:p w14:paraId="681C2C16" w14:textId="77777777" w:rsidR="00D2718F" w:rsidRDefault="00D271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TKaiti">
    <w:altName w:val="华文楷体"/>
    <w:charset w:val="86"/>
    <w:family w:val="auto"/>
    <w:pitch w:val="variable"/>
    <w:sig w:usb0="00000287" w:usb1="080F0000" w:usb2="00000010" w:usb3="00000000" w:csb0="0004009F" w:csb1="00000000"/>
  </w:font>
  <w:font w:name="Avenir Nxt2 W1G Medium">
    <w:altName w:val="Calibri"/>
    <w:panose1 w:val="00000000000000000000"/>
    <w:charset w:val="00"/>
    <w:family w:val="swiss"/>
    <w:notTrueType/>
    <w:pitch w:val="variable"/>
    <w:sig w:usb0="A00002EF"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EE49E8" w:rsidRPr="00784011" w14:paraId="7F9D2920" w14:textId="77777777" w:rsidTr="0042469C">
      <w:trPr>
        <w:jc w:val="center"/>
      </w:trPr>
      <w:tc>
        <w:tcPr>
          <w:tcW w:w="1803" w:type="dxa"/>
          <w:vAlign w:val="center"/>
        </w:tcPr>
        <w:p w14:paraId="5B3DDD9A" w14:textId="01F28521" w:rsidR="00EE49E8" w:rsidRDefault="001A6F37" w:rsidP="00EE49E8">
          <w:pPr>
            <w:pStyle w:val="Header"/>
            <w:jc w:val="left"/>
            <w:rPr>
              <w:noProof/>
            </w:rPr>
          </w:pPr>
          <w:r>
            <w:rPr>
              <w:noProof/>
            </w:rPr>
            <w:t>gDoc R2500715</w:t>
          </w:r>
        </w:p>
      </w:tc>
      <w:tc>
        <w:tcPr>
          <w:tcW w:w="8261" w:type="dxa"/>
        </w:tcPr>
        <w:p w14:paraId="6F6B3A01" w14:textId="0C4D3E39" w:rsidR="00EE49E8" w:rsidRPr="00E06FD5" w:rsidRDefault="00EE49E8" w:rsidP="00A07996">
          <w:pPr>
            <w:pStyle w:val="Header"/>
            <w:tabs>
              <w:tab w:val="left" w:pos="6737"/>
              <w:tab w:val="right" w:pos="8505"/>
              <w:tab w:val="right" w:pos="9639"/>
            </w:tabs>
            <w:jc w:val="left"/>
            <w:rPr>
              <w:rFonts w:ascii="Arial" w:hAnsi="Arial" w:cs="Arial"/>
              <w:b/>
              <w:bCs/>
              <w:szCs w:val="18"/>
            </w:rPr>
          </w:pPr>
          <w:r>
            <w:rPr>
              <w:bCs/>
            </w:rPr>
            <w:tab/>
          </w:r>
          <w:r w:rsidRPr="00623AE3">
            <w:rPr>
              <w:bCs/>
            </w:rPr>
            <w:t>C</w:t>
          </w:r>
          <w:r>
            <w:rPr>
              <w:bCs/>
            </w:rPr>
            <w:t>2</w:t>
          </w:r>
          <w:r w:rsidR="00C6520B">
            <w:rPr>
              <w:bCs/>
            </w:rPr>
            <w:t>5</w:t>
          </w:r>
          <w:r w:rsidRPr="00623AE3">
            <w:rPr>
              <w:bCs/>
            </w:rPr>
            <w:t>/</w:t>
          </w:r>
          <w:r w:rsidR="00D618CB">
            <w:rPr>
              <w:bCs/>
            </w:rPr>
            <w:t>42</w:t>
          </w:r>
          <w:r w:rsidRPr="00623AE3">
            <w:rPr>
              <w:bCs/>
            </w:rPr>
            <w:t>-</w:t>
          </w:r>
          <w:r w:rsidR="00356410">
            <w:rPr>
              <w:rFonts w:hint="eastAsia"/>
              <w:bCs/>
              <w:lang w:eastAsia="zh-CN"/>
            </w:rPr>
            <w:t>C</w:t>
          </w:r>
          <w:r>
            <w:rPr>
              <w:bCs/>
            </w:rPr>
            <w:tab/>
          </w:r>
          <w:r>
            <w:fldChar w:fldCharType="begin"/>
          </w:r>
          <w:r>
            <w:instrText>PAGE</w:instrText>
          </w:r>
          <w:r>
            <w:fldChar w:fldCharType="separate"/>
          </w:r>
          <w:r>
            <w:t>1</w:t>
          </w:r>
          <w:r>
            <w:rPr>
              <w:noProof/>
            </w:rPr>
            <w:fldChar w:fldCharType="end"/>
          </w:r>
        </w:p>
      </w:tc>
    </w:tr>
  </w:tbl>
  <w:p w14:paraId="4B3FBF10" w14:textId="77777777" w:rsidR="00EE49E8" w:rsidRPr="00DB1936" w:rsidRDefault="00EE49E8" w:rsidP="00EE49E8">
    <w:pPr>
      <w:pStyle w:val="Header"/>
      <w:tabs>
        <w:tab w:val="left" w:pos="8080"/>
        <w:tab w:val="right" w:pos="9072"/>
      </w:tabs>
      <w:jc w:val="left"/>
      <w:rPr>
        <w:b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03"/>
      <w:gridCol w:w="8261"/>
    </w:tblGrid>
    <w:tr w:rsidR="00EE49E8" w:rsidRPr="00784011" w14:paraId="10B15790" w14:textId="77777777" w:rsidTr="006B77F1">
      <w:trPr>
        <w:jc w:val="center"/>
      </w:trPr>
      <w:tc>
        <w:tcPr>
          <w:tcW w:w="1803" w:type="dxa"/>
          <w:vAlign w:val="center"/>
        </w:tcPr>
        <w:p w14:paraId="1D4130C1" w14:textId="77777777" w:rsidR="00EE49E8" w:rsidRPr="006B77F1" w:rsidRDefault="00BF1FDE" w:rsidP="00EE49E8">
          <w:pPr>
            <w:pStyle w:val="Header"/>
            <w:jc w:val="left"/>
            <w:rPr>
              <w:noProof/>
            </w:rPr>
          </w:pPr>
          <w:hyperlink r:id="rId1" w:history="1">
            <w:r w:rsidRPr="006B77F1">
              <w:rPr>
                <w:rStyle w:val="Hyperlink"/>
                <w:u w:val="none"/>
              </w:rPr>
              <w:t>council.itu.int/2025</w:t>
            </w:r>
          </w:hyperlink>
        </w:p>
      </w:tc>
      <w:tc>
        <w:tcPr>
          <w:tcW w:w="8261" w:type="dxa"/>
        </w:tcPr>
        <w:p w14:paraId="68F817AE" w14:textId="028A12A6" w:rsidR="00EE49E8" w:rsidRPr="00E06FD5" w:rsidRDefault="00EE49E8" w:rsidP="00A07996">
          <w:pPr>
            <w:pStyle w:val="Header"/>
            <w:tabs>
              <w:tab w:val="left" w:pos="6737"/>
              <w:tab w:val="right" w:pos="8505"/>
              <w:tab w:val="right" w:pos="9639"/>
            </w:tabs>
            <w:jc w:val="left"/>
            <w:rPr>
              <w:rFonts w:ascii="Arial" w:hAnsi="Arial" w:cs="Arial"/>
              <w:b/>
              <w:bCs/>
              <w:szCs w:val="18"/>
            </w:rPr>
          </w:pPr>
          <w:r>
            <w:rPr>
              <w:bCs/>
            </w:rPr>
            <w:tab/>
          </w:r>
          <w:r w:rsidRPr="00623AE3">
            <w:rPr>
              <w:bCs/>
            </w:rPr>
            <w:t>C</w:t>
          </w:r>
          <w:r>
            <w:rPr>
              <w:bCs/>
            </w:rPr>
            <w:t>2</w:t>
          </w:r>
          <w:r w:rsidR="00BF1FDE">
            <w:rPr>
              <w:bCs/>
            </w:rPr>
            <w:t>5</w:t>
          </w:r>
          <w:r w:rsidRPr="00623AE3">
            <w:rPr>
              <w:bCs/>
            </w:rPr>
            <w:t>/</w:t>
          </w:r>
          <w:r w:rsidR="00D618CB">
            <w:rPr>
              <w:bCs/>
            </w:rPr>
            <w:t>42</w:t>
          </w:r>
          <w:r w:rsidRPr="00623AE3">
            <w:rPr>
              <w:bCs/>
            </w:rPr>
            <w:t>-</w:t>
          </w:r>
          <w:r w:rsidR="005A47FF">
            <w:rPr>
              <w:bCs/>
            </w:rPr>
            <w:t>C</w:t>
          </w:r>
          <w:r>
            <w:rPr>
              <w:bCs/>
            </w:rPr>
            <w:tab/>
          </w:r>
          <w:r>
            <w:fldChar w:fldCharType="begin"/>
          </w:r>
          <w:r>
            <w:instrText>PAGE</w:instrText>
          </w:r>
          <w:r>
            <w:fldChar w:fldCharType="separate"/>
          </w:r>
          <w:r>
            <w:t>1</w:t>
          </w:r>
          <w:r>
            <w:rPr>
              <w:noProof/>
            </w:rPr>
            <w:fldChar w:fldCharType="end"/>
          </w:r>
        </w:p>
      </w:tc>
    </w:tr>
  </w:tbl>
  <w:p w14:paraId="7E78F19F" w14:textId="77777777" w:rsidR="00A514A4" w:rsidRPr="00623AE3" w:rsidRDefault="00A514A4" w:rsidP="00EE49E8">
    <w:pPr>
      <w:pStyle w:val="Header"/>
      <w:tabs>
        <w:tab w:val="left" w:pos="8080"/>
        <w:tab w:val="right" w:pos="9072"/>
      </w:tabs>
      <w:jc w:val="right"/>
      <w:rPr>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69B247" w14:textId="77777777" w:rsidR="00D2718F" w:rsidRDefault="00D2718F">
      <w:r>
        <w:t>____________________</w:t>
      </w:r>
    </w:p>
  </w:footnote>
  <w:footnote w:type="continuationSeparator" w:id="0">
    <w:p w14:paraId="44B68E21" w14:textId="77777777" w:rsidR="00D2718F" w:rsidRDefault="00D271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2"/>
      <w:gridCol w:w="5068"/>
    </w:tblGrid>
    <w:tr w:rsidR="005A47FF" w:rsidRPr="00784011" w14:paraId="064E4940" w14:textId="77777777" w:rsidTr="009F4F03">
      <w:trPr>
        <w:trHeight w:val="1104"/>
        <w:jc w:val="center"/>
      </w:trPr>
      <w:tc>
        <w:tcPr>
          <w:tcW w:w="4390" w:type="dxa"/>
          <w:vAlign w:val="center"/>
        </w:tcPr>
        <w:p w14:paraId="6D1271EB" w14:textId="77777777" w:rsidR="005A47FF" w:rsidRPr="009621F8" w:rsidRDefault="005A47FF" w:rsidP="005A47FF">
          <w:pPr>
            <w:pStyle w:val="Header"/>
            <w:jc w:val="left"/>
            <w:rPr>
              <w:rFonts w:ascii="Arial" w:hAnsi="Arial" w:cs="Arial"/>
              <w:b/>
              <w:bCs/>
              <w:color w:val="009CD6"/>
              <w:sz w:val="36"/>
              <w:szCs w:val="36"/>
            </w:rPr>
          </w:pPr>
          <w:bookmarkStart w:id="13" w:name="_Hlk133422111"/>
          <w:r>
            <w:rPr>
              <w:rFonts w:ascii="Arial" w:hAnsi="Arial" w:cs="Arial"/>
              <w:b/>
              <w:bCs/>
              <w:noProof/>
              <w:color w:val="009CD6"/>
              <w:sz w:val="36"/>
              <w:szCs w:val="36"/>
            </w:rPr>
            <w:drawing>
              <wp:inline distT="0" distB="0" distL="0" distR="0" wp14:anchorId="7799E43D" wp14:editId="65D5F7E9">
                <wp:extent cx="3007478" cy="575945"/>
                <wp:effectExtent l="0" t="0" r="0" b="0"/>
                <wp:docPr id="1695723161" name="Picture 1" descr="A black background with blue letters and numb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5723161" name="Picture 1" descr="A black background with blue letters and numbers&#10;&#10;AI-generated content may be incorrect."/>
                        <pic:cNvPicPr/>
                      </pic:nvPicPr>
                      <pic:blipFill rotWithShape="1">
                        <a:blip r:embed="rId1">
                          <a:extLst>
                            <a:ext uri="{28A0092B-C50C-407E-A947-70E740481C1C}">
                              <a14:useLocalDpi xmlns:a14="http://schemas.microsoft.com/office/drawing/2010/main" val="0"/>
                            </a:ext>
                          </a:extLst>
                        </a:blip>
                        <a:srcRect r="18084"/>
                        <a:stretch/>
                      </pic:blipFill>
                      <pic:spPr bwMode="auto">
                        <a:xfrm>
                          <a:off x="0" y="0"/>
                          <a:ext cx="3007765" cy="576000"/>
                        </a:xfrm>
                        <a:prstGeom prst="rect">
                          <a:avLst/>
                        </a:prstGeom>
                        <a:ln>
                          <a:noFill/>
                        </a:ln>
                        <a:extLst>
                          <a:ext uri="{53640926-AAD7-44D8-BBD7-CCE9431645EC}">
                            <a14:shadowObscured xmlns:a14="http://schemas.microsoft.com/office/drawing/2010/main"/>
                          </a:ext>
                        </a:extLst>
                      </pic:spPr>
                    </pic:pic>
                  </a:graphicData>
                </a:graphic>
              </wp:inline>
            </w:drawing>
          </w:r>
        </w:p>
      </w:tc>
      <w:tc>
        <w:tcPr>
          <w:tcW w:w="5630" w:type="dxa"/>
        </w:tcPr>
        <w:p w14:paraId="77A934AF" w14:textId="77777777" w:rsidR="005A47FF" w:rsidRDefault="005A47FF" w:rsidP="005A47FF">
          <w:pPr>
            <w:pStyle w:val="Header"/>
            <w:jc w:val="right"/>
            <w:rPr>
              <w:rFonts w:ascii="Arial" w:hAnsi="Arial" w:cs="Arial"/>
              <w:b/>
              <w:bCs/>
              <w:color w:val="009CD6"/>
              <w:szCs w:val="18"/>
            </w:rPr>
          </w:pPr>
        </w:p>
        <w:p w14:paraId="31572891" w14:textId="77777777" w:rsidR="005A47FF" w:rsidRDefault="005A47FF" w:rsidP="005A47FF">
          <w:pPr>
            <w:pStyle w:val="Header"/>
            <w:jc w:val="right"/>
            <w:rPr>
              <w:rFonts w:ascii="Arial" w:hAnsi="Arial" w:cs="Arial"/>
              <w:b/>
              <w:bCs/>
              <w:color w:val="009CD6"/>
              <w:szCs w:val="18"/>
            </w:rPr>
          </w:pPr>
        </w:p>
        <w:p w14:paraId="77BC1A6A" w14:textId="77777777" w:rsidR="005A47FF" w:rsidRPr="00784011" w:rsidRDefault="005A47FF" w:rsidP="005A47FF">
          <w:pPr>
            <w:pStyle w:val="Header"/>
            <w:jc w:val="right"/>
            <w:rPr>
              <w:rFonts w:ascii="Arial" w:hAnsi="Arial" w:cs="Arial"/>
              <w:color w:val="009CD6"/>
              <w:szCs w:val="18"/>
            </w:rPr>
          </w:pPr>
          <w:r w:rsidRPr="00BC6276">
            <w:rPr>
              <w:rFonts w:ascii="Arial" w:hAnsi="Arial" w:cs="Arial"/>
              <w:b/>
              <w:bCs/>
              <w:color w:val="009CD6"/>
              <w:szCs w:val="18"/>
            </w:rPr>
            <w:t xml:space="preserve"> </w:t>
          </w:r>
        </w:p>
      </w:tc>
    </w:tr>
  </w:tbl>
  <w:bookmarkEnd w:id="13"/>
  <w:p w14:paraId="3C724958" w14:textId="3A13E37B" w:rsidR="00AD3606" w:rsidRPr="005A47FF" w:rsidRDefault="005A47FF" w:rsidP="005A47FF">
    <w:pPr>
      <w:pStyle w:val="Header"/>
    </w:pPr>
    <w:r w:rsidRPr="00802C2C">
      <w:rPr>
        <w:rFonts w:ascii="Avenir Nxt2 W1G Medium" w:eastAsia="Avenir Nxt2 W1G Medium" w:hAnsi="Avenir Nxt2 W1G Medium" w:cs="Avenir Nxt2 W1G Medium"/>
        <w:noProof/>
      </w:rPr>
      <mc:AlternateContent>
        <mc:Choice Requires="wps">
          <w:drawing>
            <wp:anchor distT="0" distB="0" distL="114300" distR="114300" simplePos="0" relativeHeight="251659264" behindDoc="0" locked="0" layoutInCell="1" allowOverlap="1" wp14:anchorId="5C949A4E" wp14:editId="4BF09B6B">
              <wp:simplePos x="0" y="0"/>
              <wp:positionH relativeFrom="page">
                <wp:posOffset>22225</wp:posOffset>
              </wp:positionH>
              <wp:positionV relativeFrom="topMargin">
                <wp:posOffset>617694</wp:posOffset>
              </wp:positionV>
              <wp:extent cx="92075" cy="360680"/>
              <wp:effectExtent l="0" t="0" r="3175" b="127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075" cy="360680"/>
                      </a:xfrm>
                      <a:prstGeom prst="rect">
                        <a:avLst/>
                      </a:prstGeom>
                      <a:solidFill>
                        <a:srgbClr val="009C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83F93D" id="Rectangle 5" o:spid="_x0000_s1026" style="position:absolute;margin-left:1.75pt;margin-top:48.65pt;width:7.25pt;height:28.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" fillcolor="#009cd5" stroked="f">
              <w10:wrap anchorx="page" anchory="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6665E7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3C2F0C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5D2DF3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3468A0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8D0A1A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74C47B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7FE5B3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6581AE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634D02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BB65F4E"/>
    <w:lvl w:ilvl="0">
      <w:start w:val="1"/>
      <w:numFmt w:val="bullet"/>
      <w:lvlText w:val=""/>
      <w:lvlJc w:val="left"/>
      <w:pPr>
        <w:tabs>
          <w:tab w:val="num" w:pos="360"/>
        </w:tabs>
        <w:ind w:left="360" w:hanging="360"/>
      </w:pPr>
      <w:rPr>
        <w:rFonts w:ascii="Symbol" w:hAnsi="Symbol" w:hint="default"/>
      </w:rPr>
    </w:lvl>
  </w:abstractNum>
  <w:num w:numId="1" w16cid:durableId="1374816267">
    <w:abstractNumId w:val="9"/>
  </w:num>
  <w:num w:numId="2" w16cid:durableId="526060877">
    <w:abstractNumId w:val="7"/>
  </w:num>
  <w:num w:numId="3" w16cid:durableId="1517227191">
    <w:abstractNumId w:val="6"/>
  </w:num>
  <w:num w:numId="4" w16cid:durableId="2083940608">
    <w:abstractNumId w:val="5"/>
  </w:num>
  <w:num w:numId="5" w16cid:durableId="1440831355">
    <w:abstractNumId w:val="4"/>
  </w:num>
  <w:num w:numId="6" w16cid:durableId="1469274345">
    <w:abstractNumId w:val="8"/>
  </w:num>
  <w:num w:numId="7" w16cid:durableId="1595625436">
    <w:abstractNumId w:val="3"/>
  </w:num>
  <w:num w:numId="8" w16cid:durableId="1047339128">
    <w:abstractNumId w:val="2"/>
  </w:num>
  <w:num w:numId="9" w16cid:durableId="637880343">
    <w:abstractNumId w:val="1"/>
  </w:num>
  <w:num w:numId="10" w16cid:durableId="1781563013">
    <w:abstractNumId w:val="0"/>
  </w:num>
  <w:num w:numId="11" w16cid:durableId="1859080470">
    <w:abstractNumId w:val="8"/>
  </w:num>
  <w:num w:numId="12" w16cid:durableId="155414043">
    <w:abstractNumId w:val="3"/>
  </w:num>
  <w:num w:numId="13" w16cid:durableId="2041319012">
    <w:abstractNumId w:val="2"/>
  </w:num>
  <w:num w:numId="14" w16cid:durableId="954947632">
    <w:abstractNumId w:val="1"/>
  </w:num>
  <w:num w:numId="15" w16cid:durableId="1399134059">
    <w:abstractNumId w:val="0"/>
  </w:num>
  <w:num w:numId="16" w16cid:durableId="738600626">
    <w:abstractNumId w:val="8"/>
  </w:num>
  <w:num w:numId="17" w16cid:durableId="224611617">
    <w:abstractNumId w:val="3"/>
  </w:num>
  <w:num w:numId="18" w16cid:durableId="525951670">
    <w:abstractNumId w:val="2"/>
  </w:num>
  <w:num w:numId="19" w16cid:durableId="74590421">
    <w:abstractNumId w:val="1"/>
  </w:num>
  <w:num w:numId="20" w16cid:durableId="1917863451">
    <w:abstractNumId w:val="0"/>
  </w:num>
  <w:num w:numId="21" w16cid:durableId="1168716127">
    <w:abstractNumId w:val="8"/>
  </w:num>
  <w:num w:numId="22" w16cid:durableId="85929431">
    <w:abstractNumId w:val="3"/>
  </w:num>
  <w:num w:numId="23" w16cid:durableId="676469403">
    <w:abstractNumId w:val="2"/>
  </w:num>
  <w:num w:numId="24" w16cid:durableId="945383661">
    <w:abstractNumId w:val="1"/>
  </w:num>
  <w:num w:numId="25" w16cid:durableId="11341047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11F8"/>
    <w:rsid w:val="00007948"/>
    <w:rsid w:val="000210D4"/>
    <w:rsid w:val="0006007D"/>
    <w:rsid w:val="00063016"/>
    <w:rsid w:val="00066795"/>
    <w:rsid w:val="000745AB"/>
    <w:rsid w:val="00076AF6"/>
    <w:rsid w:val="00085CF2"/>
    <w:rsid w:val="000B1705"/>
    <w:rsid w:val="000D75B2"/>
    <w:rsid w:val="000F5DDB"/>
    <w:rsid w:val="000F7289"/>
    <w:rsid w:val="001121F5"/>
    <w:rsid w:val="0011568F"/>
    <w:rsid w:val="00126073"/>
    <w:rsid w:val="001400DC"/>
    <w:rsid w:val="00140CE1"/>
    <w:rsid w:val="00172FB7"/>
    <w:rsid w:val="0017539C"/>
    <w:rsid w:val="00175AC2"/>
    <w:rsid w:val="0017609F"/>
    <w:rsid w:val="0019018D"/>
    <w:rsid w:val="001A3154"/>
    <w:rsid w:val="001A6F37"/>
    <w:rsid w:val="001A7D1D"/>
    <w:rsid w:val="001B51DD"/>
    <w:rsid w:val="001C628E"/>
    <w:rsid w:val="001E0F7B"/>
    <w:rsid w:val="001F5569"/>
    <w:rsid w:val="002119FD"/>
    <w:rsid w:val="002130E0"/>
    <w:rsid w:val="00221F46"/>
    <w:rsid w:val="00235FC4"/>
    <w:rsid w:val="00264425"/>
    <w:rsid w:val="00265875"/>
    <w:rsid w:val="0027303B"/>
    <w:rsid w:val="00280689"/>
    <w:rsid w:val="0028109B"/>
    <w:rsid w:val="002A2188"/>
    <w:rsid w:val="002B1F58"/>
    <w:rsid w:val="002B5C7F"/>
    <w:rsid w:val="002C1687"/>
    <w:rsid w:val="002C1C7A"/>
    <w:rsid w:val="002C35EE"/>
    <w:rsid w:val="002C54E2"/>
    <w:rsid w:val="0030160F"/>
    <w:rsid w:val="00320223"/>
    <w:rsid w:val="00322D0D"/>
    <w:rsid w:val="00346896"/>
    <w:rsid w:val="00356410"/>
    <w:rsid w:val="00361465"/>
    <w:rsid w:val="00362846"/>
    <w:rsid w:val="00380F69"/>
    <w:rsid w:val="003877F5"/>
    <w:rsid w:val="003936D3"/>
    <w:rsid w:val="003942D4"/>
    <w:rsid w:val="003958A8"/>
    <w:rsid w:val="003B29C2"/>
    <w:rsid w:val="003C2533"/>
    <w:rsid w:val="003D5A7F"/>
    <w:rsid w:val="0040435A"/>
    <w:rsid w:val="00416A24"/>
    <w:rsid w:val="00427BFF"/>
    <w:rsid w:val="00431D9E"/>
    <w:rsid w:val="00433CE8"/>
    <w:rsid w:val="00434A5C"/>
    <w:rsid w:val="00453079"/>
    <w:rsid w:val="004544D9"/>
    <w:rsid w:val="00472BAD"/>
    <w:rsid w:val="004811F8"/>
    <w:rsid w:val="00484009"/>
    <w:rsid w:val="00490E72"/>
    <w:rsid w:val="00491157"/>
    <w:rsid w:val="00491BA9"/>
    <w:rsid w:val="004921C8"/>
    <w:rsid w:val="00495B0B"/>
    <w:rsid w:val="004A1B8B"/>
    <w:rsid w:val="004B25A1"/>
    <w:rsid w:val="004D1851"/>
    <w:rsid w:val="004D599D"/>
    <w:rsid w:val="004E2EA5"/>
    <w:rsid w:val="004E3AEB"/>
    <w:rsid w:val="0050223C"/>
    <w:rsid w:val="005243FF"/>
    <w:rsid w:val="005448DF"/>
    <w:rsid w:val="00564FBC"/>
    <w:rsid w:val="00565382"/>
    <w:rsid w:val="005800BC"/>
    <w:rsid w:val="00582442"/>
    <w:rsid w:val="005A47FF"/>
    <w:rsid w:val="005C6A42"/>
    <w:rsid w:val="005F3269"/>
    <w:rsid w:val="00623AE3"/>
    <w:rsid w:val="00630C4D"/>
    <w:rsid w:val="00644EC6"/>
    <w:rsid w:val="0064737F"/>
    <w:rsid w:val="006535F1"/>
    <w:rsid w:val="0065557D"/>
    <w:rsid w:val="00660D50"/>
    <w:rsid w:val="00662984"/>
    <w:rsid w:val="006716BB"/>
    <w:rsid w:val="006B1859"/>
    <w:rsid w:val="006B6680"/>
    <w:rsid w:val="006B6DCC"/>
    <w:rsid w:val="006B77F1"/>
    <w:rsid w:val="006C5ECF"/>
    <w:rsid w:val="00702DEF"/>
    <w:rsid w:val="00706861"/>
    <w:rsid w:val="00716694"/>
    <w:rsid w:val="00722551"/>
    <w:rsid w:val="00734D0B"/>
    <w:rsid w:val="0075051B"/>
    <w:rsid w:val="007665AD"/>
    <w:rsid w:val="0077110E"/>
    <w:rsid w:val="00783697"/>
    <w:rsid w:val="00791B97"/>
    <w:rsid w:val="00793188"/>
    <w:rsid w:val="00794D34"/>
    <w:rsid w:val="007A3FCD"/>
    <w:rsid w:val="007B19CF"/>
    <w:rsid w:val="007D01AF"/>
    <w:rsid w:val="00810DC9"/>
    <w:rsid w:val="00813E5E"/>
    <w:rsid w:val="0083581B"/>
    <w:rsid w:val="00845BBD"/>
    <w:rsid w:val="00856684"/>
    <w:rsid w:val="00863874"/>
    <w:rsid w:val="00864AFF"/>
    <w:rsid w:val="00865925"/>
    <w:rsid w:val="008B4A6A"/>
    <w:rsid w:val="008C7E27"/>
    <w:rsid w:val="008D0035"/>
    <w:rsid w:val="008F7448"/>
    <w:rsid w:val="0090147A"/>
    <w:rsid w:val="009173EF"/>
    <w:rsid w:val="00932906"/>
    <w:rsid w:val="00961B0B"/>
    <w:rsid w:val="00962D33"/>
    <w:rsid w:val="0096453C"/>
    <w:rsid w:val="009836D5"/>
    <w:rsid w:val="009B38C3"/>
    <w:rsid w:val="009E17BD"/>
    <w:rsid w:val="009E485A"/>
    <w:rsid w:val="00A04CEC"/>
    <w:rsid w:val="00A07996"/>
    <w:rsid w:val="00A272DB"/>
    <w:rsid w:val="00A27F92"/>
    <w:rsid w:val="00A32257"/>
    <w:rsid w:val="00A36D20"/>
    <w:rsid w:val="00A514A4"/>
    <w:rsid w:val="00A537B9"/>
    <w:rsid w:val="00A55622"/>
    <w:rsid w:val="00A73930"/>
    <w:rsid w:val="00A83502"/>
    <w:rsid w:val="00A875ED"/>
    <w:rsid w:val="00A94BAB"/>
    <w:rsid w:val="00AD15B3"/>
    <w:rsid w:val="00AD3606"/>
    <w:rsid w:val="00AD4A3D"/>
    <w:rsid w:val="00AD677D"/>
    <w:rsid w:val="00AF6E49"/>
    <w:rsid w:val="00B04A67"/>
    <w:rsid w:val="00B0583C"/>
    <w:rsid w:val="00B40A81"/>
    <w:rsid w:val="00B44910"/>
    <w:rsid w:val="00B72267"/>
    <w:rsid w:val="00B76EB6"/>
    <w:rsid w:val="00B7737B"/>
    <w:rsid w:val="00B824C8"/>
    <w:rsid w:val="00B84B9D"/>
    <w:rsid w:val="00B9131F"/>
    <w:rsid w:val="00BB0646"/>
    <w:rsid w:val="00BC251A"/>
    <w:rsid w:val="00BD032B"/>
    <w:rsid w:val="00BD6C19"/>
    <w:rsid w:val="00BE01C6"/>
    <w:rsid w:val="00BE0B5F"/>
    <w:rsid w:val="00BE2640"/>
    <w:rsid w:val="00BE6A41"/>
    <w:rsid w:val="00BF1FDE"/>
    <w:rsid w:val="00C01189"/>
    <w:rsid w:val="00C0458D"/>
    <w:rsid w:val="00C374DE"/>
    <w:rsid w:val="00C47AD4"/>
    <w:rsid w:val="00C52D81"/>
    <w:rsid w:val="00C55198"/>
    <w:rsid w:val="00C6520B"/>
    <w:rsid w:val="00C75800"/>
    <w:rsid w:val="00CA30CC"/>
    <w:rsid w:val="00CA6393"/>
    <w:rsid w:val="00CA7995"/>
    <w:rsid w:val="00CB18FF"/>
    <w:rsid w:val="00CB56B7"/>
    <w:rsid w:val="00CD0C08"/>
    <w:rsid w:val="00CD0C73"/>
    <w:rsid w:val="00CE03FB"/>
    <w:rsid w:val="00CE433C"/>
    <w:rsid w:val="00CF0161"/>
    <w:rsid w:val="00CF33F3"/>
    <w:rsid w:val="00CF4A2B"/>
    <w:rsid w:val="00D024CA"/>
    <w:rsid w:val="00D06183"/>
    <w:rsid w:val="00D22C42"/>
    <w:rsid w:val="00D2718F"/>
    <w:rsid w:val="00D30262"/>
    <w:rsid w:val="00D618CB"/>
    <w:rsid w:val="00D62238"/>
    <w:rsid w:val="00D65041"/>
    <w:rsid w:val="00D702E5"/>
    <w:rsid w:val="00DB1936"/>
    <w:rsid w:val="00DB384B"/>
    <w:rsid w:val="00DD11ED"/>
    <w:rsid w:val="00DF0189"/>
    <w:rsid w:val="00DF26C9"/>
    <w:rsid w:val="00E06FD5"/>
    <w:rsid w:val="00E10E80"/>
    <w:rsid w:val="00E124F0"/>
    <w:rsid w:val="00E214A6"/>
    <w:rsid w:val="00E21C7C"/>
    <w:rsid w:val="00E227F3"/>
    <w:rsid w:val="00E545C6"/>
    <w:rsid w:val="00E60754"/>
    <w:rsid w:val="00E60F04"/>
    <w:rsid w:val="00E65B24"/>
    <w:rsid w:val="00E854E4"/>
    <w:rsid w:val="00E86DBF"/>
    <w:rsid w:val="00E969AF"/>
    <w:rsid w:val="00EB0D6F"/>
    <w:rsid w:val="00EB2232"/>
    <w:rsid w:val="00EB4DCD"/>
    <w:rsid w:val="00EC5337"/>
    <w:rsid w:val="00EE49E8"/>
    <w:rsid w:val="00F16BAB"/>
    <w:rsid w:val="00F2150A"/>
    <w:rsid w:val="00F231D8"/>
    <w:rsid w:val="00F41209"/>
    <w:rsid w:val="00F44C00"/>
    <w:rsid w:val="00F45D2C"/>
    <w:rsid w:val="00F46C5F"/>
    <w:rsid w:val="00F632C0"/>
    <w:rsid w:val="00F641E1"/>
    <w:rsid w:val="00F94A63"/>
    <w:rsid w:val="00FA1C28"/>
    <w:rsid w:val="00FB1279"/>
    <w:rsid w:val="00FB6B76"/>
    <w:rsid w:val="00FB7596"/>
    <w:rsid w:val="00FE4077"/>
    <w:rsid w:val="00FE500D"/>
    <w:rsid w:val="00FE77D2"/>
    <w:rsid w:val="00FF39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A048E5"/>
  <w15:docId w15:val="{095992CB-951E-46F8-828A-E2188A255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heme="minorEastAsia"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54E2"/>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qFormat/>
    <w:rsid w:val="00B9131F"/>
    <w:pPr>
      <w:keepNext/>
      <w:keepLines/>
      <w:spacing w:before="360"/>
      <w:ind w:left="567" w:hanging="567"/>
      <w:outlineLvl w:val="0"/>
    </w:pPr>
    <w:rPr>
      <w:b/>
      <w:sz w:val="28"/>
    </w:rPr>
  </w:style>
  <w:style w:type="paragraph" w:styleId="Heading2">
    <w:name w:val="heading 2"/>
    <w:basedOn w:val="Heading1"/>
    <w:next w:val="Normal"/>
    <w:qFormat/>
    <w:rsid w:val="00B9131F"/>
    <w:pPr>
      <w:spacing w:before="240"/>
      <w:outlineLvl w:val="1"/>
    </w:pPr>
    <w:rPr>
      <w:sz w:val="24"/>
    </w:rPr>
  </w:style>
  <w:style w:type="paragraph" w:styleId="Heading3">
    <w:name w:val="heading 3"/>
    <w:basedOn w:val="Heading1"/>
    <w:next w:val="Normal"/>
    <w:qFormat/>
    <w:rsid w:val="00B9131F"/>
    <w:pPr>
      <w:spacing w:before="200"/>
      <w:outlineLvl w:val="2"/>
    </w:pPr>
    <w:rPr>
      <w:sz w:val="24"/>
    </w:rPr>
  </w:style>
  <w:style w:type="paragraph" w:styleId="Heading4">
    <w:name w:val="heading 4"/>
    <w:basedOn w:val="Heading3"/>
    <w:next w:val="Normal"/>
    <w:qFormat/>
    <w:rsid w:val="00B9131F"/>
    <w:pPr>
      <w:ind w:left="1134" w:hanging="1134"/>
      <w:outlineLvl w:val="3"/>
    </w:pPr>
  </w:style>
  <w:style w:type="paragraph" w:styleId="Heading5">
    <w:name w:val="heading 5"/>
    <w:basedOn w:val="Heading4"/>
    <w:next w:val="Normal"/>
    <w:qFormat/>
    <w:rsid w:val="00B9131F"/>
    <w:pPr>
      <w:outlineLvl w:val="4"/>
    </w:pPr>
  </w:style>
  <w:style w:type="paragraph" w:styleId="Heading6">
    <w:name w:val="heading 6"/>
    <w:basedOn w:val="Heading4"/>
    <w:next w:val="Normal"/>
    <w:qFormat/>
    <w:rsid w:val="00B9131F"/>
    <w:pPr>
      <w:outlineLvl w:val="5"/>
    </w:pPr>
  </w:style>
  <w:style w:type="paragraph" w:styleId="Heading7">
    <w:name w:val="heading 7"/>
    <w:basedOn w:val="Heading4"/>
    <w:next w:val="Normal"/>
    <w:qFormat/>
    <w:rsid w:val="00813E5E"/>
    <w:pPr>
      <w:ind w:left="1701" w:hanging="1701"/>
      <w:outlineLvl w:val="6"/>
    </w:pPr>
  </w:style>
  <w:style w:type="paragraph" w:styleId="Heading8">
    <w:name w:val="heading 8"/>
    <w:basedOn w:val="Heading4"/>
    <w:next w:val="Normal"/>
    <w:qFormat/>
    <w:rsid w:val="00B9131F"/>
    <w:pPr>
      <w:ind w:left="1701" w:hanging="1701"/>
      <w:outlineLvl w:val="7"/>
    </w:pPr>
  </w:style>
  <w:style w:type="paragraph" w:styleId="Heading9">
    <w:name w:val="heading 9"/>
    <w:basedOn w:val="Heading4"/>
    <w:next w:val="Normal"/>
    <w:qFormat/>
    <w:rsid w:val="00B9131F"/>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813E5E"/>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813E5E"/>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4D1851"/>
    <w:pPr>
      <w:ind w:left="1698"/>
    </w:pPr>
  </w:style>
  <w:style w:type="paragraph" w:styleId="Index6">
    <w:name w:val="index 6"/>
    <w:basedOn w:val="Normal"/>
    <w:next w:val="Normal"/>
    <w:rsid w:val="004D1851"/>
    <w:pPr>
      <w:ind w:left="1415"/>
    </w:pPr>
  </w:style>
  <w:style w:type="paragraph" w:styleId="Index5">
    <w:name w:val="index 5"/>
    <w:basedOn w:val="Normal"/>
    <w:next w:val="Normal"/>
    <w:rsid w:val="004D1851"/>
    <w:pPr>
      <w:ind w:left="1132"/>
    </w:pPr>
  </w:style>
  <w:style w:type="paragraph" w:styleId="Index4">
    <w:name w:val="index 4"/>
    <w:basedOn w:val="Normal"/>
    <w:next w:val="Normal"/>
    <w:rsid w:val="004D1851"/>
    <w:pPr>
      <w:ind w:left="849"/>
    </w:pPr>
  </w:style>
  <w:style w:type="paragraph" w:styleId="Index3">
    <w:name w:val="index 3"/>
    <w:basedOn w:val="Normal"/>
    <w:next w:val="Normal"/>
    <w:rsid w:val="004D1851"/>
    <w:pPr>
      <w:ind w:left="566"/>
    </w:pPr>
  </w:style>
  <w:style w:type="paragraph" w:styleId="Index2">
    <w:name w:val="index 2"/>
    <w:basedOn w:val="Normal"/>
    <w:next w:val="Normal"/>
    <w:rsid w:val="004D1851"/>
    <w:pPr>
      <w:ind w:left="283"/>
    </w:pPr>
  </w:style>
  <w:style w:type="paragraph" w:styleId="Index1">
    <w:name w:val="index 1"/>
    <w:basedOn w:val="Normal"/>
    <w:next w:val="Normal"/>
    <w:rsid w:val="004D1851"/>
  </w:style>
  <w:style w:type="character" w:styleId="LineNumber">
    <w:name w:val="line number"/>
    <w:basedOn w:val="DefaultParagraphFont"/>
    <w:rsid w:val="00B9131F"/>
    <w:rPr>
      <w:rFonts w:asciiTheme="minorHAnsi" w:hAnsiTheme="minorHAnsi"/>
      <w:sz w:val="24"/>
    </w:rPr>
  </w:style>
  <w:style w:type="paragraph" w:styleId="IndexHeading">
    <w:name w:val="index heading"/>
    <w:basedOn w:val="Normal"/>
    <w:next w:val="Index1"/>
    <w:rsid w:val="004D1851"/>
  </w:style>
  <w:style w:type="paragraph" w:styleId="Footer">
    <w:name w:val="footer"/>
    <w:basedOn w:val="Normal"/>
    <w:rsid w:val="00813E5E"/>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5800BC"/>
    <w:pPr>
      <w:tabs>
        <w:tab w:val="clear" w:pos="567"/>
        <w:tab w:val="clear" w:pos="1134"/>
        <w:tab w:val="clear" w:pos="1701"/>
        <w:tab w:val="clear" w:pos="2268"/>
        <w:tab w:val="clear" w:pos="2835"/>
      </w:tabs>
      <w:spacing w:before="0"/>
      <w:jc w:val="center"/>
    </w:pPr>
    <w:rPr>
      <w:color w:val="7F7F7F" w:themeColor="text1" w:themeTint="80"/>
      <w:sz w:val="18"/>
    </w:rPr>
  </w:style>
  <w:style w:type="character" w:styleId="FootnoteReference">
    <w:name w:val="footnote reference"/>
    <w:basedOn w:val="DefaultParagraphFont"/>
    <w:rsid w:val="00813E5E"/>
    <w:rPr>
      <w:rFonts w:ascii="Calibri" w:hAnsi="Calibri"/>
      <w:position w:val="6"/>
      <w:sz w:val="16"/>
    </w:rPr>
  </w:style>
  <w:style w:type="paragraph" w:styleId="FootnoteText">
    <w:name w:val="footnote text"/>
    <w:basedOn w:val="Normal"/>
    <w:rsid w:val="00D024CA"/>
    <w:pPr>
      <w:keepLines/>
      <w:tabs>
        <w:tab w:val="left" w:pos="284"/>
      </w:tabs>
      <w:ind w:left="284" w:hanging="284"/>
    </w:pPr>
    <w:rPr>
      <w:sz w:val="22"/>
    </w:rPr>
  </w:style>
  <w:style w:type="paragraph" w:styleId="NormalIndent">
    <w:name w:val="Normal Indent"/>
    <w:basedOn w:val="Normal"/>
    <w:rsid w:val="00813E5E"/>
    <w:pPr>
      <w:ind w:left="567"/>
    </w:pPr>
  </w:style>
  <w:style w:type="paragraph" w:customStyle="1" w:styleId="enumlev1">
    <w:name w:val="enumlev1"/>
    <w:basedOn w:val="Normal"/>
    <w:qFormat/>
    <w:rsid w:val="001A3154"/>
    <w:pPr>
      <w:spacing w:before="80"/>
      <w:ind w:left="567" w:hanging="567"/>
    </w:pPr>
  </w:style>
  <w:style w:type="paragraph" w:customStyle="1" w:styleId="enumlev2">
    <w:name w:val="enumlev2"/>
    <w:basedOn w:val="enumlev1"/>
    <w:qFormat/>
    <w:rsid w:val="001A3154"/>
    <w:pPr>
      <w:ind w:left="1134"/>
    </w:pPr>
  </w:style>
  <w:style w:type="paragraph" w:customStyle="1" w:styleId="enumlev3">
    <w:name w:val="enumlev3"/>
    <w:basedOn w:val="enumlev2"/>
    <w:qFormat/>
    <w:rsid w:val="00813E5E"/>
    <w:pPr>
      <w:ind w:left="1701"/>
    </w:pPr>
  </w:style>
  <w:style w:type="paragraph" w:customStyle="1" w:styleId="Normalaftertitle">
    <w:name w:val="Normal after title"/>
    <w:basedOn w:val="Normal"/>
    <w:next w:val="Normal"/>
    <w:rsid w:val="00813E5E"/>
    <w:pPr>
      <w:spacing w:before="240"/>
    </w:pPr>
  </w:style>
  <w:style w:type="character" w:customStyle="1" w:styleId="HeaderChar">
    <w:name w:val="Header Char"/>
    <w:basedOn w:val="DefaultParagraphFont"/>
    <w:link w:val="Header"/>
    <w:uiPriority w:val="99"/>
    <w:rsid w:val="005800BC"/>
    <w:rPr>
      <w:rFonts w:ascii="Calibri" w:hAnsi="Calibri"/>
      <w:color w:val="7F7F7F" w:themeColor="text1" w:themeTint="80"/>
      <w:sz w:val="18"/>
      <w:lang w:val="en-GB" w:eastAsia="en-US"/>
    </w:rPr>
  </w:style>
  <w:style w:type="paragraph" w:customStyle="1" w:styleId="Head">
    <w:name w:val="Head"/>
    <w:basedOn w:val="Normal"/>
    <w:rsid w:val="004D1851"/>
    <w:pPr>
      <w:tabs>
        <w:tab w:val="left" w:pos="6663"/>
      </w:tabs>
      <w:overflowPunct/>
      <w:autoSpaceDE/>
      <w:autoSpaceDN/>
      <w:adjustRightInd/>
      <w:spacing w:before="0"/>
      <w:textAlignment w:val="auto"/>
    </w:pPr>
  </w:style>
  <w:style w:type="paragraph" w:customStyle="1" w:styleId="toc0">
    <w:name w:val="toc 0"/>
    <w:basedOn w:val="Normal"/>
    <w:next w:val="TOC1"/>
    <w:rsid w:val="00813E5E"/>
    <w:pPr>
      <w:tabs>
        <w:tab w:val="clear" w:pos="567"/>
        <w:tab w:val="clear" w:pos="1134"/>
        <w:tab w:val="clear" w:pos="1701"/>
        <w:tab w:val="clear" w:pos="2268"/>
        <w:tab w:val="clear" w:pos="2835"/>
        <w:tab w:val="right" w:pos="9781"/>
      </w:tabs>
    </w:pPr>
    <w:rPr>
      <w:b/>
    </w:rPr>
  </w:style>
  <w:style w:type="paragraph" w:styleId="List">
    <w:name w:val="List"/>
    <w:basedOn w:val="Normal"/>
    <w:rsid w:val="004D1851"/>
    <w:pPr>
      <w:tabs>
        <w:tab w:val="left" w:pos="2127"/>
      </w:tabs>
      <w:ind w:left="2127" w:hanging="2127"/>
    </w:pPr>
  </w:style>
  <w:style w:type="paragraph" w:customStyle="1" w:styleId="Part">
    <w:name w:val="Part"/>
    <w:basedOn w:val="Normal"/>
    <w:next w:val="Normal"/>
    <w:rsid w:val="00813E5E"/>
    <w:pPr>
      <w:tabs>
        <w:tab w:val="clear" w:pos="567"/>
        <w:tab w:val="clear" w:pos="1134"/>
        <w:tab w:val="clear" w:pos="1701"/>
        <w:tab w:val="clear" w:pos="2268"/>
        <w:tab w:val="clear" w:pos="2835"/>
      </w:tabs>
      <w:spacing w:before="600"/>
      <w:jc w:val="center"/>
    </w:pPr>
    <w:rPr>
      <w:caps/>
      <w:sz w:val="28"/>
    </w:rPr>
  </w:style>
  <w:style w:type="paragraph" w:customStyle="1" w:styleId="Source">
    <w:name w:val="Source"/>
    <w:basedOn w:val="Normal"/>
    <w:next w:val="Title1"/>
    <w:autoRedefine/>
    <w:rsid w:val="000F7289"/>
    <w:pPr>
      <w:framePr w:hSpace="180" w:wrap="around" w:vAnchor="page" w:hAnchor="page" w:x="1821" w:y="2317"/>
      <w:spacing w:before="840"/>
    </w:pPr>
    <w:rPr>
      <w:b/>
      <w:sz w:val="32"/>
      <w:szCs w:val="32"/>
    </w:rPr>
  </w:style>
  <w:style w:type="paragraph" w:customStyle="1" w:styleId="meeting">
    <w:name w:val="meeting"/>
    <w:basedOn w:val="Head"/>
    <w:next w:val="Head"/>
    <w:rsid w:val="004D1851"/>
    <w:pPr>
      <w:tabs>
        <w:tab w:val="left" w:pos="7371"/>
      </w:tabs>
      <w:spacing w:after="567"/>
    </w:pPr>
  </w:style>
  <w:style w:type="paragraph" w:customStyle="1" w:styleId="Subject">
    <w:name w:val="Subject"/>
    <w:basedOn w:val="Normal"/>
    <w:next w:val="Source"/>
    <w:rsid w:val="004D1851"/>
    <w:pPr>
      <w:spacing w:before="0"/>
      <w:ind w:left="1134" w:hanging="1134"/>
    </w:pPr>
  </w:style>
  <w:style w:type="paragraph" w:customStyle="1" w:styleId="Object">
    <w:name w:val="Object"/>
    <w:basedOn w:val="Subject"/>
    <w:next w:val="Subject"/>
    <w:rsid w:val="004D1851"/>
  </w:style>
  <w:style w:type="paragraph" w:customStyle="1" w:styleId="Data">
    <w:name w:val="Data"/>
    <w:basedOn w:val="Subject"/>
    <w:next w:val="Subject"/>
    <w:rsid w:val="004D1851"/>
  </w:style>
  <w:style w:type="table" w:styleId="TableGrid">
    <w:name w:val="Table Grid"/>
    <w:basedOn w:val="TableNormal"/>
    <w:uiPriority w:val="39"/>
    <w:rsid w:val="00AD3606"/>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B9131F"/>
    <w:rPr>
      <w:color w:val="4F81BD" w:themeColor="accent1"/>
      <w:u w:val="single"/>
    </w:rPr>
  </w:style>
  <w:style w:type="paragraph" w:customStyle="1" w:styleId="FirstFooter">
    <w:name w:val="FirstFooter"/>
    <w:basedOn w:val="Footer"/>
    <w:rsid w:val="00813E5E"/>
    <w:rPr>
      <w:caps w:val="0"/>
    </w:rPr>
  </w:style>
  <w:style w:type="paragraph" w:customStyle="1" w:styleId="Note">
    <w:name w:val="Note"/>
    <w:basedOn w:val="Normal"/>
    <w:rsid w:val="00813E5E"/>
    <w:pPr>
      <w:tabs>
        <w:tab w:val="clear" w:pos="567"/>
        <w:tab w:val="left" w:pos="851"/>
      </w:tabs>
    </w:pPr>
  </w:style>
  <w:style w:type="paragraph" w:styleId="TOC9">
    <w:name w:val="toc 9"/>
    <w:basedOn w:val="TOC4"/>
    <w:rsid w:val="004D1851"/>
  </w:style>
  <w:style w:type="paragraph" w:customStyle="1" w:styleId="Headingb">
    <w:name w:val="Heading_b"/>
    <w:basedOn w:val="Heading3"/>
    <w:next w:val="Normal"/>
    <w:rsid w:val="00B9131F"/>
    <w:pPr>
      <w:spacing w:before="160"/>
      <w:ind w:left="0" w:firstLine="0"/>
      <w:outlineLvl w:val="0"/>
    </w:pPr>
  </w:style>
  <w:style w:type="character" w:styleId="FollowedHyperlink">
    <w:name w:val="FollowedHyperlink"/>
    <w:basedOn w:val="DefaultParagraphFont"/>
    <w:rsid w:val="00813E5E"/>
    <w:rPr>
      <w:color w:val="800080"/>
      <w:u w:val="single"/>
    </w:rPr>
  </w:style>
  <w:style w:type="paragraph" w:customStyle="1" w:styleId="Title1">
    <w:name w:val="Title 1"/>
    <w:basedOn w:val="Source"/>
    <w:next w:val="Title2"/>
    <w:rsid w:val="002C54E2"/>
    <w:pPr>
      <w:framePr w:wrap="around"/>
      <w:spacing w:before="240"/>
    </w:pPr>
    <w:rPr>
      <w:b w:val="0"/>
    </w:rPr>
  </w:style>
  <w:style w:type="paragraph" w:customStyle="1" w:styleId="Title2">
    <w:name w:val="Title 2"/>
    <w:basedOn w:val="Source"/>
    <w:next w:val="Title3"/>
    <w:rsid w:val="00813E5E"/>
    <w:pPr>
      <w:framePr w:wrap="around"/>
      <w:spacing w:before="240"/>
    </w:pPr>
    <w:rPr>
      <w:b w:val="0"/>
      <w:caps/>
    </w:rPr>
  </w:style>
  <w:style w:type="paragraph" w:customStyle="1" w:styleId="Title3">
    <w:name w:val="Title 3"/>
    <w:basedOn w:val="Title2"/>
    <w:next w:val="Normalaftertitle"/>
    <w:rsid w:val="00813E5E"/>
    <w:pPr>
      <w:framePr w:wrap="around"/>
    </w:pPr>
    <w:rPr>
      <w:caps w:val="0"/>
    </w:rPr>
  </w:style>
  <w:style w:type="paragraph" w:customStyle="1" w:styleId="Title4">
    <w:name w:val="Title 4"/>
    <w:basedOn w:val="Title3"/>
    <w:next w:val="Heading1"/>
    <w:rsid w:val="004D1851"/>
    <w:pPr>
      <w:framePr w:wrap="around"/>
    </w:pPr>
    <w:rPr>
      <w:b/>
    </w:rPr>
  </w:style>
  <w:style w:type="paragraph" w:customStyle="1" w:styleId="dnum">
    <w:name w:val="dnum"/>
    <w:basedOn w:val="Normal"/>
    <w:rsid w:val="004D1851"/>
    <w:pPr>
      <w:framePr w:hSpace="181" w:wrap="around" w:vAnchor="page" w:hAnchor="margin" w:y="852"/>
      <w:shd w:val="solid" w:color="FFFFFF" w:fill="FFFFFF"/>
      <w:tabs>
        <w:tab w:val="left" w:pos="1871"/>
      </w:tabs>
    </w:pPr>
    <w:rPr>
      <w:b/>
      <w:bCs/>
    </w:rPr>
  </w:style>
  <w:style w:type="paragraph" w:customStyle="1" w:styleId="ddate">
    <w:name w:val="ddate"/>
    <w:basedOn w:val="Normal"/>
    <w:rsid w:val="004D1851"/>
    <w:pPr>
      <w:framePr w:hSpace="181" w:wrap="around" w:vAnchor="page" w:hAnchor="margin" w:y="852"/>
      <w:shd w:val="solid" w:color="FFFFFF" w:fill="FFFFFF"/>
      <w:tabs>
        <w:tab w:val="left" w:pos="1871"/>
      </w:tabs>
      <w:spacing w:before="0"/>
    </w:pPr>
    <w:rPr>
      <w:b/>
      <w:bCs/>
    </w:rPr>
  </w:style>
  <w:style w:type="paragraph" w:customStyle="1" w:styleId="dorlang">
    <w:name w:val="dorlang"/>
    <w:basedOn w:val="Normal"/>
    <w:rsid w:val="004D1851"/>
    <w:pPr>
      <w:framePr w:hSpace="181" w:wrap="around" w:vAnchor="page" w:hAnchor="margin" w:y="852"/>
      <w:shd w:val="solid" w:color="FFFFFF" w:fill="FFFFFF"/>
      <w:tabs>
        <w:tab w:val="left" w:pos="1871"/>
      </w:tabs>
      <w:spacing w:before="0"/>
    </w:pPr>
    <w:rPr>
      <w:b/>
      <w:bCs/>
    </w:rPr>
  </w:style>
  <w:style w:type="paragraph" w:customStyle="1" w:styleId="AnnexNo">
    <w:name w:val="Annex_No"/>
    <w:basedOn w:val="Normal"/>
    <w:next w:val="Annexref"/>
    <w:qFormat/>
    <w:rsid w:val="00221F46"/>
    <w:pPr>
      <w:keepNext/>
      <w:keepLines/>
      <w:spacing w:before="720"/>
      <w:jc w:val="center"/>
    </w:pPr>
    <w:rPr>
      <w:caps/>
      <w:sz w:val="28"/>
    </w:rPr>
  </w:style>
  <w:style w:type="paragraph" w:customStyle="1" w:styleId="Annextitle">
    <w:name w:val="Annex_title"/>
    <w:basedOn w:val="Normal"/>
    <w:next w:val="Normal"/>
    <w:qFormat/>
    <w:rsid w:val="00221F46"/>
    <w:pPr>
      <w:keepNext/>
      <w:keepLines/>
      <w:spacing w:after="240"/>
      <w:jc w:val="center"/>
    </w:pPr>
    <w:rPr>
      <w:b/>
      <w:sz w:val="28"/>
    </w:rPr>
  </w:style>
  <w:style w:type="paragraph" w:customStyle="1" w:styleId="Annexref">
    <w:name w:val="Annex_ref"/>
    <w:basedOn w:val="Normal"/>
    <w:next w:val="Annextitle"/>
    <w:qFormat/>
    <w:rsid w:val="00221F46"/>
    <w:pPr>
      <w:keepNext/>
      <w:keepLines/>
      <w:jc w:val="center"/>
    </w:pPr>
  </w:style>
  <w:style w:type="paragraph" w:customStyle="1" w:styleId="Call">
    <w:name w:val="Call"/>
    <w:basedOn w:val="Normal"/>
    <w:next w:val="Normal"/>
    <w:qFormat/>
    <w:rsid w:val="00F641E1"/>
    <w:pPr>
      <w:keepNext/>
      <w:keepLines/>
      <w:tabs>
        <w:tab w:val="clear" w:pos="1134"/>
        <w:tab w:val="clear" w:pos="1701"/>
        <w:tab w:val="clear" w:pos="2268"/>
        <w:tab w:val="clear" w:pos="2835"/>
      </w:tabs>
      <w:spacing w:before="160"/>
      <w:ind w:left="567"/>
    </w:pPr>
    <w:rPr>
      <w:i/>
    </w:rPr>
  </w:style>
  <w:style w:type="paragraph" w:customStyle="1" w:styleId="Subtitle">
    <w:name w:val="Sub_title"/>
    <w:basedOn w:val="Title1"/>
    <w:qFormat/>
    <w:rsid w:val="00DF0189"/>
    <w:pPr>
      <w:framePr w:wrap="around" w:vAnchor="margin" w:hAnchor="text"/>
      <w:spacing w:before="120" w:after="160"/>
    </w:pPr>
  </w:style>
  <w:style w:type="paragraph" w:customStyle="1" w:styleId="Figure">
    <w:name w:val="Figure"/>
    <w:basedOn w:val="Normal"/>
    <w:next w:val="Figuretitle"/>
    <w:qFormat/>
    <w:rsid w:val="001A3154"/>
    <w:pPr>
      <w:spacing w:after="240"/>
      <w:jc w:val="center"/>
    </w:pPr>
  </w:style>
  <w:style w:type="paragraph" w:customStyle="1" w:styleId="Figuretitle">
    <w:name w:val="Figure_title"/>
    <w:basedOn w:val="Tabletitle"/>
    <w:next w:val="Normalaftertitle"/>
    <w:qFormat/>
    <w:rsid w:val="001A3154"/>
    <w:pPr>
      <w:spacing w:before="120" w:after="0"/>
    </w:pPr>
  </w:style>
  <w:style w:type="paragraph" w:customStyle="1" w:styleId="Tabletitle">
    <w:name w:val="Table_title"/>
    <w:basedOn w:val="TableNo"/>
    <w:next w:val="Tabletext"/>
    <w:rsid w:val="00813E5E"/>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813E5E"/>
    <w:pPr>
      <w:keepNext/>
      <w:spacing w:before="560" w:after="120"/>
      <w:jc w:val="center"/>
    </w:pPr>
    <w:rPr>
      <w:caps/>
    </w:rPr>
  </w:style>
  <w:style w:type="paragraph" w:customStyle="1" w:styleId="Tabletext">
    <w:name w:val="Table_text"/>
    <w:basedOn w:val="Normal"/>
    <w:rsid w:val="00813E5E"/>
    <w:pPr>
      <w:tabs>
        <w:tab w:val="clear" w:pos="567"/>
        <w:tab w:val="clear" w:pos="1134"/>
        <w:tab w:val="clear" w:pos="1701"/>
        <w:tab w:val="clear" w:pos="2268"/>
        <w:tab w:val="clear" w:pos="2835"/>
      </w:tabs>
      <w:spacing w:before="60" w:after="60"/>
    </w:pPr>
    <w:rPr>
      <w:sz w:val="22"/>
    </w:rPr>
  </w:style>
  <w:style w:type="paragraph" w:customStyle="1" w:styleId="Figurelegend">
    <w:name w:val="Figure_legend"/>
    <w:basedOn w:val="Normal"/>
    <w:qFormat/>
    <w:rsid w:val="00B9131F"/>
    <w:pPr>
      <w:spacing w:before="20" w:after="240"/>
    </w:pPr>
    <w:rPr>
      <w:sz w:val="20"/>
    </w:rPr>
  </w:style>
  <w:style w:type="paragraph" w:customStyle="1" w:styleId="FigureNo">
    <w:name w:val="Figure_No"/>
    <w:basedOn w:val="Normal"/>
    <w:next w:val="Figuretitle"/>
    <w:qFormat/>
    <w:rsid w:val="001A3154"/>
    <w:pPr>
      <w:keepNext/>
      <w:keepLines/>
      <w:spacing w:before="480"/>
      <w:jc w:val="center"/>
    </w:pPr>
    <w:rPr>
      <w:caps/>
    </w:rPr>
  </w:style>
  <w:style w:type="paragraph" w:customStyle="1" w:styleId="Figurewithouttitle">
    <w:name w:val="Figure_without_title"/>
    <w:basedOn w:val="Figure"/>
    <w:next w:val="Normalaftertitle"/>
    <w:rsid w:val="001A3154"/>
  </w:style>
  <w:style w:type="paragraph" w:customStyle="1" w:styleId="Headingi">
    <w:name w:val="Heading_i"/>
    <w:basedOn w:val="Heading3"/>
    <w:next w:val="Normal"/>
    <w:rsid w:val="00B9131F"/>
    <w:pPr>
      <w:spacing w:before="160"/>
      <w:ind w:left="0" w:firstLine="0"/>
      <w:outlineLvl w:val="0"/>
    </w:pPr>
    <w:rPr>
      <w:rFonts w:asciiTheme="minorHAnsi" w:hAnsiTheme="minorHAnsi"/>
      <w:b w:val="0"/>
      <w:i/>
    </w:rPr>
  </w:style>
  <w:style w:type="character" w:styleId="PageNumber">
    <w:name w:val="page number"/>
    <w:basedOn w:val="DefaultParagraphFont"/>
    <w:rsid w:val="00813E5E"/>
    <w:rPr>
      <w:rFonts w:ascii="Calibri" w:hAnsi="Calibri"/>
    </w:rPr>
  </w:style>
  <w:style w:type="paragraph" w:customStyle="1" w:styleId="PartNo">
    <w:name w:val="Part_No"/>
    <w:basedOn w:val="AnnexNo"/>
    <w:next w:val="Parttitle"/>
    <w:rsid w:val="004D1851"/>
  </w:style>
  <w:style w:type="paragraph" w:customStyle="1" w:styleId="Parttitle">
    <w:name w:val="Part_title"/>
    <w:basedOn w:val="Annextitle"/>
    <w:next w:val="Partref"/>
    <w:rsid w:val="004D1851"/>
  </w:style>
  <w:style w:type="paragraph" w:customStyle="1" w:styleId="Partref">
    <w:name w:val="Part_ref"/>
    <w:basedOn w:val="Annexref"/>
    <w:next w:val="Normalaftertitle"/>
    <w:rsid w:val="004D1851"/>
  </w:style>
  <w:style w:type="paragraph" w:customStyle="1" w:styleId="RecNo">
    <w:name w:val="Rec_No"/>
    <w:basedOn w:val="Normal"/>
    <w:next w:val="Rectitle"/>
    <w:rsid w:val="00813E5E"/>
    <w:pPr>
      <w:spacing w:before="720"/>
      <w:jc w:val="center"/>
    </w:pPr>
    <w:rPr>
      <w:caps/>
      <w:sz w:val="28"/>
    </w:rPr>
  </w:style>
  <w:style w:type="paragraph" w:customStyle="1" w:styleId="Rectitle">
    <w:name w:val="Rec_title"/>
    <w:basedOn w:val="Normal"/>
    <w:next w:val="Heading1"/>
    <w:rsid w:val="00813E5E"/>
    <w:pPr>
      <w:spacing w:before="240"/>
      <w:jc w:val="center"/>
    </w:pPr>
    <w:rPr>
      <w:b/>
      <w:sz w:val="28"/>
    </w:rPr>
  </w:style>
  <w:style w:type="paragraph" w:customStyle="1" w:styleId="Recref">
    <w:name w:val="Rec_ref"/>
    <w:basedOn w:val="Rectitle"/>
    <w:next w:val="Recdate"/>
    <w:rsid w:val="004D1851"/>
    <w:pPr>
      <w:spacing w:before="120"/>
    </w:pPr>
    <w:rPr>
      <w:rFonts w:ascii="Times New Roman" w:hAnsi="Times New Roman"/>
      <w:b w:val="0"/>
      <w:sz w:val="24"/>
    </w:rPr>
  </w:style>
  <w:style w:type="paragraph" w:customStyle="1" w:styleId="Recdate">
    <w:name w:val="Rec_date"/>
    <w:basedOn w:val="Recref"/>
    <w:next w:val="Normalaftertitle"/>
    <w:rsid w:val="004D1851"/>
    <w:pPr>
      <w:jc w:val="right"/>
    </w:pPr>
    <w:rPr>
      <w:sz w:val="22"/>
    </w:rPr>
  </w:style>
  <w:style w:type="paragraph" w:customStyle="1" w:styleId="Questiondate">
    <w:name w:val="Question_date"/>
    <w:basedOn w:val="Recdate"/>
    <w:next w:val="Normalaftertitle"/>
    <w:rsid w:val="004D1851"/>
  </w:style>
  <w:style w:type="paragraph" w:customStyle="1" w:styleId="QuestionNo">
    <w:name w:val="Question_No"/>
    <w:basedOn w:val="RecNo"/>
    <w:next w:val="Questiontitle"/>
    <w:rsid w:val="004D1851"/>
  </w:style>
  <w:style w:type="paragraph" w:customStyle="1" w:styleId="Questionref">
    <w:name w:val="Question_ref"/>
    <w:basedOn w:val="Recref"/>
    <w:next w:val="Questiondate"/>
    <w:rsid w:val="004D1851"/>
  </w:style>
  <w:style w:type="paragraph" w:customStyle="1" w:styleId="Questiontitle">
    <w:name w:val="Question_title"/>
    <w:basedOn w:val="Rectitle"/>
    <w:next w:val="Questionref"/>
    <w:rsid w:val="004D1851"/>
  </w:style>
  <w:style w:type="paragraph" w:customStyle="1" w:styleId="Reftext">
    <w:name w:val="Ref_text"/>
    <w:basedOn w:val="Normal"/>
    <w:rsid w:val="00813E5E"/>
    <w:pPr>
      <w:ind w:left="567" w:hanging="567"/>
    </w:pPr>
  </w:style>
  <w:style w:type="paragraph" w:customStyle="1" w:styleId="Reftitle">
    <w:name w:val="Ref_title"/>
    <w:basedOn w:val="Normal"/>
    <w:next w:val="Reftext"/>
    <w:rsid w:val="00813E5E"/>
    <w:pPr>
      <w:spacing w:before="480"/>
      <w:jc w:val="center"/>
    </w:pPr>
    <w:rPr>
      <w:caps/>
      <w:sz w:val="28"/>
    </w:rPr>
  </w:style>
  <w:style w:type="paragraph" w:customStyle="1" w:styleId="Resdate">
    <w:name w:val="Res_date"/>
    <w:basedOn w:val="Recdate"/>
    <w:next w:val="Normalaftertitle"/>
    <w:rsid w:val="004D1851"/>
  </w:style>
  <w:style w:type="paragraph" w:customStyle="1" w:styleId="ResNo">
    <w:name w:val="Res_No"/>
    <w:basedOn w:val="AnnexNo"/>
    <w:next w:val="Restitle"/>
    <w:rsid w:val="00813E5E"/>
  </w:style>
  <w:style w:type="paragraph" w:customStyle="1" w:styleId="Restitle">
    <w:name w:val="Res_title"/>
    <w:basedOn w:val="Annextitle"/>
    <w:next w:val="Normal"/>
    <w:rsid w:val="00813E5E"/>
  </w:style>
  <w:style w:type="paragraph" w:customStyle="1" w:styleId="Resref">
    <w:name w:val="Res_ref"/>
    <w:basedOn w:val="Recref"/>
    <w:next w:val="Resdate"/>
    <w:rsid w:val="004D1851"/>
  </w:style>
  <w:style w:type="paragraph" w:customStyle="1" w:styleId="SectionNo">
    <w:name w:val="Section_No"/>
    <w:basedOn w:val="AnnexNo"/>
    <w:next w:val="Sectiontitle"/>
    <w:rsid w:val="004D1851"/>
  </w:style>
  <w:style w:type="paragraph" w:customStyle="1" w:styleId="Sectiontitle">
    <w:name w:val="Section_title"/>
    <w:basedOn w:val="Normal"/>
    <w:next w:val="Normalaftertitle"/>
    <w:rsid w:val="004D1851"/>
    <w:rPr>
      <w:sz w:val="28"/>
    </w:rPr>
  </w:style>
  <w:style w:type="paragraph" w:customStyle="1" w:styleId="Tablehead">
    <w:name w:val="Table_head"/>
    <w:basedOn w:val="Tabletext"/>
    <w:rsid w:val="00813E5E"/>
    <w:pPr>
      <w:spacing w:before="120" w:after="120"/>
      <w:jc w:val="center"/>
    </w:pPr>
    <w:rPr>
      <w:b/>
    </w:rPr>
  </w:style>
  <w:style w:type="paragraph" w:customStyle="1" w:styleId="Tablelegend">
    <w:name w:val="Table_legend"/>
    <w:basedOn w:val="Tabletext"/>
    <w:rsid w:val="00813E5E"/>
    <w:pPr>
      <w:spacing w:before="120"/>
    </w:pPr>
  </w:style>
  <w:style w:type="paragraph" w:customStyle="1" w:styleId="Tableref">
    <w:name w:val="Table_ref"/>
    <w:basedOn w:val="Normal"/>
    <w:next w:val="Tabletitle"/>
    <w:rsid w:val="004D1851"/>
    <w:pPr>
      <w:keepNext/>
      <w:spacing w:before="567"/>
      <w:jc w:val="center"/>
    </w:pPr>
  </w:style>
  <w:style w:type="paragraph" w:customStyle="1" w:styleId="Artheading">
    <w:name w:val="Art_heading"/>
    <w:basedOn w:val="Normal"/>
    <w:next w:val="Normalaftertitle"/>
    <w:qFormat/>
    <w:rsid w:val="00F641E1"/>
    <w:pPr>
      <w:keepNext/>
      <w:keepLines/>
      <w:tabs>
        <w:tab w:val="clear" w:pos="567"/>
        <w:tab w:val="clear" w:pos="1134"/>
        <w:tab w:val="clear" w:pos="1701"/>
        <w:tab w:val="clear" w:pos="2268"/>
        <w:tab w:val="clear" w:pos="2835"/>
      </w:tabs>
      <w:spacing w:before="360"/>
      <w:jc w:val="center"/>
    </w:pPr>
    <w:rPr>
      <w:b/>
    </w:rPr>
  </w:style>
  <w:style w:type="paragraph" w:customStyle="1" w:styleId="ArtNo">
    <w:name w:val="Art_No"/>
    <w:basedOn w:val="Normal"/>
    <w:next w:val="Arttitle"/>
    <w:qFormat/>
    <w:rsid w:val="00F641E1"/>
    <w:pPr>
      <w:keepNext/>
      <w:keepLines/>
      <w:tabs>
        <w:tab w:val="clear" w:pos="567"/>
        <w:tab w:val="clear" w:pos="1134"/>
        <w:tab w:val="clear" w:pos="1701"/>
        <w:tab w:val="clear" w:pos="2268"/>
        <w:tab w:val="clear" w:pos="2835"/>
      </w:tabs>
      <w:spacing w:before="480"/>
      <w:jc w:val="center"/>
    </w:pPr>
    <w:rPr>
      <w:caps/>
      <w:sz w:val="28"/>
    </w:rPr>
  </w:style>
  <w:style w:type="paragraph" w:customStyle="1" w:styleId="Arttitle">
    <w:name w:val="Art_title"/>
    <w:basedOn w:val="Normal"/>
    <w:next w:val="Normal"/>
    <w:qFormat/>
    <w:rsid w:val="00F641E1"/>
    <w:pPr>
      <w:keepNext/>
      <w:keepLines/>
      <w:tabs>
        <w:tab w:val="clear" w:pos="567"/>
        <w:tab w:val="clear" w:pos="1134"/>
        <w:tab w:val="clear" w:pos="1701"/>
        <w:tab w:val="clear" w:pos="2268"/>
        <w:tab w:val="clear" w:pos="2835"/>
      </w:tabs>
      <w:spacing w:after="240"/>
      <w:jc w:val="center"/>
    </w:pPr>
    <w:rPr>
      <w:b/>
      <w:sz w:val="28"/>
    </w:rPr>
  </w:style>
  <w:style w:type="paragraph" w:customStyle="1" w:styleId="ChapNo">
    <w:name w:val="Chap_No"/>
    <w:basedOn w:val="ArtNo"/>
    <w:next w:val="Chaptitle"/>
    <w:qFormat/>
    <w:rsid w:val="00813E5E"/>
  </w:style>
  <w:style w:type="paragraph" w:customStyle="1" w:styleId="Chaptitle">
    <w:name w:val="Chap_title"/>
    <w:basedOn w:val="Arttitle"/>
    <w:next w:val="Normal"/>
    <w:qFormat/>
    <w:rsid w:val="001A3154"/>
  </w:style>
  <w:style w:type="character" w:styleId="UnresolvedMention">
    <w:name w:val="Unresolved Mention"/>
    <w:basedOn w:val="DefaultParagraphFont"/>
    <w:uiPriority w:val="99"/>
    <w:semiHidden/>
    <w:unhideWhenUsed/>
    <w:rsid w:val="00BF1FDE"/>
    <w:rPr>
      <w:color w:val="605E5C"/>
      <w:shd w:val="clear" w:color="auto" w:fill="E1DFDD"/>
    </w:rPr>
  </w:style>
  <w:style w:type="character" w:styleId="PlaceholderText">
    <w:name w:val="Placeholder Text"/>
    <w:basedOn w:val="DefaultParagraphFont"/>
    <w:uiPriority w:val="99"/>
    <w:semiHidden/>
    <w:rsid w:val="00CA7995"/>
    <w:rPr>
      <w:color w:val="666666"/>
    </w:rPr>
  </w:style>
  <w:style w:type="paragraph" w:customStyle="1" w:styleId="Reasons">
    <w:name w:val="Reasons"/>
    <w:basedOn w:val="Normal"/>
    <w:qFormat/>
    <w:rsid w:val="007A3FCD"/>
    <w:pPr>
      <w:tabs>
        <w:tab w:val="clear" w:pos="567"/>
        <w:tab w:val="clear" w:pos="1134"/>
        <w:tab w:val="clear" w:pos="1701"/>
        <w:tab w:val="clear" w:pos="2268"/>
        <w:tab w:val="clear" w:pos="2835"/>
      </w:tabs>
      <w:overflowPunct/>
      <w:autoSpaceDE/>
      <w:autoSpaceDN/>
      <w:adjustRightInd/>
      <w:spacing w:before="0"/>
      <w:textAlignment w:val="auto"/>
    </w:pPr>
    <w:rPr>
      <w:rFonts w:ascii="Times New Roman" w:hAnsi="Times New Roman"/>
      <w:lang w:val="en-US"/>
    </w:rPr>
  </w:style>
  <w:style w:type="paragraph" w:customStyle="1" w:styleId="DecNo">
    <w:name w:val="Dec_No"/>
    <w:basedOn w:val="ResNo"/>
    <w:rsid w:val="00EB4DCD"/>
  </w:style>
  <w:style w:type="paragraph" w:customStyle="1" w:styleId="Dectitle">
    <w:name w:val="Dec_title"/>
    <w:basedOn w:val="Restitle"/>
    <w:rsid w:val="00EB4D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9142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tu.int/en/council/Documents/Financial-Regulations/2022/Financial_Regulations-2022-ZH.pdf"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itu.int/dms_pub/itu-s/opb/conf/S-CONF-PLEN-2022-PDF-C.pdf" TargetMode="External"/><Relationship Id="rId17" Type="http://schemas.openxmlformats.org/officeDocument/2006/relationships/hyperlink" Target="https://www.itu.int/en/council/Documents/Financial-Regulations/2022/Financial_Regulations-2022-ZH.pdf" TargetMode="External"/><Relationship Id="rId2" Type="http://schemas.openxmlformats.org/officeDocument/2006/relationships/customXml" Target="../customXml/item2.xml"/><Relationship Id="rId16" Type="http://schemas.openxmlformats.org/officeDocument/2006/relationships/hyperlink" Target="https://www.itu.int/md/S20-CL-C-0083/en"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tu.int/md/S20-CL-C-0083/en" TargetMode="External"/><Relationship Id="rId5" Type="http://schemas.openxmlformats.org/officeDocument/2006/relationships/numbering" Target="numbering.xml"/><Relationship Id="rId15" Type="http://schemas.openxmlformats.org/officeDocument/2006/relationships/hyperlink" Target="https://www.itu.int/en/council/Documents/basic-texts-2023/RES-094-C.pdf"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tu.int/md/S25-CL-C-0042/en"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2025/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6B2CC4DF5F10149B2E37F08EDC3AC3A" ma:contentTypeVersion="4" ma:contentTypeDescription="Create a new document." ma:contentTypeScope="" ma:versionID="307ecc74a8eb51dfea6b750f0799606c">
  <xsd:schema xmlns:xsd="http://www.w3.org/2001/XMLSchema" xmlns:xs="http://www.w3.org/2001/XMLSchema" xmlns:p="http://schemas.microsoft.com/office/2006/metadata/properties" xmlns:ns2="a1cf676c-2816-4389-ad5d-0f2e7c7e67c4" targetNamespace="http://schemas.microsoft.com/office/2006/metadata/properties" ma:root="true" ma:fieldsID="80c3ec948e348096898dbd7aed4bed44" ns2:_="">
    <xsd:import namespace="a1cf676c-2816-4389-ad5d-0f2e7c7e67c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cf676c-2816-4389-ad5d-0f2e7c7e67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602B4DE-FC73-46C6-BFF6-6457901D364E}">
  <ds:schemaRefs>
    <ds:schemaRef ds:uri="http://schemas.openxmlformats.org/officeDocument/2006/bibliography"/>
  </ds:schemaRefs>
</ds:datastoreItem>
</file>

<file path=customXml/itemProps2.xml><?xml version="1.0" encoding="utf-8"?>
<ds:datastoreItem xmlns:ds="http://schemas.openxmlformats.org/officeDocument/2006/customXml" ds:itemID="{EBCB52BA-7AEF-42D4-AF59-959012BFA94A}">
  <ds:schemaRefs>
    <ds:schemaRef ds:uri="http://schemas.microsoft.com/sharepoint/v3/contenttype/forms"/>
  </ds:schemaRefs>
</ds:datastoreItem>
</file>

<file path=customXml/itemProps3.xml><?xml version="1.0" encoding="utf-8"?>
<ds:datastoreItem xmlns:ds="http://schemas.openxmlformats.org/officeDocument/2006/customXml" ds:itemID="{24B8146E-03A7-4413-9B17-C6B8E5956C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cf676c-2816-4389-ad5d-0f2e7c7e67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E2F2AC-2255-4DBF-9278-6619577B450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1590</Words>
  <Characters>995</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Council 2025</vt:lpstr>
    </vt:vector>
  </TitlesOfParts>
  <Manager>General Secretariat</Manager>
  <Company>International Telecommunication Union (ITU)</Company>
  <LinksUpToDate>false</LinksUpToDate>
  <CharactersWithSpaces>2580</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Renewal of the mandate of the External Auditor – the United Kingdom’s national audit office (NAO) – for a period of two years</dc:title>
  <dc:subject>Council 2025</dc:subject>
  <cp:keywords>C25; C2025; Council 2025; ITU160</cp:keywords>
  <dc:description/>
  <cp:lastPrinted>2000-07-18T13:30:00Z</cp:lastPrinted>
  <dcterms:created xsi:type="dcterms:W3CDTF">2025-04-28T07:49:00Z</dcterms:created>
  <dcterms:modified xsi:type="dcterms:W3CDTF">2025-04-28T07:49:00Z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PE_C08.DOT</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GrammarlyDocumentId">
    <vt:lpwstr>caebc3b039d2086fae139bdca98a6c61c028c4ec16ce6ef236d196610d84ef77</vt:lpwstr>
  </property>
  <property fmtid="{D5CDD505-2E9C-101B-9397-08002B2CF9AE}" pid="9" name="ContentTypeId">
    <vt:lpwstr>0x01010096B2CC4DF5F10149B2E37F08EDC3AC3A</vt:lpwstr>
  </property>
</Properties>
</file>