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5C1C96E8" w14:textId="77777777" w:rsidTr="00F363FE">
        <w:tc>
          <w:tcPr>
            <w:tcW w:w="6512" w:type="dxa"/>
          </w:tcPr>
          <w:p w14:paraId="1628BFE1" w14:textId="77777777"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854095">
              <w:rPr>
                <w:rFonts w:hint="cs"/>
                <w:b/>
                <w:bCs/>
                <w:rtl/>
                <w:lang w:bidi="ar-EG"/>
              </w:rPr>
              <w:t xml:space="preserve"> </w:t>
            </w:r>
            <w:r w:rsidR="00854095">
              <w:rPr>
                <w:b/>
                <w:bCs/>
                <w:lang w:bidi="ar-EG"/>
              </w:rPr>
              <w:t>ADM 2</w:t>
            </w:r>
          </w:p>
        </w:tc>
        <w:tc>
          <w:tcPr>
            <w:tcW w:w="3117" w:type="dxa"/>
          </w:tcPr>
          <w:p w14:paraId="3455D6C2" w14:textId="77777777"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854095">
              <w:rPr>
                <w:b/>
                <w:bCs/>
                <w:lang w:bidi="ar-EG"/>
              </w:rPr>
              <w:t>42</w:t>
            </w:r>
            <w:r w:rsidRPr="007B0AA0">
              <w:rPr>
                <w:b/>
                <w:bCs/>
                <w:lang w:bidi="ar-EG"/>
              </w:rPr>
              <w:t>-A</w:t>
            </w:r>
          </w:p>
        </w:tc>
      </w:tr>
      <w:tr w:rsidR="007B0AA0" w14:paraId="5E59B2AA" w14:textId="77777777" w:rsidTr="00F363FE">
        <w:tc>
          <w:tcPr>
            <w:tcW w:w="6512" w:type="dxa"/>
          </w:tcPr>
          <w:p w14:paraId="4FD63898" w14:textId="77777777" w:rsidR="007B0AA0" w:rsidRPr="007B0AA0" w:rsidRDefault="007B0AA0" w:rsidP="00F363FE">
            <w:pPr>
              <w:spacing w:before="60" w:after="60" w:line="260" w:lineRule="exact"/>
              <w:rPr>
                <w:b/>
                <w:bCs/>
                <w:rtl/>
                <w:lang w:bidi="ar-EG"/>
              </w:rPr>
            </w:pPr>
          </w:p>
        </w:tc>
        <w:tc>
          <w:tcPr>
            <w:tcW w:w="3117" w:type="dxa"/>
          </w:tcPr>
          <w:p w14:paraId="6845F1CA" w14:textId="1543359D" w:rsidR="007B0AA0" w:rsidRPr="007B0AA0" w:rsidRDefault="00854095" w:rsidP="00F363FE">
            <w:pPr>
              <w:spacing w:before="60" w:after="60" w:line="260" w:lineRule="exact"/>
              <w:rPr>
                <w:b/>
                <w:bCs/>
                <w:rtl/>
                <w:lang w:bidi="ar-EG"/>
              </w:rPr>
            </w:pPr>
            <w:r>
              <w:rPr>
                <w:rFonts w:hint="cs"/>
                <w:b/>
                <w:bCs/>
                <w:rtl/>
              </w:rPr>
              <w:t>‏</w:t>
            </w:r>
            <w:r w:rsidR="0074344D">
              <w:rPr>
                <w:rFonts w:hint="cs"/>
                <w:b/>
                <w:bCs/>
                <w:rtl/>
              </w:rPr>
              <w:t>23</w:t>
            </w:r>
            <w:r>
              <w:rPr>
                <w:rFonts w:hint="cs"/>
                <w:b/>
                <w:bCs/>
                <w:rtl/>
              </w:rPr>
              <w:t xml:space="preserve">‏ </w:t>
            </w:r>
            <w:r>
              <w:rPr>
                <w:rFonts w:hint="cs"/>
                <w:b/>
                <w:bCs/>
                <w:rtl/>
                <w:lang w:bidi="ar-EG"/>
              </w:rPr>
              <w:t>أبريل</w:t>
            </w:r>
            <w:r>
              <w:rPr>
                <w:rFonts w:hint="cs"/>
                <w:b/>
                <w:bCs/>
                <w:rtl/>
              </w:rPr>
              <w:t xml:space="preserve">‏ </w:t>
            </w:r>
            <w:r>
              <w:rPr>
                <w:rFonts w:hint="cs"/>
                <w:b/>
                <w:bCs/>
              </w:rPr>
              <w:t>2025</w:t>
            </w:r>
          </w:p>
        </w:tc>
      </w:tr>
      <w:tr w:rsidR="007B0AA0" w14:paraId="77181226" w14:textId="77777777" w:rsidTr="00F363FE">
        <w:tc>
          <w:tcPr>
            <w:tcW w:w="6512" w:type="dxa"/>
          </w:tcPr>
          <w:p w14:paraId="32280D42" w14:textId="77777777" w:rsidR="007B0AA0" w:rsidRPr="007B0AA0" w:rsidRDefault="007B0AA0" w:rsidP="00F363FE">
            <w:pPr>
              <w:spacing w:before="60" w:after="60" w:line="260" w:lineRule="exact"/>
              <w:rPr>
                <w:b/>
                <w:bCs/>
                <w:rtl/>
                <w:lang w:bidi="ar-EG"/>
              </w:rPr>
            </w:pPr>
          </w:p>
        </w:tc>
        <w:tc>
          <w:tcPr>
            <w:tcW w:w="3117" w:type="dxa"/>
          </w:tcPr>
          <w:p w14:paraId="45916D3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D1B970A" w14:textId="77777777" w:rsidTr="00F363FE">
        <w:tc>
          <w:tcPr>
            <w:tcW w:w="6512" w:type="dxa"/>
          </w:tcPr>
          <w:p w14:paraId="717D31F7" w14:textId="77777777" w:rsidR="007B0AA0" w:rsidRDefault="007B0AA0" w:rsidP="00F363FE">
            <w:pPr>
              <w:spacing w:before="60" w:after="60" w:line="260" w:lineRule="exact"/>
              <w:rPr>
                <w:lang w:bidi="ar-EG"/>
              </w:rPr>
            </w:pPr>
          </w:p>
        </w:tc>
        <w:tc>
          <w:tcPr>
            <w:tcW w:w="3117" w:type="dxa"/>
          </w:tcPr>
          <w:p w14:paraId="6AF2BBCD" w14:textId="77777777" w:rsidR="007B0AA0" w:rsidRDefault="007B0AA0" w:rsidP="00F363FE">
            <w:pPr>
              <w:spacing w:before="60" w:after="60" w:line="260" w:lineRule="exact"/>
              <w:rPr>
                <w:rtl/>
                <w:lang w:bidi="ar-EG"/>
              </w:rPr>
            </w:pPr>
          </w:p>
        </w:tc>
      </w:tr>
      <w:tr w:rsidR="007B0AA0" w14:paraId="555BF8EC" w14:textId="77777777" w:rsidTr="00EE7446">
        <w:tc>
          <w:tcPr>
            <w:tcW w:w="9629" w:type="dxa"/>
            <w:gridSpan w:val="2"/>
          </w:tcPr>
          <w:p w14:paraId="267E464F" w14:textId="77777777" w:rsidR="007B0AA0" w:rsidRDefault="001D64C7" w:rsidP="007B0AA0">
            <w:pPr>
              <w:pStyle w:val="Source"/>
              <w:jc w:val="left"/>
              <w:rPr>
                <w:lang w:bidi="ar-EG"/>
              </w:rPr>
            </w:pPr>
            <w:r>
              <w:rPr>
                <w:rFonts w:hint="cs"/>
                <w:rtl/>
                <w:lang w:bidi="ar-EG"/>
              </w:rPr>
              <w:t>تقرير من الأمينة العامة</w:t>
            </w:r>
          </w:p>
        </w:tc>
      </w:tr>
      <w:tr w:rsidR="007B0AA0" w14:paraId="1A96C41D" w14:textId="77777777" w:rsidTr="007B0AA0">
        <w:tc>
          <w:tcPr>
            <w:tcW w:w="9629" w:type="dxa"/>
            <w:gridSpan w:val="2"/>
            <w:tcBorders>
              <w:bottom w:val="single" w:sz="4" w:space="0" w:color="auto"/>
            </w:tcBorders>
          </w:tcPr>
          <w:p w14:paraId="446966BA" w14:textId="77777777" w:rsidR="007B0AA0" w:rsidRPr="005546CF" w:rsidRDefault="00854095" w:rsidP="007B0AA0">
            <w:pPr>
              <w:pStyle w:val="Subtitle0"/>
              <w:rPr>
                <w:sz w:val="32"/>
                <w:szCs w:val="32"/>
              </w:rPr>
            </w:pPr>
            <w:r w:rsidRPr="00854095">
              <w:rPr>
                <w:sz w:val="32"/>
                <w:szCs w:val="32"/>
                <w:rtl/>
              </w:rPr>
              <w:t>تجديد ولاية المراجع الخارجي</w:t>
            </w:r>
            <w:r w:rsidR="00A868F3">
              <w:rPr>
                <w:rFonts w:hint="cs"/>
                <w:sz w:val="32"/>
                <w:szCs w:val="32"/>
                <w:rtl/>
              </w:rPr>
              <w:t xml:space="preserve"> - </w:t>
            </w:r>
            <w:r w:rsidRPr="00854095">
              <w:rPr>
                <w:sz w:val="32"/>
                <w:szCs w:val="32"/>
                <w:rtl/>
              </w:rPr>
              <w:t xml:space="preserve">المكتب الوطني لمراجعة الحسابات في المملكة المتحدة </w:t>
            </w:r>
            <w:r w:rsidRPr="00854095">
              <w:rPr>
                <w:sz w:val="32"/>
                <w:szCs w:val="32"/>
              </w:rPr>
              <w:t>(NAO)</w:t>
            </w:r>
            <w:r w:rsidRPr="00854095">
              <w:rPr>
                <w:sz w:val="32"/>
                <w:szCs w:val="32"/>
                <w:rtl/>
              </w:rPr>
              <w:t xml:space="preserve"> - لمدة سنتين</w:t>
            </w:r>
          </w:p>
        </w:tc>
      </w:tr>
      <w:tr w:rsidR="007B0AA0" w14:paraId="75E64FEA" w14:textId="77777777" w:rsidTr="007B0AA0">
        <w:tc>
          <w:tcPr>
            <w:tcW w:w="9629" w:type="dxa"/>
            <w:gridSpan w:val="2"/>
            <w:tcBorders>
              <w:top w:val="single" w:sz="4" w:space="0" w:color="auto"/>
              <w:bottom w:val="single" w:sz="4" w:space="0" w:color="auto"/>
            </w:tcBorders>
          </w:tcPr>
          <w:p w14:paraId="24EE5E82" w14:textId="77777777" w:rsidR="007B0AA0" w:rsidRPr="007B0AA0" w:rsidRDefault="007B0AA0" w:rsidP="007B0AA0">
            <w:pPr>
              <w:rPr>
                <w:b/>
                <w:bCs/>
                <w:rtl/>
              </w:rPr>
            </w:pPr>
            <w:r w:rsidRPr="007B0AA0">
              <w:rPr>
                <w:rFonts w:hint="cs"/>
                <w:b/>
                <w:bCs/>
                <w:rtl/>
              </w:rPr>
              <w:t>الغرض</w:t>
            </w:r>
          </w:p>
          <w:p w14:paraId="67AC7020" w14:textId="52198463" w:rsidR="007B0AA0" w:rsidRDefault="0074344D" w:rsidP="0074344D">
            <w:pPr>
              <w:rPr>
                <w:rtl/>
              </w:rPr>
            </w:pPr>
            <w:r w:rsidRPr="0074344D">
              <w:rPr>
                <w:rtl/>
              </w:rPr>
              <w:t>اقترح</w:t>
            </w:r>
            <w:r>
              <w:rPr>
                <w:rFonts w:hint="cs"/>
                <w:rtl/>
              </w:rPr>
              <w:t>ت</w:t>
            </w:r>
            <w:r w:rsidRPr="0074344D">
              <w:rPr>
                <w:rtl/>
              </w:rPr>
              <w:t xml:space="preserve"> الأمين</w:t>
            </w:r>
            <w:r>
              <w:rPr>
                <w:rFonts w:hint="cs"/>
                <w:rtl/>
              </w:rPr>
              <w:t>ة</w:t>
            </w:r>
            <w:r w:rsidRPr="0074344D">
              <w:rPr>
                <w:rtl/>
              </w:rPr>
              <w:t xml:space="preserve"> العام</w:t>
            </w:r>
            <w:r>
              <w:rPr>
                <w:rFonts w:hint="cs"/>
                <w:rtl/>
              </w:rPr>
              <w:t>ة</w:t>
            </w:r>
            <w:r w:rsidRPr="0074344D">
              <w:rPr>
                <w:rtl/>
              </w:rPr>
              <w:t xml:space="preserve"> تجديد ولاية </w:t>
            </w:r>
            <w:r>
              <w:rPr>
                <w:rFonts w:hint="cs"/>
                <w:rtl/>
              </w:rPr>
              <w:t>المكتب</w:t>
            </w:r>
            <w:r w:rsidRPr="0074344D">
              <w:rPr>
                <w:rtl/>
              </w:rPr>
              <w:t xml:space="preserve"> الوطني ل</w:t>
            </w:r>
            <w:r>
              <w:rPr>
                <w:rFonts w:hint="cs"/>
                <w:rtl/>
              </w:rPr>
              <w:t>مراجعة الحسابات في ا</w:t>
            </w:r>
            <w:r w:rsidRPr="0074344D">
              <w:rPr>
                <w:rtl/>
              </w:rPr>
              <w:t>لمملكة المتحدة (</w:t>
            </w:r>
            <w:r w:rsidRPr="0074344D">
              <w:t>NAO</w:t>
            </w:r>
            <w:r w:rsidRPr="0074344D">
              <w:rPr>
                <w:rtl/>
              </w:rPr>
              <w:t>) كمراجع خارجي ل</w:t>
            </w:r>
            <w:r>
              <w:rPr>
                <w:rFonts w:hint="cs"/>
                <w:rtl/>
              </w:rPr>
              <w:t>حسابات ا</w:t>
            </w:r>
            <w:r w:rsidRPr="0074344D">
              <w:rPr>
                <w:rtl/>
              </w:rPr>
              <w:t xml:space="preserve">لاتحاد لمدة سنتين إضافيتين، لتشمل البيانات المالية لعامي 2026 و2027. وتستند هذه التوصية إلى تقييم شامل أُجري في عام 2020، بيّن أن المكتب الوطني </w:t>
            </w:r>
            <w:r>
              <w:rPr>
                <w:rFonts w:hint="cs"/>
                <w:rtl/>
              </w:rPr>
              <w:t>لمراجعة الحسابات</w:t>
            </w:r>
            <w:r w:rsidRPr="0074344D">
              <w:rPr>
                <w:rtl/>
              </w:rPr>
              <w:t xml:space="preserve"> يوفر أفضل قيمة مقابل المال استناداً إلى الكفاءة </w:t>
            </w:r>
            <w:r>
              <w:rPr>
                <w:rFonts w:hint="cs"/>
                <w:rtl/>
              </w:rPr>
              <w:t>التقنية</w:t>
            </w:r>
            <w:r w:rsidRPr="0074344D">
              <w:rPr>
                <w:rtl/>
              </w:rPr>
              <w:t xml:space="preserve"> وتكلفة خدمات </w:t>
            </w:r>
            <w:r>
              <w:rPr>
                <w:rFonts w:hint="cs"/>
                <w:rtl/>
              </w:rPr>
              <w:t>المراجعة</w:t>
            </w:r>
            <w:r w:rsidRPr="0074344D">
              <w:rPr>
                <w:rtl/>
              </w:rPr>
              <w:t>.</w:t>
            </w:r>
            <w:r>
              <w:rPr>
                <w:rFonts w:hint="cs"/>
                <w:rtl/>
              </w:rPr>
              <w:t xml:space="preserve"> و</w:t>
            </w:r>
            <w:r w:rsidR="00854095" w:rsidRPr="00854095">
              <w:rPr>
                <w:rtl/>
              </w:rPr>
              <w:t xml:space="preserve">ستنتهي </w:t>
            </w:r>
            <w:r>
              <w:rPr>
                <w:rFonts w:hint="cs"/>
                <w:rtl/>
              </w:rPr>
              <w:t>ال</w:t>
            </w:r>
            <w:r w:rsidR="00854095" w:rsidRPr="00854095">
              <w:rPr>
                <w:rtl/>
              </w:rPr>
              <w:t xml:space="preserve">ولاية </w:t>
            </w:r>
            <w:r>
              <w:rPr>
                <w:rFonts w:hint="cs"/>
                <w:rtl/>
              </w:rPr>
              <w:t>الحالية ل</w:t>
            </w:r>
            <w:r w:rsidR="00854095" w:rsidRPr="00854095">
              <w:rPr>
                <w:rtl/>
              </w:rPr>
              <w:t xml:space="preserve">لمراجع الخارجي للحسابات </w:t>
            </w:r>
            <w:r w:rsidR="00854095" w:rsidRPr="00854095">
              <w:t>(NAO)</w:t>
            </w:r>
            <w:r w:rsidR="00854095" w:rsidRPr="00854095">
              <w:rPr>
                <w:rtl/>
              </w:rPr>
              <w:t xml:space="preserve"> المتعلقة بمراجعة البيانات المالية للأعوام </w:t>
            </w:r>
            <w:r w:rsidR="00854095" w:rsidRPr="00854095">
              <w:t>2022</w:t>
            </w:r>
            <w:r w:rsidR="00854095" w:rsidRPr="00854095">
              <w:rPr>
                <w:rtl/>
              </w:rPr>
              <w:t xml:space="preserve"> </w:t>
            </w:r>
            <w:r w:rsidR="00854095" w:rsidRPr="00854095">
              <w:t>و2023</w:t>
            </w:r>
            <w:r w:rsidR="00854095" w:rsidRPr="00854095">
              <w:rPr>
                <w:rtl/>
              </w:rPr>
              <w:t xml:space="preserve"> </w:t>
            </w:r>
            <w:r w:rsidR="00854095" w:rsidRPr="00854095">
              <w:t>و2024</w:t>
            </w:r>
            <w:r w:rsidR="00854095" w:rsidRPr="00854095">
              <w:rPr>
                <w:rtl/>
              </w:rPr>
              <w:t xml:space="preserve"> </w:t>
            </w:r>
            <w:r w:rsidR="00854095" w:rsidRPr="00854095">
              <w:t>و2025</w:t>
            </w:r>
            <w:r w:rsidR="00854095" w:rsidRPr="00854095">
              <w:rPr>
                <w:rtl/>
              </w:rPr>
              <w:t xml:space="preserve"> في </w:t>
            </w:r>
            <w:r w:rsidR="00854095" w:rsidRPr="00854095">
              <w:t>30</w:t>
            </w:r>
            <w:r w:rsidR="00854095" w:rsidRPr="00854095">
              <w:rPr>
                <w:rtl/>
              </w:rPr>
              <w:t xml:space="preserve"> يونيو </w:t>
            </w:r>
            <w:r w:rsidR="00854095" w:rsidRPr="00854095">
              <w:t>2026</w:t>
            </w:r>
            <w:r w:rsidR="00854095" w:rsidRPr="00854095">
              <w:rPr>
                <w:rtl/>
              </w:rPr>
              <w:t xml:space="preserve">. وعملاً بالفقرة </w:t>
            </w:r>
            <w:r w:rsidR="00854095" w:rsidRPr="00854095">
              <w:t>2</w:t>
            </w:r>
            <w:r w:rsidR="00854095" w:rsidRPr="00854095">
              <w:rPr>
                <w:rtl/>
              </w:rPr>
              <w:t xml:space="preserve"> من المادة </w:t>
            </w:r>
            <w:r w:rsidR="00854095" w:rsidRPr="00854095">
              <w:t>28</w:t>
            </w:r>
            <w:r w:rsidR="00854095" w:rsidRPr="00854095">
              <w:rPr>
                <w:rtl/>
              </w:rPr>
              <w:t xml:space="preserve"> من اللوائح المالية</w:t>
            </w:r>
            <w:r>
              <w:rPr>
                <w:rFonts w:hint="cs"/>
                <w:rtl/>
              </w:rPr>
              <w:t xml:space="preserve"> ووفقاً</w:t>
            </w:r>
            <w:r w:rsidR="00A70A22">
              <w:rPr>
                <w:rFonts w:hint="cs"/>
                <w:rtl/>
              </w:rPr>
              <w:t xml:space="preserve"> للممارسة المتبعة مع المراجع السابق</w:t>
            </w:r>
            <w:r w:rsidR="00854095" w:rsidRPr="00854095">
              <w:rPr>
                <w:rtl/>
              </w:rPr>
              <w:t>، ي</w:t>
            </w:r>
            <w:r w:rsidR="00A868F3">
              <w:rPr>
                <w:rFonts w:hint="cs"/>
                <w:rtl/>
              </w:rPr>
              <w:t>ُ</w:t>
            </w:r>
            <w:r w:rsidR="00854095" w:rsidRPr="00854095">
              <w:rPr>
                <w:rtl/>
              </w:rPr>
              <w:t xml:space="preserve">وصى بتجديد ولاية مراجع الحسابات الخارجي لمدة سنتين لمراجعة البيانات المالية لعامي </w:t>
            </w:r>
            <w:r w:rsidR="00854095" w:rsidRPr="00854095">
              <w:t>2026</w:t>
            </w:r>
            <w:r w:rsidR="00854095" w:rsidRPr="00854095">
              <w:rPr>
                <w:rtl/>
              </w:rPr>
              <w:t xml:space="preserve"> </w:t>
            </w:r>
            <w:r w:rsidR="00854095" w:rsidRPr="00854095">
              <w:t>و2027</w:t>
            </w:r>
            <w:r w:rsidR="00854095" w:rsidRPr="00854095">
              <w:rPr>
                <w:rtl/>
              </w:rPr>
              <w:t>.</w:t>
            </w:r>
          </w:p>
          <w:p w14:paraId="5D565FBA" w14:textId="77777777" w:rsidR="007B0AA0" w:rsidRPr="007B0AA0" w:rsidRDefault="007B0AA0" w:rsidP="007B0AA0">
            <w:pPr>
              <w:rPr>
                <w:b/>
                <w:bCs/>
                <w:rtl/>
              </w:rPr>
            </w:pPr>
            <w:r w:rsidRPr="007B0AA0">
              <w:rPr>
                <w:rFonts w:hint="cs"/>
                <w:b/>
                <w:bCs/>
                <w:rtl/>
              </w:rPr>
              <w:t>الإجراء المطلوب من المجلس</w:t>
            </w:r>
          </w:p>
          <w:p w14:paraId="55A3562F" w14:textId="43AA14B0" w:rsidR="00854095" w:rsidRDefault="009C220E" w:rsidP="00854095">
            <w:pPr>
              <w:rPr>
                <w:rtl/>
              </w:rPr>
            </w:pPr>
            <w:r>
              <w:t>1</w:t>
            </w:r>
            <w:r w:rsidR="00854095">
              <w:rPr>
                <w:rtl/>
              </w:rPr>
              <w:tab/>
            </w:r>
            <w:r w:rsidR="00854095" w:rsidRPr="009C220E">
              <w:rPr>
                <w:b/>
                <w:bCs/>
                <w:rtl/>
              </w:rPr>
              <w:t>الإحاطة علماً</w:t>
            </w:r>
            <w:r w:rsidR="00854095">
              <w:rPr>
                <w:rtl/>
              </w:rPr>
              <w:t xml:space="preserve"> بهذه الوثيقة؛</w:t>
            </w:r>
          </w:p>
          <w:p w14:paraId="762E2D53" w14:textId="3C6AC01A" w:rsidR="007B0AA0" w:rsidRDefault="009C220E" w:rsidP="00854095">
            <w:pPr>
              <w:rPr>
                <w:rtl/>
              </w:rPr>
            </w:pPr>
            <w:r>
              <w:t>2</w:t>
            </w:r>
            <w:r w:rsidR="00854095">
              <w:rPr>
                <w:rtl/>
              </w:rPr>
              <w:tab/>
            </w:r>
            <w:r w:rsidR="00C57517">
              <w:rPr>
                <w:rFonts w:hint="cs"/>
                <w:rtl/>
              </w:rPr>
              <w:t>و</w:t>
            </w:r>
            <w:r w:rsidR="00854095" w:rsidRPr="009C220E">
              <w:rPr>
                <w:b/>
                <w:bCs/>
                <w:rtl/>
              </w:rPr>
              <w:t>اعتماد</w:t>
            </w:r>
            <w:r w:rsidR="00854095">
              <w:rPr>
                <w:rtl/>
              </w:rPr>
              <w:t xml:space="preserve"> مشروع المقرر الوارد في الملحق.</w:t>
            </w:r>
          </w:p>
          <w:p w14:paraId="79F26680" w14:textId="77777777" w:rsidR="005D2867" w:rsidRPr="005D2867" w:rsidRDefault="005D2867" w:rsidP="005D2867">
            <w:pPr>
              <w:rPr>
                <w:b/>
                <w:bCs/>
                <w:rtl/>
              </w:rPr>
            </w:pPr>
            <w:r w:rsidRPr="005D2867">
              <w:rPr>
                <w:b/>
                <w:bCs/>
                <w:rtl/>
              </w:rPr>
              <w:t>الصلة بالخطة الاستراتيجية</w:t>
            </w:r>
          </w:p>
          <w:p w14:paraId="19840DAC" w14:textId="54F542D5" w:rsidR="005D2867" w:rsidRDefault="005D2867" w:rsidP="00854095">
            <w:pPr>
              <w:rPr>
                <w:rtl/>
              </w:rPr>
            </w:pPr>
            <w:r>
              <w:rPr>
                <w:rFonts w:hint="cs"/>
                <w:rtl/>
              </w:rPr>
              <w:t>لا توجد</w:t>
            </w:r>
          </w:p>
          <w:p w14:paraId="6011C43D" w14:textId="2487C09A" w:rsidR="005D2867" w:rsidRPr="00C57517" w:rsidRDefault="005D2867" w:rsidP="00854095">
            <w:pPr>
              <w:rPr>
                <w:b/>
                <w:bCs/>
                <w:rtl/>
              </w:rPr>
            </w:pPr>
            <w:r w:rsidRPr="00C57517">
              <w:rPr>
                <w:rFonts w:hint="cs"/>
                <w:b/>
                <w:bCs/>
                <w:rtl/>
              </w:rPr>
              <w:t>الآثار المالية</w:t>
            </w:r>
          </w:p>
          <w:p w14:paraId="06F4870D" w14:textId="161E81A6" w:rsidR="005D2867" w:rsidRPr="005D2867" w:rsidRDefault="005D2867" w:rsidP="00854095">
            <w:pPr>
              <w:rPr>
                <w:rtl/>
                <w:lang w:val="en-GB"/>
              </w:rPr>
            </w:pPr>
            <w:r>
              <w:rPr>
                <w:rFonts w:hint="cs"/>
                <w:rtl/>
              </w:rPr>
              <w:t>في حدود الميزانية المخصصة للفترة 2026-2027</w:t>
            </w:r>
          </w:p>
          <w:p w14:paraId="648DCAB4"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2EA6377B" w14:textId="77777777" w:rsidR="007B0AA0" w:rsidRPr="007B0AA0" w:rsidRDefault="007B0AA0" w:rsidP="007B0AA0">
            <w:pPr>
              <w:rPr>
                <w:b/>
                <w:bCs/>
                <w:rtl/>
              </w:rPr>
            </w:pPr>
            <w:r w:rsidRPr="007B0AA0">
              <w:rPr>
                <w:rFonts w:hint="cs"/>
                <w:b/>
                <w:bCs/>
                <w:rtl/>
              </w:rPr>
              <w:t>المراجع</w:t>
            </w:r>
          </w:p>
          <w:p w14:paraId="39AB263A" w14:textId="66CF5CBE" w:rsidR="007B0AA0" w:rsidRPr="005546CF" w:rsidRDefault="00854095" w:rsidP="009C220E">
            <w:pPr>
              <w:rPr>
                <w:i/>
                <w:iCs/>
                <w:rtl/>
              </w:rPr>
            </w:pPr>
            <w:hyperlink r:id="rId8" w:anchor="/ar" w:history="1">
              <w:r w:rsidRPr="009C220E">
                <w:rPr>
                  <w:rStyle w:val="Hyperlink"/>
                  <w:rFonts w:ascii="Dubai" w:eastAsiaTheme="minorEastAsia" w:hAnsi="Dubai" w:cs="Dubai"/>
                  <w:i/>
                  <w:iCs/>
                  <w:noProof w:val="0"/>
                  <w:color w:val="0563C1"/>
                  <w:sz w:val="22"/>
                  <w:u w:val="single"/>
                  <w:rtl/>
                  <w:lang w:val="en-US" w:eastAsia="zh-CN" w:bidi="ar-EG"/>
                </w:rPr>
                <w:t xml:space="preserve">الموقع الإلكتروني للفريق </w:t>
              </w:r>
              <w:r w:rsidRPr="009C220E">
                <w:rPr>
                  <w:rStyle w:val="Hyperlink"/>
                  <w:rFonts w:ascii="Dubai" w:eastAsiaTheme="minorEastAsia" w:hAnsi="Dubai" w:cs="Dubai"/>
                  <w:i/>
                  <w:iCs/>
                  <w:noProof w:val="0"/>
                  <w:color w:val="0563C1"/>
                  <w:sz w:val="22"/>
                  <w:u w:val="single"/>
                  <w:lang w:val="en-US" w:eastAsia="zh-CN" w:bidi="ar-EG"/>
                </w:rPr>
                <w:t>CWG-FH</w:t>
              </w:r>
              <w:r w:rsidRPr="009C220E">
                <w:rPr>
                  <w:rStyle w:val="Hyperlink"/>
                  <w:rFonts w:ascii="Dubai" w:eastAsiaTheme="minorEastAsia" w:hAnsi="Dubai" w:cs="Dubai"/>
                  <w:i/>
                  <w:iCs/>
                  <w:noProof w:val="0"/>
                  <w:color w:val="0563C1"/>
                  <w:sz w:val="22"/>
                  <w:u w:val="single"/>
                  <w:lang w:val="en-US" w:eastAsia="zh-CN"/>
                </w:rPr>
                <w:t>R</w:t>
              </w:r>
            </w:hyperlink>
            <w:r w:rsidRPr="00854095">
              <w:rPr>
                <w:i/>
                <w:iCs/>
                <w:rtl/>
              </w:rPr>
              <w:t>؛ الوثيقة</w:t>
            </w:r>
            <w:r w:rsidR="009C220E">
              <w:rPr>
                <w:rFonts w:hint="cs"/>
                <w:i/>
                <w:iCs/>
                <w:rtl/>
              </w:rPr>
              <w:t xml:space="preserve"> </w:t>
            </w:r>
            <w:hyperlink r:id="rId9" w:history="1">
              <w:r w:rsidRPr="009C220E">
                <w:rPr>
                  <w:rStyle w:val="Hyperlink"/>
                  <w:rFonts w:ascii="Dubai" w:eastAsiaTheme="minorEastAsia" w:hAnsi="Dubai" w:cs="Dubai"/>
                  <w:i/>
                  <w:iCs/>
                  <w:noProof w:val="0"/>
                  <w:color w:val="0563C1"/>
                  <w:sz w:val="22"/>
                  <w:u w:val="single"/>
                  <w:lang w:val="en-US" w:eastAsia="zh-CN"/>
                </w:rPr>
                <w:t>C20/8</w:t>
              </w:r>
              <w:r w:rsidRPr="009C220E">
                <w:rPr>
                  <w:rStyle w:val="Hyperlink"/>
                  <w:rFonts w:ascii="Dubai" w:eastAsiaTheme="minorEastAsia" w:hAnsi="Dubai" w:cs="Dubai"/>
                  <w:i/>
                  <w:iCs/>
                  <w:noProof w:val="0"/>
                  <w:color w:val="0563C1"/>
                  <w:sz w:val="22"/>
                  <w:u w:val="single"/>
                  <w:lang w:val="en-US" w:eastAsia="zh-CN" w:bidi="ar-EG"/>
                </w:rPr>
                <w:t>3</w:t>
              </w:r>
              <w:r w:rsidR="009C220E" w:rsidRPr="009C220E">
                <w:rPr>
                  <w:rStyle w:val="Hyperlink"/>
                  <w:rFonts w:ascii="Dubai" w:eastAsiaTheme="minorEastAsia" w:hAnsi="Dubai" w:cs="Dubai" w:hint="cs"/>
                  <w:i/>
                  <w:iCs/>
                  <w:noProof w:val="0"/>
                  <w:color w:val="0563C1"/>
                  <w:sz w:val="22"/>
                  <w:u w:val="single"/>
                  <w:rtl/>
                  <w:lang w:val="en-US" w:eastAsia="zh-CN" w:bidi="ar-EG"/>
                </w:rPr>
                <w:t xml:space="preserve"> - </w:t>
              </w:r>
              <w:r w:rsidRPr="009C220E">
                <w:rPr>
                  <w:rStyle w:val="Hyperlink"/>
                  <w:rFonts w:ascii="Dubai" w:eastAsiaTheme="minorEastAsia" w:hAnsi="Dubai" w:cs="Dubai"/>
                  <w:i/>
                  <w:iCs/>
                  <w:noProof w:val="0"/>
                  <w:color w:val="0563C1"/>
                  <w:sz w:val="22"/>
                  <w:u w:val="single"/>
                  <w:rtl/>
                  <w:lang w:val="en-US" w:eastAsia="zh-CN" w:bidi="ar-EG"/>
                </w:rPr>
                <w:t xml:space="preserve">المقرر </w:t>
              </w:r>
              <w:r w:rsidRPr="009C220E">
                <w:rPr>
                  <w:rStyle w:val="Hyperlink"/>
                  <w:rFonts w:ascii="Dubai" w:eastAsiaTheme="minorEastAsia" w:hAnsi="Dubai" w:cs="Dubai"/>
                  <w:i/>
                  <w:iCs/>
                  <w:noProof w:val="0"/>
                  <w:color w:val="0563C1"/>
                  <w:sz w:val="22"/>
                  <w:u w:val="single"/>
                  <w:lang w:val="en-US" w:eastAsia="zh-CN" w:bidi="ar-EG"/>
                </w:rPr>
                <w:t>62</w:t>
              </w:r>
              <w:r w:rsidRPr="009C220E">
                <w:rPr>
                  <w:rStyle w:val="Hyperlink"/>
                  <w:rFonts w:ascii="Dubai" w:eastAsiaTheme="minorEastAsia" w:hAnsi="Dubai" w:cs="Dubai"/>
                  <w:i/>
                  <w:iCs/>
                  <w:noProof w:val="0"/>
                  <w:color w:val="0563C1"/>
                  <w:sz w:val="22"/>
                  <w:u w:val="single"/>
                  <w:lang w:val="en-US" w:eastAsia="zh-CN"/>
                </w:rPr>
                <w:t>1</w:t>
              </w:r>
            </w:hyperlink>
            <w:r w:rsidRPr="00854095">
              <w:rPr>
                <w:i/>
                <w:iCs/>
                <w:rtl/>
              </w:rPr>
              <w:t xml:space="preserve">؛ </w:t>
            </w:r>
            <w:hyperlink r:id="rId10" w:history="1">
              <w:r w:rsidRPr="009C220E">
                <w:rPr>
                  <w:rStyle w:val="Hyperlink"/>
                  <w:rFonts w:ascii="Dubai" w:eastAsiaTheme="minorEastAsia" w:hAnsi="Dubai" w:cs="Dubai"/>
                  <w:i/>
                  <w:iCs/>
                  <w:noProof w:val="0"/>
                  <w:color w:val="0563C1"/>
                  <w:sz w:val="22"/>
                  <w:u w:val="single"/>
                  <w:rtl/>
                  <w:lang w:val="en-US" w:eastAsia="zh-CN"/>
                </w:rPr>
                <w:t xml:space="preserve">القرار </w:t>
              </w:r>
              <w:r w:rsidRPr="009C220E">
                <w:rPr>
                  <w:rStyle w:val="Hyperlink"/>
                  <w:rFonts w:ascii="Dubai" w:eastAsiaTheme="minorEastAsia" w:hAnsi="Dubai" w:cs="Dubai"/>
                  <w:i/>
                  <w:iCs/>
                  <w:noProof w:val="0"/>
                  <w:color w:val="0563C1"/>
                  <w:sz w:val="22"/>
                  <w:u w:val="single"/>
                  <w:lang w:val="en-US" w:eastAsia="zh-CN"/>
                </w:rPr>
                <w:t>94</w:t>
              </w:r>
              <w:r w:rsidRPr="009C220E">
                <w:rPr>
                  <w:rStyle w:val="Hyperlink"/>
                  <w:rFonts w:ascii="Dubai" w:eastAsiaTheme="minorEastAsia" w:hAnsi="Dubai" w:cs="Dubai"/>
                  <w:i/>
                  <w:iCs/>
                  <w:noProof w:val="0"/>
                  <w:color w:val="0563C1"/>
                  <w:sz w:val="22"/>
                  <w:u w:val="single"/>
                  <w:rtl/>
                  <w:lang w:val="en-US" w:eastAsia="zh-CN"/>
                </w:rPr>
                <w:t xml:space="preserve"> (المراج</w:t>
              </w:r>
              <w:r w:rsidR="009C220E" w:rsidRPr="009C220E">
                <w:rPr>
                  <w:rStyle w:val="Hyperlink"/>
                  <w:rFonts w:ascii="Dubai" w:eastAsiaTheme="minorEastAsia" w:hAnsi="Dubai" w:cs="Dubai" w:hint="cs"/>
                  <w:i/>
                  <w:iCs/>
                  <w:noProof w:val="0"/>
                  <w:color w:val="0563C1"/>
                  <w:sz w:val="22"/>
                  <w:u w:val="single"/>
                  <w:rtl/>
                  <w:lang w:val="en-US" w:eastAsia="zh-CN"/>
                </w:rPr>
                <w:t>َ</w:t>
              </w:r>
              <w:r w:rsidRPr="009C220E">
                <w:rPr>
                  <w:rStyle w:val="Hyperlink"/>
                  <w:rFonts w:ascii="Dubai" w:eastAsiaTheme="minorEastAsia" w:hAnsi="Dubai" w:cs="Dubai"/>
                  <w:i/>
                  <w:iCs/>
                  <w:noProof w:val="0"/>
                  <w:color w:val="0563C1"/>
                  <w:sz w:val="22"/>
                  <w:u w:val="single"/>
                  <w:rtl/>
                  <w:lang w:val="en-US" w:eastAsia="zh-CN"/>
                </w:rPr>
                <w:t xml:space="preserve">ع في بوخارست، </w:t>
              </w:r>
              <w:r w:rsidRPr="009C220E">
                <w:rPr>
                  <w:rStyle w:val="Hyperlink"/>
                  <w:rFonts w:ascii="Dubai" w:eastAsiaTheme="minorEastAsia" w:hAnsi="Dubai" w:cs="Dubai"/>
                  <w:i/>
                  <w:iCs/>
                  <w:noProof w:val="0"/>
                  <w:color w:val="0563C1"/>
                  <w:sz w:val="22"/>
                  <w:u w:val="single"/>
                  <w:lang w:val="en-US" w:eastAsia="zh-CN"/>
                </w:rPr>
                <w:t>2022</w:t>
              </w:r>
              <w:r w:rsidRPr="009C220E">
                <w:rPr>
                  <w:rStyle w:val="Hyperlink"/>
                  <w:rFonts w:ascii="Dubai" w:eastAsiaTheme="minorEastAsia" w:hAnsi="Dubai" w:cs="Dubai"/>
                  <w:i/>
                  <w:iCs/>
                  <w:noProof w:val="0"/>
                  <w:color w:val="0563C1"/>
                  <w:sz w:val="22"/>
                  <w:u w:val="single"/>
                  <w:rtl/>
                  <w:lang w:val="en-US" w:eastAsia="zh-CN"/>
                </w:rPr>
                <w:t>)</w:t>
              </w:r>
            </w:hyperlink>
            <w:r w:rsidR="009C220E">
              <w:rPr>
                <w:rFonts w:hint="cs"/>
                <w:i/>
                <w:iCs/>
                <w:rtl/>
              </w:rPr>
              <w:t>؛</w:t>
            </w:r>
            <w:r w:rsidR="00E65277">
              <w:rPr>
                <w:rFonts w:hint="cs"/>
                <w:i/>
                <w:iCs/>
                <w:rtl/>
              </w:rPr>
              <w:t xml:space="preserve"> </w:t>
            </w:r>
            <w:r w:rsidRPr="00854095">
              <w:rPr>
                <w:i/>
                <w:iCs/>
                <w:rtl/>
              </w:rPr>
              <w:t xml:space="preserve">المادة </w:t>
            </w:r>
            <w:r w:rsidRPr="00854095">
              <w:rPr>
                <w:i/>
                <w:iCs/>
              </w:rPr>
              <w:t>28</w:t>
            </w:r>
            <w:r w:rsidRPr="00854095">
              <w:rPr>
                <w:i/>
                <w:iCs/>
                <w:rtl/>
              </w:rPr>
              <w:t xml:space="preserve"> من </w:t>
            </w:r>
            <w:hyperlink r:id="rId11" w:history="1">
              <w:r w:rsidRPr="009C220E">
                <w:rPr>
                  <w:rStyle w:val="Hyperlink"/>
                  <w:rFonts w:ascii="Dubai" w:eastAsiaTheme="minorEastAsia" w:hAnsi="Dubai" w:cs="Dubai"/>
                  <w:i/>
                  <w:iCs/>
                  <w:noProof w:val="0"/>
                  <w:color w:val="0563C1"/>
                  <w:sz w:val="22"/>
                  <w:u w:val="single"/>
                  <w:rtl/>
                  <w:lang w:val="en-US" w:eastAsia="zh-CN"/>
                </w:rPr>
                <w:t>اللوائح المالية</w:t>
              </w:r>
            </w:hyperlink>
          </w:p>
        </w:tc>
      </w:tr>
    </w:tbl>
    <w:p w14:paraId="2929BE16" w14:textId="77777777" w:rsidR="00F50E3F" w:rsidRDefault="00F50E3F" w:rsidP="0043260A">
      <w:pPr>
        <w:rPr>
          <w:rtl/>
          <w:lang w:bidi="ar-EG"/>
        </w:rPr>
      </w:pPr>
      <w:r>
        <w:rPr>
          <w:rtl/>
          <w:lang w:bidi="ar-EG"/>
        </w:rPr>
        <w:br w:type="page"/>
      </w:r>
    </w:p>
    <w:p w14:paraId="416E278F" w14:textId="77777777" w:rsidR="00854095" w:rsidRDefault="00854095" w:rsidP="00854095">
      <w:pPr>
        <w:pStyle w:val="Heading1"/>
        <w:rPr>
          <w:rtl/>
          <w:lang w:bidi="ar-EG"/>
        </w:rPr>
      </w:pPr>
      <w:r>
        <w:rPr>
          <w:rtl/>
          <w:lang w:bidi="ar-EG"/>
        </w:rPr>
        <w:lastRenderedPageBreak/>
        <w:t>أولاً</w:t>
      </w:r>
      <w:r>
        <w:rPr>
          <w:rtl/>
          <w:lang w:bidi="ar-EG"/>
        </w:rPr>
        <w:tab/>
        <w:t>معلومات أساسية</w:t>
      </w:r>
    </w:p>
    <w:p w14:paraId="39F0836C" w14:textId="770CBDC6" w:rsidR="00854095" w:rsidRDefault="00854095" w:rsidP="00854095">
      <w:pPr>
        <w:rPr>
          <w:rtl/>
          <w:lang w:bidi="ar-EG"/>
        </w:rPr>
      </w:pPr>
      <w:r>
        <w:rPr>
          <w:rtl/>
          <w:lang w:bidi="ar-EG"/>
        </w:rPr>
        <w:t xml:space="preserve">‏في عام </w:t>
      </w:r>
      <w:r>
        <w:rPr>
          <w:lang w:bidi="ar-EG"/>
        </w:rPr>
        <w:t>2020</w:t>
      </w:r>
      <w:r>
        <w:rPr>
          <w:rtl/>
          <w:lang w:bidi="ar-EG"/>
        </w:rPr>
        <w:t xml:space="preserve">، قامت لجنة التقييم </w:t>
      </w:r>
      <w:r w:rsidR="005D2867" w:rsidRPr="005D2867">
        <w:rPr>
          <w:rtl/>
          <w:lang w:bidi="ar-EG"/>
        </w:rPr>
        <w:t xml:space="preserve">المؤلفة من ممثلين عن مناطق الاتحاد </w:t>
      </w:r>
      <w:r>
        <w:rPr>
          <w:rtl/>
          <w:lang w:bidi="ar-EG"/>
        </w:rPr>
        <w:t>باستعراض وتقييم المكونات التقنية والمالية والنظر في نقاط القوة والضعف لكل عرض ورد في تلك الفترة. ويتعين على لجنة التقييم، لدى تقديم توصيتها إلى المجلس، أن توازن بين عدة عوامل متنافسة بما في ذلك الكفاءة التقنية وتكلفة خدمة المراجعة. وتهدف توصية اللجنة إلى تحديد العرض الذي يقدم أفضل قيمة مقابل المال.</w:t>
      </w:r>
    </w:p>
    <w:p w14:paraId="5AEEA458" w14:textId="77777777" w:rsidR="00854095" w:rsidRDefault="00854095" w:rsidP="00854095">
      <w:pPr>
        <w:rPr>
          <w:rtl/>
          <w:lang w:bidi="ar-EG"/>
        </w:rPr>
      </w:pPr>
      <w:r>
        <w:rPr>
          <w:rtl/>
          <w:lang w:bidi="ar-EG"/>
        </w:rPr>
        <w:t xml:space="preserve">واستناداً إلى العملية المذكورة أعلاه ومع مراعاة جميع المعايير، اتفقت لجنة التقييم على أن توصي مجلس الاتحاد بتعيين المكتب الوطني لمراجعة الحسابات </w:t>
      </w:r>
      <w:r>
        <w:rPr>
          <w:lang w:bidi="ar-EG"/>
        </w:rPr>
        <w:t>(NAO)</w:t>
      </w:r>
      <w:r>
        <w:rPr>
          <w:rtl/>
          <w:lang w:bidi="ar-EG"/>
        </w:rPr>
        <w:t xml:space="preserve"> في المملكة المتحدة مراجعاً خارجياً لحسابات الاتحاد للفترتين الماليتين </w:t>
      </w:r>
      <w:r>
        <w:rPr>
          <w:lang w:bidi="ar-EG"/>
        </w:rPr>
        <w:t>2023/2022</w:t>
      </w:r>
      <w:r>
        <w:rPr>
          <w:rtl/>
          <w:lang w:bidi="ar-EG"/>
        </w:rPr>
        <w:t xml:space="preserve"> و</w:t>
      </w:r>
      <w:r>
        <w:rPr>
          <w:lang w:bidi="ar-EG"/>
        </w:rPr>
        <w:t>2025/2024</w:t>
      </w:r>
      <w:r>
        <w:rPr>
          <w:rtl/>
          <w:lang w:bidi="ar-EG"/>
        </w:rPr>
        <w:t>.</w:t>
      </w:r>
    </w:p>
    <w:p w14:paraId="1023A335" w14:textId="7EDA2B68" w:rsidR="00854095" w:rsidRDefault="00854095" w:rsidP="00854095">
      <w:pPr>
        <w:rPr>
          <w:rtl/>
          <w:lang w:bidi="ar-EG"/>
        </w:rPr>
      </w:pPr>
      <w:r>
        <w:rPr>
          <w:rtl/>
          <w:lang w:bidi="ar-EG"/>
        </w:rPr>
        <w:t xml:space="preserve">وستنتهي ولاية المراجع الخارجي للحسابات </w:t>
      </w:r>
      <w:r>
        <w:rPr>
          <w:lang w:bidi="ar-EG"/>
        </w:rPr>
        <w:t>(NAO)</w:t>
      </w:r>
      <w:r>
        <w:rPr>
          <w:rtl/>
          <w:lang w:bidi="ar-EG"/>
        </w:rPr>
        <w:t xml:space="preserve"> المتعلقة بمراجعة البيانات المالية للأعوام </w:t>
      </w:r>
      <w:r>
        <w:rPr>
          <w:lang w:bidi="ar-EG"/>
        </w:rPr>
        <w:t>2022</w:t>
      </w:r>
      <w:r>
        <w:rPr>
          <w:rtl/>
          <w:lang w:bidi="ar-EG"/>
        </w:rPr>
        <w:t xml:space="preserve"> </w:t>
      </w:r>
      <w:r>
        <w:rPr>
          <w:lang w:bidi="ar-EG"/>
        </w:rPr>
        <w:t>و2023</w:t>
      </w:r>
      <w:r>
        <w:rPr>
          <w:rtl/>
          <w:lang w:bidi="ar-EG"/>
        </w:rPr>
        <w:t xml:space="preserve"> </w:t>
      </w:r>
      <w:r>
        <w:rPr>
          <w:lang w:bidi="ar-EG"/>
        </w:rPr>
        <w:t>و2024</w:t>
      </w:r>
      <w:r>
        <w:rPr>
          <w:rtl/>
          <w:lang w:bidi="ar-EG"/>
        </w:rPr>
        <w:t xml:space="preserve"> </w:t>
      </w:r>
      <w:r>
        <w:rPr>
          <w:lang w:bidi="ar-EG"/>
        </w:rPr>
        <w:t>و2025</w:t>
      </w:r>
      <w:r>
        <w:rPr>
          <w:rtl/>
          <w:lang w:bidi="ar-EG"/>
        </w:rPr>
        <w:t xml:space="preserve"> في </w:t>
      </w:r>
      <w:r>
        <w:rPr>
          <w:lang w:bidi="ar-EG"/>
        </w:rPr>
        <w:t>30</w:t>
      </w:r>
      <w:r>
        <w:rPr>
          <w:rtl/>
          <w:lang w:bidi="ar-EG"/>
        </w:rPr>
        <w:t xml:space="preserve"> يونيو </w:t>
      </w:r>
      <w:r>
        <w:rPr>
          <w:lang w:bidi="ar-EG"/>
        </w:rPr>
        <w:t>2026</w:t>
      </w:r>
      <w:r>
        <w:rPr>
          <w:rtl/>
          <w:lang w:bidi="ar-EG"/>
        </w:rPr>
        <w:t>.</w:t>
      </w:r>
    </w:p>
    <w:p w14:paraId="12C0275A" w14:textId="5D4F19EE" w:rsidR="00384345" w:rsidRDefault="00384345" w:rsidP="00854095">
      <w:pPr>
        <w:rPr>
          <w:rtl/>
          <w:lang w:bidi="ar-EG"/>
        </w:rPr>
      </w:pPr>
      <w:r>
        <w:rPr>
          <w:rFonts w:hint="cs"/>
          <w:rtl/>
          <w:lang w:bidi="ar-EG"/>
        </w:rPr>
        <w:t>و</w:t>
      </w:r>
      <w:r w:rsidRPr="00384345">
        <w:rPr>
          <w:rtl/>
          <w:lang w:bidi="ar-EG"/>
        </w:rPr>
        <w:t>ي</w:t>
      </w:r>
      <w:r>
        <w:rPr>
          <w:rFonts w:hint="cs"/>
          <w:rtl/>
          <w:lang w:bidi="ar-EG"/>
        </w:rPr>
        <w:t>ُ</w:t>
      </w:r>
      <w:r w:rsidRPr="00384345">
        <w:rPr>
          <w:rtl/>
          <w:lang w:bidi="ar-EG"/>
        </w:rPr>
        <w:t xml:space="preserve">قترح تجديد ولاية </w:t>
      </w:r>
      <w:r>
        <w:rPr>
          <w:rFonts w:hint="cs"/>
          <w:rtl/>
          <w:lang w:bidi="ar-EG"/>
        </w:rPr>
        <w:t>المكتب</w:t>
      </w:r>
      <w:r w:rsidRPr="00384345">
        <w:rPr>
          <w:rtl/>
          <w:lang w:bidi="ar-EG"/>
        </w:rPr>
        <w:t xml:space="preserve"> الوطني </w:t>
      </w:r>
      <w:r>
        <w:rPr>
          <w:rFonts w:hint="cs"/>
          <w:rtl/>
          <w:lang w:bidi="ar-EG"/>
        </w:rPr>
        <w:t xml:space="preserve">لمراجعة الحسابات </w:t>
      </w:r>
      <w:r w:rsidRPr="00384345">
        <w:rPr>
          <w:rtl/>
          <w:lang w:bidi="ar-EG"/>
        </w:rPr>
        <w:t xml:space="preserve">كمراجع خارجي </w:t>
      </w:r>
      <w:r>
        <w:rPr>
          <w:rFonts w:hint="cs"/>
          <w:rtl/>
          <w:lang w:bidi="ar-EG"/>
        </w:rPr>
        <w:t>لحسابات الاتحاد</w:t>
      </w:r>
      <w:r w:rsidRPr="00384345">
        <w:rPr>
          <w:rtl/>
          <w:lang w:bidi="ar-EG"/>
        </w:rPr>
        <w:t xml:space="preserve"> لمدة سنتين إضافيتين، لتشمل البيانات المالية لعامي 2026 و2027.</w:t>
      </w:r>
    </w:p>
    <w:p w14:paraId="03D3CA82" w14:textId="0885F386" w:rsidR="00384345" w:rsidRPr="00384345" w:rsidRDefault="00384345" w:rsidP="00854095">
      <w:pPr>
        <w:rPr>
          <w:rtl/>
        </w:rPr>
      </w:pPr>
      <w:r w:rsidRPr="00384345">
        <w:rPr>
          <w:rtl/>
        </w:rPr>
        <w:t xml:space="preserve">ويتماشى هذا مع الممارسة </w:t>
      </w:r>
      <w:r w:rsidR="00FC55B8">
        <w:rPr>
          <w:rFonts w:hint="cs"/>
          <w:rtl/>
        </w:rPr>
        <w:t>المعتادة المتبعة</w:t>
      </w:r>
      <w:r w:rsidRPr="00384345">
        <w:rPr>
          <w:rtl/>
        </w:rPr>
        <w:t xml:space="preserve"> مع المراجع السابق، </w:t>
      </w:r>
      <w:r>
        <w:rPr>
          <w:rFonts w:hint="cs"/>
          <w:rtl/>
        </w:rPr>
        <w:t>وفقاً ل</w:t>
      </w:r>
      <w:r w:rsidRPr="00384345">
        <w:rPr>
          <w:rtl/>
        </w:rPr>
        <w:t xml:space="preserve">لفقرة 2 </w:t>
      </w:r>
      <w:r>
        <w:rPr>
          <w:rFonts w:hint="cs"/>
          <w:rtl/>
        </w:rPr>
        <w:t>من ا</w:t>
      </w:r>
      <w:r w:rsidRPr="00384345">
        <w:rPr>
          <w:rtl/>
        </w:rPr>
        <w:t xml:space="preserve">لمادة 28 من اللوائح المالية للاتحاد </w:t>
      </w:r>
      <w:r>
        <w:rPr>
          <w:rFonts w:hint="cs"/>
          <w:rtl/>
        </w:rPr>
        <w:t>التي تنص على ما يلي</w:t>
      </w:r>
      <w:r w:rsidRPr="00384345">
        <w:rPr>
          <w:rtl/>
        </w:rPr>
        <w:t>: "</w:t>
      </w:r>
      <w:r>
        <w:rPr>
          <w:color w:val="000000"/>
          <w:rtl/>
        </w:rPr>
        <w:t>يجوز تجديد هذه المدة دون عملية اختيار تنافسية بقرار من المجلس لمدة سنتين ومدة سنتين أخريين</w:t>
      </w:r>
      <w:r w:rsidRPr="00384345">
        <w:rPr>
          <w:rtl/>
        </w:rPr>
        <w:t>".</w:t>
      </w:r>
    </w:p>
    <w:p w14:paraId="4F04277A" w14:textId="40FB0A77" w:rsidR="00384345" w:rsidRPr="00FC55B8" w:rsidRDefault="00FC55B8" w:rsidP="001A0479">
      <w:pPr>
        <w:pStyle w:val="Heading1"/>
        <w:rPr>
          <w:b w:val="0"/>
          <w:bCs w:val="0"/>
          <w:rtl/>
          <w:lang w:bidi="ar-EG"/>
        </w:rPr>
      </w:pPr>
      <w:r w:rsidRPr="00FC55B8">
        <w:rPr>
          <w:rtl/>
          <w:lang w:bidi="ar-EG"/>
        </w:rPr>
        <w:t>ثانياً</w:t>
      </w:r>
      <w:r w:rsidRPr="00FC55B8">
        <w:rPr>
          <w:rtl/>
          <w:lang w:bidi="ar-EG"/>
        </w:rPr>
        <w:tab/>
        <w:t xml:space="preserve">‏المعلومات التي طلبها فريق العمل التابع للمجلس والمعني بالموارد المالية والبشرية </w:t>
      </w:r>
      <w:r w:rsidRPr="00FC55B8">
        <w:rPr>
          <w:cs/>
          <w:lang w:bidi="ar-EG"/>
        </w:rPr>
        <w:t>‎</w:t>
      </w:r>
      <w:r w:rsidRPr="00FC55B8">
        <w:rPr>
          <w:rtl/>
          <w:lang w:bidi="ar-EG"/>
        </w:rPr>
        <w:t xml:space="preserve">– ‏فبراير </w:t>
      </w:r>
      <w:r w:rsidRPr="00FC55B8">
        <w:rPr>
          <w:cs/>
          <w:lang w:bidi="ar-EG"/>
        </w:rPr>
        <w:t>‎</w:t>
      </w:r>
      <w:r w:rsidRPr="00FC55B8">
        <w:rPr>
          <w:lang w:bidi="ar-EG"/>
        </w:rPr>
        <w:t>2025</w:t>
      </w:r>
    </w:p>
    <w:p w14:paraId="4A3C5B64" w14:textId="66588B92" w:rsidR="00384345" w:rsidRPr="00FC55B8" w:rsidRDefault="00FC55B8" w:rsidP="00854095">
      <w:pPr>
        <w:rPr>
          <w:rtl/>
        </w:rPr>
      </w:pPr>
      <w:r w:rsidRPr="00FC55B8">
        <w:rPr>
          <w:rtl/>
          <w:lang w:bidi="ar-EG"/>
        </w:rPr>
        <w:t>ترد أدناه الردود على الأسئلة التي أُثيرت خلال الجلسة المشار إليها أعلاه</w:t>
      </w:r>
      <w:r>
        <w:rPr>
          <w:rFonts w:hint="cs"/>
          <w:rtl/>
          <w:lang w:bidi="ar-EG"/>
        </w:rPr>
        <w:t>.</w:t>
      </w:r>
    </w:p>
    <w:p w14:paraId="6907381E" w14:textId="5500CA5D" w:rsidR="00FC55B8" w:rsidRPr="00FC55B8" w:rsidRDefault="00FC55B8" w:rsidP="001A0479">
      <w:pPr>
        <w:pStyle w:val="Headingb"/>
        <w:rPr>
          <w:rtl/>
        </w:rPr>
      </w:pPr>
      <w:r w:rsidRPr="00FC55B8">
        <w:rPr>
          <w:rtl/>
        </w:rPr>
        <w:t xml:space="preserve">هل هناك مزايا مالية في تجديد الولاية دون إطلاق عملية مناقصة جديدة؟ </w:t>
      </w:r>
    </w:p>
    <w:p w14:paraId="78FE7CA2" w14:textId="77777777" w:rsidR="00FC55B8" w:rsidRDefault="00FC55B8" w:rsidP="00854095">
      <w:pPr>
        <w:rPr>
          <w:rtl/>
          <w:lang w:bidi="ar-EG"/>
        </w:rPr>
      </w:pPr>
      <w:r>
        <w:rPr>
          <w:rFonts w:hint="cs"/>
          <w:rtl/>
          <w:lang w:bidi="ar-EG"/>
        </w:rPr>
        <w:t>ب</w:t>
      </w:r>
      <w:r w:rsidRPr="00FC55B8">
        <w:rPr>
          <w:rtl/>
          <w:lang w:bidi="ar-EG"/>
        </w:rPr>
        <w:t xml:space="preserve">الإضافة إلى الملاحظات الداخلية: </w:t>
      </w:r>
    </w:p>
    <w:p w14:paraId="54DF64C6" w14:textId="6B67215A" w:rsidR="00384345" w:rsidRDefault="00FC55B8" w:rsidP="001A0479">
      <w:pPr>
        <w:pStyle w:val="enumlev1"/>
        <w:rPr>
          <w:rtl/>
        </w:rPr>
      </w:pPr>
      <w:r>
        <w:rPr>
          <w:rFonts w:hint="cs"/>
          <w:rtl/>
        </w:rPr>
        <w:t>-</w:t>
      </w:r>
      <w:r>
        <w:rPr>
          <w:rtl/>
        </w:rPr>
        <w:tab/>
      </w:r>
      <w:r w:rsidRPr="00FC55B8">
        <w:rPr>
          <w:rtl/>
        </w:rPr>
        <w:t>ت</w:t>
      </w:r>
      <w:r w:rsidR="00C57517">
        <w:rPr>
          <w:rFonts w:hint="cs"/>
          <w:rtl/>
        </w:rPr>
        <w:t>ُ</w:t>
      </w:r>
      <w:r w:rsidRPr="00FC55B8">
        <w:rPr>
          <w:rtl/>
        </w:rPr>
        <w:t xml:space="preserve">ظهر الممارسة المتبعة على مستوى منظومة الأمم المتحدة أنه عندما يتم تمديد ولاية </w:t>
      </w:r>
      <w:r>
        <w:rPr>
          <w:rFonts w:hint="cs"/>
          <w:rtl/>
        </w:rPr>
        <w:t>المراجع</w:t>
      </w:r>
      <w:r w:rsidRPr="00FC55B8">
        <w:rPr>
          <w:rtl/>
        </w:rPr>
        <w:t xml:space="preserve"> الخارجي ضمن الفترة المسموح بها، </w:t>
      </w:r>
      <w:r>
        <w:rPr>
          <w:rFonts w:hint="cs"/>
          <w:rtl/>
        </w:rPr>
        <w:t>تتجنب</w:t>
      </w:r>
      <w:r w:rsidRPr="00FC55B8">
        <w:rPr>
          <w:rtl/>
        </w:rPr>
        <w:t xml:space="preserve"> المنظمات التكاليف المباشرة المرتبطة بعمليات الشراء (مثل الإعلان، ولجان تقييم العطاءات، </w:t>
      </w:r>
      <w:r>
        <w:rPr>
          <w:rFonts w:hint="cs"/>
          <w:rtl/>
        </w:rPr>
        <w:t>والإعداد</w:t>
      </w:r>
      <w:r w:rsidRPr="00FC55B8">
        <w:rPr>
          <w:rtl/>
        </w:rPr>
        <w:t>).</w:t>
      </w:r>
    </w:p>
    <w:p w14:paraId="7623E5C5" w14:textId="310F5848" w:rsidR="00384345" w:rsidRDefault="00FC55B8" w:rsidP="001A0479">
      <w:pPr>
        <w:pStyle w:val="enumlev1"/>
        <w:rPr>
          <w:rtl/>
        </w:rPr>
      </w:pPr>
      <w:r>
        <w:rPr>
          <w:rFonts w:hint="cs"/>
          <w:rtl/>
        </w:rPr>
        <w:t>-</w:t>
      </w:r>
      <w:r>
        <w:rPr>
          <w:rtl/>
        </w:rPr>
        <w:tab/>
      </w:r>
      <w:r>
        <w:rPr>
          <w:rFonts w:hint="cs"/>
          <w:rtl/>
        </w:rPr>
        <w:t>ف</w:t>
      </w:r>
      <w:r w:rsidRPr="00FC55B8">
        <w:rPr>
          <w:rtl/>
        </w:rPr>
        <w:t xml:space="preserve">على سبيل المثال، أشارت اليونسكو والمنظمة العالمية للملكية الفكرية في تقارير الهيئات الإدارية إلى أن تكاليف انتقال </w:t>
      </w:r>
      <w:r>
        <w:rPr>
          <w:rFonts w:hint="cs"/>
          <w:rtl/>
        </w:rPr>
        <w:t>المراجعين</w:t>
      </w:r>
      <w:r w:rsidRPr="00FC55B8">
        <w:rPr>
          <w:rtl/>
        </w:rPr>
        <w:t xml:space="preserve"> تتراوح بين </w:t>
      </w:r>
      <w:r>
        <w:t>50 000</w:t>
      </w:r>
      <w:r w:rsidRPr="00FC55B8">
        <w:rPr>
          <w:rtl/>
        </w:rPr>
        <w:t xml:space="preserve"> و</w:t>
      </w:r>
      <w:r>
        <w:t>150 000</w:t>
      </w:r>
      <w:r>
        <w:rPr>
          <w:rFonts w:hint="cs"/>
          <w:rtl/>
        </w:rPr>
        <w:t xml:space="preserve"> </w:t>
      </w:r>
      <w:r w:rsidRPr="00FC55B8">
        <w:rPr>
          <w:rtl/>
        </w:rPr>
        <w:t xml:space="preserve">دولار أمريكي </w:t>
      </w:r>
      <w:r>
        <w:rPr>
          <w:rFonts w:hint="cs"/>
          <w:rtl/>
        </w:rPr>
        <w:t>وذلك فقط فيما يتعلق</w:t>
      </w:r>
      <w:r w:rsidRPr="00FC55B8">
        <w:rPr>
          <w:rtl/>
        </w:rPr>
        <w:t xml:space="preserve"> </w:t>
      </w:r>
      <w:r>
        <w:rPr>
          <w:rFonts w:hint="cs"/>
          <w:rtl/>
        </w:rPr>
        <w:t>ب</w:t>
      </w:r>
      <w:r w:rsidRPr="00FC55B8">
        <w:rPr>
          <w:rtl/>
        </w:rPr>
        <w:t>وقت الموظفين غير المباشر ونقل المعرفة.</w:t>
      </w:r>
    </w:p>
    <w:p w14:paraId="34BA8FEF" w14:textId="00A8A41A" w:rsidR="00335755" w:rsidRDefault="00335755" w:rsidP="001A0479">
      <w:pPr>
        <w:pStyle w:val="enumlev1"/>
        <w:rPr>
          <w:rtl/>
        </w:rPr>
      </w:pPr>
      <w:r>
        <w:rPr>
          <w:rFonts w:hint="cs"/>
          <w:rtl/>
        </w:rPr>
        <w:t>-</w:t>
      </w:r>
      <w:r>
        <w:rPr>
          <w:rtl/>
        </w:rPr>
        <w:tab/>
      </w:r>
      <w:r w:rsidRPr="00335755">
        <w:rPr>
          <w:rtl/>
        </w:rPr>
        <w:t xml:space="preserve">تقلل الاستمرارية من </w:t>
      </w:r>
      <w:r w:rsidR="00C57517">
        <w:rPr>
          <w:rFonts w:hint="cs"/>
          <w:rtl/>
        </w:rPr>
        <w:t>خطر</w:t>
      </w:r>
      <w:r w:rsidRPr="00335755">
        <w:rPr>
          <w:rtl/>
        </w:rPr>
        <w:t xml:space="preserve"> إعادة </w:t>
      </w:r>
      <w:r>
        <w:rPr>
          <w:rFonts w:hint="cs"/>
          <w:rtl/>
        </w:rPr>
        <w:t>المراجعة</w:t>
      </w:r>
      <w:r w:rsidRPr="00335755">
        <w:rPr>
          <w:rtl/>
        </w:rPr>
        <w:t xml:space="preserve">: </w:t>
      </w:r>
      <w:r>
        <w:rPr>
          <w:rFonts w:hint="cs"/>
          <w:rtl/>
        </w:rPr>
        <w:t>غالباً</w:t>
      </w:r>
      <w:r w:rsidRPr="00335755">
        <w:rPr>
          <w:rtl/>
        </w:rPr>
        <w:t xml:space="preserve"> ما يضطر </w:t>
      </w:r>
      <w:r>
        <w:rPr>
          <w:rFonts w:hint="cs"/>
          <w:rtl/>
        </w:rPr>
        <w:t>المراجع</w:t>
      </w:r>
      <w:r w:rsidRPr="00335755">
        <w:rPr>
          <w:rtl/>
        </w:rPr>
        <w:t xml:space="preserve"> الجديد إلى إعادة تنفيذ الإجراءات للامتثال لمعايير الاستقلالية والشمولية، مما قد يؤدي إلى تكرار </w:t>
      </w:r>
      <w:r>
        <w:rPr>
          <w:rFonts w:hint="cs"/>
          <w:rtl/>
        </w:rPr>
        <w:t>العمل السابق</w:t>
      </w:r>
      <w:r w:rsidRPr="00335755">
        <w:rPr>
          <w:rtl/>
        </w:rPr>
        <w:t xml:space="preserve"> وإطالة الجداول الزمنية.</w:t>
      </w:r>
    </w:p>
    <w:p w14:paraId="1BD97BB7" w14:textId="2DB4D118" w:rsidR="001067EF" w:rsidRPr="001067EF" w:rsidRDefault="001067EF" w:rsidP="001A0479">
      <w:pPr>
        <w:pStyle w:val="Headingb"/>
        <w:rPr>
          <w:rtl/>
        </w:rPr>
      </w:pPr>
      <w:r w:rsidRPr="001067EF">
        <w:rPr>
          <w:rtl/>
        </w:rPr>
        <w:t xml:space="preserve">هل يقلل هذا النهج من </w:t>
      </w:r>
      <w:r w:rsidR="00A70C23">
        <w:rPr>
          <w:rFonts w:hint="cs"/>
          <w:rtl/>
        </w:rPr>
        <w:t>خطر</w:t>
      </w:r>
      <w:r w:rsidRPr="001067EF">
        <w:rPr>
          <w:rtl/>
        </w:rPr>
        <w:t xml:space="preserve"> حدوث فجوة في وظيفة </w:t>
      </w:r>
      <w:r w:rsidRPr="001067EF">
        <w:rPr>
          <w:rFonts w:hint="cs"/>
          <w:rtl/>
        </w:rPr>
        <w:t>المراجعة</w:t>
      </w:r>
      <w:r w:rsidRPr="001067EF">
        <w:rPr>
          <w:rtl/>
        </w:rPr>
        <w:t xml:space="preserve"> في المستقبل؟ </w:t>
      </w:r>
    </w:p>
    <w:p w14:paraId="33F68A8D" w14:textId="770D0D44" w:rsidR="001067EF" w:rsidRDefault="001067EF" w:rsidP="00854095">
      <w:pPr>
        <w:rPr>
          <w:rtl/>
        </w:rPr>
      </w:pPr>
      <w:r w:rsidRPr="001067EF">
        <w:rPr>
          <w:rtl/>
        </w:rPr>
        <w:t xml:space="preserve">نعم، </w:t>
      </w:r>
      <w:r w:rsidR="00A70C23">
        <w:rPr>
          <w:rFonts w:hint="cs"/>
          <w:rtl/>
        </w:rPr>
        <w:t>وهو</w:t>
      </w:r>
      <w:r w:rsidRPr="001067EF">
        <w:rPr>
          <w:rtl/>
        </w:rPr>
        <w:t xml:space="preserve"> يتماشى </w:t>
      </w:r>
      <w:r w:rsidR="00A70C23">
        <w:rPr>
          <w:rFonts w:hint="cs"/>
          <w:rtl/>
        </w:rPr>
        <w:t xml:space="preserve">أيضاً </w:t>
      </w:r>
      <w:r w:rsidRPr="001067EF">
        <w:rPr>
          <w:rtl/>
        </w:rPr>
        <w:t xml:space="preserve">مع الممارسات الدولية لاستمرارية </w:t>
      </w:r>
      <w:r>
        <w:rPr>
          <w:rFonts w:hint="cs"/>
          <w:rtl/>
        </w:rPr>
        <w:t>المراجعة</w:t>
      </w:r>
      <w:r w:rsidRPr="001067EF">
        <w:rPr>
          <w:rtl/>
        </w:rPr>
        <w:t>.</w:t>
      </w:r>
    </w:p>
    <w:p w14:paraId="36CA1251" w14:textId="77777777" w:rsidR="00A70C23" w:rsidRDefault="00A70C23" w:rsidP="001A0479">
      <w:pPr>
        <w:pStyle w:val="enumlev1"/>
        <w:rPr>
          <w:rtl/>
        </w:rPr>
      </w:pPr>
      <w:r>
        <w:rPr>
          <w:rFonts w:hint="cs"/>
          <w:rtl/>
        </w:rPr>
        <w:t>-</w:t>
      </w:r>
      <w:r>
        <w:rPr>
          <w:rtl/>
        </w:rPr>
        <w:tab/>
      </w:r>
      <w:r w:rsidRPr="00A70C23">
        <w:rPr>
          <w:rtl/>
        </w:rPr>
        <w:t xml:space="preserve">في نظام الأمم المتحدة، تعتبر فترة </w:t>
      </w:r>
      <w:r>
        <w:rPr>
          <w:rFonts w:hint="cs"/>
          <w:rtl/>
        </w:rPr>
        <w:t>الإعداد</w:t>
      </w:r>
      <w:r w:rsidRPr="00A70C23">
        <w:rPr>
          <w:rtl/>
        </w:rPr>
        <w:t xml:space="preserve"> التي تتراوح بين 3 إلى 6 أشهر </w:t>
      </w:r>
      <w:r>
        <w:rPr>
          <w:rFonts w:hint="cs"/>
          <w:rtl/>
        </w:rPr>
        <w:t>أمراً معتاداً</w:t>
      </w:r>
      <w:r w:rsidRPr="00A70C23">
        <w:rPr>
          <w:rtl/>
        </w:rPr>
        <w:t xml:space="preserve"> للمراجعين الخارجيين الجدد</w:t>
      </w:r>
    </w:p>
    <w:p w14:paraId="63611CC1" w14:textId="4A18C971" w:rsidR="001067EF" w:rsidRDefault="00A70C23" w:rsidP="001A0479">
      <w:pPr>
        <w:pStyle w:val="enumlev1"/>
        <w:rPr>
          <w:rtl/>
        </w:rPr>
      </w:pPr>
      <w:r>
        <w:rPr>
          <w:rFonts w:hint="cs"/>
          <w:rtl/>
        </w:rPr>
        <w:t>-</w:t>
      </w:r>
      <w:r>
        <w:rPr>
          <w:rtl/>
        </w:rPr>
        <w:tab/>
      </w:r>
      <w:r w:rsidRPr="00A70C23">
        <w:rPr>
          <w:rtl/>
        </w:rPr>
        <w:t xml:space="preserve">يؤدي التجديد إلى تجنب هذه الفجوة في المعرفة المؤسسية، وهو أمر ذو أهمية خاصة أثناء التحول المالي الجاري للاتحاد وإصلاحات معايير المحاسبة الدولية للقطاع </w:t>
      </w:r>
      <w:r>
        <w:rPr>
          <w:rFonts w:hint="cs"/>
          <w:rtl/>
        </w:rPr>
        <w:t>العام.</w:t>
      </w:r>
    </w:p>
    <w:p w14:paraId="73810EF1" w14:textId="1AB623E1" w:rsidR="00D9523A" w:rsidRPr="00D9523A" w:rsidRDefault="00D9523A" w:rsidP="001A0479">
      <w:pPr>
        <w:pStyle w:val="Headingb"/>
        <w:rPr>
          <w:rtl/>
        </w:rPr>
      </w:pPr>
      <w:r w:rsidRPr="00D9523A">
        <w:rPr>
          <w:rtl/>
        </w:rPr>
        <w:lastRenderedPageBreak/>
        <w:t xml:space="preserve">كيف </w:t>
      </w:r>
      <w:r w:rsidRPr="00D9523A">
        <w:rPr>
          <w:rFonts w:hint="cs"/>
          <w:rtl/>
        </w:rPr>
        <w:t>تتناسب</w:t>
      </w:r>
      <w:r w:rsidRPr="00D9523A">
        <w:rPr>
          <w:rtl/>
        </w:rPr>
        <w:t xml:space="preserve"> الاستمرارية والتنوع </w:t>
      </w:r>
      <w:r w:rsidRPr="00D9523A">
        <w:rPr>
          <w:rFonts w:hint="cs"/>
          <w:rtl/>
        </w:rPr>
        <w:t>مع</w:t>
      </w:r>
      <w:r w:rsidRPr="00D9523A">
        <w:rPr>
          <w:rtl/>
        </w:rPr>
        <w:t xml:space="preserve"> أفضل ممارسات </w:t>
      </w:r>
      <w:r w:rsidRPr="00D9523A">
        <w:rPr>
          <w:rFonts w:hint="cs"/>
          <w:rtl/>
        </w:rPr>
        <w:t>المراجعة</w:t>
      </w:r>
      <w:r w:rsidRPr="00D9523A">
        <w:rPr>
          <w:rtl/>
        </w:rPr>
        <w:t xml:space="preserve">؟ </w:t>
      </w:r>
    </w:p>
    <w:p w14:paraId="2DB49EFC" w14:textId="176A637A" w:rsidR="00D9523A" w:rsidRDefault="00D9523A" w:rsidP="001A0479">
      <w:pPr>
        <w:keepNext/>
        <w:rPr>
          <w:rtl/>
        </w:rPr>
      </w:pPr>
      <w:r w:rsidRPr="00D9523A">
        <w:rPr>
          <w:rtl/>
        </w:rPr>
        <w:t xml:space="preserve">هذا توازن معترف به </w:t>
      </w:r>
      <w:r>
        <w:rPr>
          <w:rFonts w:hint="cs"/>
          <w:rtl/>
        </w:rPr>
        <w:t>عالمياً:</w:t>
      </w:r>
    </w:p>
    <w:p w14:paraId="1C82274E" w14:textId="43A5447C" w:rsidR="00D9523A" w:rsidRDefault="001A0479" w:rsidP="001A0479">
      <w:pPr>
        <w:pStyle w:val="enumlev1"/>
        <w:rPr>
          <w:rtl/>
        </w:rPr>
      </w:pPr>
      <w:r>
        <w:rPr>
          <w:rFonts w:hint="cs"/>
          <w:rtl/>
        </w:rPr>
        <w:t>-</w:t>
      </w:r>
      <w:r w:rsidR="00D9523A">
        <w:rPr>
          <w:rtl/>
        </w:rPr>
        <w:tab/>
      </w:r>
      <w:r w:rsidR="00D9523A" w:rsidRPr="00D9523A">
        <w:rPr>
          <w:rtl/>
        </w:rPr>
        <w:t xml:space="preserve">تضمن الاستمرارية اتساق منهجية </w:t>
      </w:r>
      <w:r w:rsidR="00D9523A">
        <w:rPr>
          <w:rFonts w:hint="cs"/>
          <w:rtl/>
        </w:rPr>
        <w:t>المراجعة</w:t>
      </w:r>
      <w:r w:rsidR="00D9523A" w:rsidRPr="00D9523A">
        <w:rPr>
          <w:rtl/>
        </w:rPr>
        <w:t xml:space="preserve"> والحفاظ على الذاكرة المؤسسية، وهو أمر بالغ الأهمية </w:t>
      </w:r>
      <w:r w:rsidR="00D9523A">
        <w:rPr>
          <w:rFonts w:hint="cs"/>
          <w:rtl/>
        </w:rPr>
        <w:t>أثناء</w:t>
      </w:r>
      <w:r w:rsidR="00D9523A" w:rsidRPr="00D9523A">
        <w:rPr>
          <w:rtl/>
        </w:rPr>
        <w:t xml:space="preserve"> فترات التحول المالي </w:t>
      </w:r>
      <w:r w:rsidR="00D9523A">
        <w:rPr>
          <w:rFonts w:hint="cs"/>
          <w:rtl/>
        </w:rPr>
        <w:t>الكبير</w:t>
      </w:r>
      <w:r w:rsidR="00D9523A" w:rsidRPr="00D9523A">
        <w:rPr>
          <w:rtl/>
        </w:rPr>
        <w:t xml:space="preserve"> (كما هو الحال في الاتحاد).</w:t>
      </w:r>
    </w:p>
    <w:p w14:paraId="7975F511" w14:textId="798E4B09" w:rsidR="00D9523A" w:rsidRDefault="001A0479" w:rsidP="001A0479">
      <w:pPr>
        <w:pStyle w:val="enumlev1"/>
      </w:pPr>
      <w:r>
        <w:rPr>
          <w:rFonts w:hint="cs"/>
          <w:rtl/>
        </w:rPr>
        <w:t>-</w:t>
      </w:r>
      <w:r>
        <w:rPr>
          <w:rtl/>
          <w:lang w:bidi="ar-EG"/>
        </w:rPr>
        <w:tab/>
      </w:r>
      <w:r w:rsidR="00D9523A" w:rsidRPr="00D9523A">
        <w:rPr>
          <w:rtl/>
        </w:rPr>
        <w:t xml:space="preserve">يتحقق التنوع في </w:t>
      </w:r>
      <w:r w:rsidR="00D9523A">
        <w:rPr>
          <w:rFonts w:hint="cs"/>
          <w:rtl/>
        </w:rPr>
        <w:t>المراجعين</w:t>
      </w:r>
      <w:r w:rsidR="00D9523A" w:rsidRPr="00D9523A">
        <w:rPr>
          <w:rtl/>
        </w:rPr>
        <w:t xml:space="preserve"> الخارجيين </w:t>
      </w:r>
      <w:r w:rsidR="00D9523A">
        <w:rPr>
          <w:rFonts w:hint="cs"/>
          <w:rtl/>
        </w:rPr>
        <w:t>تدريجياً</w:t>
      </w:r>
      <w:r w:rsidR="00D9523A" w:rsidRPr="00D9523A">
        <w:rPr>
          <w:rtl/>
        </w:rPr>
        <w:t xml:space="preserve"> من خلال دورات اختيار شفافة وتنافسية، وليس بالضرورة من خلال عدم </w:t>
      </w:r>
      <w:r w:rsidR="00C57517">
        <w:rPr>
          <w:rFonts w:hint="cs"/>
          <w:rtl/>
        </w:rPr>
        <w:t>ال</w:t>
      </w:r>
      <w:r w:rsidR="00D9523A" w:rsidRPr="00D9523A">
        <w:rPr>
          <w:rtl/>
        </w:rPr>
        <w:t xml:space="preserve">تجديد </w:t>
      </w:r>
      <w:r w:rsidR="00D9523A">
        <w:rPr>
          <w:rFonts w:hint="cs"/>
          <w:rtl/>
        </w:rPr>
        <w:t>ضمن</w:t>
      </w:r>
      <w:r w:rsidR="00D9523A" w:rsidRPr="00D9523A">
        <w:rPr>
          <w:rtl/>
        </w:rPr>
        <w:t xml:space="preserve"> فترة </w:t>
      </w:r>
      <w:r w:rsidR="00C57517">
        <w:rPr>
          <w:rFonts w:hint="cs"/>
          <w:rtl/>
        </w:rPr>
        <w:t>الولاية</w:t>
      </w:r>
      <w:r w:rsidR="00D9523A">
        <w:rPr>
          <w:rFonts w:hint="cs"/>
          <w:rtl/>
        </w:rPr>
        <w:t>.</w:t>
      </w:r>
    </w:p>
    <w:p w14:paraId="24C6A6F3" w14:textId="72988D93" w:rsidR="00D9523A" w:rsidRDefault="00D9523A" w:rsidP="001A0479">
      <w:pPr>
        <w:rPr>
          <w:rtl/>
        </w:rPr>
      </w:pPr>
      <w:r w:rsidRPr="00D9523A">
        <w:rPr>
          <w:rtl/>
        </w:rPr>
        <w:t xml:space="preserve">توازن </w:t>
      </w:r>
      <w:r>
        <w:rPr>
          <w:rFonts w:hint="cs"/>
          <w:rtl/>
        </w:rPr>
        <w:t>الممارسات الجيدة</w:t>
      </w:r>
      <w:r w:rsidRPr="00D9523A">
        <w:rPr>
          <w:rtl/>
        </w:rPr>
        <w:t xml:space="preserve">: </w:t>
      </w:r>
    </w:p>
    <w:p w14:paraId="2D5648ED" w14:textId="4A99B15B" w:rsidR="00D9523A" w:rsidRDefault="00D9523A" w:rsidP="00854095">
      <w:pPr>
        <w:rPr>
          <w:rtl/>
        </w:rPr>
      </w:pPr>
      <w:r w:rsidRPr="00D9523A">
        <w:rPr>
          <w:rtl/>
        </w:rPr>
        <w:t>–</w:t>
      </w:r>
      <w:r>
        <w:rPr>
          <w:rtl/>
        </w:rPr>
        <w:tab/>
      </w:r>
      <w:r w:rsidRPr="00D9523A">
        <w:rPr>
          <w:rtl/>
        </w:rPr>
        <w:t xml:space="preserve">تسمح المنظمة العالمية للملكية الفكرية بفترة أولية (عادة </w:t>
      </w:r>
      <w:r>
        <w:rPr>
          <w:rFonts w:hint="cs"/>
          <w:rtl/>
        </w:rPr>
        <w:t>6</w:t>
      </w:r>
      <w:r w:rsidRPr="00D9523A">
        <w:rPr>
          <w:rtl/>
        </w:rPr>
        <w:t xml:space="preserve"> سنوات)، مما يضمن كلًا من التنوع والفعالية.  </w:t>
      </w:r>
    </w:p>
    <w:p w14:paraId="4CD9C908" w14:textId="2C14D132" w:rsidR="001067EF" w:rsidRDefault="00D9523A" w:rsidP="00854095">
      <w:pPr>
        <w:rPr>
          <w:rtl/>
        </w:rPr>
      </w:pPr>
      <w:r w:rsidRPr="00D9523A">
        <w:rPr>
          <w:rtl/>
        </w:rPr>
        <w:t>–</w:t>
      </w:r>
      <w:r>
        <w:rPr>
          <w:rtl/>
        </w:rPr>
        <w:tab/>
      </w:r>
      <w:r>
        <w:rPr>
          <w:rFonts w:hint="cs"/>
          <w:rtl/>
        </w:rPr>
        <w:t>تناوب المراجعين أمر مهم</w:t>
      </w:r>
      <w:r w:rsidRPr="00D9523A">
        <w:rPr>
          <w:rtl/>
        </w:rPr>
        <w:t xml:space="preserve">، </w:t>
      </w:r>
      <w:r>
        <w:rPr>
          <w:rFonts w:hint="cs"/>
          <w:rtl/>
        </w:rPr>
        <w:t>ولكن ينبغي موازنته</w:t>
      </w:r>
      <w:r w:rsidRPr="00D9523A">
        <w:rPr>
          <w:rtl/>
        </w:rPr>
        <w:t xml:space="preserve"> مع الأداء، والإصلاحات </w:t>
      </w:r>
      <w:r w:rsidR="00F641CC">
        <w:rPr>
          <w:rFonts w:hint="cs"/>
          <w:rtl/>
        </w:rPr>
        <w:t>الجارية</w:t>
      </w:r>
      <w:r w:rsidRPr="00D9523A">
        <w:rPr>
          <w:rtl/>
        </w:rPr>
        <w:t xml:space="preserve">، واتساق تنفيذ مهام </w:t>
      </w:r>
      <w:r>
        <w:rPr>
          <w:rFonts w:hint="cs"/>
          <w:rtl/>
        </w:rPr>
        <w:t>المراجعة</w:t>
      </w:r>
      <w:r w:rsidRPr="00D9523A">
        <w:rPr>
          <w:rtl/>
        </w:rPr>
        <w:t>.</w:t>
      </w:r>
    </w:p>
    <w:p w14:paraId="4238D68F" w14:textId="3F9AE5B8" w:rsidR="00854095" w:rsidRDefault="00D9523A" w:rsidP="00854095">
      <w:pPr>
        <w:pStyle w:val="Heading2"/>
        <w:rPr>
          <w:rtl/>
          <w:lang w:bidi="ar-EG"/>
        </w:rPr>
      </w:pPr>
      <w:r>
        <w:rPr>
          <w:rFonts w:hint="cs"/>
          <w:rtl/>
          <w:lang w:bidi="ar-EG"/>
        </w:rPr>
        <w:t>ثالثاً</w:t>
      </w:r>
      <w:r w:rsidR="00854095">
        <w:rPr>
          <w:rtl/>
          <w:lang w:bidi="ar-EG"/>
        </w:rPr>
        <w:tab/>
      </w:r>
      <w:r>
        <w:rPr>
          <w:rFonts w:hint="cs"/>
          <w:rtl/>
          <w:lang w:bidi="ar-EG"/>
        </w:rPr>
        <w:t>ال</w:t>
      </w:r>
      <w:r w:rsidR="00854095">
        <w:rPr>
          <w:rtl/>
          <w:lang w:bidi="ar-EG"/>
        </w:rPr>
        <w:t>توصية</w:t>
      </w:r>
    </w:p>
    <w:p w14:paraId="198C0F88" w14:textId="08C621FD" w:rsidR="00854095" w:rsidRDefault="00854095" w:rsidP="00854095">
      <w:pPr>
        <w:pStyle w:val="enumlev1"/>
        <w:rPr>
          <w:rtl/>
        </w:rPr>
      </w:pPr>
      <w:r>
        <w:t>1</w:t>
      </w:r>
      <w:r>
        <w:rPr>
          <w:rtl/>
        </w:rPr>
        <w:tab/>
      </w:r>
      <w:r w:rsidR="006921D7" w:rsidRPr="006921D7">
        <w:rPr>
          <w:rtl/>
        </w:rPr>
        <w:t xml:space="preserve">استناداً إلى الردود الواردة أعلاه، والمقارنة المرجعية مع وكالات أخرى، والمواءمة مع أفضل الممارسات، والالتزام بالممارسة </w:t>
      </w:r>
      <w:r w:rsidR="006921D7">
        <w:rPr>
          <w:rFonts w:hint="cs"/>
          <w:rtl/>
        </w:rPr>
        <w:t>المعتادة</w:t>
      </w:r>
      <w:r w:rsidR="006921D7" w:rsidRPr="006921D7">
        <w:rPr>
          <w:rtl/>
        </w:rPr>
        <w:t xml:space="preserve"> وأحكام </w:t>
      </w:r>
      <w:r w:rsidR="006921D7">
        <w:rPr>
          <w:rFonts w:hint="cs"/>
          <w:rtl/>
        </w:rPr>
        <w:t>اللوائح</w:t>
      </w:r>
      <w:r w:rsidR="006921D7" w:rsidRPr="006921D7">
        <w:rPr>
          <w:rtl/>
        </w:rPr>
        <w:t xml:space="preserve"> المالية للاتحاد، </w:t>
      </w:r>
      <w:r>
        <w:rPr>
          <w:rtl/>
        </w:rPr>
        <w:t>ومع مراعاة جميع المعايير، ي</w:t>
      </w:r>
      <w:r w:rsidR="00A868F3">
        <w:rPr>
          <w:rFonts w:hint="cs"/>
          <w:rtl/>
        </w:rPr>
        <w:t>ُ</w:t>
      </w:r>
      <w:r>
        <w:rPr>
          <w:rtl/>
        </w:rPr>
        <w:t xml:space="preserve">وصى بتجديد ولاية المراجع الخارجي للحسابات في المملكة المتحدة لمدة سنتين لمراجعة البيانات المالية لعامي </w:t>
      </w:r>
      <w:r>
        <w:t>2026</w:t>
      </w:r>
      <w:r>
        <w:rPr>
          <w:rtl/>
        </w:rPr>
        <w:t xml:space="preserve"> </w:t>
      </w:r>
      <w:r>
        <w:t>و2027</w:t>
      </w:r>
      <w:r>
        <w:rPr>
          <w:rtl/>
        </w:rPr>
        <w:t>.</w:t>
      </w:r>
    </w:p>
    <w:p w14:paraId="2D3C973E" w14:textId="77777777" w:rsidR="00854095" w:rsidRDefault="00854095" w:rsidP="00854095">
      <w:pPr>
        <w:pStyle w:val="enumlev1"/>
        <w:rPr>
          <w:rtl/>
        </w:rPr>
      </w:pPr>
      <w:r>
        <w:t>2</w:t>
      </w:r>
      <w:r>
        <w:rPr>
          <w:rtl/>
        </w:rPr>
        <w:tab/>
        <w:t xml:space="preserve">يُدعى المجلس أيضاً إلى </w:t>
      </w:r>
      <w:r w:rsidRPr="00854095">
        <w:rPr>
          <w:b/>
          <w:bCs/>
          <w:rtl/>
        </w:rPr>
        <w:t>اعتماد</w:t>
      </w:r>
      <w:r>
        <w:rPr>
          <w:rtl/>
        </w:rPr>
        <w:t xml:space="preserve"> مشروع المقرر الوارد في الملحق بهذه الوثيقة.</w:t>
      </w:r>
    </w:p>
    <w:p w14:paraId="08830044" w14:textId="59507627" w:rsidR="00854095" w:rsidRDefault="00030C10" w:rsidP="00854095">
      <w:pPr>
        <w:spacing w:before="2400"/>
        <w:rPr>
          <w:rtl/>
          <w:lang w:bidi="ar-EG"/>
        </w:rPr>
      </w:pPr>
      <w:r>
        <w:rPr>
          <w:rFonts w:hint="cs"/>
          <w:b/>
          <w:bCs/>
          <w:rtl/>
          <w:lang w:bidi="ar-EG"/>
        </w:rPr>
        <w:t>ال</w:t>
      </w:r>
      <w:r w:rsidR="00854095" w:rsidRPr="00854095">
        <w:rPr>
          <w:b/>
          <w:bCs/>
          <w:rtl/>
          <w:lang w:bidi="ar-EG"/>
        </w:rPr>
        <w:t>ملحق</w:t>
      </w:r>
      <w:r w:rsidR="00854095" w:rsidRPr="00250FA1">
        <w:rPr>
          <w:b/>
          <w:bCs/>
          <w:rtl/>
          <w:lang w:bidi="ar-EG"/>
        </w:rPr>
        <w:t>:</w:t>
      </w:r>
      <w:r w:rsidR="00854095">
        <w:rPr>
          <w:rtl/>
          <w:lang w:bidi="ar-EG"/>
        </w:rPr>
        <w:tab/>
        <w:t>مشروع مقرر</w:t>
      </w:r>
    </w:p>
    <w:p w14:paraId="24ADE2E8" w14:textId="77777777" w:rsidR="00854095" w:rsidRDefault="00854095" w:rsidP="00854095">
      <w:pPr>
        <w:rPr>
          <w:rtl/>
          <w:lang w:bidi="ar-EG"/>
        </w:rPr>
      </w:pPr>
      <w:r>
        <w:rPr>
          <w:rtl/>
          <w:lang w:bidi="ar-EG"/>
        </w:rPr>
        <w:br w:type="page"/>
      </w:r>
    </w:p>
    <w:p w14:paraId="3DE6AC95" w14:textId="4C4303B8" w:rsidR="00854095" w:rsidRDefault="00030C10" w:rsidP="00860EF6">
      <w:pPr>
        <w:pStyle w:val="AnnexNo"/>
        <w:rPr>
          <w:rtl/>
        </w:rPr>
      </w:pPr>
      <w:r>
        <w:rPr>
          <w:rFonts w:hint="cs"/>
          <w:rtl/>
        </w:rPr>
        <w:lastRenderedPageBreak/>
        <w:t>ال</w:t>
      </w:r>
      <w:r w:rsidR="00854095">
        <w:rPr>
          <w:rtl/>
        </w:rPr>
        <w:t>ملحق</w:t>
      </w:r>
    </w:p>
    <w:p w14:paraId="5577A2D9" w14:textId="77777777" w:rsidR="00854095" w:rsidRDefault="00854095" w:rsidP="00860EF6">
      <w:pPr>
        <w:pStyle w:val="DecNo"/>
        <w:rPr>
          <w:rtl/>
          <w:lang w:bidi="ar-EG"/>
        </w:rPr>
      </w:pPr>
      <w:r>
        <w:rPr>
          <w:rtl/>
          <w:lang w:bidi="ar-EG"/>
        </w:rPr>
        <w:t>مشروع المقرر</w:t>
      </w:r>
      <w:r w:rsidR="00860EF6">
        <w:rPr>
          <w:rFonts w:hint="cs"/>
          <w:rtl/>
          <w:lang w:bidi="ar-EG"/>
        </w:rPr>
        <w:t xml:space="preserve"> </w:t>
      </w:r>
      <w:r>
        <w:rPr>
          <w:rtl/>
          <w:lang w:bidi="ar-EG"/>
        </w:rPr>
        <w:t>[…]</w:t>
      </w:r>
    </w:p>
    <w:p w14:paraId="69AF4D0D" w14:textId="616B38F6" w:rsidR="00854095" w:rsidRDefault="00854095" w:rsidP="00860EF6">
      <w:pPr>
        <w:pStyle w:val="Dectitle"/>
        <w:rPr>
          <w:rtl/>
          <w:lang w:bidi="ar-EG"/>
        </w:rPr>
      </w:pPr>
      <w:r>
        <w:rPr>
          <w:rtl/>
          <w:lang w:bidi="ar-EG"/>
        </w:rPr>
        <w:t>تجديد ولاية المراجع الخارجي</w:t>
      </w:r>
      <w:r w:rsidR="00A868F3">
        <w:rPr>
          <w:rFonts w:hint="cs"/>
          <w:rtl/>
          <w:lang w:bidi="ar-EG"/>
        </w:rPr>
        <w:t xml:space="preserve"> - </w:t>
      </w:r>
      <w:r>
        <w:rPr>
          <w:rtl/>
          <w:lang w:bidi="ar-EG"/>
        </w:rPr>
        <w:t xml:space="preserve">المكتب الوطني لمراجعة </w:t>
      </w:r>
      <w:r w:rsidR="001C4F07">
        <w:rPr>
          <w:rtl/>
          <w:lang w:bidi="ar-EG"/>
        </w:rPr>
        <w:br/>
      </w:r>
      <w:r>
        <w:rPr>
          <w:rtl/>
          <w:lang w:bidi="ar-EG"/>
        </w:rPr>
        <w:t>الحسابات في المملكة المتحدة</w:t>
      </w:r>
      <w:r w:rsidR="009C220E">
        <w:rPr>
          <w:rFonts w:hint="cs"/>
          <w:rtl/>
          <w:lang w:bidi="ar-EG"/>
        </w:rPr>
        <w:t> </w:t>
      </w:r>
      <w:r>
        <w:rPr>
          <w:lang w:bidi="ar-EG"/>
        </w:rPr>
        <w:t>(NAO)</w:t>
      </w:r>
      <w:r w:rsidR="00A868F3">
        <w:rPr>
          <w:rFonts w:hint="cs"/>
          <w:rtl/>
          <w:lang w:bidi="ar-EG"/>
        </w:rPr>
        <w:t xml:space="preserve"> - </w:t>
      </w:r>
      <w:r>
        <w:rPr>
          <w:rtl/>
          <w:lang w:bidi="ar-EG"/>
        </w:rPr>
        <w:t>لمدة سنتين</w:t>
      </w:r>
    </w:p>
    <w:p w14:paraId="052BCCFC" w14:textId="77777777" w:rsidR="00854095" w:rsidRDefault="00854095" w:rsidP="009C220E">
      <w:pPr>
        <w:pStyle w:val="Normalaftertitle"/>
        <w:rPr>
          <w:rtl/>
        </w:rPr>
      </w:pPr>
      <w:r>
        <w:rPr>
          <w:rtl/>
        </w:rPr>
        <w:t>إن مجلس الاتحاد الدولي للاتصالات،</w:t>
      </w:r>
    </w:p>
    <w:p w14:paraId="7C638A2D" w14:textId="77777777" w:rsidR="00854095" w:rsidRDefault="00854095" w:rsidP="009C220E">
      <w:pPr>
        <w:pStyle w:val="Call"/>
        <w:rPr>
          <w:rtl/>
          <w:lang w:bidi="ar-EG"/>
        </w:rPr>
      </w:pPr>
      <w:r>
        <w:rPr>
          <w:rtl/>
          <w:lang w:bidi="ar-EG"/>
        </w:rPr>
        <w:t>وقد درس</w:t>
      </w:r>
    </w:p>
    <w:p w14:paraId="11B8EE1D" w14:textId="5DC0DDD0" w:rsidR="00854095" w:rsidRDefault="00854095" w:rsidP="00854095">
      <w:pPr>
        <w:rPr>
          <w:rtl/>
          <w:lang w:bidi="ar-EG"/>
        </w:rPr>
      </w:pPr>
      <w:r>
        <w:rPr>
          <w:rtl/>
          <w:lang w:bidi="ar-EG"/>
        </w:rPr>
        <w:t xml:space="preserve">الوثيقة </w:t>
      </w:r>
      <w:hyperlink r:id="rId12" w:history="1">
        <w:r w:rsidRPr="009C220E">
          <w:rPr>
            <w:rStyle w:val="Hyperlink"/>
            <w:rFonts w:ascii="Dubai" w:eastAsiaTheme="minorEastAsia" w:hAnsi="Dubai" w:cs="Dubai"/>
            <w:noProof w:val="0"/>
            <w:color w:val="0563C1"/>
            <w:sz w:val="22"/>
            <w:u w:val="single"/>
            <w:lang w:val="en-US" w:eastAsia="zh-CN" w:bidi="ar-EG"/>
          </w:rPr>
          <w:t>C25/42</w:t>
        </w:r>
      </w:hyperlink>
      <w:r w:rsidR="00F92285" w:rsidRPr="00250FA1">
        <w:rPr>
          <w:rtl/>
        </w:rPr>
        <w:t>،</w:t>
      </w:r>
    </w:p>
    <w:p w14:paraId="7E939B7C" w14:textId="77777777" w:rsidR="00854095" w:rsidRDefault="00854095" w:rsidP="009C220E">
      <w:pPr>
        <w:pStyle w:val="Call"/>
        <w:rPr>
          <w:rtl/>
          <w:lang w:bidi="ar-EG"/>
        </w:rPr>
      </w:pPr>
      <w:r>
        <w:rPr>
          <w:rtl/>
          <w:lang w:bidi="ar-EG"/>
        </w:rPr>
        <w:t>وإذ يضع في اعتباره</w:t>
      </w:r>
    </w:p>
    <w:p w14:paraId="7FC0D2CA" w14:textId="77777777" w:rsidR="00854095" w:rsidRDefault="00854095" w:rsidP="00854095">
      <w:pPr>
        <w:rPr>
          <w:rtl/>
          <w:lang w:bidi="ar-EG"/>
        </w:rPr>
      </w:pPr>
      <w:hyperlink r:id="rId13" w:history="1">
        <w:r w:rsidRPr="009C220E">
          <w:rPr>
            <w:rStyle w:val="Hyperlink"/>
            <w:rFonts w:ascii="Dubai" w:eastAsiaTheme="minorEastAsia" w:hAnsi="Dubai" w:cs="Dubai"/>
            <w:noProof w:val="0"/>
            <w:color w:val="0563C1"/>
            <w:sz w:val="22"/>
            <w:u w:val="single"/>
            <w:rtl/>
            <w:lang w:val="en-US" w:eastAsia="zh-CN" w:bidi="ar-EG"/>
          </w:rPr>
          <w:t xml:space="preserve">القرار </w:t>
        </w:r>
        <w:r w:rsidRPr="009C220E">
          <w:rPr>
            <w:rStyle w:val="Hyperlink"/>
            <w:rFonts w:ascii="Dubai" w:eastAsiaTheme="minorEastAsia" w:hAnsi="Dubai" w:cs="Dubai"/>
            <w:noProof w:val="0"/>
            <w:color w:val="0563C1"/>
            <w:sz w:val="22"/>
            <w:u w:val="single"/>
            <w:lang w:val="en-US" w:eastAsia="zh-CN" w:bidi="ar-EG"/>
          </w:rPr>
          <w:t>94</w:t>
        </w:r>
      </w:hyperlink>
      <w:r>
        <w:rPr>
          <w:rtl/>
          <w:lang w:bidi="ar-EG"/>
        </w:rPr>
        <w:t xml:space="preserve"> (المراج</w:t>
      </w:r>
      <w:r>
        <w:rPr>
          <w:rFonts w:hint="cs"/>
          <w:rtl/>
          <w:lang w:bidi="ar-EG"/>
        </w:rPr>
        <w:t>َ</w:t>
      </w:r>
      <w:r>
        <w:rPr>
          <w:rtl/>
          <w:lang w:bidi="ar-EG"/>
        </w:rPr>
        <w:t xml:space="preserve">ع في بوخارست، </w:t>
      </w:r>
      <w:r>
        <w:rPr>
          <w:lang w:bidi="ar-EG"/>
        </w:rPr>
        <w:t>2022</w:t>
      </w:r>
      <w:r>
        <w:rPr>
          <w:rtl/>
          <w:lang w:bidi="ar-EG"/>
        </w:rPr>
        <w:t>) لمؤتمر المندوبين المفوضين و</w:t>
      </w:r>
      <w:hyperlink r:id="rId14" w:history="1">
        <w:r w:rsidRPr="009C220E">
          <w:rPr>
            <w:rStyle w:val="Hyperlink"/>
            <w:rFonts w:ascii="Dubai" w:eastAsiaTheme="minorEastAsia" w:hAnsi="Dubai" w:cs="Dubai"/>
            <w:noProof w:val="0"/>
            <w:color w:val="0563C1"/>
            <w:sz w:val="22"/>
            <w:u w:val="single"/>
            <w:rtl/>
            <w:lang w:val="en-US" w:eastAsia="zh-CN" w:bidi="ar-EG"/>
          </w:rPr>
          <w:t xml:space="preserve">المقرر </w:t>
        </w:r>
        <w:r w:rsidRPr="009C220E">
          <w:rPr>
            <w:rStyle w:val="Hyperlink"/>
            <w:rFonts w:ascii="Dubai" w:eastAsiaTheme="minorEastAsia" w:hAnsi="Dubai" w:cs="Dubai"/>
            <w:noProof w:val="0"/>
            <w:color w:val="0563C1"/>
            <w:sz w:val="22"/>
            <w:u w:val="single"/>
            <w:lang w:val="en-US" w:eastAsia="zh-CN" w:bidi="ar-EG"/>
          </w:rPr>
          <w:t>621</w:t>
        </w:r>
      </w:hyperlink>
      <w:r>
        <w:rPr>
          <w:rtl/>
          <w:lang w:bidi="ar-EG"/>
        </w:rPr>
        <w:t xml:space="preserve"> (</w:t>
      </w:r>
      <w:r>
        <w:rPr>
          <w:lang w:bidi="ar-EG"/>
        </w:rPr>
        <w:t>C20</w:t>
      </w:r>
      <w:r>
        <w:rPr>
          <w:rtl/>
          <w:lang w:bidi="ar-EG"/>
        </w:rPr>
        <w:t>) الصادر عن المجلس،</w:t>
      </w:r>
    </w:p>
    <w:p w14:paraId="23637B35" w14:textId="77777777" w:rsidR="00854095" w:rsidRDefault="00854095" w:rsidP="009C220E">
      <w:pPr>
        <w:pStyle w:val="Call"/>
        <w:rPr>
          <w:rtl/>
          <w:lang w:bidi="ar-EG"/>
        </w:rPr>
      </w:pPr>
      <w:r>
        <w:rPr>
          <w:rtl/>
          <w:lang w:bidi="ar-EG"/>
        </w:rPr>
        <w:t>وإذ يأخذ في الحسبان</w:t>
      </w:r>
    </w:p>
    <w:p w14:paraId="3A7A626B" w14:textId="77777777" w:rsidR="00854095" w:rsidRDefault="00854095" w:rsidP="00854095">
      <w:pPr>
        <w:rPr>
          <w:rtl/>
          <w:lang w:bidi="ar-EG"/>
        </w:rPr>
      </w:pPr>
      <w:r>
        <w:rPr>
          <w:rtl/>
          <w:lang w:bidi="ar-EG"/>
        </w:rPr>
        <w:t xml:space="preserve">المادة </w:t>
      </w:r>
      <w:r>
        <w:rPr>
          <w:lang w:bidi="ar-EG"/>
        </w:rPr>
        <w:t>28</w:t>
      </w:r>
      <w:r>
        <w:rPr>
          <w:rtl/>
          <w:lang w:bidi="ar-EG"/>
        </w:rPr>
        <w:t xml:space="preserve"> من </w:t>
      </w:r>
      <w:hyperlink r:id="rId15" w:history="1">
        <w:r w:rsidRPr="009C220E">
          <w:rPr>
            <w:rStyle w:val="Hyperlink"/>
            <w:rFonts w:ascii="Dubai" w:eastAsiaTheme="minorEastAsia" w:hAnsi="Dubai" w:cs="Dubai"/>
            <w:noProof w:val="0"/>
            <w:color w:val="0563C1"/>
            <w:sz w:val="22"/>
            <w:u w:val="single"/>
            <w:rtl/>
            <w:lang w:val="en-US" w:eastAsia="zh-CN" w:bidi="ar-EG"/>
          </w:rPr>
          <w:t>اللوائح المالية</w:t>
        </w:r>
      </w:hyperlink>
      <w:r>
        <w:rPr>
          <w:rtl/>
          <w:lang w:bidi="ar-EG"/>
        </w:rPr>
        <w:t>،</w:t>
      </w:r>
    </w:p>
    <w:p w14:paraId="041E6543" w14:textId="77777777" w:rsidR="00854095" w:rsidRDefault="00854095" w:rsidP="009C220E">
      <w:pPr>
        <w:pStyle w:val="Call"/>
        <w:rPr>
          <w:rtl/>
          <w:lang w:bidi="ar-EG"/>
        </w:rPr>
      </w:pPr>
      <w:r>
        <w:rPr>
          <w:rtl/>
          <w:lang w:bidi="ar-EG"/>
        </w:rPr>
        <w:t>يقرر</w:t>
      </w:r>
    </w:p>
    <w:p w14:paraId="1D1F6C45" w14:textId="77777777" w:rsidR="00854095" w:rsidRPr="00250FA1" w:rsidRDefault="00854095" w:rsidP="00854095">
      <w:pPr>
        <w:rPr>
          <w:spacing w:val="-4"/>
          <w:rtl/>
          <w:lang w:bidi="ar-EG"/>
        </w:rPr>
      </w:pPr>
      <w:r w:rsidRPr="00250FA1">
        <w:rPr>
          <w:spacing w:val="-4"/>
          <w:rtl/>
          <w:lang w:bidi="ar-EG"/>
        </w:rPr>
        <w:t>تجديد ولاية المكتب الوطني لمراجعة الحسابات (</w:t>
      </w:r>
      <w:r w:rsidRPr="00250FA1">
        <w:rPr>
          <w:spacing w:val="-4"/>
          <w:lang w:bidi="ar-EG"/>
        </w:rPr>
        <w:t>NAO</w:t>
      </w:r>
      <w:r w:rsidRPr="00250FA1">
        <w:rPr>
          <w:spacing w:val="-4"/>
          <w:rtl/>
          <w:lang w:bidi="ar-EG"/>
        </w:rPr>
        <w:t xml:space="preserve">) بالمملكة المتحدة بصفته المراجع الخارجي للاتحاد الدولي للاتصالات لمدة سنتين لمراجعة بياناته المالية لعامي </w:t>
      </w:r>
      <w:r w:rsidRPr="00250FA1">
        <w:rPr>
          <w:spacing w:val="-4"/>
          <w:lang w:bidi="ar-EG"/>
        </w:rPr>
        <w:t>2026</w:t>
      </w:r>
      <w:r w:rsidRPr="00250FA1">
        <w:rPr>
          <w:spacing w:val="-4"/>
          <w:rtl/>
          <w:lang w:bidi="ar-EG"/>
        </w:rPr>
        <w:t xml:space="preserve"> و2027،</w:t>
      </w:r>
    </w:p>
    <w:p w14:paraId="59895DFE" w14:textId="77777777" w:rsidR="00854095" w:rsidRDefault="00854095" w:rsidP="009C220E">
      <w:pPr>
        <w:pStyle w:val="Call"/>
        <w:rPr>
          <w:rtl/>
          <w:lang w:bidi="ar-EG"/>
        </w:rPr>
      </w:pPr>
      <w:r>
        <w:rPr>
          <w:rtl/>
          <w:lang w:bidi="ar-EG"/>
        </w:rPr>
        <w:t>يكلف الأمينة العامة</w:t>
      </w:r>
    </w:p>
    <w:p w14:paraId="05E7CBB1" w14:textId="42C979AB" w:rsidR="00F50E3F" w:rsidRDefault="00854095" w:rsidP="00854095">
      <w:pPr>
        <w:rPr>
          <w:rtl/>
          <w:lang w:bidi="ar-EG"/>
        </w:rPr>
      </w:pPr>
      <w:r>
        <w:rPr>
          <w:rtl/>
          <w:lang w:bidi="ar-EG"/>
        </w:rPr>
        <w:t xml:space="preserve">بأن تُطلع المراقب المالي والمراجع العام للمكتب الوطني لمراجعة الحسابات في المملكة المتحدة على هذا </w:t>
      </w:r>
      <w:r w:rsidR="00B822EE">
        <w:rPr>
          <w:rFonts w:hint="cs"/>
          <w:rtl/>
          <w:lang w:bidi="ar-EG"/>
        </w:rPr>
        <w:t>المقرر</w:t>
      </w:r>
      <w:r>
        <w:rPr>
          <w:rtl/>
          <w:lang w:bidi="ar-EG"/>
        </w:rPr>
        <w:t>.</w:t>
      </w:r>
    </w:p>
    <w:p w14:paraId="287E06CA"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48BD" w14:textId="77777777" w:rsidR="00182DE8" w:rsidRDefault="00182DE8" w:rsidP="006C3242">
      <w:pPr>
        <w:spacing w:before="0" w:line="240" w:lineRule="auto"/>
      </w:pPr>
      <w:r>
        <w:separator/>
      </w:r>
    </w:p>
  </w:endnote>
  <w:endnote w:type="continuationSeparator" w:id="0">
    <w:p w14:paraId="22FE4F5A" w14:textId="77777777" w:rsidR="00182DE8" w:rsidRDefault="00182DE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015219E" w14:textId="77777777" w:rsidTr="00A67F05">
      <w:trPr>
        <w:jc w:val="center"/>
      </w:trPr>
      <w:tc>
        <w:tcPr>
          <w:tcW w:w="868" w:type="pct"/>
          <w:vAlign w:val="center"/>
        </w:tcPr>
        <w:p w14:paraId="05B252C0" w14:textId="27C9266B" w:rsidR="00F50E3F" w:rsidRPr="007B0AA0" w:rsidRDefault="003C6FE8"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3C6FE8">
            <w:rPr>
              <w:rFonts w:ascii="Calibri" w:hAnsi="Calibri" w:cs="Arial"/>
              <w:sz w:val="18"/>
              <w:szCs w:val="14"/>
            </w:rPr>
            <w:t>2500715</w:t>
          </w:r>
        </w:p>
      </w:tc>
      <w:tc>
        <w:tcPr>
          <w:tcW w:w="3912" w:type="pct"/>
        </w:tcPr>
        <w:p w14:paraId="251D3D9C"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854095">
            <w:rPr>
              <w:rFonts w:ascii="Calibri" w:hAnsi="Calibri" w:cs="Arial"/>
              <w:bCs/>
              <w:color w:val="7F7F7F"/>
              <w:sz w:val="18"/>
            </w:rPr>
            <w:t>42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6DD1437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5B75CAE"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56F83203" w14:textId="77777777" w:rsidTr="00A67F05">
      <w:trPr>
        <w:jc w:val="center"/>
      </w:trPr>
      <w:tc>
        <w:tcPr>
          <w:tcW w:w="1013" w:type="pct"/>
          <w:vAlign w:val="center"/>
        </w:tcPr>
        <w:p w14:paraId="63BF9CAB"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48EA2EE0" w14:textId="7777777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854095">
            <w:rPr>
              <w:rFonts w:ascii="Calibri" w:hAnsi="Calibri" w:cs="Arial"/>
              <w:bCs/>
              <w:color w:val="7F7F7F"/>
              <w:sz w:val="18"/>
            </w:rPr>
            <w:t>42</w:t>
          </w:r>
          <w:r w:rsidRPr="007B0AA0">
            <w:rPr>
              <w:rFonts w:ascii="Calibri" w:hAnsi="Calibri" w:cs="Arial"/>
              <w:bCs/>
              <w:color w:val="7F7F7F"/>
              <w:sz w:val="18"/>
            </w:rPr>
            <w:t>-</w:t>
          </w:r>
          <w:r>
            <w:rPr>
              <w:rFonts w:ascii="Calibri" w:hAnsi="Calibri" w:cs="Arial"/>
              <w:bCs/>
              <w:color w:val="7F7F7F"/>
              <w:sz w:val="18"/>
            </w:rPr>
            <w:t>A</w:t>
          </w:r>
        </w:p>
      </w:tc>
      <w:tc>
        <w:tcPr>
          <w:tcW w:w="220" w:type="pct"/>
        </w:tcPr>
        <w:p w14:paraId="5B1530A6"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AA3718A"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743C9" w14:textId="77777777" w:rsidR="00182DE8" w:rsidRDefault="00182DE8" w:rsidP="006C3242">
      <w:pPr>
        <w:spacing w:before="0" w:line="240" w:lineRule="auto"/>
      </w:pPr>
      <w:r>
        <w:separator/>
      </w:r>
    </w:p>
  </w:footnote>
  <w:footnote w:type="continuationSeparator" w:id="0">
    <w:p w14:paraId="53C22567" w14:textId="77777777" w:rsidR="00182DE8" w:rsidRDefault="00182DE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037F"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0FBEFA7" wp14:editId="5C25966F">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A29B"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29090614" wp14:editId="5A3B05D4">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D6EE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BC5B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6CA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24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8809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EB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40A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8E9A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C9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0EF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94529C7"/>
    <w:multiLevelType w:val="hybridMultilevel"/>
    <w:tmpl w:val="D5D87088"/>
    <w:lvl w:ilvl="0" w:tplc="810404FE">
      <w:start w:val="2"/>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7581526">
    <w:abstractNumId w:val="9"/>
  </w:num>
  <w:num w:numId="2" w16cid:durableId="1046027094">
    <w:abstractNumId w:val="7"/>
  </w:num>
  <w:num w:numId="3" w16cid:durableId="2034455696">
    <w:abstractNumId w:val="6"/>
  </w:num>
  <w:num w:numId="4" w16cid:durableId="829950489">
    <w:abstractNumId w:val="5"/>
  </w:num>
  <w:num w:numId="5" w16cid:durableId="1459488833">
    <w:abstractNumId w:val="4"/>
  </w:num>
  <w:num w:numId="6" w16cid:durableId="2031445425">
    <w:abstractNumId w:val="8"/>
  </w:num>
  <w:num w:numId="7" w16cid:durableId="1316686900">
    <w:abstractNumId w:val="3"/>
  </w:num>
  <w:num w:numId="8" w16cid:durableId="1075853965">
    <w:abstractNumId w:val="2"/>
  </w:num>
  <w:num w:numId="9" w16cid:durableId="1024601166">
    <w:abstractNumId w:val="1"/>
  </w:num>
  <w:num w:numId="10" w16cid:durableId="1360352259">
    <w:abstractNumId w:val="0"/>
  </w:num>
  <w:num w:numId="11" w16cid:durableId="961224579">
    <w:abstractNumId w:val="10"/>
  </w:num>
  <w:num w:numId="12" w16cid:durableId="45024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BD"/>
    <w:rsid w:val="00030C10"/>
    <w:rsid w:val="000507D7"/>
    <w:rsid w:val="0006468A"/>
    <w:rsid w:val="00090574"/>
    <w:rsid w:val="00096456"/>
    <w:rsid w:val="000C1C0E"/>
    <w:rsid w:val="000C548A"/>
    <w:rsid w:val="001067EF"/>
    <w:rsid w:val="00123FCB"/>
    <w:rsid w:val="001401C6"/>
    <w:rsid w:val="001551AF"/>
    <w:rsid w:val="00160B52"/>
    <w:rsid w:val="00182747"/>
    <w:rsid w:val="00182DE8"/>
    <w:rsid w:val="00191059"/>
    <w:rsid w:val="001A0479"/>
    <w:rsid w:val="001B6E2B"/>
    <w:rsid w:val="001C0169"/>
    <w:rsid w:val="001C0C21"/>
    <w:rsid w:val="001C4F07"/>
    <w:rsid w:val="001D1D50"/>
    <w:rsid w:val="001D64C7"/>
    <w:rsid w:val="001D6745"/>
    <w:rsid w:val="001E446E"/>
    <w:rsid w:val="002154EE"/>
    <w:rsid w:val="002276D2"/>
    <w:rsid w:val="0023283D"/>
    <w:rsid w:val="00250FA1"/>
    <w:rsid w:val="00254393"/>
    <w:rsid w:val="0026373E"/>
    <w:rsid w:val="00271C43"/>
    <w:rsid w:val="00290728"/>
    <w:rsid w:val="002978F4"/>
    <w:rsid w:val="002B028D"/>
    <w:rsid w:val="002C3F32"/>
    <w:rsid w:val="002E6541"/>
    <w:rsid w:val="00324CA8"/>
    <w:rsid w:val="00334924"/>
    <w:rsid w:val="00335755"/>
    <w:rsid w:val="003409BC"/>
    <w:rsid w:val="00357185"/>
    <w:rsid w:val="00383829"/>
    <w:rsid w:val="00384345"/>
    <w:rsid w:val="003B3BBD"/>
    <w:rsid w:val="003C698E"/>
    <w:rsid w:val="003C6FE8"/>
    <w:rsid w:val="003F4B29"/>
    <w:rsid w:val="00420F8A"/>
    <w:rsid w:val="0042686F"/>
    <w:rsid w:val="004317D8"/>
    <w:rsid w:val="0043260A"/>
    <w:rsid w:val="00434183"/>
    <w:rsid w:val="00443869"/>
    <w:rsid w:val="00447F32"/>
    <w:rsid w:val="00491BA9"/>
    <w:rsid w:val="004A4701"/>
    <w:rsid w:val="004B7334"/>
    <w:rsid w:val="004E11DC"/>
    <w:rsid w:val="005130DE"/>
    <w:rsid w:val="00513157"/>
    <w:rsid w:val="00525DDD"/>
    <w:rsid w:val="005409AC"/>
    <w:rsid w:val="005434E0"/>
    <w:rsid w:val="005546CF"/>
    <w:rsid w:val="0055516A"/>
    <w:rsid w:val="0058491B"/>
    <w:rsid w:val="00592EA5"/>
    <w:rsid w:val="005A3170"/>
    <w:rsid w:val="005B49B3"/>
    <w:rsid w:val="005D2867"/>
    <w:rsid w:val="00660DEA"/>
    <w:rsid w:val="00677396"/>
    <w:rsid w:val="0069200F"/>
    <w:rsid w:val="006921D7"/>
    <w:rsid w:val="006A65CB"/>
    <w:rsid w:val="006B12E5"/>
    <w:rsid w:val="006C3242"/>
    <w:rsid w:val="006C7CC0"/>
    <w:rsid w:val="006F363C"/>
    <w:rsid w:val="006F63F7"/>
    <w:rsid w:val="007025C7"/>
    <w:rsid w:val="00706D7A"/>
    <w:rsid w:val="00722F0D"/>
    <w:rsid w:val="0074344D"/>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54095"/>
    <w:rsid w:val="00860EF6"/>
    <w:rsid w:val="00874E9F"/>
    <w:rsid w:val="008A7F84"/>
    <w:rsid w:val="0091702E"/>
    <w:rsid w:val="00923B0C"/>
    <w:rsid w:val="00924F46"/>
    <w:rsid w:val="00935AAC"/>
    <w:rsid w:val="0094021C"/>
    <w:rsid w:val="00952F86"/>
    <w:rsid w:val="00982B28"/>
    <w:rsid w:val="009C220E"/>
    <w:rsid w:val="009D313F"/>
    <w:rsid w:val="00A47A5A"/>
    <w:rsid w:val="00A63AE6"/>
    <w:rsid w:val="00A6683B"/>
    <w:rsid w:val="00A67F05"/>
    <w:rsid w:val="00A70A22"/>
    <w:rsid w:val="00A70C23"/>
    <w:rsid w:val="00A77B86"/>
    <w:rsid w:val="00A868F3"/>
    <w:rsid w:val="00A97F94"/>
    <w:rsid w:val="00AA7EA2"/>
    <w:rsid w:val="00B03099"/>
    <w:rsid w:val="00B05BC8"/>
    <w:rsid w:val="00B30F5E"/>
    <w:rsid w:val="00B64B47"/>
    <w:rsid w:val="00B822EE"/>
    <w:rsid w:val="00B95654"/>
    <w:rsid w:val="00B97F32"/>
    <w:rsid w:val="00BA04B2"/>
    <w:rsid w:val="00C002DE"/>
    <w:rsid w:val="00C0602B"/>
    <w:rsid w:val="00C224DA"/>
    <w:rsid w:val="00C53BF8"/>
    <w:rsid w:val="00C57517"/>
    <w:rsid w:val="00C66157"/>
    <w:rsid w:val="00C674FE"/>
    <w:rsid w:val="00C67501"/>
    <w:rsid w:val="00C75633"/>
    <w:rsid w:val="00C920D1"/>
    <w:rsid w:val="00CC28D1"/>
    <w:rsid w:val="00CE172B"/>
    <w:rsid w:val="00CE2EE1"/>
    <w:rsid w:val="00CE3349"/>
    <w:rsid w:val="00CE36E5"/>
    <w:rsid w:val="00CE4360"/>
    <w:rsid w:val="00CF27F5"/>
    <w:rsid w:val="00CF3FFD"/>
    <w:rsid w:val="00D10CCF"/>
    <w:rsid w:val="00D13941"/>
    <w:rsid w:val="00D23F5F"/>
    <w:rsid w:val="00D43F7D"/>
    <w:rsid w:val="00D503CC"/>
    <w:rsid w:val="00D63735"/>
    <w:rsid w:val="00D75308"/>
    <w:rsid w:val="00D77D0F"/>
    <w:rsid w:val="00D81C81"/>
    <w:rsid w:val="00D9523A"/>
    <w:rsid w:val="00DA1CF0"/>
    <w:rsid w:val="00DC1E02"/>
    <w:rsid w:val="00DC24B4"/>
    <w:rsid w:val="00DC5FB0"/>
    <w:rsid w:val="00DF16DC"/>
    <w:rsid w:val="00E07771"/>
    <w:rsid w:val="00E45211"/>
    <w:rsid w:val="00E473C5"/>
    <w:rsid w:val="00E61BE8"/>
    <w:rsid w:val="00E65277"/>
    <w:rsid w:val="00E83FF1"/>
    <w:rsid w:val="00E92863"/>
    <w:rsid w:val="00E979B2"/>
    <w:rsid w:val="00EB796D"/>
    <w:rsid w:val="00F058DC"/>
    <w:rsid w:val="00F0624D"/>
    <w:rsid w:val="00F24FC4"/>
    <w:rsid w:val="00F25C44"/>
    <w:rsid w:val="00F2676C"/>
    <w:rsid w:val="00F363FE"/>
    <w:rsid w:val="00F50E3F"/>
    <w:rsid w:val="00F641CC"/>
    <w:rsid w:val="00F84366"/>
    <w:rsid w:val="00F85089"/>
    <w:rsid w:val="00F92285"/>
    <w:rsid w:val="00F974C5"/>
    <w:rsid w:val="00FA3763"/>
    <w:rsid w:val="00FA6F46"/>
    <w:rsid w:val="00FC0E94"/>
    <w:rsid w:val="00FC4592"/>
    <w:rsid w:val="00FC55B8"/>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407EF"/>
  <w15:chartTrackingRefBased/>
  <w15:docId w15:val="{6B19E05E-927F-4182-8BA7-325B18BA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660DEA"/>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styleId="Revision">
    <w:name w:val="Revision"/>
    <w:hidden/>
    <w:uiPriority w:val="99"/>
    <w:semiHidden/>
    <w:rsid w:val="00F25C44"/>
    <w:pPr>
      <w:spacing w:after="0" w:line="240" w:lineRule="auto"/>
    </w:pPr>
    <w:rPr>
      <w:rFonts w:ascii="Dubai" w:hAnsi="Dubai" w:cs="Dubai"/>
    </w:rPr>
  </w:style>
  <w:style w:type="character" w:styleId="FollowedHyperlink">
    <w:name w:val="FollowedHyperlink"/>
    <w:basedOn w:val="DefaultParagraphFont"/>
    <w:uiPriority w:val="99"/>
    <w:semiHidden/>
    <w:unhideWhenUsed/>
    <w:rsid w:val="00F25C44"/>
    <w:rPr>
      <w:color w:val="954F72" w:themeColor="followedHyperlink"/>
      <w:u w:val="single"/>
    </w:rPr>
  </w:style>
  <w:style w:type="paragraph" w:customStyle="1" w:styleId="Headingb0">
    <w:name w:val="Heading b"/>
    <w:basedOn w:val="Normal"/>
    <w:rsid w:val="001A0479"/>
    <w:rPr>
      <w:b/>
      <w:bCs/>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cwg-fhr/Pages/default.aspx" TargetMode="External"/><Relationship Id="rId13" Type="http://schemas.openxmlformats.org/officeDocument/2006/relationships/hyperlink" Target="https://www.itu.int/en/council/Documents/basic-texts-2023/RES-094-a.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L-C-0042/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Financial-Regulations/2022/Financial_Regulations-2022-ar.pdf" TargetMode="External"/><Relationship Id="rId5" Type="http://schemas.openxmlformats.org/officeDocument/2006/relationships/webSettings" Target="webSettings.xml"/><Relationship Id="rId15" Type="http://schemas.openxmlformats.org/officeDocument/2006/relationships/hyperlink" Target="https://www.itu.int/en/council/Documents/Financial-Regulations/2022/Financial_Regulations-2022-ar.pdf" TargetMode="External"/><Relationship Id="rId10" Type="http://schemas.openxmlformats.org/officeDocument/2006/relationships/hyperlink" Target="https://www.itu.int/dms_pub/itu-s/opb/conf/S-CONF-PLEN-2022-PDF-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0-CL-C-0083/en" TargetMode="External"/><Relationship Id="rId14" Type="http://schemas.openxmlformats.org/officeDocument/2006/relationships/hyperlink" Target="https://www.itu.int/md/S20-CL-C-008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7</TotalTime>
  <Pages>4</Pages>
  <Words>832</Words>
  <Characters>4616</Characters>
  <Application>Microsoft Office Word</Application>
  <DocSecurity>0</DocSecurity>
  <Lines>98</Lines>
  <Paragraphs>61</Paragraphs>
  <ScaleCrop>false</ScaleCrop>
  <HeadingPairs>
    <vt:vector size="2" baseType="variant">
      <vt:variant>
        <vt:lpstr>Title</vt:lpstr>
      </vt:variant>
      <vt:variant>
        <vt:i4>1</vt:i4>
      </vt:variant>
    </vt:vector>
  </HeadingPairs>
  <TitlesOfParts>
    <vt:vector size="1" baseType="lpstr">
      <vt:lpstr>Renewal of the mandate of the External Auditor - the United Kingdom's national audit office (NAO) - for a period of two years</vt:lpstr>
    </vt:vector>
  </TitlesOfParts>
  <Company>International Telecommunication Union</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the mandate of the External Auditor - the United Kingdom's national audit office (NAO) - for a period of two years</dc:title>
  <dc:subject>Council 2025</dc:subject>
  <cp:keywords>C2025, C25, Council-25</cp:keywords>
  <dc:description/>
  <dcterms:created xsi:type="dcterms:W3CDTF">2025-04-28T07:07:00Z</dcterms:created>
  <dcterms:modified xsi:type="dcterms:W3CDTF">2025-05-02T15:22:00Z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