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text" w:tblpY="1"/>
        <w:tblOverlap w:val="never"/>
        <w:tblW w:w="9214" w:type="dxa"/>
        <w:tblLayout w:type="fixed"/>
        <w:tblLook w:val="0000" w:firstRow="0" w:lastRow="0" w:firstColumn="0" w:lastColumn="0" w:noHBand="0" w:noVBand="0"/>
      </w:tblPr>
      <w:tblGrid>
        <w:gridCol w:w="3969"/>
        <w:gridCol w:w="5245"/>
      </w:tblGrid>
      <w:tr w:rsidR="00796BD3" w:rsidRPr="008B3F38" w14:paraId="7857E340" w14:textId="77777777" w:rsidTr="00DA770A">
        <w:trPr>
          <w:cantSplit/>
          <w:trHeight w:val="23"/>
        </w:trPr>
        <w:tc>
          <w:tcPr>
            <w:tcW w:w="3969" w:type="dxa"/>
            <w:vMerge w:val="restart"/>
            <w:tcMar>
              <w:left w:w="0" w:type="dxa"/>
            </w:tcMar>
          </w:tcPr>
          <w:p w14:paraId="1BD6B3BC" w14:textId="753F3B7C" w:rsidR="00796BD3" w:rsidRPr="008B3F38" w:rsidRDefault="0033025A" w:rsidP="007C0CD7">
            <w:pPr>
              <w:tabs>
                <w:tab w:val="clear" w:pos="1588"/>
                <w:tab w:val="clear" w:pos="1985"/>
                <w:tab w:val="left" w:pos="851"/>
                <w:tab w:val="center" w:pos="1930"/>
              </w:tabs>
              <w:spacing w:before="0"/>
              <w:rPr>
                <w:b/>
                <w:lang w:val="ru-RU"/>
              </w:rPr>
            </w:pPr>
            <w:bookmarkStart w:id="0" w:name="dmeeting" w:colFirst="0" w:colLast="0"/>
            <w:bookmarkStart w:id="1" w:name="dnum" w:colFirst="1" w:colLast="1"/>
            <w:bookmarkStart w:id="2" w:name="_Hlk133421839"/>
            <w:r w:rsidRPr="008B3F38">
              <w:rPr>
                <w:b/>
                <w:lang w:val="ru-RU"/>
              </w:rPr>
              <w:t>Пункт повестки дня:</w:t>
            </w:r>
            <w:r w:rsidR="004E5F98" w:rsidRPr="008B3F38">
              <w:rPr>
                <w:b/>
                <w:lang w:val="ru-RU"/>
              </w:rPr>
              <w:t xml:space="preserve"> </w:t>
            </w:r>
            <w:r w:rsidR="004E5F98" w:rsidRPr="008B3F38">
              <w:rPr>
                <w:b/>
                <w:bCs/>
                <w:color w:val="000000"/>
                <w:lang w:val="ru-RU"/>
              </w:rPr>
              <w:t>ADM 2</w:t>
            </w:r>
          </w:p>
        </w:tc>
        <w:tc>
          <w:tcPr>
            <w:tcW w:w="5245" w:type="dxa"/>
          </w:tcPr>
          <w:p w14:paraId="16B9FE27" w14:textId="7258712B" w:rsidR="00796BD3" w:rsidRPr="008B3F38" w:rsidRDefault="0033025A" w:rsidP="007C0CD7">
            <w:pPr>
              <w:tabs>
                <w:tab w:val="left" w:pos="851"/>
              </w:tabs>
              <w:spacing w:before="0"/>
              <w:jc w:val="right"/>
              <w:rPr>
                <w:b/>
                <w:lang w:val="ru-RU"/>
              </w:rPr>
            </w:pPr>
            <w:r w:rsidRPr="008B3F38">
              <w:rPr>
                <w:b/>
                <w:lang w:val="ru-RU"/>
              </w:rPr>
              <w:t xml:space="preserve">Документ </w:t>
            </w:r>
            <w:r w:rsidR="00796BD3" w:rsidRPr="008B3F38">
              <w:rPr>
                <w:b/>
                <w:lang w:val="ru-RU"/>
              </w:rPr>
              <w:t>C2</w:t>
            </w:r>
            <w:r w:rsidR="00D631AA" w:rsidRPr="008B3F38">
              <w:rPr>
                <w:b/>
                <w:lang w:val="ru-RU"/>
              </w:rPr>
              <w:t>5</w:t>
            </w:r>
            <w:r w:rsidR="00796BD3" w:rsidRPr="008B3F38">
              <w:rPr>
                <w:b/>
                <w:lang w:val="ru-RU"/>
              </w:rPr>
              <w:t>/</w:t>
            </w:r>
            <w:r w:rsidR="004E5F98" w:rsidRPr="008B3F38">
              <w:rPr>
                <w:b/>
                <w:lang w:val="ru-RU"/>
              </w:rPr>
              <w:t>41</w:t>
            </w:r>
            <w:r w:rsidR="00796BD3" w:rsidRPr="008B3F38">
              <w:rPr>
                <w:b/>
                <w:lang w:val="ru-RU"/>
              </w:rPr>
              <w:t>-R</w:t>
            </w:r>
          </w:p>
        </w:tc>
      </w:tr>
      <w:tr w:rsidR="00796BD3" w:rsidRPr="008B3F38" w14:paraId="59BCBB58" w14:textId="77777777" w:rsidTr="00DA770A">
        <w:trPr>
          <w:cantSplit/>
        </w:trPr>
        <w:tc>
          <w:tcPr>
            <w:tcW w:w="3969" w:type="dxa"/>
            <w:vMerge/>
          </w:tcPr>
          <w:p w14:paraId="5EB5FA38" w14:textId="77777777" w:rsidR="00796BD3" w:rsidRPr="008B3F38" w:rsidRDefault="00796BD3" w:rsidP="007C0CD7">
            <w:pPr>
              <w:tabs>
                <w:tab w:val="left" w:pos="851"/>
              </w:tabs>
              <w:rPr>
                <w:b/>
                <w:lang w:val="ru-RU"/>
              </w:rPr>
            </w:pPr>
            <w:bookmarkStart w:id="3" w:name="ddate" w:colFirst="1" w:colLast="1"/>
            <w:bookmarkEnd w:id="0"/>
            <w:bookmarkEnd w:id="1"/>
          </w:p>
        </w:tc>
        <w:tc>
          <w:tcPr>
            <w:tcW w:w="5245" w:type="dxa"/>
          </w:tcPr>
          <w:p w14:paraId="064D2CCF" w14:textId="5E6A29B7" w:rsidR="00796BD3" w:rsidRPr="008B3F38" w:rsidRDefault="004E5F98" w:rsidP="007C0CD7">
            <w:pPr>
              <w:tabs>
                <w:tab w:val="left" w:pos="851"/>
              </w:tabs>
              <w:spacing w:before="0"/>
              <w:jc w:val="right"/>
              <w:rPr>
                <w:b/>
                <w:lang w:val="ru-RU"/>
              </w:rPr>
            </w:pPr>
            <w:r w:rsidRPr="008B3F38">
              <w:rPr>
                <w:b/>
                <w:lang w:val="ru-RU"/>
              </w:rPr>
              <w:t>2 июня 2025 года</w:t>
            </w:r>
          </w:p>
        </w:tc>
      </w:tr>
      <w:tr w:rsidR="00796BD3" w:rsidRPr="008B3F38" w14:paraId="3022CD07" w14:textId="77777777" w:rsidTr="00DA770A">
        <w:trPr>
          <w:cantSplit/>
          <w:trHeight w:val="23"/>
        </w:trPr>
        <w:tc>
          <w:tcPr>
            <w:tcW w:w="3969" w:type="dxa"/>
            <w:vMerge/>
          </w:tcPr>
          <w:p w14:paraId="386BF703" w14:textId="77777777" w:rsidR="00796BD3" w:rsidRPr="008B3F38" w:rsidRDefault="00796BD3" w:rsidP="007C0CD7">
            <w:pPr>
              <w:tabs>
                <w:tab w:val="left" w:pos="851"/>
              </w:tabs>
              <w:rPr>
                <w:b/>
                <w:lang w:val="ru-RU"/>
              </w:rPr>
            </w:pPr>
            <w:bookmarkStart w:id="4" w:name="dorlang" w:colFirst="1" w:colLast="1"/>
            <w:bookmarkEnd w:id="3"/>
          </w:p>
        </w:tc>
        <w:tc>
          <w:tcPr>
            <w:tcW w:w="5245" w:type="dxa"/>
          </w:tcPr>
          <w:p w14:paraId="20EFF1FA" w14:textId="77777777" w:rsidR="00796BD3" w:rsidRPr="008B3F38" w:rsidRDefault="0033025A" w:rsidP="007C0CD7">
            <w:pPr>
              <w:tabs>
                <w:tab w:val="left" w:pos="851"/>
              </w:tabs>
              <w:spacing w:before="0"/>
              <w:jc w:val="right"/>
              <w:rPr>
                <w:b/>
                <w:lang w:val="ru-RU"/>
              </w:rPr>
            </w:pPr>
            <w:r w:rsidRPr="008B3F38">
              <w:rPr>
                <w:b/>
                <w:lang w:val="ru-RU"/>
              </w:rPr>
              <w:t>Оригинал: английский</w:t>
            </w:r>
          </w:p>
        </w:tc>
      </w:tr>
      <w:tr w:rsidR="00796BD3" w:rsidRPr="008B3F38" w14:paraId="46250AE3" w14:textId="77777777" w:rsidTr="00DA770A">
        <w:trPr>
          <w:cantSplit/>
          <w:trHeight w:val="23"/>
        </w:trPr>
        <w:tc>
          <w:tcPr>
            <w:tcW w:w="3969" w:type="dxa"/>
          </w:tcPr>
          <w:p w14:paraId="42204AC7" w14:textId="77777777" w:rsidR="00796BD3" w:rsidRPr="008B3F38" w:rsidRDefault="00796BD3" w:rsidP="007C0CD7">
            <w:pPr>
              <w:tabs>
                <w:tab w:val="left" w:pos="851"/>
              </w:tabs>
              <w:rPr>
                <w:b/>
                <w:lang w:val="ru-RU"/>
              </w:rPr>
            </w:pPr>
          </w:p>
        </w:tc>
        <w:tc>
          <w:tcPr>
            <w:tcW w:w="5245" w:type="dxa"/>
          </w:tcPr>
          <w:p w14:paraId="6BE187D6" w14:textId="77777777" w:rsidR="00796BD3" w:rsidRPr="008B3F38" w:rsidRDefault="00796BD3" w:rsidP="007C0CD7">
            <w:pPr>
              <w:tabs>
                <w:tab w:val="left" w:pos="851"/>
              </w:tabs>
              <w:spacing w:before="0"/>
              <w:jc w:val="right"/>
              <w:rPr>
                <w:b/>
                <w:lang w:val="ru-RU"/>
              </w:rPr>
            </w:pPr>
          </w:p>
        </w:tc>
      </w:tr>
      <w:tr w:rsidR="00796BD3" w:rsidRPr="008B3F38" w14:paraId="51A100F9" w14:textId="77777777" w:rsidTr="00DA770A">
        <w:trPr>
          <w:cantSplit/>
        </w:trPr>
        <w:tc>
          <w:tcPr>
            <w:tcW w:w="9214" w:type="dxa"/>
            <w:gridSpan w:val="2"/>
            <w:tcMar>
              <w:left w:w="0" w:type="dxa"/>
            </w:tcMar>
          </w:tcPr>
          <w:p w14:paraId="161F80E8" w14:textId="77777777" w:rsidR="00796BD3" w:rsidRPr="008B3F38" w:rsidRDefault="0033025A" w:rsidP="007C0CD7">
            <w:pPr>
              <w:pStyle w:val="Source"/>
              <w:jc w:val="left"/>
              <w:rPr>
                <w:sz w:val="32"/>
                <w:szCs w:val="32"/>
                <w:lang w:val="ru-RU"/>
              </w:rPr>
            </w:pPr>
            <w:bookmarkStart w:id="5" w:name="dsource" w:colFirst="0" w:colLast="0"/>
            <w:bookmarkEnd w:id="4"/>
            <w:r w:rsidRPr="008B3F38">
              <w:rPr>
                <w:rFonts w:cstheme="minorHAnsi"/>
                <w:sz w:val="32"/>
                <w:szCs w:val="32"/>
                <w:lang w:val="ru-RU"/>
              </w:rPr>
              <w:t>Отчет Генерального секретаря</w:t>
            </w:r>
          </w:p>
        </w:tc>
      </w:tr>
      <w:tr w:rsidR="00796BD3" w:rsidRPr="00DB788B" w14:paraId="63B42EBE" w14:textId="77777777" w:rsidTr="00DA770A">
        <w:trPr>
          <w:cantSplit/>
        </w:trPr>
        <w:tc>
          <w:tcPr>
            <w:tcW w:w="9214" w:type="dxa"/>
            <w:gridSpan w:val="2"/>
            <w:tcMar>
              <w:left w:w="0" w:type="dxa"/>
            </w:tcMar>
          </w:tcPr>
          <w:p w14:paraId="28AF2F3E" w14:textId="48EB22C9" w:rsidR="00796BD3" w:rsidRPr="008B3F38" w:rsidRDefault="004E5F98" w:rsidP="007C0CD7">
            <w:pPr>
              <w:pStyle w:val="Subtitle"/>
              <w:framePr w:hSpace="0" w:wrap="auto" w:hAnchor="text" w:xAlign="left" w:yAlign="inline"/>
              <w:rPr>
                <w:sz w:val="32"/>
                <w:szCs w:val="32"/>
                <w:lang w:val="ru-RU"/>
              </w:rPr>
            </w:pPr>
            <w:bookmarkStart w:id="6" w:name="dtitle1" w:colFirst="0" w:colLast="0"/>
            <w:bookmarkEnd w:id="5"/>
            <w:r w:rsidRPr="008B3F38">
              <w:rPr>
                <w:rFonts w:cstheme="minorHAnsi"/>
                <w:sz w:val="32"/>
                <w:szCs w:val="32"/>
                <w:lang w:val="ru-RU"/>
              </w:rPr>
              <w:t>ОТЧЕТ ВНЕШНЕГО АУДИТОРА ПО ПРОВЕРЕННОЙ ФИНАНСОВОЙ ОТЧЕТНОСТИ МСЭ ЗА 2024 ГОД</w:t>
            </w:r>
          </w:p>
        </w:tc>
      </w:tr>
      <w:tr w:rsidR="00796BD3" w:rsidRPr="00DB788B" w14:paraId="4AAB3B3E" w14:textId="77777777" w:rsidTr="00DA770A">
        <w:trPr>
          <w:cantSplit/>
        </w:trPr>
        <w:tc>
          <w:tcPr>
            <w:tcW w:w="9214" w:type="dxa"/>
            <w:gridSpan w:val="2"/>
            <w:tcBorders>
              <w:top w:val="single" w:sz="4" w:space="0" w:color="auto"/>
              <w:bottom w:val="single" w:sz="4" w:space="0" w:color="auto"/>
            </w:tcBorders>
            <w:tcMar>
              <w:left w:w="0" w:type="dxa"/>
            </w:tcMar>
          </w:tcPr>
          <w:p w14:paraId="103DFE54" w14:textId="77777777" w:rsidR="004E5F98" w:rsidRPr="008B3F38" w:rsidRDefault="004E5F98" w:rsidP="007C0CD7">
            <w:pPr>
              <w:spacing w:before="160"/>
              <w:rPr>
                <w:b/>
                <w:bCs/>
                <w:sz w:val="24"/>
                <w:szCs w:val="24"/>
                <w:lang w:val="ru-RU"/>
              </w:rPr>
            </w:pPr>
            <w:r w:rsidRPr="008B3F38">
              <w:rPr>
                <w:b/>
                <w:bCs/>
                <w:color w:val="000000"/>
                <w:sz w:val="24"/>
                <w:szCs w:val="24"/>
                <w:lang w:val="ru-RU"/>
              </w:rPr>
              <w:t>Назначение</w:t>
            </w:r>
          </w:p>
          <w:p w14:paraId="35528D5F" w14:textId="77777777" w:rsidR="004E5F98" w:rsidRPr="008B3F38" w:rsidRDefault="004E5F98" w:rsidP="007C0CD7">
            <w:pPr>
              <w:rPr>
                <w:lang w:val="ru-RU"/>
              </w:rPr>
            </w:pPr>
            <w:r w:rsidRPr="008B3F38">
              <w:rPr>
                <w:color w:val="000000"/>
                <w:lang w:val="ru-RU"/>
              </w:rPr>
              <w:t>Настоящий документ содержит Отчет Внешнего аудитора по проверенной финансовой отчетности МСЭ за 2024 год.</w:t>
            </w:r>
          </w:p>
          <w:p w14:paraId="3B063979" w14:textId="77777777" w:rsidR="004E5F98" w:rsidRPr="008B3F38" w:rsidRDefault="004E5F98" w:rsidP="007C0CD7">
            <w:pPr>
              <w:spacing w:before="160"/>
              <w:rPr>
                <w:b/>
                <w:bCs/>
                <w:sz w:val="24"/>
                <w:szCs w:val="24"/>
                <w:lang w:val="ru-RU"/>
              </w:rPr>
            </w:pPr>
            <w:r w:rsidRPr="008B3F38">
              <w:rPr>
                <w:b/>
                <w:bCs/>
                <w:color w:val="000000"/>
                <w:sz w:val="24"/>
                <w:szCs w:val="24"/>
                <w:lang w:val="ru-RU"/>
              </w:rPr>
              <w:t>Необходимые действия Совета</w:t>
            </w:r>
          </w:p>
          <w:p w14:paraId="78D7A721" w14:textId="65FA3A1E" w:rsidR="004E5F98" w:rsidRPr="008B3F38" w:rsidRDefault="004E5F98" w:rsidP="007C0CD7">
            <w:pPr>
              <w:spacing w:before="160"/>
              <w:rPr>
                <w:szCs w:val="22"/>
                <w:u w:val="single"/>
                <w:lang w:val="ru-RU"/>
              </w:rPr>
            </w:pPr>
            <w:r w:rsidRPr="008B3F38">
              <w:rPr>
                <w:color w:val="000000"/>
                <w:lang w:val="ru-RU"/>
              </w:rPr>
              <w:t>Совету предлагается рассмотреть отчет Внешнего аудитора по финансовой отчетности МСЭ за 2024 год, проверенной Национальным ревизионным управлением (НРУ).</w:t>
            </w:r>
          </w:p>
          <w:p w14:paraId="04338478" w14:textId="77777777" w:rsidR="004E5F98" w:rsidRPr="008B3F38" w:rsidRDefault="004E5F98" w:rsidP="007C0CD7">
            <w:pPr>
              <w:spacing w:before="160"/>
              <w:rPr>
                <w:caps/>
                <w:lang w:val="ru-RU"/>
              </w:rPr>
            </w:pPr>
            <w:r w:rsidRPr="008B3F38">
              <w:rPr>
                <w:color w:val="000000"/>
                <w:lang w:val="ru-RU"/>
              </w:rPr>
              <w:t>__________________</w:t>
            </w:r>
          </w:p>
          <w:p w14:paraId="476D9D3A" w14:textId="77777777" w:rsidR="004E5F98" w:rsidRPr="008B3F38" w:rsidRDefault="004E5F98" w:rsidP="007C0CD7">
            <w:pPr>
              <w:spacing w:before="160"/>
              <w:rPr>
                <w:b/>
                <w:bCs/>
                <w:sz w:val="24"/>
                <w:szCs w:val="24"/>
                <w:lang w:val="ru-RU"/>
              </w:rPr>
            </w:pPr>
            <w:r w:rsidRPr="008B3F38">
              <w:rPr>
                <w:b/>
                <w:bCs/>
                <w:color w:val="000000"/>
                <w:sz w:val="24"/>
                <w:szCs w:val="24"/>
                <w:lang w:val="ru-RU"/>
              </w:rPr>
              <w:t>Справочные материалы</w:t>
            </w:r>
          </w:p>
          <w:p w14:paraId="5C768A79" w14:textId="5335854C" w:rsidR="00796BD3" w:rsidRPr="008B3F38" w:rsidRDefault="004E5F98" w:rsidP="007C0CD7">
            <w:pPr>
              <w:spacing w:after="160"/>
              <w:rPr>
                <w:i/>
                <w:iCs/>
                <w:lang w:val="ru-RU"/>
              </w:rPr>
            </w:pPr>
            <w:r>
              <w:fldChar w:fldCharType="begin"/>
            </w:r>
            <w:r>
              <w:instrText>HYPERLINK</w:instrText>
            </w:r>
            <w:r w:rsidRPr="00DB788B">
              <w:rPr>
                <w:lang w:val="ru-RU"/>
              </w:rPr>
              <w:instrText xml:space="preserve"> "</w:instrText>
            </w:r>
            <w:r>
              <w:instrText>https</w:instrText>
            </w:r>
            <w:r w:rsidRPr="00DB788B">
              <w:rPr>
                <w:lang w:val="ru-RU"/>
              </w:rPr>
              <w:instrText>://</w:instrText>
            </w:r>
            <w:r>
              <w:instrText>www</w:instrText>
            </w:r>
            <w:r w:rsidRPr="00DB788B">
              <w:rPr>
                <w:lang w:val="ru-RU"/>
              </w:rPr>
              <w:instrText>.</w:instrText>
            </w:r>
            <w:r>
              <w:instrText>itu</w:instrText>
            </w:r>
            <w:r w:rsidRPr="00DB788B">
              <w:rPr>
                <w:lang w:val="ru-RU"/>
              </w:rPr>
              <w:instrText>.</w:instrText>
            </w:r>
            <w:r>
              <w:instrText>int</w:instrText>
            </w:r>
            <w:r w:rsidRPr="00DB788B">
              <w:rPr>
                <w:lang w:val="ru-RU"/>
              </w:rPr>
              <w:instrText>/</w:instrText>
            </w:r>
            <w:r>
              <w:instrText>en</w:instrText>
            </w:r>
            <w:r w:rsidRPr="00DB788B">
              <w:rPr>
                <w:lang w:val="ru-RU"/>
              </w:rPr>
              <w:instrText>/</w:instrText>
            </w:r>
            <w:r>
              <w:instrText>council</w:instrText>
            </w:r>
            <w:r w:rsidRPr="00DB788B">
              <w:rPr>
                <w:lang w:val="ru-RU"/>
              </w:rPr>
              <w:instrText>/</w:instrText>
            </w:r>
            <w:r>
              <w:instrText>Pages</w:instrText>
            </w:r>
            <w:r w:rsidRPr="00DB788B">
              <w:rPr>
                <w:lang w:val="ru-RU"/>
              </w:rPr>
              <w:instrText>/</w:instrText>
            </w:r>
            <w:r>
              <w:instrText>Financial</w:instrText>
            </w:r>
            <w:r w:rsidRPr="00DB788B">
              <w:rPr>
                <w:lang w:val="ru-RU"/>
              </w:rPr>
              <w:instrText>-</w:instrText>
            </w:r>
            <w:r>
              <w:instrText>Regulations</w:instrText>
            </w:r>
            <w:r w:rsidRPr="00DB788B">
              <w:rPr>
                <w:lang w:val="ru-RU"/>
              </w:rPr>
              <w:instrText>.</w:instrText>
            </w:r>
            <w:r>
              <w:instrText>aspx</w:instrText>
            </w:r>
            <w:r w:rsidRPr="00DB788B">
              <w:rPr>
                <w:lang w:val="ru-RU"/>
              </w:rPr>
              <w:instrText>"</w:instrText>
            </w:r>
            <w:r>
              <w:fldChar w:fldCharType="separate"/>
            </w:r>
            <w:r w:rsidRPr="008B3F38">
              <w:rPr>
                <w:rStyle w:val="Hyperlink"/>
                <w:i/>
                <w:iCs/>
                <w:lang w:val="ru-RU"/>
              </w:rPr>
              <w:t>Финансовый регламент (издание 2022 г.)</w:t>
            </w:r>
            <w:r>
              <w:fldChar w:fldCharType="end"/>
            </w:r>
            <w:r w:rsidRPr="008B3F38">
              <w:rPr>
                <w:i/>
                <w:iCs/>
                <w:color w:val="000000"/>
                <w:lang w:val="ru-RU"/>
              </w:rPr>
              <w:t>: Статья 28 и Дополнительные полномочия</w:t>
            </w:r>
          </w:p>
        </w:tc>
      </w:tr>
      <w:bookmarkEnd w:id="2"/>
      <w:bookmarkEnd w:id="6"/>
    </w:tbl>
    <w:p w14:paraId="260C99F5" w14:textId="77777777" w:rsidR="00796BD3" w:rsidRPr="008B3F38" w:rsidRDefault="00796BD3" w:rsidP="007C0CD7">
      <w:pPr>
        <w:rPr>
          <w:lang w:val="ru-RU"/>
        </w:rPr>
      </w:pPr>
    </w:p>
    <w:p w14:paraId="1EA39D0A" w14:textId="77777777" w:rsidR="00E84E89" w:rsidRPr="008B3F38" w:rsidRDefault="00E84E89" w:rsidP="007C0CD7">
      <w:pPr>
        <w:tabs>
          <w:tab w:val="clear" w:pos="794"/>
          <w:tab w:val="clear" w:pos="1191"/>
          <w:tab w:val="clear" w:pos="1588"/>
          <w:tab w:val="clear" w:pos="1985"/>
        </w:tabs>
        <w:overflowPunct/>
        <w:autoSpaceDE/>
        <w:autoSpaceDN/>
        <w:adjustRightInd/>
        <w:spacing w:before="0"/>
        <w:textAlignment w:val="auto"/>
        <w:rPr>
          <w:lang w:val="ru-RU"/>
        </w:rPr>
        <w:sectPr w:rsidR="00E84E89" w:rsidRPr="008B3F38" w:rsidSect="00796BD3">
          <w:headerReference w:type="default" r:id="rId8"/>
          <w:footerReference w:type="default" r:id="rId9"/>
          <w:headerReference w:type="first" r:id="rId10"/>
          <w:footerReference w:type="first" r:id="rId11"/>
          <w:pgSz w:w="11907" w:h="16834"/>
          <w:pgMar w:top="1418" w:right="1418" w:bottom="1418" w:left="1418" w:header="720" w:footer="720" w:gutter="0"/>
          <w:paperSrc w:first="286" w:other="286"/>
          <w:cols w:space="720"/>
          <w:titlePg/>
        </w:sectPr>
      </w:pPr>
    </w:p>
    <w:p w14:paraId="5B6F5642" w14:textId="34419E59" w:rsidR="00C462C5" w:rsidRPr="008B3F38" w:rsidRDefault="004E5F98" w:rsidP="007C0CD7">
      <w:pPr>
        <w:pStyle w:val="Reasons"/>
        <w:jc w:val="right"/>
        <w:rPr>
          <w:lang w:val="ru-RU"/>
        </w:rPr>
      </w:pPr>
      <w:r w:rsidRPr="008B3F38">
        <w:rPr>
          <w:noProof/>
          <w:lang w:val="ru-RU" w:eastAsia="en-GB"/>
        </w:rPr>
        <w:lastRenderedPageBreak/>
        <w:drawing>
          <wp:inline distT="0" distB="0" distL="0" distR="0" wp14:anchorId="54649D10" wp14:editId="32EA5BC2">
            <wp:extent cx="1666875" cy="714375"/>
            <wp:effectExtent l="0" t="0" r="9525" b="9525"/>
            <wp:docPr id="1" name="Picture 1" descr="NAO - Black and 50k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O - Black and 50k circl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66875" cy="714375"/>
                    </a:xfrm>
                    <a:prstGeom prst="rect">
                      <a:avLst/>
                    </a:prstGeom>
                    <a:noFill/>
                    <a:ln>
                      <a:noFill/>
                    </a:ln>
                  </pic:spPr>
                </pic:pic>
              </a:graphicData>
            </a:graphic>
          </wp:inline>
        </w:drawing>
      </w:r>
    </w:p>
    <w:p w14:paraId="36F8DE6E" w14:textId="77777777" w:rsidR="004E5F98" w:rsidRPr="008B3F38" w:rsidRDefault="004E5F98" w:rsidP="007C0CD7">
      <w:pPr>
        <w:spacing w:before="480"/>
        <w:rPr>
          <w:b/>
          <w:lang w:val="ru-RU"/>
        </w:rPr>
      </w:pPr>
      <w:r w:rsidRPr="008B3F38">
        <w:rPr>
          <w:b/>
          <w:lang w:val="ru-RU"/>
        </w:rPr>
        <w:t>Отчет Совету</w:t>
      </w:r>
    </w:p>
    <w:p w14:paraId="0479E03B" w14:textId="77777777" w:rsidR="004E5F98" w:rsidRPr="008B3F38" w:rsidRDefault="004E5F98" w:rsidP="007C0CD7">
      <w:pPr>
        <w:spacing w:after="4000"/>
        <w:rPr>
          <w:b/>
          <w:lang w:val="ru-RU"/>
        </w:rPr>
      </w:pPr>
      <w:r w:rsidRPr="008B3F38">
        <w:rPr>
          <w:b/>
          <w:lang w:val="ru-RU"/>
        </w:rPr>
        <w:t>Май 2025 года</w:t>
      </w:r>
    </w:p>
    <w:p w14:paraId="529BE8BC" w14:textId="77777777" w:rsidR="004E5F98" w:rsidRPr="008B3F38" w:rsidRDefault="004E5F98" w:rsidP="007C0CD7">
      <w:pPr>
        <w:pBdr>
          <w:top w:val="single" w:sz="4" w:space="6" w:color="auto"/>
        </w:pBdr>
        <w:rPr>
          <w:b/>
          <w:sz w:val="30"/>
          <w:szCs w:val="30"/>
          <w:lang w:val="ru-RU"/>
        </w:rPr>
      </w:pPr>
      <w:r w:rsidRPr="008B3F38">
        <w:rPr>
          <w:b/>
          <w:sz w:val="30"/>
          <w:szCs w:val="30"/>
          <w:lang w:val="ru-RU"/>
        </w:rPr>
        <w:t>Международный союз электросвязи</w:t>
      </w:r>
    </w:p>
    <w:p w14:paraId="423C6211" w14:textId="4D85D069" w:rsidR="004E5F98" w:rsidRPr="008B3F38" w:rsidRDefault="004E5F98" w:rsidP="007C0CD7">
      <w:pPr>
        <w:spacing w:before="240"/>
        <w:rPr>
          <w:sz w:val="46"/>
          <w:szCs w:val="46"/>
          <w:lang w:val="ru-RU"/>
        </w:rPr>
      </w:pPr>
      <w:r w:rsidRPr="008B3F38">
        <w:rPr>
          <w:sz w:val="46"/>
          <w:szCs w:val="46"/>
          <w:lang w:val="ru-RU"/>
        </w:rPr>
        <w:t>Отчет Внешнего аудитора по финансовой отчетности МСЭ за 2024 год</w:t>
      </w:r>
    </w:p>
    <w:p w14:paraId="6D24C445" w14:textId="77777777" w:rsidR="004E5F98" w:rsidRPr="008B3F38" w:rsidRDefault="004E5F98" w:rsidP="007C0CD7">
      <w:pPr>
        <w:overflowPunct/>
        <w:autoSpaceDE/>
        <w:autoSpaceDN/>
        <w:adjustRightInd/>
        <w:spacing w:before="0"/>
        <w:textAlignment w:val="auto"/>
        <w:rPr>
          <w:lang w:val="ru-RU"/>
        </w:rPr>
      </w:pPr>
      <w:r w:rsidRPr="008B3F38">
        <w:rPr>
          <w:lang w:val="ru-RU"/>
        </w:rPr>
        <w:br w:type="page"/>
      </w:r>
    </w:p>
    <w:p w14:paraId="0E04E72F" w14:textId="315C91F8" w:rsidR="004E5F98" w:rsidRPr="008B3F38" w:rsidRDefault="004E5F98" w:rsidP="007C0CD7">
      <w:pPr>
        <w:spacing w:after="8000"/>
        <w:rPr>
          <w:sz w:val="30"/>
          <w:szCs w:val="30"/>
          <w:lang w:val="ru-RU"/>
        </w:rPr>
      </w:pPr>
      <w:r w:rsidRPr="008B3F38">
        <w:rPr>
          <w:sz w:val="30"/>
          <w:szCs w:val="30"/>
          <w:lang w:val="ru-RU"/>
        </w:rPr>
        <w:lastRenderedPageBreak/>
        <w:t>Цель аудита заключается в том, чтобы предоставить Государствам</w:t>
      </w:r>
      <w:r w:rsidR="00BC5697" w:rsidRPr="008B3F38">
        <w:rPr>
          <w:sz w:val="30"/>
          <w:szCs w:val="30"/>
          <w:lang w:val="ru-RU"/>
        </w:rPr>
        <w:t>­</w:t>
      </w:r>
      <w:r w:rsidRPr="008B3F38">
        <w:rPr>
          <w:sz w:val="30"/>
          <w:szCs w:val="30"/>
          <w:lang w:val="ru-RU"/>
        </w:rPr>
        <w:t>Членам независимые подтверждения достоверности; повысить эффективность управления и руководства финансами в МСЭ; а также содействовать достижению целей работы Союза посредством процесса внешнего аудита.</w:t>
      </w:r>
    </w:p>
    <w:p w14:paraId="72CFE6E3" w14:textId="77777777" w:rsidR="004E5F98" w:rsidRPr="008B3F38" w:rsidRDefault="004E5F98" w:rsidP="007C0CD7">
      <w:pPr>
        <w:pBdr>
          <w:top w:val="single" w:sz="4" w:space="6" w:color="auto"/>
        </w:pBdr>
        <w:rPr>
          <w:lang w:val="ru-RU"/>
        </w:rPr>
      </w:pPr>
      <w:r w:rsidRPr="008B3F38">
        <w:rPr>
          <w:lang w:val="ru-RU"/>
        </w:rPr>
        <w:t>Контролер и Генеральный ревизор является главой Национального ревизионного управления (НРУ) − высшего ревизионного учреждения Соединенного Королевства. Контролер и Генеральный ревизор и НРУ независимы от правительства Соединенного Королевства и обеспечивают надлежащее и эффективное расходование государственных средств и подотчетность Парламенту Соединенного Королевства. НРУ предоставляет услуги внешнего аудита международным организациям и выполняет эти функции независимо от своей роли высшего ревизионного учреждения Соединенного Королевства.</w:t>
      </w:r>
    </w:p>
    <w:p w14:paraId="50AC123E" w14:textId="598C0760" w:rsidR="004E5F98" w:rsidRPr="008B3F38" w:rsidRDefault="004E5F98" w:rsidP="007C0CD7">
      <w:pPr>
        <w:tabs>
          <w:tab w:val="clear" w:pos="794"/>
          <w:tab w:val="clear" w:pos="1191"/>
          <w:tab w:val="clear" w:pos="1588"/>
          <w:tab w:val="clear" w:pos="1985"/>
        </w:tabs>
        <w:overflowPunct/>
        <w:autoSpaceDE/>
        <w:autoSpaceDN/>
        <w:adjustRightInd/>
        <w:spacing w:before="0"/>
        <w:textAlignment w:val="auto"/>
        <w:rPr>
          <w:lang w:val="ru-RU"/>
        </w:rPr>
      </w:pPr>
      <w:r w:rsidRPr="008B3F38">
        <w:rPr>
          <w:lang w:val="ru-RU"/>
        </w:rPr>
        <w:br w:type="page"/>
      </w:r>
    </w:p>
    <w:p w14:paraId="24991039" w14:textId="77777777" w:rsidR="004E5F98" w:rsidRPr="008B3F38" w:rsidRDefault="004E5F98" w:rsidP="007C0CD7">
      <w:pPr>
        <w:rPr>
          <w:sz w:val="38"/>
          <w:szCs w:val="38"/>
          <w:lang w:val="ru-RU"/>
        </w:rPr>
      </w:pPr>
      <w:r w:rsidRPr="008B3F38">
        <w:rPr>
          <w:sz w:val="38"/>
          <w:szCs w:val="38"/>
          <w:lang w:val="ru-RU"/>
        </w:rPr>
        <w:lastRenderedPageBreak/>
        <w:t>Содержание</w:t>
      </w:r>
    </w:p>
    <w:p w14:paraId="6C03E216" w14:textId="55BFBC84" w:rsidR="004E5F98" w:rsidRPr="008B3F38" w:rsidRDefault="004E5F98" w:rsidP="007C0CD7">
      <w:pPr>
        <w:jc w:val="right"/>
        <w:rPr>
          <w:lang w:val="ru-RU"/>
        </w:rPr>
      </w:pPr>
      <w:r w:rsidRPr="008B3F38">
        <w:rPr>
          <w:lang w:val="ru-RU"/>
        </w:rPr>
        <w:t>Стр.</w:t>
      </w:r>
    </w:p>
    <w:p w14:paraId="4FFCEF27" w14:textId="0144006E" w:rsidR="00D21F9E" w:rsidRPr="008B3F38" w:rsidRDefault="00D21F9E" w:rsidP="00D21F9E">
      <w:pPr>
        <w:pStyle w:val="TOC1"/>
        <w:tabs>
          <w:tab w:val="clear" w:pos="7938"/>
          <w:tab w:val="clear" w:pos="8789"/>
          <w:tab w:val="left" w:leader="dot" w:pos="8222"/>
          <w:tab w:val="right" w:pos="9071"/>
        </w:tabs>
        <w:rPr>
          <w:rFonts w:asciiTheme="minorHAnsi" w:eastAsiaTheme="minorEastAsia" w:hAnsiTheme="minorHAnsi" w:cstheme="minorBidi"/>
          <w:b/>
          <w:bCs/>
          <w:kern w:val="2"/>
          <w:sz w:val="24"/>
          <w:szCs w:val="24"/>
          <w:lang w:val="ru-RU" w:eastAsia="en-GB"/>
          <w14:ligatures w14:val="standardContextual"/>
        </w:rPr>
      </w:pPr>
      <w:r w:rsidRPr="008B3F38">
        <w:rPr>
          <w:lang w:val="ru-RU"/>
        </w:rPr>
        <w:fldChar w:fldCharType="begin"/>
      </w:r>
      <w:r w:rsidRPr="008B3F38">
        <w:rPr>
          <w:lang w:val="ru-RU"/>
        </w:rPr>
        <w:instrText xml:space="preserve"> TOC \o "1-1" \t "Appendix_No,1,Appendix_title,1,Heading_i,3" </w:instrText>
      </w:r>
      <w:r w:rsidRPr="008B3F38">
        <w:rPr>
          <w:lang w:val="ru-RU"/>
        </w:rPr>
        <w:fldChar w:fldCharType="separate"/>
      </w:r>
      <w:r w:rsidRPr="008B3F38">
        <w:rPr>
          <w:b/>
          <w:bCs/>
          <w:lang w:val="ru-RU"/>
        </w:rPr>
        <w:t>Краткий обзор</w:t>
      </w:r>
      <w:r w:rsidRPr="008B3F38">
        <w:rPr>
          <w:b/>
          <w:bCs/>
          <w:lang w:val="ru-RU"/>
        </w:rPr>
        <w:tab/>
      </w:r>
      <w:r w:rsidRPr="008B3F38">
        <w:rPr>
          <w:b/>
          <w:bCs/>
          <w:lang w:val="ru-RU"/>
        </w:rPr>
        <w:tab/>
      </w:r>
      <w:r w:rsidRPr="008B3F38">
        <w:rPr>
          <w:b/>
          <w:bCs/>
          <w:lang w:val="ru-RU"/>
        </w:rPr>
        <w:fldChar w:fldCharType="begin"/>
      </w:r>
      <w:r w:rsidRPr="008B3F38">
        <w:rPr>
          <w:b/>
          <w:bCs/>
          <w:lang w:val="ru-RU"/>
        </w:rPr>
        <w:instrText xml:space="preserve"> PAGEREF _Toc201047351 \h </w:instrText>
      </w:r>
      <w:r w:rsidRPr="008B3F38">
        <w:rPr>
          <w:b/>
          <w:bCs/>
          <w:lang w:val="ru-RU"/>
        </w:rPr>
      </w:r>
      <w:r w:rsidRPr="008B3F38">
        <w:rPr>
          <w:b/>
          <w:bCs/>
          <w:lang w:val="ru-RU"/>
        </w:rPr>
        <w:fldChar w:fldCharType="separate"/>
      </w:r>
      <w:r w:rsidRPr="008B3F38">
        <w:rPr>
          <w:b/>
          <w:bCs/>
          <w:lang w:val="ru-RU"/>
        </w:rPr>
        <w:t>5</w:t>
      </w:r>
      <w:r w:rsidRPr="008B3F38">
        <w:rPr>
          <w:b/>
          <w:bCs/>
          <w:lang w:val="ru-RU"/>
        </w:rPr>
        <w:fldChar w:fldCharType="end"/>
      </w:r>
    </w:p>
    <w:p w14:paraId="356F921F" w14:textId="0CF4CC47" w:rsidR="00D21F9E" w:rsidRPr="008B3F38" w:rsidRDefault="00D21F9E" w:rsidP="00D21F9E">
      <w:pPr>
        <w:pStyle w:val="TOC1"/>
        <w:tabs>
          <w:tab w:val="clear" w:pos="7938"/>
          <w:tab w:val="clear" w:pos="8789"/>
          <w:tab w:val="left" w:leader="dot" w:pos="8222"/>
          <w:tab w:val="right" w:pos="9071"/>
        </w:tabs>
        <w:spacing w:before="120"/>
        <w:rPr>
          <w:rFonts w:asciiTheme="minorHAnsi" w:eastAsiaTheme="minorEastAsia" w:hAnsiTheme="minorHAnsi" w:cstheme="minorBidi"/>
          <w:kern w:val="2"/>
          <w:sz w:val="24"/>
          <w:szCs w:val="24"/>
          <w:lang w:val="ru-RU" w:eastAsia="en-GB"/>
          <w14:ligatures w14:val="standardContextual"/>
        </w:rPr>
      </w:pPr>
      <w:r w:rsidRPr="008B3F38">
        <w:rPr>
          <w:lang w:val="ru-RU"/>
        </w:rPr>
        <w:t>Базовая информация</w:t>
      </w:r>
      <w:r w:rsidRPr="008B3F38">
        <w:rPr>
          <w:lang w:val="ru-RU"/>
        </w:rPr>
        <w:tab/>
      </w:r>
      <w:r w:rsidRPr="008B3F38">
        <w:rPr>
          <w:lang w:val="ru-RU"/>
        </w:rPr>
        <w:tab/>
      </w:r>
      <w:r w:rsidRPr="008B3F38">
        <w:rPr>
          <w:lang w:val="ru-RU"/>
        </w:rPr>
        <w:fldChar w:fldCharType="begin"/>
      </w:r>
      <w:r w:rsidRPr="008B3F38">
        <w:rPr>
          <w:lang w:val="ru-RU"/>
        </w:rPr>
        <w:instrText xml:space="preserve"> PAGEREF _Toc201047352 \h </w:instrText>
      </w:r>
      <w:r w:rsidRPr="008B3F38">
        <w:rPr>
          <w:lang w:val="ru-RU"/>
        </w:rPr>
      </w:r>
      <w:r w:rsidRPr="008B3F38">
        <w:rPr>
          <w:lang w:val="ru-RU"/>
        </w:rPr>
        <w:fldChar w:fldCharType="separate"/>
      </w:r>
      <w:r w:rsidRPr="008B3F38">
        <w:rPr>
          <w:lang w:val="ru-RU"/>
        </w:rPr>
        <w:t>5</w:t>
      </w:r>
      <w:r w:rsidRPr="008B3F38">
        <w:rPr>
          <w:lang w:val="ru-RU"/>
        </w:rPr>
        <w:fldChar w:fldCharType="end"/>
      </w:r>
    </w:p>
    <w:p w14:paraId="144578C5" w14:textId="322D3FC9" w:rsidR="00D21F9E" w:rsidRPr="008B3F38" w:rsidRDefault="00D21F9E" w:rsidP="00D21F9E">
      <w:pPr>
        <w:pStyle w:val="TOC1"/>
        <w:tabs>
          <w:tab w:val="clear" w:pos="7938"/>
          <w:tab w:val="clear" w:pos="8789"/>
          <w:tab w:val="left" w:leader="dot" w:pos="8222"/>
          <w:tab w:val="right" w:pos="9071"/>
        </w:tabs>
        <w:spacing w:before="120"/>
        <w:rPr>
          <w:rFonts w:asciiTheme="minorHAnsi" w:eastAsiaTheme="minorEastAsia" w:hAnsiTheme="minorHAnsi" w:cstheme="minorBidi"/>
          <w:kern w:val="2"/>
          <w:sz w:val="24"/>
          <w:szCs w:val="24"/>
          <w:lang w:val="ru-RU" w:eastAsia="en-GB"/>
          <w14:ligatures w14:val="standardContextual"/>
        </w:rPr>
      </w:pPr>
      <w:r w:rsidRPr="008B3F38">
        <w:rPr>
          <w:lang w:val="ru-RU"/>
        </w:rPr>
        <w:t>Основные выводы</w:t>
      </w:r>
      <w:r w:rsidRPr="008B3F38">
        <w:rPr>
          <w:lang w:val="ru-RU"/>
        </w:rPr>
        <w:tab/>
      </w:r>
      <w:r w:rsidRPr="008B3F38">
        <w:rPr>
          <w:lang w:val="ru-RU"/>
        </w:rPr>
        <w:tab/>
      </w:r>
      <w:r w:rsidRPr="008B3F38">
        <w:rPr>
          <w:lang w:val="ru-RU"/>
        </w:rPr>
        <w:fldChar w:fldCharType="begin"/>
      </w:r>
      <w:r w:rsidRPr="008B3F38">
        <w:rPr>
          <w:lang w:val="ru-RU"/>
        </w:rPr>
        <w:instrText xml:space="preserve"> PAGEREF _Toc201047353 \h </w:instrText>
      </w:r>
      <w:r w:rsidRPr="008B3F38">
        <w:rPr>
          <w:lang w:val="ru-RU"/>
        </w:rPr>
      </w:r>
      <w:r w:rsidRPr="008B3F38">
        <w:rPr>
          <w:lang w:val="ru-RU"/>
        </w:rPr>
        <w:fldChar w:fldCharType="separate"/>
      </w:r>
      <w:r w:rsidRPr="008B3F38">
        <w:rPr>
          <w:lang w:val="ru-RU"/>
        </w:rPr>
        <w:t>5</w:t>
      </w:r>
      <w:r w:rsidRPr="008B3F38">
        <w:rPr>
          <w:lang w:val="ru-RU"/>
        </w:rPr>
        <w:fldChar w:fldCharType="end"/>
      </w:r>
    </w:p>
    <w:p w14:paraId="4836D84F" w14:textId="107D4E30" w:rsidR="00D21F9E" w:rsidRPr="008B3F38" w:rsidRDefault="00D21F9E" w:rsidP="00D21F9E">
      <w:pPr>
        <w:pStyle w:val="TOC1"/>
        <w:tabs>
          <w:tab w:val="clear" w:pos="7938"/>
          <w:tab w:val="clear" w:pos="8789"/>
          <w:tab w:val="left" w:leader="dot" w:pos="8222"/>
          <w:tab w:val="right" w:pos="9071"/>
        </w:tabs>
        <w:rPr>
          <w:rFonts w:asciiTheme="minorHAnsi" w:eastAsiaTheme="minorEastAsia" w:hAnsiTheme="minorHAnsi" w:cstheme="minorBidi"/>
          <w:b/>
          <w:bCs/>
          <w:kern w:val="2"/>
          <w:sz w:val="24"/>
          <w:szCs w:val="24"/>
          <w:lang w:val="ru-RU" w:eastAsia="en-GB"/>
          <w14:ligatures w14:val="standardContextual"/>
        </w:rPr>
      </w:pPr>
      <w:r w:rsidRPr="008B3F38">
        <w:rPr>
          <w:b/>
          <w:bCs/>
          <w:lang w:val="ru-RU"/>
        </w:rPr>
        <w:t>Часть первая</w:t>
      </w:r>
      <w:r w:rsidRPr="008B3F38">
        <w:rPr>
          <w:b/>
          <w:bCs/>
          <w:lang w:val="ru-RU"/>
        </w:rPr>
        <w:tab/>
      </w:r>
      <w:r w:rsidRPr="008B3F38">
        <w:rPr>
          <w:b/>
          <w:bCs/>
          <w:lang w:val="ru-RU"/>
        </w:rPr>
        <w:tab/>
      </w:r>
      <w:r w:rsidRPr="008B3F38">
        <w:rPr>
          <w:b/>
          <w:bCs/>
          <w:lang w:val="ru-RU"/>
        </w:rPr>
        <w:fldChar w:fldCharType="begin"/>
      </w:r>
      <w:r w:rsidRPr="008B3F38">
        <w:rPr>
          <w:b/>
          <w:bCs/>
          <w:lang w:val="ru-RU"/>
        </w:rPr>
        <w:instrText xml:space="preserve"> PAGEREF _Toc201047354 \h </w:instrText>
      </w:r>
      <w:r w:rsidRPr="008B3F38">
        <w:rPr>
          <w:b/>
          <w:bCs/>
          <w:lang w:val="ru-RU"/>
        </w:rPr>
      </w:r>
      <w:r w:rsidRPr="008B3F38">
        <w:rPr>
          <w:b/>
          <w:bCs/>
          <w:lang w:val="ru-RU"/>
        </w:rPr>
        <w:fldChar w:fldCharType="separate"/>
      </w:r>
      <w:r w:rsidRPr="008B3F38">
        <w:rPr>
          <w:b/>
          <w:bCs/>
          <w:lang w:val="ru-RU"/>
        </w:rPr>
        <w:t>9</w:t>
      </w:r>
      <w:r w:rsidRPr="008B3F38">
        <w:rPr>
          <w:b/>
          <w:bCs/>
          <w:lang w:val="ru-RU"/>
        </w:rPr>
        <w:fldChar w:fldCharType="end"/>
      </w:r>
    </w:p>
    <w:p w14:paraId="7B15381F" w14:textId="28E912A7" w:rsidR="00D21F9E" w:rsidRPr="008B3F38" w:rsidRDefault="00D21F9E" w:rsidP="00D21F9E">
      <w:pPr>
        <w:pStyle w:val="TOC1"/>
        <w:tabs>
          <w:tab w:val="clear" w:pos="7938"/>
          <w:tab w:val="clear" w:pos="8789"/>
          <w:tab w:val="left" w:leader="dot" w:pos="8222"/>
          <w:tab w:val="right" w:pos="9071"/>
        </w:tabs>
        <w:spacing w:before="120"/>
        <w:rPr>
          <w:rFonts w:asciiTheme="minorHAnsi" w:eastAsiaTheme="minorEastAsia" w:hAnsiTheme="minorHAnsi" w:cstheme="minorBidi"/>
          <w:kern w:val="2"/>
          <w:sz w:val="24"/>
          <w:szCs w:val="24"/>
          <w:lang w:val="ru-RU" w:eastAsia="en-GB"/>
          <w14:ligatures w14:val="standardContextual"/>
        </w:rPr>
      </w:pPr>
      <w:r w:rsidRPr="008B3F38">
        <w:rPr>
          <w:lang w:val="ru-RU"/>
        </w:rPr>
        <w:t>Управление финансами</w:t>
      </w:r>
      <w:r w:rsidRPr="008B3F38">
        <w:rPr>
          <w:lang w:val="ru-RU"/>
        </w:rPr>
        <w:tab/>
      </w:r>
      <w:r w:rsidRPr="008B3F38">
        <w:rPr>
          <w:lang w:val="ru-RU"/>
        </w:rPr>
        <w:tab/>
      </w:r>
      <w:r w:rsidRPr="008B3F38">
        <w:rPr>
          <w:lang w:val="ru-RU"/>
        </w:rPr>
        <w:fldChar w:fldCharType="begin"/>
      </w:r>
      <w:r w:rsidRPr="008B3F38">
        <w:rPr>
          <w:lang w:val="ru-RU"/>
        </w:rPr>
        <w:instrText xml:space="preserve"> PAGEREF _Toc201047355 \h </w:instrText>
      </w:r>
      <w:r w:rsidRPr="008B3F38">
        <w:rPr>
          <w:lang w:val="ru-RU"/>
        </w:rPr>
      </w:r>
      <w:r w:rsidRPr="008B3F38">
        <w:rPr>
          <w:lang w:val="ru-RU"/>
        </w:rPr>
        <w:fldChar w:fldCharType="separate"/>
      </w:r>
      <w:r w:rsidRPr="008B3F38">
        <w:rPr>
          <w:lang w:val="ru-RU"/>
        </w:rPr>
        <w:t>9</w:t>
      </w:r>
      <w:r w:rsidRPr="008B3F38">
        <w:rPr>
          <w:lang w:val="ru-RU"/>
        </w:rPr>
        <w:fldChar w:fldCharType="end"/>
      </w:r>
    </w:p>
    <w:p w14:paraId="7816ECE7" w14:textId="4C8BC3F3" w:rsidR="00D21F9E" w:rsidRPr="008B3F38" w:rsidRDefault="00D21F9E" w:rsidP="00D21F9E">
      <w:pPr>
        <w:pStyle w:val="TOC1"/>
        <w:tabs>
          <w:tab w:val="clear" w:pos="7938"/>
          <w:tab w:val="clear" w:pos="8789"/>
          <w:tab w:val="left" w:leader="dot" w:pos="8222"/>
          <w:tab w:val="right" w:pos="9071"/>
        </w:tabs>
        <w:rPr>
          <w:rFonts w:asciiTheme="minorHAnsi" w:eastAsiaTheme="minorEastAsia" w:hAnsiTheme="minorHAnsi" w:cstheme="minorBidi"/>
          <w:b/>
          <w:bCs/>
          <w:kern w:val="2"/>
          <w:sz w:val="24"/>
          <w:szCs w:val="24"/>
          <w:lang w:val="ru-RU" w:eastAsia="en-GB"/>
          <w14:ligatures w14:val="standardContextual"/>
        </w:rPr>
      </w:pPr>
      <w:r w:rsidRPr="008B3F38">
        <w:rPr>
          <w:b/>
          <w:bCs/>
          <w:lang w:val="ru-RU"/>
        </w:rPr>
        <w:t>Часть вторая</w:t>
      </w:r>
      <w:r w:rsidRPr="008B3F38">
        <w:rPr>
          <w:b/>
          <w:bCs/>
          <w:lang w:val="ru-RU"/>
        </w:rPr>
        <w:tab/>
      </w:r>
      <w:r w:rsidRPr="008B3F38">
        <w:rPr>
          <w:b/>
          <w:bCs/>
          <w:lang w:val="ru-RU"/>
        </w:rPr>
        <w:tab/>
      </w:r>
      <w:r w:rsidRPr="008B3F38">
        <w:rPr>
          <w:b/>
          <w:bCs/>
          <w:lang w:val="ru-RU"/>
        </w:rPr>
        <w:fldChar w:fldCharType="begin"/>
      </w:r>
      <w:r w:rsidRPr="008B3F38">
        <w:rPr>
          <w:b/>
          <w:bCs/>
          <w:lang w:val="ru-RU"/>
        </w:rPr>
        <w:instrText xml:space="preserve"> PAGEREF _Toc201047356 \h </w:instrText>
      </w:r>
      <w:r w:rsidRPr="008B3F38">
        <w:rPr>
          <w:b/>
          <w:bCs/>
          <w:lang w:val="ru-RU"/>
        </w:rPr>
      </w:r>
      <w:r w:rsidRPr="008B3F38">
        <w:rPr>
          <w:b/>
          <w:bCs/>
          <w:lang w:val="ru-RU"/>
        </w:rPr>
        <w:fldChar w:fldCharType="separate"/>
      </w:r>
      <w:r w:rsidRPr="008B3F38">
        <w:rPr>
          <w:b/>
          <w:bCs/>
          <w:lang w:val="ru-RU"/>
        </w:rPr>
        <w:t>18</w:t>
      </w:r>
      <w:r w:rsidRPr="008B3F38">
        <w:rPr>
          <w:b/>
          <w:bCs/>
          <w:lang w:val="ru-RU"/>
        </w:rPr>
        <w:fldChar w:fldCharType="end"/>
      </w:r>
    </w:p>
    <w:p w14:paraId="228B4CA3" w14:textId="38847510" w:rsidR="00D21F9E" w:rsidRPr="008B3F38" w:rsidRDefault="00D21F9E" w:rsidP="00D21F9E">
      <w:pPr>
        <w:pStyle w:val="TOC1"/>
        <w:tabs>
          <w:tab w:val="clear" w:pos="7938"/>
          <w:tab w:val="clear" w:pos="8789"/>
          <w:tab w:val="left" w:leader="dot" w:pos="8222"/>
          <w:tab w:val="right" w:pos="9071"/>
        </w:tabs>
        <w:spacing w:before="120"/>
        <w:rPr>
          <w:rFonts w:asciiTheme="minorHAnsi" w:eastAsiaTheme="minorEastAsia" w:hAnsiTheme="minorHAnsi" w:cstheme="minorBidi"/>
          <w:kern w:val="2"/>
          <w:sz w:val="24"/>
          <w:szCs w:val="24"/>
          <w:lang w:val="ru-RU" w:eastAsia="en-GB"/>
          <w14:ligatures w14:val="standardContextual"/>
        </w:rPr>
      </w:pPr>
      <w:r w:rsidRPr="008B3F38">
        <w:rPr>
          <w:lang w:val="ru-RU"/>
        </w:rPr>
        <w:t>Общее управление и внутренний контроль</w:t>
      </w:r>
      <w:r w:rsidRPr="008B3F38">
        <w:rPr>
          <w:lang w:val="ru-RU"/>
        </w:rPr>
        <w:tab/>
      </w:r>
      <w:r w:rsidRPr="008B3F38">
        <w:rPr>
          <w:lang w:val="ru-RU"/>
        </w:rPr>
        <w:tab/>
      </w:r>
      <w:r w:rsidRPr="008B3F38">
        <w:rPr>
          <w:lang w:val="ru-RU"/>
        </w:rPr>
        <w:fldChar w:fldCharType="begin"/>
      </w:r>
      <w:r w:rsidRPr="008B3F38">
        <w:rPr>
          <w:lang w:val="ru-RU"/>
        </w:rPr>
        <w:instrText xml:space="preserve"> PAGEREF _Toc201047357 \h </w:instrText>
      </w:r>
      <w:r w:rsidRPr="008B3F38">
        <w:rPr>
          <w:lang w:val="ru-RU"/>
        </w:rPr>
      </w:r>
      <w:r w:rsidRPr="008B3F38">
        <w:rPr>
          <w:lang w:val="ru-RU"/>
        </w:rPr>
        <w:fldChar w:fldCharType="separate"/>
      </w:r>
      <w:r w:rsidRPr="008B3F38">
        <w:rPr>
          <w:lang w:val="ru-RU"/>
        </w:rPr>
        <w:t>18</w:t>
      </w:r>
      <w:r w:rsidRPr="008B3F38">
        <w:rPr>
          <w:lang w:val="ru-RU"/>
        </w:rPr>
        <w:fldChar w:fldCharType="end"/>
      </w:r>
    </w:p>
    <w:p w14:paraId="5507C049" w14:textId="60A1C160" w:rsidR="00D21F9E" w:rsidRPr="008B3F38" w:rsidRDefault="00D21F9E" w:rsidP="00D21F9E">
      <w:pPr>
        <w:pStyle w:val="TOC1"/>
        <w:tabs>
          <w:tab w:val="clear" w:pos="7938"/>
          <w:tab w:val="clear" w:pos="8789"/>
          <w:tab w:val="left" w:leader="dot" w:pos="8222"/>
          <w:tab w:val="right" w:pos="9071"/>
        </w:tabs>
        <w:spacing w:before="120"/>
        <w:rPr>
          <w:rFonts w:asciiTheme="minorHAnsi" w:eastAsiaTheme="minorEastAsia" w:hAnsiTheme="minorHAnsi" w:cstheme="minorBidi"/>
          <w:kern w:val="2"/>
          <w:sz w:val="24"/>
          <w:szCs w:val="24"/>
          <w:lang w:val="ru-RU" w:eastAsia="en-GB"/>
          <w14:ligatures w14:val="standardContextual"/>
        </w:rPr>
      </w:pPr>
      <w:r w:rsidRPr="008B3F38">
        <w:rPr>
          <w:lang w:val="ru-RU"/>
        </w:rPr>
        <w:t>Заключение о внутреннем контроле</w:t>
      </w:r>
      <w:r w:rsidRPr="008B3F38">
        <w:rPr>
          <w:lang w:val="ru-RU"/>
        </w:rPr>
        <w:tab/>
      </w:r>
      <w:r w:rsidRPr="008B3F38">
        <w:rPr>
          <w:lang w:val="ru-RU"/>
        </w:rPr>
        <w:tab/>
      </w:r>
      <w:r w:rsidRPr="008B3F38">
        <w:rPr>
          <w:lang w:val="ru-RU"/>
        </w:rPr>
        <w:fldChar w:fldCharType="begin"/>
      </w:r>
      <w:r w:rsidRPr="008B3F38">
        <w:rPr>
          <w:lang w:val="ru-RU"/>
        </w:rPr>
        <w:instrText xml:space="preserve"> PAGEREF _Toc201047358 \h </w:instrText>
      </w:r>
      <w:r w:rsidRPr="008B3F38">
        <w:rPr>
          <w:lang w:val="ru-RU"/>
        </w:rPr>
      </w:r>
      <w:r w:rsidRPr="008B3F38">
        <w:rPr>
          <w:lang w:val="ru-RU"/>
        </w:rPr>
        <w:fldChar w:fldCharType="separate"/>
      </w:r>
      <w:r w:rsidRPr="008B3F38">
        <w:rPr>
          <w:lang w:val="ru-RU"/>
        </w:rPr>
        <w:t>26</w:t>
      </w:r>
      <w:r w:rsidRPr="008B3F38">
        <w:rPr>
          <w:lang w:val="ru-RU"/>
        </w:rPr>
        <w:fldChar w:fldCharType="end"/>
      </w:r>
    </w:p>
    <w:p w14:paraId="25689DC4" w14:textId="2973F599" w:rsidR="00D21F9E" w:rsidRPr="008B3F38" w:rsidRDefault="00D21F9E" w:rsidP="00D21F9E">
      <w:pPr>
        <w:pStyle w:val="TOC1"/>
        <w:tabs>
          <w:tab w:val="clear" w:pos="7938"/>
          <w:tab w:val="clear" w:pos="8789"/>
          <w:tab w:val="left" w:leader="dot" w:pos="8222"/>
          <w:tab w:val="right" w:pos="9071"/>
        </w:tabs>
        <w:rPr>
          <w:rFonts w:asciiTheme="minorHAnsi" w:eastAsiaTheme="minorEastAsia" w:hAnsiTheme="minorHAnsi" w:cstheme="minorBidi"/>
          <w:b/>
          <w:bCs/>
          <w:kern w:val="2"/>
          <w:sz w:val="24"/>
          <w:szCs w:val="24"/>
          <w:lang w:val="ru-RU" w:eastAsia="en-GB"/>
          <w14:ligatures w14:val="standardContextual"/>
        </w:rPr>
      </w:pPr>
      <w:r w:rsidRPr="008B3F38">
        <w:rPr>
          <w:b/>
          <w:bCs/>
          <w:lang w:val="ru-RU"/>
        </w:rPr>
        <w:t>Часть третья</w:t>
      </w:r>
      <w:r w:rsidRPr="008B3F38">
        <w:rPr>
          <w:b/>
          <w:bCs/>
          <w:lang w:val="ru-RU"/>
        </w:rPr>
        <w:tab/>
      </w:r>
      <w:r w:rsidRPr="008B3F38">
        <w:rPr>
          <w:b/>
          <w:bCs/>
          <w:lang w:val="ru-RU"/>
        </w:rPr>
        <w:tab/>
      </w:r>
      <w:r w:rsidRPr="008B3F38">
        <w:rPr>
          <w:b/>
          <w:bCs/>
          <w:lang w:val="ru-RU"/>
        </w:rPr>
        <w:fldChar w:fldCharType="begin"/>
      </w:r>
      <w:r w:rsidRPr="008B3F38">
        <w:rPr>
          <w:b/>
          <w:bCs/>
          <w:lang w:val="ru-RU"/>
        </w:rPr>
        <w:instrText xml:space="preserve"> PAGEREF _Toc201047359 \h </w:instrText>
      </w:r>
      <w:r w:rsidRPr="008B3F38">
        <w:rPr>
          <w:b/>
          <w:bCs/>
          <w:lang w:val="ru-RU"/>
        </w:rPr>
      </w:r>
      <w:r w:rsidRPr="008B3F38">
        <w:rPr>
          <w:b/>
          <w:bCs/>
          <w:lang w:val="ru-RU"/>
        </w:rPr>
        <w:fldChar w:fldCharType="separate"/>
      </w:r>
      <w:r w:rsidRPr="008B3F38">
        <w:rPr>
          <w:b/>
          <w:bCs/>
          <w:lang w:val="ru-RU"/>
        </w:rPr>
        <w:t>27</w:t>
      </w:r>
      <w:r w:rsidRPr="008B3F38">
        <w:rPr>
          <w:b/>
          <w:bCs/>
          <w:lang w:val="ru-RU"/>
        </w:rPr>
        <w:fldChar w:fldCharType="end"/>
      </w:r>
    </w:p>
    <w:p w14:paraId="39793B99" w14:textId="269B28AB" w:rsidR="00D21F9E" w:rsidRPr="008B3F38" w:rsidRDefault="00D21F9E" w:rsidP="00D21F9E">
      <w:pPr>
        <w:pStyle w:val="TOC1"/>
        <w:tabs>
          <w:tab w:val="clear" w:pos="7938"/>
          <w:tab w:val="clear" w:pos="8789"/>
          <w:tab w:val="left" w:leader="dot" w:pos="8222"/>
          <w:tab w:val="right" w:pos="9071"/>
        </w:tabs>
        <w:spacing w:before="120"/>
        <w:rPr>
          <w:rFonts w:asciiTheme="minorHAnsi" w:eastAsiaTheme="minorEastAsia" w:hAnsiTheme="minorHAnsi" w:cstheme="minorBidi"/>
          <w:kern w:val="2"/>
          <w:sz w:val="24"/>
          <w:szCs w:val="24"/>
          <w:lang w:val="ru-RU" w:eastAsia="en-GB"/>
          <w14:ligatures w14:val="standardContextual"/>
        </w:rPr>
      </w:pPr>
      <w:r w:rsidRPr="008B3F38">
        <w:rPr>
          <w:lang w:val="ru-RU"/>
        </w:rPr>
        <w:t>Программа трансформации</w:t>
      </w:r>
      <w:r w:rsidRPr="008B3F38">
        <w:rPr>
          <w:lang w:val="ru-RU"/>
        </w:rPr>
        <w:tab/>
      </w:r>
      <w:r w:rsidRPr="008B3F38">
        <w:rPr>
          <w:lang w:val="ru-RU"/>
        </w:rPr>
        <w:tab/>
      </w:r>
      <w:r w:rsidRPr="008B3F38">
        <w:rPr>
          <w:lang w:val="ru-RU"/>
        </w:rPr>
        <w:fldChar w:fldCharType="begin"/>
      </w:r>
      <w:r w:rsidRPr="008B3F38">
        <w:rPr>
          <w:lang w:val="ru-RU"/>
        </w:rPr>
        <w:instrText xml:space="preserve"> PAGEREF _Toc201047360 \h </w:instrText>
      </w:r>
      <w:r w:rsidRPr="008B3F38">
        <w:rPr>
          <w:lang w:val="ru-RU"/>
        </w:rPr>
      </w:r>
      <w:r w:rsidRPr="008B3F38">
        <w:rPr>
          <w:lang w:val="ru-RU"/>
        </w:rPr>
        <w:fldChar w:fldCharType="separate"/>
      </w:r>
      <w:r w:rsidRPr="008B3F38">
        <w:rPr>
          <w:lang w:val="ru-RU"/>
        </w:rPr>
        <w:t>27</w:t>
      </w:r>
      <w:r w:rsidRPr="008B3F38">
        <w:rPr>
          <w:lang w:val="ru-RU"/>
        </w:rPr>
        <w:fldChar w:fldCharType="end"/>
      </w:r>
    </w:p>
    <w:p w14:paraId="7AF03CC9" w14:textId="3C65C09D" w:rsidR="00D21F9E" w:rsidRPr="008B3F38" w:rsidRDefault="00D21F9E" w:rsidP="00D21F9E">
      <w:pPr>
        <w:pStyle w:val="TOC1"/>
        <w:tabs>
          <w:tab w:val="clear" w:pos="7938"/>
          <w:tab w:val="clear" w:pos="8789"/>
          <w:tab w:val="left" w:leader="dot" w:pos="8222"/>
          <w:tab w:val="right" w:pos="9071"/>
        </w:tabs>
        <w:spacing w:before="120"/>
        <w:rPr>
          <w:rFonts w:asciiTheme="minorHAnsi" w:eastAsiaTheme="minorEastAsia" w:hAnsiTheme="minorHAnsi" w:cstheme="minorBidi"/>
          <w:kern w:val="2"/>
          <w:sz w:val="24"/>
          <w:szCs w:val="24"/>
          <w:lang w:val="ru-RU" w:eastAsia="en-GB"/>
          <w14:ligatures w14:val="standardContextual"/>
        </w:rPr>
      </w:pPr>
      <w:r w:rsidRPr="008B3F38">
        <w:rPr>
          <w:lang w:val="ru-RU"/>
        </w:rPr>
        <w:t>Проект строительства нового здания</w:t>
      </w:r>
      <w:r w:rsidRPr="008B3F38">
        <w:rPr>
          <w:lang w:val="ru-RU"/>
        </w:rPr>
        <w:tab/>
      </w:r>
      <w:r w:rsidRPr="008B3F38">
        <w:rPr>
          <w:lang w:val="ru-RU"/>
        </w:rPr>
        <w:tab/>
      </w:r>
      <w:r w:rsidRPr="008B3F38">
        <w:rPr>
          <w:lang w:val="ru-RU"/>
        </w:rPr>
        <w:fldChar w:fldCharType="begin"/>
      </w:r>
      <w:r w:rsidRPr="008B3F38">
        <w:rPr>
          <w:lang w:val="ru-RU"/>
        </w:rPr>
        <w:instrText xml:space="preserve"> PAGEREF _Toc201047361 \h </w:instrText>
      </w:r>
      <w:r w:rsidRPr="008B3F38">
        <w:rPr>
          <w:lang w:val="ru-RU"/>
        </w:rPr>
      </w:r>
      <w:r w:rsidRPr="008B3F38">
        <w:rPr>
          <w:lang w:val="ru-RU"/>
        </w:rPr>
        <w:fldChar w:fldCharType="separate"/>
      </w:r>
      <w:r w:rsidRPr="008B3F38">
        <w:rPr>
          <w:lang w:val="ru-RU"/>
        </w:rPr>
        <w:t>29</w:t>
      </w:r>
      <w:r w:rsidRPr="008B3F38">
        <w:rPr>
          <w:lang w:val="ru-RU"/>
        </w:rPr>
        <w:fldChar w:fldCharType="end"/>
      </w:r>
    </w:p>
    <w:p w14:paraId="6D58F3E9" w14:textId="71394054" w:rsidR="00D21F9E" w:rsidRPr="008B3F38" w:rsidRDefault="00D21F9E" w:rsidP="00D21F9E">
      <w:pPr>
        <w:pStyle w:val="TOC1"/>
        <w:tabs>
          <w:tab w:val="clear" w:pos="7938"/>
          <w:tab w:val="clear" w:pos="8789"/>
          <w:tab w:val="left" w:leader="dot" w:pos="8222"/>
          <w:tab w:val="right" w:pos="9071"/>
        </w:tabs>
        <w:spacing w:before="120"/>
        <w:rPr>
          <w:rFonts w:asciiTheme="minorHAnsi" w:eastAsiaTheme="minorEastAsia" w:hAnsiTheme="minorHAnsi" w:cstheme="minorBidi"/>
          <w:kern w:val="2"/>
          <w:sz w:val="24"/>
          <w:szCs w:val="24"/>
          <w:lang w:val="ru-RU" w:eastAsia="en-GB"/>
          <w14:ligatures w14:val="standardContextual"/>
        </w:rPr>
      </w:pPr>
      <w:r w:rsidRPr="008B3F38">
        <w:rPr>
          <w:lang w:val="ru-RU"/>
        </w:rPr>
        <w:t>Региональное присутствие МСЭ</w:t>
      </w:r>
      <w:r w:rsidRPr="008B3F38">
        <w:rPr>
          <w:lang w:val="ru-RU"/>
        </w:rPr>
        <w:tab/>
      </w:r>
      <w:r w:rsidRPr="008B3F38">
        <w:rPr>
          <w:lang w:val="ru-RU"/>
        </w:rPr>
        <w:tab/>
      </w:r>
      <w:r w:rsidRPr="008B3F38">
        <w:rPr>
          <w:lang w:val="ru-RU"/>
        </w:rPr>
        <w:fldChar w:fldCharType="begin"/>
      </w:r>
      <w:r w:rsidRPr="008B3F38">
        <w:rPr>
          <w:lang w:val="ru-RU"/>
        </w:rPr>
        <w:instrText xml:space="preserve"> PAGEREF _Toc201047362 \h </w:instrText>
      </w:r>
      <w:r w:rsidRPr="008B3F38">
        <w:rPr>
          <w:lang w:val="ru-RU"/>
        </w:rPr>
      </w:r>
      <w:r w:rsidRPr="008B3F38">
        <w:rPr>
          <w:lang w:val="ru-RU"/>
        </w:rPr>
        <w:fldChar w:fldCharType="separate"/>
      </w:r>
      <w:r w:rsidRPr="008B3F38">
        <w:rPr>
          <w:lang w:val="ru-RU"/>
        </w:rPr>
        <w:t>31</w:t>
      </w:r>
      <w:r w:rsidRPr="008B3F38">
        <w:rPr>
          <w:lang w:val="ru-RU"/>
        </w:rPr>
        <w:fldChar w:fldCharType="end"/>
      </w:r>
    </w:p>
    <w:p w14:paraId="08922C75" w14:textId="1AEBC07A" w:rsidR="00D21F9E" w:rsidRPr="008B3F38" w:rsidRDefault="00D21F9E" w:rsidP="00D21F9E">
      <w:pPr>
        <w:pStyle w:val="TOC1"/>
        <w:tabs>
          <w:tab w:val="clear" w:pos="7938"/>
          <w:tab w:val="clear" w:pos="8789"/>
          <w:tab w:val="left" w:leader="dot" w:pos="8222"/>
          <w:tab w:val="right" w:pos="9071"/>
        </w:tabs>
        <w:rPr>
          <w:rFonts w:asciiTheme="minorHAnsi" w:eastAsiaTheme="minorEastAsia" w:hAnsiTheme="minorHAnsi" w:cstheme="minorBidi"/>
          <w:b/>
          <w:bCs/>
          <w:kern w:val="2"/>
          <w:sz w:val="24"/>
          <w:szCs w:val="24"/>
          <w:lang w:val="ru-RU" w:eastAsia="en-GB"/>
          <w14:ligatures w14:val="standardContextual"/>
        </w:rPr>
      </w:pPr>
      <w:r w:rsidRPr="008B3F38">
        <w:rPr>
          <w:b/>
          <w:bCs/>
          <w:lang w:val="ru-RU"/>
        </w:rPr>
        <w:t>Часть четвертая</w:t>
      </w:r>
      <w:r w:rsidRPr="008B3F38">
        <w:rPr>
          <w:b/>
          <w:bCs/>
          <w:lang w:val="ru-RU"/>
        </w:rPr>
        <w:tab/>
      </w:r>
      <w:r w:rsidRPr="008B3F38">
        <w:rPr>
          <w:b/>
          <w:bCs/>
          <w:lang w:val="ru-RU"/>
        </w:rPr>
        <w:tab/>
      </w:r>
      <w:r w:rsidRPr="008B3F38">
        <w:rPr>
          <w:b/>
          <w:bCs/>
          <w:lang w:val="ru-RU"/>
        </w:rPr>
        <w:fldChar w:fldCharType="begin"/>
      </w:r>
      <w:r w:rsidRPr="008B3F38">
        <w:rPr>
          <w:b/>
          <w:bCs/>
          <w:lang w:val="ru-RU"/>
        </w:rPr>
        <w:instrText xml:space="preserve"> PAGEREF _Toc201047363 \h </w:instrText>
      </w:r>
      <w:r w:rsidRPr="008B3F38">
        <w:rPr>
          <w:b/>
          <w:bCs/>
          <w:lang w:val="ru-RU"/>
        </w:rPr>
      </w:r>
      <w:r w:rsidRPr="008B3F38">
        <w:rPr>
          <w:b/>
          <w:bCs/>
          <w:lang w:val="ru-RU"/>
        </w:rPr>
        <w:fldChar w:fldCharType="separate"/>
      </w:r>
      <w:r w:rsidRPr="008B3F38">
        <w:rPr>
          <w:b/>
          <w:bCs/>
          <w:lang w:val="ru-RU"/>
        </w:rPr>
        <w:t>33</w:t>
      </w:r>
      <w:r w:rsidRPr="008B3F38">
        <w:rPr>
          <w:b/>
          <w:bCs/>
          <w:lang w:val="ru-RU"/>
        </w:rPr>
        <w:fldChar w:fldCharType="end"/>
      </w:r>
    </w:p>
    <w:p w14:paraId="6AC02CE3" w14:textId="2106BF75" w:rsidR="00D21F9E" w:rsidRPr="008B3F38" w:rsidRDefault="00D21F9E" w:rsidP="00D21F9E">
      <w:pPr>
        <w:pStyle w:val="TOC1"/>
        <w:tabs>
          <w:tab w:val="clear" w:pos="7938"/>
          <w:tab w:val="clear" w:pos="8789"/>
          <w:tab w:val="left" w:leader="dot" w:pos="8222"/>
          <w:tab w:val="right" w:pos="9071"/>
        </w:tabs>
        <w:spacing w:before="120"/>
        <w:rPr>
          <w:rFonts w:asciiTheme="minorHAnsi" w:eastAsiaTheme="minorEastAsia" w:hAnsiTheme="minorHAnsi" w:cstheme="minorBidi"/>
          <w:kern w:val="2"/>
          <w:sz w:val="24"/>
          <w:szCs w:val="24"/>
          <w:lang w:val="ru-RU" w:eastAsia="en-GB"/>
          <w14:ligatures w14:val="standardContextual"/>
        </w:rPr>
      </w:pPr>
      <w:r w:rsidRPr="008B3F38">
        <w:rPr>
          <w:lang w:val="ru-RU"/>
        </w:rPr>
        <w:t>Ранее вынесенные рекомендации</w:t>
      </w:r>
      <w:r w:rsidRPr="008B3F38">
        <w:rPr>
          <w:lang w:val="ru-RU"/>
        </w:rPr>
        <w:tab/>
      </w:r>
      <w:r w:rsidRPr="008B3F38">
        <w:rPr>
          <w:lang w:val="ru-RU"/>
        </w:rPr>
        <w:tab/>
      </w:r>
      <w:r w:rsidRPr="008B3F38">
        <w:rPr>
          <w:lang w:val="ru-RU"/>
        </w:rPr>
        <w:fldChar w:fldCharType="begin"/>
      </w:r>
      <w:r w:rsidRPr="008B3F38">
        <w:rPr>
          <w:lang w:val="ru-RU"/>
        </w:rPr>
        <w:instrText xml:space="preserve"> PAGEREF _Toc201047364 \h </w:instrText>
      </w:r>
      <w:r w:rsidRPr="008B3F38">
        <w:rPr>
          <w:lang w:val="ru-RU"/>
        </w:rPr>
      </w:r>
      <w:r w:rsidRPr="008B3F38">
        <w:rPr>
          <w:lang w:val="ru-RU"/>
        </w:rPr>
        <w:fldChar w:fldCharType="separate"/>
      </w:r>
      <w:r w:rsidRPr="008B3F38">
        <w:rPr>
          <w:lang w:val="ru-RU"/>
        </w:rPr>
        <w:t>33</w:t>
      </w:r>
      <w:r w:rsidRPr="008B3F38">
        <w:rPr>
          <w:lang w:val="ru-RU"/>
        </w:rPr>
        <w:fldChar w:fldCharType="end"/>
      </w:r>
    </w:p>
    <w:p w14:paraId="6986FCFE" w14:textId="08758F4A" w:rsidR="00D21F9E" w:rsidRPr="008B3F38" w:rsidRDefault="00D21F9E" w:rsidP="00D21F9E">
      <w:pPr>
        <w:pStyle w:val="TOC1"/>
        <w:tabs>
          <w:tab w:val="clear" w:pos="7938"/>
          <w:tab w:val="clear" w:pos="8789"/>
          <w:tab w:val="left" w:leader="dot" w:pos="8222"/>
          <w:tab w:val="right" w:pos="9071"/>
        </w:tabs>
        <w:spacing w:before="120"/>
        <w:rPr>
          <w:rFonts w:asciiTheme="minorHAnsi" w:eastAsiaTheme="minorEastAsia" w:hAnsiTheme="minorHAnsi" w:cstheme="minorBidi"/>
          <w:kern w:val="2"/>
          <w:sz w:val="24"/>
          <w:szCs w:val="24"/>
          <w:lang w:val="ru-RU" w:eastAsia="en-GB"/>
          <w14:ligatures w14:val="standardContextual"/>
        </w:rPr>
      </w:pPr>
      <w:r w:rsidRPr="008B3F38">
        <w:rPr>
          <w:lang w:val="ru-RU"/>
        </w:rPr>
        <w:t>Выражение признательности</w:t>
      </w:r>
      <w:r w:rsidRPr="008B3F38">
        <w:rPr>
          <w:lang w:val="ru-RU"/>
        </w:rPr>
        <w:tab/>
      </w:r>
      <w:r w:rsidRPr="008B3F38">
        <w:rPr>
          <w:lang w:val="ru-RU"/>
        </w:rPr>
        <w:tab/>
      </w:r>
      <w:r w:rsidRPr="008B3F38">
        <w:rPr>
          <w:lang w:val="ru-RU"/>
        </w:rPr>
        <w:fldChar w:fldCharType="begin"/>
      </w:r>
      <w:r w:rsidRPr="008B3F38">
        <w:rPr>
          <w:lang w:val="ru-RU"/>
        </w:rPr>
        <w:instrText xml:space="preserve"> PAGEREF _Toc201047365 \h </w:instrText>
      </w:r>
      <w:r w:rsidRPr="008B3F38">
        <w:rPr>
          <w:lang w:val="ru-RU"/>
        </w:rPr>
      </w:r>
      <w:r w:rsidRPr="008B3F38">
        <w:rPr>
          <w:lang w:val="ru-RU"/>
        </w:rPr>
        <w:fldChar w:fldCharType="separate"/>
      </w:r>
      <w:r w:rsidRPr="008B3F38">
        <w:rPr>
          <w:lang w:val="ru-RU"/>
        </w:rPr>
        <w:t>35</w:t>
      </w:r>
      <w:r w:rsidRPr="008B3F38">
        <w:rPr>
          <w:lang w:val="ru-RU"/>
        </w:rPr>
        <w:fldChar w:fldCharType="end"/>
      </w:r>
    </w:p>
    <w:p w14:paraId="176D0D7F" w14:textId="29270F26" w:rsidR="00D21F9E" w:rsidRPr="008B3F38" w:rsidRDefault="00D21F9E" w:rsidP="00D21F9E">
      <w:pPr>
        <w:pStyle w:val="TOC1"/>
        <w:tabs>
          <w:tab w:val="clear" w:pos="7938"/>
          <w:tab w:val="clear" w:pos="8789"/>
          <w:tab w:val="left" w:leader="dot" w:pos="8222"/>
          <w:tab w:val="right" w:pos="9071"/>
        </w:tabs>
        <w:rPr>
          <w:rFonts w:asciiTheme="minorHAnsi" w:eastAsiaTheme="minorEastAsia" w:hAnsiTheme="minorHAnsi" w:cstheme="minorBidi"/>
          <w:b/>
          <w:bCs/>
          <w:kern w:val="2"/>
          <w:sz w:val="24"/>
          <w:szCs w:val="24"/>
          <w:lang w:val="ru-RU" w:eastAsia="en-GB"/>
          <w14:ligatures w14:val="standardContextual"/>
        </w:rPr>
      </w:pPr>
      <w:r w:rsidRPr="008B3F38">
        <w:rPr>
          <w:b/>
          <w:bCs/>
          <w:lang w:val="ru-RU"/>
        </w:rPr>
        <w:t>Дополнение 1 − Рекомендации за предыдущий год</w:t>
      </w:r>
      <w:r w:rsidRPr="008B3F38">
        <w:rPr>
          <w:b/>
          <w:bCs/>
          <w:lang w:val="ru-RU"/>
        </w:rPr>
        <w:tab/>
      </w:r>
      <w:r w:rsidRPr="008B3F38">
        <w:rPr>
          <w:b/>
          <w:bCs/>
          <w:lang w:val="ru-RU"/>
        </w:rPr>
        <w:tab/>
      </w:r>
      <w:r w:rsidRPr="008B3F38">
        <w:rPr>
          <w:b/>
          <w:bCs/>
          <w:lang w:val="ru-RU"/>
        </w:rPr>
        <w:fldChar w:fldCharType="begin"/>
      </w:r>
      <w:r w:rsidRPr="008B3F38">
        <w:rPr>
          <w:b/>
          <w:bCs/>
          <w:lang w:val="ru-RU"/>
        </w:rPr>
        <w:instrText xml:space="preserve"> PAGEREF _Toc201047367 \h </w:instrText>
      </w:r>
      <w:r w:rsidRPr="008B3F38">
        <w:rPr>
          <w:b/>
          <w:bCs/>
          <w:lang w:val="ru-RU"/>
        </w:rPr>
      </w:r>
      <w:r w:rsidRPr="008B3F38">
        <w:rPr>
          <w:b/>
          <w:bCs/>
          <w:lang w:val="ru-RU"/>
        </w:rPr>
        <w:fldChar w:fldCharType="separate"/>
      </w:r>
      <w:r w:rsidRPr="008B3F38">
        <w:rPr>
          <w:b/>
          <w:bCs/>
          <w:lang w:val="ru-RU"/>
        </w:rPr>
        <w:t>36</w:t>
      </w:r>
      <w:r w:rsidRPr="008B3F38">
        <w:rPr>
          <w:b/>
          <w:bCs/>
          <w:lang w:val="ru-RU"/>
        </w:rPr>
        <w:fldChar w:fldCharType="end"/>
      </w:r>
    </w:p>
    <w:p w14:paraId="46E76E39" w14:textId="5A7CFFFE" w:rsidR="00D21F9E" w:rsidRPr="008B3F38" w:rsidRDefault="00D21F9E" w:rsidP="00D21F9E">
      <w:pPr>
        <w:pStyle w:val="TOC1"/>
        <w:tabs>
          <w:tab w:val="clear" w:pos="7938"/>
          <w:tab w:val="clear" w:pos="8789"/>
          <w:tab w:val="left" w:leader="dot" w:pos="8222"/>
          <w:tab w:val="right" w:pos="9071"/>
        </w:tabs>
        <w:rPr>
          <w:rFonts w:asciiTheme="minorHAnsi" w:eastAsiaTheme="minorEastAsia" w:hAnsiTheme="minorHAnsi" w:cstheme="minorBidi"/>
          <w:b/>
          <w:bCs/>
          <w:kern w:val="2"/>
          <w:sz w:val="24"/>
          <w:szCs w:val="24"/>
          <w:lang w:val="ru-RU" w:eastAsia="en-GB"/>
          <w14:ligatures w14:val="standardContextual"/>
        </w:rPr>
      </w:pPr>
      <w:r w:rsidRPr="008B3F38">
        <w:rPr>
          <w:b/>
          <w:bCs/>
          <w:lang w:val="ru-RU"/>
        </w:rPr>
        <w:t>Дополнение 2 − Рекомендации Corte dei conti в процессе выполнения</w:t>
      </w:r>
      <w:r w:rsidRPr="008B3F38">
        <w:rPr>
          <w:b/>
          <w:bCs/>
          <w:lang w:val="ru-RU"/>
        </w:rPr>
        <w:tab/>
      </w:r>
      <w:r w:rsidRPr="008B3F38">
        <w:rPr>
          <w:b/>
          <w:bCs/>
          <w:lang w:val="ru-RU"/>
        </w:rPr>
        <w:tab/>
      </w:r>
      <w:r w:rsidRPr="008B3F38">
        <w:rPr>
          <w:b/>
          <w:bCs/>
          <w:lang w:val="ru-RU"/>
        </w:rPr>
        <w:fldChar w:fldCharType="begin"/>
      </w:r>
      <w:r w:rsidRPr="008B3F38">
        <w:rPr>
          <w:b/>
          <w:bCs/>
          <w:lang w:val="ru-RU"/>
        </w:rPr>
        <w:instrText xml:space="preserve"> PAGEREF _Toc201047369 \h </w:instrText>
      </w:r>
      <w:r w:rsidRPr="008B3F38">
        <w:rPr>
          <w:b/>
          <w:bCs/>
          <w:lang w:val="ru-RU"/>
        </w:rPr>
      </w:r>
      <w:r w:rsidRPr="008B3F38">
        <w:rPr>
          <w:b/>
          <w:bCs/>
          <w:lang w:val="ru-RU"/>
        </w:rPr>
        <w:fldChar w:fldCharType="separate"/>
      </w:r>
      <w:r w:rsidRPr="008B3F38">
        <w:rPr>
          <w:b/>
          <w:bCs/>
          <w:lang w:val="ru-RU"/>
        </w:rPr>
        <w:t>44</w:t>
      </w:r>
      <w:r w:rsidRPr="008B3F38">
        <w:rPr>
          <w:b/>
          <w:bCs/>
          <w:lang w:val="ru-RU"/>
        </w:rPr>
        <w:fldChar w:fldCharType="end"/>
      </w:r>
    </w:p>
    <w:p w14:paraId="752B006E" w14:textId="0857BE2A" w:rsidR="004E5F98" w:rsidRPr="008B3F38" w:rsidRDefault="00D21F9E" w:rsidP="007C0CD7">
      <w:pPr>
        <w:tabs>
          <w:tab w:val="clear" w:pos="794"/>
          <w:tab w:val="clear" w:pos="1191"/>
          <w:tab w:val="clear" w:pos="1588"/>
          <w:tab w:val="clear" w:pos="1985"/>
        </w:tabs>
        <w:overflowPunct/>
        <w:autoSpaceDE/>
        <w:autoSpaceDN/>
        <w:adjustRightInd/>
        <w:spacing w:before="0"/>
        <w:textAlignment w:val="auto"/>
        <w:rPr>
          <w:lang w:val="ru-RU"/>
        </w:rPr>
      </w:pPr>
      <w:r w:rsidRPr="008B3F38">
        <w:rPr>
          <w:lang w:val="ru-RU"/>
        </w:rPr>
        <w:fldChar w:fldCharType="end"/>
      </w:r>
      <w:r w:rsidR="004E5F98" w:rsidRPr="008B3F38">
        <w:rPr>
          <w:lang w:val="ru-RU"/>
        </w:rPr>
        <w:br w:type="page"/>
      </w:r>
    </w:p>
    <w:p w14:paraId="61A16EAA" w14:textId="77777777" w:rsidR="004E5F98" w:rsidRPr="008B3F38" w:rsidRDefault="004E5F98" w:rsidP="00426DF2">
      <w:pPr>
        <w:pStyle w:val="Heading1"/>
        <w:tabs>
          <w:tab w:val="clear" w:pos="774"/>
        </w:tabs>
        <w:ind w:left="0" w:firstLine="0"/>
        <w:rPr>
          <w:lang w:val="ru-RU"/>
        </w:rPr>
      </w:pPr>
      <w:bookmarkStart w:id="7" w:name="_Toc201047351"/>
      <w:r w:rsidRPr="008B3F38">
        <w:rPr>
          <w:lang w:val="ru-RU"/>
        </w:rPr>
        <w:lastRenderedPageBreak/>
        <w:t>Краткий обзор</w:t>
      </w:r>
      <w:bookmarkEnd w:id="7"/>
    </w:p>
    <w:p w14:paraId="091F65B3" w14:textId="77777777" w:rsidR="004E5F98" w:rsidRPr="008B3F38" w:rsidRDefault="004E5F98" w:rsidP="00426DF2">
      <w:pPr>
        <w:pStyle w:val="Heading1"/>
        <w:tabs>
          <w:tab w:val="clear" w:pos="774"/>
        </w:tabs>
        <w:spacing w:before="240"/>
        <w:ind w:left="0" w:firstLine="0"/>
        <w:rPr>
          <w:lang w:val="ru-RU"/>
        </w:rPr>
      </w:pPr>
      <w:bookmarkStart w:id="8" w:name="_Toc199491602"/>
      <w:bookmarkStart w:id="9" w:name="_Toc201047352"/>
      <w:r w:rsidRPr="008B3F38">
        <w:rPr>
          <w:lang w:val="ru-RU"/>
        </w:rPr>
        <w:t>Базовая информация</w:t>
      </w:r>
      <w:bookmarkEnd w:id="8"/>
      <w:bookmarkEnd w:id="9"/>
    </w:p>
    <w:p w14:paraId="148D4AC3" w14:textId="622B1E7A" w:rsidR="004E5F98" w:rsidRPr="008B3F38" w:rsidRDefault="004E5F98" w:rsidP="007C0CD7">
      <w:pPr>
        <w:rPr>
          <w:lang w:val="ru-RU"/>
        </w:rPr>
      </w:pPr>
      <w:bookmarkStart w:id="10" w:name="_Toc243706531"/>
      <w:r w:rsidRPr="008B3F38">
        <w:rPr>
          <w:b/>
          <w:bCs/>
          <w:lang w:val="ru-RU"/>
        </w:rPr>
        <w:t>1</w:t>
      </w:r>
      <w:r w:rsidRPr="008B3F38">
        <w:rPr>
          <w:lang w:val="ru-RU"/>
        </w:rPr>
        <w:tab/>
        <w:t>Международный союз электросвязи (МСЭ) является специализированным учреждением Организации Объединенных Наций в области информационно</w:t>
      </w:r>
      <w:r w:rsidR="00BC5697" w:rsidRPr="008B3F38">
        <w:rPr>
          <w:lang w:val="ru-RU"/>
        </w:rPr>
        <w:t>­</w:t>
      </w:r>
      <w:r w:rsidRPr="008B3F38">
        <w:rPr>
          <w:lang w:val="ru-RU"/>
        </w:rPr>
        <w:t>коммуникационных технологий. Он был основан в 1865 году для содействия международным соединениям в сетях связи. Он осуществляет распределение глобального радиочастотного спектра и спутниковых орбит, разрабатывает технические стандарты, которые обеспечивают беспрепятственное взаимодействие сетей и технологий, и направляет усилия на расширение доступа к электросвязи/ИКТ в обслуживаемых в недостаточной степени сообществах во всем</w:t>
      </w:r>
      <w:r w:rsidR="00BC5697" w:rsidRPr="008B3F38">
        <w:rPr>
          <w:lang w:val="ru-RU"/>
        </w:rPr>
        <w:t> </w:t>
      </w:r>
      <w:r w:rsidRPr="008B3F38">
        <w:rPr>
          <w:lang w:val="ru-RU"/>
        </w:rPr>
        <w:t>мире.</w:t>
      </w:r>
    </w:p>
    <w:p w14:paraId="0B79E04D" w14:textId="77777777" w:rsidR="004E5F98" w:rsidRPr="008B3F38" w:rsidRDefault="004E5F98" w:rsidP="00426DF2">
      <w:pPr>
        <w:pStyle w:val="Heading1"/>
        <w:tabs>
          <w:tab w:val="clear" w:pos="774"/>
        </w:tabs>
        <w:spacing w:before="240"/>
        <w:ind w:left="0" w:firstLine="0"/>
        <w:rPr>
          <w:lang w:val="ru-RU"/>
        </w:rPr>
      </w:pPr>
      <w:bookmarkStart w:id="11" w:name="_Toc137224223"/>
      <w:bookmarkStart w:id="12" w:name="_Toc199491603"/>
      <w:bookmarkStart w:id="13" w:name="_Toc201047353"/>
      <w:r w:rsidRPr="008B3F38">
        <w:rPr>
          <w:lang w:val="ru-RU"/>
        </w:rPr>
        <w:t>Основные выводы</w:t>
      </w:r>
      <w:bookmarkEnd w:id="11"/>
      <w:bookmarkEnd w:id="12"/>
      <w:bookmarkEnd w:id="13"/>
    </w:p>
    <w:p w14:paraId="5D9EAC0F" w14:textId="77777777" w:rsidR="004E5F98" w:rsidRPr="008B3F38" w:rsidRDefault="004E5F98" w:rsidP="00426DF2">
      <w:pPr>
        <w:pStyle w:val="Heading3"/>
        <w:rPr>
          <w:lang w:val="ru-RU"/>
        </w:rPr>
      </w:pPr>
      <w:r w:rsidRPr="008B3F38">
        <w:rPr>
          <w:lang w:val="ru-RU"/>
        </w:rPr>
        <w:t>Управление финансами</w:t>
      </w:r>
    </w:p>
    <w:p w14:paraId="2B3B9D3B" w14:textId="77777777" w:rsidR="004E5F98" w:rsidRPr="008B3F38" w:rsidRDefault="004E5F98" w:rsidP="007C0CD7">
      <w:pPr>
        <w:tabs>
          <w:tab w:val="left" w:pos="0"/>
        </w:tabs>
        <w:rPr>
          <w:lang w:val="ru-RU"/>
        </w:rPr>
      </w:pPr>
      <w:r w:rsidRPr="008B3F38">
        <w:rPr>
          <w:b/>
          <w:bCs/>
          <w:lang w:val="ru-RU"/>
        </w:rPr>
        <w:t>2</w:t>
      </w:r>
      <w:r w:rsidRPr="008B3F38">
        <w:rPr>
          <w:lang w:val="ru-RU"/>
        </w:rPr>
        <w:tab/>
        <w:t>В результате нашей проверки финансовой отчетности МСЭ за 2024 год было вынесено аудиторское заключение без оговорок. Мы не обнаружили существенных недостатков или ошибок, влияющих на точность, полноту или достоверность финансовой отчетности, которая была подготовлена в соответствии с IPSAS и Финансовым регламентом МСЭ. Мы отметили улучшение представления и качества финансовой отчетности, а также уменьшение количества вопросов, связанных с раскрытием информации, по сравнению с предыдущими годами. Дальнейшее совершенствование процедур закрытия и анализа отчетности будет иметь важное значение ввиду подготовки МСЭ к принятию новых стандартов IPSAS. В целом финансовое положение МСЭ остается достаточно стабильным; вместе с тем не решены долгосрочные проблемы, в первую очередь связанные со значительными нефинансируемыми обязательствами по вознаграждению сотрудников, что по-прежнему является наиболее серьезным финансовым риском для Союза.</w:t>
      </w:r>
    </w:p>
    <w:p w14:paraId="290BBBD9" w14:textId="2B3D26A8" w:rsidR="004E5F98" w:rsidRPr="008B3F38" w:rsidRDefault="004E5F98" w:rsidP="007C0CD7">
      <w:pPr>
        <w:tabs>
          <w:tab w:val="left" w:pos="0"/>
        </w:tabs>
        <w:rPr>
          <w:lang w:val="ru-RU"/>
        </w:rPr>
      </w:pPr>
      <w:r w:rsidRPr="008B3F38">
        <w:rPr>
          <w:b/>
          <w:bCs/>
          <w:lang w:val="ru-RU"/>
        </w:rPr>
        <w:t>3</w:t>
      </w:r>
      <w:r w:rsidRPr="008B3F38">
        <w:rPr>
          <w:lang w:val="ru-RU"/>
        </w:rPr>
        <w:tab/>
        <w:t>МСЭ сообщил об общем дефиците в 27,9 млн. швейцарских франков по IPSAS в</w:t>
      </w:r>
      <w:r w:rsidR="00EF0741" w:rsidRPr="008B3F38">
        <w:rPr>
          <w:lang w:val="ru-RU"/>
        </w:rPr>
        <w:t> </w:t>
      </w:r>
      <w:r w:rsidRPr="008B3F38">
        <w:rPr>
          <w:lang w:val="ru-RU"/>
        </w:rPr>
        <w:t>2024</w:t>
      </w:r>
      <w:r w:rsidR="00EF0741" w:rsidRPr="008B3F38">
        <w:rPr>
          <w:lang w:val="ru-RU"/>
        </w:rPr>
        <w:t> </w:t>
      </w:r>
      <w:r w:rsidRPr="008B3F38">
        <w:rPr>
          <w:lang w:val="ru-RU"/>
        </w:rPr>
        <w:t>году, при этом значительный вклад в итоговый показатель дефицита объясняется существенным обесценением капитализированных затрат по проекту в размере 21,0</w:t>
      </w:r>
      <w:r w:rsidR="00EF0741" w:rsidRPr="008B3F38">
        <w:rPr>
          <w:lang w:val="ru-RU"/>
        </w:rPr>
        <w:t> </w:t>
      </w:r>
      <w:r w:rsidRPr="008B3F38">
        <w:rPr>
          <w:lang w:val="ru-RU"/>
        </w:rPr>
        <w:t>млн.</w:t>
      </w:r>
      <w:r w:rsidR="00EF0741" w:rsidRPr="008B3F38">
        <w:rPr>
          <w:lang w:val="ru-RU"/>
        </w:rPr>
        <w:t> </w:t>
      </w:r>
      <w:r w:rsidRPr="008B3F38">
        <w:rPr>
          <w:lang w:val="ru-RU"/>
        </w:rPr>
        <w:t>швейцарских франков и увеличением резервных фондов в результате отзыва спонсорской поддержки нового здания на общую сумму 5,0 млн. швейцарских франков. Остаются проблемы, связанные с прогнозированием и возмещением затрат, в частности на деятельность в области спутниковых сетей. МСЭ продолжает сообщать об отрицательных чистых активах в размере 318,0 млн. швейцарских франков, что связанно в основном с необеспеченными обязательствами по выплатам после выхода в отставку. Мы подчеркиваем важность улучшения прогнозирования доходов, упреждающего управления дебиторской задолженностью и проведения переоценки целевых резервных фондов для поддержки финансовой устойчивости, особенно с учетом обязательств по АСХИ в размере 415,8</w:t>
      </w:r>
      <w:r w:rsidR="00EF0741" w:rsidRPr="008B3F38">
        <w:rPr>
          <w:lang w:val="ru-RU"/>
        </w:rPr>
        <w:t> </w:t>
      </w:r>
      <w:r w:rsidRPr="008B3F38">
        <w:rPr>
          <w:lang w:val="ru-RU"/>
        </w:rPr>
        <w:t>млн.</w:t>
      </w:r>
      <w:r w:rsidR="00EF0741" w:rsidRPr="008B3F38">
        <w:rPr>
          <w:lang w:val="ru-RU"/>
        </w:rPr>
        <w:t> </w:t>
      </w:r>
      <w:r w:rsidRPr="008B3F38">
        <w:rPr>
          <w:lang w:val="ru-RU"/>
        </w:rPr>
        <w:t>швейцарских франков и все более неопределенной экономической ситуации.</w:t>
      </w:r>
    </w:p>
    <w:p w14:paraId="42323E63" w14:textId="77777777" w:rsidR="004E5F98" w:rsidRPr="008B3F38" w:rsidRDefault="004E5F98" w:rsidP="00426DF2">
      <w:pPr>
        <w:pStyle w:val="Heading3"/>
        <w:rPr>
          <w:lang w:val="ru-RU"/>
        </w:rPr>
      </w:pPr>
      <w:r w:rsidRPr="008B3F38">
        <w:rPr>
          <w:lang w:val="ru-RU"/>
        </w:rPr>
        <w:t>Общее управление и внутренний контроль</w:t>
      </w:r>
    </w:p>
    <w:p w14:paraId="1C902B8B" w14:textId="0D4F9392" w:rsidR="004E5F98" w:rsidRPr="008B3F38" w:rsidRDefault="004E5F98" w:rsidP="007C0CD7">
      <w:pPr>
        <w:tabs>
          <w:tab w:val="left" w:pos="0"/>
        </w:tabs>
        <w:rPr>
          <w:lang w:val="ru-RU"/>
        </w:rPr>
      </w:pPr>
      <w:r w:rsidRPr="008B3F38">
        <w:rPr>
          <w:b/>
          <w:bCs/>
          <w:lang w:val="ru-RU"/>
        </w:rPr>
        <w:t>4</w:t>
      </w:r>
      <w:r w:rsidRPr="008B3F38">
        <w:rPr>
          <w:lang w:val="ru-RU"/>
        </w:rPr>
        <w:tab/>
        <w:t>МСЭ предпринял шаги по совершенствованию среды общего управления и контроля внутри организации путем принятия Комплексной системы внутреннего контроля COSO 2013</w:t>
      </w:r>
      <w:r w:rsidR="00EF0741" w:rsidRPr="008B3F38">
        <w:rPr>
          <w:lang w:val="ru-RU"/>
        </w:rPr>
        <w:t> </w:t>
      </w:r>
      <w:r w:rsidRPr="008B3F38">
        <w:rPr>
          <w:lang w:val="ru-RU"/>
        </w:rPr>
        <w:t>года и создания модели и системы подотчетности, одобренных Советом в 2022</w:t>
      </w:r>
      <w:r w:rsidR="00EF0741" w:rsidRPr="008B3F38">
        <w:rPr>
          <w:lang w:val="ru-RU"/>
        </w:rPr>
        <w:t> </w:t>
      </w:r>
      <w:r w:rsidRPr="008B3F38">
        <w:rPr>
          <w:lang w:val="ru-RU"/>
        </w:rPr>
        <w:t>году. Эти</w:t>
      </w:r>
      <w:r w:rsidR="00BC5697" w:rsidRPr="008B3F38">
        <w:rPr>
          <w:lang w:val="ru-RU"/>
        </w:rPr>
        <w:t> </w:t>
      </w:r>
      <w:r w:rsidRPr="008B3F38">
        <w:rPr>
          <w:lang w:val="ru-RU"/>
        </w:rPr>
        <w:t xml:space="preserve">инициативы являются фундаментом для внутреннего контроля, поскольку в них разъясняются функции и обязанности по всем трем линиям защиты и демонстрируется приверженность идеям усиления надзора и подтверждения достоверности. Однако внедрение этой комплексной системы производится непоследовательно и в самом Союзе, и в сети </w:t>
      </w:r>
      <w:r w:rsidRPr="008B3F38">
        <w:rPr>
          <w:lang w:val="ru-RU"/>
        </w:rPr>
        <w:lastRenderedPageBreak/>
        <w:t>региональных отделений, а такие ключевые механизмы, как делегирование полномочий и ответственность за риски, требуют доработки для обеспечения их эффективности.</w:t>
      </w:r>
    </w:p>
    <w:p w14:paraId="61E32339" w14:textId="77777777" w:rsidR="004E5F98" w:rsidRPr="008B3F38" w:rsidRDefault="004E5F98" w:rsidP="007C0CD7">
      <w:pPr>
        <w:keepLines/>
        <w:tabs>
          <w:tab w:val="left" w:pos="0"/>
        </w:tabs>
        <w:rPr>
          <w:lang w:val="ru-RU"/>
        </w:rPr>
      </w:pPr>
      <w:r w:rsidRPr="008B3F38">
        <w:rPr>
          <w:b/>
          <w:bCs/>
          <w:lang w:val="ru-RU"/>
        </w:rPr>
        <w:t>5</w:t>
      </w:r>
      <w:r w:rsidRPr="008B3F38">
        <w:rPr>
          <w:lang w:val="ru-RU"/>
        </w:rPr>
        <w:tab/>
        <w:t>На уровне организации был достигнут прогресс в том, что касается внедрения пересмотренных политик и инструментов, включая пересмотренный Устав надзора, усовершенствованные системы управления эффективностью деятельности и обязательную подготовку по вопросам этики. Эти меры служат отражением задаваемого на самом верху тона. Тем не менее в результате нашего обзора, в том числе исследования на местах в Региональном отделении для Азиатско-Тихоокеанского региона, был выявлен разрыв между подготовкой проектных решений и их практическим применением. В ряде случаев, например в случаях делегирования полномочий и применения механизмов финансового надзора, ответственность либо не документируется, либо не согласуется с реальными полномочиями и структурами контроля. Это подрывает обеспечение подотчетности и эффективность функций контроля первой линии. Процедура использования писем-представлений, являясь по сути важнейшим механизмом подтверждения достоверности, на практике не удовлетворяет реалиям работы, и на настоящее время в ней не предусмотрена адекватная процедура валидации и критической оценки.</w:t>
      </w:r>
    </w:p>
    <w:p w14:paraId="61CB3698" w14:textId="77777777" w:rsidR="004E5F98" w:rsidRPr="008B3F38" w:rsidRDefault="004E5F98" w:rsidP="007C0CD7">
      <w:pPr>
        <w:tabs>
          <w:tab w:val="left" w:pos="0"/>
        </w:tabs>
        <w:rPr>
          <w:lang w:val="ru-RU"/>
        </w:rPr>
      </w:pPr>
      <w:r w:rsidRPr="008B3F38">
        <w:rPr>
          <w:b/>
          <w:bCs/>
          <w:lang w:val="ru-RU"/>
        </w:rPr>
        <w:t>6</w:t>
      </w:r>
      <w:r w:rsidRPr="008B3F38">
        <w:rPr>
          <w:lang w:val="ru-RU"/>
        </w:rPr>
        <w:tab/>
        <w:t>Процессы управления рисками в МСЭ по-прежнему в значительной степени ориентированы на обеспечение соответствия в отрыве от стратегического планирования и управления эффективностью деятельности. В некоторых сегментах деятельности существуют реестры рисков и назначен специалист по управлению организационными деловыми рисками, однако имеются ограниченные свидетельства использования информации о рисках для обоснования принятия решений или при разработке механизмов контроля. На региональном уровне имеются пробелы как в потенциале, так и в интеграции систем, а отсутствие специализированных учебных курсов и надзора дополнительно сдерживает ведение работы с учетом рисков. Отсутствие системной оценки рисков мошенничества, несмотря на проблемы, имевшие место в Отделении для Азиатско-Тихоокеанского региона, является одним из основных недостатков в вопросах контроля, и его следует устранить в первую очередь.</w:t>
      </w:r>
    </w:p>
    <w:p w14:paraId="4BFA4CD8" w14:textId="40DCEEED" w:rsidR="004E5F98" w:rsidRPr="008B3F38" w:rsidRDefault="004E5F98" w:rsidP="007C0CD7">
      <w:pPr>
        <w:tabs>
          <w:tab w:val="left" w:pos="0"/>
        </w:tabs>
        <w:rPr>
          <w:lang w:val="ru-RU"/>
        </w:rPr>
      </w:pPr>
      <w:r w:rsidRPr="008B3F38">
        <w:rPr>
          <w:b/>
          <w:bCs/>
          <w:lang w:val="ru-RU"/>
        </w:rPr>
        <w:t>7</w:t>
      </w:r>
      <w:r w:rsidRPr="008B3F38">
        <w:rPr>
          <w:lang w:val="ru-RU"/>
        </w:rPr>
        <w:tab/>
        <w:t>Ведется разработка политики, однако осуществление мер контроля остается непоследовательным и незрелым. Система подотчетности предусматривает четкое описание обязанностей по контролю и последовательный мониторинг посредством проведения надзорных мероприятий второй линии со стороны руководства. Пока же невозможно говорить о</w:t>
      </w:r>
      <w:r w:rsidR="00195F96" w:rsidRPr="008B3F38">
        <w:rPr>
          <w:lang w:val="ru-RU"/>
        </w:rPr>
        <w:t> </w:t>
      </w:r>
      <w:r w:rsidRPr="008B3F38">
        <w:rPr>
          <w:lang w:val="ru-RU"/>
        </w:rPr>
        <w:t>системной ориентации деятельности на риски. Механизмы мониторинга МСЭ по-прежнему в значительной степени строятся на самооценке, а структурированный подход к подтверждению достоверности на второй и третьей линиях,</w:t>
      </w:r>
      <w:r w:rsidRPr="008B3F38">
        <w:rPr>
          <w:b/>
          <w:bCs/>
          <w:lang w:val="ru-RU"/>
        </w:rPr>
        <w:t xml:space="preserve"> </w:t>
      </w:r>
      <w:r w:rsidRPr="008B3F38">
        <w:rPr>
          <w:lang w:val="ru-RU"/>
        </w:rPr>
        <w:t>основанный на учете рисков, отсутствует. Мы</w:t>
      </w:r>
      <w:r w:rsidR="00EF0741" w:rsidRPr="008B3F38">
        <w:rPr>
          <w:lang w:val="ru-RU"/>
        </w:rPr>
        <w:t> </w:t>
      </w:r>
      <w:r w:rsidRPr="008B3F38">
        <w:rPr>
          <w:lang w:val="ru-RU"/>
        </w:rPr>
        <w:t>приветствуем приверженность руководства системе COSO, однако необходима дальнейшая работа для решения проблем, которые мы отметили, и получения выгод от механизмов подтверждения достоверности. Укрепление зрелости и потенциала второй и третьей линий – посредством постоянного внимательного мониторинга, оценивания и независимого аудита, в достаточной степени ориентированного на учет рисков, – будут иметь критическое значение для того, чтобы в полной мере реализовать цель Системы подотчетности и предоставление гарантий для Членов.</w:t>
      </w:r>
    </w:p>
    <w:p w14:paraId="5C62DC53" w14:textId="77777777" w:rsidR="004E5F98" w:rsidRPr="008B3F38" w:rsidRDefault="004E5F98" w:rsidP="00426DF2">
      <w:pPr>
        <w:pStyle w:val="Heading3"/>
        <w:rPr>
          <w:lang w:val="ru-RU"/>
        </w:rPr>
      </w:pPr>
      <w:r w:rsidRPr="008B3F38">
        <w:rPr>
          <w:lang w:val="ru-RU"/>
        </w:rPr>
        <w:t>Трансформация</w:t>
      </w:r>
    </w:p>
    <w:p w14:paraId="57AB3E88" w14:textId="2EDC5C86" w:rsidR="004E5F98" w:rsidRPr="008B3F38" w:rsidRDefault="004E5F98" w:rsidP="007C0CD7">
      <w:pPr>
        <w:tabs>
          <w:tab w:val="left" w:pos="0"/>
        </w:tabs>
        <w:rPr>
          <w:lang w:val="ru-RU"/>
        </w:rPr>
      </w:pPr>
      <w:r w:rsidRPr="008B3F38">
        <w:rPr>
          <w:b/>
          <w:bCs/>
          <w:lang w:val="ru-RU"/>
        </w:rPr>
        <w:t>8</w:t>
      </w:r>
      <w:r w:rsidRPr="008B3F38">
        <w:rPr>
          <w:lang w:val="ru-RU"/>
        </w:rPr>
        <w:tab/>
        <w:t>Программа трансформации МСЭ, объявленная в дорожной карте 2023</w:t>
      </w:r>
      <w:r w:rsidR="00EF0741" w:rsidRPr="008B3F38">
        <w:rPr>
          <w:lang w:val="ru-RU"/>
        </w:rPr>
        <w:t> </w:t>
      </w:r>
      <w:r w:rsidRPr="008B3F38">
        <w:rPr>
          <w:lang w:val="ru-RU"/>
        </w:rPr>
        <w:t>года, предоставляет собой важную и своевременную возможность для модернизации поддерживающих функций Союза и повышения эффективности его деятельности. В рамках этой программы, которая включает в себя пять тематических направлений – общее управление, системы, процессы и инструменты, люди и культура, оптимизация ресурсов, а</w:t>
      </w:r>
      <w:r w:rsidR="00195F96" w:rsidRPr="008B3F38">
        <w:rPr>
          <w:lang w:val="ru-RU"/>
        </w:rPr>
        <w:t> </w:t>
      </w:r>
      <w:r w:rsidRPr="008B3F38">
        <w:rPr>
          <w:lang w:val="ru-RU"/>
        </w:rPr>
        <w:t xml:space="preserve">также члены и партнеры, – были начаты ключевые инициативы и основополагающие </w:t>
      </w:r>
      <w:r w:rsidRPr="008B3F38">
        <w:rPr>
          <w:lang w:val="ru-RU"/>
        </w:rPr>
        <w:lastRenderedPageBreak/>
        <w:t>проекты, поддерживаемые такими инструментами, как информационная панель трансформации и внутренняя сеть ChangeMakers ("Носители перемен").</w:t>
      </w:r>
    </w:p>
    <w:p w14:paraId="5F8AD433" w14:textId="7F6A5F71" w:rsidR="004E5F98" w:rsidRPr="008B3F38" w:rsidRDefault="004E5F98" w:rsidP="007C0CD7">
      <w:pPr>
        <w:tabs>
          <w:tab w:val="left" w:pos="0"/>
        </w:tabs>
        <w:rPr>
          <w:lang w:val="ru-RU"/>
        </w:rPr>
      </w:pPr>
      <w:r w:rsidRPr="008B3F38">
        <w:rPr>
          <w:b/>
          <w:bCs/>
          <w:lang w:val="ru-RU"/>
        </w:rPr>
        <w:t>9</w:t>
      </w:r>
      <w:r w:rsidRPr="008B3F38">
        <w:rPr>
          <w:lang w:val="ru-RU"/>
        </w:rPr>
        <w:tab/>
        <w:t>Прогресс все еще находится на ранней стадии, и подробная операционная модель и система измерения еще не полностью внедрены. Сохраняется ограниченность ресурсов, и многие инициативы предполагают интеграцию в существующие планы работы департаментов. Мы считаем, что, хотя некоторые первоначальные шаги по рассмотрению альтернативных моделей предоставления услуг уже были предприняты, важно продолжать изучение вариантов для обеспечения эффективного использования ресурсов и раскрытия потенциальных выгод от трансформации. Пристальное внимание к изменению культуры организации, измерению эффективности деятельности и установлению приоритетов – вот что будет иметь решающее значение для достижения устойчивых результатов. Мы подчеркиваем важность постоянного надзора за общим управлением, подтверждения достоверности и согласования инициатив со стратегическими задачами – это ключевые факторы для смягчения рисков, присущих подобного рода программам изменений.</w:t>
      </w:r>
    </w:p>
    <w:p w14:paraId="6BFB9ED6" w14:textId="77777777" w:rsidR="004E5F98" w:rsidRPr="008B3F38" w:rsidRDefault="004E5F98" w:rsidP="00426DF2">
      <w:pPr>
        <w:pStyle w:val="Heading3"/>
        <w:rPr>
          <w:lang w:val="ru-RU"/>
        </w:rPr>
      </w:pPr>
      <w:r w:rsidRPr="008B3F38">
        <w:rPr>
          <w:lang w:val="ru-RU"/>
        </w:rPr>
        <w:t>Проект строительства нового здания</w:t>
      </w:r>
    </w:p>
    <w:p w14:paraId="2F0970AE" w14:textId="511DE96C" w:rsidR="004E5F98" w:rsidRPr="008B3F38" w:rsidRDefault="004E5F98" w:rsidP="007C0CD7">
      <w:pPr>
        <w:tabs>
          <w:tab w:val="left" w:pos="0"/>
        </w:tabs>
        <w:rPr>
          <w:lang w:val="ru-RU"/>
        </w:rPr>
      </w:pPr>
      <w:r w:rsidRPr="008B3F38">
        <w:rPr>
          <w:b/>
          <w:bCs/>
          <w:lang w:val="ru-RU"/>
        </w:rPr>
        <w:t>10</w:t>
      </w:r>
      <w:r w:rsidRPr="008B3F38">
        <w:rPr>
          <w:lang w:val="ru-RU"/>
        </w:rPr>
        <w:tab/>
        <w:t>После закрытия первоначального проекта в 2024 году Секретариат МСЭ произвел обесценение и списание затрат на общую сумму 22,2 млн. швейцарских франков и приступил к пересмотру объема работ по проекту здания "Варембе" в соответствии с Решением 640 Совета. Подготовлено пересмотренное краткое описание проекта и начато привлечение пользователей помещений, однако еще предстоит разработать подробное экономическое обоснование и определить выгоды от проекта. Секретариат вновь приступил к предварительному отбору архитекторов и процессу проведения тендера, который на момент составления отчета находится на этапе оценки. Ведутся переговоры со страной пребывания относительно изменения предназначения ссуды, а также ведется активная работа, связанная с соглашениями о спонсорской поддержке.</w:t>
      </w:r>
    </w:p>
    <w:p w14:paraId="18347D48" w14:textId="0390AEC0" w:rsidR="004E5F98" w:rsidRPr="008B3F38" w:rsidRDefault="004E5F98" w:rsidP="007C0CD7">
      <w:pPr>
        <w:tabs>
          <w:tab w:val="left" w:pos="0"/>
        </w:tabs>
        <w:rPr>
          <w:lang w:val="ru-RU"/>
        </w:rPr>
      </w:pPr>
      <w:r w:rsidRPr="008B3F38">
        <w:rPr>
          <w:b/>
          <w:bCs/>
          <w:lang w:val="ru-RU"/>
        </w:rPr>
        <w:t>11</w:t>
      </w:r>
      <w:r w:rsidRPr="008B3F38">
        <w:rPr>
          <w:lang w:val="ru-RU"/>
        </w:rPr>
        <w:tab/>
        <w:t>Несмотря на некоторые улучшения в системе управления, мы считаем, что проведенная оценка извлеченных уроков не была в достаточной степени независимой и в ходе нее не были в полной мере рассмотрены проблемы управления и надзора, благодаря чему можно было бы выявить слабые места на более ранней стадии и сократить убытки. По</w:t>
      </w:r>
      <w:r w:rsidR="0033523E" w:rsidRPr="008B3F38">
        <w:rPr>
          <w:rFonts w:ascii="Cambria Math" w:hAnsi="Cambria Math"/>
          <w:lang w:val="ru-RU"/>
        </w:rPr>
        <w:t>‑</w:t>
      </w:r>
      <w:r w:rsidRPr="008B3F38">
        <w:rPr>
          <w:lang w:val="ru-RU"/>
        </w:rPr>
        <w:t>прежнему крайне важно, чтобы МСЭ обеспечивал наличие надежных независимых механизмов подтверждения достоверности и обеспечения точной отчетности. Данные меры будут иметь первостепенное значение для восстановления доверия заинтересованных сторон и поддержки эффективной реализации этой масштабной программы капиталовложений. Мы</w:t>
      </w:r>
      <w:r w:rsidR="0033523E" w:rsidRPr="008B3F38">
        <w:rPr>
          <w:lang w:val="ru-RU"/>
        </w:rPr>
        <w:t> </w:t>
      </w:r>
      <w:r w:rsidRPr="008B3F38">
        <w:rPr>
          <w:lang w:val="ru-RU"/>
        </w:rPr>
        <w:t>повторили свои замечания, изложенные в предыдущих отчетах.</w:t>
      </w:r>
    </w:p>
    <w:p w14:paraId="30B7043B" w14:textId="77777777" w:rsidR="004E5F98" w:rsidRPr="008B3F38" w:rsidRDefault="004E5F98" w:rsidP="00426DF2">
      <w:pPr>
        <w:pStyle w:val="Heading3"/>
        <w:rPr>
          <w:lang w:val="ru-RU"/>
        </w:rPr>
      </w:pPr>
      <w:r w:rsidRPr="008B3F38">
        <w:rPr>
          <w:lang w:val="ru-RU"/>
        </w:rPr>
        <w:t>Стратегия МСЭ в отношении комплекса зданий МСЭ в Женеве</w:t>
      </w:r>
    </w:p>
    <w:p w14:paraId="782A1370" w14:textId="77777777" w:rsidR="004E5F98" w:rsidRPr="008B3F38" w:rsidRDefault="004E5F98" w:rsidP="007C0CD7">
      <w:pPr>
        <w:tabs>
          <w:tab w:val="left" w:pos="0"/>
        </w:tabs>
        <w:rPr>
          <w:lang w:val="ru-RU"/>
        </w:rPr>
      </w:pPr>
      <w:r w:rsidRPr="008B3F38">
        <w:rPr>
          <w:b/>
          <w:bCs/>
          <w:lang w:val="ru-RU"/>
        </w:rPr>
        <w:t>12</w:t>
      </w:r>
      <w:r w:rsidRPr="008B3F38">
        <w:rPr>
          <w:lang w:val="ru-RU"/>
        </w:rPr>
        <w:tab/>
        <w:t xml:space="preserve">Стратегический план в отношении комплекса зданий МСЭ в Женеве представляет перспективную основу для приведения физической инфраструктуры Союза в соответствие с его стратегическими целями при уделении особого внимания таким принципам, как финансовая рентабельность, устойчивость, гибкость при проектировании и ориентированность на человека. Предложение объединить функции рабочего пространства и помещений для конференций отражает эволюцию моделей работы в более широком публичном секторе и основано на исследованиях размещения и предварительном финансовом анализе. Вместе с тем в плане пока еще недостаточно подробно рассмотрены высокие структурные расходы на содержание центральной штаб-квартиры в Женеве. На наш взгляд, дальнейшая проработка стратегии должна включать тщательный анализ сценариев децентрализации, оценку целесообразности и экономической эффективности релокации непрофильных функций в места с более низкими затратами. Это расширит пакет обоснований для инвестиционных решений и </w:t>
      </w:r>
      <w:r w:rsidRPr="008B3F38">
        <w:rPr>
          <w:lang w:val="ru-RU"/>
        </w:rPr>
        <w:lastRenderedPageBreak/>
        <w:t>усилит приверженность Союза принципам оперативной эффективности и долгосрочной финансовой устойчивости.</w:t>
      </w:r>
    </w:p>
    <w:p w14:paraId="01389EE3" w14:textId="77777777" w:rsidR="004E5F98" w:rsidRPr="008B3F38" w:rsidRDefault="004E5F98" w:rsidP="00426DF2">
      <w:pPr>
        <w:pStyle w:val="Heading3"/>
        <w:rPr>
          <w:lang w:val="ru-RU"/>
        </w:rPr>
      </w:pPr>
      <w:r w:rsidRPr="008B3F38">
        <w:rPr>
          <w:lang w:val="ru-RU"/>
        </w:rPr>
        <w:t>Региональное присутствие МСЭ</w:t>
      </w:r>
    </w:p>
    <w:p w14:paraId="74340CDB" w14:textId="608CBF69" w:rsidR="004E5F98" w:rsidRPr="008B3F38" w:rsidRDefault="004E5F98" w:rsidP="007C0CD7">
      <w:pPr>
        <w:tabs>
          <w:tab w:val="left" w:pos="0"/>
        </w:tabs>
        <w:rPr>
          <w:lang w:val="ru-RU"/>
        </w:rPr>
      </w:pPr>
      <w:r w:rsidRPr="008B3F38">
        <w:rPr>
          <w:b/>
          <w:bCs/>
          <w:lang w:val="ru-RU"/>
        </w:rPr>
        <w:t>13</w:t>
      </w:r>
      <w:r w:rsidRPr="008B3F38">
        <w:rPr>
          <w:lang w:val="ru-RU"/>
        </w:rPr>
        <w:tab/>
        <w:t>МСЭ в соответствии с Решением 25 Полномочной конференции приступил к обзору своего регионального присутствия под руководством Рабочей группы Совета по финансовым и людским ресурсам. Обзор предоставляет возможность оценить эффективность децентрализованных операций и то, как они способствуют достижению стратегических целей Союза. Обзор проводится на основе комплексного круга ведения, в котором основное внимание уделяется показателям деятельности, эффективности и согласованности со</w:t>
      </w:r>
      <w:r w:rsidR="00195F96" w:rsidRPr="008B3F38">
        <w:rPr>
          <w:lang w:val="ru-RU"/>
        </w:rPr>
        <w:t> </w:t>
      </w:r>
      <w:r w:rsidRPr="008B3F38">
        <w:rPr>
          <w:lang w:val="ru-RU"/>
        </w:rPr>
        <w:t>Стратегическим планом, Кигалийским планом действий и нормативными документами ООН более общего характера, посвященными вопросам развития. В ходе нашей аудиторской проверки мы проанализировали деятельность Регионального отделения для Азиатско-Тихоокеанского региона и отметили, что несмотря на наличие четкой приверженности осуществлению проектной деятельности, существуют системные проблемы в области управления, планирования и подотчетности.</w:t>
      </w:r>
    </w:p>
    <w:p w14:paraId="0BDE15B7" w14:textId="1297F9D0" w:rsidR="004E5F98" w:rsidRPr="008B3F38" w:rsidRDefault="004E5F98" w:rsidP="007C0CD7">
      <w:pPr>
        <w:tabs>
          <w:tab w:val="left" w:pos="0"/>
        </w:tabs>
        <w:rPr>
          <w:lang w:val="ru-RU"/>
        </w:rPr>
      </w:pPr>
      <w:r w:rsidRPr="008B3F38">
        <w:rPr>
          <w:b/>
          <w:bCs/>
          <w:lang w:val="ru-RU"/>
        </w:rPr>
        <w:t>14</w:t>
      </w:r>
      <w:r w:rsidRPr="008B3F38">
        <w:rPr>
          <w:lang w:val="ru-RU"/>
        </w:rPr>
        <w:tab/>
        <w:t>В настоящее время региональные отделения в индивидуальном порядке не разрабатывают официальные планы работы, в которых были бы четко прописаны задачи, конечные результаты и метрики эффективности деятельности. На наш взгляд, отсутствие таких инструментов планирования препятствует возможности осуществлять мониторинг эффективности деятельности, отчитываться о соответствии глобальным приоритетам и демонстрировать значимость деятельности на местах. Выпуск временных руководящих указаний по разработке структурированных планов работы, содержащих поддающиеся измерению показатели, укрепит управление, повысит прозрачность при проведении обзора и усилит стратегический вклад присутствия МСЭ на региональном уровне.</w:t>
      </w:r>
    </w:p>
    <w:p w14:paraId="61F3B890" w14:textId="77777777" w:rsidR="004E5F98" w:rsidRPr="008B3F38" w:rsidRDefault="004E5F98" w:rsidP="00426DF2">
      <w:pPr>
        <w:pStyle w:val="Heading3"/>
        <w:rPr>
          <w:lang w:val="ru-RU"/>
        </w:rPr>
      </w:pPr>
      <w:r w:rsidRPr="008B3F38">
        <w:rPr>
          <w:lang w:val="ru-RU"/>
        </w:rPr>
        <w:t>Предыдущие рекомендации</w:t>
      </w:r>
    </w:p>
    <w:p w14:paraId="5DFC5729" w14:textId="6B574BCB" w:rsidR="004E5F98" w:rsidRPr="008B3F38" w:rsidRDefault="004E5F98" w:rsidP="007C0CD7">
      <w:pPr>
        <w:tabs>
          <w:tab w:val="left" w:pos="0"/>
        </w:tabs>
        <w:rPr>
          <w:lang w:val="ru-RU"/>
        </w:rPr>
      </w:pPr>
      <w:r w:rsidRPr="008B3F38">
        <w:rPr>
          <w:b/>
          <w:bCs/>
          <w:lang w:val="ru-RU"/>
        </w:rPr>
        <w:t>15</w:t>
      </w:r>
      <w:r w:rsidRPr="008B3F38">
        <w:rPr>
          <w:lang w:val="ru-RU"/>
        </w:rPr>
        <w:tab/>
        <w:t>С начала действия нашего мандата мы представили Совету 21 рекомендацию, пять из которых были закрыты, четыре выполнены, одна была закрыта как невыполненная, девять находятся в процессе выполнения, а две, касающиеся проекта нового здания, остаются открытыми как невыполненные.</w:t>
      </w:r>
    </w:p>
    <w:p w14:paraId="34A89A7C" w14:textId="0F03A389" w:rsidR="004E5F98" w:rsidRPr="008B3F38" w:rsidRDefault="004E5F98" w:rsidP="007C0CD7">
      <w:pPr>
        <w:tabs>
          <w:tab w:val="left" w:pos="0"/>
        </w:tabs>
        <w:rPr>
          <w:lang w:val="ru-RU"/>
        </w:rPr>
      </w:pPr>
      <w:r w:rsidRPr="008B3F38">
        <w:rPr>
          <w:b/>
          <w:bCs/>
          <w:lang w:val="ru-RU"/>
        </w:rPr>
        <w:t>16</w:t>
      </w:r>
      <w:r w:rsidRPr="008B3F38">
        <w:rPr>
          <w:lang w:val="ru-RU"/>
        </w:rPr>
        <w:tab/>
        <w:t>Опубликованное в мае 2024 года поручение Генерального секретаря о проведении всеобъемлющего обзора всех невыполненных рекомендаций стало желанным шагом на пути к активизации усилий по выполнению решений в этой области. Тем не менее проверка выявила критические пробелы, прежде всего в отслеживании и учете рекомендаций нашего предшественника из его более ранних специальных отчетов, в том числе о региональном присутствии и мошенничестве, которые не были включены в информационную панель по соблюдению рекомендаций и по которым не велась активная работа.</w:t>
      </w:r>
    </w:p>
    <w:p w14:paraId="433B51AD" w14:textId="19A56AC1" w:rsidR="004E5F98" w:rsidRPr="008B3F38" w:rsidRDefault="004E5F98" w:rsidP="007C0CD7">
      <w:pPr>
        <w:tabs>
          <w:tab w:val="left" w:pos="0"/>
        </w:tabs>
        <w:rPr>
          <w:lang w:val="ru-RU"/>
        </w:rPr>
      </w:pPr>
      <w:r w:rsidRPr="008B3F38">
        <w:rPr>
          <w:b/>
          <w:bCs/>
          <w:lang w:val="ru-RU"/>
        </w:rPr>
        <w:t>17</w:t>
      </w:r>
      <w:r w:rsidRPr="008B3F38">
        <w:rPr>
          <w:lang w:val="ru-RU"/>
        </w:rPr>
        <w:tab/>
        <w:t>В начале нашего срока мы приняли от наших предшественников 121 открытую рекомендацию. Хотя был достигнут определенный прогресс, ряд вопросов по-прежнему не решен. В частности, в наших собственных выводах мы продолжаем писать о давних проблемах, которые были изложены в тех специальных отчетах. Для устранения этих недостатков следует ввести более структурированный и методичный процесс, который гарантировал бы своевременное принятие мер по выполнению открытых рекомендаций, а Секретариату следует регулярно взаимодействовать с IMAC в целях представления отчетов о ходе работы и обеспечения прозрачности.</w:t>
      </w:r>
    </w:p>
    <w:p w14:paraId="55B93064" w14:textId="77777777" w:rsidR="004E5F98" w:rsidRPr="008B3F38" w:rsidRDefault="004E5F98" w:rsidP="0033523E">
      <w:pPr>
        <w:tabs>
          <w:tab w:val="left" w:pos="0"/>
        </w:tabs>
        <w:rPr>
          <w:lang w:val="ru-RU"/>
        </w:rPr>
      </w:pPr>
      <w:bookmarkStart w:id="14" w:name="_Toc199491604"/>
      <w:r w:rsidRPr="008B3F38">
        <w:rPr>
          <w:lang w:val="ru-RU"/>
        </w:rPr>
        <w:br w:type="page"/>
      </w:r>
    </w:p>
    <w:p w14:paraId="6B9CDEDF" w14:textId="77777777" w:rsidR="004E5F98" w:rsidRPr="008B3F38" w:rsidRDefault="004E5F98" w:rsidP="00426DF2">
      <w:pPr>
        <w:pStyle w:val="Heading1"/>
        <w:tabs>
          <w:tab w:val="clear" w:pos="774"/>
        </w:tabs>
        <w:ind w:left="0" w:firstLine="0"/>
        <w:rPr>
          <w:lang w:val="ru-RU"/>
        </w:rPr>
      </w:pPr>
      <w:bookmarkStart w:id="15" w:name="_Toc201047354"/>
      <w:r w:rsidRPr="008B3F38">
        <w:rPr>
          <w:lang w:val="ru-RU"/>
        </w:rPr>
        <w:lastRenderedPageBreak/>
        <w:t>Часть первая</w:t>
      </w:r>
      <w:bookmarkEnd w:id="10"/>
      <w:bookmarkEnd w:id="14"/>
      <w:bookmarkEnd w:id="15"/>
    </w:p>
    <w:p w14:paraId="7C1EF51D" w14:textId="77777777" w:rsidR="004E5F98" w:rsidRPr="008B3F38" w:rsidRDefault="004E5F98" w:rsidP="00426DF2">
      <w:pPr>
        <w:pStyle w:val="Heading1"/>
        <w:tabs>
          <w:tab w:val="clear" w:pos="774"/>
        </w:tabs>
        <w:spacing w:before="240"/>
        <w:ind w:left="0" w:firstLine="0"/>
        <w:rPr>
          <w:lang w:val="ru-RU"/>
        </w:rPr>
      </w:pPr>
      <w:bookmarkStart w:id="16" w:name="_Toc137224225"/>
      <w:bookmarkStart w:id="17" w:name="_Toc199491605"/>
      <w:bookmarkStart w:id="18" w:name="_Toc201047355"/>
      <w:r w:rsidRPr="008B3F38">
        <w:rPr>
          <w:lang w:val="ru-RU"/>
        </w:rPr>
        <w:t>Управление финансами</w:t>
      </w:r>
      <w:bookmarkEnd w:id="16"/>
      <w:bookmarkEnd w:id="17"/>
      <w:bookmarkEnd w:id="18"/>
    </w:p>
    <w:p w14:paraId="4AAE4D26" w14:textId="77777777" w:rsidR="004E5F98" w:rsidRPr="008B3F38" w:rsidRDefault="004E5F98" w:rsidP="00426DF2">
      <w:pPr>
        <w:pStyle w:val="Heading3"/>
        <w:rPr>
          <w:lang w:val="ru-RU"/>
        </w:rPr>
      </w:pPr>
      <w:r w:rsidRPr="008B3F38">
        <w:rPr>
          <w:lang w:val="ru-RU"/>
        </w:rPr>
        <w:t>Общие результаты аудита</w:t>
      </w:r>
    </w:p>
    <w:p w14:paraId="1BD28F23" w14:textId="79FD397D" w:rsidR="004E5F98" w:rsidRPr="008B3F38" w:rsidRDefault="004E5F98" w:rsidP="007C0CD7">
      <w:pPr>
        <w:tabs>
          <w:tab w:val="left" w:pos="0"/>
        </w:tabs>
        <w:rPr>
          <w:lang w:val="ru-RU"/>
        </w:rPr>
      </w:pPr>
      <w:r w:rsidRPr="008B3F38">
        <w:rPr>
          <w:b/>
          <w:bCs/>
          <w:lang w:val="ru-RU"/>
        </w:rPr>
        <w:t>1.1</w:t>
      </w:r>
      <w:r w:rsidRPr="008B3F38">
        <w:rPr>
          <w:lang w:val="ru-RU"/>
        </w:rPr>
        <w:tab/>
        <w:t>Проведенная нами аудиторская проверка финансовой отчетности МСЭ за 2024</w:t>
      </w:r>
      <w:r w:rsidR="0033523E" w:rsidRPr="008B3F38">
        <w:rPr>
          <w:lang w:val="ru-RU"/>
        </w:rPr>
        <w:t> </w:t>
      </w:r>
      <w:r w:rsidRPr="008B3F38">
        <w:rPr>
          <w:lang w:val="ru-RU"/>
        </w:rPr>
        <w:t>год не выявила недостатков или ошибок, которые мы сочли бы существенными в плане точности, полноты или обоснованности. Аудиторское заключение подтверждает, что данная финансовая отчетность во всех существенных отношениях четко отражает финансовое положение МСЭ, а</w:t>
      </w:r>
      <w:r w:rsidR="0033523E" w:rsidRPr="008B3F38">
        <w:rPr>
          <w:lang w:val="ru-RU"/>
        </w:rPr>
        <w:t> </w:t>
      </w:r>
      <w:r w:rsidRPr="008B3F38">
        <w:rPr>
          <w:lang w:val="ru-RU"/>
        </w:rPr>
        <w:t>также результаты его финансовой деятельности и движение денежных средств за закончившийся на тот момент год. Также подтверждается, что она была подготовлена в соответствии с Международными стандартами финансовой отчетности для общественного сектора (IPSAS). Кроме того, аудиторская проверка подтвердила, что во всех существенных аспектах операции в основе финансовой отчетности были совершены в соответствии с Финансовым регламентом и в целях, предусмотренных руководящими органами.</w:t>
      </w:r>
    </w:p>
    <w:p w14:paraId="77C9ED81" w14:textId="02936647" w:rsidR="004E5F98" w:rsidRPr="008B3F38" w:rsidRDefault="004E5F98" w:rsidP="007C0CD7">
      <w:pPr>
        <w:tabs>
          <w:tab w:val="left" w:pos="0"/>
        </w:tabs>
        <w:rPr>
          <w:lang w:val="ru-RU"/>
        </w:rPr>
      </w:pPr>
      <w:r w:rsidRPr="008B3F38">
        <w:rPr>
          <w:b/>
          <w:bCs/>
          <w:lang w:val="ru-RU"/>
        </w:rPr>
        <w:t>1.2</w:t>
      </w:r>
      <w:r w:rsidRPr="008B3F38">
        <w:rPr>
          <w:lang w:val="ru-RU"/>
        </w:rPr>
        <w:tab/>
        <w:t>Аудит включал общий обзор учетных процедур МСЭ, оценку внутреннего контроля, который влияет на наши аудиторские заключения, а также такую проверку учетных записей и других подтверждающих данных, как было сочтено необходимым в данных обстоятельствах. Наши процедуры аудиторской проверки были разработаны в первую очередь с целью формирования этих заключений. Аудиторская проверка не включала детальный анализ всех аспектов бюджетной и финансовой информационных систем, и ее результаты не следует рассматривать как исчерпывающее заявление по ним. Наконец, была проведена проверка с целью убедиться, что финансовая отчетность точно отражает учетные записи и что она была представлена объективно.</w:t>
      </w:r>
    </w:p>
    <w:p w14:paraId="18A96C1F" w14:textId="77777777" w:rsidR="004E5F98" w:rsidRPr="008B3F38" w:rsidRDefault="004E5F98" w:rsidP="00426DF2">
      <w:pPr>
        <w:pStyle w:val="Heading3"/>
        <w:rPr>
          <w:lang w:val="ru-RU"/>
        </w:rPr>
      </w:pPr>
      <w:r w:rsidRPr="008B3F38">
        <w:rPr>
          <w:lang w:val="ru-RU"/>
        </w:rPr>
        <w:t>Представление финансовой отчетности</w:t>
      </w:r>
    </w:p>
    <w:p w14:paraId="36A59749" w14:textId="6BC75AA0" w:rsidR="004E5F98" w:rsidRPr="008B3F38" w:rsidRDefault="004E5F98" w:rsidP="007C0CD7">
      <w:pPr>
        <w:tabs>
          <w:tab w:val="left" w:pos="0"/>
        </w:tabs>
        <w:rPr>
          <w:spacing w:val="-2"/>
          <w:lang w:val="ru-RU"/>
        </w:rPr>
      </w:pPr>
      <w:r w:rsidRPr="008B3F38">
        <w:rPr>
          <w:b/>
          <w:bCs/>
          <w:lang w:val="ru-RU"/>
        </w:rPr>
        <w:t>1.3</w:t>
      </w:r>
      <w:r w:rsidRPr="008B3F38">
        <w:rPr>
          <w:lang w:val="ru-RU"/>
        </w:rPr>
        <w:tab/>
        <w:t>В соответствии с нашими совместными планами в начале марта 2025</w:t>
      </w:r>
      <w:r w:rsidR="0033523E" w:rsidRPr="008B3F38">
        <w:rPr>
          <w:lang w:val="ru-RU"/>
        </w:rPr>
        <w:t> </w:t>
      </w:r>
      <w:r w:rsidRPr="008B3F38">
        <w:rPr>
          <w:lang w:val="ru-RU"/>
        </w:rPr>
        <w:t>года МСЭ представил для аудиторской проверки проект отчета о финансовой деятельности и финансовую отчетность за 2024 год. В целом представление и качество финансовой отчетности улучшились по сравнению с версиями, которые подавались для аудиторской проверки в предыдущие годы. Хотя в ходе первоначального рассмотрения мы по-прежнему обозначили некоторые вопросы в отношении представления и раскрытия информации, которые МСЭ следует принять во внимание, они были менее значимыми, чем выявленные в предыдущие годы. МСЭ указывает, что в целях дальнейшего совершенствования финансовой отчетности будет продолжена доработка процедур закрытия и анализа отчетности. Мы обсудили основные области, требующие улучшения, с руководством и Независимым консультативным комитетом по управлению (IMAC). Это будет особенно важно, поскольку в ближайшие два года будут введены новые стандарты отчетности IPSAS, что потребует дальнейшего развития политики и процессов учета.</w:t>
      </w:r>
    </w:p>
    <w:p w14:paraId="09A9A3F0" w14:textId="77777777" w:rsidR="004E5F98" w:rsidRPr="008B3F38" w:rsidRDefault="004E5F98" w:rsidP="00426DF2">
      <w:pPr>
        <w:pStyle w:val="Heading3"/>
        <w:rPr>
          <w:lang w:val="ru-RU"/>
        </w:rPr>
      </w:pPr>
      <w:r w:rsidRPr="008B3F38">
        <w:rPr>
          <w:lang w:val="ru-RU"/>
        </w:rPr>
        <w:t>Замечания в отношении финансовой отчетности</w:t>
      </w:r>
    </w:p>
    <w:p w14:paraId="4C02EE8D" w14:textId="77777777" w:rsidR="004E5F98" w:rsidRPr="008B3F38" w:rsidRDefault="004E5F98" w:rsidP="0033523E">
      <w:pPr>
        <w:pStyle w:val="Heading4"/>
        <w:rPr>
          <w:lang w:val="ru-RU"/>
        </w:rPr>
      </w:pPr>
      <w:r w:rsidRPr="008B3F38">
        <w:rPr>
          <w:lang w:val="ru-RU"/>
        </w:rPr>
        <w:t>Результаты финансовой деятельности</w:t>
      </w:r>
    </w:p>
    <w:p w14:paraId="27867230" w14:textId="65BFB4F6" w:rsidR="004E5F98" w:rsidRPr="008B3F38" w:rsidRDefault="004E5F98" w:rsidP="0033523E">
      <w:pPr>
        <w:rPr>
          <w:lang w:val="ru-RU"/>
        </w:rPr>
      </w:pPr>
      <w:r w:rsidRPr="008B3F38">
        <w:rPr>
          <w:b/>
          <w:bCs/>
          <w:lang w:val="ru-RU"/>
        </w:rPr>
        <w:t>1.4</w:t>
      </w:r>
      <w:r w:rsidRPr="008B3F38">
        <w:rPr>
          <w:lang w:val="ru-RU"/>
        </w:rPr>
        <w:tab/>
        <w:t>МСЭ сообщил об общем дефиците в размере 27,9 млн. швейцарских франков (дефицит 24,8</w:t>
      </w:r>
      <w:r w:rsidR="00195F96" w:rsidRPr="008B3F38">
        <w:rPr>
          <w:lang w:val="ru-RU"/>
        </w:rPr>
        <w:t> </w:t>
      </w:r>
      <w:r w:rsidRPr="008B3F38">
        <w:rPr>
          <w:lang w:val="ru-RU"/>
        </w:rPr>
        <w:t>млн. шв. фр. в 2023 г.), общих доходах в размере 184,6 млн. швейцарских франков (180,7</w:t>
      </w:r>
      <w:r w:rsidR="0033523E" w:rsidRPr="008B3F38">
        <w:rPr>
          <w:lang w:val="ru-RU"/>
        </w:rPr>
        <w:t> </w:t>
      </w:r>
      <w:r w:rsidRPr="008B3F38">
        <w:rPr>
          <w:lang w:val="ru-RU"/>
        </w:rPr>
        <w:t>млн.</w:t>
      </w:r>
      <w:r w:rsidR="0020122A" w:rsidRPr="008B3F38">
        <w:rPr>
          <w:lang w:val="ru-RU"/>
        </w:rPr>
        <w:t> </w:t>
      </w:r>
      <w:r w:rsidRPr="008B3F38">
        <w:rPr>
          <w:lang w:val="ru-RU"/>
        </w:rPr>
        <w:t>шв.</w:t>
      </w:r>
      <w:r w:rsidR="0020122A" w:rsidRPr="008B3F38">
        <w:rPr>
          <w:lang w:val="ru-RU"/>
        </w:rPr>
        <w:t> </w:t>
      </w:r>
      <w:r w:rsidRPr="008B3F38">
        <w:rPr>
          <w:lang w:val="ru-RU"/>
        </w:rPr>
        <w:t>фр. в 2023 г.) и расходах в размере 222,0 млн. швейцарских франков (197,2</w:t>
      </w:r>
      <w:r w:rsidR="0033523E" w:rsidRPr="008B3F38">
        <w:rPr>
          <w:lang w:val="ru-RU"/>
        </w:rPr>
        <w:t> </w:t>
      </w:r>
      <w:r w:rsidRPr="008B3F38">
        <w:rPr>
          <w:lang w:val="ru-RU"/>
        </w:rPr>
        <w:t>млн.</w:t>
      </w:r>
      <w:r w:rsidR="0033523E" w:rsidRPr="008B3F38">
        <w:rPr>
          <w:lang w:val="ru-RU"/>
        </w:rPr>
        <w:t> </w:t>
      </w:r>
      <w:r w:rsidRPr="008B3F38">
        <w:rPr>
          <w:lang w:val="ru-RU"/>
        </w:rPr>
        <w:t>шв.</w:t>
      </w:r>
      <w:r w:rsidR="0020122A" w:rsidRPr="008B3F38">
        <w:rPr>
          <w:lang w:val="ru-RU"/>
        </w:rPr>
        <w:t> </w:t>
      </w:r>
      <w:r w:rsidRPr="008B3F38">
        <w:rPr>
          <w:lang w:val="ru-RU"/>
        </w:rPr>
        <w:t>фр. в 2023 г.). Увеличение расходов на 24,8 млн. швейцарских франков вызвано обесценением капитализированной стоимости активов на этапе строительства, что связано с предыдущими затратами по проекту строительства нового здания (21,0</w:t>
      </w:r>
      <w:r w:rsidR="00195F96" w:rsidRPr="008B3F38">
        <w:rPr>
          <w:lang w:val="ru-RU"/>
        </w:rPr>
        <w:t> </w:t>
      </w:r>
      <w:r w:rsidRPr="008B3F38">
        <w:rPr>
          <w:lang w:val="ru-RU"/>
        </w:rPr>
        <w:t>млн.</w:t>
      </w:r>
      <w:r w:rsidR="0020122A" w:rsidRPr="008B3F38">
        <w:rPr>
          <w:lang w:val="ru-RU"/>
        </w:rPr>
        <w:t> </w:t>
      </w:r>
      <w:r w:rsidRPr="008B3F38">
        <w:rPr>
          <w:lang w:val="ru-RU"/>
        </w:rPr>
        <w:t>шв.</w:t>
      </w:r>
      <w:r w:rsidR="0020122A" w:rsidRPr="008B3F38">
        <w:rPr>
          <w:lang w:val="ru-RU"/>
        </w:rPr>
        <w:t> </w:t>
      </w:r>
      <w:r w:rsidRPr="008B3F38">
        <w:rPr>
          <w:lang w:val="ru-RU"/>
        </w:rPr>
        <w:t>фр.), увеличением резервного фонда для сомнительных долгов (6,4</w:t>
      </w:r>
      <w:r w:rsidR="00195F96" w:rsidRPr="008B3F38">
        <w:rPr>
          <w:lang w:val="ru-RU"/>
        </w:rPr>
        <w:t> </w:t>
      </w:r>
      <w:r w:rsidRPr="008B3F38">
        <w:rPr>
          <w:lang w:val="ru-RU"/>
        </w:rPr>
        <w:t>млн.</w:t>
      </w:r>
      <w:r w:rsidR="0020122A" w:rsidRPr="008B3F38">
        <w:rPr>
          <w:lang w:val="ru-RU"/>
        </w:rPr>
        <w:t> </w:t>
      </w:r>
      <w:r w:rsidRPr="008B3F38">
        <w:rPr>
          <w:lang w:val="ru-RU"/>
        </w:rPr>
        <w:t>шв.</w:t>
      </w:r>
      <w:r w:rsidR="0020122A" w:rsidRPr="008B3F38">
        <w:rPr>
          <w:lang w:val="ru-RU"/>
        </w:rPr>
        <w:t> </w:t>
      </w:r>
      <w:r w:rsidRPr="008B3F38">
        <w:rPr>
          <w:lang w:val="ru-RU"/>
        </w:rPr>
        <w:t xml:space="preserve">фр.) и созданием </w:t>
      </w:r>
      <w:r w:rsidRPr="008B3F38">
        <w:rPr>
          <w:lang w:val="ru-RU"/>
        </w:rPr>
        <w:lastRenderedPageBreak/>
        <w:t>резервного фонда для возврата средств по соглашению о спонсорской поддержке нового здания. Эти расходы были частично компенсированы сокращением расходов по персоналу (8,2</w:t>
      </w:r>
      <w:r w:rsidR="0033523E" w:rsidRPr="008B3F38">
        <w:rPr>
          <w:lang w:val="ru-RU"/>
        </w:rPr>
        <w:t> </w:t>
      </w:r>
      <w:r w:rsidRPr="008B3F38">
        <w:rPr>
          <w:lang w:val="ru-RU"/>
        </w:rPr>
        <w:t>млн.</w:t>
      </w:r>
      <w:r w:rsidR="0020122A" w:rsidRPr="008B3F38">
        <w:rPr>
          <w:lang w:val="ru-RU"/>
        </w:rPr>
        <w:t> </w:t>
      </w:r>
      <w:r w:rsidRPr="008B3F38">
        <w:rPr>
          <w:lang w:val="ru-RU"/>
        </w:rPr>
        <w:t>шв.</w:t>
      </w:r>
      <w:r w:rsidR="0020122A" w:rsidRPr="008B3F38">
        <w:rPr>
          <w:lang w:val="ru-RU"/>
        </w:rPr>
        <w:t> </w:t>
      </w:r>
      <w:r w:rsidRPr="008B3F38">
        <w:rPr>
          <w:lang w:val="ru-RU"/>
        </w:rPr>
        <w:t>фр.) в связи с сокращением чистых платежей за медицинское страхование после выхода в отставку (АСХИ), которые составили 7,8 млн. швейцарских франков в 2024</w:t>
      </w:r>
      <w:r w:rsidR="0033523E" w:rsidRPr="008B3F38">
        <w:rPr>
          <w:lang w:val="ru-RU"/>
        </w:rPr>
        <w:t> </w:t>
      </w:r>
      <w:r w:rsidRPr="008B3F38">
        <w:rPr>
          <w:lang w:val="ru-RU"/>
        </w:rPr>
        <w:t>году (11,6</w:t>
      </w:r>
      <w:r w:rsidR="0033523E" w:rsidRPr="008B3F38">
        <w:rPr>
          <w:lang w:val="ru-RU"/>
        </w:rPr>
        <w:t> </w:t>
      </w:r>
      <w:r w:rsidRPr="008B3F38">
        <w:rPr>
          <w:lang w:val="ru-RU"/>
        </w:rPr>
        <w:t>млн.</w:t>
      </w:r>
      <w:r w:rsidR="0020122A" w:rsidRPr="008B3F38">
        <w:rPr>
          <w:lang w:val="ru-RU"/>
        </w:rPr>
        <w:t> </w:t>
      </w:r>
      <w:r w:rsidRPr="008B3F38">
        <w:rPr>
          <w:lang w:val="ru-RU"/>
        </w:rPr>
        <w:t>шв.</w:t>
      </w:r>
      <w:r w:rsidR="0020122A" w:rsidRPr="008B3F38">
        <w:rPr>
          <w:lang w:val="ru-RU"/>
        </w:rPr>
        <w:t> </w:t>
      </w:r>
      <w:r w:rsidRPr="008B3F38">
        <w:rPr>
          <w:lang w:val="ru-RU"/>
        </w:rPr>
        <w:t>фр. в 2023 г.), и прочих затрат по персоналу (3,4</w:t>
      </w:r>
      <w:r w:rsidR="00195F96" w:rsidRPr="008B3F38">
        <w:rPr>
          <w:lang w:val="ru-RU"/>
        </w:rPr>
        <w:t> </w:t>
      </w:r>
      <w:r w:rsidRPr="008B3F38">
        <w:rPr>
          <w:lang w:val="ru-RU"/>
        </w:rPr>
        <w:t>млн. шв. фр.).</w:t>
      </w:r>
    </w:p>
    <w:p w14:paraId="6BD7628B" w14:textId="59ECAC1B" w:rsidR="004E5F98" w:rsidRPr="008B3F38" w:rsidRDefault="004E5F98" w:rsidP="0033523E">
      <w:pPr>
        <w:rPr>
          <w:lang w:val="ru-RU"/>
        </w:rPr>
      </w:pPr>
      <w:r w:rsidRPr="008B3F38">
        <w:rPr>
          <w:b/>
          <w:bCs/>
          <w:lang w:val="ru-RU"/>
        </w:rPr>
        <w:t>1.5</w:t>
      </w:r>
      <w:r w:rsidRPr="008B3F38">
        <w:rPr>
          <w:lang w:val="ru-RU"/>
        </w:rPr>
        <w:tab/>
        <w:t>Хотя МСЭ получил 9,5</w:t>
      </w:r>
      <w:r w:rsidR="00195F96" w:rsidRPr="008B3F38">
        <w:rPr>
          <w:lang w:val="ru-RU"/>
        </w:rPr>
        <w:t> </w:t>
      </w:r>
      <w:r w:rsidRPr="008B3F38">
        <w:rPr>
          <w:lang w:val="ru-RU"/>
        </w:rPr>
        <w:t>млн. швейцарских франков чистых финансовых поступлений, в основном в виде процентов на инвестиции (4,6</w:t>
      </w:r>
      <w:r w:rsidR="00195F96" w:rsidRPr="008B3F38">
        <w:rPr>
          <w:lang w:val="ru-RU"/>
        </w:rPr>
        <w:t> </w:t>
      </w:r>
      <w:r w:rsidRPr="008B3F38">
        <w:rPr>
          <w:lang w:val="ru-RU"/>
        </w:rPr>
        <w:t>млн.</w:t>
      </w:r>
      <w:r w:rsidR="0020122A" w:rsidRPr="008B3F38">
        <w:rPr>
          <w:lang w:val="ru-RU"/>
        </w:rPr>
        <w:t> </w:t>
      </w:r>
      <w:r w:rsidRPr="008B3F38">
        <w:rPr>
          <w:lang w:val="ru-RU"/>
        </w:rPr>
        <w:t>шв.</w:t>
      </w:r>
      <w:r w:rsidR="0020122A" w:rsidRPr="008B3F38">
        <w:rPr>
          <w:lang w:val="ru-RU"/>
        </w:rPr>
        <w:t> </w:t>
      </w:r>
      <w:r w:rsidRPr="008B3F38">
        <w:rPr>
          <w:lang w:val="ru-RU"/>
        </w:rPr>
        <w:t>фр.) и курсовой прибыли (5,7</w:t>
      </w:r>
      <w:r w:rsidR="0033523E" w:rsidRPr="008B3F38">
        <w:rPr>
          <w:lang w:val="ru-RU"/>
        </w:rPr>
        <w:t> </w:t>
      </w:r>
      <w:r w:rsidRPr="008B3F38">
        <w:rPr>
          <w:lang w:val="ru-RU"/>
        </w:rPr>
        <w:t>млн.</w:t>
      </w:r>
      <w:r w:rsidR="0033523E" w:rsidRPr="008B3F38">
        <w:rPr>
          <w:lang w:val="ru-RU"/>
        </w:rPr>
        <w:t> </w:t>
      </w:r>
      <w:r w:rsidRPr="008B3F38">
        <w:rPr>
          <w:lang w:val="ru-RU"/>
        </w:rPr>
        <w:t>шв.</w:t>
      </w:r>
      <w:r w:rsidR="0033523E" w:rsidRPr="008B3F38">
        <w:rPr>
          <w:lang w:val="ru-RU"/>
        </w:rPr>
        <w:t> </w:t>
      </w:r>
      <w:r w:rsidRPr="008B3F38">
        <w:rPr>
          <w:lang w:val="ru-RU"/>
        </w:rPr>
        <w:t>фр.), обусловленной изменением рыночной конъюнктуры, по сравнению с чистыми финансовыми поступлениями в размере 8,3</w:t>
      </w:r>
      <w:r w:rsidR="0020122A" w:rsidRPr="008B3F38">
        <w:rPr>
          <w:lang w:val="ru-RU"/>
        </w:rPr>
        <w:t> </w:t>
      </w:r>
      <w:r w:rsidRPr="008B3F38">
        <w:rPr>
          <w:lang w:val="ru-RU"/>
        </w:rPr>
        <w:t>млн. швейцарских франков в 2023</w:t>
      </w:r>
      <w:r w:rsidR="0033523E" w:rsidRPr="008B3F38">
        <w:rPr>
          <w:lang w:val="ru-RU"/>
        </w:rPr>
        <w:t> </w:t>
      </w:r>
      <w:r w:rsidRPr="008B3F38">
        <w:rPr>
          <w:lang w:val="ru-RU"/>
        </w:rPr>
        <w:t>году, общий дефицит за 2024 год превысил показатель 2023 года на 3,1</w:t>
      </w:r>
      <w:r w:rsidR="00195F96" w:rsidRPr="008B3F38">
        <w:rPr>
          <w:lang w:val="ru-RU"/>
        </w:rPr>
        <w:t> </w:t>
      </w:r>
      <w:r w:rsidRPr="008B3F38">
        <w:rPr>
          <w:lang w:val="ru-RU"/>
        </w:rPr>
        <w:t>млн. швейцарских франков.</w:t>
      </w:r>
    </w:p>
    <w:p w14:paraId="40EC56CC" w14:textId="77777777" w:rsidR="004E5F98" w:rsidRPr="008B3F38" w:rsidRDefault="004E5F98" w:rsidP="0033523E">
      <w:pPr>
        <w:pStyle w:val="Heading4"/>
        <w:rPr>
          <w:lang w:val="ru-RU"/>
        </w:rPr>
      </w:pPr>
      <w:r w:rsidRPr="008B3F38">
        <w:rPr>
          <w:lang w:val="ru-RU"/>
        </w:rPr>
        <w:t>Исполнение бюджета</w:t>
      </w:r>
    </w:p>
    <w:p w14:paraId="45CAA3F4" w14:textId="67935BA7" w:rsidR="004E5F98" w:rsidRPr="008B3F38" w:rsidRDefault="004E5F98" w:rsidP="0033523E">
      <w:pPr>
        <w:rPr>
          <w:lang w:val="ru-RU"/>
        </w:rPr>
      </w:pPr>
      <w:r w:rsidRPr="008B3F38">
        <w:rPr>
          <w:b/>
          <w:bCs/>
          <w:lang w:val="ru-RU"/>
        </w:rPr>
        <w:t>1.6</w:t>
      </w:r>
      <w:r w:rsidRPr="008B3F38">
        <w:rPr>
          <w:lang w:val="ru-RU"/>
        </w:rPr>
        <w:tab/>
        <w:t>В отчете о сравнении регулярного бюджета с фактическими данными показаны доходы и расходы по сравнению с утвержденным бюджетом, при этом фактические доходы составляют 161,5</w:t>
      </w:r>
      <w:r w:rsidR="0020122A" w:rsidRPr="008B3F38">
        <w:rPr>
          <w:lang w:val="ru-RU"/>
        </w:rPr>
        <w:t> </w:t>
      </w:r>
      <w:r w:rsidRPr="008B3F38">
        <w:rPr>
          <w:lang w:val="ru-RU"/>
        </w:rPr>
        <w:t>млн. швейцарских франков, фактические расходы составляют 155,8</w:t>
      </w:r>
      <w:r w:rsidR="0033523E" w:rsidRPr="008B3F38">
        <w:rPr>
          <w:lang w:val="ru-RU"/>
        </w:rPr>
        <w:t> </w:t>
      </w:r>
      <w:r w:rsidRPr="008B3F38">
        <w:rPr>
          <w:lang w:val="ru-RU"/>
        </w:rPr>
        <w:t>млн.</w:t>
      </w:r>
      <w:r w:rsidR="0033523E" w:rsidRPr="008B3F38">
        <w:rPr>
          <w:lang w:val="ru-RU"/>
        </w:rPr>
        <w:t> </w:t>
      </w:r>
      <w:r w:rsidRPr="008B3F38">
        <w:rPr>
          <w:lang w:val="ru-RU"/>
        </w:rPr>
        <w:t>швейцарских франков по сравнению со сбалансированным бюджетом объемом 164,9 млн.</w:t>
      </w:r>
      <w:r w:rsidR="0020122A" w:rsidRPr="008B3F38">
        <w:rPr>
          <w:lang w:val="ru-RU"/>
        </w:rPr>
        <w:t> </w:t>
      </w:r>
      <w:r w:rsidRPr="008B3F38">
        <w:rPr>
          <w:lang w:val="ru-RU"/>
        </w:rPr>
        <w:t>швейцарских франков. МСЭ сообщил об общем активном сальдо в размере 5,7</w:t>
      </w:r>
      <w:r w:rsidR="0033523E" w:rsidRPr="008B3F38">
        <w:rPr>
          <w:lang w:val="ru-RU"/>
        </w:rPr>
        <w:t> </w:t>
      </w:r>
      <w:r w:rsidRPr="008B3F38">
        <w:rPr>
          <w:lang w:val="ru-RU"/>
        </w:rPr>
        <w:t>млн.</w:t>
      </w:r>
      <w:r w:rsidR="0033523E" w:rsidRPr="008B3F38">
        <w:rPr>
          <w:lang w:val="ru-RU"/>
        </w:rPr>
        <w:t> </w:t>
      </w:r>
      <w:r w:rsidRPr="008B3F38">
        <w:rPr>
          <w:lang w:val="ru-RU"/>
        </w:rPr>
        <w:t>швейцарских франков по сравнению с целевым показателем безубыточности, однако доходы по линии возмещения затрат оказались на 6,1 млн. швейцарских франков меньше, чем в бюджете (на 7,0</w:t>
      </w:r>
      <w:r w:rsidR="0020122A" w:rsidRPr="008B3F38">
        <w:rPr>
          <w:lang w:val="ru-RU"/>
        </w:rPr>
        <w:t> </w:t>
      </w:r>
      <w:r w:rsidRPr="008B3F38">
        <w:rPr>
          <w:lang w:val="ru-RU"/>
        </w:rPr>
        <w:t>млн. шв. фр. меньше, чем в бюджете, в 2023 г.). Это недовыполнение бюджета, которое объясняется в основном продолжающимся снижением доходов по линии возмещения затрат на обработку заявок на регистрацию спутниковых сетей (SNF), было частично компенсировано получением процентов в размере 3,6</w:t>
      </w:r>
      <w:r w:rsidR="00195F96" w:rsidRPr="008B3F38">
        <w:rPr>
          <w:lang w:val="ru-RU"/>
        </w:rPr>
        <w:t> </w:t>
      </w:r>
      <w:r w:rsidRPr="008B3F38">
        <w:rPr>
          <w:lang w:val="ru-RU"/>
        </w:rPr>
        <w:t>млн. швейцарских франков против прогнозируемого 1,0 млн. швейцарских франков.</w:t>
      </w:r>
    </w:p>
    <w:p w14:paraId="0A00AB4D" w14:textId="77777777" w:rsidR="004E5F98" w:rsidRPr="008B3F38" w:rsidRDefault="004E5F98" w:rsidP="0033523E">
      <w:pPr>
        <w:rPr>
          <w:lang w:val="ru-RU"/>
        </w:rPr>
      </w:pPr>
      <w:r w:rsidRPr="008B3F38">
        <w:rPr>
          <w:b/>
          <w:bCs/>
          <w:lang w:val="ru-RU"/>
        </w:rPr>
        <w:t>1.7</w:t>
      </w:r>
      <w:r w:rsidRPr="008B3F38">
        <w:rPr>
          <w:lang w:val="ru-RU"/>
        </w:rPr>
        <w:tab/>
        <w:t>Прогноз доходов от SNF на 2024 год составил 14 млн. швейцарских франков, но фактические доходы составили 7,6 млн. швейцарских франков, что на 45,7% ниже прогноза. Прогноз доходов на 2025 год также составляет 14 млн. швейцарских франков, и, учитывая тенденцию последнего времени, МСЭ, вероятно, вновь сообщит о недополучении доходов от SNF. МСЭ сообщает, что разница между предусмотренными и фактическими суммами, по которым выставлены счета, возникает в результате перехода от представлений геостационарных спутниковых сетей к представлениям негеостационарных спутниковых систем. За негеостационарные спутниковые системы взимается более низкий сбор, что приводит к возникновению дефицита.</w:t>
      </w:r>
    </w:p>
    <w:p w14:paraId="56B84C6A" w14:textId="6A47B5A3" w:rsidR="004E5F98" w:rsidRPr="008B3F38" w:rsidRDefault="004E5F98" w:rsidP="0033523E">
      <w:pPr>
        <w:rPr>
          <w:lang w:val="ru-RU"/>
        </w:rPr>
      </w:pPr>
      <w:r w:rsidRPr="008B3F38">
        <w:rPr>
          <w:b/>
          <w:bCs/>
          <w:lang w:val="ru-RU"/>
        </w:rPr>
        <w:t>1.8</w:t>
      </w:r>
      <w:r w:rsidRPr="008B3F38">
        <w:rPr>
          <w:lang w:val="ru-RU"/>
        </w:rPr>
        <w:tab/>
        <w:t>Как мы уже отмечали выше, крайне важно, чтобы МСЭ продолжал уделять внимание точному прогнозированию доходов и соответствующим образом адаптировал свою операционную модель для этих видов деятельности. МСЭ следует определить области, где полное возмещение затрат по видам деятельности, к которым применяется принцип возмещения затрат, не обеспечивается. МСЭ следует использовать эти данные в целях определения того, следует ли осуществлять перекрестное субсидирование этих видов деятельности для достижения целей Союза, или же в целях обоснования решений по размеру сборов. В своем отчете за 2023 год мы отметили, что последняя оценка Генеральным секретарем затрат, связанных с обработкой заявок на регистрацию спутниковых сетей, представленная в Документе C24/16 Совета, составила 19,4 млн. швейцарских франков в 2023</w:t>
      </w:r>
      <w:r w:rsidR="0033523E" w:rsidRPr="008B3F38">
        <w:rPr>
          <w:lang w:val="ru-RU"/>
        </w:rPr>
        <w:t> </w:t>
      </w:r>
      <w:r w:rsidRPr="008B3F38">
        <w:rPr>
          <w:lang w:val="ru-RU"/>
        </w:rPr>
        <w:t>году. Это свидетельствует о недостаточном возмещении затрат в свете доходов в размере 10,6</w:t>
      </w:r>
      <w:r w:rsidR="0033523E" w:rsidRPr="008B3F38">
        <w:rPr>
          <w:lang w:val="ru-RU"/>
        </w:rPr>
        <w:t> </w:t>
      </w:r>
      <w:r w:rsidRPr="008B3F38">
        <w:rPr>
          <w:lang w:val="ru-RU"/>
        </w:rPr>
        <w:t>млн. швейцарских франков в 2023 году и 7,6 млн. швейцарских франков в 2024</w:t>
      </w:r>
      <w:r w:rsidR="00195F96" w:rsidRPr="008B3F38">
        <w:rPr>
          <w:lang w:val="ru-RU"/>
        </w:rPr>
        <w:t> </w:t>
      </w:r>
      <w:r w:rsidRPr="008B3F38">
        <w:rPr>
          <w:lang w:val="ru-RU"/>
        </w:rPr>
        <w:t>году. Отмечаем, что Совет будет рассматривать предложения об изменении методики расчета сборов за SNF. Мы продолжаем подчеркивать важность понимания полных затрат на предоставляемые услуги и использования этой информации для установления надлежащего размера сборов по всем видам деятельности.</w:t>
      </w:r>
    </w:p>
    <w:p w14:paraId="7758551F" w14:textId="77777777" w:rsidR="004E5F98" w:rsidRPr="008B3F38" w:rsidRDefault="004E5F98" w:rsidP="007C0CD7">
      <w:pPr>
        <w:tabs>
          <w:tab w:val="left" w:pos="0"/>
        </w:tabs>
        <w:rPr>
          <w:lang w:val="ru-RU"/>
        </w:rPr>
      </w:pPr>
      <w:r w:rsidRPr="008B3F38">
        <w:rPr>
          <w:b/>
          <w:bCs/>
          <w:lang w:val="ru-RU"/>
        </w:rPr>
        <w:lastRenderedPageBreak/>
        <w:t>1.9</w:t>
      </w:r>
      <w:r w:rsidRPr="008B3F38">
        <w:rPr>
          <w:lang w:val="ru-RU"/>
        </w:rPr>
        <w:tab/>
        <w:t>Что касается расходов, то общее недоосвоение бюджета имело место во всех Секторах МСЭ и более подробно описано в Примечании 24 к финансовой отчетности. Финансовое положение. Мы намерены более подробно рассмотреть бюджетные процессы МСЭ в ходе аудиторской проверки 2025 года.</w:t>
      </w:r>
    </w:p>
    <w:p w14:paraId="12C68591" w14:textId="77777777" w:rsidR="004E5F98" w:rsidRPr="008B3F38" w:rsidRDefault="004E5F98" w:rsidP="0033523E">
      <w:pPr>
        <w:pStyle w:val="Heading4"/>
        <w:rPr>
          <w:lang w:val="ru-RU"/>
        </w:rPr>
      </w:pPr>
      <w:r w:rsidRPr="008B3F38">
        <w:rPr>
          <w:lang w:val="ru-RU"/>
        </w:rPr>
        <w:t>Финансовое положение</w:t>
      </w:r>
    </w:p>
    <w:p w14:paraId="64FED687" w14:textId="1B2FF953" w:rsidR="004E5F98" w:rsidRPr="008B3F38" w:rsidRDefault="004E5F98" w:rsidP="007C0CD7">
      <w:pPr>
        <w:tabs>
          <w:tab w:val="left" w:pos="0"/>
        </w:tabs>
        <w:rPr>
          <w:lang w:val="ru-RU"/>
        </w:rPr>
      </w:pPr>
      <w:r w:rsidRPr="008B3F38">
        <w:rPr>
          <w:b/>
          <w:bCs/>
          <w:lang w:val="ru-RU"/>
        </w:rPr>
        <w:t>1.10</w:t>
      </w:r>
      <w:r w:rsidRPr="008B3F38">
        <w:rPr>
          <w:lang w:val="ru-RU"/>
        </w:rPr>
        <w:tab/>
        <w:t>В целом вследствие актуарных потерь в размере 32,7 млн. швейцарских франков в результате оценки медицинского страхования после выхода в отставку (АСХИ) и с учетом недостаточности доходов для покрытия расходов чистые пассивы увеличились до 318,0</w:t>
      </w:r>
      <w:r w:rsidR="0033523E" w:rsidRPr="008B3F38">
        <w:rPr>
          <w:lang w:val="ru-RU"/>
        </w:rPr>
        <w:t> </w:t>
      </w:r>
      <w:r w:rsidRPr="008B3F38">
        <w:rPr>
          <w:lang w:val="ru-RU"/>
        </w:rPr>
        <w:t>млн.</w:t>
      </w:r>
      <w:r w:rsidR="0020122A" w:rsidRPr="008B3F38">
        <w:rPr>
          <w:lang w:val="ru-RU"/>
        </w:rPr>
        <w:t> </w:t>
      </w:r>
      <w:r w:rsidRPr="008B3F38">
        <w:rPr>
          <w:lang w:val="ru-RU"/>
        </w:rPr>
        <w:t>швейцарских франков (257,4 млн. шв. фр. в 2023 г.).</w:t>
      </w:r>
      <w:bookmarkStart w:id="19" w:name="_Hlk145317899"/>
      <w:bookmarkEnd w:id="19"/>
    </w:p>
    <w:p w14:paraId="1F78E47E" w14:textId="09AF5471" w:rsidR="004E5F98" w:rsidRPr="008B3F38" w:rsidRDefault="004E5F98" w:rsidP="007C0CD7">
      <w:pPr>
        <w:tabs>
          <w:tab w:val="left" w:pos="0"/>
        </w:tabs>
        <w:rPr>
          <w:lang w:val="ru-RU"/>
        </w:rPr>
      </w:pPr>
      <w:r w:rsidRPr="008B3F38">
        <w:rPr>
          <w:b/>
          <w:bCs/>
          <w:lang w:val="ru-RU"/>
        </w:rPr>
        <w:t>1.11</w:t>
      </w:r>
      <w:r w:rsidRPr="008B3F38">
        <w:rPr>
          <w:lang w:val="ru-RU"/>
        </w:rPr>
        <w:tab/>
        <w:t>Общие активы увеличились на 14,2 млн. швейцарских франков и достигли 322,7</w:t>
      </w:r>
      <w:r w:rsidR="0033523E" w:rsidRPr="008B3F38">
        <w:rPr>
          <w:lang w:val="ru-RU"/>
        </w:rPr>
        <w:t> </w:t>
      </w:r>
      <w:r w:rsidRPr="008B3F38">
        <w:rPr>
          <w:lang w:val="ru-RU"/>
        </w:rPr>
        <w:t>млн.</w:t>
      </w:r>
      <w:r w:rsidR="0020122A" w:rsidRPr="008B3F38">
        <w:rPr>
          <w:lang w:val="ru-RU"/>
        </w:rPr>
        <w:t> </w:t>
      </w:r>
      <w:r w:rsidRPr="008B3F38">
        <w:rPr>
          <w:lang w:val="ru-RU"/>
        </w:rPr>
        <w:t>швейцарских франков. Эти активы включают денежные средства и инвестиции в размере 210,0</w:t>
      </w:r>
      <w:r w:rsidR="0033523E" w:rsidRPr="008B3F38">
        <w:rPr>
          <w:lang w:val="ru-RU"/>
        </w:rPr>
        <w:t> </w:t>
      </w:r>
      <w:r w:rsidRPr="008B3F38">
        <w:rPr>
          <w:lang w:val="ru-RU"/>
        </w:rPr>
        <w:t>млн. швейцарских франков (190,9 млн. шв. фр. в 2023 г.), а также материальные и нематериальные активы чистой балансовой стоимостью 68,8 млн. швейцарских франков (89,0</w:t>
      </w:r>
      <w:r w:rsidR="0033523E" w:rsidRPr="008B3F38">
        <w:rPr>
          <w:lang w:val="ru-RU"/>
        </w:rPr>
        <w:t> </w:t>
      </w:r>
      <w:r w:rsidRPr="008B3F38">
        <w:rPr>
          <w:lang w:val="ru-RU"/>
        </w:rPr>
        <w:t>млн. шв. фр. в 2023 г.), что отражает обесценение значительного объема активов на этапе строительства. Долговые обязательства по основным видам деятельности возросли до 36,5</w:t>
      </w:r>
      <w:r w:rsidR="0033523E" w:rsidRPr="008B3F38">
        <w:rPr>
          <w:lang w:val="ru-RU"/>
        </w:rPr>
        <w:t> </w:t>
      </w:r>
      <w:r w:rsidRPr="008B3F38">
        <w:rPr>
          <w:lang w:val="ru-RU"/>
        </w:rPr>
        <w:t>млн. швейцарских франков (22,4</w:t>
      </w:r>
      <w:r w:rsidR="0020122A" w:rsidRPr="008B3F38">
        <w:rPr>
          <w:lang w:val="ru-RU"/>
        </w:rPr>
        <w:t> </w:t>
      </w:r>
      <w:r w:rsidRPr="008B3F38">
        <w:rPr>
          <w:lang w:val="ru-RU"/>
        </w:rPr>
        <w:t>млн. шв. фр. в 2023 г.) после обесценения на сумму 43,3 млн. швейцарских франков (35,0</w:t>
      </w:r>
      <w:r w:rsidR="0020122A" w:rsidRPr="008B3F38">
        <w:rPr>
          <w:lang w:val="ru-RU"/>
        </w:rPr>
        <w:t> </w:t>
      </w:r>
      <w:r w:rsidRPr="008B3F38">
        <w:rPr>
          <w:lang w:val="ru-RU"/>
        </w:rPr>
        <w:t>млн. шв. фр. в 2023 г.), и это отражает мнение руководства о сумме, которая, как ожидается, не будет возмещена Членами и другими пользователями услуг. Эта сумма отражает значительное сокращение активов, имеющихся у Секретариата для осуществления деятельности.</w:t>
      </w:r>
    </w:p>
    <w:p w14:paraId="7BE27B61" w14:textId="76FB1616" w:rsidR="004E5F98" w:rsidRPr="008B3F38" w:rsidRDefault="004E5F98" w:rsidP="007C0CD7">
      <w:pPr>
        <w:tabs>
          <w:tab w:val="left" w:pos="0"/>
        </w:tabs>
        <w:rPr>
          <w:lang w:val="ru-RU"/>
        </w:rPr>
      </w:pPr>
      <w:r w:rsidRPr="008B3F38">
        <w:rPr>
          <w:b/>
          <w:bCs/>
          <w:lang w:val="ru-RU"/>
        </w:rPr>
        <w:t>1.12</w:t>
      </w:r>
      <w:r w:rsidRPr="008B3F38">
        <w:rPr>
          <w:lang w:val="ru-RU"/>
        </w:rPr>
        <w:tab/>
        <w:t>Общая сумма пассивов увеличилась на 74,8 млн. швейцарских франков и достигла 640,7</w:t>
      </w:r>
      <w:r w:rsidR="00195F96" w:rsidRPr="008B3F38">
        <w:rPr>
          <w:lang w:val="ru-RU"/>
        </w:rPr>
        <w:t> </w:t>
      </w:r>
      <w:r w:rsidRPr="008B3F38">
        <w:rPr>
          <w:lang w:val="ru-RU"/>
        </w:rPr>
        <w:t>млн. швейцарских франков. Пассивы включают начисленные взносы, полученные авансом, в размере 47,1 млн. швейцарских франков (50,5</w:t>
      </w:r>
      <w:r w:rsidR="00195F96" w:rsidRPr="008B3F38">
        <w:rPr>
          <w:lang w:val="ru-RU"/>
        </w:rPr>
        <w:t> </w:t>
      </w:r>
      <w:r w:rsidRPr="008B3F38">
        <w:rPr>
          <w:lang w:val="ru-RU"/>
        </w:rPr>
        <w:t>млн. шв. фр. в 2023 г.), средства третьих сторон (т.</w:t>
      </w:r>
      <w:r w:rsidR="00195F96" w:rsidRPr="008B3F38">
        <w:rPr>
          <w:lang w:val="ru-RU"/>
        </w:rPr>
        <w:t> </w:t>
      </w:r>
      <w:r w:rsidRPr="008B3F38">
        <w:rPr>
          <w:lang w:val="ru-RU"/>
        </w:rPr>
        <w:t>е.</w:t>
      </w:r>
      <w:r w:rsidR="00195F96" w:rsidRPr="008B3F38">
        <w:rPr>
          <w:lang w:val="ru-RU"/>
        </w:rPr>
        <w:t> </w:t>
      </w:r>
      <w:r w:rsidRPr="008B3F38">
        <w:rPr>
          <w:lang w:val="ru-RU"/>
        </w:rPr>
        <w:t>доноров) в размере 73,2 млн. швейцарских франков (41,5</w:t>
      </w:r>
      <w:r w:rsidR="00195F96" w:rsidRPr="008B3F38">
        <w:rPr>
          <w:lang w:val="ru-RU"/>
        </w:rPr>
        <w:t> </w:t>
      </w:r>
      <w:r w:rsidRPr="008B3F38">
        <w:rPr>
          <w:lang w:val="ru-RU"/>
        </w:rPr>
        <w:t>млн.</w:t>
      </w:r>
      <w:r w:rsidR="00195F96" w:rsidRPr="008B3F38">
        <w:rPr>
          <w:lang w:val="ru-RU"/>
        </w:rPr>
        <w:t> </w:t>
      </w:r>
      <w:r w:rsidRPr="008B3F38">
        <w:rPr>
          <w:lang w:val="ru-RU"/>
        </w:rPr>
        <w:t>шв.</w:t>
      </w:r>
      <w:r w:rsidR="00195F96" w:rsidRPr="008B3F38">
        <w:rPr>
          <w:lang w:val="ru-RU"/>
        </w:rPr>
        <w:t> </w:t>
      </w:r>
      <w:r w:rsidRPr="008B3F38">
        <w:rPr>
          <w:lang w:val="ru-RU"/>
        </w:rPr>
        <w:t>фр. в 2023 г.), займы в размере 53,3 млн. швейцарских франков (53,0</w:t>
      </w:r>
      <w:r w:rsidR="00195F96" w:rsidRPr="008B3F38">
        <w:rPr>
          <w:lang w:val="ru-RU"/>
        </w:rPr>
        <w:t> </w:t>
      </w:r>
      <w:r w:rsidRPr="008B3F38">
        <w:rPr>
          <w:lang w:val="ru-RU"/>
        </w:rPr>
        <w:t>млн.</w:t>
      </w:r>
      <w:r w:rsidR="00195F96" w:rsidRPr="008B3F38">
        <w:rPr>
          <w:lang w:val="ru-RU"/>
        </w:rPr>
        <w:t> </w:t>
      </w:r>
      <w:r w:rsidRPr="008B3F38">
        <w:rPr>
          <w:lang w:val="ru-RU"/>
        </w:rPr>
        <w:t>шв.</w:t>
      </w:r>
      <w:r w:rsidR="00195F96" w:rsidRPr="008B3F38">
        <w:rPr>
          <w:lang w:val="ru-RU"/>
        </w:rPr>
        <w:t> </w:t>
      </w:r>
      <w:r w:rsidRPr="008B3F38">
        <w:rPr>
          <w:lang w:val="ru-RU"/>
        </w:rPr>
        <w:t>фр. в 2023 г.) и общие обязательства по вознаграждению сотрудников в размере 441,4</w:t>
      </w:r>
      <w:r w:rsidR="00195F96" w:rsidRPr="008B3F38">
        <w:rPr>
          <w:lang w:val="ru-RU"/>
        </w:rPr>
        <w:t> </w:t>
      </w:r>
      <w:r w:rsidRPr="008B3F38">
        <w:rPr>
          <w:lang w:val="ru-RU"/>
        </w:rPr>
        <w:t>млн.</w:t>
      </w:r>
      <w:r w:rsidR="00195F96" w:rsidRPr="008B3F38">
        <w:rPr>
          <w:lang w:val="ru-RU"/>
        </w:rPr>
        <w:t> </w:t>
      </w:r>
      <w:r w:rsidRPr="008B3F38">
        <w:rPr>
          <w:lang w:val="ru-RU"/>
        </w:rPr>
        <w:t>швейцарских франков (399,4 млн.</w:t>
      </w:r>
      <w:r w:rsidR="00195F96" w:rsidRPr="008B3F38">
        <w:rPr>
          <w:lang w:val="ru-RU"/>
        </w:rPr>
        <w:t> </w:t>
      </w:r>
      <w:r w:rsidRPr="008B3F38">
        <w:rPr>
          <w:lang w:val="ru-RU"/>
        </w:rPr>
        <w:t>шв.</w:t>
      </w:r>
      <w:r w:rsidR="00195F96" w:rsidRPr="008B3F38">
        <w:rPr>
          <w:lang w:val="ru-RU"/>
        </w:rPr>
        <w:t> </w:t>
      </w:r>
      <w:r w:rsidRPr="008B3F38">
        <w:rPr>
          <w:lang w:val="ru-RU"/>
        </w:rPr>
        <w:t>фр. в 2023 г.). Из них 415,8 млн. швейцарских франков относятся к медицинскому страхованию после выхода в отставку, как показано в Примечании 16 к</w:t>
      </w:r>
      <w:r w:rsidR="0033523E" w:rsidRPr="008B3F38">
        <w:rPr>
          <w:lang w:val="ru-RU"/>
        </w:rPr>
        <w:t> </w:t>
      </w:r>
      <w:r w:rsidRPr="008B3F38">
        <w:rPr>
          <w:lang w:val="ru-RU"/>
        </w:rPr>
        <w:t>финансовой отчетности.</w:t>
      </w:r>
    </w:p>
    <w:p w14:paraId="3AA42EA0" w14:textId="1A7CAEF6" w:rsidR="004E5F98" w:rsidRPr="008B3F38" w:rsidRDefault="004E5F98" w:rsidP="007C0CD7">
      <w:pPr>
        <w:tabs>
          <w:tab w:val="left" w:pos="0"/>
        </w:tabs>
        <w:rPr>
          <w:lang w:val="ru-RU"/>
        </w:rPr>
      </w:pPr>
      <w:r w:rsidRPr="008B3F38">
        <w:rPr>
          <w:b/>
          <w:bCs/>
          <w:lang w:val="ru-RU"/>
        </w:rPr>
        <w:t>1.13</w:t>
      </w:r>
      <w:r w:rsidRPr="008B3F38">
        <w:rPr>
          <w:lang w:val="ru-RU"/>
        </w:rPr>
        <w:tab/>
        <w:t>В целом финансовое состояние МСЭ остается стабильным на протяжении последних четырех лет, но МСЭ по-прежнему сообщает об отрицательном значении чистых активов, в основном вследствие необеспеченных обязательств по вознаграждению сотрудников. На</w:t>
      </w:r>
      <w:r w:rsidR="0033523E" w:rsidRPr="008B3F38">
        <w:rPr>
          <w:lang w:val="ru-RU"/>
        </w:rPr>
        <w:t> </w:t>
      </w:r>
      <w:r w:rsidRPr="008B3F38">
        <w:rPr>
          <w:lang w:val="ru-RU"/>
        </w:rPr>
        <w:t>Рисунке 1 представлен анализ тенденций по некоторым ключевым показателям, используемым для иллюстрации финансового состояния организации и его изменения с течением времени. Этот анализ отражает взаимосвязь элементов учета. Например, на каждый один швейцарский франк текущих пассивов имеется 2,3 швейцарского франка текущих активов, что свидетельствует о том, что МСЭ может удовлетворить свои прямые потребности в денежных средствах.</w:t>
      </w:r>
    </w:p>
    <w:p w14:paraId="479D89AA" w14:textId="016D83B5" w:rsidR="004E5F98" w:rsidRPr="008B3F38" w:rsidRDefault="004E5F98" w:rsidP="007C0CD7">
      <w:pPr>
        <w:tabs>
          <w:tab w:val="left" w:pos="0"/>
        </w:tabs>
        <w:rPr>
          <w:lang w:val="ru-RU"/>
        </w:rPr>
      </w:pPr>
      <w:r w:rsidRPr="008B3F38">
        <w:rPr>
          <w:b/>
          <w:bCs/>
          <w:lang w:val="ru-RU"/>
        </w:rPr>
        <w:t>1.14</w:t>
      </w:r>
      <w:r w:rsidRPr="008B3F38">
        <w:rPr>
          <w:lang w:val="ru-RU"/>
        </w:rPr>
        <w:tab/>
        <w:t>Это представляется положительным, однако объясняется политикой МСЭ по управлению денежными средствами, согласно которой его денежные средства и инвестиции должны храниться в виде текущих активов, даже если они обеспечивают нетекущие пассивы, такие как средства доноров и резервные счета, включая вознаграждение сотрудников. Более точным показателем финансового состояния является отношение общей суммы активов к общей сумме пассивов: МСЭ в настоящее время располагает активами на сумму всего 0,5</w:t>
      </w:r>
      <w:r w:rsidR="0033523E" w:rsidRPr="008B3F38">
        <w:rPr>
          <w:lang w:val="ru-RU"/>
        </w:rPr>
        <w:t> </w:t>
      </w:r>
      <w:r w:rsidRPr="008B3F38">
        <w:rPr>
          <w:lang w:val="ru-RU"/>
        </w:rPr>
        <w:t>швейцарского франка для покрытия каждого швейцарского франка своих пассивов, на протяжении последних четырех лет этот показатель остается относительно стабильным. Это</w:t>
      </w:r>
      <w:r w:rsidR="00FB2F11" w:rsidRPr="008B3F38">
        <w:rPr>
          <w:lang w:val="ru-RU"/>
        </w:rPr>
        <w:t> </w:t>
      </w:r>
      <w:r w:rsidRPr="008B3F38">
        <w:rPr>
          <w:lang w:val="ru-RU"/>
        </w:rPr>
        <w:t>объясняется значительным объемом нефинансируемых обязательств, связанных с персоналом, о которых речь идет ниже в этом разделе.</w:t>
      </w:r>
    </w:p>
    <w:tbl>
      <w:tblPr>
        <w:tblW w:w="5000" w:type="pct"/>
        <w:tblBorders>
          <w:top w:val="single" w:sz="12" w:space="0" w:color="008000"/>
          <w:left w:val="nil"/>
          <w:bottom w:val="single" w:sz="12" w:space="0" w:color="008000"/>
          <w:right w:val="nil"/>
          <w:insideH w:val="nil"/>
          <w:insideV w:val="nil"/>
        </w:tblBorders>
        <w:tblLayout w:type="fixed"/>
        <w:tblLook w:val="00A0" w:firstRow="1" w:lastRow="0" w:firstColumn="1" w:lastColumn="0" w:noHBand="0" w:noVBand="0"/>
      </w:tblPr>
      <w:tblGrid>
        <w:gridCol w:w="4395"/>
        <w:gridCol w:w="1169"/>
        <w:gridCol w:w="1169"/>
        <w:gridCol w:w="1169"/>
        <w:gridCol w:w="1169"/>
      </w:tblGrid>
      <w:tr w:rsidR="004E5F98" w:rsidRPr="008B3F38" w14:paraId="0D6DA49E" w14:textId="77777777" w:rsidTr="0033523E">
        <w:tc>
          <w:tcPr>
            <w:tcW w:w="9071" w:type="dxa"/>
            <w:gridSpan w:val="5"/>
            <w:tcBorders>
              <w:bottom w:val="single" w:sz="6" w:space="0" w:color="008000"/>
            </w:tcBorders>
            <w:shd w:val="clear" w:color="auto" w:fill="auto"/>
          </w:tcPr>
          <w:p w14:paraId="6890933E" w14:textId="77777777" w:rsidR="004E5F98" w:rsidRPr="008B3F38" w:rsidRDefault="004E5F98" w:rsidP="007C0CD7">
            <w:pPr>
              <w:pStyle w:val="TableNo"/>
              <w:keepLines/>
              <w:spacing w:before="120"/>
              <w:jc w:val="left"/>
              <w:rPr>
                <w:b/>
                <w:bCs/>
                <w:lang w:val="ru-RU"/>
              </w:rPr>
            </w:pPr>
            <w:r w:rsidRPr="008B3F38">
              <w:rPr>
                <w:color w:val="000000"/>
                <w:lang w:val="ru-RU"/>
              </w:rPr>
              <w:lastRenderedPageBreak/>
              <w:t>Рисунок 1</w:t>
            </w:r>
          </w:p>
        </w:tc>
      </w:tr>
      <w:tr w:rsidR="004E5F98" w:rsidRPr="00DB788B" w14:paraId="3A417F58" w14:textId="77777777" w:rsidTr="0033523E">
        <w:tc>
          <w:tcPr>
            <w:tcW w:w="9071" w:type="dxa"/>
            <w:gridSpan w:val="5"/>
            <w:tcBorders>
              <w:top w:val="single" w:sz="6" w:space="0" w:color="008000"/>
            </w:tcBorders>
            <w:shd w:val="clear" w:color="auto" w:fill="auto"/>
          </w:tcPr>
          <w:p w14:paraId="42510BE1" w14:textId="77777777" w:rsidR="004E5F98" w:rsidRPr="008B3F38" w:rsidRDefault="004E5F98" w:rsidP="0033523E">
            <w:pPr>
              <w:pStyle w:val="Tabletitle"/>
              <w:keepLines/>
              <w:spacing w:before="80" w:after="80"/>
              <w:jc w:val="left"/>
              <w:rPr>
                <w:b w:val="0"/>
                <w:bCs/>
                <w:sz w:val="28"/>
                <w:szCs w:val="28"/>
                <w:lang w:val="ru-RU"/>
              </w:rPr>
            </w:pPr>
            <w:r w:rsidRPr="008B3F38">
              <w:rPr>
                <w:bCs/>
                <w:color w:val="000000"/>
                <w:lang w:val="ru-RU"/>
              </w:rPr>
              <w:t>Анализ ключевых коэффициентов финансового состояния МСЭ</w:t>
            </w:r>
          </w:p>
        </w:tc>
      </w:tr>
      <w:tr w:rsidR="0033523E" w:rsidRPr="008B3F38" w14:paraId="1D3E1361" w14:textId="77777777" w:rsidTr="0033523E">
        <w:tc>
          <w:tcPr>
            <w:tcW w:w="4395" w:type="dxa"/>
            <w:tcBorders>
              <w:bottom w:val="nil"/>
            </w:tcBorders>
            <w:shd w:val="clear" w:color="auto" w:fill="auto"/>
          </w:tcPr>
          <w:p w14:paraId="7DBF2D2E" w14:textId="77777777" w:rsidR="004E5F98" w:rsidRPr="008B3F38" w:rsidRDefault="004E5F98" w:rsidP="0033523E">
            <w:pPr>
              <w:pStyle w:val="Tablehead"/>
              <w:keepLines/>
              <w:rPr>
                <w:sz w:val="18"/>
                <w:szCs w:val="18"/>
                <w:lang w:val="ru-RU"/>
              </w:rPr>
            </w:pPr>
            <w:r w:rsidRPr="008B3F38">
              <w:rPr>
                <w:bCs/>
                <w:color w:val="000000"/>
                <w:sz w:val="18"/>
                <w:szCs w:val="18"/>
                <w:lang w:val="ru-RU"/>
              </w:rPr>
              <w:t>Коэффициент</w:t>
            </w:r>
          </w:p>
        </w:tc>
        <w:tc>
          <w:tcPr>
            <w:tcW w:w="1169" w:type="dxa"/>
            <w:shd w:val="clear" w:color="auto" w:fill="auto"/>
          </w:tcPr>
          <w:p w14:paraId="2A35323A" w14:textId="77777777" w:rsidR="004E5F98" w:rsidRPr="008B3F38" w:rsidRDefault="004E5F98" w:rsidP="0033523E">
            <w:pPr>
              <w:pStyle w:val="Tablehead"/>
              <w:keepLines/>
              <w:rPr>
                <w:sz w:val="18"/>
                <w:szCs w:val="18"/>
                <w:lang w:val="ru-RU"/>
              </w:rPr>
            </w:pPr>
            <w:r w:rsidRPr="008B3F38">
              <w:rPr>
                <w:bCs/>
                <w:color w:val="000000"/>
                <w:sz w:val="18"/>
                <w:szCs w:val="18"/>
                <w:lang w:val="ru-RU"/>
              </w:rPr>
              <w:t>2024 г</w:t>
            </w:r>
            <w:r w:rsidRPr="008B3F38">
              <w:rPr>
                <w:b w:val="0"/>
                <w:color w:val="000000"/>
                <w:sz w:val="18"/>
                <w:szCs w:val="18"/>
                <w:lang w:val="ru-RU"/>
              </w:rPr>
              <w:t>.</w:t>
            </w:r>
          </w:p>
        </w:tc>
        <w:tc>
          <w:tcPr>
            <w:tcW w:w="1169" w:type="dxa"/>
            <w:shd w:val="clear" w:color="auto" w:fill="auto"/>
          </w:tcPr>
          <w:p w14:paraId="55D49FEE" w14:textId="77777777" w:rsidR="004E5F98" w:rsidRPr="008B3F38" w:rsidRDefault="004E5F98" w:rsidP="0033523E">
            <w:pPr>
              <w:pStyle w:val="Tablehead"/>
              <w:keepLines/>
              <w:rPr>
                <w:sz w:val="18"/>
                <w:szCs w:val="18"/>
                <w:lang w:val="ru-RU"/>
              </w:rPr>
            </w:pPr>
            <w:r w:rsidRPr="008B3F38">
              <w:rPr>
                <w:bCs/>
                <w:color w:val="000000"/>
                <w:sz w:val="18"/>
                <w:szCs w:val="18"/>
                <w:lang w:val="ru-RU"/>
              </w:rPr>
              <w:t>2023</w:t>
            </w:r>
            <w:r w:rsidRPr="008B3F38">
              <w:rPr>
                <w:sz w:val="18"/>
                <w:szCs w:val="18"/>
                <w:lang w:val="ru-RU"/>
              </w:rPr>
              <w:t xml:space="preserve"> </w:t>
            </w:r>
            <w:r w:rsidRPr="008B3F38">
              <w:rPr>
                <w:bCs/>
                <w:color w:val="000000"/>
                <w:sz w:val="18"/>
                <w:szCs w:val="18"/>
                <w:lang w:val="ru-RU"/>
              </w:rPr>
              <w:t>г</w:t>
            </w:r>
            <w:r w:rsidRPr="008B3F38">
              <w:rPr>
                <w:b w:val="0"/>
                <w:color w:val="000000"/>
                <w:sz w:val="18"/>
                <w:szCs w:val="18"/>
                <w:lang w:val="ru-RU"/>
              </w:rPr>
              <w:t>.</w:t>
            </w:r>
          </w:p>
        </w:tc>
        <w:tc>
          <w:tcPr>
            <w:tcW w:w="1169" w:type="dxa"/>
            <w:shd w:val="clear" w:color="auto" w:fill="auto"/>
          </w:tcPr>
          <w:p w14:paraId="59084487" w14:textId="77777777" w:rsidR="004E5F98" w:rsidRPr="008B3F38" w:rsidRDefault="004E5F98" w:rsidP="0033523E">
            <w:pPr>
              <w:pStyle w:val="Tablehead"/>
              <w:keepLines/>
              <w:rPr>
                <w:sz w:val="18"/>
                <w:szCs w:val="18"/>
                <w:lang w:val="ru-RU"/>
              </w:rPr>
            </w:pPr>
            <w:r w:rsidRPr="008B3F38">
              <w:rPr>
                <w:bCs/>
                <w:color w:val="000000"/>
                <w:sz w:val="18"/>
                <w:szCs w:val="18"/>
                <w:lang w:val="ru-RU"/>
              </w:rPr>
              <w:t>2022</w:t>
            </w:r>
            <w:r w:rsidRPr="008B3F38">
              <w:rPr>
                <w:sz w:val="18"/>
                <w:szCs w:val="18"/>
                <w:lang w:val="ru-RU"/>
              </w:rPr>
              <w:t xml:space="preserve"> </w:t>
            </w:r>
            <w:r w:rsidRPr="008B3F38">
              <w:rPr>
                <w:bCs/>
                <w:color w:val="000000"/>
                <w:sz w:val="18"/>
                <w:szCs w:val="18"/>
                <w:lang w:val="ru-RU"/>
              </w:rPr>
              <w:t>г</w:t>
            </w:r>
            <w:r w:rsidRPr="008B3F38">
              <w:rPr>
                <w:b w:val="0"/>
                <w:color w:val="000000"/>
                <w:sz w:val="18"/>
                <w:szCs w:val="18"/>
                <w:lang w:val="ru-RU"/>
              </w:rPr>
              <w:t>.</w:t>
            </w:r>
          </w:p>
        </w:tc>
        <w:tc>
          <w:tcPr>
            <w:tcW w:w="1169" w:type="dxa"/>
            <w:shd w:val="clear" w:color="auto" w:fill="auto"/>
          </w:tcPr>
          <w:p w14:paraId="2D39CB6E" w14:textId="77777777" w:rsidR="004E5F98" w:rsidRPr="008B3F38" w:rsidRDefault="004E5F98" w:rsidP="0033523E">
            <w:pPr>
              <w:pStyle w:val="Tablehead"/>
              <w:keepLines/>
              <w:rPr>
                <w:sz w:val="18"/>
                <w:szCs w:val="18"/>
                <w:lang w:val="ru-RU"/>
              </w:rPr>
            </w:pPr>
            <w:r w:rsidRPr="008B3F38">
              <w:rPr>
                <w:bCs/>
                <w:color w:val="000000"/>
                <w:sz w:val="18"/>
                <w:szCs w:val="18"/>
                <w:lang w:val="ru-RU"/>
              </w:rPr>
              <w:t>2021</w:t>
            </w:r>
            <w:r w:rsidRPr="008B3F38">
              <w:rPr>
                <w:sz w:val="18"/>
                <w:szCs w:val="18"/>
                <w:lang w:val="ru-RU"/>
              </w:rPr>
              <w:t xml:space="preserve"> </w:t>
            </w:r>
            <w:r w:rsidRPr="008B3F38">
              <w:rPr>
                <w:bCs/>
                <w:color w:val="000000"/>
                <w:sz w:val="18"/>
                <w:szCs w:val="18"/>
                <w:lang w:val="ru-RU"/>
              </w:rPr>
              <w:t>г</w:t>
            </w:r>
            <w:r w:rsidRPr="008B3F38">
              <w:rPr>
                <w:b w:val="0"/>
                <w:color w:val="000000"/>
                <w:sz w:val="18"/>
                <w:szCs w:val="18"/>
                <w:lang w:val="ru-RU"/>
              </w:rPr>
              <w:t>.</w:t>
            </w:r>
          </w:p>
        </w:tc>
      </w:tr>
      <w:tr w:rsidR="0033523E" w:rsidRPr="008B3F38" w14:paraId="109DB885" w14:textId="77777777" w:rsidTr="0033523E">
        <w:tc>
          <w:tcPr>
            <w:tcW w:w="4395" w:type="dxa"/>
            <w:tcBorders>
              <w:top w:val="nil"/>
              <w:left w:val="nil"/>
              <w:bottom w:val="nil"/>
              <w:right w:val="nil"/>
            </w:tcBorders>
            <w:shd w:val="clear" w:color="auto" w:fill="auto"/>
          </w:tcPr>
          <w:p w14:paraId="717A3099" w14:textId="77777777" w:rsidR="004E5F98" w:rsidRPr="008B3F38" w:rsidRDefault="004E5F98" w:rsidP="0033523E">
            <w:pPr>
              <w:pStyle w:val="Tabletext"/>
              <w:rPr>
                <w:b/>
                <w:bCs/>
                <w:sz w:val="18"/>
                <w:szCs w:val="18"/>
                <w:lang w:val="ru-RU"/>
              </w:rPr>
            </w:pPr>
            <w:r w:rsidRPr="008B3F38">
              <w:rPr>
                <w:b/>
                <w:bCs/>
                <w:sz w:val="18"/>
                <w:szCs w:val="18"/>
                <w:lang w:val="ru-RU"/>
              </w:rPr>
              <w:t>Текущий коэффициент</w:t>
            </w:r>
          </w:p>
          <w:p w14:paraId="77A75EE8" w14:textId="77777777" w:rsidR="004E5F98" w:rsidRPr="008B3F38" w:rsidRDefault="004E5F98" w:rsidP="0033523E">
            <w:pPr>
              <w:pStyle w:val="Tabletext"/>
              <w:keepNext/>
              <w:keepLines/>
              <w:rPr>
                <w:sz w:val="18"/>
                <w:szCs w:val="18"/>
                <w:lang w:val="ru-RU"/>
              </w:rPr>
            </w:pPr>
            <w:r w:rsidRPr="008B3F38">
              <w:rPr>
                <w:sz w:val="18"/>
                <w:szCs w:val="18"/>
                <w:lang w:val="ru-RU"/>
              </w:rPr>
              <w:t>Текущие активы – Текущие обязательства</w:t>
            </w:r>
          </w:p>
        </w:tc>
        <w:tc>
          <w:tcPr>
            <w:tcW w:w="1169" w:type="dxa"/>
            <w:tcBorders>
              <w:left w:val="nil"/>
            </w:tcBorders>
            <w:shd w:val="clear" w:color="auto" w:fill="auto"/>
            <w:vAlign w:val="bottom"/>
          </w:tcPr>
          <w:p w14:paraId="6AF0D7E6" w14:textId="0DC0B351" w:rsidR="004E5F98" w:rsidRPr="008B3F38" w:rsidRDefault="004E5F98" w:rsidP="0033523E">
            <w:pPr>
              <w:pStyle w:val="Tabletext"/>
              <w:keepNext/>
              <w:keepLines/>
              <w:jc w:val="center"/>
              <w:rPr>
                <w:sz w:val="18"/>
                <w:szCs w:val="18"/>
                <w:lang w:val="ru-RU"/>
              </w:rPr>
            </w:pPr>
            <w:r w:rsidRPr="008B3F38">
              <w:rPr>
                <w:sz w:val="18"/>
                <w:szCs w:val="18"/>
                <w:lang w:val="ru-RU"/>
              </w:rPr>
              <w:t>2,3</w:t>
            </w:r>
          </w:p>
        </w:tc>
        <w:tc>
          <w:tcPr>
            <w:tcW w:w="1169" w:type="dxa"/>
            <w:shd w:val="clear" w:color="auto" w:fill="auto"/>
            <w:vAlign w:val="bottom"/>
          </w:tcPr>
          <w:p w14:paraId="349788DE" w14:textId="4066F8D9" w:rsidR="004E5F98" w:rsidRPr="008B3F38" w:rsidRDefault="004E5F98" w:rsidP="0033523E">
            <w:pPr>
              <w:pStyle w:val="Tabletext"/>
              <w:keepNext/>
              <w:keepLines/>
              <w:jc w:val="center"/>
              <w:rPr>
                <w:sz w:val="18"/>
                <w:szCs w:val="18"/>
                <w:lang w:val="ru-RU"/>
              </w:rPr>
            </w:pPr>
            <w:r w:rsidRPr="008B3F38">
              <w:rPr>
                <w:sz w:val="18"/>
                <w:szCs w:val="18"/>
                <w:lang w:val="ru-RU"/>
              </w:rPr>
              <w:t>2,2</w:t>
            </w:r>
          </w:p>
        </w:tc>
        <w:tc>
          <w:tcPr>
            <w:tcW w:w="1169" w:type="dxa"/>
            <w:shd w:val="clear" w:color="auto" w:fill="auto"/>
            <w:vAlign w:val="bottom"/>
          </w:tcPr>
          <w:p w14:paraId="346A7F4C" w14:textId="55B168B5" w:rsidR="004E5F98" w:rsidRPr="008B3F38" w:rsidRDefault="004E5F98" w:rsidP="0033523E">
            <w:pPr>
              <w:pStyle w:val="Tabletext"/>
              <w:keepNext/>
              <w:keepLines/>
              <w:jc w:val="center"/>
              <w:rPr>
                <w:sz w:val="18"/>
                <w:szCs w:val="18"/>
                <w:lang w:val="ru-RU"/>
              </w:rPr>
            </w:pPr>
            <w:r w:rsidRPr="008B3F38">
              <w:rPr>
                <w:sz w:val="18"/>
                <w:szCs w:val="18"/>
                <w:lang w:val="ru-RU"/>
              </w:rPr>
              <w:t>2,2</w:t>
            </w:r>
          </w:p>
        </w:tc>
        <w:tc>
          <w:tcPr>
            <w:tcW w:w="1169" w:type="dxa"/>
            <w:shd w:val="clear" w:color="auto" w:fill="auto"/>
            <w:vAlign w:val="bottom"/>
          </w:tcPr>
          <w:p w14:paraId="74A2477F" w14:textId="40A3820C" w:rsidR="004E5F98" w:rsidRPr="008B3F38" w:rsidRDefault="004E5F98" w:rsidP="0033523E">
            <w:pPr>
              <w:pStyle w:val="Tabletext"/>
              <w:keepNext/>
              <w:keepLines/>
              <w:jc w:val="center"/>
              <w:rPr>
                <w:sz w:val="18"/>
                <w:szCs w:val="18"/>
                <w:lang w:val="ru-RU"/>
              </w:rPr>
            </w:pPr>
            <w:r w:rsidRPr="008B3F38">
              <w:rPr>
                <w:sz w:val="18"/>
                <w:szCs w:val="18"/>
                <w:lang w:val="ru-RU"/>
              </w:rPr>
              <w:t>3,2</w:t>
            </w:r>
          </w:p>
        </w:tc>
      </w:tr>
      <w:tr w:rsidR="0033523E" w:rsidRPr="008B3F38" w14:paraId="08C34A3B" w14:textId="77777777" w:rsidTr="0033523E">
        <w:tc>
          <w:tcPr>
            <w:tcW w:w="4395" w:type="dxa"/>
            <w:tcBorders>
              <w:top w:val="nil"/>
              <w:left w:val="nil"/>
              <w:bottom w:val="nil"/>
              <w:right w:val="nil"/>
            </w:tcBorders>
            <w:shd w:val="clear" w:color="auto" w:fill="auto"/>
          </w:tcPr>
          <w:p w14:paraId="0DBC70A7" w14:textId="77777777" w:rsidR="004E5F98" w:rsidRPr="008B3F38" w:rsidRDefault="004E5F98" w:rsidP="0033523E">
            <w:pPr>
              <w:pStyle w:val="Tabletext"/>
              <w:rPr>
                <w:sz w:val="18"/>
                <w:szCs w:val="18"/>
                <w:lang w:val="ru-RU"/>
              </w:rPr>
            </w:pPr>
            <w:r w:rsidRPr="008B3F38">
              <w:rPr>
                <w:b/>
                <w:bCs/>
                <w:sz w:val="18"/>
                <w:szCs w:val="18"/>
                <w:lang w:val="ru-RU"/>
              </w:rPr>
              <w:t>Общие активы – Общие обязательства</w:t>
            </w:r>
          </w:p>
          <w:p w14:paraId="113A8233" w14:textId="77777777" w:rsidR="004E5F98" w:rsidRPr="008B3F38" w:rsidRDefault="004E5F98" w:rsidP="0033523E">
            <w:pPr>
              <w:pStyle w:val="Tabletext"/>
              <w:keepNext/>
              <w:keepLines/>
              <w:rPr>
                <w:sz w:val="18"/>
                <w:szCs w:val="18"/>
                <w:lang w:val="ru-RU"/>
              </w:rPr>
            </w:pPr>
            <w:r w:rsidRPr="008B3F38">
              <w:rPr>
                <w:sz w:val="18"/>
                <w:szCs w:val="18"/>
                <w:lang w:val="ru-RU"/>
              </w:rPr>
              <w:t>Активы – Обязательства</w:t>
            </w:r>
          </w:p>
        </w:tc>
        <w:tc>
          <w:tcPr>
            <w:tcW w:w="1169" w:type="dxa"/>
            <w:tcBorders>
              <w:left w:val="nil"/>
            </w:tcBorders>
            <w:shd w:val="clear" w:color="auto" w:fill="auto"/>
            <w:vAlign w:val="bottom"/>
          </w:tcPr>
          <w:p w14:paraId="0CA1959A" w14:textId="11E45083" w:rsidR="004E5F98" w:rsidRPr="008B3F38" w:rsidRDefault="004E5F98" w:rsidP="0033523E">
            <w:pPr>
              <w:pStyle w:val="Tabletext"/>
              <w:keepNext/>
              <w:keepLines/>
              <w:jc w:val="center"/>
              <w:rPr>
                <w:sz w:val="18"/>
                <w:szCs w:val="18"/>
                <w:lang w:val="ru-RU"/>
              </w:rPr>
            </w:pPr>
            <w:r w:rsidRPr="008B3F38">
              <w:rPr>
                <w:sz w:val="18"/>
                <w:szCs w:val="18"/>
                <w:lang w:val="ru-RU"/>
              </w:rPr>
              <w:t>0,5</w:t>
            </w:r>
          </w:p>
        </w:tc>
        <w:tc>
          <w:tcPr>
            <w:tcW w:w="1169" w:type="dxa"/>
            <w:shd w:val="clear" w:color="auto" w:fill="auto"/>
            <w:vAlign w:val="bottom"/>
          </w:tcPr>
          <w:p w14:paraId="2DF4FBD4" w14:textId="0F403D85" w:rsidR="004E5F98" w:rsidRPr="008B3F38" w:rsidRDefault="004E5F98" w:rsidP="0033523E">
            <w:pPr>
              <w:pStyle w:val="Tabletext"/>
              <w:keepNext/>
              <w:keepLines/>
              <w:jc w:val="center"/>
              <w:rPr>
                <w:sz w:val="18"/>
                <w:szCs w:val="18"/>
                <w:lang w:val="ru-RU"/>
              </w:rPr>
            </w:pPr>
            <w:r w:rsidRPr="008B3F38">
              <w:rPr>
                <w:sz w:val="18"/>
                <w:szCs w:val="18"/>
                <w:lang w:val="ru-RU"/>
              </w:rPr>
              <w:t>0,5</w:t>
            </w:r>
          </w:p>
        </w:tc>
        <w:tc>
          <w:tcPr>
            <w:tcW w:w="1169" w:type="dxa"/>
            <w:shd w:val="clear" w:color="auto" w:fill="auto"/>
            <w:vAlign w:val="bottom"/>
          </w:tcPr>
          <w:p w14:paraId="2A6DC76A" w14:textId="3ACE781A" w:rsidR="004E5F98" w:rsidRPr="008B3F38" w:rsidRDefault="004E5F98" w:rsidP="0033523E">
            <w:pPr>
              <w:pStyle w:val="Tabletext"/>
              <w:keepNext/>
              <w:keepLines/>
              <w:jc w:val="center"/>
              <w:rPr>
                <w:sz w:val="18"/>
                <w:szCs w:val="18"/>
                <w:lang w:val="ru-RU"/>
              </w:rPr>
            </w:pPr>
            <w:r w:rsidRPr="008B3F38">
              <w:rPr>
                <w:sz w:val="18"/>
                <w:szCs w:val="18"/>
                <w:lang w:val="ru-RU"/>
              </w:rPr>
              <w:t>0,6</w:t>
            </w:r>
          </w:p>
        </w:tc>
        <w:tc>
          <w:tcPr>
            <w:tcW w:w="1169" w:type="dxa"/>
            <w:shd w:val="clear" w:color="auto" w:fill="auto"/>
            <w:vAlign w:val="bottom"/>
          </w:tcPr>
          <w:p w14:paraId="5087E75A" w14:textId="11240736" w:rsidR="004E5F98" w:rsidRPr="008B3F38" w:rsidRDefault="004E5F98" w:rsidP="0033523E">
            <w:pPr>
              <w:pStyle w:val="Tabletext"/>
              <w:keepNext/>
              <w:keepLines/>
              <w:jc w:val="center"/>
              <w:rPr>
                <w:sz w:val="18"/>
                <w:szCs w:val="18"/>
                <w:lang w:val="ru-RU"/>
              </w:rPr>
            </w:pPr>
            <w:r w:rsidRPr="008B3F38">
              <w:rPr>
                <w:sz w:val="18"/>
                <w:szCs w:val="18"/>
                <w:lang w:val="ru-RU"/>
              </w:rPr>
              <w:t>0,5</w:t>
            </w:r>
          </w:p>
        </w:tc>
      </w:tr>
      <w:tr w:rsidR="0033523E" w:rsidRPr="008B3F38" w14:paraId="7A0E999D" w14:textId="77777777" w:rsidTr="0033523E">
        <w:tc>
          <w:tcPr>
            <w:tcW w:w="4395" w:type="dxa"/>
            <w:tcBorders>
              <w:top w:val="nil"/>
              <w:left w:val="nil"/>
              <w:bottom w:val="nil"/>
              <w:right w:val="nil"/>
            </w:tcBorders>
            <w:shd w:val="clear" w:color="auto" w:fill="auto"/>
          </w:tcPr>
          <w:p w14:paraId="47036771" w14:textId="77777777" w:rsidR="004E5F98" w:rsidRPr="008B3F38" w:rsidRDefault="004E5F98" w:rsidP="0033523E">
            <w:pPr>
              <w:pStyle w:val="Tabletext"/>
              <w:rPr>
                <w:sz w:val="18"/>
                <w:szCs w:val="18"/>
                <w:lang w:val="ru-RU"/>
              </w:rPr>
            </w:pPr>
            <w:r w:rsidRPr="008B3F38">
              <w:rPr>
                <w:b/>
                <w:bCs/>
                <w:sz w:val="18"/>
                <w:szCs w:val="18"/>
                <w:lang w:val="ru-RU"/>
              </w:rPr>
              <w:t>Коэффициент денежных средств</w:t>
            </w:r>
          </w:p>
          <w:p w14:paraId="68A421C1" w14:textId="77777777" w:rsidR="004E5F98" w:rsidRPr="008B3F38" w:rsidRDefault="004E5F98" w:rsidP="0033523E">
            <w:pPr>
              <w:pStyle w:val="Tabletext"/>
              <w:keepNext/>
              <w:keepLines/>
              <w:rPr>
                <w:sz w:val="18"/>
                <w:szCs w:val="18"/>
                <w:lang w:val="ru-RU"/>
              </w:rPr>
            </w:pPr>
            <w:r w:rsidRPr="008B3F38">
              <w:rPr>
                <w:sz w:val="18"/>
                <w:szCs w:val="18"/>
                <w:lang w:val="ru-RU"/>
              </w:rPr>
              <w:t>Денежные средства и краткосрочные инвестиции –Текущие обязательства</w:t>
            </w:r>
          </w:p>
        </w:tc>
        <w:tc>
          <w:tcPr>
            <w:tcW w:w="1169" w:type="dxa"/>
            <w:tcBorders>
              <w:left w:val="nil"/>
            </w:tcBorders>
            <w:shd w:val="clear" w:color="auto" w:fill="auto"/>
            <w:vAlign w:val="bottom"/>
          </w:tcPr>
          <w:p w14:paraId="7BAFE2CB" w14:textId="4DA23A7F" w:rsidR="004E5F98" w:rsidRPr="008B3F38" w:rsidRDefault="004E5F98" w:rsidP="0033523E">
            <w:pPr>
              <w:pStyle w:val="Tabletext"/>
              <w:keepNext/>
              <w:keepLines/>
              <w:jc w:val="center"/>
              <w:rPr>
                <w:sz w:val="18"/>
                <w:szCs w:val="18"/>
                <w:lang w:val="ru-RU"/>
              </w:rPr>
            </w:pPr>
            <w:r w:rsidRPr="008B3F38">
              <w:rPr>
                <w:sz w:val="18"/>
                <w:szCs w:val="18"/>
                <w:lang w:val="ru-RU"/>
              </w:rPr>
              <w:t>2,0</w:t>
            </w:r>
          </w:p>
        </w:tc>
        <w:tc>
          <w:tcPr>
            <w:tcW w:w="1169" w:type="dxa"/>
            <w:shd w:val="clear" w:color="auto" w:fill="auto"/>
            <w:vAlign w:val="bottom"/>
          </w:tcPr>
          <w:p w14:paraId="259C855A" w14:textId="3086CDAF" w:rsidR="004E5F98" w:rsidRPr="008B3F38" w:rsidRDefault="004E5F98" w:rsidP="0033523E">
            <w:pPr>
              <w:pStyle w:val="Tabletext"/>
              <w:keepNext/>
              <w:keepLines/>
              <w:jc w:val="center"/>
              <w:rPr>
                <w:sz w:val="18"/>
                <w:szCs w:val="18"/>
                <w:lang w:val="ru-RU"/>
              </w:rPr>
            </w:pPr>
            <w:r w:rsidRPr="008B3F38">
              <w:rPr>
                <w:sz w:val="18"/>
                <w:szCs w:val="18"/>
                <w:lang w:val="ru-RU"/>
              </w:rPr>
              <w:t>1,9</w:t>
            </w:r>
          </w:p>
        </w:tc>
        <w:tc>
          <w:tcPr>
            <w:tcW w:w="1169" w:type="dxa"/>
            <w:shd w:val="clear" w:color="auto" w:fill="auto"/>
            <w:vAlign w:val="bottom"/>
          </w:tcPr>
          <w:p w14:paraId="00B48E10" w14:textId="5459B252" w:rsidR="004E5F98" w:rsidRPr="008B3F38" w:rsidRDefault="004E5F98" w:rsidP="0033523E">
            <w:pPr>
              <w:pStyle w:val="Tabletext"/>
              <w:keepNext/>
              <w:keepLines/>
              <w:jc w:val="center"/>
              <w:rPr>
                <w:sz w:val="18"/>
                <w:szCs w:val="18"/>
                <w:lang w:val="ru-RU"/>
              </w:rPr>
            </w:pPr>
            <w:r w:rsidRPr="008B3F38">
              <w:rPr>
                <w:sz w:val="18"/>
                <w:szCs w:val="18"/>
                <w:lang w:val="ru-RU"/>
              </w:rPr>
              <w:t>2,0</w:t>
            </w:r>
          </w:p>
        </w:tc>
        <w:tc>
          <w:tcPr>
            <w:tcW w:w="1169" w:type="dxa"/>
            <w:shd w:val="clear" w:color="auto" w:fill="auto"/>
            <w:vAlign w:val="bottom"/>
          </w:tcPr>
          <w:p w14:paraId="29BAB06A" w14:textId="714F1423" w:rsidR="004E5F98" w:rsidRPr="008B3F38" w:rsidRDefault="004E5F98" w:rsidP="0033523E">
            <w:pPr>
              <w:pStyle w:val="Tabletext"/>
              <w:keepNext/>
              <w:keepLines/>
              <w:jc w:val="center"/>
              <w:rPr>
                <w:sz w:val="18"/>
                <w:szCs w:val="18"/>
                <w:lang w:val="ru-RU"/>
              </w:rPr>
            </w:pPr>
            <w:r w:rsidRPr="008B3F38">
              <w:rPr>
                <w:sz w:val="18"/>
                <w:szCs w:val="18"/>
                <w:lang w:val="ru-RU"/>
              </w:rPr>
              <w:t>2,8</w:t>
            </w:r>
          </w:p>
        </w:tc>
      </w:tr>
      <w:tr w:rsidR="0033523E" w:rsidRPr="008B3F38" w14:paraId="75A94217" w14:textId="77777777" w:rsidTr="0033523E">
        <w:tc>
          <w:tcPr>
            <w:tcW w:w="4395" w:type="dxa"/>
            <w:tcBorders>
              <w:top w:val="nil"/>
              <w:left w:val="nil"/>
              <w:bottom w:val="nil"/>
              <w:right w:val="nil"/>
            </w:tcBorders>
            <w:shd w:val="clear" w:color="auto" w:fill="auto"/>
          </w:tcPr>
          <w:p w14:paraId="1D280FD7" w14:textId="77777777" w:rsidR="004E5F98" w:rsidRPr="008B3F38" w:rsidRDefault="004E5F98" w:rsidP="0033523E">
            <w:pPr>
              <w:pStyle w:val="Tabletext"/>
              <w:rPr>
                <w:sz w:val="18"/>
                <w:szCs w:val="18"/>
                <w:lang w:val="ru-RU"/>
              </w:rPr>
            </w:pPr>
            <w:r w:rsidRPr="008B3F38">
              <w:rPr>
                <w:b/>
                <w:bCs/>
                <w:sz w:val="18"/>
                <w:szCs w:val="18"/>
                <w:lang w:val="ru-RU"/>
              </w:rPr>
              <w:t>Коэффициент инвестиций</w:t>
            </w:r>
          </w:p>
          <w:p w14:paraId="24F46746" w14:textId="77777777" w:rsidR="004E5F98" w:rsidRPr="008B3F38" w:rsidRDefault="004E5F98" w:rsidP="0033523E">
            <w:pPr>
              <w:pStyle w:val="Tabletext"/>
              <w:keepLines/>
              <w:rPr>
                <w:sz w:val="18"/>
                <w:szCs w:val="18"/>
                <w:lang w:val="ru-RU"/>
              </w:rPr>
            </w:pPr>
            <w:r w:rsidRPr="008B3F38">
              <w:rPr>
                <w:sz w:val="18"/>
                <w:szCs w:val="18"/>
                <w:lang w:val="ru-RU"/>
              </w:rPr>
              <w:t>Денежные средства и инвестиции – Общие активы</w:t>
            </w:r>
          </w:p>
        </w:tc>
        <w:tc>
          <w:tcPr>
            <w:tcW w:w="1169" w:type="dxa"/>
            <w:tcBorders>
              <w:left w:val="nil"/>
            </w:tcBorders>
            <w:shd w:val="clear" w:color="auto" w:fill="auto"/>
            <w:vAlign w:val="bottom"/>
          </w:tcPr>
          <w:p w14:paraId="4F2ABCCC" w14:textId="6A1BCBE9" w:rsidR="004E5F98" w:rsidRPr="008B3F38" w:rsidRDefault="004E5F98" w:rsidP="0033523E">
            <w:pPr>
              <w:pStyle w:val="Tabletext"/>
              <w:keepLines/>
              <w:jc w:val="center"/>
              <w:rPr>
                <w:sz w:val="18"/>
                <w:szCs w:val="18"/>
                <w:lang w:val="ru-RU"/>
              </w:rPr>
            </w:pPr>
            <w:r w:rsidRPr="008B3F38">
              <w:rPr>
                <w:sz w:val="18"/>
                <w:szCs w:val="18"/>
                <w:lang w:val="ru-RU"/>
              </w:rPr>
              <w:t>0,6</w:t>
            </w:r>
          </w:p>
        </w:tc>
        <w:tc>
          <w:tcPr>
            <w:tcW w:w="1169" w:type="dxa"/>
            <w:shd w:val="clear" w:color="auto" w:fill="auto"/>
            <w:vAlign w:val="bottom"/>
          </w:tcPr>
          <w:p w14:paraId="3599CC2E" w14:textId="5EFD954B" w:rsidR="004E5F98" w:rsidRPr="008B3F38" w:rsidRDefault="004E5F98" w:rsidP="0033523E">
            <w:pPr>
              <w:pStyle w:val="Tabletext"/>
              <w:keepLines/>
              <w:jc w:val="center"/>
              <w:rPr>
                <w:sz w:val="18"/>
                <w:szCs w:val="18"/>
                <w:lang w:val="ru-RU"/>
              </w:rPr>
            </w:pPr>
            <w:r w:rsidRPr="008B3F38">
              <w:rPr>
                <w:sz w:val="18"/>
                <w:szCs w:val="18"/>
                <w:lang w:val="ru-RU"/>
              </w:rPr>
              <w:t>0,6</w:t>
            </w:r>
          </w:p>
        </w:tc>
        <w:tc>
          <w:tcPr>
            <w:tcW w:w="1169" w:type="dxa"/>
            <w:shd w:val="clear" w:color="auto" w:fill="auto"/>
            <w:vAlign w:val="bottom"/>
          </w:tcPr>
          <w:p w14:paraId="683AD407" w14:textId="010FCABB" w:rsidR="004E5F98" w:rsidRPr="008B3F38" w:rsidRDefault="004E5F98" w:rsidP="0033523E">
            <w:pPr>
              <w:pStyle w:val="Tabletext"/>
              <w:keepLines/>
              <w:jc w:val="center"/>
              <w:rPr>
                <w:sz w:val="18"/>
                <w:szCs w:val="18"/>
                <w:lang w:val="ru-RU"/>
              </w:rPr>
            </w:pPr>
            <w:r w:rsidRPr="008B3F38">
              <w:rPr>
                <w:sz w:val="18"/>
                <w:szCs w:val="18"/>
                <w:lang w:val="ru-RU"/>
              </w:rPr>
              <w:t>0,7</w:t>
            </w:r>
          </w:p>
        </w:tc>
        <w:tc>
          <w:tcPr>
            <w:tcW w:w="1169" w:type="dxa"/>
            <w:shd w:val="clear" w:color="auto" w:fill="auto"/>
            <w:vAlign w:val="bottom"/>
          </w:tcPr>
          <w:p w14:paraId="33E51026" w14:textId="39C2875A" w:rsidR="004E5F98" w:rsidRPr="008B3F38" w:rsidRDefault="004E5F98" w:rsidP="0033523E">
            <w:pPr>
              <w:pStyle w:val="Tabletext"/>
              <w:keepLines/>
              <w:jc w:val="center"/>
              <w:rPr>
                <w:sz w:val="18"/>
                <w:szCs w:val="18"/>
                <w:lang w:val="ru-RU"/>
              </w:rPr>
            </w:pPr>
            <w:r w:rsidRPr="008B3F38">
              <w:rPr>
                <w:sz w:val="18"/>
                <w:szCs w:val="18"/>
                <w:lang w:val="ru-RU"/>
              </w:rPr>
              <w:t>0,7</w:t>
            </w:r>
          </w:p>
        </w:tc>
      </w:tr>
      <w:tr w:rsidR="004E5F98" w:rsidRPr="00DB788B" w14:paraId="75C645C8" w14:textId="77777777" w:rsidTr="0033523E">
        <w:tc>
          <w:tcPr>
            <w:tcW w:w="9071" w:type="dxa"/>
            <w:gridSpan w:val="5"/>
            <w:shd w:val="clear" w:color="auto" w:fill="auto"/>
          </w:tcPr>
          <w:p w14:paraId="795966B6" w14:textId="77777777" w:rsidR="004E5F98" w:rsidRPr="008B3F38" w:rsidRDefault="004E5F98" w:rsidP="0033523E">
            <w:pPr>
              <w:pStyle w:val="Tablelegend"/>
              <w:keepLines/>
              <w:spacing w:before="40"/>
              <w:rPr>
                <w:sz w:val="18"/>
                <w:szCs w:val="18"/>
                <w:lang w:val="ru-RU"/>
              </w:rPr>
            </w:pPr>
            <w:r w:rsidRPr="008B3F38">
              <w:rPr>
                <w:color w:val="000000"/>
                <w:sz w:val="18"/>
                <w:szCs w:val="18"/>
                <w:lang w:val="ru-RU"/>
              </w:rPr>
              <w:t>Источник: Отчет о финансовой деятельности МСЭ.</w:t>
            </w:r>
          </w:p>
        </w:tc>
      </w:tr>
    </w:tbl>
    <w:p w14:paraId="526FF8A0" w14:textId="77777777" w:rsidR="004E5F98" w:rsidRPr="008B3F38" w:rsidRDefault="004E5F98" w:rsidP="00426DF2">
      <w:pPr>
        <w:pStyle w:val="Heading3"/>
        <w:rPr>
          <w:lang w:val="ru-RU"/>
        </w:rPr>
      </w:pPr>
      <w:r w:rsidRPr="008B3F38">
        <w:rPr>
          <w:lang w:val="ru-RU"/>
        </w:rPr>
        <w:t>Управление денежными средствами</w:t>
      </w:r>
    </w:p>
    <w:p w14:paraId="2CA1EC6A" w14:textId="1AE70875" w:rsidR="004E5F98" w:rsidRPr="008B3F38" w:rsidRDefault="004E5F98" w:rsidP="007C0CD7">
      <w:pPr>
        <w:tabs>
          <w:tab w:val="left" w:pos="0"/>
        </w:tabs>
        <w:rPr>
          <w:lang w:val="ru-RU"/>
        </w:rPr>
      </w:pPr>
      <w:r w:rsidRPr="008B3F38">
        <w:rPr>
          <w:b/>
          <w:bCs/>
          <w:lang w:val="ru-RU"/>
        </w:rPr>
        <w:t>1.15</w:t>
      </w:r>
      <w:r w:rsidRPr="008B3F38">
        <w:rPr>
          <w:lang w:val="ru-RU"/>
        </w:rPr>
        <w:tab/>
        <w:t>В 2024 году МСЭ сократил использование срочных вкладов и увеличил объем денежных средств. Как было подчеркнуто в ответе руководства на нашу предыдущую рекомендацию (2022 г., заключительный отчет, РЕК4), в 2025 году вводятся в действие новые руководящие указания по управлению финансовыми средствами. В частности, будет создан Казначейский комитет и разработана соответствующая инвестиционная политика. Этот комитет установит параметры, в соответствии с которыми МСЭ должен осуществлять как краткосрочные, так и долгосрочные капиталовложения. Мы проведем проверку эффективности этой деятельности в рамках аудиторской проверки следующего года.</w:t>
      </w:r>
    </w:p>
    <w:p w14:paraId="5AF773A0" w14:textId="77777777" w:rsidR="004E5F98" w:rsidRPr="008B3F38" w:rsidRDefault="004E5F98" w:rsidP="00426DF2">
      <w:pPr>
        <w:pStyle w:val="Heading3"/>
        <w:rPr>
          <w:lang w:val="ru-RU"/>
        </w:rPr>
      </w:pPr>
      <w:r w:rsidRPr="008B3F38">
        <w:rPr>
          <w:lang w:val="ru-RU"/>
        </w:rPr>
        <w:t>Регулирование отношений с должниками</w:t>
      </w:r>
    </w:p>
    <w:p w14:paraId="621BA826" w14:textId="3ED30929" w:rsidR="004E5F98" w:rsidRPr="008B3F38" w:rsidRDefault="004E5F98" w:rsidP="007C0CD7">
      <w:pPr>
        <w:tabs>
          <w:tab w:val="left" w:pos="0"/>
        </w:tabs>
        <w:rPr>
          <w:lang w:val="ru-RU"/>
        </w:rPr>
      </w:pPr>
      <w:r w:rsidRPr="008B3F38">
        <w:rPr>
          <w:b/>
          <w:bCs/>
          <w:lang w:val="ru-RU"/>
        </w:rPr>
        <w:t>1.16</w:t>
      </w:r>
      <w:r w:rsidRPr="008B3F38">
        <w:rPr>
          <w:lang w:val="ru-RU"/>
        </w:rPr>
        <w:tab/>
        <w:t>Финансовая отчетность (Примечание 8) показывает значительное обесценение остатка начисленных взносов Членов Секторов за истекший период. Это отражает оценку руководством вероятности возмещения этих остатков на отчетную дату (31 декабря 2024</w:t>
      </w:r>
      <w:r w:rsidR="0033523E" w:rsidRPr="008B3F38">
        <w:rPr>
          <w:lang w:val="ru-RU"/>
        </w:rPr>
        <w:t> </w:t>
      </w:r>
      <w:r w:rsidRPr="008B3F38">
        <w:rPr>
          <w:lang w:val="ru-RU"/>
        </w:rPr>
        <w:t>г.). Прежние экономические циклы показывают, что многие Члены согласуют с Секретариатом планы выплат в год, предшествующий ПК, для восстановления права голоса. Учитывая очень высокий уровень непогашенной задолженности, руководству следует провести тщательный анализ остатков средств, чтобы определить те из них, которые являются безнадежными. Это</w:t>
      </w:r>
      <w:r w:rsidR="00845B16" w:rsidRPr="008B3F38">
        <w:rPr>
          <w:lang w:val="ru-RU"/>
        </w:rPr>
        <w:t> </w:t>
      </w:r>
      <w:r w:rsidRPr="008B3F38">
        <w:rPr>
          <w:lang w:val="ru-RU"/>
        </w:rPr>
        <w:t>позволит определить сальдо, о котором следует сообщить ПК для принятия окончательных мер. Подобная очистка задолженности позволит Секретариату сосредоточить усилия на действиях по взысканию задолженности, которая может быть получена с большей</w:t>
      </w:r>
      <w:r w:rsidR="00845B16" w:rsidRPr="008B3F38">
        <w:rPr>
          <w:lang w:val="ru-RU"/>
        </w:rPr>
        <w:t> </w:t>
      </w:r>
      <w:r w:rsidRPr="008B3F38">
        <w:rPr>
          <w:lang w:val="ru-RU"/>
        </w:rPr>
        <w:t>вероятностью.</w:t>
      </w:r>
    </w:p>
    <w:p w14:paraId="6BF4FBB6" w14:textId="306964D6" w:rsidR="009E2548" w:rsidRPr="008B3F38" w:rsidRDefault="004E5F98" w:rsidP="007C0CD7">
      <w:pPr>
        <w:rPr>
          <w:b/>
          <w:bCs/>
          <w:lang w:val="ru-RU"/>
        </w:rPr>
      </w:pPr>
      <w:r w:rsidRPr="008B3F38">
        <w:rPr>
          <w:b/>
          <w:bCs/>
          <w:lang w:val="ru-RU"/>
        </w:rPr>
        <w:t>МСЭ следует</w:t>
      </w:r>
      <w:r w:rsidRPr="008B3F38">
        <w:rPr>
          <w:lang w:val="ru-RU"/>
        </w:rPr>
        <w:t>:</w:t>
      </w:r>
    </w:p>
    <w:p w14:paraId="5A0EB0A4" w14:textId="1D5EFAD9" w:rsidR="004E5F98" w:rsidRPr="008B3F38" w:rsidRDefault="004E5F98" w:rsidP="007C0CD7">
      <w:pPr>
        <w:rPr>
          <w:lang w:val="ru-RU"/>
        </w:rPr>
      </w:pPr>
      <w:r w:rsidRPr="008B3F38">
        <w:rPr>
          <w:b/>
          <w:bCs/>
          <w:lang w:val="ru-RU"/>
        </w:rPr>
        <w:t>РЕК1: провести детальный анализ начисленных взносов за истекший период, причитающихся с Членов, и определить безнадежные долги для принятия надлежащих мер Полномочной</w:t>
      </w:r>
      <w:r w:rsidR="00845B16" w:rsidRPr="008B3F38">
        <w:rPr>
          <w:b/>
          <w:bCs/>
          <w:lang w:val="ru-RU"/>
        </w:rPr>
        <w:t> </w:t>
      </w:r>
      <w:r w:rsidRPr="008B3F38">
        <w:rPr>
          <w:b/>
          <w:bCs/>
          <w:lang w:val="ru-RU"/>
        </w:rPr>
        <w:t>конференцией</w:t>
      </w:r>
      <w:r w:rsidRPr="008B3F38">
        <w:rPr>
          <w:lang w:val="ru-RU"/>
        </w:rPr>
        <w:t>.</w:t>
      </w:r>
    </w:p>
    <w:p w14:paraId="009B6091" w14:textId="66A3B73B" w:rsidR="004E5F98" w:rsidRPr="008B3F38" w:rsidRDefault="004E5F98" w:rsidP="007C0CD7">
      <w:pPr>
        <w:rPr>
          <w:b/>
          <w:lang w:val="ru-RU"/>
        </w:rPr>
      </w:pPr>
      <w:r w:rsidRPr="008B3F38">
        <w:rPr>
          <w:i/>
          <w:iCs/>
          <w:lang w:val="ru-RU"/>
        </w:rPr>
        <w:t>Замечание руководства МСЭ: МСЭ принял к сведению данную рекомендацию.</w:t>
      </w:r>
      <w:r w:rsidRPr="008B3F38">
        <w:rPr>
          <w:lang w:val="ru-RU"/>
        </w:rPr>
        <w:t xml:space="preserve"> </w:t>
      </w:r>
      <w:r w:rsidRPr="008B3F38">
        <w:rPr>
          <w:i/>
          <w:iCs/>
          <w:lang w:val="ru-RU"/>
        </w:rPr>
        <w:t>Следует отметить, что полномочные конференции (ПК) посредством Резолюций 41 и 152 определили общие рамки для решения вопросов, связанных с долгами.</w:t>
      </w:r>
      <w:r w:rsidRPr="008B3F38">
        <w:rPr>
          <w:lang w:val="ru-RU"/>
        </w:rPr>
        <w:t xml:space="preserve"> </w:t>
      </w:r>
      <w:r w:rsidRPr="008B3F38">
        <w:rPr>
          <w:i/>
          <w:iCs/>
          <w:lang w:val="ru-RU"/>
        </w:rPr>
        <w:t>Ликвидация начисленных взносов Государств-Членов не может быть авторизована Секретариатом и</w:t>
      </w:r>
      <w:r w:rsidRPr="008B3F38">
        <w:rPr>
          <w:lang w:val="ru-RU"/>
        </w:rPr>
        <w:t>/</w:t>
      </w:r>
      <w:r w:rsidRPr="008B3F38">
        <w:rPr>
          <w:i/>
          <w:iCs/>
          <w:lang w:val="ru-RU"/>
        </w:rPr>
        <w:t>или Советом.</w:t>
      </w:r>
      <w:r w:rsidRPr="008B3F38">
        <w:rPr>
          <w:lang w:val="ru-RU"/>
        </w:rPr>
        <w:t xml:space="preserve"> </w:t>
      </w:r>
      <w:r w:rsidRPr="008B3F38">
        <w:rPr>
          <w:i/>
          <w:iCs/>
          <w:lang w:val="ru-RU"/>
        </w:rPr>
        <w:t>Что касается Ассоциированных членов, Членов Секторов и Академических организаций, то авторизовать ликвидацию безнадежных долгов может Совет.</w:t>
      </w:r>
      <w:r w:rsidRPr="008B3F38">
        <w:rPr>
          <w:lang w:val="ru-RU"/>
        </w:rPr>
        <w:t xml:space="preserve"> </w:t>
      </w:r>
      <w:r w:rsidRPr="008B3F38">
        <w:rPr>
          <w:i/>
          <w:iCs/>
          <w:lang w:val="ru-RU"/>
        </w:rPr>
        <w:t>На</w:t>
      </w:r>
      <w:r w:rsidR="00195F96" w:rsidRPr="008B3F38">
        <w:rPr>
          <w:i/>
          <w:iCs/>
          <w:lang w:val="ru-RU"/>
        </w:rPr>
        <w:t> </w:t>
      </w:r>
      <w:r w:rsidRPr="008B3F38">
        <w:rPr>
          <w:i/>
          <w:iCs/>
          <w:lang w:val="ru-RU"/>
        </w:rPr>
        <w:t xml:space="preserve">утверждение Совету ежегодно представляется документ, касающийся безнадежных </w:t>
      </w:r>
      <w:r w:rsidRPr="008B3F38">
        <w:rPr>
          <w:i/>
          <w:iCs/>
          <w:lang w:val="ru-RU"/>
        </w:rPr>
        <w:lastRenderedPageBreak/>
        <w:t xml:space="preserve">долгов (Документ </w:t>
      </w:r>
      <w:r>
        <w:fldChar w:fldCharType="begin"/>
      </w:r>
      <w:r>
        <w:instrText>HYPERLINK</w:instrText>
      </w:r>
      <w:r w:rsidRPr="00DB788B">
        <w:rPr>
          <w:lang w:val="ru-RU"/>
        </w:rPr>
        <w:instrText xml:space="preserve"> "</w:instrText>
      </w:r>
      <w:r>
        <w:instrText>https</w:instrText>
      </w:r>
      <w:r w:rsidRPr="00DB788B">
        <w:rPr>
          <w:lang w:val="ru-RU"/>
        </w:rPr>
        <w:instrText>://</w:instrText>
      </w:r>
      <w:r>
        <w:instrText>www</w:instrText>
      </w:r>
      <w:r w:rsidRPr="00DB788B">
        <w:rPr>
          <w:lang w:val="ru-RU"/>
        </w:rPr>
        <w:instrText>.</w:instrText>
      </w:r>
      <w:r>
        <w:instrText>itu</w:instrText>
      </w:r>
      <w:r w:rsidRPr="00DB788B">
        <w:rPr>
          <w:lang w:val="ru-RU"/>
        </w:rPr>
        <w:instrText>.</w:instrText>
      </w:r>
      <w:r>
        <w:instrText>int</w:instrText>
      </w:r>
      <w:r w:rsidRPr="00DB788B">
        <w:rPr>
          <w:lang w:val="ru-RU"/>
        </w:rPr>
        <w:instrText>/</w:instrText>
      </w:r>
      <w:r>
        <w:instrText>md</w:instrText>
      </w:r>
      <w:r w:rsidRPr="00DB788B">
        <w:rPr>
          <w:lang w:val="ru-RU"/>
        </w:rPr>
        <w:instrText>/</w:instrText>
      </w:r>
      <w:r>
        <w:instrText>S</w:instrText>
      </w:r>
      <w:r w:rsidRPr="00DB788B">
        <w:rPr>
          <w:lang w:val="ru-RU"/>
        </w:rPr>
        <w:instrText>25-</w:instrText>
      </w:r>
      <w:r>
        <w:instrText>CL</w:instrText>
      </w:r>
      <w:r w:rsidRPr="00DB788B">
        <w:rPr>
          <w:lang w:val="ru-RU"/>
        </w:rPr>
        <w:instrText>-</w:instrText>
      </w:r>
      <w:r>
        <w:instrText>C</w:instrText>
      </w:r>
      <w:r w:rsidRPr="00DB788B">
        <w:rPr>
          <w:lang w:val="ru-RU"/>
        </w:rPr>
        <w:instrText>-0011/</w:instrText>
      </w:r>
      <w:r>
        <w:instrText>en</w:instrText>
      </w:r>
      <w:r w:rsidRPr="00DB788B">
        <w:rPr>
          <w:lang w:val="ru-RU"/>
        </w:rPr>
        <w:instrText>"</w:instrText>
      </w:r>
      <w:r>
        <w:fldChar w:fldCharType="separate"/>
      </w:r>
      <w:r w:rsidRPr="008B3F38">
        <w:rPr>
          <w:rStyle w:val="Hyperlink"/>
          <w:i/>
          <w:iCs/>
          <w:lang w:val="ru-RU"/>
        </w:rPr>
        <w:t>C25/11</w:t>
      </w:r>
      <w:r>
        <w:fldChar w:fldCharType="end"/>
      </w:r>
      <w:r w:rsidRPr="008B3F38">
        <w:rPr>
          <w:i/>
          <w:iCs/>
          <w:lang w:val="ru-RU"/>
        </w:rPr>
        <w:t>).</w:t>
      </w:r>
      <w:r w:rsidRPr="008B3F38">
        <w:rPr>
          <w:lang w:val="ru-RU"/>
        </w:rPr>
        <w:t xml:space="preserve"> </w:t>
      </w:r>
      <w:r w:rsidRPr="008B3F38">
        <w:rPr>
          <w:i/>
          <w:iCs/>
          <w:lang w:val="ru-RU"/>
        </w:rPr>
        <w:t>Будет подготовлен дальнейший анализ и даны рекомендации по списанию безнадежных долгов.</w:t>
      </w:r>
      <w:r w:rsidR="00845B16" w:rsidRPr="008B3F38">
        <w:rPr>
          <w:lang w:val="ru-RU"/>
        </w:rPr>
        <w:t> </w:t>
      </w:r>
    </w:p>
    <w:p w14:paraId="63D45E1C" w14:textId="77777777" w:rsidR="004E5F98" w:rsidRPr="008B3F38" w:rsidRDefault="004E5F98" w:rsidP="00426DF2">
      <w:pPr>
        <w:pStyle w:val="Heading3"/>
        <w:rPr>
          <w:lang w:val="ru-RU"/>
        </w:rPr>
      </w:pPr>
      <w:r w:rsidRPr="008B3F38">
        <w:rPr>
          <w:lang w:val="ru-RU"/>
        </w:rPr>
        <w:t>Управление проектами</w:t>
      </w:r>
    </w:p>
    <w:p w14:paraId="652B444B" w14:textId="31B92FB8" w:rsidR="004E5F98" w:rsidRPr="008B3F38" w:rsidRDefault="004E5F98" w:rsidP="007C0CD7">
      <w:pPr>
        <w:tabs>
          <w:tab w:val="left" w:pos="0"/>
        </w:tabs>
        <w:rPr>
          <w:lang w:val="ru-RU"/>
        </w:rPr>
      </w:pPr>
      <w:r w:rsidRPr="008B3F38">
        <w:rPr>
          <w:b/>
          <w:bCs/>
          <w:lang w:val="ru-RU"/>
        </w:rPr>
        <w:t>1.17</w:t>
      </w:r>
      <w:r w:rsidRPr="008B3F38">
        <w:rPr>
          <w:lang w:val="ru-RU"/>
        </w:rPr>
        <w:tab/>
        <w:t>В рамках нашей аудиторской проверки 2024 года мы изучили работу МСЭ Регионального отделения для Азиатско-Тихоокеанского региона, чтобы получить более глубокое представление о деятельности МСЭ на местах и его подходе к управлению проектами и программами. Проведенный нами анализ выявил недостатки в осуществлении финансового надзора за управлением проектами МСЭ. Руководители проектов и спонсоры</w:t>
      </w:r>
      <w:r w:rsidRPr="008B3F38">
        <w:rPr>
          <w:rStyle w:val="FootnoteReference"/>
          <w:lang w:val="ru-RU"/>
        </w:rPr>
        <w:footnoteReference w:id="1"/>
      </w:r>
      <w:r w:rsidRPr="008B3F38">
        <w:rPr>
          <w:lang w:val="ru-RU"/>
        </w:rPr>
        <w:t xml:space="preserve"> не имеют постоянного доступа к информации об операциях по их проектам. Это связано с отсутствием функции отчетности. Мы также отметили, что руководители проектов не всегда осведомлены о</w:t>
      </w:r>
      <w:r w:rsidR="0033523E" w:rsidRPr="008B3F38">
        <w:rPr>
          <w:lang w:val="ru-RU"/>
        </w:rPr>
        <w:t> </w:t>
      </w:r>
      <w:r w:rsidRPr="008B3F38">
        <w:rPr>
          <w:lang w:val="ru-RU"/>
        </w:rPr>
        <w:t>других открытых операциях, относящихся к их деятельности, таких как заказы на покупку, контракты на оказание консультационных услуг и разрешения на командировки.</w:t>
      </w:r>
    </w:p>
    <w:p w14:paraId="47E7DAAC" w14:textId="28688528" w:rsidR="004E5F98" w:rsidRPr="008B3F38" w:rsidRDefault="004E5F98" w:rsidP="007C0CD7">
      <w:pPr>
        <w:tabs>
          <w:tab w:val="left" w:pos="0"/>
        </w:tabs>
        <w:rPr>
          <w:lang w:val="ru-RU"/>
        </w:rPr>
      </w:pPr>
      <w:r w:rsidRPr="008B3F38">
        <w:rPr>
          <w:b/>
          <w:bCs/>
          <w:lang w:val="ru-RU"/>
        </w:rPr>
        <w:t>1.18</w:t>
      </w:r>
      <w:r w:rsidRPr="008B3F38">
        <w:rPr>
          <w:lang w:val="ru-RU"/>
        </w:rPr>
        <w:tab/>
        <w:t>Хотя отсутствие постоянного доступа к такой информации и удивляет, однако МСЭ положительно отреагировал на наше заключение и в рамках закрытия 2024 года ввел дополнительные меры контроля. В соответствии с ними руководители проектов должны проанализировать все расходы по 57 соглашениям на сумму 16,5 млн. швейцарских франков в 2024</w:t>
      </w:r>
      <w:r w:rsidR="0033523E" w:rsidRPr="008B3F38">
        <w:rPr>
          <w:lang w:val="ru-RU"/>
        </w:rPr>
        <w:t> </w:t>
      </w:r>
      <w:r w:rsidRPr="008B3F38">
        <w:rPr>
          <w:lang w:val="ru-RU"/>
        </w:rPr>
        <w:t>году, учтенные в рамках полученных ими субсидий, чтобы убедиться, что транзакции соответствуют условиям соглашений с донорами. Для усиления финансового надзора и обеспечения подотчетности в сфере финансового управления проектами механизмы отчетности и валидации должны стать частью стандартных процедур ежемесячного закрытия счетов до тех пор, пока не будут произведены системные изменения.</w:t>
      </w:r>
    </w:p>
    <w:p w14:paraId="24BCC1C4" w14:textId="77777777" w:rsidR="004E5F98" w:rsidRPr="008B3F38" w:rsidRDefault="004E5F98" w:rsidP="007C0CD7">
      <w:pPr>
        <w:rPr>
          <w:b/>
          <w:bCs/>
          <w:lang w:val="ru-RU"/>
        </w:rPr>
      </w:pPr>
      <w:r w:rsidRPr="008B3F38">
        <w:rPr>
          <w:b/>
          <w:bCs/>
          <w:lang w:val="ru-RU"/>
        </w:rPr>
        <w:t>МСЭ следует</w:t>
      </w:r>
      <w:r w:rsidRPr="008B3F38">
        <w:rPr>
          <w:lang w:val="ru-RU"/>
        </w:rPr>
        <w:t>:</w:t>
      </w:r>
    </w:p>
    <w:p w14:paraId="78624867" w14:textId="77777777" w:rsidR="004E5F98" w:rsidRPr="008B3F38" w:rsidRDefault="004E5F98" w:rsidP="007C0CD7">
      <w:pPr>
        <w:rPr>
          <w:lang w:val="ru-RU"/>
        </w:rPr>
      </w:pPr>
      <w:r w:rsidRPr="008B3F38">
        <w:rPr>
          <w:b/>
          <w:bCs/>
          <w:lang w:val="ru-RU"/>
        </w:rPr>
        <w:t>РЕК2: обеспечить руководителям проектов постоянный доступ к данным о финансовых транзакциях на панели мониторинга финансового состояния проекта, что позволит им анализировать и проверять все расходы по своим проектам в режиме реального времени</w:t>
      </w:r>
      <w:r w:rsidRPr="008B3F38">
        <w:rPr>
          <w:lang w:val="ru-RU"/>
        </w:rPr>
        <w:t>.</w:t>
      </w:r>
    </w:p>
    <w:p w14:paraId="6D808D34" w14:textId="77777777" w:rsidR="004E5F98" w:rsidRPr="008B3F38" w:rsidRDefault="004E5F98" w:rsidP="007C0CD7">
      <w:pPr>
        <w:rPr>
          <w:lang w:val="ru-RU"/>
        </w:rPr>
      </w:pPr>
      <w:r w:rsidRPr="008B3F38">
        <w:rPr>
          <w:b/>
          <w:bCs/>
          <w:lang w:val="ru-RU"/>
        </w:rPr>
        <w:t>РЕК3: формально установить требование для руководителей проектов в явной форме подтверждать точность финансовых издержек в конце каждого отчетного периода.</w:t>
      </w:r>
      <w:r w:rsidRPr="008B3F38">
        <w:rPr>
          <w:lang w:val="ru-RU"/>
        </w:rPr>
        <w:t xml:space="preserve"> </w:t>
      </w:r>
      <w:r w:rsidRPr="008B3F38">
        <w:rPr>
          <w:b/>
          <w:bCs/>
          <w:lang w:val="ru-RU"/>
        </w:rPr>
        <w:t>Это должно быть обязательной контрольной мерой в отношении процесса анализа финансового состояния проектов</w:t>
      </w:r>
      <w:r w:rsidRPr="008B3F38">
        <w:rPr>
          <w:lang w:val="ru-RU"/>
        </w:rPr>
        <w:t>.</w:t>
      </w:r>
    </w:p>
    <w:p w14:paraId="77B5F268" w14:textId="77777777" w:rsidR="004E5F98" w:rsidRPr="008B3F38" w:rsidRDefault="004E5F98" w:rsidP="007C0CD7">
      <w:pPr>
        <w:rPr>
          <w:lang w:val="ru-RU"/>
        </w:rPr>
      </w:pPr>
      <w:r w:rsidRPr="008B3F38">
        <w:rPr>
          <w:b/>
          <w:bCs/>
          <w:lang w:val="ru-RU"/>
        </w:rPr>
        <w:t>РЕК4: усовершенствовать процессы представления финансовой отчетности в конце года с целью гарантировать, что финансовая отчетность по проектам прошла полную валидацию до завершения подготовки, чтобы снизить риск искажений</w:t>
      </w:r>
      <w:r w:rsidRPr="008B3F38">
        <w:rPr>
          <w:lang w:val="ru-RU"/>
        </w:rPr>
        <w:t>.</w:t>
      </w:r>
    </w:p>
    <w:p w14:paraId="1A217CFD" w14:textId="0F24F457" w:rsidR="004E5F98" w:rsidRPr="008B3F38" w:rsidRDefault="004E5F98" w:rsidP="007C0CD7">
      <w:pPr>
        <w:rPr>
          <w:lang w:val="ru-RU"/>
        </w:rPr>
      </w:pPr>
      <w:r w:rsidRPr="008B3F38">
        <w:rPr>
          <w:i/>
          <w:iCs/>
          <w:lang w:val="ru-RU"/>
        </w:rPr>
        <w:t>Замечание руководства МСЭ: МСЭ принял к сведению данные рекомендации.</w:t>
      </w:r>
      <w:r w:rsidRPr="008B3F38">
        <w:rPr>
          <w:lang w:val="ru-RU"/>
        </w:rPr>
        <w:t xml:space="preserve"> </w:t>
      </w:r>
      <w:r w:rsidRPr="008B3F38">
        <w:rPr>
          <w:i/>
          <w:iCs/>
          <w:lang w:val="ru-RU"/>
        </w:rPr>
        <w:t>Работа по подробным функционирующим в режиме реального времени информационным панелям находится на завершающей стадии; они будут ориентированы на роли, чтобы обеспечить системный доступ к информации вместе с возможностью запроса подробной информации о</w:t>
      </w:r>
      <w:r w:rsidR="00D30732" w:rsidRPr="008B3F38">
        <w:rPr>
          <w:i/>
          <w:iCs/>
          <w:lang w:val="ru-RU"/>
        </w:rPr>
        <w:t> </w:t>
      </w:r>
      <w:r w:rsidRPr="008B3F38">
        <w:rPr>
          <w:i/>
          <w:iCs/>
          <w:lang w:val="ru-RU"/>
        </w:rPr>
        <w:t>затратах, связанных с соответствующими субсидиями.</w:t>
      </w:r>
      <w:r w:rsidRPr="008B3F38">
        <w:rPr>
          <w:lang w:val="ru-RU"/>
        </w:rPr>
        <w:t xml:space="preserve"> </w:t>
      </w:r>
      <w:r w:rsidRPr="008B3F38">
        <w:rPr>
          <w:i/>
          <w:iCs/>
          <w:lang w:val="ru-RU"/>
        </w:rPr>
        <w:t>Обучение и будущая разработка отчетов начнутся в III и IV кварталах 2025 года.</w:t>
      </w:r>
    </w:p>
    <w:p w14:paraId="11C4BD78" w14:textId="77777777" w:rsidR="004E5F98" w:rsidRPr="008B3F38" w:rsidRDefault="004E5F98" w:rsidP="007C0CD7">
      <w:pPr>
        <w:rPr>
          <w:lang w:val="ru-RU"/>
        </w:rPr>
      </w:pPr>
      <w:r w:rsidRPr="008B3F38">
        <w:rPr>
          <w:i/>
          <w:iCs/>
          <w:lang w:val="ru-RU"/>
        </w:rPr>
        <w:t>МСЭ обеспечит ежегодный обзор всех внебюджетных субсидий, и до выпуска финансового отчета эта информация должна будет проходить сертификацию.</w:t>
      </w:r>
      <w:r w:rsidRPr="008B3F38">
        <w:rPr>
          <w:lang w:val="ru-RU"/>
        </w:rPr>
        <w:t xml:space="preserve"> </w:t>
      </w:r>
      <w:r w:rsidRPr="008B3F38">
        <w:rPr>
          <w:i/>
          <w:iCs/>
          <w:lang w:val="ru-RU"/>
        </w:rPr>
        <w:t>Данная мера будет интегрирована в процесс обзора финансовых аспектов субсидий до конца 2025 года.</w:t>
      </w:r>
    </w:p>
    <w:p w14:paraId="43A569FA" w14:textId="77777777" w:rsidR="004E5F98" w:rsidRPr="008B3F38" w:rsidRDefault="004E5F98" w:rsidP="00426DF2">
      <w:pPr>
        <w:pStyle w:val="Heading3"/>
        <w:rPr>
          <w:lang w:val="ru-RU"/>
        </w:rPr>
      </w:pPr>
      <w:r w:rsidRPr="008B3F38">
        <w:rPr>
          <w:lang w:val="ru-RU"/>
        </w:rPr>
        <w:lastRenderedPageBreak/>
        <w:t>Вознаграждение сотрудников</w:t>
      </w:r>
    </w:p>
    <w:p w14:paraId="3BDF7D4D" w14:textId="0BA11296" w:rsidR="004E5F98" w:rsidRPr="008B3F38" w:rsidRDefault="004E5F98" w:rsidP="007C0CD7">
      <w:pPr>
        <w:rPr>
          <w:lang w:val="ru-RU"/>
        </w:rPr>
      </w:pPr>
      <w:r w:rsidRPr="008B3F38">
        <w:rPr>
          <w:b/>
          <w:bCs/>
          <w:lang w:val="ru-RU"/>
        </w:rPr>
        <w:t>1.19</w:t>
      </w:r>
      <w:r w:rsidRPr="008B3F38">
        <w:rPr>
          <w:lang w:val="ru-RU"/>
        </w:rPr>
        <w:tab/>
        <w:t>В 2024 году общая сумма расходов по персоналу, отображенная в финансовой отчетности, составила 142,5 млн. швейцарских франков (150,7</w:t>
      </w:r>
      <w:r w:rsidR="00D30732" w:rsidRPr="008B3F38">
        <w:rPr>
          <w:lang w:val="ru-RU"/>
        </w:rPr>
        <w:t> </w:t>
      </w:r>
      <w:r w:rsidRPr="008B3F38">
        <w:rPr>
          <w:lang w:val="ru-RU"/>
        </w:rPr>
        <w:t>млн. шв. фр. в 2023 г.), что составляет 68,7% (76,4% в 2023 г.) всех расходов за этот период; уменьшение доли расходов связано прежде всего с увеличением затрат на обесценение "нового здания" в 2024 году, а не с</w:t>
      </w:r>
      <w:r w:rsidR="0057647A" w:rsidRPr="008B3F38">
        <w:rPr>
          <w:lang w:val="ru-RU"/>
        </w:rPr>
        <w:t> </w:t>
      </w:r>
      <w:r w:rsidRPr="008B3F38">
        <w:rPr>
          <w:lang w:val="ru-RU"/>
        </w:rPr>
        <w:t>собственно сокращением расходов по персоналу. В Положениях о персонале и Правилах о</w:t>
      </w:r>
      <w:r w:rsidR="0033523E" w:rsidRPr="008B3F38">
        <w:rPr>
          <w:lang w:val="ru-RU"/>
        </w:rPr>
        <w:t> </w:t>
      </w:r>
      <w:r w:rsidRPr="008B3F38">
        <w:rPr>
          <w:lang w:val="ru-RU"/>
        </w:rPr>
        <w:t>персонале закреплены основополагающие условия службы и основные права, полномочия и обязательства сотрудников МСЭ. Это касается окладов и соответствующих надбавок, а также выплат по линии социального страхования, включая доступ к Объединенному пенсионному фонду персонала ООН и медицинскому страхованию после выхода в отставку.</w:t>
      </w:r>
    </w:p>
    <w:p w14:paraId="07D6D8E1" w14:textId="77777777" w:rsidR="004E5F98" w:rsidRPr="008B3F38" w:rsidRDefault="004E5F98" w:rsidP="009E2548">
      <w:pPr>
        <w:pStyle w:val="Heading4"/>
        <w:rPr>
          <w:lang w:val="ru-RU"/>
        </w:rPr>
      </w:pPr>
      <w:r w:rsidRPr="008B3F38">
        <w:rPr>
          <w:lang w:val="ru-RU"/>
        </w:rPr>
        <w:t>Пособия после прекращения службы</w:t>
      </w:r>
    </w:p>
    <w:p w14:paraId="584AE469" w14:textId="4CC904CE" w:rsidR="004E5F98" w:rsidRPr="008B3F38" w:rsidRDefault="004E5F98" w:rsidP="007C0CD7">
      <w:pPr>
        <w:rPr>
          <w:lang w:val="ru-RU"/>
        </w:rPr>
      </w:pPr>
      <w:r w:rsidRPr="008B3F38">
        <w:rPr>
          <w:b/>
          <w:bCs/>
          <w:lang w:val="ru-RU"/>
        </w:rPr>
        <w:t>1.20</w:t>
      </w:r>
      <w:r w:rsidRPr="008B3F38">
        <w:rPr>
          <w:lang w:val="ru-RU"/>
        </w:rPr>
        <w:tab/>
        <w:t>Наиболее значительными обязательствами, отображаемыми МСЭ в своей финансовой отчетности, являются обязательства по вознаграждению сотрудников. Эти обязательства включают медицинское страхование сотрудников после выхода в отставку, их субсидий на репатриацию и накопленный ежегодный отпуск. Общие обязательства по таким видам вознаграждения сотрудников увеличились до 441,4 млн. швейцарских франков (399,4</w:t>
      </w:r>
      <w:r w:rsidR="0033523E" w:rsidRPr="008B3F38">
        <w:rPr>
          <w:lang w:val="ru-RU"/>
        </w:rPr>
        <w:t> </w:t>
      </w:r>
      <w:r w:rsidRPr="008B3F38">
        <w:rPr>
          <w:lang w:val="ru-RU"/>
        </w:rPr>
        <w:t>млн.</w:t>
      </w:r>
      <w:r w:rsidR="0033523E" w:rsidRPr="008B3F38">
        <w:rPr>
          <w:lang w:val="ru-RU"/>
        </w:rPr>
        <w:t> </w:t>
      </w:r>
      <w:r w:rsidRPr="008B3F38">
        <w:rPr>
          <w:lang w:val="ru-RU"/>
        </w:rPr>
        <w:t>шв.</w:t>
      </w:r>
      <w:r w:rsidR="0033523E" w:rsidRPr="008B3F38">
        <w:rPr>
          <w:lang w:val="ru-RU"/>
        </w:rPr>
        <w:t> </w:t>
      </w:r>
      <w:r w:rsidRPr="008B3F38">
        <w:rPr>
          <w:lang w:val="ru-RU"/>
        </w:rPr>
        <w:t>фр. в 2023 г.).</w:t>
      </w:r>
    </w:p>
    <w:p w14:paraId="4C298495" w14:textId="56CA324B" w:rsidR="004E5F98" w:rsidRPr="008B3F38" w:rsidRDefault="004E5F98" w:rsidP="007C0CD7">
      <w:pPr>
        <w:rPr>
          <w:lang w:val="ru-RU"/>
        </w:rPr>
      </w:pPr>
      <w:r w:rsidRPr="008B3F38">
        <w:rPr>
          <w:b/>
          <w:bCs/>
          <w:lang w:val="ru-RU"/>
        </w:rPr>
        <w:t>1.21</w:t>
      </w:r>
      <w:r w:rsidRPr="008B3F38">
        <w:rPr>
          <w:lang w:val="ru-RU"/>
        </w:rPr>
        <w:tab/>
        <w:t>Обязательства по медицинскому страхованию после выхода в отставку на общую сумму 415,8 млн. швейцарских франков (375,3</w:t>
      </w:r>
      <w:r w:rsidR="0020122A" w:rsidRPr="008B3F38">
        <w:rPr>
          <w:lang w:val="ru-RU"/>
        </w:rPr>
        <w:t> </w:t>
      </w:r>
      <w:r w:rsidRPr="008B3F38">
        <w:rPr>
          <w:lang w:val="ru-RU"/>
        </w:rPr>
        <w:t>млн. шв. фр. в 2023 г.) рассчитаны независимым актуарием на основе исходных данных и предположений. Они отражают стоимость контрактных обязательств перед персоналом и вышедшими в отставку сотрудниками по состоянию на 31 декабря 2024 года, поскольку основные выплаты по заявкам на возмещение расходов ожидаются в будущем. Разница от года к году является результатом изменения актуарных предположений, в том числе предположений, касающихся затрат на заявки на возмещение медицинских расходов.</w:t>
      </w:r>
    </w:p>
    <w:p w14:paraId="6FD02C4E" w14:textId="25F850D2" w:rsidR="004E5F98" w:rsidRPr="008B3F38" w:rsidRDefault="004E5F98" w:rsidP="007C0CD7">
      <w:pPr>
        <w:rPr>
          <w:lang w:val="ru-RU"/>
        </w:rPr>
      </w:pPr>
      <w:r w:rsidRPr="008B3F38">
        <w:rPr>
          <w:b/>
          <w:bCs/>
          <w:lang w:val="ru-RU"/>
        </w:rPr>
        <w:t>1.22</w:t>
      </w:r>
      <w:r w:rsidRPr="008B3F38">
        <w:rPr>
          <w:lang w:val="ru-RU"/>
        </w:rPr>
        <w:tab/>
        <w:t>Учитывая высокий уровень оценочных значений и суждений при проведении оценки, мы рассматриваем это как значительный риск для аудита. Наряду с анализом существующих средств контроля над оценкой, включая валидацию руководством данных переписи, используемых актуарием, мы рассматриваем, каким образом руководство определяет, что используемые допущения являются разумными и уместными. Мы проверяем достоверность данных переписи и выполняем процедуры, чтобы получить право полагаться на эксперта руководства. Наша актуарная группа оценивает используемые допущения и методику, чтобы убедиться в их адекватности, соответствии IPSAS и отраслевым компараторам.</w:t>
      </w:r>
    </w:p>
    <w:p w14:paraId="2040A6EC" w14:textId="2C888ABF" w:rsidR="004E5F98" w:rsidRPr="008B3F38" w:rsidRDefault="004E5F98" w:rsidP="007C0CD7">
      <w:pPr>
        <w:rPr>
          <w:lang w:val="ru-RU"/>
        </w:rPr>
      </w:pPr>
      <w:r w:rsidRPr="008B3F38">
        <w:rPr>
          <w:b/>
          <w:bCs/>
          <w:lang w:val="ru-RU"/>
        </w:rPr>
        <w:t>1.23</w:t>
      </w:r>
      <w:r w:rsidRPr="008B3F38">
        <w:rPr>
          <w:lang w:val="ru-RU"/>
        </w:rPr>
        <w:tab/>
        <w:t>МСЭ ведет отдельный счет для средств, ассигнованных для будущего финансирования обязательств по медицинскому страхованию после выхода в отставку, общая сумма которых на декабрь 2024 года составила 15,0 млн. швейцарских франков (14,0</w:t>
      </w:r>
      <w:r w:rsidR="00D30732" w:rsidRPr="008B3F38">
        <w:rPr>
          <w:lang w:val="ru-RU"/>
        </w:rPr>
        <w:t> </w:t>
      </w:r>
      <w:r w:rsidRPr="008B3F38">
        <w:rPr>
          <w:lang w:val="ru-RU"/>
        </w:rPr>
        <w:t xml:space="preserve">млн. шв. фр. в 2023 г.) с выделением дополнительно 1,0 млн. швейцарских франков в течение года, как это было согласовано Советом (п. 9 Резолюции 1417). Эти средства были сформированы в основном за счет перевода средств с резервного счета. Несмотря на это, существуют значительные необеспеченные обязательства на сумму около 400 млн. швейцарских франков, которые в совокупности с другими активами и пассивами Союза приводят к отрицательным чистым резервам в размере 313,0 млн. швейцарских франков. </w:t>
      </w:r>
    </w:p>
    <w:p w14:paraId="6B506580" w14:textId="42415F81" w:rsidR="004E5F98" w:rsidRPr="008B3F38" w:rsidRDefault="004E5F98" w:rsidP="007C0CD7">
      <w:pPr>
        <w:rPr>
          <w:lang w:val="ru-RU"/>
        </w:rPr>
      </w:pPr>
      <w:r w:rsidRPr="008B3F38">
        <w:rPr>
          <w:b/>
          <w:bCs/>
          <w:lang w:val="ru-RU"/>
        </w:rPr>
        <w:t>1.24</w:t>
      </w:r>
      <w:r w:rsidRPr="008B3F38">
        <w:rPr>
          <w:lang w:val="ru-RU"/>
        </w:rPr>
        <w:tab/>
        <w:t xml:space="preserve">Столь значительный масштаб дефицита является основным долгосрочным финансовым риском для МСЭ. В то же время такие необеспеченные обязательства являются общими в рамках всей системы ООН, но для Членов по-прежнему важно регулярно определять и утверждать, каким именно образом они желают планировать финансирование этих обязательств. Особенно это касается тех обязательств, которые возникают по линии внебюджетного финансирования. По нашему мнению, по-прежнему важно регулярно </w:t>
      </w:r>
      <w:r w:rsidRPr="008B3F38">
        <w:rPr>
          <w:lang w:val="ru-RU"/>
        </w:rPr>
        <w:lastRenderedPageBreak/>
        <w:t>анализировать возможности снижения подверженности рискам с учетом степени и уровня предоставляемого страхового покрытия.</w:t>
      </w:r>
    </w:p>
    <w:p w14:paraId="0652E16E" w14:textId="59C30DCE" w:rsidR="004E5F98" w:rsidRPr="008B3F38" w:rsidRDefault="004E5F98" w:rsidP="007C0CD7">
      <w:pPr>
        <w:rPr>
          <w:lang w:val="ru-RU"/>
        </w:rPr>
      </w:pPr>
      <w:r w:rsidRPr="008B3F38">
        <w:rPr>
          <w:b/>
          <w:bCs/>
          <w:lang w:val="ru-RU"/>
        </w:rPr>
        <w:t>1.25</w:t>
      </w:r>
      <w:r w:rsidRPr="008B3F38">
        <w:rPr>
          <w:lang w:val="ru-RU"/>
        </w:rPr>
        <w:tab/>
        <w:t xml:space="preserve">В документе Совета (Документ </w:t>
      </w:r>
      <w:r>
        <w:fldChar w:fldCharType="begin"/>
      </w:r>
      <w:r>
        <w:instrText>HYPERLINK</w:instrText>
      </w:r>
      <w:r w:rsidRPr="00DB788B">
        <w:rPr>
          <w:lang w:val="ru-RU"/>
        </w:rPr>
        <w:instrText xml:space="preserve"> "</w:instrText>
      </w:r>
      <w:r>
        <w:instrText>https</w:instrText>
      </w:r>
      <w:r w:rsidRPr="00DB788B">
        <w:rPr>
          <w:lang w:val="ru-RU"/>
        </w:rPr>
        <w:instrText>://</w:instrText>
      </w:r>
      <w:r>
        <w:instrText>www</w:instrText>
      </w:r>
      <w:r w:rsidRPr="00DB788B">
        <w:rPr>
          <w:lang w:val="ru-RU"/>
        </w:rPr>
        <w:instrText>.</w:instrText>
      </w:r>
      <w:r>
        <w:instrText>itu</w:instrText>
      </w:r>
      <w:r w:rsidRPr="00DB788B">
        <w:rPr>
          <w:lang w:val="ru-RU"/>
        </w:rPr>
        <w:instrText>.</w:instrText>
      </w:r>
      <w:r>
        <w:instrText>int</w:instrText>
      </w:r>
      <w:r w:rsidRPr="00DB788B">
        <w:rPr>
          <w:lang w:val="ru-RU"/>
        </w:rPr>
        <w:instrText>/</w:instrText>
      </w:r>
      <w:r>
        <w:instrText>md</w:instrText>
      </w:r>
      <w:r w:rsidRPr="00DB788B">
        <w:rPr>
          <w:lang w:val="ru-RU"/>
        </w:rPr>
        <w:instrText>/</w:instrText>
      </w:r>
      <w:r>
        <w:instrText>S</w:instrText>
      </w:r>
      <w:r w:rsidRPr="00DB788B">
        <w:rPr>
          <w:lang w:val="ru-RU"/>
        </w:rPr>
        <w:instrText>25-</w:instrText>
      </w:r>
      <w:r>
        <w:instrText>CL</w:instrText>
      </w:r>
      <w:r w:rsidRPr="00DB788B">
        <w:rPr>
          <w:lang w:val="ru-RU"/>
        </w:rPr>
        <w:instrText>-</w:instrText>
      </w:r>
      <w:r>
        <w:instrText>C</w:instrText>
      </w:r>
      <w:r w:rsidRPr="00DB788B">
        <w:rPr>
          <w:lang w:val="ru-RU"/>
        </w:rPr>
        <w:instrText>-0046/</w:instrText>
      </w:r>
      <w:r>
        <w:instrText>en</w:instrText>
      </w:r>
      <w:r w:rsidRPr="00DB788B">
        <w:rPr>
          <w:lang w:val="ru-RU"/>
        </w:rPr>
        <w:instrText>"</w:instrText>
      </w:r>
      <w:r>
        <w:fldChar w:fldCharType="separate"/>
      </w:r>
      <w:r w:rsidRPr="008B3F38">
        <w:rPr>
          <w:rStyle w:val="Hyperlink"/>
          <w:lang w:val="ru-RU"/>
        </w:rPr>
        <w:t>C25/46</w:t>
      </w:r>
      <w:r>
        <w:fldChar w:fldCharType="end"/>
      </w:r>
      <w:r w:rsidRPr="008B3F38">
        <w:rPr>
          <w:lang w:val="ru-RU"/>
        </w:rPr>
        <w:t>) Генеральный секретарь представляет обновленную информацию о статусе обязательств о действующем в настоящее время порядке управления финансированием, а также обновленную информацию об общесистемных изменениях. МСЭ намерен частично финансировать обязательства за счет взимания 5,35% от объема базового оклада новых служащих, принятых на работу начиная с 1 января 2026</w:t>
      </w:r>
      <w:r w:rsidR="00D30732" w:rsidRPr="008B3F38">
        <w:rPr>
          <w:lang w:val="ru-RU"/>
        </w:rPr>
        <w:t> </w:t>
      </w:r>
      <w:r w:rsidRPr="008B3F38">
        <w:rPr>
          <w:lang w:val="ru-RU"/>
        </w:rPr>
        <w:t>года.</w:t>
      </w:r>
    </w:p>
    <w:p w14:paraId="349EEB3D" w14:textId="689B7B9C" w:rsidR="004E5F98" w:rsidRPr="008B3F38" w:rsidRDefault="004E5F98" w:rsidP="007C0CD7">
      <w:pPr>
        <w:rPr>
          <w:lang w:val="ru-RU"/>
        </w:rPr>
      </w:pPr>
      <w:r w:rsidRPr="008B3F38">
        <w:rPr>
          <w:b/>
          <w:bCs/>
          <w:lang w:val="ru-RU"/>
        </w:rPr>
        <w:t>1.26</w:t>
      </w:r>
      <w:r w:rsidRPr="008B3F38">
        <w:rPr>
          <w:lang w:val="ru-RU"/>
        </w:rPr>
        <w:tab/>
        <w:t>Нефинансируемые обязательства по-прежнему составляют для МСЭ наиболее значительный финансовый риск, и Членам следует регулярно рассматривать существующие механизмы как предоставления услуг, так и подтверждения того, что стратегия финансирования затрат и обязательств остается наиболее целесообразной для условий Союза. Проведенный нами анализ выявил несколько фондов, содержащихся в других резервах с ограниченной активностью, например Страховую кассу персонала МСЭ (6,5 млн. шв. фр.). Руководству следует рассмотреть вопрос о целесообразности получения от Членов полномочий на перераспределение этих средств для повышения уровня финансирования</w:t>
      </w:r>
      <w:r w:rsidR="00845B16" w:rsidRPr="008B3F38">
        <w:rPr>
          <w:lang w:val="ru-RU"/>
        </w:rPr>
        <w:t> </w:t>
      </w:r>
      <w:r w:rsidRPr="008B3F38">
        <w:rPr>
          <w:lang w:val="ru-RU"/>
        </w:rPr>
        <w:t>АСХИ.</w:t>
      </w:r>
    </w:p>
    <w:p w14:paraId="4FB3586E" w14:textId="77777777" w:rsidR="004E5F98" w:rsidRPr="008B3F38" w:rsidRDefault="004E5F98" w:rsidP="007C0CD7">
      <w:pPr>
        <w:rPr>
          <w:b/>
          <w:bCs/>
          <w:lang w:val="ru-RU"/>
        </w:rPr>
      </w:pPr>
      <w:r w:rsidRPr="008B3F38">
        <w:rPr>
          <w:b/>
          <w:bCs/>
          <w:lang w:val="ru-RU"/>
        </w:rPr>
        <w:t>1.27</w:t>
      </w:r>
      <w:r w:rsidRPr="008B3F38">
        <w:rPr>
          <w:lang w:val="ru-RU"/>
        </w:rPr>
        <w:tab/>
        <w:t xml:space="preserve">В нашем отчете за 2022 год мы подчеркнули, что, несмотря на ограниченность основных ресурсов, МСЭ имеет несколько обеспеченных денежными средствами остатков резервов и средств. Несмотря на то, что в отношении остатков средств могут действовать ограничения, связанные с целями использования, мы по-прежнему считаем, что руководству следует провести специальный анализ и изучить вопрос о пересмотре условий, чтобы определить их релевантность и актуальность, а также соответствующим образом привлечь Членов. В связи с этим мы </w:t>
      </w:r>
      <w:r w:rsidRPr="008B3F38">
        <w:rPr>
          <w:b/>
          <w:bCs/>
          <w:lang w:val="ru-RU"/>
        </w:rPr>
        <w:t>вновь повторяем данную нами ранее рекомендацию (2022 г., РЕК10) о том, что МСЭ следует пересмотреть свои текущие остатки средств и резервов</w:t>
      </w:r>
      <w:r w:rsidRPr="008B3F38">
        <w:rPr>
          <w:lang w:val="ru-RU"/>
        </w:rPr>
        <w:t>.</w:t>
      </w:r>
    </w:p>
    <w:p w14:paraId="2E544290" w14:textId="77777777" w:rsidR="004E5F98" w:rsidRPr="008B3F38" w:rsidRDefault="004E5F98" w:rsidP="007C0CD7">
      <w:pPr>
        <w:rPr>
          <w:lang w:val="ru-RU"/>
        </w:rPr>
      </w:pPr>
      <w:r w:rsidRPr="008B3F38">
        <w:rPr>
          <w:i/>
          <w:iCs/>
          <w:lang w:val="ru-RU"/>
        </w:rPr>
        <w:t>Замечание руководства МСЭ: МСЭ принял к сведению эту рекомендацию, и Секретариат МСЭ представит Совету различные предложения по повышению уровня финансирования обязательств по АСХИ.</w:t>
      </w:r>
    </w:p>
    <w:p w14:paraId="718A568A" w14:textId="2FE1F726" w:rsidR="004E5F98" w:rsidRPr="008B3F38" w:rsidRDefault="004E5F98" w:rsidP="007C0CD7">
      <w:pPr>
        <w:rPr>
          <w:lang w:val="ru-RU"/>
        </w:rPr>
      </w:pPr>
      <w:r w:rsidRPr="008B3F38">
        <w:rPr>
          <w:b/>
          <w:bCs/>
          <w:lang w:val="ru-RU"/>
        </w:rPr>
        <w:t>1.28</w:t>
      </w:r>
      <w:r w:rsidRPr="008B3F38">
        <w:rPr>
          <w:lang w:val="ru-RU"/>
        </w:rPr>
        <w:tab/>
        <w:t>Наиболее значимыми факторами, которые повлияли на оценку обязательств по АСХИ, являются актуарные предположения, которые увеличили обязательства на 32,7</w:t>
      </w:r>
      <w:r w:rsidR="0033523E" w:rsidRPr="008B3F38">
        <w:rPr>
          <w:lang w:val="ru-RU"/>
        </w:rPr>
        <w:t> </w:t>
      </w:r>
      <w:r w:rsidRPr="008B3F38">
        <w:rPr>
          <w:lang w:val="ru-RU"/>
        </w:rPr>
        <w:t>млн.</w:t>
      </w:r>
      <w:r w:rsidR="0033523E" w:rsidRPr="008B3F38">
        <w:rPr>
          <w:lang w:val="ru-RU"/>
        </w:rPr>
        <w:t> </w:t>
      </w:r>
      <w:r w:rsidRPr="008B3F38">
        <w:rPr>
          <w:lang w:val="ru-RU"/>
        </w:rPr>
        <w:t>швейцарских франков (Рисунок 2). Они включают:</w:t>
      </w:r>
    </w:p>
    <w:p w14:paraId="6326F03B" w14:textId="5081ECF2" w:rsidR="004E5F98" w:rsidRPr="008B3F38" w:rsidRDefault="001E4880" w:rsidP="007C0CD7">
      <w:pPr>
        <w:pStyle w:val="enumlev1"/>
        <w:rPr>
          <w:lang w:val="ru-RU"/>
        </w:rPr>
      </w:pPr>
      <w:r w:rsidRPr="008B3F38">
        <w:rPr>
          <w:lang w:val="ru-RU"/>
        </w:rPr>
        <w:t>•</w:t>
      </w:r>
      <w:r w:rsidR="004E5F98" w:rsidRPr="008B3F38">
        <w:rPr>
          <w:lang w:val="ru-RU"/>
        </w:rPr>
        <w:tab/>
        <w:t>потери в размере 20,6 млн. швейцарских франков в связи с изменениями в финансовых допущениях, связанных со ставкой дисконтирования, уровнем инфляции и тенденциями в сфере медицины. Основной причиной потерь стало снижение ставки дисконтирования с 1,9% до 1,4%, что увеличивает общие обязательства. МСЭ использует метод кривой доходности, взвешенной по денежным потокам, который отражает ожидаемые денежные потоки по базовому плану и предполагаемые валютные риски;</w:t>
      </w:r>
    </w:p>
    <w:p w14:paraId="67DAEA43" w14:textId="50052551" w:rsidR="004E5F98" w:rsidRPr="008B3F38" w:rsidRDefault="001E4880" w:rsidP="007C0CD7">
      <w:pPr>
        <w:pStyle w:val="enumlev1"/>
        <w:rPr>
          <w:lang w:val="ru-RU"/>
        </w:rPr>
      </w:pPr>
      <w:r w:rsidRPr="008B3F38">
        <w:rPr>
          <w:lang w:val="ru-RU"/>
        </w:rPr>
        <w:t>•</w:t>
      </w:r>
      <w:r w:rsidR="004E5F98" w:rsidRPr="008B3F38">
        <w:rPr>
          <w:lang w:val="ru-RU"/>
        </w:rPr>
        <w:tab/>
        <w:t>потери в размере 10,6 млн. швейцарских франков вследствие изменения демографических допущений. В первую очередь это связано с двумя новыми демографическими исследованиями, проведенными в 2024 году в целях обновления допущений о затратах на заявки на возмещение медицинских расходов и значения показателя текучести персонала. Более подробно об этом идет речь ниже;</w:t>
      </w:r>
    </w:p>
    <w:p w14:paraId="5459FC95" w14:textId="62E905D3" w:rsidR="004E5F98" w:rsidRPr="008B3F38" w:rsidRDefault="001E4880" w:rsidP="007C0CD7">
      <w:pPr>
        <w:pStyle w:val="enumlev1"/>
        <w:rPr>
          <w:lang w:val="ru-RU"/>
        </w:rPr>
      </w:pPr>
      <w:r w:rsidRPr="008B3F38">
        <w:rPr>
          <w:lang w:val="ru-RU"/>
        </w:rPr>
        <w:t>•</w:t>
      </w:r>
      <w:r w:rsidR="004E5F98" w:rsidRPr="008B3F38">
        <w:rPr>
          <w:lang w:val="ru-RU"/>
        </w:rPr>
        <w:tab/>
        <w:t xml:space="preserve">потери в размере 1,5 млн. швейцарских франков за счет изменения в наблюдениях. Они охватывают корректировки, которые требуется сделать в связи с разницей между допущениями и фактическими результатами, относящимися в первую очередь к фактически понесенным затратам на медицинские услуги. </w:t>
      </w:r>
    </w:p>
    <w:tbl>
      <w:tblPr>
        <w:tblW w:w="5000" w:type="pct"/>
        <w:tblBorders>
          <w:top w:val="single" w:sz="12" w:space="0" w:color="008000"/>
          <w:left w:val="nil"/>
          <w:bottom w:val="single" w:sz="12" w:space="0" w:color="008000"/>
          <w:right w:val="nil"/>
          <w:insideH w:val="nil"/>
          <w:insideV w:val="nil"/>
        </w:tblBorders>
        <w:tblLayout w:type="fixed"/>
        <w:tblLook w:val="00A0" w:firstRow="1" w:lastRow="0" w:firstColumn="1" w:lastColumn="0" w:noHBand="0" w:noVBand="0"/>
      </w:tblPr>
      <w:tblGrid>
        <w:gridCol w:w="3542"/>
        <w:gridCol w:w="1383"/>
        <w:gridCol w:w="1382"/>
        <w:gridCol w:w="1382"/>
        <w:gridCol w:w="1382"/>
      </w:tblGrid>
      <w:tr w:rsidR="004E5F98" w:rsidRPr="008B3F38" w14:paraId="71CE571F" w14:textId="77777777" w:rsidTr="00CE0D9D">
        <w:tc>
          <w:tcPr>
            <w:tcW w:w="5000" w:type="pct"/>
            <w:gridSpan w:val="5"/>
            <w:tcBorders>
              <w:bottom w:val="single" w:sz="6" w:space="0" w:color="008000"/>
            </w:tcBorders>
          </w:tcPr>
          <w:p w14:paraId="5DE9EA4C" w14:textId="43834CF4" w:rsidR="004E5F98" w:rsidRPr="008B3F38" w:rsidRDefault="004E5F98" w:rsidP="001F4644">
            <w:pPr>
              <w:pStyle w:val="TableNo"/>
              <w:keepLines/>
              <w:tabs>
                <w:tab w:val="left" w:pos="1875"/>
              </w:tabs>
              <w:spacing w:before="120"/>
              <w:jc w:val="left"/>
              <w:rPr>
                <w:b/>
                <w:bCs/>
                <w:lang w:val="ru-RU"/>
              </w:rPr>
            </w:pPr>
            <w:r w:rsidRPr="008B3F38">
              <w:rPr>
                <w:color w:val="000000"/>
                <w:lang w:val="ru-RU"/>
              </w:rPr>
              <w:lastRenderedPageBreak/>
              <w:t>Рисунок 2</w:t>
            </w:r>
          </w:p>
        </w:tc>
      </w:tr>
      <w:tr w:rsidR="004E5F98" w:rsidRPr="00DB788B" w14:paraId="2A53FAC5" w14:textId="77777777" w:rsidTr="00CE0D9D">
        <w:tc>
          <w:tcPr>
            <w:tcW w:w="5000" w:type="pct"/>
            <w:gridSpan w:val="5"/>
            <w:tcBorders>
              <w:top w:val="single" w:sz="6" w:space="0" w:color="008000"/>
            </w:tcBorders>
          </w:tcPr>
          <w:p w14:paraId="13F14796" w14:textId="77777777" w:rsidR="004E5F98" w:rsidRPr="008B3F38" w:rsidRDefault="004E5F98" w:rsidP="001F4644">
            <w:pPr>
              <w:pStyle w:val="Tabletitle"/>
              <w:keepLines/>
              <w:tabs>
                <w:tab w:val="left" w:pos="1875"/>
              </w:tabs>
              <w:spacing w:before="80" w:after="80"/>
              <w:jc w:val="left"/>
              <w:rPr>
                <w:b w:val="0"/>
                <w:bCs/>
                <w:sz w:val="28"/>
                <w:szCs w:val="28"/>
                <w:lang w:val="ru-RU"/>
              </w:rPr>
            </w:pPr>
            <w:r w:rsidRPr="008B3F38">
              <w:rPr>
                <w:bCs/>
                <w:color w:val="000000"/>
                <w:lang w:val="ru-RU"/>
              </w:rPr>
              <w:t>Динамика обязательств по пособиям, определенным для АСХИ</w:t>
            </w:r>
          </w:p>
        </w:tc>
      </w:tr>
      <w:tr w:rsidR="001F4644" w:rsidRPr="008B3F38" w14:paraId="108E139F" w14:textId="77777777" w:rsidTr="001F4644">
        <w:tc>
          <w:tcPr>
            <w:tcW w:w="1952" w:type="pct"/>
            <w:tcBorders>
              <w:bottom w:val="nil"/>
            </w:tcBorders>
            <w:shd w:val="clear" w:color="auto" w:fill="auto"/>
          </w:tcPr>
          <w:p w14:paraId="72C810A9" w14:textId="77777777" w:rsidR="004E5F98" w:rsidRPr="008B3F38" w:rsidRDefault="004E5F98" w:rsidP="001F4644">
            <w:pPr>
              <w:pStyle w:val="Tablehead"/>
              <w:keepLines/>
              <w:rPr>
                <w:sz w:val="18"/>
                <w:szCs w:val="18"/>
                <w:lang w:val="ru-RU"/>
              </w:rPr>
            </w:pPr>
          </w:p>
        </w:tc>
        <w:tc>
          <w:tcPr>
            <w:tcW w:w="762" w:type="pct"/>
          </w:tcPr>
          <w:p w14:paraId="00340CF9" w14:textId="77777777" w:rsidR="004E5F98" w:rsidRPr="008B3F38" w:rsidRDefault="004E5F98" w:rsidP="001F4644">
            <w:pPr>
              <w:pStyle w:val="Tablehead"/>
              <w:keepLines/>
              <w:rPr>
                <w:sz w:val="18"/>
                <w:szCs w:val="18"/>
                <w:lang w:val="ru-RU"/>
              </w:rPr>
            </w:pPr>
            <w:r w:rsidRPr="008B3F38">
              <w:rPr>
                <w:bCs/>
                <w:color w:val="000000"/>
                <w:sz w:val="18"/>
                <w:szCs w:val="18"/>
                <w:lang w:val="ru-RU"/>
              </w:rPr>
              <w:t>2024 г</w:t>
            </w:r>
            <w:r w:rsidRPr="008B3F38">
              <w:rPr>
                <w:b w:val="0"/>
                <w:color w:val="000000"/>
                <w:sz w:val="18"/>
                <w:szCs w:val="18"/>
                <w:lang w:val="ru-RU"/>
              </w:rPr>
              <w:t>.</w:t>
            </w:r>
          </w:p>
        </w:tc>
        <w:tc>
          <w:tcPr>
            <w:tcW w:w="762" w:type="pct"/>
            <w:shd w:val="clear" w:color="auto" w:fill="auto"/>
          </w:tcPr>
          <w:p w14:paraId="67E25D62" w14:textId="77777777" w:rsidR="004E5F98" w:rsidRPr="008B3F38" w:rsidRDefault="004E5F98" w:rsidP="001F4644">
            <w:pPr>
              <w:pStyle w:val="Tablehead"/>
              <w:keepLines/>
              <w:rPr>
                <w:sz w:val="18"/>
                <w:szCs w:val="18"/>
                <w:lang w:val="ru-RU"/>
              </w:rPr>
            </w:pPr>
            <w:r w:rsidRPr="008B3F38">
              <w:rPr>
                <w:bCs/>
                <w:color w:val="000000"/>
                <w:sz w:val="18"/>
                <w:szCs w:val="18"/>
                <w:lang w:val="ru-RU"/>
              </w:rPr>
              <w:t>2023</w:t>
            </w:r>
            <w:r w:rsidRPr="008B3F38">
              <w:rPr>
                <w:sz w:val="18"/>
                <w:szCs w:val="18"/>
                <w:lang w:val="ru-RU"/>
              </w:rPr>
              <w:t xml:space="preserve"> </w:t>
            </w:r>
            <w:r w:rsidRPr="008B3F38">
              <w:rPr>
                <w:bCs/>
                <w:color w:val="000000"/>
                <w:sz w:val="18"/>
                <w:szCs w:val="18"/>
                <w:lang w:val="ru-RU"/>
              </w:rPr>
              <w:t>г</w:t>
            </w:r>
            <w:r w:rsidRPr="008B3F38">
              <w:rPr>
                <w:b w:val="0"/>
                <w:color w:val="000000"/>
                <w:sz w:val="18"/>
                <w:szCs w:val="18"/>
                <w:lang w:val="ru-RU"/>
              </w:rPr>
              <w:t>.</w:t>
            </w:r>
          </w:p>
        </w:tc>
        <w:tc>
          <w:tcPr>
            <w:tcW w:w="762" w:type="pct"/>
            <w:shd w:val="clear" w:color="auto" w:fill="auto"/>
          </w:tcPr>
          <w:p w14:paraId="722569E4" w14:textId="77777777" w:rsidR="004E5F98" w:rsidRPr="008B3F38" w:rsidRDefault="004E5F98" w:rsidP="001F4644">
            <w:pPr>
              <w:pStyle w:val="Tablehead"/>
              <w:keepLines/>
              <w:rPr>
                <w:sz w:val="18"/>
                <w:szCs w:val="18"/>
                <w:lang w:val="ru-RU"/>
              </w:rPr>
            </w:pPr>
            <w:r w:rsidRPr="008B3F38">
              <w:rPr>
                <w:bCs/>
                <w:color w:val="000000"/>
                <w:sz w:val="18"/>
                <w:szCs w:val="18"/>
                <w:lang w:val="ru-RU"/>
              </w:rPr>
              <w:t>2022</w:t>
            </w:r>
            <w:r w:rsidRPr="008B3F38">
              <w:rPr>
                <w:sz w:val="18"/>
                <w:szCs w:val="18"/>
                <w:lang w:val="ru-RU"/>
              </w:rPr>
              <w:t xml:space="preserve"> </w:t>
            </w:r>
            <w:r w:rsidRPr="008B3F38">
              <w:rPr>
                <w:bCs/>
                <w:color w:val="000000"/>
                <w:sz w:val="18"/>
                <w:szCs w:val="18"/>
                <w:lang w:val="ru-RU"/>
              </w:rPr>
              <w:t>г</w:t>
            </w:r>
            <w:r w:rsidRPr="008B3F38">
              <w:rPr>
                <w:b w:val="0"/>
                <w:color w:val="000000"/>
                <w:sz w:val="18"/>
                <w:szCs w:val="18"/>
                <w:lang w:val="ru-RU"/>
              </w:rPr>
              <w:t>.</w:t>
            </w:r>
          </w:p>
        </w:tc>
        <w:tc>
          <w:tcPr>
            <w:tcW w:w="762" w:type="pct"/>
            <w:shd w:val="clear" w:color="auto" w:fill="auto"/>
          </w:tcPr>
          <w:p w14:paraId="205C50A2" w14:textId="77777777" w:rsidR="004E5F98" w:rsidRPr="008B3F38" w:rsidRDefault="004E5F98" w:rsidP="001F4644">
            <w:pPr>
              <w:pStyle w:val="Tablehead"/>
              <w:keepLines/>
              <w:rPr>
                <w:sz w:val="18"/>
                <w:szCs w:val="18"/>
                <w:lang w:val="ru-RU"/>
              </w:rPr>
            </w:pPr>
            <w:r w:rsidRPr="008B3F38">
              <w:rPr>
                <w:bCs/>
                <w:color w:val="000000"/>
                <w:sz w:val="18"/>
                <w:szCs w:val="18"/>
                <w:lang w:val="ru-RU"/>
              </w:rPr>
              <w:t>2021</w:t>
            </w:r>
            <w:r w:rsidRPr="008B3F38">
              <w:rPr>
                <w:sz w:val="18"/>
                <w:szCs w:val="18"/>
                <w:lang w:val="ru-RU"/>
              </w:rPr>
              <w:t xml:space="preserve"> </w:t>
            </w:r>
            <w:r w:rsidRPr="008B3F38">
              <w:rPr>
                <w:bCs/>
                <w:color w:val="000000"/>
                <w:sz w:val="18"/>
                <w:szCs w:val="18"/>
                <w:lang w:val="ru-RU"/>
              </w:rPr>
              <w:t>г</w:t>
            </w:r>
            <w:r w:rsidRPr="008B3F38">
              <w:rPr>
                <w:b w:val="0"/>
                <w:color w:val="000000"/>
                <w:sz w:val="18"/>
                <w:szCs w:val="18"/>
                <w:lang w:val="ru-RU"/>
              </w:rPr>
              <w:t>.</w:t>
            </w:r>
          </w:p>
        </w:tc>
      </w:tr>
      <w:tr w:rsidR="001F4644" w:rsidRPr="008B3F38" w14:paraId="1DC75D9B" w14:textId="77777777" w:rsidTr="001F4644">
        <w:tc>
          <w:tcPr>
            <w:tcW w:w="1952" w:type="pct"/>
            <w:tcBorders>
              <w:top w:val="nil"/>
              <w:left w:val="nil"/>
              <w:bottom w:val="nil"/>
              <w:right w:val="nil"/>
            </w:tcBorders>
            <w:shd w:val="clear" w:color="auto" w:fill="auto"/>
          </w:tcPr>
          <w:p w14:paraId="35937A27" w14:textId="77777777" w:rsidR="004E5F98" w:rsidRPr="008B3F38" w:rsidRDefault="004E5F98" w:rsidP="001F4644">
            <w:pPr>
              <w:pStyle w:val="Tabletext"/>
              <w:keepNext/>
              <w:keepLines/>
              <w:rPr>
                <w:sz w:val="18"/>
                <w:szCs w:val="18"/>
                <w:lang w:val="ru-RU"/>
              </w:rPr>
            </w:pPr>
            <w:r w:rsidRPr="008B3F38">
              <w:rPr>
                <w:sz w:val="18"/>
                <w:szCs w:val="18"/>
                <w:lang w:val="ru-RU"/>
              </w:rPr>
              <w:t>Обязательство по пособиям с 1 января</w:t>
            </w:r>
          </w:p>
        </w:tc>
        <w:tc>
          <w:tcPr>
            <w:tcW w:w="762" w:type="pct"/>
            <w:tcBorders>
              <w:left w:val="nil"/>
            </w:tcBorders>
            <w:vAlign w:val="bottom"/>
          </w:tcPr>
          <w:p w14:paraId="75C1F744" w14:textId="77777777" w:rsidR="004E5F98" w:rsidRPr="008B3F38" w:rsidRDefault="004E5F98" w:rsidP="001F4644">
            <w:pPr>
              <w:pStyle w:val="Tabletext"/>
              <w:keepNext/>
              <w:keepLines/>
              <w:jc w:val="center"/>
              <w:rPr>
                <w:sz w:val="18"/>
                <w:szCs w:val="18"/>
                <w:lang w:val="ru-RU"/>
              </w:rPr>
            </w:pPr>
            <w:r w:rsidRPr="008B3F38">
              <w:rPr>
                <w:color w:val="000000"/>
                <w:sz w:val="18"/>
                <w:szCs w:val="18"/>
                <w:lang w:val="ru-RU"/>
              </w:rPr>
              <w:t>375 271</w:t>
            </w:r>
          </w:p>
        </w:tc>
        <w:tc>
          <w:tcPr>
            <w:tcW w:w="762" w:type="pct"/>
            <w:shd w:val="clear" w:color="auto" w:fill="auto"/>
            <w:vAlign w:val="bottom"/>
          </w:tcPr>
          <w:p w14:paraId="2D37E863" w14:textId="77777777" w:rsidR="004E5F98" w:rsidRPr="008B3F38" w:rsidRDefault="004E5F98" w:rsidP="001F4644">
            <w:pPr>
              <w:pStyle w:val="Tabletext"/>
              <w:keepNext/>
              <w:keepLines/>
              <w:jc w:val="center"/>
              <w:rPr>
                <w:sz w:val="18"/>
                <w:szCs w:val="18"/>
                <w:lang w:val="ru-RU"/>
              </w:rPr>
            </w:pPr>
            <w:r w:rsidRPr="008B3F38">
              <w:rPr>
                <w:color w:val="000000"/>
                <w:sz w:val="18"/>
                <w:szCs w:val="18"/>
                <w:lang w:val="ru-RU"/>
              </w:rPr>
              <w:t>344 102</w:t>
            </w:r>
          </w:p>
        </w:tc>
        <w:tc>
          <w:tcPr>
            <w:tcW w:w="762" w:type="pct"/>
            <w:shd w:val="clear" w:color="auto" w:fill="auto"/>
            <w:vAlign w:val="bottom"/>
          </w:tcPr>
          <w:p w14:paraId="54DADB08" w14:textId="77777777" w:rsidR="004E5F98" w:rsidRPr="008B3F38" w:rsidRDefault="004E5F98" w:rsidP="001F4644">
            <w:pPr>
              <w:pStyle w:val="Tabletext"/>
              <w:keepNext/>
              <w:keepLines/>
              <w:jc w:val="center"/>
              <w:rPr>
                <w:sz w:val="18"/>
                <w:szCs w:val="18"/>
                <w:lang w:val="ru-RU"/>
              </w:rPr>
            </w:pPr>
            <w:r w:rsidRPr="008B3F38">
              <w:rPr>
                <w:color w:val="000000"/>
                <w:sz w:val="18"/>
                <w:szCs w:val="18"/>
                <w:lang w:val="ru-RU"/>
              </w:rPr>
              <w:t>545 636</w:t>
            </w:r>
          </w:p>
        </w:tc>
        <w:tc>
          <w:tcPr>
            <w:tcW w:w="762" w:type="pct"/>
            <w:shd w:val="clear" w:color="auto" w:fill="auto"/>
            <w:vAlign w:val="bottom"/>
          </w:tcPr>
          <w:p w14:paraId="6B119D2B" w14:textId="77777777" w:rsidR="004E5F98" w:rsidRPr="008B3F38" w:rsidRDefault="004E5F98" w:rsidP="001F4644">
            <w:pPr>
              <w:pStyle w:val="Tabletext"/>
              <w:keepNext/>
              <w:keepLines/>
              <w:jc w:val="center"/>
              <w:rPr>
                <w:sz w:val="18"/>
                <w:szCs w:val="18"/>
                <w:lang w:val="ru-RU"/>
              </w:rPr>
            </w:pPr>
            <w:r w:rsidRPr="008B3F38">
              <w:rPr>
                <w:color w:val="000000"/>
                <w:sz w:val="18"/>
                <w:szCs w:val="18"/>
                <w:lang w:val="ru-RU"/>
              </w:rPr>
              <w:t>631 870</w:t>
            </w:r>
          </w:p>
        </w:tc>
      </w:tr>
      <w:tr w:rsidR="001F4644" w:rsidRPr="008B3F38" w14:paraId="6281FD84" w14:textId="77777777" w:rsidTr="001F4644">
        <w:tc>
          <w:tcPr>
            <w:tcW w:w="1952" w:type="pct"/>
            <w:tcBorders>
              <w:top w:val="nil"/>
              <w:left w:val="nil"/>
              <w:bottom w:val="nil"/>
              <w:right w:val="nil"/>
            </w:tcBorders>
            <w:shd w:val="clear" w:color="auto" w:fill="auto"/>
          </w:tcPr>
          <w:p w14:paraId="045EB4D7" w14:textId="77777777" w:rsidR="004E5F98" w:rsidRPr="008B3F38" w:rsidRDefault="004E5F98" w:rsidP="001F4644">
            <w:pPr>
              <w:pStyle w:val="Tabletext"/>
              <w:keepNext/>
              <w:keepLines/>
              <w:rPr>
                <w:sz w:val="18"/>
                <w:szCs w:val="18"/>
                <w:lang w:val="ru-RU"/>
              </w:rPr>
            </w:pPr>
            <w:r w:rsidRPr="008B3F38">
              <w:rPr>
                <w:sz w:val="18"/>
                <w:szCs w:val="18"/>
                <w:lang w:val="ru-RU"/>
              </w:rPr>
              <w:t>Затраты на выплату процентов</w:t>
            </w:r>
          </w:p>
        </w:tc>
        <w:tc>
          <w:tcPr>
            <w:tcW w:w="762" w:type="pct"/>
            <w:tcBorders>
              <w:left w:val="nil"/>
            </w:tcBorders>
            <w:vAlign w:val="bottom"/>
          </w:tcPr>
          <w:p w14:paraId="404C520E" w14:textId="77777777" w:rsidR="004E5F98" w:rsidRPr="008B3F38" w:rsidRDefault="004E5F98" w:rsidP="001F4644">
            <w:pPr>
              <w:pStyle w:val="Tabletext"/>
              <w:keepNext/>
              <w:keepLines/>
              <w:jc w:val="center"/>
              <w:rPr>
                <w:sz w:val="18"/>
                <w:szCs w:val="18"/>
                <w:lang w:val="ru-RU"/>
              </w:rPr>
            </w:pPr>
            <w:r w:rsidRPr="008B3F38">
              <w:rPr>
                <w:color w:val="000000"/>
                <w:sz w:val="18"/>
                <w:szCs w:val="18"/>
                <w:lang w:val="ru-RU"/>
              </w:rPr>
              <w:t>7 046</w:t>
            </w:r>
          </w:p>
        </w:tc>
        <w:tc>
          <w:tcPr>
            <w:tcW w:w="762" w:type="pct"/>
            <w:shd w:val="clear" w:color="auto" w:fill="auto"/>
            <w:vAlign w:val="bottom"/>
          </w:tcPr>
          <w:p w14:paraId="4AF4B488" w14:textId="77777777" w:rsidR="004E5F98" w:rsidRPr="008B3F38" w:rsidRDefault="004E5F98" w:rsidP="001F4644">
            <w:pPr>
              <w:pStyle w:val="Tabletext"/>
              <w:keepNext/>
              <w:keepLines/>
              <w:jc w:val="center"/>
              <w:rPr>
                <w:sz w:val="18"/>
                <w:szCs w:val="18"/>
                <w:lang w:val="ru-RU"/>
              </w:rPr>
            </w:pPr>
            <w:r w:rsidRPr="008B3F38">
              <w:rPr>
                <w:color w:val="000000"/>
                <w:sz w:val="18"/>
                <w:szCs w:val="18"/>
                <w:lang w:val="ru-RU"/>
              </w:rPr>
              <w:t>8 489</w:t>
            </w:r>
          </w:p>
        </w:tc>
        <w:tc>
          <w:tcPr>
            <w:tcW w:w="762" w:type="pct"/>
            <w:shd w:val="clear" w:color="auto" w:fill="auto"/>
            <w:vAlign w:val="bottom"/>
          </w:tcPr>
          <w:p w14:paraId="28BEB041" w14:textId="77777777" w:rsidR="004E5F98" w:rsidRPr="008B3F38" w:rsidRDefault="004E5F98" w:rsidP="001F4644">
            <w:pPr>
              <w:pStyle w:val="Tabletext"/>
              <w:keepNext/>
              <w:keepLines/>
              <w:jc w:val="center"/>
              <w:rPr>
                <w:sz w:val="18"/>
                <w:szCs w:val="18"/>
                <w:lang w:val="ru-RU"/>
              </w:rPr>
            </w:pPr>
            <w:r w:rsidRPr="008B3F38">
              <w:rPr>
                <w:color w:val="000000"/>
                <w:sz w:val="18"/>
                <w:szCs w:val="18"/>
                <w:lang w:val="ru-RU"/>
              </w:rPr>
              <w:t>2 703</w:t>
            </w:r>
          </w:p>
        </w:tc>
        <w:tc>
          <w:tcPr>
            <w:tcW w:w="762" w:type="pct"/>
            <w:shd w:val="clear" w:color="auto" w:fill="auto"/>
            <w:vAlign w:val="bottom"/>
          </w:tcPr>
          <w:p w14:paraId="367C8834" w14:textId="77777777" w:rsidR="004E5F98" w:rsidRPr="008B3F38" w:rsidRDefault="004E5F98" w:rsidP="001F4644">
            <w:pPr>
              <w:pStyle w:val="Tabletext"/>
              <w:keepNext/>
              <w:keepLines/>
              <w:jc w:val="center"/>
              <w:rPr>
                <w:sz w:val="18"/>
                <w:szCs w:val="18"/>
                <w:lang w:val="ru-RU"/>
              </w:rPr>
            </w:pPr>
            <w:r w:rsidRPr="008B3F38">
              <w:rPr>
                <w:color w:val="000000"/>
                <w:sz w:val="18"/>
                <w:szCs w:val="18"/>
                <w:lang w:val="ru-RU"/>
              </w:rPr>
              <w:t>1 254</w:t>
            </w:r>
          </w:p>
        </w:tc>
      </w:tr>
      <w:tr w:rsidR="001F4644" w:rsidRPr="008B3F38" w14:paraId="7C90E2A7" w14:textId="77777777" w:rsidTr="001F4644">
        <w:tc>
          <w:tcPr>
            <w:tcW w:w="1952" w:type="pct"/>
            <w:tcBorders>
              <w:top w:val="nil"/>
              <w:left w:val="nil"/>
              <w:bottom w:val="nil"/>
              <w:right w:val="nil"/>
            </w:tcBorders>
            <w:shd w:val="clear" w:color="auto" w:fill="auto"/>
          </w:tcPr>
          <w:p w14:paraId="2FE7ADDC" w14:textId="77777777" w:rsidR="004E5F98" w:rsidRPr="008B3F38" w:rsidRDefault="004E5F98" w:rsidP="001F4644">
            <w:pPr>
              <w:pStyle w:val="Tabletext"/>
              <w:keepNext/>
              <w:keepLines/>
              <w:rPr>
                <w:sz w:val="18"/>
                <w:szCs w:val="18"/>
                <w:lang w:val="ru-RU"/>
              </w:rPr>
            </w:pPr>
            <w:r w:rsidRPr="008B3F38">
              <w:rPr>
                <w:sz w:val="18"/>
                <w:szCs w:val="18"/>
                <w:lang w:val="ru-RU"/>
              </w:rPr>
              <w:t>Затраты на текущие услуги</w:t>
            </w:r>
          </w:p>
        </w:tc>
        <w:tc>
          <w:tcPr>
            <w:tcW w:w="762" w:type="pct"/>
            <w:tcBorders>
              <w:left w:val="nil"/>
            </w:tcBorders>
            <w:vAlign w:val="bottom"/>
          </w:tcPr>
          <w:p w14:paraId="6605A2E4" w14:textId="77777777" w:rsidR="004E5F98" w:rsidRPr="008B3F38" w:rsidRDefault="004E5F98" w:rsidP="001F4644">
            <w:pPr>
              <w:pStyle w:val="Tabletext"/>
              <w:keepNext/>
              <w:keepLines/>
              <w:jc w:val="center"/>
              <w:rPr>
                <w:sz w:val="18"/>
                <w:szCs w:val="18"/>
                <w:lang w:val="ru-RU"/>
              </w:rPr>
            </w:pPr>
            <w:r w:rsidRPr="008B3F38">
              <w:rPr>
                <w:color w:val="000000"/>
                <w:sz w:val="18"/>
                <w:szCs w:val="18"/>
                <w:lang w:val="ru-RU"/>
              </w:rPr>
              <w:t>11 095</w:t>
            </w:r>
          </w:p>
        </w:tc>
        <w:tc>
          <w:tcPr>
            <w:tcW w:w="762" w:type="pct"/>
            <w:shd w:val="clear" w:color="auto" w:fill="auto"/>
            <w:vAlign w:val="bottom"/>
          </w:tcPr>
          <w:p w14:paraId="0146FA18" w14:textId="77777777" w:rsidR="004E5F98" w:rsidRPr="008B3F38" w:rsidRDefault="004E5F98" w:rsidP="001F4644">
            <w:pPr>
              <w:pStyle w:val="Tabletext"/>
              <w:keepNext/>
              <w:keepLines/>
              <w:jc w:val="center"/>
              <w:rPr>
                <w:sz w:val="18"/>
                <w:szCs w:val="18"/>
                <w:lang w:val="ru-RU"/>
              </w:rPr>
            </w:pPr>
            <w:r w:rsidRPr="008B3F38">
              <w:rPr>
                <w:color w:val="000000"/>
                <w:sz w:val="18"/>
                <w:szCs w:val="18"/>
                <w:lang w:val="ru-RU"/>
              </w:rPr>
              <w:t>10 165</w:t>
            </w:r>
          </w:p>
        </w:tc>
        <w:tc>
          <w:tcPr>
            <w:tcW w:w="762" w:type="pct"/>
            <w:shd w:val="clear" w:color="auto" w:fill="auto"/>
            <w:vAlign w:val="bottom"/>
          </w:tcPr>
          <w:p w14:paraId="1AF52876" w14:textId="77777777" w:rsidR="004E5F98" w:rsidRPr="008B3F38" w:rsidRDefault="004E5F98" w:rsidP="001F4644">
            <w:pPr>
              <w:pStyle w:val="Tabletext"/>
              <w:keepNext/>
              <w:keepLines/>
              <w:jc w:val="center"/>
              <w:rPr>
                <w:sz w:val="18"/>
                <w:szCs w:val="18"/>
                <w:lang w:val="ru-RU"/>
              </w:rPr>
            </w:pPr>
            <w:r w:rsidRPr="008B3F38">
              <w:rPr>
                <w:color w:val="000000"/>
                <w:sz w:val="18"/>
                <w:szCs w:val="18"/>
                <w:lang w:val="ru-RU"/>
              </w:rPr>
              <w:t>19 685</w:t>
            </w:r>
          </w:p>
        </w:tc>
        <w:tc>
          <w:tcPr>
            <w:tcW w:w="762" w:type="pct"/>
            <w:shd w:val="clear" w:color="auto" w:fill="auto"/>
            <w:vAlign w:val="bottom"/>
          </w:tcPr>
          <w:p w14:paraId="4A1E041E" w14:textId="77777777" w:rsidR="004E5F98" w:rsidRPr="008B3F38" w:rsidRDefault="004E5F98" w:rsidP="001F4644">
            <w:pPr>
              <w:pStyle w:val="Tabletext"/>
              <w:keepNext/>
              <w:keepLines/>
              <w:jc w:val="center"/>
              <w:rPr>
                <w:sz w:val="18"/>
                <w:szCs w:val="18"/>
                <w:lang w:val="ru-RU"/>
              </w:rPr>
            </w:pPr>
            <w:r w:rsidRPr="008B3F38">
              <w:rPr>
                <w:color w:val="000000"/>
                <w:sz w:val="18"/>
                <w:szCs w:val="18"/>
                <w:lang w:val="ru-RU"/>
              </w:rPr>
              <w:t>25 171</w:t>
            </w:r>
          </w:p>
        </w:tc>
      </w:tr>
      <w:tr w:rsidR="001F4644" w:rsidRPr="008B3F38" w14:paraId="5010D635" w14:textId="77777777" w:rsidTr="001F4644">
        <w:tc>
          <w:tcPr>
            <w:tcW w:w="1952" w:type="pct"/>
            <w:tcBorders>
              <w:top w:val="nil"/>
              <w:left w:val="nil"/>
              <w:bottom w:val="nil"/>
              <w:right w:val="nil"/>
            </w:tcBorders>
            <w:shd w:val="clear" w:color="auto" w:fill="auto"/>
          </w:tcPr>
          <w:p w14:paraId="5D540A77" w14:textId="77777777" w:rsidR="004E5F98" w:rsidRPr="008B3F38" w:rsidRDefault="004E5F98" w:rsidP="001F4644">
            <w:pPr>
              <w:pStyle w:val="Tabletext"/>
              <w:keepNext/>
              <w:keepLines/>
              <w:rPr>
                <w:sz w:val="18"/>
                <w:szCs w:val="18"/>
                <w:lang w:val="ru-RU"/>
              </w:rPr>
            </w:pPr>
            <w:r w:rsidRPr="008B3F38">
              <w:rPr>
                <w:sz w:val="18"/>
                <w:szCs w:val="18"/>
                <w:lang w:val="ru-RU"/>
              </w:rPr>
              <w:t>Уплаченные взносы</w:t>
            </w:r>
          </w:p>
        </w:tc>
        <w:tc>
          <w:tcPr>
            <w:tcW w:w="762" w:type="pct"/>
            <w:tcBorders>
              <w:left w:val="nil"/>
            </w:tcBorders>
            <w:vAlign w:val="bottom"/>
          </w:tcPr>
          <w:p w14:paraId="7C226359" w14:textId="6911E131" w:rsidR="004E5F98" w:rsidRPr="008B3F38" w:rsidRDefault="001F4644" w:rsidP="001F4644">
            <w:pPr>
              <w:pStyle w:val="Tabletext"/>
              <w:keepNext/>
              <w:keepLines/>
              <w:jc w:val="center"/>
              <w:rPr>
                <w:sz w:val="18"/>
                <w:szCs w:val="18"/>
                <w:lang w:val="ru-RU"/>
              </w:rPr>
            </w:pPr>
            <w:r w:rsidRPr="008B3F38">
              <w:rPr>
                <w:color w:val="000000"/>
                <w:sz w:val="18"/>
                <w:szCs w:val="18"/>
                <w:lang w:val="ru-RU"/>
              </w:rPr>
              <w:t>−</w:t>
            </w:r>
            <w:r w:rsidR="004E5F98" w:rsidRPr="008B3F38">
              <w:rPr>
                <w:color w:val="000000"/>
                <w:sz w:val="18"/>
                <w:szCs w:val="18"/>
                <w:lang w:val="ru-RU"/>
              </w:rPr>
              <w:t>10,325</w:t>
            </w:r>
          </w:p>
        </w:tc>
        <w:tc>
          <w:tcPr>
            <w:tcW w:w="762" w:type="pct"/>
            <w:shd w:val="clear" w:color="auto" w:fill="auto"/>
            <w:vAlign w:val="bottom"/>
          </w:tcPr>
          <w:p w14:paraId="4E4A51A8" w14:textId="0499BC37" w:rsidR="004E5F98" w:rsidRPr="008B3F38" w:rsidRDefault="001F4644" w:rsidP="001F4644">
            <w:pPr>
              <w:pStyle w:val="Tabletext"/>
              <w:keepNext/>
              <w:keepLines/>
              <w:jc w:val="center"/>
              <w:rPr>
                <w:sz w:val="18"/>
                <w:szCs w:val="18"/>
                <w:lang w:val="ru-RU"/>
              </w:rPr>
            </w:pPr>
            <w:r w:rsidRPr="008B3F38">
              <w:rPr>
                <w:color w:val="000000"/>
                <w:sz w:val="18"/>
                <w:szCs w:val="18"/>
                <w:lang w:val="ru-RU"/>
              </w:rPr>
              <w:t>−</w:t>
            </w:r>
            <w:r w:rsidR="004E5F98" w:rsidRPr="008B3F38">
              <w:rPr>
                <w:color w:val="000000"/>
                <w:sz w:val="18"/>
                <w:szCs w:val="18"/>
                <w:lang w:val="ru-RU"/>
              </w:rPr>
              <w:t>7,009</w:t>
            </w:r>
          </w:p>
        </w:tc>
        <w:tc>
          <w:tcPr>
            <w:tcW w:w="762" w:type="pct"/>
            <w:shd w:val="clear" w:color="auto" w:fill="auto"/>
            <w:vAlign w:val="bottom"/>
          </w:tcPr>
          <w:p w14:paraId="142B6B7B" w14:textId="6F36F535" w:rsidR="004E5F98" w:rsidRPr="008B3F38" w:rsidRDefault="001F4644" w:rsidP="001F4644">
            <w:pPr>
              <w:pStyle w:val="Tabletext"/>
              <w:keepNext/>
              <w:keepLines/>
              <w:jc w:val="center"/>
              <w:rPr>
                <w:sz w:val="18"/>
                <w:szCs w:val="18"/>
                <w:lang w:val="ru-RU"/>
              </w:rPr>
            </w:pPr>
            <w:r w:rsidRPr="008B3F38">
              <w:rPr>
                <w:color w:val="000000"/>
                <w:sz w:val="18"/>
                <w:szCs w:val="18"/>
                <w:lang w:val="ru-RU"/>
              </w:rPr>
              <w:t>−</w:t>
            </w:r>
            <w:r w:rsidR="004E5F98" w:rsidRPr="008B3F38">
              <w:rPr>
                <w:color w:val="000000"/>
                <w:sz w:val="18"/>
                <w:szCs w:val="18"/>
                <w:lang w:val="ru-RU"/>
              </w:rPr>
              <w:t>8,412</w:t>
            </w:r>
          </w:p>
        </w:tc>
        <w:tc>
          <w:tcPr>
            <w:tcW w:w="762" w:type="pct"/>
            <w:shd w:val="clear" w:color="auto" w:fill="auto"/>
            <w:vAlign w:val="bottom"/>
          </w:tcPr>
          <w:p w14:paraId="60C7122B" w14:textId="3A00ACDC" w:rsidR="004E5F98" w:rsidRPr="008B3F38" w:rsidRDefault="001F4644" w:rsidP="001F4644">
            <w:pPr>
              <w:pStyle w:val="Tabletext"/>
              <w:keepNext/>
              <w:keepLines/>
              <w:jc w:val="center"/>
              <w:rPr>
                <w:sz w:val="18"/>
                <w:szCs w:val="18"/>
                <w:lang w:val="ru-RU"/>
              </w:rPr>
            </w:pPr>
            <w:r w:rsidRPr="008B3F38">
              <w:rPr>
                <w:color w:val="000000"/>
                <w:sz w:val="18"/>
                <w:szCs w:val="18"/>
                <w:lang w:val="ru-RU"/>
              </w:rPr>
              <w:t>−</w:t>
            </w:r>
            <w:r w:rsidR="004E5F98" w:rsidRPr="008B3F38">
              <w:rPr>
                <w:color w:val="000000"/>
                <w:sz w:val="18"/>
                <w:szCs w:val="18"/>
                <w:lang w:val="ru-RU"/>
              </w:rPr>
              <w:t>9,160</w:t>
            </w:r>
          </w:p>
        </w:tc>
      </w:tr>
      <w:tr w:rsidR="001F4644" w:rsidRPr="008B3F38" w14:paraId="69BE7E7F" w14:textId="77777777" w:rsidTr="001F4644">
        <w:tc>
          <w:tcPr>
            <w:tcW w:w="1952" w:type="pct"/>
            <w:tcBorders>
              <w:top w:val="nil"/>
              <w:left w:val="nil"/>
              <w:bottom w:val="nil"/>
              <w:right w:val="nil"/>
            </w:tcBorders>
            <w:shd w:val="clear" w:color="auto" w:fill="auto"/>
          </w:tcPr>
          <w:p w14:paraId="30F6A03F" w14:textId="77777777" w:rsidR="004E5F98" w:rsidRPr="008B3F38" w:rsidRDefault="004E5F98" w:rsidP="001F4644">
            <w:pPr>
              <w:pStyle w:val="Tabletext"/>
              <w:keepNext/>
              <w:keepLines/>
              <w:rPr>
                <w:sz w:val="18"/>
                <w:szCs w:val="18"/>
                <w:lang w:val="ru-RU"/>
              </w:rPr>
            </w:pPr>
            <w:r w:rsidRPr="008B3F38">
              <w:rPr>
                <w:sz w:val="18"/>
                <w:szCs w:val="18"/>
                <w:lang w:val="ru-RU"/>
              </w:rPr>
              <w:t>Изменения актуарных допущений</w:t>
            </w:r>
          </w:p>
        </w:tc>
        <w:tc>
          <w:tcPr>
            <w:tcW w:w="762" w:type="pct"/>
            <w:tcBorders>
              <w:left w:val="nil"/>
            </w:tcBorders>
            <w:vAlign w:val="bottom"/>
          </w:tcPr>
          <w:p w14:paraId="006E676F" w14:textId="24C56A1C" w:rsidR="004E5F98" w:rsidRPr="008B3F38" w:rsidRDefault="001F4644" w:rsidP="001F4644">
            <w:pPr>
              <w:pStyle w:val="Tabletext"/>
              <w:keepNext/>
              <w:keepLines/>
              <w:jc w:val="center"/>
              <w:rPr>
                <w:sz w:val="18"/>
                <w:szCs w:val="18"/>
                <w:lang w:val="ru-RU"/>
              </w:rPr>
            </w:pPr>
            <w:r w:rsidRPr="008B3F38">
              <w:rPr>
                <w:color w:val="000000"/>
                <w:sz w:val="18"/>
                <w:szCs w:val="18"/>
                <w:lang w:val="ru-RU"/>
              </w:rPr>
              <w:t>−</w:t>
            </w:r>
            <w:r w:rsidR="004E5F98" w:rsidRPr="008B3F38">
              <w:rPr>
                <w:color w:val="000000"/>
                <w:sz w:val="18"/>
                <w:szCs w:val="18"/>
                <w:lang w:val="ru-RU"/>
              </w:rPr>
              <w:t>32,748</w:t>
            </w:r>
          </w:p>
        </w:tc>
        <w:tc>
          <w:tcPr>
            <w:tcW w:w="762" w:type="pct"/>
            <w:shd w:val="clear" w:color="auto" w:fill="auto"/>
            <w:vAlign w:val="bottom"/>
          </w:tcPr>
          <w:p w14:paraId="2682B8EF" w14:textId="29381E12" w:rsidR="004E5F98" w:rsidRPr="008B3F38" w:rsidRDefault="001F4644" w:rsidP="001F4644">
            <w:pPr>
              <w:pStyle w:val="Tabletext"/>
              <w:keepNext/>
              <w:keepLines/>
              <w:jc w:val="center"/>
              <w:rPr>
                <w:sz w:val="18"/>
                <w:szCs w:val="18"/>
                <w:lang w:val="ru-RU"/>
              </w:rPr>
            </w:pPr>
            <w:r w:rsidRPr="008B3F38">
              <w:rPr>
                <w:color w:val="000000"/>
                <w:sz w:val="18"/>
                <w:szCs w:val="18"/>
                <w:lang w:val="ru-RU"/>
              </w:rPr>
              <w:t>−</w:t>
            </w:r>
            <w:r w:rsidR="004E5F98" w:rsidRPr="008B3F38">
              <w:rPr>
                <w:color w:val="000000"/>
                <w:sz w:val="18"/>
                <w:szCs w:val="18"/>
                <w:lang w:val="ru-RU"/>
              </w:rPr>
              <w:t>19,524</w:t>
            </w:r>
          </w:p>
        </w:tc>
        <w:tc>
          <w:tcPr>
            <w:tcW w:w="762" w:type="pct"/>
            <w:shd w:val="clear" w:color="auto" w:fill="auto"/>
            <w:vAlign w:val="bottom"/>
          </w:tcPr>
          <w:p w14:paraId="7FFD77B9" w14:textId="67CDD24D" w:rsidR="004E5F98" w:rsidRPr="008B3F38" w:rsidRDefault="001F4644" w:rsidP="001F4644">
            <w:pPr>
              <w:pStyle w:val="Tabletext"/>
              <w:keepNext/>
              <w:keepLines/>
              <w:jc w:val="center"/>
              <w:rPr>
                <w:sz w:val="18"/>
                <w:szCs w:val="18"/>
                <w:lang w:val="ru-RU"/>
              </w:rPr>
            </w:pPr>
            <w:r w:rsidRPr="008B3F38">
              <w:rPr>
                <w:color w:val="000000"/>
                <w:sz w:val="18"/>
                <w:szCs w:val="18"/>
                <w:lang w:val="ru-RU"/>
              </w:rPr>
              <w:t>−</w:t>
            </w:r>
            <w:r w:rsidR="004E5F98" w:rsidRPr="008B3F38">
              <w:rPr>
                <w:color w:val="000000"/>
                <w:sz w:val="18"/>
                <w:szCs w:val="18"/>
                <w:lang w:val="ru-RU"/>
              </w:rPr>
              <w:t>215,510</w:t>
            </w:r>
          </w:p>
        </w:tc>
        <w:tc>
          <w:tcPr>
            <w:tcW w:w="762" w:type="pct"/>
            <w:shd w:val="clear" w:color="auto" w:fill="auto"/>
            <w:vAlign w:val="bottom"/>
          </w:tcPr>
          <w:p w14:paraId="39E6E3D0" w14:textId="385A4853" w:rsidR="004E5F98" w:rsidRPr="008B3F38" w:rsidRDefault="001F4644" w:rsidP="001F4644">
            <w:pPr>
              <w:pStyle w:val="Tabletext"/>
              <w:keepNext/>
              <w:keepLines/>
              <w:jc w:val="center"/>
              <w:rPr>
                <w:sz w:val="18"/>
                <w:szCs w:val="18"/>
                <w:lang w:val="ru-RU"/>
              </w:rPr>
            </w:pPr>
            <w:r w:rsidRPr="008B3F38">
              <w:rPr>
                <w:color w:val="000000"/>
                <w:sz w:val="18"/>
                <w:szCs w:val="18"/>
                <w:lang w:val="ru-RU"/>
              </w:rPr>
              <w:t>−</w:t>
            </w:r>
            <w:r w:rsidR="004E5F98" w:rsidRPr="008B3F38">
              <w:rPr>
                <w:color w:val="000000"/>
                <w:sz w:val="18"/>
                <w:szCs w:val="18"/>
                <w:lang w:val="ru-RU"/>
              </w:rPr>
              <w:t>103,499</w:t>
            </w:r>
          </w:p>
        </w:tc>
      </w:tr>
      <w:tr w:rsidR="001F4644" w:rsidRPr="008B3F38" w14:paraId="704BC27F" w14:textId="77777777" w:rsidTr="001F4644">
        <w:tc>
          <w:tcPr>
            <w:tcW w:w="1952" w:type="pct"/>
            <w:tcBorders>
              <w:top w:val="nil"/>
              <w:left w:val="nil"/>
              <w:bottom w:val="nil"/>
              <w:right w:val="nil"/>
            </w:tcBorders>
            <w:shd w:val="clear" w:color="auto" w:fill="auto"/>
          </w:tcPr>
          <w:p w14:paraId="4C07C978" w14:textId="77777777" w:rsidR="004E5F98" w:rsidRPr="008B3F38" w:rsidRDefault="004E5F98" w:rsidP="001F4644">
            <w:pPr>
              <w:pStyle w:val="Tabletext"/>
              <w:keepNext/>
              <w:keepLines/>
              <w:rPr>
                <w:sz w:val="18"/>
                <w:szCs w:val="18"/>
                <w:lang w:val="ru-RU"/>
              </w:rPr>
            </w:pPr>
            <w:r w:rsidRPr="008B3F38">
              <w:rPr>
                <w:sz w:val="18"/>
                <w:szCs w:val="18"/>
                <w:lang w:val="ru-RU"/>
              </w:rPr>
              <w:t>Обязательства по пособиям, определенные на 31 декабря</w:t>
            </w:r>
          </w:p>
        </w:tc>
        <w:tc>
          <w:tcPr>
            <w:tcW w:w="762" w:type="pct"/>
            <w:tcBorders>
              <w:left w:val="nil"/>
            </w:tcBorders>
            <w:vAlign w:val="bottom"/>
          </w:tcPr>
          <w:p w14:paraId="61C8D9AF" w14:textId="77777777" w:rsidR="004E5F98" w:rsidRPr="008B3F38" w:rsidRDefault="004E5F98" w:rsidP="001F4644">
            <w:pPr>
              <w:pStyle w:val="Tabletext"/>
              <w:keepNext/>
              <w:keepLines/>
              <w:jc w:val="center"/>
              <w:rPr>
                <w:sz w:val="18"/>
                <w:szCs w:val="18"/>
                <w:lang w:val="ru-RU"/>
              </w:rPr>
            </w:pPr>
            <w:r w:rsidRPr="008B3F38">
              <w:rPr>
                <w:color w:val="000000"/>
                <w:sz w:val="18"/>
                <w:szCs w:val="18"/>
                <w:lang w:val="ru-RU"/>
              </w:rPr>
              <w:t>415 835</w:t>
            </w:r>
          </w:p>
        </w:tc>
        <w:tc>
          <w:tcPr>
            <w:tcW w:w="762" w:type="pct"/>
            <w:shd w:val="clear" w:color="auto" w:fill="auto"/>
            <w:vAlign w:val="bottom"/>
          </w:tcPr>
          <w:p w14:paraId="7153E749" w14:textId="77777777" w:rsidR="004E5F98" w:rsidRPr="008B3F38" w:rsidRDefault="004E5F98" w:rsidP="001F4644">
            <w:pPr>
              <w:pStyle w:val="Tabletext"/>
              <w:keepNext/>
              <w:keepLines/>
              <w:jc w:val="center"/>
              <w:rPr>
                <w:sz w:val="18"/>
                <w:szCs w:val="18"/>
                <w:lang w:val="ru-RU"/>
              </w:rPr>
            </w:pPr>
            <w:r w:rsidRPr="008B3F38">
              <w:rPr>
                <w:color w:val="000000"/>
                <w:sz w:val="18"/>
                <w:szCs w:val="18"/>
                <w:lang w:val="ru-RU"/>
              </w:rPr>
              <w:t>375 271</w:t>
            </w:r>
          </w:p>
        </w:tc>
        <w:tc>
          <w:tcPr>
            <w:tcW w:w="762" w:type="pct"/>
            <w:shd w:val="clear" w:color="auto" w:fill="auto"/>
            <w:vAlign w:val="bottom"/>
          </w:tcPr>
          <w:p w14:paraId="3ADCDE1F" w14:textId="77777777" w:rsidR="004E5F98" w:rsidRPr="008B3F38" w:rsidRDefault="004E5F98" w:rsidP="001F4644">
            <w:pPr>
              <w:pStyle w:val="Tabletext"/>
              <w:keepNext/>
              <w:keepLines/>
              <w:jc w:val="center"/>
              <w:rPr>
                <w:sz w:val="18"/>
                <w:szCs w:val="18"/>
                <w:lang w:val="ru-RU"/>
              </w:rPr>
            </w:pPr>
            <w:r w:rsidRPr="008B3F38">
              <w:rPr>
                <w:color w:val="000000"/>
                <w:sz w:val="18"/>
                <w:szCs w:val="18"/>
                <w:lang w:val="ru-RU"/>
              </w:rPr>
              <w:t>344 102</w:t>
            </w:r>
          </w:p>
        </w:tc>
        <w:tc>
          <w:tcPr>
            <w:tcW w:w="762" w:type="pct"/>
            <w:shd w:val="clear" w:color="auto" w:fill="auto"/>
            <w:vAlign w:val="bottom"/>
          </w:tcPr>
          <w:p w14:paraId="464215D1" w14:textId="77777777" w:rsidR="004E5F98" w:rsidRPr="008B3F38" w:rsidRDefault="004E5F98" w:rsidP="001F4644">
            <w:pPr>
              <w:pStyle w:val="Tabletext"/>
              <w:keepNext/>
              <w:keepLines/>
              <w:jc w:val="center"/>
              <w:rPr>
                <w:sz w:val="18"/>
                <w:szCs w:val="18"/>
                <w:lang w:val="ru-RU"/>
              </w:rPr>
            </w:pPr>
            <w:r w:rsidRPr="008B3F38">
              <w:rPr>
                <w:color w:val="000000"/>
                <w:sz w:val="18"/>
                <w:szCs w:val="18"/>
                <w:lang w:val="ru-RU"/>
              </w:rPr>
              <w:t>545 636</w:t>
            </w:r>
          </w:p>
        </w:tc>
      </w:tr>
      <w:tr w:rsidR="001F4644" w:rsidRPr="008B3F38" w14:paraId="71594F84" w14:textId="77777777" w:rsidTr="001F4644">
        <w:tc>
          <w:tcPr>
            <w:tcW w:w="5000" w:type="pct"/>
            <w:gridSpan w:val="5"/>
            <w:tcBorders>
              <w:top w:val="nil"/>
            </w:tcBorders>
          </w:tcPr>
          <w:p w14:paraId="0E125BD2" w14:textId="0637802B" w:rsidR="001F4644" w:rsidRPr="008B3F38" w:rsidRDefault="001F4644" w:rsidP="001F4644">
            <w:pPr>
              <w:pStyle w:val="Tablelegend"/>
              <w:spacing w:before="40"/>
              <w:rPr>
                <w:sz w:val="18"/>
                <w:szCs w:val="18"/>
                <w:lang w:val="ru-RU"/>
              </w:rPr>
            </w:pPr>
            <w:r w:rsidRPr="008B3F38">
              <w:rPr>
                <w:color w:val="000000"/>
                <w:sz w:val="18"/>
                <w:szCs w:val="18"/>
                <w:lang w:val="ru-RU"/>
              </w:rPr>
              <w:t>Источник: Финансовая отчетность МСЭ</w:t>
            </w:r>
          </w:p>
        </w:tc>
      </w:tr>
    </w:tbl>
    <w:p w14:paraId="0A4C7F0E" w14:textId="77777777" w:rsidR="004E5F98" w:rsidRPr="008B3F38" w:rsidRDefault="004E5F98" w:rsidP="001F4644">
      <w:pPr>
        <w:pStyle w:val="Heading4"/>
        <w:rPr>
          <w:lang w:val="ru-RU"/>
        </w:rPr>
      </w:pPr>
      <w:r w:rsidRPr="008B3F38">
        <w:rPr>
          <w:lang w:val="ru-RU"/>
        </w:rPr>
        <w:t>Затраты на заявки на возмещение медицинских расходов</w:t>
      </w:r>
    </w:p>
    <w:p w14:paraId="33B2F88E" w14:textId="6BD55C63" w:rsidR="004E5F98" w:rsidRPr="008B3F38" w:rsidRDefault="004E5F98" w:rsidP="001F4644">
      <w:pPr>
        <w:spacing w:after="240"/>
        <w:rPr>
          <w:lang w:val="ru-RU"/>
        </w:rPr>
      </w:pPr>
      <w:r w:rsidRPr="008B3F38">
        <w:rPr>
          <w:b/>
          <w:bCs/>
          <w:lang w:val="ru-RU"/>
        </w:rPr>
        <w:t>1.29</w:t>
      </w:r>
      <w:r w:rsidRPr="008B3F38">
        <w:rPr>
          <w:lang w:val="ru-RU"/>
        </w:rPr>
        <w:tab/>
        <w:t>Базовыми обязательствами МСЭ являются заявки на возмещение расходов, которые будут поданы в будущем и право на которые персонал, вышедшие в отставку сотрудники и их иждивенцы получили в связи с их службой в организации. При составлении сметы актуарий МСЭ определяет ожидаемые затраты на заявки на возмещение расходов по возрастным диапазонам, данные о которых приведены в Примечании 16.1.2 к финансовой отчетности.</w:t>
      </w:r>
    </w:p>
    <w:tbl>
      <w:tblPr>
        <w:tblW w:w="5000" w:type="pct"/>
        <w:tblBorders>
          <w:top w:val="single" w:sz="12" w:space="0" w:color="008000"/>
          <w:left w:val="nil"/>
          <w:bottom w:val="single" w:sz="12" w:space="0" w:color="008000"/>
          <w:right w:val="nil"/>
          <w:insideH w:val="nil"/>
          <w:insideV w:val="nil"/>
        </w:tblBorders>
        <w:tblLayout w:type="fixed"/>
        <w:tblLook w:val="00A0" w:firstRow="1" w:lastRow="0" w:firstColumn="1" w:lastColumn="0" w:noHBand="0" w:noVBand="0"/>
      </w:tblPr>
      <w:tblGrid>
        <w:gridCol w:w="2268"/>
        <w:gridCol w:w="3402"/>
        <w:gridCol w:w="3401"/>
      </w:tblGrid>
      <w:tr w:rsidR="004E5F98" w:rsidRPr="008B3F38" w14:paraId="634A01D1" w14:textId="77777777" w:rsidTr="001F4644">
        <w:tc>
          <w:tcPr>
            <w:tcW w:w="9071" w:type="dxa"/>
            <w:gridSpan w:val="3"/>
            <w:tcBorders>
              <w:bottom w:val="single" w:sz="6" w:space="0" w:color="008000"/>
            </w:tcBorders>
            <w:shd w:val="clear" w:color="auto" w:fill="auto"/>
          </w:tcPr>
          <w:p w14:paraId="45A197D1" w14:textId="77777777" w:rsidR="004E5F98" w:rsidRPr="008B3F38" w:rsidRDefault="004E5F98" w:rsidP="001F4644">
            <w:pPr>
              <w:pStyle w:val="TableNo"/>
              <w:keepLines/>
              <w:tabs>
                <w:tab w:val="left" w:pos="1875"/>
              </w:tabs>
              <w:spacing w:before="120"/>
              <w:jc w:val="left"/>
              <w:rPr>
                <w:color w:val="000000"/>
                <w:lang w:val="ru-RU"/>
              </w:rPr>
            </w:pPr>
            <w:r w:rsidRPr="008B3F38">
              <w:rPr>
                <w:color w:val="000000"/>
                <w:lang w:val="ru-RU"/>
              </w:rPr>
              <w:t>Рисунок 3</w:t>
            </w:r>
          </w:p>
        </w:tc>
      </w:tr>
      <w:tr w:rsidR="004E5F98" w:rsidRPr="00DB788B" w14:paraId="640743FB" w14:textId="77777777" w:rsidTr="001F4644">
        <w:tc>
          <w:tcPr>
            <w:tcW w:w="9071" w:type="dxa"/>
            <w:gridSpan w:val="3"/>
            <w:tcBorders>
              <w:top w:val="single" w:sz="6" w:space="0" w:color="008000"/>
            </w:tcBorders>
            <w:shd w:val="clear" w:color="auto" w:fill="auto"/>
          </w:tcPr>
          <w:p w14:paraId="2934A76A" w14:textId="77777777" w:rsidR="004E5F98" w:rsidRPr="008B3F38" w:rsidRDefault="004E5F98" w:rsidP="001F4644">
            <w:pPr>
              <w:pStyle w:val="Tabletitle"/>
              <w:spacing w:before="80" w:after="80"/>
              <w:jc w:val="left"/>
              <w:rPr>
                <w:b w:val="0"/>
                <w:bCs/>
                <w:sz w:val="28"/>
                <w:szCs w:val="28"/>
                <w:lang w:val="ru-RU"/>
              </w:rPr>
            </w:pPr>
            <w:r w:rsidRPr="008B3F38">
              <w:rPr>
                <w:bCs/>
                <w:color w:val="000000"/>
                <w:lang w:val="ru-RU"/>
              </w:rPr>
              <w:t>Затраты на заявки на возмещение медицинских расходов</w:t>
            </w:r>
          </w:p>
        </w:tc>
      </w:tr>
      <w:tr w:rsidR="004E5F98" w:rsidRPr="00DB788B" w14:paraId="7C076730" w14:textId="77777777" w:rsidTr="001F4644">
        <w:tc>
          <w:tcPr>
            <w:tcW w:w="2268" w:type="dxa"/>
            <w:shd w:val="clear" w:color="auto" w:fill="auto"/>
            <w:vAlign w:val="center"/>
          </w:tcPr>
          <w:p w14:paraId="05C7D00D" w14:textId="77777777" w:rsidR="004E5F98" w:rsidRPr="008B3F38" w:rsidRDefault="004E5F98" w:rsidP="001F4644">
            <w:pPr>
              <w:pStyle w:val="Tablehead"/>
              <w:rPr>
                <w:sz w:val="18"/>
                <w:szCs w:val="18"/>
                <w:lang w:val="ru-RU"/>
              </w:rPr>
            </w:pPr>
            <w:r w:rsidRPr="008B3F38">
              <w:rPr>
                <w:color w:val="000000"/>
                <w:sz w:val="18"/>
                <w:szCs w:val="18"/>
                <w:lang w:val="ru-RU"/>
              </w:rPr>
              <w:t>Возрастной диапазон</w:t>
            </w:r>
          </w:p>
        </w:tc>
        <w:tc>
          <w:tcPr>
            <w:tcW w:w="3402" w:type="dxa"/>
            <w:shd w:val="clear" w:color="auto" w:fill="auto"/>
            <w:vAlign w:val="center"/>
          </w:tcPr>
          <w:p w14:paraId="5D852A5C" w14:textId="0DEC19EB" w:rsidR="004E5F98" w:rsidRPr="008B3F38" w:rsidRDefault="004E5F98" w:rsidP="001F4644">
            <w:pPr>
              <w:pStyle w:val="Tablehead"/>
              <w:rPr>
                <w:sz w:val="18"/>
                <w:szCs w:val="18"/>
                <w:lang w:val="ru-RU"/>
              </w:rPr>
            </w:pPr>
            <w:r w:rsidRPr="008B3F38">
              <w:rPr>
                <w:color w:val="000000"/>
                <w:sz w:val="18"/>
                <w:szCs w:val="18"/>
                <w:lang w:val="ru-RU"/>
              </w:rPr>
              <w:t>Затраты на заявки в 2024 г. (шв. фр.)</w:t>
            </w:r>
          </w:p>
        </w:tc>
        <w:tc>
          <w:tcPr>
            <w:tcW w:w="3401" w:type="dxa"/>
            <w:shd w:val="clear" w:color="auto" w:fill="auto"/>
            <w:vAlign w:val="center"/>
          </w:tcPr>
          <w:p w14:paraId="58B6E8A2" w14:textId="35AB0CBC" w:rsidR="004E5F98" w:rsidRPr="008B3F38" w:rsidRDefault="004E5F98" w:rsidP="001F4644">
            <w:pPr>
              <w:pStyle w:val="Tablehead"/>
              <w:rPr>
                <w:sz w:val="18"/>
                <w:szCs w:val="18"/>
                <w:lang w:val="ru-RU"/>
              </w:rPr>
            </w:pPr>
            <w:r w:rsidRPr="008B3F38">
              <w:rPr>
                <w:color w:val="000000"/>
                <w:sz w:val="18"/>
                <w:szCs w:val="18"/>
                <w:lang w:val="ru-RU"/>
              </w:rPr>
              <w:t>Затраты на заявки в 2023 г. (шв. фр.)</w:t>
            </w:r>
          </w:p>
        </w:tc>
      </w:tr>
      <w:tr w:rsidR="004E5F98" w:rsidRPr="008B3F38" w14:paraId="3C1BFE9B" w14:textId="77777777" w:rsidTr="001F4644">
        <w:tc>
          <w:tcPr>
            <w:tcW w:w="2268" w:type="dxa"/>
            <w:shd w:val="clear" w:color="auto" w:fill="auto"/>
          </w:tcPr>
          <w:p w14:paraId="430EA28F" w14:textId="77777777" w:rsidR="004E5F98" w:rsidRPr="008B3F38" w:rsidRDefault="004E5F98" w:rsidP="001F4644">
            <w:pPr>
              <w:pStyle w:val="Tabletext"/>
              <w:jc w:val="center"/>
              <w:rPr>
                <w:sz w:val="18"/>
                <w:szCs w:val="18"/>
                <w:lang w:val="ru-RU"/>
              </w:rPr>
            </w:pPr>
            <w:r w:rsidRPr="008B3F38">
              <w:rPr>
                <w:color w:val="000000"/>
                <w:sz w:val="18"/>
                <w:szCs w:val="18"/>
                <w:lang w:val="ru-RU"/>
              </w:rPr>
              <w:t>50</w:t>
            </w:r>
          </w:p>
        </w:tc>
        <w:tc>
          <w:tcPr>
            <w:tcW w:w="3402" w:type="dxa"/>
            <w:shd w:val="clear" w:color="auto" w:fill="auto"/>
            <w:vAlign w:val="bottom"/>
          </w:tcPr>
          <w:p w14:paraId="237F272F" w14:textId="77777777" w:rsidR="004E5F98" w:rsidRPr="008B3F38" w:rsidRDefault="004E5F98" w:rsidP="001F4644">
            <w:pPr>
              <w:pStyle w:val="Tabletext"/>
              <w:jc w:val="center"/>
              <w:rPr>
                <w:sz w:val="18"/>
                <w:szCs w:val="18"/>
                <w:lang w:val="ru-RU"/>
              </w:rPr>
            </w:pPr>
            <w:r w:rsidRPr="008B3F38">
              <w:rPr>
                <w:color w:val="000000"/>
                <w:sz w:val="18"/>
                <w:szCs w:val="18"/>
                <w:lang w:val="ru-RU"/>
              </w:rPr>
              <w:t>4 408</w:t>
            </w:r>
          </w:p>
        </w:tc>
        <w:tc>
          <w:tcPr>
            <w:tcW w:w="3401" w:type="dxa"/>
            <w:shd w:val="clear" w:color="auto" w:fill="auto"/>
            <w:vAlign w:val="bottom"/>
          </w:tcPr>
          <w:p w14:paraId="600F0ABE" w14:textId="77777777" w:rsidR="004E5F98" w:rsidRPr="008B3F38" w:rsidRDefault="004E5F98" w:rsidP="001F4644">
            <w:pPr>
              <w:pStyle w:val="Tabletext"/>
              <w:jc w:val="center"/>
              <w:rPr>
                <w:sz w:val="18"/>
                <w:szCs w:val="18"/>
                <w:lang w:val="ru-RU"/>
              </w:rPr>
            </w:pPr>
            <w:r w:rsidRPr="008B3F38">
              <w:rPr>
                <w:color w:val="000000"/>
                <w:sz w:val="18"/>
                <w:szCs w:val="18"/>
                <w:lang w:val="ru-RU"/>
              </w:rPr>
              <w:t>3 226</w:t>
            </w:r>
          </w:p>
        </w:tc>
      </w:tr>
      <w:tr w:rsidR="004E5F98" w:rsidRPr="008B3F38" w14:paraId="12798019" w14:textId="77777777" w:rsidTr="001F4644">
        <w:tc>
          <w:tcPr>
            <w:tcW w:w="2268" w:type="dxa"/>
            <w:shd w:val="clear" w:color="auto" w:fill="auto"/>
          </w:tcPr>
          <w:p w14:paraId="19034326" w14:textId="77777777" w:rsidR="004E5F98" w:rsidRPr="008B3F38" w:rsidRDefault="004E5F98" w:rsidP="001F4644">
            <w:pPr>
              <w:pStyle w:val="Tabletext"/>
              <w:jc w:val="center"/>
              <w:rPr>
                <w:sz w:val="18"/>
                <w:szCs w:val="18"/>
                <w:lang w:val="ru-RU"/>
              </w:rPr>
            </w:pPr>
            <w:r w:rsidRPr="008B3F38">
              <w:rPr>
                <w:color w:val="000000"/>
                <w:sz w:val="18"/>
                <w:szCs w:val="18"/>
                <w:lang w:val="ru-RU"/>
              </w:rPr>
              <w:t>55</w:t>
            </w:r>
          </w:p>
        </w:tc>
        <w:tc>
          <w:tcPr>
            <w:tcW w:w="3402" w:type="dxa"/>
            <w:shd w:val="clear" w:color="auto" w:fill="auto"/>
            <w:vAlign w:val="bottom"/>
          </w:tcPr>
          <w:p w14:paraId="2D33BD2E" w14:textId="77777777" w:rsidR="004E5F98" w:rsidRPr="008B3F38" w:rsidRDefault="004E5F98" w:rsidP="001F4644">
            <w:pPr>
              <w:pStyle w:val="Tabletext"/>
              <w:jc w:val="center"/>
              <w:rPr>
                <w:sz w:val="18"/>
                <w:szCs w:val="18"/>
                <w:lang w:val="ru-RU"/>
              </w:rPr>
            </w:pPr>
            <w:r w:rsidRPr="008B3F38">
              <w:rPr>
                <w:color w:val="000000"/>
                <w:sz w:val="18"/>
                <w:szCs w:val="18"/>
                <w:lang w:val="ru-RU"/>
              </w:rPr>
              <w:t>5 441</w:t>
            </w:r>
          </w:p>
        </w:tc>
        <w:tc>
          <w:tcPr>
            <w:tcW w:w="3401" w:type="dxa"/>
            <w:shd w:val="clear" w:color="auto" w:fill="auto"/>
            <w:vAlign w:val="bottom"/>
          </w:tcPr>
          <w:p w14:paraId="34ED6647" w14:textId="77777777" w:rsidR="004E5F98" w:rsidRPr="008B3F38" w:rsidRDefault="004E5F98" w:rsidP="001F4644">
            <w:pPr>
              <w:pStyle w:val="Tabletext"/>
              <w:jc w:val="center"/>
              <w:rPr>
                <w:sz w:val="18"/>
                <w:szCs w:val="18"/>
                <w:lang w:val="ru-RU"/>
              </w:rPr>
            </w:pPr>
            <w:r w:rsidRPr="008B3F38">
              <w:rPr>
                <w:color w:val="000000"/>
                <w:sz w:val="18"/>
                <w:szCs w:val="18"/>
                <w:lang w:val="ru-RU"/>
              </w:rPr>
              <w:t>4 038</w:t>
            </w:r>
          </w:p>
        </w:tc>
      </w:tr>
      <w:tr w:rsidR="004E5F98" w:rsidRPr="008B3F38" w14:paraId="153BED22" w14:textId="77777777" w:rsidTr="001F4644">
        <w:tc>
          <w:tcPr>
            <w:tcW w:w="2268" w:type="dxa"/>
            <w:shd w:val="clear" w:color="auto" w:fill="auto"/>
          </w:tcPr>
          <w:p w14:paraId="5A33EB70" w14:textId="77777777" w:rsidR="004E5F98" w:rsidRPr="008B3F38" w:rsidRDefault="004E5F98" w:rsidP="001F4644">
            <w:pPr>
              <w:pStyle w:val="Tabletext"/>
              <w:jc w:val="center"/>
              <w:rPr>
                <w:sz w:val="18"/>
                <w:szCs w:val="18"/>
                <w:lang w:val="ru-RU"/>
              </w:rPr>
            </w:pPr>
            <w:r w:rsidRPr="008B3F38">
              <w:rPr>
                <w:color w:val="000000"/>
                <w:sz w:val="18"/>
                <w:szCs w:val="18"/>
                <w:lang w:val="ru-RU"/>
              </w:rPr>
              <w:t>60</w:t>
            </w:r>
          </w:p>
        </w:tc>
        <w:tc>
          <w:tcPr>
            <w:tcW w:w="3402" w:type="dxa"/>
            <w:shd w:val="clear" w:color="auto" w:fill="auto"/>
            <w:vAlign w:val="bottom"/>
          </w:tcPr>
          <w:p w14:paraId="14DC15E9" w14:textId="77777777" w:rsidR="004E5F98" w:rsidRPr="008B3F38" w:rsidRDefault="004E5F98" w:rsidP="001F4644">
            <w:pPr>
              <w:pStyle w:val="Tabletext"/>
              <w:jc w:val="center"/>
              <w:rPr>
                <w:sz w:val="18"/>
                <w:szCs w:val="18"/>
                <w:lang w:val="ru-RU"/>
              </w:rPr>
            </w:pPr>
            <w:r w:rsidRPr="008B3F38">
              <w:rPr>
                <w:color w:val="000000"/>
                <w:sz w:val="18"/>
                <w:szCs w:val="18"/>
                <w:lang w:val="ru-RU"/>
              </w:rPr>
              <w:t>6 620</w:t>
            </w:r>
          </w:p>
        </w:tc>
        <w:tc>
          <w:tcPr>
            <w:tcW w:w="3401" w:type="dxa"/>
            <w:shd w:val="clear" w:color="auto" w:fill="auto"/>
            <w:vAlign w:val="bottom"/>
          </w:tcPr>
          <w:p w14:paraId="5A414689" w14:textId="77777777" w:rsidR="004E5F98" w:rsidRPr="008B3F38" w:rsidRDefault="004E5F98" w:rsidP="001F4644">
            <w:pPr>
              <w:pStyle w:val="Tabletext"/>
              <w:jc w:val="center"/>
              <w:rPr>
                <w:sz w:val="18"/>
                <w:szCs w:val="18"/>
                <w:lang w:val="ru-RU"/>
              </w:rPr>
            </w:pPr>
            <w:r w:rsidRPr="008B3F38">
              <w:rPr>
                <w:color w:val="000000"/>
                <w:sz w:val="18"/>
                <w:szCs w:val="18"/>
                <w:lang w:val="ru-RU"/>
              </w:rPr>
              <w:t>5 063</w:t>
            </w:r>
          </w:p>
        </w:tc>
      </w:tr>
      <w:tr w:rsidR="004E5F98" w:rsidRPr="008B3F38" w14:paraId="1BBC0872" w14:textId="77777777" w:rsidTr="001F4644">
        <w:tc>
          <w:tcPr>
            <w:tcW w:w="2268" w:type="dxa"/>
            <w:shd w:val="clear" w:color="auto" w:fill="auto"/>
          </w:tcPr>
          <w:p w14:paraId="3704F264" w14:textId="77777777" w:rsidR="004E5F98" w:rsidRPr="008B3F38" w:rsidRDefault="004E5F98" w:rsidP="001F4644">
            <w:pPr>
              <w:pStyle w:val="Tabletext"/>
              <w:jc w:val="center"/>
              <w:rPr>
                <w:sz w:val="18"/>
                <w:szCs w:val="18"/>
                <w:lang w:val="ru-RU"/>
              </w:rPr>
            </w:pPr>
            <w:r w:rsidRPr="008B3F38">
              <w:rPr>
                <w:color w:val="000000"/>
                <w:sz w:val="18"/>
                <w:szCs w:val="18"/>
                <w:lang w:val="ru-RU"/>
              </w:rPr>
              <w:t>65</w:t>
            </w:r>
          </w:p>
        </w:tc>
        <w:tc>
          <w:tcPr>
            <w:tcW w:w="3402" w:type="dxa"/>
            <w:shd w:val="clear" w:color="auto" w:fill="auto"/>
            <w:vAlign w:val="bottom"/>
          </w:tcPr>
          <w:p w14:paraId="53D3B347" w14:textId="77777777" w:rsidR="004E5F98" w:rsidRPr="008B3F38" w:rsidRDefault="004E5F98" w:rsidP="001F4644">
            <w:pPr>
              <w:pStyle w:val="Tabletext"/>
              <w:jc w:val="center"/>
              <w:rPr>
                <w:sz w:val="18"/>
                <w:szCs w:val="18"/>
                <w:lang w:val="ru-RU"/>
              </w:rPr>
            </w:pPr>
            <w:r w:rsidRPr="008B3F38">
              <w:rPr>
                <w:color w:val="000000"/>
                <w:sz w:val="18"/>
                <w:szCs w:val="18"/>
                <w:lang w:val="ru-RU"/>
              </w:rPr>
              <w:t>7 938</w:t>
            </w:r>
          </w:p>
        </w:tc>
        <w:tc>
          <w:tcPr>
            <w:tcW w:w="3401" w:type="dxa"/>
            <w:shd w:val="clear" w:color="auto" w:fill="auto"/>
            <w:vAlign w:val="bottom"/>
          </w:tcPr>
          <w:p w14:paraId="7B919989" w14:textId="77777777" w:rsidR="004E5F98" w:rsidRPr="008B3F38" w:rsidRDefault="004E5F98" w:rsidP="001F4644">
            <w:pPr>
              <w:pStyle w:val="Tabletext"/>
              <w:jc w:val="center"/>
              <w:rPr>
                <w:sz w:val="18"/>
                <w:szCs w:val="18"/>
                <w:lang w:val="ru-RU"/>
              </w:rPr>
            </w:pPr>
            <w:r w:rsidRPr="008B3F38">
              <w:rPr>
                <w:color w:val="000000"/>
                <w:sz w:val="18"/>
                <w:szCs w:val="18"/>
                <w:lang w:val="ru-RU"/>
              </w:rPr>
              <w:t>6 357</w:t>
            </w:r>
          </w:p>
        </w:tc>
      </w:tr>
      <w:tr w:rsidR="004E5F98" w:rsidRPr="008B3F38" w14:paraId="5355F228" w14:textId="77777777" w:rsidTr="001F4644">
        <w:tc>
          <w:tcPr>
            <w:tcW w:w="2268" w:type="dxa"/>
            <w:shd w:val="clear" w:color="auto" w:fill="auto"/>
          </w:tcPr>
          <w:p w14:paraId="179CB1A4" w14:textId="77777777" w:rsidR="004E5F98" w:rsidRPr="008B3F38" w:rsidRDefault="004E5F98" w:rsidP="001F4644">
            <w:pPr>
              <w:pStyle w:val="Tabletext"/>
              <w:jc w:val="center"/>
              <w:rPr>
                <w:sz w:val="18"/>
                <w:szCs w:val="18"/>
                <w:lang w:val="ru-RU"/>
              </w:rPr>
            </w:pPr>
            <w:r w:rsidRPr="008B3F38">
              <w:rPr>
                <w:color w:val="000000"/>
                <w:sz w:val="18"/>
                <w:szCs w:val="18"/>
                <w:lang w:val="ru-RU"/>
              </w:rPr>
              <w:t>70</w:t>
            </w:r>
          </w:p>
        </w:tc>
        <w:tc>
          <w:tcPr>
            <w:tcW w:w="3402" w:type="dxa"/>
            <w:shd w:val="clear" w:color="auto" w:fill="auto"/>
            <w:vAlign w:val="bottom"/>
          </w:tcPr>
          <w:p w14:paraId="7157AB34" w14:textId="77777777" w:rsidR="004E5F98" w:rsidRPr="008B3F38" w:rsidRDefault="004E5F98" w:rsidP="001F4644">
            <w:pPr>
              <w:pStyle w:val="Tabletext"/>
              <w:jc w:val="center"/>
              <w:rPr>
                <w:sz w:val="18"/>
                <w:szCs w:val="18"/>
                <w:lang w:val="ru-RU"/>
              </w:rPr>
            </w:pPr>
            <w:r w:rsidRPr="008B3F38">
              <w:rPr>
                <w:color w:val="000000"/>
                <w:sz w:val="18"/>
                <w:szCs w:val="18"/>
                <w:lang w:val="ru-RU"/>
              </w:rPr>
              <w:t>9 566</w:t>
            </w:r>
          </w:p>
        </w:tc>
        <w:tc>
          <w:tcPr>
            <w:tcW w:w="3401" w:type="dxa"/>
            <w:shd w:val="clear" w:color="auto" w:fill="auto"/>
            <w:vAlign w:val="bottom"/>
          </w:tcPr>
          <w:p w14:paraId="4B4FE6CC" w14:textId="77777777" w:rsidR="004E5F98" w:rsidRPr="008B3F38" w:rsidRDefault="004E5F98" w:rsidP="001F4644">
            <w:pPr>
              <w:pStyle w:val="Tabletext"/>
              <w:jc w:val="center"/>
              <w:rPr>
                <w:sz w:val="18"/>
                <w:szCs w:val="18"/>
                <w:lang w:val="ru-RU"/>
              </w:rPr>
            </w:pPr>
            <w:r w:rsidRPr="008B3F38">
              <w:rPr>
                <w:color w:val="000000"/>
                <w:sz w:val="18"/>
                <w:szCs w:val="18"/>
                <w:lang w:val="ru-RU"/>
              </w:rPr>
              <w:t>7 995</w:t>
            </w:r>
          </w:p>
        </w:tc>
      </w:tr>
      <w:tr w:rsidR="004E5F98" w:rsidRPr="008B3F38" w14:paraId="0F9EA4B6" w14:textId="77777777" w:rsidTr="001F4644">
        <w:tc>
          <w:tcPr>
            <w:tcW w:w="2268" w:type="dxa"/>
            <w:shd w:val="clear" w:color="auto" w:fill="auto"/>
          </w:tcPr>
          <w:p w14:paraId="2337BE67" w14:textId="77777777" w:rsidR="004E5F98" w:rsidRPr="008B3F38" w:rsidRDefault="004E5F98" w:rsidP="001F4644">
            <w:pPr>
              <w:pStyle w:val="Tabletext"/>
              <w:jc w:val="center"/>
              <w:rPr>
                <w:sz w:val="18"/>
                <w:szCs w:val="18"/>
                <w:lang w:val="ru-RU"/>
              </w:rPr>
            </w:pPr>
            <w:r w:rsidRPr="008B3F38">
              <w:rPr>
                <w:color w:val="000000"/>
                <w:sz w:val="18"/>
                <w:szCs w:val="18"/>
                <w:lang w:val="ru-RU"/>
              </w:rPr>
              <w:t>75</w:t>
            </w:r>
          </w:p>
        </w:tc>
        <w:tc>
          <w:tcPr>
            <w:tcW w:w="3402" w:type="dxa"/>
            <w:shd w:val="clear" w:color="auto" w:fill="auto"/>
            <w:vAlign w:val="bottom"/>
          </w:tcPr>
          <w:p w14:paraId="2C902F0A" w14:textId="77777777" w:rsidR="004E5F98" w:rsidRPr="008B3F38" w:rsidRDefault="004E5F98" w:rsidP="001F4644">
            <w:pPr>
              <w:pStyle w:val="Tabletext"/>
              <w:jc w:val="center"/>
              <w:rPr>
                <w:sz w:val="18"/>
                <w:szCs w:val="18"/>
                <w:lang w:val="ru-RU"/>
              </w:rPr>
            </w:pPr>
            <w:r w:rsidRPr="008B3F38">
              <w:rPr>
                <w:color w:val="000000"/>
                <w:sz w:val="18"/>
                <w:szCs w:val="18"/>
                <w:lang w:val="ru-RU"/>
              </w:rPr>
              <w:t>10 926</w:t>
            </w:r>
          </w:p>
        </w:tc>
        <w:tc>
          <w:tcPr>
            <w:tcW w:w="3401" w:type="dxa"/>
            <w:shd w:val="clear" w:color="auto" w:fill="auto"/>
            <w:vAlign w:val="bottom"/>
          </w:tcPr>
          <w:p w14:paraId="32696042" w14:textId="77777777" w:rsidR="004E5F98" w:rsidRPr="008B3F38" w:rsidRDefault="004E5F98" w:rsidP="001F4644">
            <w:pPr>
              <w:pStyle w:val="Tabletext"/>
              <w:jc w:val="center"/>
              <w:rPr>
                <w:sz w:val="18"/>
                <w:szCs w:val="18"/>
                <w:lang w:val="ru-RU"/>
              </w:rPr>
            </w:pPr>
            <w:r w:rsidRPr="008B3F38">
              <w:rPr>
                <w:color w:val="000000"/>
                <w:sz w:val="18"/>
                <w:szCs w:val="18"/>
                <w:lang w:val="ru-RU"/>
              </w:rPr>
              <w:t>10 074</w:t>
            </w:r>
          </w:p>
        </w:tc>
      </w:tr>
      <w:tr w:rsidR="004E5F98" w:rsidRPr="008B3F38" w14:paraId="4EBFA346" w14:textId="77777777" w:rsidTr="001F4644">
        <w:tc>
          <w:tcPr>
            <w:tcW w:w="2268" w:type="dxa"/>
            <w:shd w:val="clear" w:color="auto" w:fill="auto"/>
          </w:tcPr>
          <w:p w14:paraId="5421A0B3" w14:textId="77777777" w:rsidR="004E5F98" w:rsidRPr="008B3F38" w:rsidRDefault="004E5F98" w:rsidP="001F4644">
            <w:pPr>
              <w:pStyle w:val="Tabletext"/>
              <w:jc w:val="center"/>
              <w:rPr>
                <w:sz w:val="18"/>
                <w:szCs w:val="18"/>
                <w:lang w:val="ru-RU"/>
              </w:rPr>
            </w:pPr>
            <w:r w:rsidRPr="008B3F38">
              <w:rPr>
                <w:color w:val="000000"/>
                <w:sz w:val="18"/>
                <w:szCs w:val="18"/>
                <w:lang w:val="ru-RU"/>
              </w:rPr>
              <w:t>80</w:t>
            </w:r>
          </w:p>
        </w:tc>
        <w:tc>
          <w:tcPr>
            <w:tcW w:w="3402" w:type="dxa"/>
            <w:shd w:val="clear" w:color="auto" w:fill="auto"/>
            <w:vAlign w:val="bottom"/>
          </w:tcPr>
          <w:p w14:paraId="291ED0EA" w14:textId="77777777" w:rsidR="004E5F98" w:rsidRPr="008B3F38" w:rsidRDefault="004E5F98" w:rsidP="001F4644">
            <w:pPr>
              <w:pStyle w:val="Tabletext"/>
              <w:jc w:val="center"/>
              <w:rPr>
                <w:sz w:val="18"/>
                <w:szCs w:val="18"/>
                <w:lang w:val="ru-RU"/>
              </w:rPr>
            </w:pPr>
            <w:r w:rsidRPr="008B3F38">
              <w:rPr>
                <w:color w:val="000000"/>
                <w:sz w:val="18"/>
                <w:szCs w:val="18"/>
                <w:lang w:val="ru-RU"/>
              </w:rPr>
              <w:t>12 060</w:t>
            </w:r>
          </w:p>
        </w:tc>
        <w:tc>
          <w:tcPr>
            <w:tcW w:w="3401" w:type="dxa"/>
            <w:shd w:val="clear" w:color="auto" w:fill="auto"/>
            <w:vAlign w:val="bottom"/>
          </w:tcPr>
          <w:p w14:paraId="1E416B57" w14:textId="77777777" w:rsidR="004E5F98" w:rsidRPr="008B3F38" w:rsidRDefault="004E5F98" w:rsidP="001F4644">
            <w:pPr>
              <w:pStyle w:val="Tabletext"/>
              <w:jc w:val="center"/>
              <w:rPr>
                <w:sz w:val="18"/>
                <w:szCs w:val="18"/>
                <w:lang w:val="ru-RU"/>
              </w:rPr>
            </w:pPr>
            <w:r w:rsidRPr="008B3F38">
              <w:rPr>
                <w:color w:val="000000"/>
                <w:sz w:val="18"/>
                <w:szCs w:val="18"/>
                <w:lang w:val="ru-RU"/>
              </w:rPr>
              <w:t>12 715</w:t>
            </w:r>
          </w:p>
        </w:tc>
      </w:tr>
      <w:tr w:rsidR="004E5F98" w:rsidRPr="008B3F38" w14:paraId="03FFF245" w14:textId="77777777" w:rsidTr="001F4644">
        <w:tc>
          <w:tcPr>
            <w:tcW w:w="2268" w:type="dxa"/>
            <w:shd w:val="clear" w:color="auto" w:fill="auto"/>
          </w:tcPr>
          <w:p w14:paraId="28E796E3" w14:textId="77777777" w:rsidR="004E5F98" w:rsidRPr="008B3F38" w:rsidRDefault="004E5F98" w:rsidP="001F4644">
            <w:pPr>
              <w:pStyle w:val="Tabletext"/>
              <w:jc w:val="center"/>
              <w:rPr>
                <w:sz w:val="18"/>
                <w:szCs w:val="18"/>
                <w:lang w:val="ru-RU"/>
              </w:rPr>
            </w:pPr>
            <w:r w:rsidRPr="008B3F38">
              <w:rPr>
                <w:color w:val="000000"/>
                <w:sz w:val="18"/>
                <w:szCs w:val="18"/>
                <w:lang w:val="ru-RU"/>
              </w:rPr>
              <w:t>85</w:t>
            </w:r>
          </w:p>
        </w:tc>
        <w:tc>
          <w:tcPr>
            <w:tcW w:w="3402" w:type="dxa"/>
            <w:shd w:val="clear" w:color="auto" w:fill="auto"/>
            <w:vAlign w:val="bottom"/>
          </w:tcPr>
          <w:p w14:paraId="57944FDD" w14:textId="77777777" w:rsidR="004E5F98" w:rsidRPr="008B3F38" w:rsidRDefault="004E5F98" w:rsidP="001F4644">
            <w:pPr>
              <w:pStyle w:val="Tabletext"/>
              <w:jc w:val="center"/>
              <w:rPr>
                <w:sz w:val="18"/>
                <w:szCs w:val="18"/>
                <w:lang w:val="ru-RU"/>
              </w:rPr>
            </w:pPr>
            <w:r w:rsidRPr="008B3F38">
              <w:rPr>
                <w:color w:val="000000"/>
                <w:sz w:val="18"/>
                <w:szCs w:val="18"/>
                <w:lang w:val="ru-RU"/>
              </w:rPr>
              <w:t>14 672</w:t>
            </w:r>
          </w:p>
        </w:tc>
        <w:tc>
          <w:tcPr>
            <w:tcW w:w="3401" w:type="dxa"/>
            <w:shd w:val="clear" w:color="auto" w:fill="auto"/>
            <w:vAlign w:val="bottom"/>
          </w:tcPr>
          <w:p w14:paraId="6FC8C379" w14:textId="77777777" w:rsidR="004E5F98" w:rsidRPr="008B3F38" w:rsidRDefault="004E5F98" w:rsidP="001F4644">
            <w:pPr>
              <w:pStyle w:val="Tabletext"/>
              <w:jc w:val="center"/>
              <w:rPr>
                <w:sz w:val="18"/>
                <w:szCs w:val="18"/>
                <w:lang w:val="ru-RU"/>
              </w:rPr>
            </w:pPr>
            <w:r w:rsidRPr="008B3F38">
              <w:rPr>
                <w:color w:val="000000"/>
                <w:sz w:val="18"/>
                <w:szCs w:val="18"/>
                <w:lang w:val="ru-RU"/>
              </w:rPr>
              <w:t>14,736</w:t>
            </w:r>
          </w:p>
        </w:tc>
      </w:tr>
      <w:tr w:rsidR="004E5F98" w:rsidRPr="008B3F38" w14:paraId="14AD226E" w14:textId="77777777" w:rsidTr="001F4644">
        <w:trPr>
          <w:trHeight w:val="60"/>
        </w:trPr>
        <w:tc>
          <w:tcPr>
            <w:tcW w:w="2268" w:type="dxa"/>
            <w:shd w:val="clear" w:color="auto" w:fill="auto"/>
          </w:tcPr>
          <w:p w14:paraId="0CFDF78B" w14:textId="77777777" w:rsidR="004E5F98" w:rsidRPr="008B3F38" w:rsidRDefault="004E5F98" w:rsidP="001F4644">
            <w:pPr>
              <w:pStyle w:val="Tabletext"/>
              <w:jc w:val="center"/>
              <w:rPr>
                <w:sz w:val="18"/>
                <w:szCs w:val="18"/>
                <w:lang w:val="ru-RU"/>
              </w:rPr>
            </w:pPr>
            <w:r w:rsidRPr="008B3F38">
              <w:rPr>
                <w:color w:val="000000"/>
                <w:sz w:val="18"/>
                <w:szCs w:val="18"/>
                <w:lang w:val="ru-RU"/>
              </w:rPr>
              <w:t>90</w:t>
            </w:r>
          </w:p>
        </w:tc>
        <w:tc>
          <w:tcPr>
            <w:tcW w:w="3402" w:type="dxa"/>
            <w:shd w:val="clear" w:color="auto" w:fill="auto"/>
            <w:vAlign w:val="bottom"/>
          </w:tcPr>
          <w:p w14:paraId="060E4500" w14:textId="77777777" w:rsidR="004E5F98" w:rsidRPr="008B3F38" w:rsidRDefault="004E5F98" w:rsidP="001F4644">
            <w:pPr>
              <w:pStyle w:val="Tabletext"/>
              <w:jc w:val="center"/>
              <w:rPr>
                <w:sz w:val="18"/>
                <w:szCs w:val="18"/>
                <w:lang w:val="ru-RU"/>
              </w:rPr>
            </w:pPr>
            <w:r w:rsidRPr="008B3F38">
              <w:rPr>
                <w:color w:val="000000"/>
                <w:sz w:val="18"/>
                <w:szCs w:val="18"/>
                <w:lang w:val="ru-RU"/>
              </w:rPr>
              <w:t>16 919</w:t>
            </w:r>
          </w:p>
        </w:tc>
        <w:tc>
          <w:tcPr>
            <w:tcW w:w="3401" w:type="dxa"/>
            <w:shd w:val="clear" w:color="auto" w:fill="auto"/>
            <w:vAlign w:val="bottom"/>
          </w:tcPr>
          <w:p w14:paraId="6C79B8A2" w14:textId="77777777" w:rsidR="004E5F98" w:rsidRPr="008B3F38" w:rsidRDefault="004E5F98" w:rsidP="001F4644">
            <w:pPr>
              <w:pStyle w:val="Tabletext"/>
              <w:jc w:val="center"/>
              <w:rPr>
                <w:sz w:val="18"/>
                <w:szCs w:val="18"/>
                <w:lang w:val="ru-RU"/>
              </w:rPr>
            </w:pPr>
            <w:r w:rsidRPr="008B3F38">
              <w:rPr>
                <w:color w:val="000000"/>
                <w:sz w:val="18"/>
                <w:szCs w:val="18"/>
                <w:lang w:val="ru-RU"/>
              </w:rPr>
              <w:t>16 953</w:t>
            </w:r>
          </w:p>
        </w:tc>
      </w:tr>
      <w:tr w:rsidR="004E5F98" w:rsidRPr="00DB788B" w14:paraId="3581E1F2" w14:textId="77777777" w:rsidTr="001F4644">
        <w:tc>
          <w:tcPr>
            <w:tcW w:w="9071" w:type="dxa"/>
            <w:gridSpan w:val="3"/>
            <w:shd w:val="clear" w:color="auto" w:fill="auto"/>
          </w:tcPr>
          <w:p w14:paraId="510E87F0" w14:textId="77777777" w:rsidR="004E5F98" w:rsidRPr="008B3F38" w:rsidRDefault="004E5F98" w:rsidP="001F4644">
            <w:pPr>
              <w:pStyle w:val="Tablelegend"/>
              <w:spacing w:before="40"/>
              <w:rPr>
                <w:sz w:val="18"/>
                <w:szCs w:val="18"/>
                <w:lang w:val="ru-RU"/>
              </w:rPr>
            </w:pPr>
            <w:r w:rsidRPr="008B3F38">
              <w:rPr>
                <w:color w:val="000000"/>
                <w:sz w:val="18"/>
                <w:szCs w:val="18"/>
                <w:lang w:val="ru-RU"/>
              </w:rPr>
              <w:t>Источник: Финансовая отчетность МСЭ и отчеты МСЭ об оценке АСХИ согласно стандарту 39 IPSAS.</w:t>
            </w:r>
          </w:p>
        </w:tc>
      </w:tr>
    </w:tbl>
    <w:p w14:paraId="52C5DFFF" w14:textId="1A3CB1B0" w:rsidR="004E5F98" w:rsidRPr="008B3F38" w:rsidRDefault="004E5F98" w:rsidP="009E2548">
      <w:pPr>
        <w:spacing w:before="240"/>
        <w:rPr>
          <w:lang w:val="ru-RU"/>
        </w:rPr>
      </w:pPr>
      <w:r w:rsidRPr="008B3F38">
        <w:rPr>
          <w:b/>
          <w:bCs/>
          <w:lang w:val="ru-RU"/>
        </w:rPr>
        <w:t>1.30</w:t>
      </w:r>
      <w:r w:rsidRPr="008B3F38">
        <w:rPr>
          <w:lang w:val="ru-RU"/>
        </w:rPr>
        <w:tab/>
        <w:t>Принимая во внимание изменения в плане, в частности присоединение к ЮНСМИС, и более общие изменения в глобальных тенденциях в области здравоохранения, в особенности из-за пандемии COVID-19, в выпущенных ранее отчетах мы представили рекомендацию (2022</w:t>
      </w:r>
      <w:r w:rsidR="009E2548" w:rsidRPr="008B3F38">
        <w:rPr>
          <w:lang w:val="ru-RU"/>
        </w:rPr>
        <w:t> </w:t>
      </w:r>
      <w:r w:rsidRPr="008B3F38">
        <w:rPr>
          <w:lang w:val="ru-RU"/>
        </w:rPr>
        <w:t>г., РЕК7), согласно которой МСЭ следует провести новое всеобъемлющее исследование затрат на заявки, с тем чтобы обновить профиль и обосновать будущие оценки. Более ранние допущения основаны на фактическом опыте обращения в связи с заявками в период с</w:t>
      </w:r>
      <w:r w:rsidR="009E2548" w:rsidRPr="008B3F38">
        <w:rPr>
          <w:lang w:val="ru-RU"/>
        </w:rPr>
        <w:t> </w:t>
      </w:r>
      <w:r w:rsidRPr="008B3F38">
        <w:rPr>
          <w:lang w:val="ru-RU"/>
        </w:rPr>
        <w:t>2015</w:t>
      </w:r>
      <w:r w:rsidR="009E2548" w:rsidRPr="008B3F38">
        <w:rPr>
          <w:lang w:val="ru-RU"/>
        </w:rPr>
        <w:t> </w:t>
      </w:r>
      <w:r w:rsidRPr="008B3F38">
        <w:rPr>
          <w:lang w:val="ru-RU"/>
        </w:rPr>
        <w:t>по</w:t>
      </w:r>
      <w:r w:rsidR="009E2548" w:rsidRPr="008B3F38">
        <w:rPr>
          <w:lang w:val="ru-RU"/>
        </w:rPr>
        <w:t> </w:t>
      </w:r>
      <w:r w:rsidRPr="008B3F38">
        <w:rPr>
          <w:lang w:val="ru-RU"/>
        </w:rPr>
        <w:t>2017</w:t>
      </w:r>
      <w:r w:rsidR="009E2548" w:rsidRPr="008B3F38">
        <w:rPr>
          <w:lang w:val="ru-RU"/>
        </w:rPr>
        <w:t> </w:t>
      </w:r>
      <w:r w:rsidRPr="008B3F38">
        <w:rPr>
          <w:lang w:val="ru-RU"/>
        </w:rPr>
        <w:t>год и скорректированы по результатам наблюдений в период до 2022</w:t>
      </w:r>
      <w:r w:rsidR="009E2548" w:rsidRPr="008B3F38">
        <w:rPr>
          <w:lang w:val="ru-RU"/>
        </w:rPr>
        <w:t> </w:t>
      </w:r>
      <w:r w:rsidRPr="008B3F38">
        <w:rPr>
          <w:lang w:val="ru-RU"/>
        </w:rPr>
        <w:t>года, а</w:t>
      </w:r>
      <w:r w:rsidR="00D30732" w:rsidRPr="008B3F38">
        <w:rPr>
          <w:lang w:val="ru-RU"/>
        </w:rPr>
        <w:t> </w:t>
      </w:r>
      <w:r w:rsidRPr="008B3F38">
        <w:rPr>
          <w:lang w:val="ru-RU"/>
        </w:rPr>
        <w:t>также с учетом ожидаемой инфляции в области медицинских услуг до конца 2023 года.</w:t>
      </w:r>
    </w:p>
    <w:p w14:paraId="0C2F26BC" w14:textId="25796C07" w:rsidR="004E5F98" w:rsidRPr="008B3F38" w:rsidRDefault="004E5F98" w:rsidP="007C0CD7">
      <w:pPr>
        <w:rPr>
          <w:lang w:val="ru-RU"/>
        </w:rPr>
      </w:pPr>
      <w:r w:rsidRPr="008B3F38">
        <w:rPr>
          <w:b/>
          <w:bCs/>
          <w:lang w:val="ru-RU"/>
        </w:rPr>
        <w:t>1.31</w:t>
      </w:r>
      <w:r w:rsidRPr="008B3F38">
        <w:rPr>
          <w:lang w:val="ru-RU"/>
        </w:rPr>
        <w:tab/>
        <w:t xml:space="preserve"> В 2024 году актуарий МСЭ провел новое исследование на основе фактических данных по заявкам МСЭ за период 2020–2023 годов с разбивкой по возрастным группам. В этом исследовании также учитывалось прогнозируемое увеличение затрат, связанных с заявками на возмещение медицинских расходов, для оценки затрат по заявкам на человека в разбивке по </w:t>
      </w:r>
      <w:r w:rsidRPr="008B3F38">
        <w:rPr>
          <w:lang w:val="ru-RU"/>
        </w:rPr>
        <w:lastRenderedPageBreak/>
        <w:t>возрасту на отчетную дату. Это представляет собой улучшение по сравнению с подходом предыдущего года, описанным выше, где актуарий опирался на более старое исследование и использовал допущение об общей инфляции в сфере медицинских услуг.</w:t>
      </w:r>
    </w:p>
    <w:p w14:paraId="07EDBFC2" w14:textId="3E322022" w:rsidR="004E5F98" w:rsidRPr="008B3F38" w:rsidRDefault="004E5F98" w:rsidP="007C0CD7">
      <w:pPr>
        <w:rPr>
          <w:lang w:val="ru-RU"/>
        </w:rPr>
      </w:pPr>
      <w:r w:rsidRPr="008B3F38">
        <w:rPr>
          <w:b/>
          <w:bCs/>
          <w:lang w:val="ru-RU"/>
        </w:rPr>
        <w:t>1.32</w:t>
      </w:r>
      <w:r w:rsidRPr="008B3F38">
        <w:rPr>
          <w:lang w:val="ru-RU"/>
        </w:rPr>
        <w:tab/>
        <w:t xml:space="preserve">В нашем отчете за 2022 год мы также рекомендовали (2022 г., РЕК8) обеспечить надлежащую валидацию всех данных третьих сторон, используемых при оценке обязательств по выплатам сотрудникам. Принимая во внимание меры, принятые в этом году, руководству, по нашему мнению, следует и далее укреплять эти процессы по валидации и выверке данных. Сюда должны входить разработка более четких протоколов верификации и выверки данных, установление требований в отношении своевременного предоставления и валидации, а также формализация периодического анализа базовых источников данных. </w:t>
      </w:r>
      <w:r w:rsidRPr="008B3F38">
        <w:rPr>
          <w:b/>
          <w:bCs/>
          <w:lang w:val="ru-RU"/>
        </w:rPr>
        <w:t>В связи с этим мы повторяем нашу рекомендацию 2022 года в этом отношении</w:t>
      </w:r>
      <w:r w:rsidRPr="008B3F38">
        <w:rPr>
          <w:lang w:val="ru-RU"/>
        </w:rPr>
        <w:t xml:space="preserve"> и настоятельно призываем Секретариат рассмотреть способы получения достаточных и своевременных гарантий в отношении критически важных данных от третьих сторон.</w:t>
      </w:r>
    </w:p>
    <w:p w14:paraId="46E23790" w14:textId="77777777" w:rsidR="004E5F98" w:rsidRPr="008B3F38" w:rsidRDefault="004E5F98" w:rsidP="009E2548">
      <w:pPr>
        <w:pStyle w:val="Heading4"/>
        <w:rPr>
          <w:lang w:val="ru-RU"/>
        </w:rPr>
      </w:pPr>
      <w:r w:rsidRPr="008B3F38">
        <w:rPr>
          <w:lang w:val="ru-RU"/>
        </w:rPr>
        <w:t>Объединенный пенсионный фонд персонала ООН</w:t>
      </w:r>
    </w:p>
    <w:p w14:paraId="6F7A7117" w14:textId="07A5EA8B" w:rsidR="004E5F98" w:rsidRPr="008B3F38" w:rsidRDefault="004E5F98" w:rsidP="007C0CD7">
      <w:pPr>
        <w:rPr>
          <w:lang w:val="ru-RU"/>
        </w:rPr>
      </w:pPr>
      <w:r w:rsidRPr="008B3F38">
        <w:rPr>
          <w:b/>
          <w:bCs/>
          <w:lang w:val="ru-RU"/>
        </w:rPr>
        <w:t>1.33</w:t>
      </w:r>
      <w:r w:rsidRPr="008B3F38">
        <w:rPr>
          <w:lang w:val="ru-RU"/>
        </w:rPr>
        <w:tab/>
        <w:t>МСЭ является аффилированной организацией в Объединенном пенсионном фонде персонала Организации Объединенных Наций (ОПФП ООН) через своих сотрудников. Однако,</w:t>
      </w:r>
      <w:r w:rsidR="00845B16" w:rsidRPr="008B3F38">
        <w:rPr>
          <w:lang w:val="ru-RU"/>
        </w:rPr>
        <w:t> </w:t>
      </w:r>
      <w:r w:rsidRPr="008B3F38">
        <w:rPr>
          <w:lang w:val="ru-RU"/>
        </w:rPr>
        <w:t>поскольку система пенсионного обеспечения не может точно определить надежную оценку соответствующего риска, который несет каждая участвующая организация, в финансовой отчетности МСЭ не фигурируют актуарные обязательства по плану пенсионного</w:t>
      </w:r>
      <w:r w:rsidR="00845B16" w:rsidRPr="008B3F38">
        <w:rPr>
          <w:lang w:val="ru-RU"/>
        </w:rPr>
        <w:t> </w:t>
      </w:r>
      <w:r w:rsidRPr="008B3F38">
        <w:rPr>
          <w:lang w:val="ru-RU"/>
        </w:rPr>
        <w:t>обеспечения.</w:t>
      </w:r>
    </w:p>
    <w:p w14:paraId="47518122" w14:textId="03237F30" w:rsidR="004E5F98" w:rsidRPr="008B3F38" w:rsidRDefault="004E5F98" w:rsidP="007C0CD7">
      <w:pPr>
        <w:rPr>
          <w:lang w:val="ru-RU"/>
        </w:rPr>
      </w:pPr>
      <w:r w:rsidRPr="008B3F38">
        <w:rPr>
          <w:b/>
          <w:bCs/>
          <w:lang w:val="ru-RU"/>
        </w:rPr>
        <w:t>1.34</w:t>
      </w:r>
      <w:r w:rsidRPr="008B3F38">
        <w:rPr>
          <w:lang w:val="ru-RU"/>
        </w:rPr>
        <w:tab/>
        <w:t>Характеристики системы пенсионного обеспечения ООН изложены в Примечании</w:t>
      </w:r>
      <w:r w:rsidR="0020122A" w:rsidRPr="008B3F38">
        <w:rPr>
          <w:lang w:val="ru-RU"/>
        </w:rPr>
        <w:t> </w:t>
      </w:r>
      <w:r w:rsidRPr="008B3F38">
        <w:rPr>
          <w:lang w:val="ru-RU"/>
        </w:rPr>
        <w:t>17.3 к финансовой отчетности, и эта информация является единой для многих участвующих организаций. На последнюю актуарную дату – 31 декабря 2023 года – ОПФП ООН пришел к заключению, что не было необходимости производить платежи в счет дефицита в соответствии со Статьей 26 Положений о Фонде, поскольку уровень его финансирования составлял 111,0% (117,0% в оценке 2021 г.). Если эта ситуация изменится в будущем, от МСЭ и других участвующих структур системы ООН потребуется покрытие дефицита. Учитывая нынешнюю неопределенность в отношении финансирования в системе ООН, а также возможное значительное сокращение численности работников, которым полагается пенсионное обеспечение, и связанных с этим взносов, для Союза возрастают будущие финансовые риски, которые необходимо тщательно контролировать.</w:t>
      </w:r>
    </w:p>
    <w:p w14:paraId="1CD3BFE8" w14:textId="77777777" w:rsidR="004E5F98" w:rsidRPr="008B3F38" w:rsidRDefault="004E5F98" w:rsidP="007C0CD7">
      <w:pPr>
        <w:rPr>
          <w:lang w:val="ru-RU"/>
        </w:rPr>
      </w:pPr>
      <w:r w:rsidRPr="008B3F38">
        <w:rPr>
          <w:lang w:val="ru-RU"/>
        </w:rPr>
        <w:br w:type="page"/>
      </w:r>
    </w:p>
    <w:p w14:paraId="028C05A8" w14:textId="77777777" w:rsidR="004E5F98" w:rsidRPr="008B3F38" w:rsidRDefault="004E5F98" w:rsidP="00426DF2">
      <w:pPr>
        <w:pStyle w:val="Heading1"/>
        <w:tabs>
          <w:tab w:val="clear" w:pos="774"/>
        </w:tabs>
        <w:ind w:left="0" w:firstLine="0"/>
        <w:rPr>
          <w:lang w:val="ru-RU"/>
        </w:rPr>
      </w:pPr>
      <w:bookmarkStart w:id="20" w:name="_Toc199491606"/>
      <w:bookmarkStart w:id="21" w:name="_Toc201047356"/>
      <w:r w:rsidRPr="008B3F38">
        <w:rPr>
          <w:lang w:val="ru-RU"/>
        </w:rPr>
        <w:lastRenderedPageBreak/>
        <w:t>Часть вторая</w:t>
      </w:r>
      <w:bookmarkEnd w:id="20"/>
      <w:bookmarkEnd w:id="21"/>
    </w:p>
    <w:p w14:paraId="50C1A632" w14:textId="77777777" w:rsidR="004E5F98" w:rsidRPr="008B3F38" w:rsidRDefault="004E5F98" w:rsidP="00426DF2">
      <w:pPr>
        <w:pStyle w:val="Heading1"/>
        <w:tabs>
          <w:tab w:val="clear" w:pos="774"/>
        </w:tabs>
        <w:spacing w:before="240"/>
        <w:ind w:left="0" w:firstLine="0"/>
        <w:rPr>
          <w:lang w:val="ru-RU"/>
        </w:rPr>
      </w:pPr>
      <w:bookmarkStart w:id="22" w:name="_Toc137224227"/>
      <w:bookmarkStart w:id="23" w:name="_Toc199491607"/>
      <w:bookmarkStart w:id="24" w:name="_Toc201047357"/>
      <w:r w:rsidRPr="008B3F38">
        <w:rPr>
          <w:lang w:val="ru-RU"/>
        </w:rPr>
        <w:t>Общее управление и внутренний контроль</w:t>
      </w:r>
      <w:bookmarkEnd w:id="22"/>
      <w:bookmarkEnd w:id="23"/>
      <w:bookmarkEnd w:id="24"/>
    </w:p>
    <w:p w14:paraId="3011A46D" w14:textId="77777777" w:rsidR="004E5F98" w:rsidRPr="008B3F38" w:rsidRDefault="004E5F98" w:rsidP="00426DF2">
      <w:pPr>
        <w:pStyle w:val="Heading3"/>
        <w:rPr>
          <w:lang w:val="ru-RU"/>
        </w:rPr>
      </w:pPr>
      <w:r w:rsidRPr="008B3F38">
        <w:rPr>
          <w:lang w:val="ru-RU"/>
        </w:rPr>
        <w:t>Введение</w:t>
      </w:r>
    </w:p>
    <w:p w14:paraId="2FDDBABF" w14:textId="77777777" w:rsidR="004E5F98" w:rsidRPr="008B3F38" w:rsidRDefault="004E5F98" w:rsidP="007C0CD7">
      <w:pPr>
        <w:rPr>
          <w:lang w:val="ru-RU"/>
        </w:rPr>
      </w:pPr>
      <w:r w:rsidRPr="008B3F38">
        <w:rPr>
          <w:b/>
          <w:bCs/>
          <w:lang w:val="ru-RU"/>
        </w:rPr>
        <w:t>2.1</w:t>
      </w:r>
      <w:r w:rsidRPr="008B3F38">
        <w:rPr>
          <w:lang w:val="ru-RU"/>
        </w:rPr>
        <w:tab/>
        <w:t xml:space="preserve">Как указано в Заявлении о внутреннем контроле, МСЭ официально принял </w:t>
      </w:r>
      <w:r w:rsidRPr="008B3F38">
        <w:rPr>
          <w:i/>
          <w:iCs/>
          <w:lang w:val="ru-RU"/>
        </w:rPr>
        <w:t>Комплексную систему внутреннего контроля COSO 2013 года</w:t>
      </w:r>
      <w:r w:rsidRPr="008B3F38">
        <w:rPr>
          <w:lang w:val="ru-RU"/>
        </w:rPr>
        <w:t xml:space="preserve"> в качестве основы для собственной системы внутреннего контроля. Эта модель широко признана в системе ООН и предназначена для обеспечения разумных гарантий достоверности в отношении выполнения задач, касающихся операций, отчетности и соблюдения требований.</w:t>
      </w:r>
    </w:p>
    <w:p w14:paraId="6852005C" w14:textId="03D2F9C1" w:rsidR="004E5F98" w:rsidRPr="008B3F38" w:rsidRDefault="004E5F98" w:rsidP="007C0CD7">
      <w:pPr>
        <w:rPr>
          <w:spacing w:val="-3"/>
          <w:lang w:val="ru-RU"/>
        </w:rPr>
      </w:pPr>
      <w:r w:rsidRPr="008B3F38">
        <w:rPr>
          <w:b/>
          <w:bCs/>
          <w:lang w:val="ru-RU"/>
        </w:rPr>
        <w:t>2.2</w:t>
      </w:r>
      <w:r w:rsidRPr="008B3F38">
        <w:rPr>
          <w:lang w:val="ru-RU"/>
        </w:rPr>
        <w:tab/>
        <w:t>В 2022 году Совет МСЭ одобрил Модель и Систему подотчетности МСЭ, в которой реализуются принципы COSO: уточнены внутренние структуры управления, конкретные функциональные обязанности и механизмы подтверждения достоверности. Действует три линии механизмов подтверждения достоверности (линии защиты): первая линия (самоконтроль), вторая линия (надзор и соблюдение требований) и третья линия (независимый аудит и оценка). Система подотчетности обеспечивает структурную основу для внедрения системы COSO в рамках всего МСЭ.</w:t>
      </w:r>
    </w:p>
    <w:p w14:paraId="2CE4B47F" w14:textId="4FC42620" w:rsidR="004E5F98" w:rsidRPr="008B3F38" w:rsidRDefault="004E5F98" w:rsidP="007C0CD7">
      <w:pPr>
        <w:rPr>
          <w:lang w:val="ru-RU"/>
        </w:rPr>
      </w:pPr>
      <w:r w:rsidRPr="008B3F38">
        <w:rPr>
          <w:b/>
          <w:bCs/>
          <w:lang w:val="ru-RU"/>
        </w:rPr>
        <w:t>2.3</w:t>
      </w:r>
      <w:r w:rsidRPr="008B3F38">
        <w:rPr>
          <w:lang w:val="ru-RU"/>
        </w:rPr>
        <w:tab/>
        <w:t>В этом году мы рассмотрели, насколько система внутреннего контроля МСЭ в настоящее время согласуется с пятью компонентами системы COSO, а именно:</w:t>
      </w:r>
    </w:p>
    <w:p w14:paraId="5CED3544" w14:textId="32F76F43" w:rsidR="004E5F98" w:rsidRPr="008B3F38" w:rsidRDefault="009E2548" w:rsidP="009E2548">
      <w:pPr>
        <w:pStyle w:val="enumlev1"/>
        <w:rPr>
          <w:lang w:val="ru-RU"/>
        </w:rPr>
      </w:pPr>
      <w:r w:rsidRPr="008B3F38">
        <w:rPr>
          <w:lang w:val="ru-RU"/>
        </w:rPr>
        <w:t>•</w:t>
      </w:r>
      <w:r w:rsidR="004E5F98" w:rsidRPr="008B3F38">
        <w:rPr>
          <w:lang w:val="ru-RU"/>
        </w:rPr>
        <w:tab/>
        <w:t>средой контроля;</w:t>
      </w:r>
    </w:p>
    <w:p w14:paraId="13215656" w14:textId="59741922" w:rsidR="004E5F98" w:rsidRPr="008B3F38" w:rsidRDefault="009E2548" w:rsidP="009E2548">
      <w:pPr>
        <w:pStyle w:val="enumlev1"/>
        <w:rPr>
          <w:lang w:val="ru-RU"/>
        </w:rPr>
      </w:pPr>
      <w:r w:rsidRPr="008B3F38">
        <w:rPr>
          <w:lang w:val="ru-RU"/>
        </w:rPr>
        <w:t>•</w:t>
      </w:r>
      <w:r w:rsidRPr="008B3F38">
        <w:rPr>
          <w:lang w:val="ru-RU"/>
        </w:rPr>
        <w:tab/>
      </w:r>
      <w:r w:rsidR="004E5F98" w:rsidRPr="008B3F38">
        <w:rPr>
          <w:lang w:val="ru-RU"/>
        </w:rPr>
        <w:t>оценкой рисков;</w:t>
      </w:r>
    </w:p>
    <w:p w14:paraId="00F9D28D" w14:textId="55F5053E" w:rsidR="004E5F98" w:rsidRPr="008B3F38" w:rsidRDefault="009E2548" w:rsidP="009E2548">
      <w:pPr>
        <w:pStyle w:val="enumlev1"/>
        <w:rPr>
          <w:lang w:val="ru-RU"/>
        </w:rPr>
      </w:pPr>
      <w:r w:rsidRPr="008B3F38">
        <w:rPr>
          <w:lang w:val="ru-RU"/>
        </w:rPr>
        <w:t>•</w:t>
      </w:r>
      <w:r w:rsidRPr="008B3F38">
        <w:rPr>
          <w:lang w:val="ru-RU"/>
        </w:rPr>
        <w:tab/>
      </w:r>
      <w:r w:rsidR="004E5F98" w:rsidRPr="008B3F38">
        <w:rPr>
          <w:lang w:val="ru-RU"/>
        </w:rPr>
        <w:t>деятельностью по контролю;</w:t>
      </w:r>
    </w:p>
    <w:p w14:paraId="0B0F0C45" w14:textId="33D6F7D6" w:rsidR="004E5F98" w:rsidRPr="008B3F38" w:rsidRDefault="009E2548" w:rsidP="009E2548">
      <w:pPr>
        <w:pStyle w:val="enumlev1"/>
        <w:rPr>
          <w:lang w:val="ru-RU"/>
        </w:rPr>
      </w:pPr>
      <w:r w:rsidRPr="008B3F38">
        <w:rPr>
          <w:lang w:val="ru-RU"/>
        </w:rPr>
        <w:t>•</w:t>
      </w:r>
      <w:r w:rsidRPr="008B3F38">
        <w:rPr>
          <w:lang w:val="ru-RU"/>
        </w:rPr>
        <w:tab/>
      </w:r>
      <w:r w:rsidR="004E5F98" w:rsidRPr="008B3F38">
        <w:rPr>
          <w:lang w:val="ru-RU"/>
        </w:rPr>
        <w:t>информационно-коммуникационной деятельностью; и</w:t>
      </w:r>
    </w:p>
    <w:p w14:paraId="5B566A83" w14:textId="58EE9E30" w:rsidR="004E5F98" w:rsidRPr="008B3F38" w:rsidRDefault="009E2548" w:rsidP="009E2548">
      <w:pPr>
        <w:pStyle w:val="enumlev1"/>
        <w:rPr>
          <w:lang w:val="ru-RU"/>
        </w:rPr>
      </w:pPr>
      <w:r w:rsidRPr="008B3F38">
        <w:rPr>
          <w:lang w:val="ru-RU"/>
        </w:rPr>
        <w:t>•</w:t>
      </w:r>
      <w:r w:rsidRPr="008B3F38">
        <w:rPr>
          <w:lang w:val="ru-RU"/>
        </w:rPr>
        <w:tab/>
      </w:r>
      <w:r w:rsidR="004E5F98" w:rsidRPr="008B3F38">
        <w:rPr>
          <w:lang w:val="ru-RU"/>
        </w:rPr>
        <w:t>мониторингом.</w:t>
      </w:r>
    </w:p>
    <w:p w14:paraId="1D4118D1" w14:textId="77777777" w:rsidR="004E5F98" w:rsidRPr="008B3F38" w:rsidRDefault="004E5F98" w:rsidP="007C0CD7">
      <w:pPr>
        <w:rPr>
          <w:lang w:val="ru-RU"/>
        </w:rPr>
      </w:pPr>
      <w:r w:rsidRPr="008B3F38">
        <w:rPr>
          <w:b/>
          <w:bCs/>
          <w:lang w:val="ru-RU"/>
        </w:rPr>
        <w:t>2.4</w:t>
      </w:r>
      <w:r w:rsidRPr="008B3F38">
        <w:rPr>
          <w:lang w:val="ru-RU"/>
        </w:rPr>
        <w:tab/>
        <w:t>Наша оценка основывается на изменениях в политике на уровне организации, а также на оперативной информации, полученной во время посещения Регионального отделения для Азиатско-Тихоокеанского региона.</w:t>
      </w:r>
    </w:p>
    <w:p w14:paraId="6561D766" w14:textId="77777777" w:rsidR="004E5F98" w:rsidRPr="008B3F38" w:rsidRDefault="004E5F98" w:rsidP="00426DF2">
      <w:pPr>
        <w:pStyle w:val="Heading3"/>
        <w:rPr>
          <w:lang w:val="ru-RU"/>
        </w:rPr>
      </w:pPr>
      <w:r w:rsidRPr="008B3F38">
        <w:rPr>
          <w:lang w:val="ru-RU"/>
        </w:rPr>
        <w:t>Среда контроля</w:t>
      </w:r>
    </w:p>
    <w:p w14:paraId="75915D36" w14:textId="77777777" w:rsidR="004E5F98" w:rsidRPr="008B3F38" w:rsidRDefault="004E5F98" w:rsidP="007C0CD7">
      <w:pPr>
        <w:rPr>
          <w:lang w:val="ru-RU"/>
        </w:rPr>
      </w:pPr>
      <w:r w:rsidRPr="008B3F38">
        <w:rPr>
          <w:b/>
          <w:bCs/>
          <w:lang w:val="ru-RU"/>
        </w:rPr>
        <w:t>2.5</w:t>
      </w:r>
      <w:r w:rsidRPr="008B3F38">
        <w:rPr>
          <w:lang w:val="ru-RU"/>
        </w:rPr>
        <w:tab/>
        <w:t>В Системе подотчетности сделан особый акцент на необходимости наличия прочной, основанной на ценностях среды контроля, подкрепленной этичным руководством, четким делегированием полномочий и согласованием обязанностей. На уровне организации наблюдается прогресс: МСЭ ввел обязательное прохождение курса по вопросам этики, усовершенствовал инструменты управления показателями деятельности и выпустил пересмотренный Устав надзора. Органы управления, включая Совет и Независимый консультативный комитет по управлению (IMAC), уделяют все больше внимания внутреннему контролю и надзору.</w:t>
      </w:r>
    </w:p>
    <w:p w14:paraId="64B1D5CE" w14:textId="55378249" w:rsidR="004E5F98" w:rsidRPr="008B3F38" w:rsidRDefault="004E5F98" w:rsidP="007C0CD7">
      <w:pPr>
        <w:rPr>
          <w:lang w:val="ru-RU"/>
        </w:rPr>
      </w:pPr>
      <w:r w:rsidRPr="008B3F38">
        <w:rPr>
          <w:b/>
          <w:bCs/>
          <w:lang w:val="ru-RU"/>
        </w:rPr>
        <w:t>2.6</w:t>
      </w:r>
      <w:r w:rsidRPr="008B3F38">
        <w:rPr>
          <w:lang w:val="ru-RU"/>
        </w:rPr>
        <w:tab/>
        <w:t xml:space="preserve">Однако в ходе нашей работы были выявлены ситуации, в которых эти системные усовершенствования все еще не реализуются эффективно или не внедрены последовательно. Делегирование полномочий – основа функции контроля – по-прежнему не отражено в документации, хотя работа по кодификации базовых принципов делегирования полномочий во всем МСЭ ведется. Это было отмечено в нашем обзоре работы Регионального отделения для Азиатско-Тихоокеанского региона, где, например, директор Регионального отделения действовал без формального делегирования полномочий, опираясь на должностные инструкции и неформализованную практику. Это создало неопределенность в отношении финансовой ответственности и снизило эффективность подотчетности по операциям, что противоречит ожидаемым результатам функционирования первой линии Системы </w:t>
      </w:r>
      <w:r w:rsidRPr="008B3F38">
        <w:rPr>
          <w:lang w:val="ru-RU"/>
        </w:rPr>
        <w:lastRenderedPageBreak/>
        <w:t>подотчетности. Отсутствие ясности в процедуре делегирования остается системной проблемой, влияющей на эффективность подотчетности в Союзе.</w:t>
      </w:r>
    </w:p>
    <w:p w14:paraId="15641CFA" w14:textId="77777777" w:rsidR="004E5F98" w:rsidRPr="008B3F38" w:rsidRDefault="004E5F98" w:rsidP="007C0CD7">
      <w:pPr>
        <w:rPr>
          <w:b/>
          <w:bCs/>
          <w:lang w:val="ru-RU"/>
        </w:rPr>
      </w:pPr>
      <w:r w:rsidRPr="008B3F38">
        <w:rPr>
          <w:b/>
          <w:bCs/>
          <w:lang w:val="ru-RU"/>
        </w:rPr>
        <w:t>МСЭ следует</w:t>
      </w:r>
      <w:r w:rsidRPr="008B3F38">
        <w:rPr>
          <w:lang w:val="ru-RU"/>
        </w:rPr>
        <w:t>:</w:t>
      </w:r>
    </w:p>
    <w:p w14:paraId="3CB84DD4" w14:textId="77777777" w:rsidR="004E5F98" w:rsidRPr="008B3F38" w:rsidRDefault="004E5F98" w:rsidP="007C0CD7">
      <w:pPr>
        <w:rPr>
          <w:b/>
          <w:bCs/>
          <w:lang w:val="ru-RU"/>
        </w:rPr>
      </w:pPr>
      <w:r w:rsidRPr="008B3F38">
        <w:rPr>
          <w:b/>
          <w:bCs/>
          <w:lang w:val="ru-RU"/>
        </w:rPr>
        <w:t>РЕК5: доработать и внедрить базовые принципы делегирования полномочий, подкрепив их обучением и мониторингом</w:t>
      </w:r>
      <w:r w:rsidRPr="008B3F38">
        <w:rPr>
          <w:lang w:val="ru-RU"/>
        </w:rPr>
        <w:t>.</w:t>
      </w:r>
    </w:p>
    <w:p w14:paraId="058EA1E6" w14:textId="77777777" w:rsidR="004E5F98" w:rsidRPr="008B3F38" w:rsidRDefault="004E5F98" w:rsidP="007C0CD7">
      <w:pPr>
        <w:rPr>
          <w:lang w:val="ru-RU"/>
        </w:rPr>
      </w:pPr>
      <w:r w:rsidRPr="008B3F38">
        <w:rPr>
          <w:i/>
          <w:iCs/>
          <w:lang w:val="ru-RU"/>
        </w:rPr>
        <w:t>Замечание руководства МСЭ: МСЭ находится в процессе внедрения базовых принципов делегирования полномочий, что является приоритетной задачей, которая должна быть выполнена в 2025 году.</w:t>
      </w:r>
    </w:p>
    <w:p w14:paraId="4BE5ACE6" w14:textId="6EF20803" w:rsidR="004E5F98" w:rsidRPr="008B3F38" w:rsidRDefault="004E5F98" w:rsidP="007C0CD7">
      <w:pPr>
        <w:rPr>
          <w:lang w:val="ru-RU"/>
        </w:rPr>
      </w:pPr>
      <w:r w:rsidRPr="008B3F38">
        <w:rPr>
          <w:b/>
          <w:bCs/>
          <w:lang w:val="ru-RU"/>
        </w:rPr>
        <w:t>2.7</w:t>
      </w:r>
      <w:r w:rsidRPr="008B3F38">
        <w:rPr>
          <w:lang w:val="ru-RU"/>
        </w:rPr>
        <w:tab/>
        <w:t>В основе механизма подтверждения достоверности со стороны руководства, на который Генеральный секретарь ссылается для обоснования выводов, содержащихся в Заявлении о внутреннем контроле, лежит процедура представления писем-заверений. Согласно этой процедуре, избираемые должностные лица и старшие руководители должны подтверждать функционирование конкретных ключевых мер контроля в своей зоне ответственности. По результатам нашей работы в рамках МСЭ мы пришли к выводу, что этот процесс должен быть лучше согласован с реалиями оперативной деятельности. Официальные</w:t>
      </w:r>
      <w:r w:rsidR="00845B16" w:rsidRPr="008B3F38">
        <w:rPr>
          <w:lang w:val="ru-RU"/>
        </w:rPr>
        <w:t> </w:t>
      </w:r>
      <w:r w:rsidRPr="008B3F38">
        <w:rPr>
          <w:lang w:val="ru-RU"/>
        </w:rPr>
        <w:t>лица охарактеризовали меры контроля как эффективные, однако во многих случаях финансовые инструменты, которые могли бы упростить проведение тщательного анализа, отсутствовали. Мы также обратили внимание на то, что распорядители бюджетных средств должны были делать те или иные утверждения в ситуациях, когда их функционал в отношении мер контроля не предусматривал соответствующих полномочий. Эта проблема будет решаться путем приведения работы по письмам-заверениям в соответствие с полномочиями и обязанностями, определенными посредством четкого делегирования. Проведенный нами анализ выявил, что распорядители бюджетных средств не обладают достаточными полномочиями в отношении выделенного бюджета, а меры контроля по-прежнему курирует отдел бюджетного контроля FRMD.</w:t>
      </w:r>
    </w:p>
    <w:p w14:paraId="4526E42C" w14:textId="562A536C" w:rsidR="004E5F98" w:rsidRPr="008B3F38" w:rsidRDefault="004E5F98" w:rsidP="007C0CD7">
      <w:pPr>
        <w:rPr>
          <w:lang w:val="ru-RU"/>
        </w:rPr>
      </w:pPr>
      <w:r w:rsidRPr="008B3F38">
        <w:rPr>
          <w:b/>
          <w:bCs/>
          <w:lang w:val="ru-RU"/>
        </w:rPr>
        <w:t>2.8</w:t>
      </w:r>
      <w:r w:rsidRPr="008B3F38">
        <w:rPr>
          <w:lang w:val="ru-RU"/>
        </w:rPr>
        <w:tab/>
        <w:t>По нашему мнению, эта процедура нуждается в дальнейшей доработке и необходимо совершенствовать обучение и поддержку процесса, а также ввести анализ, критическую оценку и валидацию предоставленных ответов. Также должен существовать механизм для периодической проверки и удостоверения качества предоставляемых подтверждений достоверности и соответствующих доказательств. Валидация этих подтверждений достоверности является требованием системы COSO. Без надлежащих руководящих указаний и верификации действующий в настоящее время процесс не обеспечит надежных и качественных писем-заверений.</w:t>
      </w:r>
    </w:p>
    <w:p w14:paraId="000C460D" w14:textId="77777777" w:rsidR="004E5F98" w:rsidRPr="008B3F38" w:rsidRDefault="004E5F98" w:rsidP="007C0CD7">
      <w:pPr>
        <w:rPr>
          <w:b/>
          <w:bCs/>
          <w:lang w:val="ru-RU"/>
        </w:rPr>
      </w:pPr>
      <w:r w:rsidRPr="008B3F38">
        <w:rPr>
          <w:b/>
          <w:bCs/>
          <w:lang w:val="ru-RU"/>
        </w:rPr>
        <w:t>МСЭ следует</w:t>
      </w:r>
      <w:r w:rsidRPr="008B3F38">
        <w:rPr>
          <w:lang w:val="ru-RU"/>
        </w:rPr>
        <w:t>:</w:t>
      </w:r>
    </w:p>
    <w:p w14:paraId="71E820EF" w14:textId="4E4D7AA2" w:rsidR="004E5F98" w:rsidRPr="008B3F38" w:rsidRDefault="004E5F98" w:rsidP="007C0CD7">
      <w:pPr>
        <w:rPr>
          <w:b/>
          <w:bCs/>
          <w:lang w:val="ru-RU"/>
        </w:rPr>
      </w:pPr>
      <w:r w:rsidRPr="008B3F38">
        <w:rPr>
          <w:b/>
          <w:bCs/>
          <w:lang w:val="ru-RU"/>
        </w:rPr>
        <w:t>РЕК6: усовершенствовать процесс, связанный с письмами-заверениями, путем введения процедур валидации, которые могут служить основой для оценки эффективности контроля</w:t>
      </w:r>
      <w:r w:rsidRPr="008B3F38">
        <w:rPr>
          <w:lang w:val="ru-RU"/>
        </w:rPr>
        <w:t>.</w:t>
      </w:r>
    </w:p>
    <w:p w14:paraId="71446436" w14:textId="77777777" w:rsidR="004E5F98" w:rsidRPr="008B3F38" w:rsidRDefault="004E5F98" w:rsidP="007C0CD7">
      <w:pPr>
        <w:rPr>
          <w:lang w:val="ru-RU"/>
        </w:rPr>
      </w:pPr>
      <w:r w:rsidRPr="008B3F38">
        <w:rPr>
          <w:i/>
          <w:iCs/>
          <w:lang w:val="ru-RU"/>
        </w:rPr>
        <w:t>Замечание руководства МСЭ: МСЭ принял к сведению данную рекомендацию и будет продолжать работать над дальнейшим совершенствованием процесса, связанного с письмами-заверениями, и обеспечением внедрения процессов валидации для оценки эффективности контроля.</w:t>
      </w:r>
    </w:p>
    <w:p w14:paraId="67C56F1D" w14:textId="77777777" w:rsidR="004E5F98" w:rsidRPr="008B3F38" w:rsidRDefault="004E5F98" w:rsidP="007C0CD7">
      <w:pPr>
        <w:rPr>
          <w:lang w:val="ru-RU"/>
        </w:rPr>
      </w:pPr>
      <w:r w:rsidRPr="008B3F38">
        <w:rPr>
          <w:b/>
          <w:bCs/>
          <w:lang w:val="ru-RU"/>
        </w:rPr>
        <w:t>2.9</w:t>
      </w:r>
      <w:r w:rsidRPr="008B3F38">
        <w:rPr>
          <w:lang w:val="ru-RU"/>
        </w:rPr>
        <w:tab/>
        <w:t>В целом, задаваемый сверху тон улучшается, однако среда контроля должна быть внедрена ниже уровня старших руководителей. Необходимо внести ясность в отношении функций, делегирования полномочий и подотчетности, особенно в том, что касается децентрализованных механизмов работы. Секретариату следует стремиться к совершенствованию этого процесса для укрепления культуры контроля и выявления неэффективности или отсутствия мер контроля, а также к повышению уверенности Членов в эффективном функционировании среды контроля.</w:t>
      </w:r>
    </w:p>
    <w:p w14:paraId="1C44A359" w14:textId="1B95EAFC" w:rsidR="004E5F98" w:rsidRPr="008B3F38" w:rsidRDefault="004E5F98" w:rsidP="007C0CD7">
      <w:pPr>
        <w:rPr>
          <w:lang w:val="ru-RU"/>
        </w:rPr>
      </w:pPr>
      <w:r w:rsidRPr="008B3F38">
        <w:rPr>
          <w:b/>
          <w:bCs/>
          <w:lang w:val="ru-RU"/>
        </w:rPr>
        <w:lastRenderedPageBreak/>
        <w:t>2.10</w:t>
      </w:r>
      <w:r w:rsidRPr="008B3F38">
        <w:rPr>
          <w:lang w:val="ru-RU"/>
        </w:rPr>
        <w:tab/>
        <w:t>Учитывая сферу ответственности МСЭ, способность создать эффективную среду контроля собственных информационных систем имеет важное значение как в оперативном, так и в репутационном плане. В рамках аудита мы рассмотрели общие меры, принимаемые руководством для подтверждения достоверности в отношении ИТ-среды. Как показывает наш опыт, многие организации стремятся получить аккредитацию, чтобы обеспечить уверенность заинтересованных сторон в отношении создания, внедрения, поддержки и постоянного совершенствования информационных систем. Такие меры дают уверенность в установленном порядке работы и помогают снизить риски, связанные с ИТ. В ходе наших обсуждений с руководством мы пришли к выводу, что ведется определенная работа по оценке готовности МСЭ к аккредитации, однако никаких шагов по ее получению предпринято не было. Мы</w:t>
      </w:r>
      <w:r w:rsidR="00845B16" w:rsidRPr="008B3F38">
        <w:rPr>
          <w:lang w:val="ru-RU"/>
        </w:rPr>
        <w:t> </w:t>
      </w:r>
      <w:r w:rsidRPr="008B3F38">
        <w:rPr>
          <w:lang w:val="ru-RU"/>
        </w:rPr>
        <w:t>полагаем, что для МСЭ важно рассмотреть возможность формального принятия базовых принципов в отношении среды МСЭ и сделать их предметом регулярного внешнего обзора.</w:t>
      </w:r>
    </w:p>
    <w:p w14:paraId="103B51D2" w14:textId="0D11AC9A" w:rsidR="004E5F98" w:rsidRPr="008B3F38" w:rsidRDefault="004E5F98" w:rsidP="007C0CD7">
      <w:pPr>
        <w:rPr>
          <w:lang w:val="ru-RU"/>
        </w:rPr>
      </w:pPr>
      <w:r w:rsidRPr="008B3F38">
        <w:rPr>
          <w:b/>
          <w:bCs/>
          <w:lang w:val="ru-RU"/>
        </w:rPr>
        <w:t>2.11</w:t>
      </w:r>
      <w:r w:rsidRPr="008B3F38">
        <w:rPr>
          <w:lang w:val="ru-RU"/>
        </w:rPr>
        <w:tab/>
        <w:t>В ходе обсуждений с руководством мы сделали заключение, что в плане работы Департамента информационных служб (ISD) на 2025 год предусмотрено несколько инициатив по повышению эффективности управления ИТ и их безопасности. Руководство регулярно информирует IMAC о принятых мерах, однако мы отметили, что общей отчетности по набору подтверждений достоверности, на которые ISD полагается для защиты среды ИТ, не существует. Мы обеспокоены тем, что в условиях федеративной структуры МСЭ в ISD отсутствует полная прозрачность систем, которая позволяла бы выявлять и устранять уязвимости. Как отмечается в Заявлении о внутреннем контроле, была произведена кибератака на базу данных одного из Секторов, в которой были обнаружены уязвимости. МСЭ</w:t>
      </w:r>
      <w:r w:rsidR="009E2548" w:rsidRPr="008B3F38">
        <w:rPr>
          <w:lang w:val="ru-RU"/>
        </w:rPr>
        <w:t> </w:t>
      </w:r>
      <w:r w:rsidRPr="008B3F38">
        <w:rPr>
          <w:lang w:val="ru-RU"/>
        </w:rPr>
        <w:t>сообщает, что это нарушение информационной безопасности удалось оперативно локализовать и что были приняты корректирующие меры.</w:t>
      </w:r>
    </w:p>
    <w:p w14:paraId="4EBE9983" w14:textId="77777777" w:rsidR="004E5F98" w:rsidRPr="008B3F38" w:rsidRDefault="004E5F98" w:rsidP="007C0CD7">
      <w:pPr>
        <w:rPr>
          <w:lang w:val="ru-RU"/>
        </w:rPr>
      </w:pPr>
      <w:r w:rsidRPr="008B3F38">
        <w:rPr>
          <w:b/>
          <w:bCs/>
          <w:lang w:val="ru-RU"/>
        </w:rPr>
        <w:t>МСЭ следует</w:t>
      </w:r>
      <w:r w:rsidRPr="008B3F38">
        <w:rPr>
          <w:lang w:val="ru-RU"/>
        </w:rPr>
        <w:t>:</w:t>
      </w:r>
    </w:p>
    <w:p w14:paraId="01142796" w14:textId="77777777" w:rsidR="004E5F98" w:rsidRPr="008B3F38" w:rsidRDefault="004E5F98" w:rsidP="007C0CD7">
      <w:pPr>
        <w:rPr>
          <w:lang w:val="ru-RU"/>
        </w:rPr>
      </w:pPr>
      <w:r w:rsidRPr="008B3F38">
        <w:rPr>
          <w:b/>
          <w:bCs/>
          <w:lang w:val="ru-RU"/>
        </w:rPr>
        <w:t>РЕК7: рассмотреть затраты и выгоды, связанные с внедрением соответствующей аккредитации для информационных систем, для того чтобы продемонстрировать приверженность высоким стандартам управления информационными системами</w:t>
      </w:r>
      <w:r w:rsidRPr="008B3F38">
        <w:rPr>
          <w:lang w:val="ru-RU"/>
        </w:rPr>
        <w:t>.</w:t>
      </w:r>
    </w:p>
    <w:p w14:paraId="7D3F55AB" w14:textId="00BCEFA5" w:rsidR="004E5F98" w:rsidRPr="008B3F38" w:rsidRDefault="004E5F98" w:rsidP="007C0CD7">
      <w:pPr>
        <w:rPr>
          <w:b/>
          <w:bCs/>
          <w:lang w:val="ru-RU"/>
        </w:rPr>
      </w:pPr>
      <w:r w:rsidRPr="008B3F38">
        <w:rPr>
          <w:b/>
          <w:bCs/>
          <w:lang w:val="ru-RU"/>
        </w:rPr>
        <w:t>РЕК8: представлять ежегодный отчет с обобщением годовой деятельности по предоставлению гарантий в отношении информационных систем в целях придания уверенности заинтересованным сторонам в принятии эффективных мер по смягчению рисков и угроз для функционирования информационных систем</w:t>
      </w:r>
      <w:r w:rsidRPr="008B3F38">
        <w:rPr>
          <w:lang w:val="ru-RU"/>
        </w:rPr>
        <w:t>.</w:t>
      </w:r>
    </w:p>
    <w:p w14:paraId="01C67976" w14:textId="77777777" w:rsidR="004E5F98" w:rsidRPr="008B3F38" w:rsidRDefault="004E5F98" w:rsidP="007C0CD7">
      <w:pPr>
        <w:rPr>
          <w:i/>
          <w:iCs/>
          <w:lang w:val="ru-RU"/>
        </w:rPr>
      </w:pPr>
      <w:r w:rsidRPr="008B3F38">
        <w:rPr>
          <w:i/>
          <w:iCs/>
          <w:lang w:val="ru-RU"/>
        </w:rPr>
        <w:t>Замечание руководства МСЭ: МСЭ принял к сведению эти рекомендации и представит предлагаемый ежегодный отчет, содержащий итоги годовой деятельности по предоставлению гарантий в отношении информационных систем в целях придания уверенности заинтересованным сторонам в принятии эффективных мер по смягчению рисков и угроз для функционирования информационных систем.</w:t>
      </w:r>
    </w:p>
    <w:p w14:paraId="362E57F1" w14:textId="77777777" w:rsidR="004E5F98" w:rsidRPr="008B3F38" w:rsidRDefault="004E5F98" w:rsidP="009E2548">
      <w:pPr>
        <w:pStyle w:val="Heading4"/>
        <w:rPr>
          <w:lang w:val="ru-RU"/>
        </w:rPr>
      </w:pPr>
      <w:r w:rsidRPr="008B3F38">
        <w:rPr>
          <w:lang w:val="ru-RU"/>
        </w:rPr>
        <w:t>Оценка рисков</w:t>
      </w:r>
    </w:p>
    <w:p w14:paraId="2AF09B9C" w14:textId="077E49DD" w:rsidR="004E5F98" w:rsidRPr="008B3F38" w:rsidRDefault="004E5F98" w:rsidP="007C0CD7">
      <w:pPr>
        <w:rPr>
          <w:lang w:val="ru-RU"/>
        </w:rPr>
      </w:pPr>
      <w:r w:rsidRPr="008B3F38">
        <w:rPr>
          <w:b/>
          <w:bCs/>
          <w:lang w:val="ru-RU"/>
        </w:rPr>
        <w:t>2.12</w:t>
      </w:r>
      <w:r w:rsidRPr="008B3F38">
        <w:rPr>
          <w:lang w:val="ru-RU"/>
        </w:rPr>
        <w:tab/>
        <w:t>Система подотчетности требует, чтобы риски, связанные с задачами МСЭ, выявлялись и пресекались с использованием интегрированной системы реестров и проверок. В</w:t>
      </w:r>
      <w:r w:rsidR="009E2548" w:rsidRPr="008B3F38">
        <w:rPr>
          <w:lang w:val="ru-RU"/>
        </w:rPr>
        <w:t> </w:t>
      </w:r>
      <w:r w:rsidRPr="008B3F38">
        <w:rPr>
          <w:lang w:val="ru-RU"/>
        </w:rPr>
        <w:t>соответствии с моделью COSO оценка рисков должна лежать в основе как стратегических, так и каждодневных решений.</w:t>
      </w:r>
    </w:p>
    <w:p w14:paraId="6B8E7F18" w14:textId="77777777" w:rsidR="004E5F98" w:rsidRPr="008B3F38" w:rsidRDefault="004E5F98" w:rsidP="007C0CD7">
      <w:pPr>
        <w:rPr>
          <w:lang w:val="ru-RU"/>
        </w:rPr>
      </w:pPr>
      <w:r w:rsidRPr="008B3F38">
        <w:rPr>
          <w:b/>
          <w:bCs/>
          <w:lang w:val="ru-RU"/>
        </w:rPr>
        <w:t>2.13</w:t>
      </w:r>
      <w:r w:rsidRPr="008B3F38">
        <w:rPr>
          <w:lang w:val="ru-RU"/>
        </w:rPr>
        <w:tab/>
        <w:t>На центральном уровне МСЭ создал реестр рисков организации и назначил специалиста по управлению организационными деловыми рисками. Риски стали более регулярным элементом обсуждений в Совете, Руководящей координационной группе и IMAC. Существуют также реестры для конкретных областей, включая ИКТ (в соответствии с COBIT) и новое здание штаб-квартиры.</w:t>
      </w:r>
    </w:p>
    <w:p w14:paraId="54AEAA3D" w14:textId="61648A8E" w:rsidR="004E5F98" w:rsidRPr="008B3F38" w:rsidRDefault="004E5F98" w:rsidP="007C0CD7">
      <w:pPr>
        <w:rPr>
          <w:lang w:val="ru-RU"/>
        </w:rPr>
      </w:pPr>
      <w:r w:rsidRPr="008B3F38">
        <w:rPr>
          <w:b/>
          <w:bCs/>
          <w:lang w:val="ru-RU"/>
        </w:rPr>
        <w:lastRenderedPageBreak/>
        <w:t>2.14</w:t>
      </w:r>
      <w:r w:rsidRPr="008B3F38">
        <w:rPr>
          <w:lang w:val="ru-RU"/>
        </w:rPr>
        <w:tab/>
        <w:t>Союзу следует активизировать усилия по разработке системного, зрелого подхода к рискам в масштабах всей организации. Риск не всегда связан с планированием, составлением бюджета или управлением показателями деятельности и часто трактуется как организационное требование о нормативно-правовом соответствии, а не как операционный инструмент. Руководству МСЭ необходимо делать больше для обеспечения использования результатов деятельности для принятия решений, отслеживания прогресса в управлении выявленными рисками или оценки эффективности мер по их снижению.</w:t>
      </w:r>
    </w:p>
    <w:p w14:paraId="4BC5BD00" w14:textId="69244E96" w:rsidR="004E5F98" w:rsidRPr="008B3F38" w:rsidRDefault="004E5F98" w:rsidP="007C0CD7">
      <w:pPr>
        <w:rPr>
          <w:lang w:val="ru-RU"/>
        </w:rPr>
      </w:pPr>
      <w:r w:rsidRPr="008B3F38">
        <w:rPr>
          <w:b/>
          <w:bCs/>
          <w:lang w:val="ru-RU"/>
        </w:rPr>
        <w:t>2.15</w:t>
      </w:r>
      <w:r w:rsidRPr="008B3F38">
        <w:rPr>
          <w:lang w:val="ru-RU"/>
        </w:rPr>
        <w:tab/>
        <w:t>МСЭ необходимо ввести реестры рисков в работу сети региональных отделений и обеспечить, чтобы персонал этих отделений имел необходимую подготовку и потенциал для эффективного использования существующих в организации систем управления рисками. Выявление рисков происходит только на уровне конкретного проекта, при этом эти риски консолидируются в штаб-квартире. Однако мы отметили, что такой способ координирования не соответствует подходу к подготовке отчетности организации и что отсутствуют механизмы передачи системных проблем, выявленных по всему портфелю проектов, на рассмотрение руководству. МСЭ проинформировал нас о том, что были созданы механизмы для проектов под особым надзором: предполагается дополнительный уровень надзора за проектами, в отношении реализации которых давно есть проблемы. COSO и Система подотчетности предусматривают, что информация о рисках, распространяемая в организации, должна использоваться для принятия обоснованных решений и совершенствования процессов. Региональные реестры рисков важны для поддержки процесса обнаружения рисков в конкретных и различающихся условиях операционной деятельности.</w:t>
      </w:r>
    </w:p>
    <w:p w14:paraId="7BF096D7" w14:textId="52D162F1" w:rsidR="004E5F98" w:rsidRPr="008B3F38" w:rsidRDefault="004E5F98" w:rsidP="007C0CD7">
      <w:pPr>
        <w:rPr>
          <w:lang w:val="ru-RU"/>
        </w:rPr>
      </w:pPr>
      <w:r w:rsidRPr="008B3F38">
        <w:rPr>
          <w:b/>
          <w:bCs/>
          <w:lang w:val="ru-RU"/>
        </w:rPr>
        <w:t>2.16</w:t>
      </w:r>
      <w:r w:rsidRPr="008B3F38">
        <w:rPr>
          <w:lang w:val="ru-RU"/>
        </w:rPr>
        <w:tab/>
        <w:t>По нашему мнению, существующие в МСЭ механизмы оценки рисков нуждаются в усовершенствовании и должны обеспечивать эффективный, ориентированный на будущее, комплексный надзор для выявления сквозных и возникающих рисков и управления ими. Союзу следует рассмотреть возможность анализа эффективности и ценности, которую он получает в результате использования текущих процессов, для обеспечения надлежащего баланса между затратами и выгодами и для оказания должной поддержки руководству при принятии решений и осуществлении надзора. На наш взгляд, имеющиеся процессы управления рисками не дают системных гарантий и не используются в целях обоснованного принятия решений или</w:t>
      </w:r>
      <w:r w:rsidR="00845B16" w:rsidRPr="008B3F38">
        <w:rPr>
          <w:lang w:val="ru-RU"/>
        </w:rPr>
        <w:t> </w:t>
      </w:r>
      <w:r w:rsidRPr="008B3F38">
        <w:rPr>
          <w:lang w:val="ru-RU"/>
        </w:rPr>
        <w:t>контроля.</w:t>
      </w:r>
    </w:p>
    <w:p w14:paraId="57D7C13F" w14:textId="77777777" w:rsidR="004E5F98" w:rsidRPr="008B3F38" w:rsidRDefault="004E5F98" w:rsidP="007C0CD7">
      <w:pPr>
        <w:rPr>
          <w:lang w:val="ru-RU"/>
        </w:rPr>
      </w:pPr>
      <w:r w:rsidRPr="008B3F38">
        <w:rPr>
          <w:b/>
          <w:bCs/>
          <w:lang w:val="ru-RU"/>
        </w:rPr>
        <w:t>МСЭ следует</w:t>
      </w:r>
      <w:r w:rsidRPr="008B3F38">
        <w:rPr>
          <w:lang w:val="ru-RU"/>
        </w:rPr>
        <w:t>:</w:t>
      </w:r>
    </w:p>
    <w:p w14:paraId="0B1D7391" w14:textId="77777777" w:rsidR="004E5F98" w:rsidRPr="008B3F38" w:rsidRDefault="004E5F98" w:rsidP="007C0CD7">
      <w:pPr>
        <w:rPr>
          <w:lang w:val="ru-RU"/>
        </w:rPr>
      </w:pPr>
      <w:r w:rsidRPr="008B3F38">
        <w:rPr>
          <w:b/>
          <w:bCs/>
          <w:lang w:val="ru-RU"/>
        </w:rPr>
        <w:t>РЕК9: провести анализ эффективности существующих механизмов управления рисками и гарантировать, чтобы они обеспечивали поддержку МСЭ в системном выявлении и снижении рисков в отношении задач Союза</w:t>
      </w:r>
      <w:r w:rsidRPr="008B3F38">
        <w:rPr>
          <w:lang w:val="ru-RU"/>
        </w:rPr>
        <w:t>.</w:t>
      </w:r>
    </w:p>
    <w:p w14:paraId="03E747D0" w14:textId="77777777" w:rsidR="004E5F98" w:rsidRPr="008B3F38" w:rsidRDefault="004E5F98" w:rsidP="007C0CD7">
      <w:pPr>
        <w:rPr>
          <w:lang w:val="ru-RU"/>
        </w:rPr>
      </w:pPr>
      <w:r w:rsidRPr="008B3F38">
        <w:rPr>
          <w:i/>
          <w:iCs/>
          <w:lang w:val="ru-RU"/>
        </w:rPr>
        <w:t>Замечание руководства МСЭ: МСЭ принял к сведению данную рекомендацию и обеспечит, чтобы его меры по управлению рисками обеспечивали более системную уверенность в выполнении задач МСЭ, в том числе путем поддержки принятия соответствующих решений и рабочих процессов.</w:t>
      </w:r>
    </w:p>
    <w:p w14:paraId="5ABAAAA3" w14:textId="45CD8FAB" w:rsidR="004E5F98" w:rsidRPr="008B3F38" w:rsidRDefault="004E5F98" w:rsidP="007C0CD7">
      <w:pPr>
        <w:rPr>
          <w:lang w:val="ru-RU"/>
        </w:rPr>
      </w:pPr>
      <w:r w:rsidRPr="008B3F38">
        <w:rPr>
          <w:b/>
          <w:bCs/>
          <w:lang w:val="ru-RU"/>
        </w:rPr>
        <w:t>2.17</w:t>
      </w:r>
      <w:r w:rsidRPr="008B3F38">
        <w:rPr>
          <w:lang w:val="ru-RU"/>
        </w:rPr>
        <w:tab/>
        <w:t>В нашем Отчете за 2023 год (РЕК1) мы рекомендовали МСЭ провести системную оценку подверженности рискам мошенничества. В ответ МСЭ поручил Подразделению по надзору включить данную меру в свою программу работы на 2025 год. По нашему мнению, учитывая прошлый опыт МСЭ, Секретариату следует придать этой работе по оценке более высокое значение. Кроме того, важно, чтобы в проведении оценки и реализации связанных с ней действий участвовало руководство и структуры, ответственные за хозяйственные процессы, в полном составе по всему Союзу. В обязанности Подразделения по надзору не входит проведение оценки рисков мошенничества и управление оценкой, поскольку это может поставить под угрозу объективность подразделения. Руководству следует разработать план функционирования в условиях любых выявленных рисков и реагирования на них.</w:t>
      </w:r>
    </w:p>
    <w:p w14:paraId="46311245" w14:textId="78023E8F" w:rsidR="004E5F98" w:rsidRPr="008B3F38" w:rsidRDefault="004E5F98" w:rsidP="007C0CD7">
      <w:pPr>
        <w:rPr>
          <w:lang w:val="ru-RU"/>
        </w:rPr>
      </w:pPr>
      <w:r w:rsidRPr="008B3F38">
        <w:rPr>
          <w:b/>
          <w:bCs/>
          <w:lang w:val="ru-RU"/>
        </w:rPr>
        <w:lastRenderedPageBreak/>
        <w:t>2.18</w:t>
      </w:r>
      <w:r w:rsidRPr="008B3F38">
        <w:rPr>
          <w:lang w:val="ru-RU"/>
        </w:rPr>
        <w:tab/>
        <w:t>Наконец, учитывая имевшиеся проблемы в Региональном отделении для Азиатско</w:t>
      </w:r>
      <w:r w:rsidR="006D45E4" w:rsidRPr="008B3F38">
        <w:rPr>
          <w:lang w:val="ru-RU"/>
        </w:rPr>
        <w:t>­</w:t>
      </w:r>
      <w:r w:rsidRPr="008B3F38">
        <w:rPr>
          <w:lang w:val="ru-RU"/>
        </w:rPr>
        <w:t>Тихоокеанского региона, мы ожидали усиления внутреннего контроля и осведомленности о</w:t>
      </w:r>
      <w:r w:rsidR="009E2548" w:rsidRPr="008B3F38">
        <w:rPr>
          <w:lang w:val="ru-RU"/>
        </w:rPr>
        <w:t> </w:t>
      </w:r>
      <w:r w:rsidRPr="008B3F38">
        <w:rPr>
          <w:lang w:val="ru-RU"/>
        </w:rPr>
        <w:t>рисках мошенничества. Однако целевой информационно-разъяснительной работы не проводилось, как и оценки рисков конкретно в региональном контексте, и персонал региональных отделений по-прежнему не имеет четкого представления о каналах донесений и соответствующих обязанностях. Внутренние учебные программы МСЭ существуют, однако они носят общий характер и недостаточно адаптированы к региональным реалиям, рискам мошенничества и не подходят для того, чтобы делиться полученным опытом. Курсы имеют важное значение для повышения осведомленности о рисках мошенничества во всем Союзе и для развития культуры, побуждающей сотрудников сообщать об обоснованных опасениях.</w:t>
      </w:r>
    </w:p>
    <w:p w14:paraId="29514A87" w14:textId="77777777" w:rsidR="00E84E89" w:rsidRPr="008B3F38" w:rsidRDefault="00E84E89" w:rsidP="00E84E89">
      <w:pPr>
        <w:rPr>
          <w:b/>
          <w:bCs/>
          <w:lang w:val="ru-RU"/>
        </w:rPr>
      </w:pPr>
      <w:r w:rsidRPr="008B3F38">
        <w:rPr>
          <w:b/>
          <w:bCs/>
          <w:lang w:val="ru-RU"/>
        </w:rPr>
        <w:t>МСЭ следует</w:t>
      </w:r>
      <w:r w:rsidRPr="008B3F38">
        <w:rPr>
          <w:lang w:val="ru-RU"/>
        </w:rPr>
        <w:t>:</w:t>
      </w:r>
    </w:p>
    <w:p w14:paraId="2EA4F755" w14:textId="77777777" w:rsidR="00E84E89" w:rsidRPr="008B3F38" w:rsidRDefault="00E84E89" w:rsidP="00E84E89">
      <w:pPr>
        <w:rPr>
          <w:b/>
          <w:bCs/>
          <w:lang w:val="ru-RU"/>
        </w:rPr>
      </w:pPr>
      <w:r w:rsidRPr="008B3F38">
        <w:rPr>
          <w:b/>
          <w:bCs/>
          <w:lang w:val="ru-RU"/>
        </w:rPr>
        <w:t>РЕК10: разработать и провести программу специализированного обучения по вопросам борьбы с мошенничеством и контроля для ознакомления соответствующего персонала с основными процедурами работы в этих областях. Это обучение должно основываться на результатах оценки рисков мошенничества</w:t>
      </w:r>
      <w:r w:rsidRPr="008B3F38">
        <w:rPr>
          <w:lang w:val="ru-RU"/>
        </w:rPr>
        <w:t>.</w:t>
      </w:r>
    </w:p>
    <w:p w14:paraId="09B14D00" w14:textId="77777777" w:rsidR="00E84E89" w:rsidRPr="008B3F38" w:rsidRDefault="00E84E89" w:rsidP="0057647A">
      <w:pPr>
        <w:rPr>
          <w:i/>
          <w:iCs/>
          <w:lang w:val="ru-RU"/>
        </w:rPr>
      </w:pPr>
      <w:r w:rsidRPr="008B3F38">
        <w:rPr>
          <w:i/>
          <w:iCs/>
          <w:lang w:val="ru-RU"/>
        </w:rPr>
        <w:t>Замечание руководства МСЭ: МСЭ принял к сведению эту рекомендацию, и в результате в масштабах всей организации будет организовано дополнительное специализированное обучение по противодействию мошенничеству и связанным с ним рискам несоблюдения норм этики и добросовестности.</w:t>
      </w:r>
    </w:p>
    <w:p w14:paraId="71E3B9A9" w14:textId="45FE81BA" w:rsidR="00E84E89" w:rsidRPr="008B3F38" w:rsidRDefault="00E84E89" w:rsidP="0057647A">
      <w:pPr>
        <w:rPr>
          <w:i/>
          <w:iCs/>
          <w:lang w:val="ru-RU"/>
        </w:rPr>
      </w:pPr>
      <w:r w:rsidRPr="008B3F38">
        <w:rPr>
          <w:i/>
          <w:iCs/>
          <w:lang w:val="ru-RU"/>
        </w:rPr>
        <w:t>В 2024 году в рамках Политики обязательной профессиональной подготовки был разработан модуль "Этика и добросовестность в МСЭ". Этот учебный модуль позволяет получать информацию об этике и добросовестности посредством онлайнового обучения. Он предназначен для сотрудников МСЭ с целью развития этической культуры во всей организации. Дальнейшее специализированное обучение необходимо для обеспечения того, чтобы в будущем сотрудники, выполняющие определенные функции, были осведомлены о</w:t>
      </w:r>
      <w:r w:rsidR="00593EB6" w:rsidRPr="008B3F38">
        <w:rPr>
          <w:i/>
          <w:iCs/>
          <w:lang w:val="ru-RU"/>
        </w:rPr>
        <w:t> </w:t>
      </w:r>
      <w:r w:rsidRPr="008B3F38">
        <w:rPr>
          <w:i/>
          <w:iCs/>
          <w:lang w:val="ru-RU"/>
        </w:rPr>
        <w:t>рисках, связанных с мошенничеством.</w:t>
      </w:r>
    </w:p>
    <w:p w14:paraId="48567F3B" w14:textId="77777777" w:rsidR="00E84E89" w:rsidRPr="008B3F38" w:rsidRDefault="00E84E89" w:rsidP="00426DF2">
      <w:pPr>
        <w:pStyle w:val="Heading3"/>
        <w:rPr>
          <w:lang w:val="ru-RU"/>
        </w:rPr>
      </w:pPr>
      <w:r w:rsidRPr="008B3F38">
        <w:rPr>
          <w:lang w:val="ru-RU"/>
        </w:rPr>
        <w:t>Деятельность по контролю</w:t>
      </w:r>
    </w:p>
    <w:p w14:paraId="395BD792" w14:textId="12A070FE" w:rsidR="00E84E89" w:rsidRPr="008B3F38" w:rsidRDefault="00E84E89" w:rsidP="00E84E89">
      <w:pPr>
        <w:tabs>
          <w:tab w:val="clear" w:pos="794"/>
          <w:tab w:val="left" w:pos="774"/>
        </w:tabs>
        <w:rPr>
          <w:bCs/>
          <w:lang w:val="ru-RU"/>
        </w:rPr>
      </w:pPr>
      <w:r w:rsidRPr="008B3F38">
        <w:rPr>
          <w:b/>
          <w:lang w:val="ru-RU"/>
        </w:rPr>
        <w:t>2.19</w:t>
      </w:r>
      <w:r w:rsidRPr="008B3F38">
        <w:rPr>
          <w:bCs/>
          <w:lang w:val="ru-RU"/>
        </w:rPr>
        <w:tab/>
        <w:t xml:space="preserve">Деятельность по контролю – это правила и процедуры, которые помогают обеспечить эффективное реагирование на риски. В рамках Системы подотчетности контрольные мероприятия </w:t>
      </w:r>
      <w:r w:rsidRPr="008B3F38">
        <w:rPr>
          <w:bCs/>
          <w:lang w:val="ru-RU"/>
        </w:rPr>
        <w:tab/>
        <w:t>являются в первую очередь обязанностью первой линии защиты и поддерживаются второй линией, которая дает руководящие указания и осуществляет контроль за соблюдением установленных требований.</w:t>
      </w:r>
    </w:p>
    <w:p w14:paraId="1369CD6A" w14:textId="500F680B" w:rsidR="00E84E89" w:rsidRPr="008B3F38" w:rsidRDefault="00E84E89" w:rsidP="00E84E89">
      <w:pPr>
        <w:tabs>
          <w:tab w:val="clear" w:pos="794"/>
          <w:tab w:val="left" w:pos="774"/>
        </w:tabs>
        <w:rPr>
          <w:bCs/>
          <w:lang w:val="ru-RU"/>
        </w:rPr>
      </w:pPr>
      <w:r w:rsidRPr="008B3F38">
        <w:rPr>
          <w:b/>
          <w:lang w:val="ru-RU"/>
        </w:rPr>
        <w:t>2.20</w:t>
      </w:r>
      <w:r w:rsidRPr="008B3F38">
        <w:rPr>
          <w:bCs/>
          <w:lang w:val="ru-RU"/>
        </w:rPr>
        <w:tab/>
        <w:t>На политическом уровне МСЭ предпринимает шаги с целью укрепления своей системы контроля. Пересмотр Финансового регламента и Финансовых правил, введение Руководства по закупкам и совершенствование SOP для внебюджетных фондов свидетельствуют о</w:t>
      </w:r>
      <w:r w:rsidR="0066390F" w:rsidRPr="008B3F38">
        <w:rPr>
          <w:bCs/>
          <w:lang w:val="ru-RU"/>
        </w:rPr>
        <w:t> </w:t>
      </w:r>
      <w:r w:rsidRPr="008B3F38">
        <w:rPr>
          <w:bCs/>
          <w:lang w:val="ru-RU"/>
        </w:rPr>
        <w:t>значительном прогрессе. Создание Казначейского комитета и более структурированная инвестиционная политика еще больше укрепляют финансовое управление.</w:t>
      </w:r>
    </w:p>
    <w:p w14:paraId="5CFA1906" w14:textId="2A39C725" w:rsidR="00E84E89" w:rsidRPr="008B3F38" w:rsidRDefault="00E84E89" w:rsidP="00E84E89">
      <w:pPr>
        <w:tabs>
          <w:tab w:val="clear" w:pos="794"/>
          <w:tab w:val="left" w:pos="774"/>
        </w:tabs>
        <w:rPr>
          <w:bCs/>
          <w:lang w:val="ru-RU"/>
        </w:rPr>
      </w:pPr>
      <w:r w:rsidRPr="008B3F38">
        <w:rPr>
          <w:b/>
          <w:lang w:val="ru-RU"/>
        </w:rPr>
        <w:t>2.21</w:t>
      </w:r>
      <w:r w:rsidRPr="008B3F38">
        <w:rPr>
          <w:bCs/>
          <w:lang w:val="ru-RU"/>
        </w:rPr>
        <w:tab/>
        <w:t>Однако необходимо ликвидировать разрыв между политикой и тем, как она исполняется. Обязанности по контролю, особенно выполняемые руководителями проектов, спонсорами и сотрудниками по финансовым вопросам, должны быть более четко сформулированы с оперативной точки зрения, и формальное обучение для выполнения этих функций отсутствует. В ходе нашей работы на местах, как отмечалось ранее в отчете, руководители проектов не имели доступа к финансовым данным на уровне транзакций, и от них не требовалось проверять расходы по проектам.</w:t>
      </w:r>
    </w:p>
    <w:p w14:paraId="019ED9E5" w14:textId="73677CDD" w:rsidR="00E84E89" w:rsidRPr="008B3F38" w:rsidRDefault="00E84E89" w:rsidP="00E84E89">
      <w:pPr>
        <w:tabs>
          <w:tab w:val="clear" w:pos="794"/>
          <w:tab w:val="left" w:pos="774"/>
        </w:tabs>
        <w:rPr>
          <w:bCs/>
          <w:lang w:val="ru-RU"/>
        </w:rPr>
      </w:pPr>
      <w:r w:rsidRPr="008B3F38">
        <w:rPr>
          <w:b/>
          <w:lang w:val="ru-RU"/>
        </w:rPr>
        <w:t>2.22</w:t>
      </w:r>
      <w:r w:rsidRPr="008B3F38">
        <w:rPr>
          <w:bCs/>
          <w:lang w:val="ru-RU"/>
        </w:rPr>
        <w:tab/>
        <w:t xml:space="preserve">Для дальнейшего повышения эффективности системы контроля и уточнения подотчетности необходимо четко распределить функции и обязанности. Без четкого документирования обязанностей по осуществлению контроля, без активной поддержки </w:t>
      </w:r>
      <w:r w:rsidRPr="008B3F38">
        <w:rPr>
          <w:bCs/>
          <w:lang w:val="ru-RU"/>
        </w:rPr>
        <w:lastRenderedPageBreak/>
        <w:t>со</w:t>
      </w:r>
      <w:r w:rsidR="0057647A" w:rsidRPr="008B3F38">
        <w:rPr>
          <w:bCs/>
          <w:lang w:val="ru-RU"/>
        </w:rPr>
        <w:t> </w:t>
      </w:r>
      <w:r w:rsidRPr="008B3F38">
        <w:rPr>
          <w:bCs/>
          <w:lang w:val="ru-RU"/>
        </w:rPr>
        <w:t>стороны второй линии и обратной связи в отношении эффективности контроля нельзя ожидать, что функциональные подразделения первой линии будут принимать соразмерные меры контроля с учетом рисков.</w:t>
      </w:r>
    </w:p>
    <w:p w14:paraId="4619CA15" w14:textId="642E28FD" w:rsidR="00E84E89" w:rsidRPr="008B3F38" w:rsidRDefault="00E84E89" w:rsidP="00E84E89">
      <w:pPr>
        <w:tabs>
          <w:tab w:val="clear" w:pos="794"/>
          <w:tab w:val="left" w:pos="774"/>
        </w:tabs>
        <w:rPr>
          <w:bCs/>
          <w:lang w:val="ru-RU"/>
        </w:rPr>
      </w:pPr>
      <w:r w:rsidRPr="008B3F38">
        <w:rPr>
          <w:b/>
          <w:lang w:val="ru-RU"/>
        </w:rPr>
        <w:t>2.23</w:t>
      </w:r>
      <w:r w:rsidRPr="008B3F38">
        <w:rPr>
          <w:bCs/>
          <w:lang w:val="ru-RU"/>
        </w:rPr>
        <w:tab/>
        <w:t>Подводя итог, можно сказать, что хотя процесс планирования мер контроля становится все более эффективным, необходимо ускорить темпы применения этих мер. Если функции и обязанности не распределены достаточно четко, если не установлен порядок доступа к данным в режиме реального времени и если функции мониторинга и анализа не выполняются достаточно эффективно, осуществление контроля не может надежно защитить организацию от операционных или финансовых рисков. Мы надеемся на то, что в последующие годы Секретариат будет стремиться совершенствовать бизнес-процессы, что, по нашему мнению, является важным условием повышения эффективности контроля.</w:t>
      </w:r>
    </w:p>
    <w:p w14:paraId="666A61B1" w14:textId="77777777" w:rsidR="00E84E89" w:rsidRPr="008B3F38" w:rsidRDefault="00E84E89" w:rsidP="00426DF2">
      <w:pPr>
        <w:pStyle w:val="Heading3"/>
        <w:rPr>
          <w:lang w:val="ru-RU"/>
        </w:rPr>
      </w:pPr>
      <w:r w:rsidRPr="008B3F38">
        <w:rPr>
          <w:lang w:val="ru-RU"/>
        </w:rPr>
        <w:t>Информация и коммуникация</w:t>
      </w:r>
    </w:p>
    <w:p w14:paraId="1A32B558" w14:textId="35157DA4" w:rsidR="00E84E89" w:rsidRPr="008B3F38" w:rsidRDefault="00E84E89" w:rsidP="00E84E89">
      <w:pPr>
        <w:tabs>
          <w:tab w:val="clear" w:pos="794"/>
          <w:tab w:val="left" w:pos="774"/>
        </w:tabs>
        <w:rPr>
          <w:bCs/>
          <w:lang w:val="ru-RU"/>
        </w:rPr>
      </w:pPr>
      <w:r w:rsidRPr="008B3F38">
        <w:rPr>
          <w:b/>
          <w:lang w:val="ru-RU"/>
        </w:rPr>
        <w:t>2.24</w:t>
      </w:r>
      <w:r w:rsidRPr="008B3F38">
        <w:rPr>
          <w:b/>
          <w:lang w:val="ru-RU"/>
        </w:rPr>
        <w:tab/>
      </w:r>
      <w:r w:rsidRPr="008B3F38">
        <w:rPr>
          <w:bCs/>
          <w:lang w:val="ru-RU"/>
        </w:rPr>
        <w:t>Эффективный внутренний контроль зависит от своевременного получения информации теми, кто в ней нуждается. Для Секретариата это также является важнейшим механизмом, позволяющим задавать тон сверху и демонстрировать активную приверженность поддержке персонала в применении и обеспечении соблюдения норм культуры контроля. Это</w:t>
      </w:r>
      <w:r w:rsidR="007F2A6E" w:rsidRPr="008B3F38">
        <w:rPr>
          <w:bCs/>
          <w:lang w:val="ru-RU"/>
        </w:rPr>
        <w:t> </w:t>
      </w:r>
      <w:r w:rsidRPr="008B3F38">
        <w:rPr>
          <w:bCs/>
          <w:lang w:val="ru-RU"/>
        </w:rPr>
        <w:t>также является важнейшим механизмом, позволяющим организации продемонстрировать действия, которые она предпринимает для обеспечения соблюдения правил и требований, и подотчетность за эти действия. В COSO подчеркивается необходимость передачи информации как по вертикали, так и по горизонтали, что обеспечивает понимание сотрудниками своих обязанностей и осведомленность высшего руководства о слабых местах в системе контроля. Четкая коммуникация играет ключевую роль в демонстрации приверженности прозрачности и подотчетности и повышает уверенность заинтересованных сторон и персонала в применении и обеспечении соблюдения правил и процедур.</w:t>
      </w:r>
    </w:p>
    <w:p w14:paraId="2663B5FB" w14:textId="1B8E016B" w:rsidR="00E84E89" w:rsidRPr="008B3F38" w:rsidRDefault="00E84E89" w:rsidP="00E84E89">
      <w:pPr>
        <w:tabs>
          <w:tab w:val="clear" w:pos="794"/>
          <w:tab w:val="left" w:pos="774"/>
        </w:tabs>
        <w:rPr>
          <w:bCs/>
          <w:lang w:val="ru-RU"/>
        </w:rPr>
      </w:pPr>
      <w:r w:rsidRPr="008B3F38">
        <w:rPr>
          <w:b/>
          <w:lang w:val="ru-RU"/>
        </w:rPr>
        <w:t>2.25</w:t>
      </w:r>
      <w:r w:rsidRPr="008B3F38">
        <w:rPr>
          <w:b/>
          <w:lang w:val="ru-RU"/>
        </w:rPr>
        <w:tab/>
      </w:r>
      <w:r w:rsidRPr="008B3F38">
        <w:rPr>
          <w:bCs/>
          <w:lang w:val="ru-RU"/>
        </w:rPr>
        <w:t>МСЭ совершенствует свою инфраструктуру внутреннего обмена информацией. Он</w:t>
      </w:r>
      <w:r w:rsidR="00593EB6" w:rsidRPr="008B3F38">
        <w:rPr>
          <w:bCs/>
          <w:lang w:val="ru-RU"/>
        </w:rPr>
        <w:t> </w:t>
      </w:r>
      <w:r w:rsidRPr="008B3F38">
        <w:rPr>
          <w:bCs/>
          <w:lang w:val="ru-RU"/>
        </w:rPr>
        <w:t>использует информационные панели, публикует обновленную информацию в интранете и проводит общие собрания сотрудников для распространения информации об изменениях в политике и результатах деятельности. Введение модулей обязательного обучения также способствует повышению общей осведомленности о том, что ожидается от сотрудников в плане соблюдения этических норм и стандартов поведения. МСЭ проинформировал нас о том, что это также стало частью процесса интеграции новых сотрудников.</w:t>
      </w:r>
    </w:p>
    <w:p w14:paraId="5A491CD3" w14:textId="504E639C" w:rsidR="00E84E89" w:rsidRPr="008B3F38" w:rsidRDefault="00E84E89" w:rsidP="00E84E89">
      <w:pPr>
        <w:tabs>
          <w:tab w:val="clear" w:pos="794"/>
          <w:tab w:val="left" w:pos="774"/>
        </w:tabs>
        <w:rPr>
          <w:bCs/>
          <w:lang w:val="ru-RU"/>
        </w:rPr>
      </w:pPr>
      <w:r w:rsidRPr="008B3F38">
        <w:rPr>
          <w:b/>
          <w:lang w:val="ru-RU"/>
        </w:rPr>
        <w:t>2.26</w:t>
      </w:r>
      <w:r w:rsidRPr="008B3F38">
        <w:rPr>
          <w:b/>
          <w:lang w:val="ru-RU"/>
        </w:rPr>
        <w:tab/>
      </w:r>
      <w:r w:rsidRPr="008B3F38">
        <w:rPr>
          <w:bCs/>
          <w:lang w:val="ru-RU"/>
        </w:rPr>
        <w:t>Тем не менее, следует критически оценить то, насколько эффективно такая коммуникация обеспечивает внутренний контроль. Передаваемая информация недостаточно конкретна, носит общий характер, и лишь в незначительной степени дифференцируется в зависимости от выполняемых сотрудниками функций и их подверженности риску. Эта</w:t>
      </w:r>
      <w:r w:rsidR="007F2A6E" w:rsidRPr="008B3F38">
        <w:rPr>
          <w:bCs/>
          <w:lang w:val="ru-RU"/>
        </w:rPr>
        <w:t> </w:t>
      </w:r>
      <w:r w:rsidRPr="008B3F38">
        <w:rPr>
          <w:bCs/>
          <w:lang w:val="ru-RU"/>
        </w:rPr>
        <w:t>проблема стоит особенно остро на уровне регионов. Например, в Региональном отделении для Азиатско-Тихоокеанского региона сотрудники не имеют достаточно четкого представления о</w:t>
      </w:r>
      <w:r w:rsidR="0057647A" w:rsidRPr="008B3F38">
        <w:rPr>
          <w:bCs/>
          <w:lang w:val="ru-RU"/>
        </w:rPr>
        <w:t> </w:t>
      </w:r>
      <w:r w:rsidRPr="008B3F38">
        <w:rPr>
          <w:bCs/>
          <w:lang w:val="ru-RU"/>
        </w:rPr>
        <w:t>процедурах информирования о мошенничестве или неправомерных действиях, и нами установлено, что несмотря на то, что проблемы в плане контроля возникали и в прошлые периоды, сотрудники не чувствуют, что им оказывается надлежащая поддержка и что их обучение является достаточно эффективным. Несмотря на введение обязательной подготовки, Секретариату следует прилагать больше усилий к тому, чтобы обучение и повышение осведомленности о проблеме мошенничества, особенно в региональных и зональных отделениях, а также в других ключевых областях, подверженных риску мошенничества, было более целенаправленным и адресным.</w:t>
      </w:r>
    </w:p>
    <w:p w14:paraId="41E39ECC" w14:textId="7590D7DC" w:rsidR="00E84E89" w:rsidRPr="008B3F38" w:rsidRDefault="00E84E89" w:rsidP="00E84E89">
      <w:pPr>
        <w:tabs>
          <w:tab w:val="clear" w:pos="794"/>
          <w:tab w:val="left" w:pos="774"/>
        </w:tabs>
        <w:rPr>
          <w:bCs/>
          <w:lang w:val="ru-RU"/>
        </w:rPr>
      </w:pPr>
      <w:r w:rsidRPr="008B3F38">
        <w:rPr>
          <w:b/>
          <w:lang w:val="ru-RU"/>
        </w:rPr>
        <w:t>2.27</w:t>
      </w:r>
      <w:r w:rsidRPr="008B3F38">
        <w:rPr>
          <w:b/>
          <w:lang w:val="ru-RU"/>
        </w:rPr>
        <w:tab/>
      </w:r>
      <w:r w:rsidRPr="008B3F38">
        <w:rPr>
          <w:bCs/>
          <w:lang w:val="ru-RU"/>
        </w:rPr>
        <w:t>Система подотчетности требует, чтобы все три линии защиты эффективно взаимодействовали и обменивались информацией для усиления внутреннего контроля. В</w:t>
      </w:r>
      <w:r w:rsidR="0057647A" w:rsidRPr="008B3F38">
        <w:rPr>
          <w:bCs/>
          <w:lang w:val="ru-RU"/>
        </w:rPr>
        <w:t> </w:t>
      </w:r>
      <w:r w:rsidRPr="008B3F38">
        <w:rPr>
          <w:bCs/>
          <w:lang w:val="ru-RU"/>
        </w:rPr>
        <w:t>настоящее время это ожидание не оправдывается на практике.</w:t>
      </w:r>
    </w:p>
    <w:p w14:paraId="544FD146" w14:textId="77777777" w:rsidR="00E84E89" w:rsidRPr="008B3F38" w:rsidRDefault="00E84E89" w:rsidP="00426DF2">
      <w:pPr>
        <w:pStyle w:val="Heading3"/>
        <w:rPr>
          <w:lang w:val="ru-RU"/>
        </w:rPr>
      </w:pPr>
      <w:r w:rsidRPr="008B3F38">
        <w:rPr>
          <w:lang w:val="ru-RU"/>
        </w:rPr>
        <w:lastRenderedPageBreak/>
        <w:t>Деятельность по мониторингу</w:t>
      </w:r>
    </w:p>
    <w:p w14:paraId="151C4A1E" w14:textId="2026B02C" w:rsidR="00E84E89" w:rsidRPr="008B3F38" w:rsidRDefault="00E84E89" w:rsidP="00E84E89">
      <w:pPr>
        <w:tabs>
          <w:tab w:val="clear" w:pos="794"/>
          <w:tab w:val="left" w:pos="774"/>
        </w:tabs>
        <w:rPr>
          <w:bCs/>
          <w:lang w:val="ru-RU"/>
        </w:rPr>
      </w:pPr>
      <w:r w:rsidRPr="008B3F38">
        <w:rPr>
          <w:b/>
          <w:lang w:val="ru-RU"/>
        </w:rPr>
        <w:t>2.28</w:t>
      </w:r>
      <w:r w:rsidRPr="008B3F38">
        <w:rPr>
          <w:bCs/>
          <w:lang w:val="ru-RU"/>
        </w:rPr>
        <w:tab/>
        <w:t>Мониторинг позволяет оценить, насколько эффективно функционируют системы внутреннего контроля с течением времени. В рамках Системы подотчетности обязанности по осуществлению мониторинга распределены между второй и третьей линиями защиты. Вторая</w:t>
      </w:r>
      <w:r w:rsidR="007F2A6E" w:rsidRPr="008B3F38">
        <w:rPr>
          <w:bCs/>
          <w:lang w:val="ru-RU"/>
        </w:rPr>
        <w:t> </w:t>
      </w:r>
      <w:r w:rsidRPr="008B3F38">
        <w:rPr>
          <w:bCs/>
          <w:lang w:val="ru-RU"/>
        </w:rPr>
        <w:t>линия обеспечивает соблюдение требований и контроль качества, в то время как третья, действуя через Подразделение по надзору, в настоящее время отвечает за внутренний аудит и проведение расследований.</w:t>
      </w:r>
    </w:p>
    <w:p w14:paraId="795412A6" w14:textId="6DBB0237" w:rsidR="00E84E89" w:rsidRPr="008B3F38" w:rsidRDefault="00E84E89" w:rsidP="00E84E89">
      <w:pPr>
        <w:tabs>
          <w:tab w:val="clear" w:pos="794"/>
          <w:tab w:val="left" w:pos="774"/>
        </w:tabs>
        <w:rPr>
          <w:bCs/>
          <w:lang w:val="ru-RU"/>
        </w:rPr>
      </w:pPr>
      <w:r w:rsidRPr="008B3F38">
        <w:rPr>
          <w:b/>
          <w:lang w:val="ru-RU"/>
        </w:rPr>
        <w:t>2.29</w:t>
      </w:r>
      <w:r w:rsidRPr="008B3F38">
        <w:rPr>
          <w:bCs/>
          <w:lang w:val="ru-RU"/>
        </w:rPr>
        <w:tab/>
        <w:t>Однако мониторинг по-прежнему в значительной степени опирается на механизмы самооценки, в первую очередь на письма-подтверждения. Эти письма должны сопровождаться дополнительными доказательствами, а изложенные в них факты должны подвергаться структурированной проверке. В Региональном отделении для Азиатско</w:t>
      </w:r>
      <w:r w:rsidR="007F2A6E" w:rsidRPr="008B3F38">
        <w:rPr>
          <w:bCs/>
          <w:lang w:val="ru-RU"/>
        </w:rPr>
        <w:t>­</w:t>
      </w:r>
      <w:r w:rsidRPr="008B3F38">
        <w:rPr>
          <w:bCs/>
          <w:lang w:val="ru-RU"/>
        </w:rPr>
        <w:t>Тихоокеанского региона несколько утверждений, изложенных в письме, не были подтверждены фактами во время нашего посещения с целью проведения аудита.</w:t>
      </w:r>
    </w:p>
    <w:p w14:paraId="295C5B86" w14:textId="3EDF72A5" w:rsidR="00E84E89" w:rsidRPr="008B3F38" w:rsidRDefault="00E84E89" w:rsidP="00E84E89">
      <w:pPr>
        <w:tabs>
          <w:tab w:val="clear" w:pos="794"/>
          <w:tab w:val="left" w:pos="774"/>
        </w:tabs>
        <w:rPr>
          <w:bCs/>
          <w:lang w:val="ru-RU"/>
        </w:rPr>
      </w:pPr>
      <w:r w:rsidRPr="008B3F38">
        <w:rPr>
          <w:b/>
          <w:lang w:val="ru-RU"/>
        </w:rPr>
        <w:t>2.30</w:t>
      </w:r>
      <w:r w:rsidRPr="008B3F38">
        <w:rPr>
          <w:bCs/>
          <w:lang w:val="ru-RU"/>
        </w:rPr>
        <w:tab/>
        <w:t>Кроме того, следует более последовательно применять средства контроля и мониторинга второй линии, такие как проверки соответствия требованиям и соблюдения правил. Недостатки в этом плане ограничивают способность МСЭ выявлять слабые места в системе контроля до того, как они перерастают в проблемы, или систематически повышать эффективность на основе фактических данных. Для реализации концепции, лежащей в основе Системы подотчетности, МСЭ необходимо будет укрепить вторую линию защиты, основанную на оценке рисков, с тем чтобы она могла дополнять собой функции аудита и обеспечивать непрерывность проверки в режиме реального времени, а не зависеть исключительно от циклического характера аудита и непроверенной самоотчетности. Мы знаем, что Секретариат работает над этим вопросом, в том числе рассматривает возможность применения инструментов GRC. Какие бы меры ни были приняты, мы настоятельно рекомендуем Секретариату создать механизмы второй линии защиты в качестве необходимого условия повышения эффективности системы контроля, что будет способствовать укреплению доверия заинтересованных сторон к применяемым Союзом процедурам контроля.</w:t>
      </w:r>
    </w:p>
    <w:p w14:paraId="572FE8D6" w14:textId="77777777" w:rsidR="00E84E89" w:rsidRPr="008B3F38" w:rsidRDefault="00E84E89" w:rsidP="0057647A">
      <w:pPr>
        <w:rPr>
          <w:b/>
          <w:bCs/>
          <w:lang w:val="ru-RU"/>
        </w:rPr>
      </w:pPr>
      <w:r w:rsidRPr="008B3F38">
        <w:rPr>
          <w:b/>
          <w:bCs/>
          <w:lang w:val="ru-RU"/>
        </w:rPr>
        <w:t>МСЭ следует</w:t>
      </w:r>
      <w:r w:rsidRPr="008B3F38">
        <w:rPr>
          <w:lang w:val="ru-RU"/>
        </w:rPr>
        <w:t>:</w:t>
      </w:r>
    </w:p>
    <w:p w14:paraId="64044CAE" w14:textId="1D3E05CD" w:rsidR="00E84E89" w:rsidRPr="008B3F38" w:rsidRDefault="00E84E89" w:rsidP="0057647A">
      <w:pPr>
        <w:rPr>
          <w:lang w:val="ru-RU"/>
        </w:rPr>
      </w:pPr>
      <w:r w:rsidRPr="008B3F38">
        <w:rPr>
          <w:b/>
          <w:bCs/>
          <w:lang w:val="ru-RU"/>
        </w:rPr>
        <w:t>РЕК11: создать структурированную, основанную на оценке рисков вторую линию контроля для систематического контроля за соблюдением требований, на постоянной основе обеспечивающую надежное функционирование наиболее значимых и важных элементов внутреннего контроля</w:t>
      </w:r>
      <w:r w:rsidRPr="008B3F38">
        <w:rPr>
          <w:lang w:val="ru-RU"/>
        </w:rPr>
        <w:t>.</w:t>
      </w:r>
    </w:p>
    <w:p w14:paraId="13FEA17B" w14:textId="3A50F543" w:rsidR="00E84E89" w:rsidRPr="008B3F38" w:rsidRDefault="00E84E89" w:rsidP="00E84E89">
      <w:pPr>
        <w:rPr>
          <w:i/>
          <w:iCs/>
          <w:lang w:val="ru-RU"/>
        </w:rPr>
      </w:pPr>
      <w:r w:rsidRPr="008B3F38">
        <w:rPr>
          <w:i/>
          <w:iCs/>
          <w:lang w:val="ru-RU"/>
        </w:rPr>
        <w:t>Замечание руководства МСЭ: В 2024 году МСЭ второй линией защиты были проведены мероприятия по мониторингу и контролю и продолжается работа по совершенствованию и полному внедрению этого мониторинга.</w:t>
      </w:r>
    </w:p>
    <w:p w14:paraId="2A859F3C" w14:textId="77777777" w:rsidR="00E84E89" w:rsidRPr="008B3F38" w:rsidRDefault="00E84E89" w:rsidP="00E84E89">
      <w:pPr>
        <w:rPr>
          <w:i/>
          <w:iCs/>
          <w:lang w:val="ru-RU"/>
        </w:rPr>
      </w:pPr>
      <w:r w:rsidRPr="008B3F38">
        <w:rPr>
          <w:i/>
          <w:iCs/>
          <w:lang w:val="ru-RU"/>
        </w:rPr>
        <w:t>Необходимо продолжить работу по мониторингу на второй линии, однако для усиления этой функции проводится или разрабатывается несколько мероприятий. Примерами являются периодические проверки соответствия требованиям, процедуры утверждения субсидий и надзор за выплатами сотрудникам.</w:t>
      </w:r>
    </w:p>
    <w:p w14:paraId="633A996F" w14:textId="77777777" w:rsidR="00E84E89" w:rsidRPr="008B3F38" w:rsidRDefault="00E84E89" w:rsidP="00E84E89">
      <w:pPr>
        <w:rPr>
          <w:i/>
          <w:iCs/>
          <w:lang w:val="ru-RU"/>
        </w:rPr>
      </w:pPr>
      <w:r w:rsidRPr="008B3F38">
        <w:rPr>
          <w:i/>
          <w:iCs/>
          <w:lang w:val="ru-RU"/>
        </w:rPr>
        <w:t>Дополнительная рекомендация НРУ по этому вопросу поможет МСЭ усилить соответствующие функции для обеспечения того, чтобы мониторинг, осуществляемый второй линией, опирался на опыт выполнения дополнительных функций этой линией защиты МСЭ (таких как финансовое планирование и контроль, информационная безопасность, этика и устойчивость организации), и был ориентирован на ключевые бизнес-процессы.</w:t>
      </w:r>
    </w:p>
    <w:p w14:paraId="5A1D32F4" w14:textId="77777777" w:rsidR="00E84E89" w:rsidRPr="008B3F38" w:rsidRDefault="00E84E89" w:rsidP="00E84E89">
      <w:pPr>
        <w:tabs>
          <w:tab w:val="clear" w:pos="794"/>
          <w:tab w:val="left" w:pos="774"/>
        </w:tabs>
        <w:rPr>
          <w:bCs/>
          <w:lang w:val="ru-RU"/>
        </w:rPr>
      </w:pPr>
      <w:r w:rsidRPr="008B3F38">
        <w:rPr>
          <w:b/>
          <w:lang w:val="ru-RU"/>
        </w:rPr>
        <w:t>2.31</w:t>
      </w:r>
      <w:r w:rsidRPr="008B3F38">
        <w:rPr>
          <w:bCs/>
          <w:lang w:val="ru-RU"/>
        </w:rPr>
        <w:tab/>
        <w:t xml:space="preserve"> Создание Подразделения по надзору и принятие Устава надзора в 2023 году стали важными вехами в укреплении третьей линии защиты МСЭ. Функция внутреннего аудита стала более структурированной, и отчеты по-прежнему предоставляются IMAC, высшему руководству </w:t>
      </w:r>
      <w:r w:rsidRPr="008B3F38">
        <w:rPr>
          <w:bCs/>
          <w:lang w:val="ru-RU"/>
        </w:rPr>
        <w:lastRenderedPageBreak/>
        <w:t>и внешнему аудитору. В целом, пересмотренные механизмы надзора находятся на этапе становления и следует отметить, что они еще не полностью обеспечены ресурсами, а новые механизмы находятся на ранней стадии зрелости. Важно, чтобы по мере развития механизмов они использовались прежде всего для продолжения эффективной, независимой и объективной деятельности по обеспечению гарантий.</w:t>
      </w:r>
    </w:p>
    <w:p w14:paraId="2D38AF9B" w14:textId="7DC3949B" w:rsidR="00E84E89" w:rsidRPr="008B3F38" w:rsidRDefault="00E84E89" w:rsidP="00E84E89">
      <w:pPr>
        <w:tabs>
          <w:tab w:val="clear" w:pos="794"/>
          <w:tab w:val="left" w:pos="774"/>
        </w:tabs>
        <w:rPr>
          <w:bCs/>
          <w:lang w:val="ru-RU"/>
        </w:rPr>
      </w:pPr>
      <w:r w:rsidRPr="008B3F38">
        <w:rPr>
          <w:b/>
          <w:lang w:val="ru-RU"/>
        </w:rPr>
        <w:t>2.32</w:t>
      </w:r>
      <w:r w:rsidRPr="008B3F38">
        <w:rPr>
          <w:bCs/>
          <w:lang w:val="ru-RU"/>
        </w:rPr>
        <w:tab/>
        <w:t>Мы отмечаем, что Подразделением по надзору запланировано проведение внешней оценки эффективности функции внутреннего аудита в соответствии со стандартами Института внутренних аудиторов (IIA). Мы считаем такую оценку важной и своевременной на данном этапе, поскольку она призвана обеспечить соответствие новых механизмов, инструментов и возможностей для их применения профессиональным стандартам внутреннего аудита. Для</w:t>
      </w:r>
      <w:r w:rsidR="007F2A6E" w:rsidRPr="008B3F38">
        <w:rPr>
          <w:bCs/>
          <w:lang w:val="ru-RU"/>
        </w:rPr>
        <w:t> </w:t>
      </w:r>
      <w:r w:rsidRPr="008B3F38">
        <w:rPr>
          <w:bCs/>
          <w:lang w:val="ru-RU"/>
        </w:rPr>
        <w:t>того, чтобы принести максимальную пользу, оценка должна проводиться как всесторонний внешний обзор качества, а не как самооценка с независимой проверкой. Это позволит объективно оценить соответствие стандартам IIA и определить возможности для улучшения. В</w:t>
      </w:r>
      <w:r w:rsidR="0057647A" w:rsidRPr="008B3F38">
        <w:rPr>
          <w:bCs/>
          <w:lang w:val="ru-RU"/>
        </w:rPr>
        <w:t> </w:t>
      </w:r>
      <w:r w:rsidRPr="008B3F38">
        <w:rPr>
          <w:bCs/>
          <w:lang w:val="ru-RU"/>
        </w:rPr>
        <w:t>период перемен, постоянных угроз информационным системам и значительных капиталовложений крайне важно, чтобы внимание Подразделения по надзору было сосредоточено на ключевых рисках, которым подвергается Союз.</w:t>
      </w:r>
    </w:p>
    <w:p w14:paraId="72B59589" w14:textId="67F20B2A" w:rsidR="00E84E89" w:rsidRPr="008B3F38" w:rsidRDefault="00E84E89" w:rsidP="00E84E89">
      <w:pPr>
        <w:tabs>
          <w:tab w:val="clear" w:pos="794"/>
          <w:tab w:val="left" w:pos="774"/>
        </w:tabs>
        <w:rPr>
          <w:bCs/>
          <w:lang w:val="ru-RU"/>
        </w:rPr>
      </w:pPr>
      <w:r w:rsidRPr="008B3F38">
        <w:rPr>
          <w:b/>
          <w:lang w:val="ru-RU"/>
        </w:rPr>
        <w:t>2.33</w:t>
      </w:r>
      <w:r w:rsidRPr="008B3F38">
        <w:rPr>
          <w:bCs/>
          <w:lang w:val="ru-RU"/>
        </w:rPr>
        <w:tab/>
        <w:t>Ранее мы отмечали отсутствие оценки в МСЭ как один из существенных недостатков в том, что касается предоставления гарантий Членам и донорам. В рамках Подразделения по надзору официально создана функция оценки. МСЭ проинформировал нас о том, что до конца 2025 года планируется заполнить вакантную должность специалиста по оценке. Активизация этой функции и ее обеспечение ресурсами в достаточном объеме необходимы для обоснованного принятия решений, обучения и подотчетности в соответствии с ожиданиями системы ООН. Мы хотели бы призвать Секретариат продолжать уделять приоритетное внимание максимальному укреплению потенциала этой функции, с тем чтобы уделять больше внимания извлечению уроков из результатов оценки и обеспечивать постоянное повышение эффективности деятельности. Мы считаем, что эффективное выполнение функции оценки является важным инструментом предоставления гарантий Членам и донорам и получения управленческой информации, позволяющей постоянно совершенствовать деятельность</w:t>
      </w:r>
      <w:r w:rsidR="007F2A6E" w:rsidRPr="008B3F38">
        <w:rPr>
          <w:bCs/>
          <w:lang w:val="ru-RU"/>
        </w:rPr>
        <w:t> </w:t>
      </w:r>
      <w:r w:rsidRPr="008B3F38">
        <w:rPr>
          <w:bCs/>
          <w:lang w:val="ru-RU"/>
        </w:rPr>
        <w:t>организации.</w:t>
      </w:r>
    </w:p>
    <w:p w14:paraId="3B36ACDE" w14:textId="77777777" w:rsidR="00E84E89" w:rsidRPr="008B3F38" w:rsidRDefault="00E84E89" w:rsidP="00426DF2">
      <w:pPr>
        <w:pStyle w:val="Heading3"/>
        <w:rPr>
          <w:lang w:val="ru-RU"/>
        </w:rPr>
      </w:pPr>
      <w:r w:rsidRPr="008B3F38">
        <w:rPr>
          <w:lang w:val="ru-RU"/>
        </w:rPr>
        <w:t>Система подотчетности</w:t>
      </w:r>
    </w:p>
    <w:p w14:paraId="3B92A37B" w14:textId="4BA32ED0" w:rsidR="00E84E89" w:rsidRPr="008B3F38" w:rsidRDefault="00E84E89" w:rsidP="00E84E89">
      <w:pPr>
        <w:tabs>
          <w:tab w:val="clear" w:pos="794"/>
          <w:tab w:val="left" w:pos="774"/>
        </w:tabs>
        <w:rPr>
          <w:bCs/>
          <w:lang w:val="ru-RU"/>
        </w:rPr>
      </w:pPr>
      <w:r w:rsidRPr="008B3F38">
        <w:rPr>
          <w:b/>
          <w:lang w:val="ru-RU"/>
        </w:rPr>
        <w:t>2.34</w:t>
      </w:r>
      <w:r w:rsidRPr="008B3F38">
        <w:rPr>
          <w:bCs/>
          <w:lang w:val="ru-RU"/>
        </w:rPr>
        <w:tab/>
        <w:t>МСЭ предпринял важные шаги по установлению принципов системы контроля, приведенных в соответствие с системой COSO 2013 года и основанных на новой модели и системе подотчетности, утвержденных Советом в 2022 году. Эти действия внесли ясность в отношении структурных основ системы внутреннего контроля, повысили согласованность политики и усилили надзор со стороны высшего руководства.</w:t>
      </w:r>
    </w:p>
    <w:p w14:paraId="03966F91" w14:textId="4E47B242" w:rsidR="00E84E89" w:rsidRPr="008B3F38" w:rsidRDefault="00E84E89" w:rsidP="00E84E89">
      <w:pPr>
        <w:tabs>
          <w:tab w:val="clear" w:pos="794"/>
          <w:tab w:val="left" w:pos="774"/>
        </w:tabs>
        <w:rPr>
          <w:bCs/>
          <w:lang w:val="ru-RU"/>
        </w:rPr>
      </w:pPr>
      <w:r w:rsidRPr="008B3F38">
        <w:rPr>
          <w:b/>
          <w:lang w:val="ru-RU"/>
        </w:rPr>
        <w:t>2.35</w:t>
      </w:r>
      <w:r w:rsidRPr="008B3F38">
        <w:rPr>
          <w:bCs/>
          <w:lang w:val="ru-RU"/>
        </w:rPr>
        <w:tab/>
        <w:t>Система внутреннего контроля, основанная на COSO, пока еще находится на ранней стадии операционной зрелости; обязанности по осуществлению контроля не распределены достаточно четко, риски не в полной мере учитываются при планировании или принятии решений, финансовый надзор на уровне проектов непоследователен, а внутренняя коммуникация пока еще не обеспечивает изменение поведения в соответствии с ожиданиями в отношении контроля. Выводы, сделанные нами по результатам аудита, показывают, как эти недостатки проявляются на практике.</w:t>
      </w:r>
    </w:p>
    <w:p w14:paraId="3D42C4E6" w14:textId="2F8E7FDE" w:rsidR="00E84E89" w:rsidRPr="008B3F38" w:rsidRDefault="00E84E89" w:rsidP="00E84E89">
      <w:pPr>
        <w:tabs>
          <w:tab w:val="clear" w:pos="794"/>
          <w:tab w:val="left" w:pos="774"/>
        </w:tabs>
        <w:rPr>
          <w:bCs/>
          <w:lang w:val="ru-RU"/>
        </w:rPr>
      </w:pPr>
      <w:r w:rsidRPr="008B3F38">
        <w:rPr>
          <w:b/>
          <w:lang w:val="ru-RU"/>
        </w:rPr>
        <w:t>2.36</w:t>
      </w:r>
      <w:r w:rsidRPr="008B3F38">
        <w:rPr>
          <w:bCs/>
          <w:lang w:val="ru-RU"/>
        </w:rPr>
        <w:tab/>
        <w:t>Пока полномочия не определены достаточно четко, не обеспечены более беспрепятственный доступ к данным, более эффективное и целенаправленное обучение и специализированная поддержка, подразделениям первой линии защиты трудно будет выполнять свои обязанности, предусмотренные COSO и Системой подотчетности. Из</w:t>
      </w:r>
      <w:r w:rsidR="0057647A" w:rsidRPr="008B3F38">
        <w:rPr>
          <w:rFonts w:ascii="Cambria Math" w:hAnsi="Cambria Math"/>
          <w:bCs/>
          <w:lang w:val="ru-RU"/>
        </w:rPr>
        <w:t>‑</w:t>
      </w:r>
      <w:r w:rsidRPr="008B3F38">
        <w:rPr>
          <w:bCs/>
          <w:lang w:val="ru-RU"/>
        </w:rPr>
        <w:t>за</w:t>
      </w:r>
      <w:r w:rsidR="0057647A" w:rsidRPr="008B3F38">
        <w:rPr>
          <w:bCs/>
          <w:lang w:val="ru-RU"/>
        </w:rPr>
        <w:t> </w:t>
      </w:r>
      <w:r w:rsidRPr="008B3F38">
        <w:rPr>
          <w:bCs/>
          <w:lang w:val="ru-RU"/>
        </w:rPr>
        <w:t xml:space="preserve">отсутствия на второй линии эффективных средств оперативного контроля и мониторинга руководство не имеет достаточного представления об эффективности системы контроля и не имеет возможности получать информацию, которая позволила бы сосредоточить усилия на </w:t>
      </w:r>
      <w:r w:rsidRPr="008B3F38">
        <w:rPr>
          <w:bCs/>
          <w:lang w:val="ru-RU"/>
        </w:rPr>
        <w:lastRenderedPageBreak/>
        <w:t>ключевых элементах контроля и улучшить их структуру. По мере того как третья линия защиты наращивает свой потенциал и извлекает уроки из результатов плановых внешних проверок, важно иметь достаточный потенциал для реализации программы, основанной на оценке рисков, для решения важных задач, стоящих перед организацией, чтобы укрепить уверенность Членов в том, что она способна эффективно действовать и достигать желаемых результатов.</w:t>
      </w:r>
    </w:p>
    <w:p w14:paraId="45888060" w14:textId="40E38C28" w:rsidR="00E84E89" w:rsidRPr="008B3F38" w:rsidRDefault="00E84E89" w:rsidP="00E84E89">
      <w:pPr>
        <w:tabs>
          <w:tab w:val="clear" w:pos="794"/>
          <w:tab w:val="left" w:pos="774"/>
        </w:tabs>
        <w:rPr>
          <w:bCs/>
          <w:lang w:val="ru-RU"/>
        </w:rPr>
      </w:pPr>
      <w:r w:rsidRPr="008B3F38">
        <w:rPr>
          <w:b/>
          <w:lang w:val="ru-RU"/>
        </w:rPr>
        <w:t>2.37</w:t>
      </w:r>
      <w:r w:rsidRPr="008B3F38">
        <w:rPr>
          <w:bCs/>
          <w:lang w:val="ru-RU"/>
        </w:rPr>
        <w:tab/>
        <w:t>Для того чтобы полностью достичь целей Системы подотчетности, необходимо не только усовершенствовать ее структуру, но также постоянно уделять внимание оперативному внедрению и укреплению культуры и мониторингу на основе фактических данных. Эти элементы необходимы, если МСЭ хочет продемонстрировать надежность внутреннего контроля и оправдать ожидания Государств-Членов и внешних заинтересованных сторон.</w:t>
      </w:r>
    </w:p>
    <w:p w14:paraId="20B1AE08" w14:textId="77777777" w:rsidR="00E84E89" w:rsidRPr="008B3F38" w:rsidRDefault="00E84E89" w:rsidP="00426DF2">
      <w:pPr>
        <w:pStyle w:val="Heading1"/>
        <w:tabs>
          <w:tab w:val="clear" w:pos="774"/>
        </w:tabs>
        <w:ind w:left="0" w:firstLine="0"/>
        <w:rPr>
          <w:lang w:val="ru-RU"/>
        </w:rPr>
      </w:pPr>
      <w:bookmarkStart w:id="25" w:name="_Toc199491608"/>
      <w:bookmarkStart w:id="26" w:name="_Toc201047358"/>
      <w:r w:rsidRPr="008B3F38">
        <w:rPr>
          <w:lang w:val="ru-RU"/>
        </w:rPr>
        <w:t>Заключение о внутреннем контроле</w:t>
      </w:r>
      <w:bookmarkEnd w:id="25"/>
      <w:bookmarkEnd w:id="26"/>
    </w:p>
    <w:p w14:paraId="5B6E2380" w14:textId="5B17E85D" w:rsidR="00E84E89" w:rsidRPr="008B3F38" w:rsidRDefault="00E84E89" w:rsidP="00E84E89">
      <w:pPr>
        <w:tabs>
          <w:tab w:val="clear" w:pos="794"/>
          <w:tab w:val="left" w:pos="774"/>
        </w:tabs>
        <w:rPr>
          <w:bCs/>
          <w:lang w:val="ru-RU"/>
        </w:rPr>
      </w:pPr>
      <w:r w:rsidRPr="008B3F38">
        <w:rPr>
          <w:b/>
          <w:lang w:val="ru-RU"/>
        </w:rPr>
        <w:t>2.38</w:t>
      </w:r>
      <w:r w:rsidRPr="008B3F38">
        <w:rPr>
          <w:bCs/>
          <w:lang w:val="ru-RU"/>
        </w:rPr>
        <w:tab/>
        <w:t>Заключение Генерального секретаря о внутреннем контроле (SIC) за 2024</w:t>
      </w:r>
      <w:r w:rsidR="0057647A" w:rsidRPr="008B3F38">
        <w:rPr>
          <w:bCs/>
          <w:lang w:val="ru-RU"/>
        </w:rPr>
        <w:t> </w:t>
      </w:r>
      <w:r w:rsidRPr="008B3F38">
        <w:rPr>
          <w:bCs/>
          <w:lang w:val="ru-RU"/>
        </w:rPr>
        <w:t>год представляет собой позитивный шаг вперед в процессе официального оформления обязательств по внутреннему контролю в МСЭ и распространения соответствующей информации. Это заключение, составленное на основе системы COSO, демонстрирует более четкое соответствие международным стандартам, чем в предыдущие годы, и признает важность реализуемых ключевых инициатив, направленных на усиление надзора, совершенствование финансового управления и внедрение культуры подотчетности.</w:t>
      </w:r>
    </w:p>
    <w:p w14:paraId="2B54C0FD" w14:textId="3F3A10BA" w:rsidR="00E84E89" w:rsidRPr="008B3F38" w:rsidRDefault="00E84E89" w:rsidP="00E84E89">
      <w:pPr>
        <w:tabs>
          <w:tab w:val="clear" w:pos="794"/>
          <w:tab w:val="left" w:pos="774"/>
        </w:tabs>
        <w:rPr>
          <w:bCs/>
          <w:lang w:val="ru-RU"/>
        </w:rPr>
      </w:pPr>
      <w:r w:rsidRPr="008B3F38">
        <w:rPr>
          <w:b/>
          <w:lang w:val="ru-RU"/>
        </w:rPr>
        <w:t>2.39</w:t>
      </w:r>
      <w:r w:rsidRPr="008B3F38">
        <w:rPr>
          <w:bCs/>
          <w:lang w:val="ru-RU"/>
        </w:rPr>
        <w:tab/>
        <w:t>Однако мы считаем, что можно добиться важных улучшений в том, что касается совершенствования методов контроля во всей организации. В заключении подчеркивается достигнутый прогресс, но следует более четко указать на сохраняющиеся недостатки, особенно в таких областях, как делегирование полномочий, учет операционных рисков и последовательное применение финансового надзора и мониторинга на региональном уровне. Утверждения об эффективности контроля представлены без ссылок на независимую проверку или признанные недостатки реализации.</w:t>
      </w:r>
    </w:p>
    <w:p w14:paraId="6D7C7B6E" w14:textId="5049F9E5" w:rsidR="00E84E89" w:rsidRPr="008B3F38" w:rsidRDefault="00E84E89" w:rsidP="00E84E89">
      <w:pPr>
        <w:tabs>
          <w:tab w:val="clear" w:pos="794"/>
          <w:tab w:val="left" w:pos="774"/>
        </w:tabs>
        <w:rPr>
          <w:bCs/>
          <w:lang w:val="ru-RU"/>
        </w:rPr>
      </w:pPr>
      <w:r w:rsidRPr="008B3F38">
        <w:rPr>
          <w:b/>
          <w:lang w:val="ru-RU"/>
        </w:rPr>
        <w:t>2.40</w:t>
      </w:r>
      <w:r w:rsidRPr="008B3F38">
        <w:rPr>
          <w:bCs/>
          <w:lang w:val="ru-RU"/>
        </w:rPr>
        <w:tab/>
        <w:t>Являясь одним из важнейших элементов гарантии эффективности организации, Заключение о внутреннем контроле должно содержать сбалансированную и основанную на фактических данных точку зрения, отражающую достигнутый прогресс, а также информацию о</w:t>
      </w:r>
      <w:r w:rsidR="0057647A" w:rsidRPr="008B3F38">
        <w:rPr>
          <w:bCs/>
          <w:lang w:val="ru-RU"/>
        </w:rPr>
        <w:t> </w:t>
      </w:r>
      <w:r w:rsidRPr="008B3F38">
        <w:rPr>
          <w:bCs/>
          <w:lang w:val="ru-RU"/>
        </w:rPr>
        <w:t>выявленных и не устраненных недостатках в системе контроля и мерах, принимаемых для их устранения. Мы определили области, в которых заключение могло бы быть более самокритичным, что повысило бы его ценность как инструмента подотчетности высшего руководства и надзора со стороны Совета.</w:t>
      </w:r>
    </w:p>
    <w:p w14:paraId="5B981CC7" w14:textId="74828CCF" w:rsidR="00E84E89" w:rsidRPr="008B3F38" w:rsidRDefault="00E84E89" w:rsidP="00E84E89">
      <w:pPr>
        <w:tabs>
          <w:tab w:val="clear" w:pos="794"/>
          <w:tab w:val="left" w:pos="774"/>
        </w:tabs>
        <w:rPr>
          <w:bCs/>
          <w:lang w:val="ru-RU"/>
        </w:rPr>
      </w:pPr>
      <w:r w:rsidRPr="008B3F38">
        <w:rPr>
          <w:b/>
          <w:lang w:val="ru-RU"/>
        </w:rPr>
        <w:t>2.41</w:t>
      </w:r>
      <w:r w:rsidRPr="008B3F38">
        <w:rPr>
          <w:bCs/>
          <w:lang w:val="ru-RU"/>
        </w:rPr>
        <w:tab/>
        <w:t>В будущем в SIC следует учитывать замечания, сделанные в настоящем разделе отчета, оно должно содержать более четкие упоминания о выявленных проблемах, возникших в процессе реализации, в нем следует использовать источники информации о мерах по обеспечению качества на второй и третьей линиях защиты и четко указывать в каких областях реформы существуют недостатки в плане оценки рисков и контроля. Такая прозрачность сделает SIC более объективными и достоверными и укрепит доверие Государств-Членов к системе внутреннего контроля МСЭ.</w:t>
      </w:r>
    </w:p>
    <w:p w14:paraId="7594D4D5" w14:textId="77777777" w:rsidR="00E84E89" w:rsidRPr="008B3F38" w:rsidRDefault="00E84E89" w:rsidP="0057647A">
      <w:pPr>
        <w:rPr>
          <w:bCs/>
          <w:lang w:val="ru-RU"/>
        </w:rPr>
      </w:pPr>
      <w:bookmarkStart w:id="27" w:name="_Toc199491609"/>
      <w:r w:rsidRPr="008B3F38">
        <w:rPr>
          <w:bCs/>
          <w:lang w:val="ru-RU"/>
        </w:rPr>
        <w:br w:type="page"/>
      </w:r>
    </w:p>
    <w:p w14:paraId="69B5E7B6" w14:textId="77777777" w:rsidR="00E84E89" w:rsidRPr="008B3F38" w:rsidRDefault="00E84E89" w:rsidP="00426DF2">
      <w:pPr>
        <w:pStyle w:val="Heading1"/>
        <w:tabs>
          <w:tab w:val="clear" w:pos="774"/>
        </w:tabs>
        <w:ind w:left="0" w:firstLine="0"/>
        <w:rPr>
          <w:lang w:val="ru-RU"/>
        </w:rPr>
      </w:pPr>
      <w:bookmarkStart w:id="28" w:name="_Toc201047359"/>
      <w:r w:rsidRPr="008B3F38">
        <w:rPr>
          <w:lang w:val="ru-RU"/>
        </w:rPr>
        <w:lastRenderedPageBreak/>
        <w:t>Часть третья</w:t>
      </w:r>
      <w:bookmarkEnd w:id="27"/>
      <w:bookmarkEnd w:id="28"/>
    </w:p>
    <w:p w14:paraId="02872689" w14:textId="77777777" w:rsidR="00E84E89" w:rsidRPr="008B3F38" w:rsidRDefault="00E84E89" w:rsidP="00426DF2">
      <w:pPr>
        <w:pStyle w:val="Heading1"/>
        <w:tabs>
          <w:tab w:val="clear" w:pos="774"/>
        </w:tabs>
        <w:ind w:left="0" w:firstLine="0"/>
        <w:rPr>
          <w:lang w:val="ru-RU"/>
        </w:rPr>
      </w:pPr>
      <w:bookmarkStart w:id="29" w:name="_Toc199491610"/>
      <w:bookmarkStart w:id="30" w:name="_Toc201047360"/>
      <w:r w:rsidRPr="008B3F38">
        <w:rPr>
          <w:lang w:val="ru-RU"/>
        </w:rPr>
        <w:t>Программа трансформации</w:t>
      </w:r>
      <w:bookmarkEnd w:id="29"/>
      <w:bookmarkEnd w:id="30"/>
    </w:p>
    <w:p w14:paraId="15DDFB16" w14:textId="61E42DBA" w:rsidR="00E84E89" w:rsidRPr="008B3F38" w:rsidRDefault="00E84E89" w:rsidP="00E84E89">
      <w:pPr>
        <w:tabs>
          <w:tab w:val="clear" w:pos="794"/>
          <w:tab w:val="left" w:pos="774"/>
        </w:tabs>
        <w:rPr>
          <w:bCs/>
          <w:lang w:val="ru-RU"/>
        </w:rPr>
      </w:pPr>
      <w:r w:rsidRPr="008B3F38">
        <w:rPr>
          <w:b/>
          <w:lang w:val="ru-RU"/>
        </w:rPr>
        <w:t>3.1</w:t>
      </w:r>
      <w:r w:rsidRPr="008B3F38">
        <w:rPr>
          <w:bCs/>
          <w:lang w:val="ru-RU"/>
        </w:rPr>
        <w:tab/>
        <w:t>На Совете в июне 2023 года Генеральный секретарь взяла на себя обязательство по реализации программы трансформации для МСЭ. В нашем отчете за 2022 год мы подчеркнули важность определения четкой целевой операционной модели, необходимость создания специального подразделения для поддержки и координации управления проектами и отчетности по ним, а также значение эффективных механизмов обеспечения гарантий и управления, которые являются объективными, независимыми и экспертными.</w:t>
      </w:r>
    </w:p>
    <w:p w14:paraId="7FF64000" w14:textId="09BB218C" w:rsidR="00E84E89" w:rsidRPr="008B3F38" w:rsidRDefault="00E84E89" w:rsidP="00E84E89">
      <w:pPr>
        <w:tabs>
          <w:tab w:val="clear" w:pos="794"/>
          <w:tab w:val="left" w:pos="774"/>
        </w:tabs>
        <w:rPr>
          <w:bCs/>
          <w:lang w:val="ru-RU"/>
        </w:rPr>
      </w:pPr>
      <w:r w:rsidRPr="008B3F38">
        <w:rPr>
          <w:b/>
          <w:lang w:val="ru-RU"/>
        </w:rPr>
        <w:t>3.2</w:t>
      </w:r>
      <w:r w:rsidRPr="008B3F38">
        <w:rPr>
          <w:bCs/>
          <w:lang w:val="ru-RU"/>
        </w:rPr>
        <w:tab/>
        <w:t xml:space="preserve">С тех пор Генеральный секретарь официально утвердила Программу трансформации, обнародовав Дорожную карту (Документ </w:t>
      </w:r>
      <w:r>
        <w:fldChar w:fldCharType="begin"/>
      </w:r>
      <w:r>
        <w:instrText>HYPERLINK</w:instrText>
      </w:r>
      <w:r w:rsidRPr="007D30B5">
        <w:rPr>
          <w:lang w:val="ru-RU"/>
        </w:rPr>
        <w:instrText xml:space="preserve"> "</w:instrText>
      </w:r>
      <w:r>
        <w:instrText>https</w:instrText>
      </w:r>
      <w:r w:rsidRPr="007D30B5">
        <w:rPr>
          <w:lang w:val="ru-RU"/>
        </w:rPr>
        <w:instrText>://</w:instrText>
      </w:r>
      <w:r>
        <w:instrText>www</w:instrText>
      </w:r>
      <w:r w:rsidRPr="007D30B5">
        <w:rPr>
          <w:lang w:val="ru-RU"/>
        </w:rPr>
        <w:instrText>.</w:instrText>
      </w:r>
      <w:r>
        <w:instrText>itu</w:instrText>
      </w:r>
      <w:r w:rsidRPr="007D30B5">
        <w:rPr>
          <w:lang w:val="ru-RU"/>
        </w:rPr>
        <w:instrText>.</w:instrText>
      </w:r>
      <w:r>
        <w:instrText>int</w:instrText>
      </w:r>
      <w:r w:rsidRPr="007D30B5">
        <w:rPr>
          <w:lang w:val="ru-RU"/>
        </w:rPr>
        <w:instrText>/</w:instrText>
      </w:r>
      <w:r>
        <w:instrText>md</w:instrText>
      </w:r>
      <w:r w:rsidRPr="007D30B5">
        <w:rPr>
          <w:lang w:val="ru-RU"/>
        </w:rPr>
        <w:instrText>/</w:instrText>
      </w:r>
      <w:r>
        <w:instrText>S</w:instrText>
      </w:r>
      <w:r w:rsidRPr="007D30B5">
        <w:rPr>
          <w:lang w:val="ru-RU"/>
        </w:rPr>
        <w:instrText>24-</w:instrText>
      </w:r>
      <w:r>
        <w:instrText>CL</w:instrText>
      </w:r>
      <w:r w:rsidRPr="007D30B5">
        <w:rPr>
          <w:lang w:val="ru-RU"/>
        </w:rPr>
        <w:instrText>-</w:instrText>
      </w:r>
      <w:r>
        <w:instrText>C</w:instrText>
      </w:r>
      <w:r w:rsidRPr="007D30B5">
        <w:rPr>
          <w:lang w:val="ru-RU"/>
        </w:rPr>
        <w:instrText>-0073/</w:instrText>
      </w:r>
      <w:r>
        <w:instrText>en</w:instrText>
      </w:r>
      <w:r w:rsidRPr="007D30B5">
        <w:rPr>
          <w:lang w:val="ru-RU"/>
        </w:rPr>
        <w:instrText>"</w:instrText>
      </w:r>
      <w:r>
        <w:fldChar w:fldCharType="separate"/>
      </w:r>
      <w:r w:rsidRPr="008B3F38">
        <w:rPr>
          <w:rStyle w:val="Hyperlink"/>
          <w:lang w:val="ru-RU"/>
        </w:rPr>
        <w:t>C24/73</w:t>
      </w:r>
      <w:r>
        <w:fldChar w:fldCharType="end"/>
      </w:r>
      <w:r w:rsidRPr="008B3F38">
        <w:rPr>
          <w:bCs/>
          <w:lang w:val="ru-RU"/>
        </w:rPr>
        <w:t>), в которой изложены запланированные мероприятия на период с середины 2024 года и до конца 2027 года. Программа направлена на совершенствование вспомогательных функций, структурированных по пяти основным направлениям: управление; системы, процессы и инструменты; люди и культура; оптимизация ресурсов; а также Члены и партнеры.</w:t>
      </w:r>
    </w:p>
    <w:p w14:paraId="25023C02" w14:textId="1F8323E0" w:rsidR="00E84E89" w:rsidRPr="008B3F38" w:rsidRDefault="00E84E89" w:rsidP="00E84E89">
      <w:pPr>
        <w:tabs>
          <w:tab w:val="clear" w:pos="794"/>
          <w:tab w:val="left" w:pos="774"/>
        </w:tabs>
        <w:rPr>
          <w:bCs/>
          <w:lang w:val="ru-RU"/>
        </w:rPr>
      </w:pPr>
      <w:r w:rsidRPr="008B3F38">
        <w:rPr>
          <w:b/>
          <w:lang w:val="ru-RU"/>
        </w:rPr>
        <w:t>3.3</w:t>
      </w:r>
      <w:r w:rsidRPr="008B3F38">
        <w:rPr>
          <w:bCs/>
          <w:lang w:val="ru-RU"/>
        </w:rPr>
        <w:tab/>
        <w:t>Достигнут прогресс в структурировании и инициировании мероприятий в рамках Программы трансформации. Внедрена информационная панель для обеспечения прозрачности и отслеживания результатов, достигаемых в процессе трансформации. Начата</w:t>
      </w:r>
      <w:r w:rsidR="007F2A6E" w:rsidRPr="008B3F38">
        <w:rPr>
          <w:bCs/>
          <w:lang w:val="ru-RU"/>
        </w:rPr>
        <w:t> </w:t>
      </w:r>
      <w:r w:rsidRPr="008B3F38">
        <w:rPr>
          <w:bCs/>
          <w:lang w:val="ru-RU"/>
        </w:rPr>
        <w:t>реализация шести ускоренных инициатив в таких областях, как управление показателями деятельности, внедрение ИИ, развитие лидерских качеств, набор персонала, поездки и мобильность персонала. Также начата работа в рамках нескольких основополагающих проектов, таких как изменение дизайна веб-сайта, планирование ресурсов предприятия и модернизация системы управления взаимоотношениями с клиентами, а также реформы финансовой системы. Сеть сотрудников, являющихся "проводниками перемен", продолжает способствовать внутриорганизационному взаимодействию и участвовать в подготовке исследований конкретных ситуаций.</w:t>
      </w:r>
    </w:p>
    <w:p w14:paraId="61C4E3E1" w14:textId="32AF526B" w:rsidR="00E84E89" w:rsidRPr="008B3F38" w:rsidRDefault="00E84E89" w:rsidP="00E84E89">
      <w:pPr>
        <w:tabs>
          <w:tab w:val="clear" w:pos="794"/>
          <w:tab w:val="left" w:pos="774"/>
        </w:tabs>
        <w:rPr>
          <w:bCs/>
          <w:lang w:val="ru-RU"/>
        </w:rPr>
      </w:pPr>
      <w:r w:rsidRPr="008B3F38">
        <w:rPr>
          <w:b/>
          <w:lang w:val="ru-RU"/>
        </w:rPr>
        <w:t>3.4</w:t>
      </w:r>
      <w:r w:rsidRPr="008B3F38">
        <w:rPr>
          <w:bCs/>
          <w:lang w:val="ru-RU"/>
        </w:rPr>
        <w:tab/>
        <w:t>На момент проведения нашего обзора процесс внедрения детальной операционной модели еще не завершился. В 2023 году Секретариат наметил 89 конечных результатов. Текущая деятельность представляет собой сочетание мер по повышению эффективности деятельности и реализации способствующих этому проектов. Основное внимание по</w:t>
      </w:r>
      <w:r w:rsidR="0057647A" w:rsidRPr="008B3F38">
        <w:rPr>
          <w:rFonts w:ascii="Cambria Math" w:hAnsi="Cambria Math"/>
          <w:bCs/>
          <w:lang w:val="ru-RU"/>
        </w:rPr>
        <w:t>‑</w:t>
      </w:r>
      <w:r w:rsidRPr="008B3F38">
        <w:rPr>
          <w:bCs/>
          <w:lang w:val="ru-RU"/>
        </w:rPr>
        <w:t xml:space="preserve">прежнему уделяется модернизации внутренних процессов, а не изучению альтернативных моделей реализации. Для оценки результатов разрабатываются контрольные показатели и </w:t>
      </w:r>
      <w:r w:rsidRPr="008B3F38">
        <w:rPr>
          <w:lang w:val="ru-RU"/>
        </w:rPr>
        <w:t>KPI</w:t>
      </w:r>
      <w:r w:rsidRPr="008B3F38">
        <w:rPr>
          <w:bCs/>
          <w:lang w:val="ru-RU"/>
        </w:rPr>
        <w:t>, хотя системы измерения еще не полностью введены в действие.</w:t>
      </w:r>
    </w:p>
    <w:p w14:paraId="59670FB2" w14:textId="13590FDF" w:rsidR="00E84E89" w:rsidRPr="008B3F38" w:rsidRDefault="00E84E89" w:rsidP="00E84E89">
      <w:pPr>
        <w:tabs>
          <w:tab w:val="clear" w:pos="794"/>
          <w:tab w:val="left" w:pos="774"/>
        </w:tabs>
        <w:rPr>
          <w:bCs/>
          <w:lang w:val="ru-RU"/>
        </w:rPr>
      </w:pPr>
      <w:r w:rsidRPr="008B3F38">
        <w:rPr>
          <w:b/>
          <w:lang w:val="ru-RU"/>
        </w:rPr>
        <w:t>3.5</w:t>
      </w:r>
      <w:r w:rsidRPr="008B3F38">
        <w:rPr>
          <w:bCs/>
          <w:lang w:val="ru-RU"/>
        </w:rPr>
        <w:tab/>
        <w:t>Объем ресурсов, выделяемых на финансирование программы, остается ограниченным. В 2024 году было выделено 1,3 млн. швейцарских франков, при этом большинство инициатив по-прежнему зависят от их интеграции в планы работы департаментов. Это остается сдерживающим фактором, учитывая масштаб трансформации и требования в рамках проектов, связанных с ИТ-системами и цифровой трансформации. По-прежнему существует необходимость в оценке и приоритизации инициатив на основе достижимости результатов и точного расчета соотношения затрат и выгод, особенно в таких ресурсоемких областях, как разработка систем.</w:t>
      </w:r>
    </w:p>
    <w:p w14:paraId="61D1FB26" w14:textId="5AC29FB9" w:rsidR="00E84E89" w:rsidRPr="008B3F38" w:rsidRDefault="00E84E89" w:rsidP="00E84E89">
      <w:pPr>
        <w:tabs>
          <w:tab w:val="clear" w:pos="794"/>
          <w:tab w:val="left" w:pos="774"/>
        </w:tabs>
        <w:rPr>
          <w:bCs/>
          <w:lang w:val="ru-RU"/>
        </w:rPr>
      </w:pPr>
      <w:r w:rsidRPr="008B3F38">
        <w:rPr>
          <w:b/>
          <w:lang w:val="ru-RU"/>
        </w:rPr>
        <w:t>3.6</w:t>
      </w:r>
      <w:r w:rsidRPr="008B3F38">
        <w:rPr>
          <w:bCs/>
          <w:lang w:val="ru-RU"/>
        </w:rPr>
        <w:tab/>
        <w:t>МСЭ проинформировал нас о том, что он изучает возможности выполнения функций с помощью альтернативных моделей, таких как аутсорсинг, партнерские отношения или совместное обслуживание. Мы считаем, что очень важно рассмотреть альтернативные модели предоставления услуг, поскольку это может обеспечить реальные трансформационные изменения и предоставить возможность сосредоточить внутренние ресурсы на уникальных элементах деятельности МСЭ, повышающих ценность организации.</w:t>
      </w:r>
    </w:p>
    <w:p w14:paraId="4F9CD8B0" w14:textId="77777777" w:rsidR="00E84E89" w:rsidRPr="008B3F38" w:rsidRDefault="00E84E89" w:rsidP="00593EB6">
      <w:pPr>
        <w:keepNext/>
        <w:rPr>
          <w:b/>
          <w:bCs/>
          <w:lang w:val="ru-RU"/>
        </w:rPr>
      </w:pPr>
      <w:r w:rsidRPr="008B3F38">
        <w:rPr>
          <w:b/>
          <w:bCs/>
          <w:lang w:val="ru-RU"/>
        </w:rPr>
        <w:lastRenderedPageBreak/>
        <w:t>МСЭ следует</w:t>
      </w:r>
      <w:r w:rsidRPr="008B3F38">
        <w:rPr>
          <w:lang w:val="ru-RU"/>
        </w:rPr>
        <w:t>:</w:t>
      </w:r>
    </w:p>
    <w:p w14:paraId="4F31C9C1" w14:textId="09AA34C7" w:rsidR="00E84E89" w:rsidRPr="008B3F38" w:rsidRDefault="00E84E89" w:rsidP="00E84E89">
      <w:pPr>
        <w:rPr>
          <w:b/>
          <w:bCs/>
          <w:lang w:val="ru-RU"/>
        </w:rPr>
      </w:pPr>
      <w:r w:rsidRPr="008B3F38">
        <w:rPr>
          <w:b/>
          <w:bCs/>
          <w:lang w:val="ru-RU"/>
        </w:rPr>
        <w:t>РЕК12: провести оценку альтернативных моделей предоставления услуг для обеспечения эффективного использования ресурсов в качестве ключевого элемента трансформации</w:t>
      </w:r>
      <w:r w:rsidR="007F2A6E" w:rsidRPr="008B3F38">
        <w:rPr>
          <w:b/>
          <w:bCs/>
          <w:lang w:val="ru-RU"/>
        </w:rPr>
        <w:t> </w:t>
      </w:r>
      <w:r w:rsidRPr="008B3F38">
        <w:rPr>
          <w:b/>
          <w:bCs/>
          <w:lang w:val="ru-RU"/>
        </w:rPr>
        <w:t>организации</w:t>
      </w:r>
      <w:r w:rsidRPr="008B3F38">
        <w:rPr>
          <w:lang w:val="ru-RU"/>
        </w:rPr>
        <w:t>.</w:t>
      </w:r>
    </w:p>
    <w:p w14:paraId="4415C795" w14:textId="32D004DE" w:rsidR="00E84E89" w:rsidRPr="008B3F38" w:rsidRDefault="00E84E89" w:rsidP="00E84E89">
      <w:pPr>
        <w:rPr>
          <w:i/>
          <w:iCs/>
          <w:lang w:val="ru-RU"/>
        </w:rPr>
      </w:pPr>
      <w:r w:rsidRPr="008B3F38">
        <w:rPr>
          <w:i/>
          <w:iCs/>
          <w:lang w:val="ru-RU"/>
        </w:rPr>
        <w:t>Замечание руководства МСЭ: МСЭ принимает к сведению высказанные замечания и рекомендации в отношении рассмотрения альтернативных моделей предоставления услуг в качестве неотъемлемого шага в рамках модели, принятой для реализации инициатив по трансформации. При рассмотрении каждого процесса, по завершении анализа проблем, в рамках анализа решений рассматривается вопрос о том, подходят ли существующие способы совершенствования процесса или следует использовать альтернативные модели предоставления услуг, такие как аутсорсинг или совместное обслуживание, для выбранного решения по реализации, наряду с анализом имеющихся ресурсов и осуществимости</w:t>
      </w:r>
      <w:r w:rsidR="007F2A6E" w:rsidRPr="008B3F38">
        <w:rPr>
          <w:i/>
          <w:iCs/>
          <w:lang w:val="ru-RU"/>
        </w:rPr>
        <w:t> </w:t>
      </w:r>
      <w:r w:rsidRPr="008B3F38">
        <w:rPr>
          <w:i/>
          <w:iCs/>
          <w:lang w:val="ru-RU"/>
        </w:rPr>
        <w:t>реализации.</w:t>
      </w:r>
    </w:p>
    <w:p w14:paraId="12966A23" w14:textId="46A18255" w:rsidR="00E84E89" w:rsidRPr="008B3F38" w:rsidRDefault="00E84E89" w:rsidP="00E84E89">
      <w:pPr>
        <w:tabs>
          <w:tab w:val="clear" w:pos="794"/>
          <w:tab w:val="left" w:pos="774"/>
        </w:tabs>
        <w:rPr>
          <w:bCs/>
          <w:lang w:val="ru-RU"/>
        </w:rPr>
      </w:pPr>
      <w:r w:rsidRPr="008B3F38">
        <w:rPr>
          <w:b/>
          <w:lang w:val="ru-RU"/>
        </w:rPr>
        <w:t>3.7</w:t>
      </w:r>
      <w:r w:rsidRPr="008B3F38">
        <w:rPr>
          <w:bCs/>
          <w:lang w:val="ru-RU"/>
        </w:rPr>
        <w:tab/>
        <w:t>Культурные изменения остаются одним из ключевых факторов успеха. Секретариат предпринял шаги по вовлечению персонала посредством обучения и реализации инициатив в области лидерства, а также приступил к устранению недостатков, выявленных в ходе опроса о</w:t>
      </w:r>
      <w:r w:rsidR="00593EB6" w:rsidRPr="008B3F38">
        <w:rPr>
          <w:bCs/>
          <w:lang w:val="ru-RU"/>
        </w:rPr>
        <w:t> </w:t>
      </w:r>
      <w:r w:rsidRPr="008B3F38">
        <w:rPr>
          <w:bCs/>
          <w:lang w:val="ru-RU"/>
        </w:rPr>
        <w:t>благополучии персонала. Мы считаем, что изменение организационной культуры может быть одним из наиболее сложных элементов любой программы трансформации. Для этого необходимо постоянно отслеживать показатели взаимодействия с сотрудниками и их</w:t>
      </w:r>
      <w:r w:rsidR="007F2A6E" w:rsidRPr="008B3F38">
        <w:rPr>
          <w:bCs/>
          <w:lang w:val="ru-RU"/>
        </w:rPr>
        <w:t> </w:t>
      </w:r>
      <w:r w:rsidRPr="008B3F38">
        <w:rPr>
          <w:bCs/>
          <w:lang w:val="ru-RU"/>
        </w:rPr>
        <w:t>вовлеченности.</w:t>
      </w:r>
    </w:p>
    <w:p w14:paraId="2F726D60" w14:textId="66EE5A32" w:rsidR="00E84E89" w:rsidRPr="008B3F38" w:rsidRDefault="00E84E89" w:rsidP="00E84E89">
      <w:pPr>
        <w:tabs>
          <w:tab w:val="clear" w:pos="794"/>
          <w:tab w:val="left" w:pos="774"/>
        </w:tabs>
        <w:rPr>
          <w:bCs/>
          <w:lang w:val="ru-RU"/>
        </w:rPr>
      </w:pPr>
      <w:r w:rsidRPr="008B3F38">
        <w:rPr>
          <w:b/>
          <w:lang w:val="ru-RU"/>
        </w:rPr>
        <w:t>3.8</w:t>
      </w:r>
      <w:r w:rsidRPr="008B3F38">
        <w:rPr>
          <w:bCs/>
          <w:lang w:val="ru-RU"/>
        </w:rPr>
        <w:tab/>
        <w:t>Как мы уже отмечали ранее, программа трансформации открывает широкие возможности для совершенствования организации и повышения эффективности. Хотя на этой стадии реализации программы пока еще слишком рано говорить о достигнутых успехах, тем не менее очень важно, чтобы у Союза были четкие критерии успеха, позволяющие эффективно реализовывать преимущества.</w:t>
      </w:r>
    </w:p>
    <w:p w14:paraId="53DAB93E" w14:textId="6107117F" w:rsidR="00E84E89" w:rsidRPr="008B3F38" w:rsidRDefault="00E84E89" w:rsidP="00E84E89">
      <w:pPr>
        <w:tabs>
          <w:tab w:val="clear" w:pos="794"/>
          <w:tab w:val="left" w:pos="774"/>
        </w:tabs>
        <w:rPr>
          <w:bCs/>
          <w:lang w:val="ru-RU"/>
        </w:rPr>
      </w:pPr>
      <w:r w:rsidRPr="008B3F38">
        <w:rPr>
          <w:b/>
          <w:lang w:val="ru-RU"/>
        </w:rPr>
        <w:t>3.9</w:t>
      </w:r>
      <w:r w:rsidRPr="008B3F38">
        <w:rPr>
          <w:bCs/>
          <w:lang w:val="ru-RU"/>
        </w:rPr>
        <w:tab/>
        <w:t>По-прежнему важно, чтобы руководство определило наиболее важные элементы и факторы, способствующие трансформации, и обеспечило их ресурсами в достаточном объеме. Постоянное внимание, уделяемое расстановке приоритетов, а также объективное управление программой и обеспечение гарантий будут иметь решающее значение для достижения желаемых результатов. Мы будем продолжать следить за ходом реализации программы и отчитываться о результатах в течение срока действия нашего мандата.</w:t>
      </w:r>
    </w:p>
    <w:p w14:paraId="0901504D" w14:textId="77777777" w:rsidR="00E84E89" w:rsidRPr="008B3F38" w:rsidRDefault="00E84E89" w:rsidP="00E84E89">
      <w:pPr>
        <w:keepNext/>
        <w:keepLines/>
        <w:rPr>
          <w:b/>
          <w:bCs/>
          <w:lang w:val="ru-RU"/>
        </w:rPr>
      </w:pPr>
      <w:r w:rsidRPr="008B3F38">
        <w:rPr>
          <w:b/>
          <w:bCs/>
          <w:lang w:val="ru-RU"/>
        </w:rPr>
        <w:t>МСЭ следует</w:t>
      </w:r>
      <w:r w:rsidRPr="008B3F38">
        <w:rPr>
          <w:lang w:val="ru-RU"/>
        </w:rPr>
        <w:t>:</w:t>
      </w:r>
    </w:p>
    <w:p w14:paraId="1272461C" w14:textId="77777777" w:rsidR="00E84E89" w:rsidRPr="008B3F38" w:rsidRDefault="00E84E89" w:rsidP="00E84E89">
      <w:pPr>
        <w:keepNext/>
        <w:keepLines/>
        <w:rPr>
          <w:b/>
          <w:bCs/>
          <w:lang w:val="ru-RU"/>
        </w:rPr>
      </w:pPr>
      <w:r w:rsidRPr="008B3F38">
        <w:rPr>
          <w:b/>
          <w:bCs/>
          <w:lang w:val="ru-RU"/>
        </w:rPr>
        <w:t>РЕК13: считать приоритетом реализацию наиболее важных инициатив по трансформации в рамках имеющихся ресурсов. Эти инициативы должны подкрепляться надежными показателями эффективности</w:t>
      </w:r>
      <w:r w:rsidRPr="008B3F38">
        <w:rPr>
          <w:lang w:val="ru-RU"/>
        </w:rPr>
        <w:t>.</w:t>
      </w:r>
    </w:p>
    <w:p w14:paraId="44F85320" w14:textId="7043E1C9" w:rsidR="00E84E89" w:rsidRPr="008B3F38" w:rsidRDefault="00E84E89" w:rsidP="00E84E89">
      <w:pPr>
        <w:rPr>
          <w:i/>
          <w:iCs/>
          <w:lang w:val="ru-RU"/>
        </w:rPr>
      </w:pPr>
      <w:r w:rsidRPr="008B3F38">
        <w:rPr>
          <w:i/>
          <w:iCs/>
          <w:lang w:val="ru-RU"/>
        </w:rPr>
        <w:t>Замечание руководства МСЭ: подход к управлению портфелем, принятый для реализации Плана преобразований МСЭ, предусматривает выбор инициатив для реализации на основе готовности организации, наличия необходимых ресурсов, потенциальных выгод и затрат. В</w:t>
      </w:r>
      <w:r w:rsidR="00593EB6" w:rsidRPr="008B3F38">
        <w:rPr>
          <w:i/>
          <w:iCs/>
          <w:lang w:val="ru-RU"/>
        </w:rPr>
        <w:t> </w:t>
      </w:r>
      <w:r w:rsidRPr="008B3F38">
        <w:rPr>
          <w:i/>
          <w:iCs/>
          <w:lang w:val="ru-RU"/>
        </w:rPr>
        <w:t>рамках проектов устанавливаются цели, потенциальные выгоды и поддающиеся измерению ключевые показатели деятельности, которые будут служить ориентирами с самого начала процесса и измеряться в ходе реализации проектов и по завершении их реализации.</w:t>
      </w:r>
    </w:p>
    <w:p w14:paraId="0599B9E3" w14:textId="77777777" w:rsidR="00E84E89" w:rsidRPr="008B3F38" w:rsidRDefault="00E84E89" w:rsidP="00E84E89">
      <w:pPr>
        <w:overflowPunct/>
        <w:autoSpaceDE/>
        <w:autoSpaceDN/>
        <w:adjustRightInd/>
        <w:spacing w:before="0"/>
        <w:textAlignment w:val="auto"/>
        <w:rPr>
          <w:lang w:val="ru-RU"/>
        </w:rPr>
      </w:pPr>
      <w:r w:rsidRPr="008B3F38">
        <w:rPr>
          <w:lang w:val="ru-RU"/>
        </w:rPr>
        <w:br w:type="page"/>
      </w:r>
    </w:p>
    <w:p w14:paraId="757CE2F9" w14:textId="77777777" w:rsidR="00E84E89" w:rsidRPr="008B3F38" w:rsidRDefault="00E84E89" w:rsidP="00426DF2">
      <w:pPr>
        <w:pStyle w:val="Heading1"/>
        <w:tabs>
          <w:tab w:val="clear" w:pos="774"/>
        </w:tabs>
        <w:ind w:left="0" w:firstLine="0"/>
        <w:rPr>
          <w:lang w:val="ru-RU"/>
        </w:rPr>
      </w:pPr>
      <w:bookmarkStart w:id="31" w:name="_Toc199491611"/>
      <w:bookmarkStart w:id="32" w:name="_Toc201047361"/>
      <w:r w:rsidRPr="008B3F38">
        <w:rPr>
          <w:lang w:val="ru-RU"/>
        </w:rPr>
        <w:lastRenderedPageBreak/>
        <w:t>Проект строительства нового здания</w:t>
      </w:r>
      <w:bookmarkEnd w:id="31"/>
      <w:bookmarkEnd w:id="32"/>
    </w:p>
    <w:p w14:paraId="531C5C6C" w14:textId="77777777" w:rsidR="00E84E89" w:rsidRPr="008B3F38" w:rsidRDefault="00E84E89" w:rsidP="00426DF2">
      <w:pPr>
        <w:pStyle w:val="Heading3"/>
        <w:rPr>
          <w:lang w:val="ru-RU"/>
        </w:rPr>
      </w:pPr>
      <w:r w:rsidRPr="008B3F38">
        <w:rPr>
          <w:lang w:val="ru-RU"/>
        </w:rPr>
        <w:t>Базовая информация</w:t>
      </w:r>
    </w:p>
    <w:p w14:paraId="02127FB8" w14:textId="3D11DD9B" w:rsidR="00E84E89" w:rsidRPr="008B3F38" w:rsidRDefault="00E84E89" w:rsidP="00E84E89">
      <w:pPr>
        <w:tabs>
          <w:tab w:val="clear" w:pos="794"/>
          <w:tab w:val="left" w:pos="774"/>
        </w:tabs>
        <w:rPr>
          <w:bCs/>
          <w:lang w:val="ru-RU"/>
        </w:rPr>
      </w:pPr>
      <w:bookmarkStart w:id="33" w:name="_Hlk167738796"/>
      <w:r w:rsidRPr="008B3F38">
        <w:rPr>
          <w:b/>
          <w:lang w:val="ru-RU"/>
        </w:rPr>
        <w:t>3.10</w:t>
      </w:r>
      <w:r w:rsidRPr="008B3F38">
        <w:rPr>
          <w:bCs/>
          <w:lang w:val="ru-RU"/>
        </w:rPr>
        <w:tab/>
        <w:t>В соответствии с Решением 640 Совета (2024 г.) Секретариат МСЭ приступил к переходу от этапа первоначального проектирования к реализации проекта строительства нового здания Варембе. Контракт с первоначально привлеченной архитектурно-проектной фирмой был расторгнут в ноябре 2024 года, и все финансовые обязательства по контракту были урегулированы. Аналогичным образом были оплачены все услуги по управлению проектом, а</w:t>
      </w:r>
      <w:r w:rsidR="00593EB6" w:rsidRPr="008B3F38">
        <w:rPr>
          <w:bCs/>
          <w:lang w:val="ru-RU"/>
        </w:rPr>
        <w:t> </w:t>
      </w:r>
      <w:r w:rsidRPr="008B3F38">
        <w:rPr>
          <w:bCs/>
          <w:lang w:val="ru-RU"/>
        </w:rPr>
        <w:t>новый тендер на управление проектом запланирован на 2025 год. МСЭ сообщил, что окончательная сумма неустойки в связи с расторжением контракта на начальном этапе проектирования составила 22,2 млн. швейцарских франков, а не 22,7 млн. швейцарских франков, как ожидалось, а неиспользованные средства были перечислены в резерв на покрытие непредвиденных расходов на новый проект. Финансовая отчетность (Примечание</w:t>
      </w:r>
      <w:r w:rsidR="00593EB6" w:rsidRPr="008B3F38">
        <w:rPr>
          <w:bCs/>
          <w:lang w:val="ru-RU"/>
        </w:rPr>
        <w:t> </w:t>
      </w:r>
      <w:r w:rsidRPr="008B3F38">
        <w:rPr>
          <w:bCs/>
          <w:lang w:val="ru-RU"/>
        </w:rPr>
        <w:t>12) содержит подробную информацию об обесценении затрат, первоначально капитализированных в связи со строительством нового здания. Члены, возможно, помнят, что в нашем аудиторском заключении по финансовой отчетности за 2023 год особое внимание было уделено вопросу о возможном обесценении этого актива. Мы удовлетворены тем, что обесценение этих затрат было правильно отражено в финансовой отчетности в соответствии с IPSAS, поскольку они больше не представляют ценности для Союза.</w:t>
      </w:r>
    </w:p>
    <w:p w14:paraId="1ABA5936" w14:textId="716F5E45" w:rsidR="00E84E89" w:rsidRPr="008B3F38" w:rsidRDefault="00E84E89" w:rsidP="00E84E89">
      <w:pPr>
        <w:tabs>
          <w:tab w:val="clear" w:pos="794"/>
          <w:tab w:val="left" w:pos="774"/>
        </w:tabs>
        <w:rPr>
          <w:bCs/>
          <w:lang w:val="ru-RU"/>
        </w:rPr>
      </w:pPr>
      <w:r w:rsidRPr="008B3F38">
        <w:rPr>
          <w:b/>
          <w:lang w:val="ru-RU"/>
        </w:rPr>
        <w:t>3.11</w:t>
      </w:r>
      <w:r w:rsidRPr="008B3F38">
        <w:rPr>
          <w:bCs/>
          <w:lang w:val="ru-RU"/>
        </w:rPr>
        <w:tab/>
        <w:t>Для нового проекта было разработано уточненное краткое описание проекта, которое было распространено внутри организации и среди пользователей, с привлечением делегатов и сотрудников в рамках оперативных групп. По-прежнему отсутствует ясность в отношении подробного экономического обоснования и оценки потребностей, и поэтому мы повторяем нашу предыдущую рекомендацию. Для МСЭ по-прежнему крайне важно четко установить целевые показатели пользы от этого проекта, на основе которых по завершении проекта Члены смогут оценить соотношение цены и качества и определить, насколько успешным был проект. Мы отметили, что в настоящее время проект находится на этапе предварительной оценки на конкурсной основе и проводится тендер для привлечения новой архитектурно-проектной фирмы. Проект был начат в конце 2024 года и ожидается, что окончательный выбор подрядчика состоится в первом квартале 2025 года. На дату составления настоящего отчета МСЭ рассматривал тендерные заявки.</w:t>
      </w:r>
    </w:p>
    <w:p w14:paraId="79FD3C44" w14:textId="58806A89" w:rsidR="00E84E89" w:rsidRPr="008B3F38" w:rsidRDefault="00E84E89" w:rsidP="00E84E89">
      <w:pPr>
        <w:tabs>
          <w:tab w:val="clear" w:pos="794"/>
          <w:tab w:val="left" w:pos="774"/>
        </w:tabs>
        <w:rPr>
          <w:bCs/>
          <w:lang w:val="ru-RU"/>
        </w:rPr>
      </w:pPr>
      <w:r w:rsidRPr="008B3F38">
        <w:rPr>
          <w:b/>
          <w:lang w:val="ru-RU"/>
        </w:rPr>
        <w:t>3.12</w:t>
      </w:r>
      <w:r w:rsidRPr="008B3F38">
        <w:rPr>
          <w:bCs/>
          <w:lang w:val="ru-RU"/>
        </w:rPr>
        <w:tab/>
        <w:t>МСЭ проинформировал нас о том, что обсуждения с принимающей страной продолжаются, и было подтверждено, что МСЭ может выделить средства ссуды на разработку альтернативного пересмотренного проекта</w:t>
      </w:r>
      <w:r w:rsidRPr="008B3F38">
        <w:rPr>
          <w:bCs/>
          <w:lang w:val="ru-RU"/>
        </w:rPr>
        <w:tab/>
        <w:t>строительства здания штаб-квартиры в 2025 году. Официальный процесс изменения предназначения ссуды начнется, когда МСЭ представит подробный технический документ. Кроме того, продолжается активная работа со спонсорами, и три спонсора подтвердили свое намерение участвовать в финансировании проекта, а один спонсор отказался от своего первоначального соглашения о выделении 5 млн. швейцарских франков, и возврат этих средств отражен в финансовой отчетности за 2024 год (Примечание</w:t>
      </w:r>
      <w:r w:rsidR="00593EB6" w:rsidRPr="008B3F38">
        <w:rPr>
          <w:bCs/>
          <w:lang w:val="ru-RU"/>
        </w:rPr>
        <w:t> </w:t>
      </w:r>
      <w:r w:rsidRPr="008B3F38">
        <w:rPr>
          <w:bCs/>
          <w:lang w:val="ru-RU"/>
        </w:rPr>
        <w:t>17). Руководство продолжает обсуждать с этим донором возможность заключения новых соглашений.</w:t>
      </w:r>
    </w:p>
    <w:p w14:paraId="02FDF0C5" w14:textId="19A1197D" w:rsidR="00E84E89" w:rsidRPr="008B3F38" w:rsidRDefault="00E84E89" w:rsidP="00E84E89">
      <w:pPr>
        <w:tabs>
          <w:tab w:val="clear" w:pos="794"/>
          <w:tab w:val="left" w:pos="774"/>
        </w:tabs>
        <w:rPr>
          <w:bCs/>
          <w:lang w:val="ru-RU"/>
        </w:rPr>
      </w:pPr>
      <w:r w:rsidRPr="008B3F38">
        <w:rPr>
          <w:b/>
          <w:lang w:val="ru-RU"/>
        </w:rPr>
        <w:t>3.13</w:t>
      </w:r>
      <w:r w:rsidRPr="008B3F38">
        <w:rPr>
          <w:bCs/>
          <w:lang w:val="ru-RU"/>
        </w:rPr>
        <w:tab/>
        <w:t xml:space="preserve">Секретариат продолжает сотрудничать с Консультативной группой Государств-Членов (КГГЧ) при поддержке внешнего технического эксперта, предоставленного одним из Государств-Членов. Как подчеркивалось в наших отчетах Совету за 2022 и 2023 годы, мы подтверждаем важность четких механизмов управления и гарантий для обеспечения уверенности Государств-Членов в отношении расходов, снижения рисков и общего прогресса в осуществлении проекта. Отмечая установленные механизмы, мы продолжаем подчеркивать, что необходимо выделять достаточные ресурсы для обеспечения достаточного уровня экспертной и независимой оценки проектов такого масштаба и важности. </w:t>
      </w:r>
      <w:r w:rsidRPr="008B3F38">
        <w:rPr>
          <w:b/>
          <w:lang w:val="ru-RU"/>
        </w:rPr>
        <w:t xml:space="preserve">Мы повторяем нашу рекомендацию от 2022 года (промежуточный отчет РЕК8) о том, что МСЭ следует </w:t>
      </w:r>
      <w:r w:rsidRPr="008B3F38">
        <w:rPr>
          <w:b/>
          <w:lang w:val="ru-RU"/>
        </w:rPr>
        <w:lastRenderedPageBreak/>
        <w:t>проанализировать механизмы управления и подтверждения достоверности и регулярно запрашивать подтверждение того, что управление, обеспечение ресурсами и выполнение проекта осуществляется надлежащим образом, для того чтобы обеспечить выявление и снижение рисков программы крупных капитальных вложений</w:t>
      </w:r>
      <w:r w:rsidRPr="008B3F38">
        <w:rPr>
          <w:bCs/>
          <w:lang w:val="ru-RU"/>
        </w:rPr>
        <w:t>.</w:t>
      </w:r>
    </w:p>
    <w:p w14:paraId="630A76FA" w14:textId="4DED5041" w:rsidR="00E84E89" w:rsidRPr="008B3F38" w:rsidRDefault="00E84E89" w:rsidP="00E84E89">
      <w:pPr>
        <w:tabs>
          <w:tab w:val="clear" w:pos="794"/>
          <w:tab w:val="left" w:pos="774"/>
        </w:tabs>
        <w:rPr>
          <w:bCs/>
          <w:lang w:val="ru-RU"/>
        </w:rPr>
      </w:pPr>
      <w:r w:rsidRPr="008B3F38">
        <w:rPr>
          <w:b/>
          <w:lang w:val="ru-RU"/>
        </w:rPr>
        <w:t>3.14</w:t>
      </w:r>
      <w:r w:rsidRPr="008B3F38">
        <w:rPr>
          <w:bCs/>
          <w:lang w:val="ru-RU"/>
        </w:rPr>
        <w:tab/>
        <w:t>Наряду с необходимостью надлежащего обеспечения проекта, мы также продолжаем подчеркивать важность понятных, точных и проверенных данных о ходе реализации проекта и расходах. Для МСЭ важно извлечь уроки из процесса управления первоначальным проектом и составления отчетности по нему. Это укрепит доверие заинтересованных сторон и позволит руководству обеспечить наличие надлежащих механизмов контроля и отчетности. Тщательное</w:t>
      </w:r>
      <w:r w:rsidR="007F2A6E" w:rsidRPr="008B3F38">
        <w:rPr>
          <w:bCs/>
          <w:lang w:val="ru-RU"/>
        </w:rPr>
        <w:t> </w:t>
      </w:r>
      <w:r w:rsidRPr="008B3F38">
        <w:rPr>
          <w:bCs/>
          <w:lang w:val="ru-RU"/>
        </w:rPr>
        <w:t>управление расходами и строгий контроль за ними имеют жизненно важное значение, учитывая высокий уровень затрат, списанных с первоначальных планов проекта. Руководство предоставило нам информацию об извлеченных уроках, и мы отметили, что это было сделано консультантами по строительству, которые работали вместе с МСЭ на начальном этапе проекта. Мы считаем, что проблема в том, что этот процесс был недостаточно независимым и объективным. В этом процессе не была проведена комплексная оценка всех извлеченных уроков в плане управления, таких как обеспечение гарантий, отчетность и контроль затрат.</w:t>
      </w:r>
    </w:p>
    <w:p w14:paraId="2383449E" w14:textId="77777777" w:rsidR="00E84E89" w:rsidRPr="008B3F38" w:rsidRDefault="00E84E89" w:rsidP="00E84E89">
      <w:pPr>
        <w:rPr>
          <w:b/>
          <w:bCs/>
          <w:lang w:val="ru-RU"/>
        </w:rPr>
      </w:pPr>
      <w:r w:rsidRPr="008B3F38">
        <w:rPr>
          <w:b/>
          <w:bCs/>
          <w:lang w:val="ru-RU"/>
        </w:rPr>
        <w:t>МСЭ следует</w:t>
      </w:r>
      <w:r w:rsidRPr="008B3F38">
        <w:rPr>
          <w:lang w:val="ru-RU"/>
        </w:rPr>
        <w:t>:</w:t>
      </w:r>
    </w:p>
    <w:p w14:paraId="7DEC2C2C" w14:textId="77777777" w:rsidR="00E84E89" w:rsidRPr="008B3F38" w:rsidRDefault="00E84E89" w:rsidP="00E84E89">
      <w:pPr>
        <w:rPr>
          <w:b/>
          <w:bCs/>
          <w:lang w:val="ru-RU"/>
        </w:rPr>
      </w:pPr>
      <w:r w:rsidRPr="008B3F38">
        <w:rPr>
          <w:b/>
          <w:bCs/>
          <w:lang w:val="ru-RU"/>
        </w:rPr>
        <w:t>РЕК14: тщательно проанализировать полноту и объективность извлеченных уроков, чтобы убедиться в том, что все элементы управления проектом, руководства его реализацией и надзора были полностью учтены, и это ляжет в основу оптимальной практики управления проектом и контроля</w:t>
      </w:r>
      <w:r w:rsidRPr="008B3F38">
        <w:rPr>
          <w:lang w:val="ru-RU"/>
        </w:rPr>
        <w:t>.</w:t>
      </w:r>
    </w:p>
    <w:p w14:paraId="68679ED3" w14:textId="77777777" w:rsidR="00E84E89" w:rsidRPr="008B3F38" w:rsidRDefault="00E84E89" w:rsidP="00E84E89">
      <w:pPr>
        <w:rPr>
          <w:i/>
          <w:iCs/>
          <w:lang w:val="ru-RU"/>
        </w:rPr>
      </w:pPr>
      <w:r w:rsidRPr="008B3F38">
        <w:rPr>
          <w:i/>
          <w:iCs/>
          <w:lang w:val="ru-RU"/>
        </w:rPr>
        <w:t>Замечание руководства МСЭ: основные цели анализа извлеченных уроков заключались в том, чтобы проанализировать проблемы, риски и препятствия, возникшие при первоначальном проектировании в плане стратегий закупок и заключения контрактов, и определить области, в которых необходимы улучшения, чтобы избежать повторения ошибок. Результаты анализа извлеченных уроков рассматриваются в качестве вклада в новую стратегию реализации проекта строительства нового здания Варембе. В соответствии с рекомендациями IMAC и аудиторов была разработана система управления проектом для рационализации процесса принятия решений при сохранении подотчетности. Эта новая система управления будет внедрена после консультаций с КГГЧ и одобрения КК. Кроме того, План управления проектом будет пересмотрен с учетом предыдущего опыта и передовой практики, и перед его утверждением будут запрошены рекомендации как IMAC, так и НРУ.</w:t>
      </w:r>
    </w:p>
    <w:p w14:paraId="6A44F4D1" w14:textId="77777777" w:rsidR="00E84E89" w:rsidRPr="008B3F38" w:rsidRDefault="00E84E89" w:rsidP="00426DF2">
      <w:pPr>
        <w:pStyle w:val="Heading3"/>
        <w:rPr>
          <w:lang w:val="ru-RU"/>
        </w:rPr>
      </w:pPr>
      <w:r w:rsidRPr="008B3F38">
        <w:rPr>
          <w:lang w:val="ru-RU"/>
        </w:rPr>
        <w:t>Стратегический план в отношении комплекса зданий МСЭ в Женеве</w:t>
      </w:r>
    </w:p>
    <w:p w14:paraId="7270F2E7" w14:textId="010AE41B" w:rsidR="00E84E89" w:rsidRPr="008B3F38" w:rsidRDefault="00E84E89" w:rsidP="00E84E89">
      <w:pPr>
        <w:tabs>
          <w:tab w:val="clear" w:pos="794"/>
          <w:tab w:val="left" w:pos="774"/>
        </w:tabs>
        <w:rPr>
          <w:bCs/>
          <w:lang w:val="ru-RU"/>
        </w:rPr>
      </w:pPr>
      <w:r w:rsidRPr="008B3F38">
        <w:rPr>
          <w:b/>
          <w:lang w:val="ru-RU"/>
        </w:rPr>
        <w:t>3.15</w:t>
      </w:r>
      <w:r w:rsidRPr="008B3F38">
        <w:rPr>
          <w:bCs/>
          <w:lang w:val="ru-RU"/>
        </w:rPr>
        <w:tab/>
        <w:t>МСЭ разработал первоначальный проект "Стратегического плана в отношении комплекса зданий МСЭ в Женеве" (</w:t>
      </w:r>
      <w:r>
        <w:fldChar w:fldCharType="begin"/>
      </w:r>
      <w:r>
        <w:instrText>HYPERLINK</w:instrText>
      </w:r>
      <w:r w:rsidRPr="007D30B5">
        <w:rPr>
          <w:lang w:val="ru-RU"/>
        </w:rPr>
        <w:instrText xml:space="preserve"> "</w:instrText>
      </w:r>
      <w:r>
        <w:instrText>https</w:instrText>
      </w:r>
      <w:r w:rsidRPr="007D30B5">
        <w:rPr>
          <w:lang w:val="ru-RU"/>
        </w:rPr>
        <w:instrText>://</w:instrText>
      </w:r>
      <w:r>
        <w:instrText>www</w:instrText>
      </w:r>
      <w:r w:rsidRPr="007D30B5">
        <w:rPr>
          <w:lang w:val="ru-RU"/>
        </w:rPr>
        <w:instrText>.</w:instrText>
      </w:r>
      <w:r>
        <w:instrText>itu</w:instrText>
      </w:r>
      <w:r w:rsidRPr="007D30B5">
        <w:rPr>
          <w:lang w:val="ru-RU"/>
        </w:rPr>
        <w:instrText>.</w:instrText>
      </w:r>
      <w:r>
        <w:instrText>int</w:instrText>
      </w:r>
      <w:r w:rsidRPr="007D30B5">
        <w:rPr>
          <w:lang w:val="ru-RU"/>
        </w:rPr>
        <w:instrText>/</w:instrText>
      </w:r>
      <w:r>
        <w:instrText>md</w:instrText>
      </w:r>
      <w:r w:rsidRPr="007D30B5">
        <w:rPr>
          <w:lang w:val="ru-RU"/>
        </w:rPr>
        <w:instrText>/</w:instrText>
      </w:r>
      <w:r>
        <w:instrText>S</w:instrText>
      </w:r>
      <w:r w:rsidRPr="007D30B5">
        <w:rPr>
          <w:lang w:val="ru-RU"/>
        </w:rPr>
        <w:instrText>25-</w:instrText>
      </w:r>
      <w:r>
        <w:instrText>CWGFHR</w:instrText>
      </w:r>
      <w:r w:rsidRPr="007D30B5">
        <w:rPr>
          <w:lang w:val="ru-RU"/>
        </w:rPr>
        <w:instrText>20-</w:instrText>
      </w:r>
      <w:r>
        <w:instrText>C</w:instrText>
      </w:r>
      <w:r w:rsidRPr="007D30B5">
        <w:rPr>
          <w:lang w:val="ru-RU"/>
        </w:rPr>
        <w:instrText>-0008/</w:instrText>
      </w:r>
      <w:r>
        <w:instrText>en</w:instrText>
      </w:r>
      <w:r w:rsidRPr="007D30B5">
        <w:rPr>
          <w:lang w:val="ru-RU"/>
        </w:rPr>
        <w:instrText>"</w:instrText>
      </w:r>
      <w:r>
        <w:fldChar w:fldCharType="separate"/>
      </w:r>
      <w:r w:rsidRPr="008B3F38">
        <w:rPr>
          <w:rStyle w:val="Hyperlink"/>
          <w:lang w:val="ru-RU"/>
        </w:rPr>
        <w:t>CWG-FHR-20/8</w:t>
      </w:r>
      <w:r>
        <w:fldChar w:fldCharType="end"/>
      </w:r>
      <w:r w:rsidRPr="008B3F38">
        <w:rPr>
          <w:bCs/>
          <w:lang w:val="ru-RU"/>
        </w:rPr>
        <w:t>), который был представлен Рабочей группе Совета по финансовым и людским ресурсам в феврале 2025 года. В документе излагается долгосрочная концепция приведения физической инфраструктуры Союза в соответствие с его стратегическими целями и оперативными потребностями, при одновременном решении финансовых и функциональных проблем, связанных с устаревающим комплексом зданий.</w:t>
      </w:r>
    </w:p>
    <w:p w14:paraId="72238738" w14:textId="24F81AA5" w:rsidR="00E84E89" w:rsidRPr="008B3F38" w:rsidRDefault="00E84E89" w:rsidP="00E84E89">
      <w:pPr>
        <w:tabs>
          <w:tab w:val="clear" w:pos="794"/>
          <w:tab w:val="left" w:pos="774"/>
        </w:tabs>
        <w:rPr>
          <w:bCs/>
          <w:lang w:val="ru-RU"/>
        </w:rPr>
      </w:pPr>
      <w:r w:rsidRPr="008B3F38">
        <w:rPr>
          <w:b/>
          <w:lang w:val="ru-RU"/>
        </w:rPr>
        <w:t>3.16</w:t>
      </w:r>
      <w:r w:rsidRPr="008B3F38">
        <w:rPr>
          <w:bCs/>
          <w:lang w:val="ru-RU"/>
        </w:rPr>
        <w:tab/>
        <w:t xml:space="preserve">Стратегический план основан на ряде руководящих принципов, включая финансовую жизнеспособность, экологическую устойчивость, технологическую интеграцию, гибкий и ориентированный на потребности людей дизайн рабочего пространства и поиск возможностей для сотрудничества. Секретариат запросил данные в поддержку своего подхода, опираясь на результаты анализа загруженности помещений, отзывы сотрудников, результаты сравнительного анализа и предварительного финансового анализа. Предложение консолидировать рабочие пространства и конференц-залы за счет более эффективного использования существующих зданий и гибких моделей работы отражает то, как другие </w:t>
      </w:r>
      <w:r w:rsidRPr="008B3F38">
        <w:rPr>
          <w:bCs/>
          <w:lang w:val="ru-RU"/>
        </w:rPr>
        <w:lastRenderedPageBreak/>
        <w:t>организации государственного сектора стремятся максимально эффективно использовать свою</w:t>
      </w:r>
      <w:r w:rsidR="007F2A6E" w:rsidRPr="008B3F38">
        <w:rPr>
          <w:bCs/>
          <w:lang w:val="ru-RU"/>
        </w:rPr>
        <w:t> </w:t>
      </w:r>
      <w:r w:rsidRPr="008B3F38">
        <w:rPr>
          <w:bCs/>
          <w:lang w:val="ru-RU"/>
        </w:rPr>
        <w:t>недвижимость.</w:t>
      </w:r>
    </w:p>
    <w:p w14:paraId="5807608F" w14:textId="61C4A795" w:rsidR="00E84E89" w:rsidRPr="008B3F38" w:rsidRDefault="00E84E89" w:rsidP="00E84E89">
      <w:pPr>
        <w:tabs>
          <w:tab w:val="clear" w:pos="794"/>
          <w:tab w:val="left" w:pos="774"/>
        </w:tabs>
        <w:rPr>
          <w:bCs/>
          <w:lang w:val="ru-RU"/>
        </w:rPr>
      </w:pPr>
      <w:r w:rsidRPr="008B3F38">
        <w:rPr>
          <w:b/>
          <w:lang w:val="ru-RU"/>
        </w:rPr>
        <w:t>3.17</w:t>
      </w:r>
      <w:r w:rsidRPr="008B3F38">
        <w:rPr>
          <w:bCs/>
          <w:lang w:val="ru-RU"/>
        </w:rPr>
        <w:tab/>
        <w:t>В нашем обзоре стратегии мы отметили, что в ней не уделяется должного внимания одному из наиболее важных структурных финансовых аспектов: высоким расходам на эксплуатацию и материально-техническое обслуживание зданий штаб-квартиры в Женеве. Несмотря на то, что в ней кратко упоминается потенциальное воздействие децентрализации, региональной деятельности и оперативной эффективности, не был проведен подробный анализ для того, чтобы определить, могут ли определенные функции выполняться более эффективно с точки зрения затрат в местах, где затраты ниже, или в рамках системы ООН, либо с использованием гибридных операционных моделей.</w:t>
      </w:r>
    </w:p>
    <w:p w14:paraId="2E103979" w14:textId="75AAAE4F" w:rsidR="00E84E89" w:rsidRPr="008B3F38" w:rsidRDefault="00E84E89" w:rsidP="00E84E89">
      <w:pPr>
        <w:tabs>
          <w:tab w:val="clear" w:pos="794"/>
          <w:tab w:val="left" w:pos="774"/>
        </w:tabs>
        <w:rPr>
          <w:bCs/>
          <w:lang w:val="ru-RU"/>
        </w:rPr>
      </w:pPr>
      <w:r w:rsidRPr="008B3F38">
        <w:rPr>
          <w:b/>
          <w:lang w:val="ru-RU"/>
        </w:rPr>
        <w:t>3.18</w:t>
      </w:r>
      <w:r w:rsidRPr="008B3F38">
        <w:rPr>
          <w:b/>
          <w:lang w:val="ru-RU"/>
        </w:rPr>
        <w:tab/>
      </w:r>
      <w:r w:rsidRPr="008B3F38">
        <w:rPr>
          <w:bCs/>
          <w:lang w:val="ru-RU"/>
        </w:rPr>
        <w:t>Мы считаем, что в процессе дальнейшей разработки стратегии в отношении комплекса зданий, важно провести тщательный сценарный анализ вариантов децентрализации. Это</w:t>
      </w:r>
      <w:r w:rsidR="007F2A6E" w:rsidRPr="008B3F38">
        <w:rPr>
          <w:bCs/>
          <w:lang w:val="ru-RU"/>
        </w:rPr>
        <w:t> </w:t>
      </w:r>
      <w:r w:rsidRPr="008B3F38">
        <w:rPr>
          <w:bCs/>
          <w:lang w:val="ru-RU"/>
        </w:rPr>
        <w:t>включает технико-экономическое обоснование и оценку эффективности переноса непрофильных или вспомогательных функций в другие места. Это может включать определение возможных мест расположения с учетом имеющихся офисных площадей МСЭ, и оценку любого потенциального воздействия на предоставление услуг и координацию. Учет</w:t>
      </w:r>
      <w:r w:rsidR="007F2A6E" w:rsidRPr="008B3F38">
        <w:rPr>
          <w:bCs/>
          <w:lang w:val="ru-RU"/>
        </w:rPr>
        <w:t> </w:t>
      </w:r>
      <w:r w:rsidRPr="008B3F38">
        <w:rPr>
          <w:bCs/>
          <w:lang w:val="ru-RU"/>
        </w:rPr>
        <w:t>этих соображений на следующем этапе планирования продемонстрировал бы приверженность МСЭ обеспечению эффективности своих вспомогательных функций и максимального эффективного использования ресурсов для предоставления основных услуг.</w:t>
      </w:r>
    </w:p>
    <w:p w14:paraId="3F79A389" w14:textId="3E68C07D" w:rsidR="00E84E89" w:rsidRPr="008B3F38" w:rsidRDefault="00E84E89" w:rsidP="00E84E89">
      <w:pPr>
        <w:tabs>
          <w:tab w:val="clear" w:pos="794"/>
          <w:tab w:val="left" w:pos="774"/>
        </w:tabs>
        <w:rPr>
          <w:lang w:val="ru-RU"/>
        </w:rPr>
      </w:pPr>
      <w:r w:rsidRPr="008B3F38">
        <w:rPr>
          <w:b/>
          <w:lang w:val="ru-RU"/>
        </w:rPr>
        <w:t>3.19</w:t>
      </w:r>
      <w:r w:rsidRPr="008B3F38">
        <w:rPr>
          <w:bCs/>
          <w:lang w:val="ru-RU"/>
        </w:rPr>
        <w:tab/>
        <w:t xml:space="preserve">Хотя первоначальный проект стратегического плана в отношении комплекса зданий хорошо продуман и в некоторых отношениях ориентирован на будущее, </w:t>
      </w:r>
      <w:r w:rsidRPr="008B3F38">
        <w:rPr>
          <w:b/>
          <w:lang w:val="ru-RU"/>
        </w:rPr>
        <w:t>МСЭ следует</w:t>
      </w:r>
      <w:r w:rsidRPr="008B3F38">
        <w:rPr>
          <w:bCs/>
          <w:lang w:val="ru-RU"/>
        </w:rPr>
        <w:t>:</w:t>
      </w:r>
    </w:p>
    <w:bookmarkEnd w:id="33"/>
    <w:p w14:paraId="38838AAC" w14:textId="77777777" w:rsidR="00E84E89" w:rsidRPr="008B3F38" w:rsidRDefault="00E84E89" w:rsidP="00E84E89">
      <w:pPr>
        <w:rPr>
          <w:b/>
          <w:bCs/>
          <w:lang w:val="ru-RU"/>
        </w:rPr>
      </w:pPr>
      <w:r w:rsidRPr="008B3F38">
        <w:rPr>
          <w:b/>
          <w:bCs/>
          <w:lang w:val="ru-RU"/>
        </w:rPr>
        <w:t>РЕК15: более всесторонне изучить географию присутствия и связанные с ней финансовые последствия. Такой анализ должен быть приоритетной задачей на следующем этапе разработки плана, чтобы обеспечить принятие более обоснованных решений и долгосрочную финансовую устойчивость</w:t>
      </w:r>
      <w:r w:rsidRPr="008B3F38">
        <w:rPr>
          <w:lang w:val="ru-RU"/>
        </w:rPr>
        <w:t>.</w:t>
      </w:r>
    </w:p>
    <w:p w14:paraId="296BC266" w14:textId="2DADBEEC" w:rsidR="00E84E89" w:rsidRPr="008B3F38" w:rsidRDefault="00E84E89" w:rsidP="00E84E89">
      <w:pPr>
        <w:rPr>
          <w:i/>
          <w:iCs/>
          <w:lang w:val="ru-RU"/>
        </w:rPr>
      </w:pPr>
      <w:r w:rsidRPr="008B3F38">
        <w:rPr>
          <w:i/>
          <w:iCs/>
          <w:lang w:val="ru-RU"/>
        </w:rPr>
        <w:t>Замечание руководства МСЭ: комплекс зданий МСЭ в Женеве является объектом проводимого в настоящее время более масштабного обзора географического присутствия МСЭ, целью которого является рассмотрение этого вопроса в контексте нескольких стратегических целей, включая рационализацию присутствия МСЭ в Женеве, укрепление регионального присутствия МСЭ, обеспечение непрерывности и устойчивости деятельности и повышение гибкости людских ресурсов МСЭ. Будут учтены соображения расширения присутствия существующих региональных и зональных отделений МСЭ, а</w:t>
      </w:r>
      <w:r w:rsidR="00593EB6" w:rsidRPr="008B3F38">
        <w:rPr>
          <w:i/>
          <w:iCs/>
          <w:lang w:val="ru-RU"/>
        </w:rPr>
        <w:t> </w:t>
      </w:r>
      <w:r w:rsidRPr="008B3F38">
        <w:rPr>
          <w:i/>
          <w:iCs/>
          <w:lang w:val="ru-RU"/>
        </w:rPr>
        <w:t>также будут рассмотрены возможные дополнительные места размещения МСЭ в</w:t>
      </w:r>
      <w:r w:rsidR="00593EB6" w:rsidRPr="008B3F38">
        <w:rPr>
          <w:i/>
          <w:iCs/>
          <w:lang w:val="ru-RU"/>
        </w:rPr>
        <w:t> </w:t>
      </w:r>
      <w:r w:rsidRPr="008B3F38">
        <w:rPr>
          <w:i/>
          <w:iCs/>
          <w:lang w:val="ru-RU"/>
        </w:rPr>
        <w:t>контексте существующей правовой базы МСЭ</w:t>
      </w:r>
      <w:r w:rsidRPr="008B3F38">
        <w:rPr>
          <w:lang w:val="ru-RU"/>
        </w:rPr>
        <w:t>.</w:t>
      </w:r>
    </w:p>
    <w:p w14:paraId="260D9BB2" w14:textId="77777777" w:rsidR="00E84E89" w:rsidRPr="008B3F38" w:rsidRDefault="00E84E89" w:rsidP="00426DF2">
      <w:pPr>
        <w:pStyle w:val="Heading1"/>
        <w:tabs>
          <w:tab w:val="clear" w:pos="774"/>
        </w:tabs>
        <w:ind w:left="0" w:firstLine="0"/>
        <w:rPr>
          <w:lang w:val="ru-RU"/>
        </w:rPr>
      </w:pPr>
      <w:bookmarkStart w:id="34" w:name="_Toc199491612"/>
      <w:bookmarkStart w:id="35" w:name="_Toc201047362"/>
      <w:r w:rsidRPr="008B3F38">
        <w:rPr>
          <w:lang w:val="ru-RU"/>
        </w:rPr>
        <w:t>Региональное присутствие МСЭ</w:t>
      </w:r>
      <w:bookmarkEnd w:id="34"/>
      <w:bookmarkEnd w:id="35"/>
    </w:p>
    <w:p w14:paraId="731AD0EE" w14:textId="27B43DFE" w:rsidR="00E84E89" w:rsidRPr="008B3F38" w:rsidRDefault="00E84E89" w:rsidP="00E84E89">
      <w:pPr>
        <w:tabs>
          <w:tab w:val="clear" w:pos="794"/>
          <w:tab w:val="left" w:pos="774"/>
        </w:tabs>
        <w:rPr>
          <w:bCs/>
          <w:lang w:val="ru-RU"/>
        </w:rPr>
      </w:pPr>
      <w:r w:rsidRPr="008B3F38">
        <w:rPr>
          <w:b/>
          <w:lang w:val="ru-RU"/>
        </w:rPr>
        <w:t>3.20</w:t>
      </w:r>
      <w:r w:rsidRPr="008B3F38">
        <w:rPr>
          <w:bCs/>
          <w:lang w:val="ru-RU"/>
        </w:rPr>
        <w:tab/>
        <w:t>В ходе аудита, проведенного нами в 2024 году, мы проанализировали управление проектами и другие операции Регионального отделения МСЭ для Азиатско-Тихоокеанского региона. Это стало частью нашего более широкого обзора регионального присутствия МСЭ, проводимого в соответствии с Решением 25 (Пересм. Бухарест, 2022 г.) Полномочной конференции, которое предусматривает повышение эффективности управления, усиление подотчетности и повышение стратегической согласованности децентрализованно выполняемых функций МСЭ. Наши выводы, хотя и являются результатом анализа деятельности только одного регионального отделения, подчеркивают более широкие системные проблемы, актуальные в контексте продолжающегося обзора регионального присутствия МСЭ, проводимого в соответствии с Резолюцией 25.</w:t>
      </w:r>
    </w:p>
    <w:p w14:paraId="66CE2F6C" w14:textId="2FEE0C14" w:rsidR="00E84E89" w:rsidRPr="008B3F38" w:rsidRDefault="00E84E89" w:rsidP="00E84E89">
      <w:pPr>
        <w:tabs>
          <w:tab w:val="clear" w:pos="794"/>
          <w:tab w:val="left" w:pos="774"/>
        </w:tabs>
        <w:rPr>
          <w:bCs/>
          <w:lang w:val="ru-RU"/>
        </w:rPr>
      </w:pPr>
      <w:r w:rsidRPr="008B3F38">
        <w:rPr>
          <w:b/>
          <w:lang w:val="ru-RU"/>
        </w:rPr>
        <w:t>3.21</w:t>
      </w:r>
      <w:r w:rsidRPr="008B3F38">
        <w:rPr>
          <w:bCs/>
          <w:lang w:val="ru-RU"/>
        </w:rPr>
        <w:tab/>
        <w:t xml:space="preserve">МСЭ приступил к всестороннему обзору своего регионального присутствия под руководством Рабочей группы Совета по финансовым и людским ресурсам (РГС-ФЛР). В Круге </w:t>
      </w:r>
      <w:r w:rsidRPr="008B3F38">
        <w:rPr>
          <w:bCs/>
          <w:lang w:val="ru-RU"/>
        </w:rPr>
        <w:lastRenderedPageBreak/>
        <w:t>ведения, разработанном Группой, работающей по переписке, и одобренном на 20</w:t>
      </w:r>
      <w:r w:rsidR="00593EB6" w:rsidRPr="008B3F38">
        <w:rPr>
          <w:rFonts w:ascii="Cambria Math" w:hAnsi="Cambria Math"/>
          <w:bCs/>
          <w:lang w:val="ru-RU"/>
        </w:rPr>
        <w:t>‑</w:t>
      </w:r>
      <w:r w:rsidRPr="008B3F38">
        <w:rPr>
          <w:bCs/>
          <w:lang w:val="ru-RU"/>
        </w:rPr>
        <w:t>м</w:t>
      </w:r>
      <w:r w:rsidR="00593EB6" w:rsidRPr="008B3F38">
        <w:rPr>
          <w:bCs/>
          <w:lang w:val="ru-RU"/>
        </w:rPr>
        <w:t> </w:t>
      </w:r>
      <w:r w:rsidRPr="008B3F38">
        <w:rPr>
          <w:bCs/>
          <w:lang w:val="ru-RU"/>
        </w:rPr>
        <w:t>собрании РГС-ФЛР, определена надежная основа для оценки результативности, эффективности и соответствия деятельности региональных и зональных отделений стратегическим целям МСЭ. Этот обзор, заключительный отчет по которому должен быть представлен в апреле 2026</w:t>
      </w:r>
      <w:r w:rsidR="00593EB6" w:rsidRPr="008B3F38">
        <w:rPr>
          <w:bCs/>
          <w:lang w:val="ru-RU"/>
        </w:rPr>
        <w:t> </w:t>
      </w:r>
      <w:r w:rsidRPr="008B3F38">
        <w:rPr>
          <w:bCs/>
          <w:lang w:val="ru-RU"/>
        </w:rPr>
        <w:t>года, представляется методологически обоснованным и охватывающим достаточно широкий круг вопросов, причем особое внимание уделено эффективности, интеграции со Стратегическим планом и Кигалийским планом действий, а также согласованию с рамочными программами ООН в области развития.</w:t>
      </w:r>
    </w:p>
    <w:p w14:paraId="0EFE30E8" w14:textId="01B12E5C" w:rsidR="00E84E89" w:rsidRPr="008B3F38" w:rsidRDefault="00E84E89" w:rsidP="00E84E89">
      <w:pPr>
        <w:tabs>
          <w:tab w:val="clear" w:pos="794"/>
          <w:tab w:val="left" w:pos="774"/>
        </w:tabs>
        <w:rPr>
          <w:bCs/>
          <w:lang w:val="ru-RU"/>
        </w:rPr>
      </w:pPr>
      <w:r w:rsidRPr="008B3F38">
        <w:rPr>
          <w:b/>
          <w:lang w:val="ru-RU"/>
        </w:rPr>
        <w:t>3.22</w:t>
      </w:r>
      <w:r w:rsidRPr="008B3F38">
        <w:rPr>
          <w:bCs/>
          <w:lang w:val="ru-RU"/>
        </w:rPr>
        <w:tab/>
        <w:t>В Круге ведения МСЭ подчеркивается важность показателей эффективности и оперативной согласованности. Однако в настоящее время не существует каких-либо требований в отношении официальных планов работы на уровне региональных отделений, которые определяли бы реализацию Оперативного плана МСЭ-D или решение приоритетных задач, установленных в Кигалийском плане действий. По нашему мнению, структурированный план работы на год, в котором установлены измеримые KPI, может усилить подотчетность, обеспечить отслеживание результатов и систематически демонстрировать то, как деятельность МСЭ в регионах способствует достижению глобальных целей Союза.</w:t>
      </w:r>
    </w:p>
    <w:p w14:paraId="48A6F29F" w14:textId="054C2A6F" w:rsidR="00E84E89" w:rsidRPr="008B3F38" w:rsidRDefault="00E84E89" w:rsidP="00E84E89">
      <w:pPr>
        <w:tabs>
          <w:tab w:val="clear" w:pos="794"/>
          <w:tab w:val="left" w:pos="774"/>
        </w:tabs>
        <w:rPr>
          <w:bCs/>
          <w:lang w:val="ru-RU"/>
        </w:rPr>
      </w:pPr>
      <w:r w:rsidRPr="008B3F38">
        <w:rPr>
          <w:b/>
          <w:lang w:val="ru-RU"/>
        </w:rPr>
        <w:t>3.23</w:t>
      </w:r>
      <w:r w:rsidRPr="008B3F38">
        <w:rPr>
          <w:bCs/>
          <w:lang w:val="ru-RU"/>
        </w:rPr>
        <w:tab/>
        <w:t xml:space="preserve">Несмотря на то, что в Круге ведения особое внимание уделяется управлению и подотчетности, как было подчеркнуто ранее в настоящем отчете, в деятельности МСЭ есть определенные системные недостатки, в том числе в работе региональных отделений. Обзор регионального присутствия МСЭ предоставляет важную возможность устранить эти давно существующие недостатки. По мере того, как организация продолжает проводить этот обзор, </w:t>
      </w:r>
      <w:r w:rsidRPr="008B3F38">
        <w:rPr>
          <w:b/>
          <w:lang w:val="ru-RU"/>
        </w:rPr>
        <w:t>МСЭ следует</w:t>
      </w:r>
      <w:r w:rsidRPr="008B3F38">
        <w:rPr>
          <w:bCs/>
          <w:lang w:val="ru-RU"/>
        </w:rPr>
        <w:t>:</w:t>
      </w:r>
    </w:p>
    <w:p w14:paraId="47B69C65" w14:textId="5604A1D7" w:rsidR="00E84E89" w:rsidRPr="008B3F38" w:rsidRDefault="00E84E89" w:rsidP="00E84E89">
      <w:pPr>
        <w:rPr>
          <w:b/>
          <w:bCs/>
          <w:lang w:val="ru-RU"/>
        </w:rPr>
      </w:pPr>
      <w:r w:rsidRPr="008B3F38">
        <w:rPr>
          <w:b/>
          <w:bCs/>
          <w:lang w:val="ru-RU"/>
        </w:rPr>
        <w:t>РЕК16: издать временные руководящие указания для региональных отделений, поручив им разработать согласованные с приоритетами МСЭ планы работы на год, в которых должны быть установлены соответствующие показатели эффективности</w:t>
      </w:r>
      <w:r w:rsidRPr="008B3F38">
        <w:rPr>
          <w:lang w:val="ru-RU"/>
        </w:rPr>
        <w:t>.</w:t>
      </w:r>
    </w:p>
    <w:p w14:paraId="439AB857" w14:textId="77777777" w:rsidR="00E84E89" w:rsidRPr="008B3F38" w:rsidRDefault="00E84E89" w:rsidP="00E84E89">
      <w:pPr>
        <w:rPr>
          <w:i/>
          <w:iCs/>
          <w:lang w:val="ru-RU"/>
        </w:rPr>
      </w:pPr>
      <w:r w:rsidRPr="008B3F38">
        <w:rPr>
          <w:i/>
          <w:iCs/>
          <w:lang w:val="ru-RU"/>
        </w:rPr>
        <w:t>Замечание руководства МСЭ: региональные отделения представляют всю совокупность деятельности МСЭ, и поэтому будут установлены общеорганизационные приоритеты в контексте процесса оперативного планирования, в рамках которого совместно со всеми региональными и зональными отделениями в планах работы будут определены базовые затраты, установлены KPI и связанные с их деятельностью риски. В настоящее время в рамках БРЭ все оперативные планы разрабатываются в координации с сотрудниками региональных и зональных отделений. Управление межрегиональными проектами осуществляется штаб-квартирой, а управление отдельными страновыми/региональными проектами – на региональном уровне. Структура управления проектами включает Руководящий комитет, который координирует весь портфель проектов.</w:t>
      </w:r>
    </w:p>
    <w:p w14:paraId="219EBFCB" w14:textId="77777777" w:rsidR="00E84E89" w:rsidRPr="008B3F38" w:rsidRDefault="00E84E89" w:rsidP="00E84E89">
      <w:pPr>
        <w:tabs>
          <w:tab w:val="clear" w:pos="794"/>
          <w:tab w:val="left" w:pos="774"/>
        </w:tabs>
        <w:rPr>
          <w:bCs/>
          <w:lang w:val="ru-RU"/>
        </w:rPr>
      </w:pPr>
      <w:r w:rsidRPr="008B3F38">
        <w:rPr>
          <w:b/>
          <w:lang w:val="ru-RU"/>
        </w:rPr>
        <w:t>3.24</w:t>
      </w:r>
      <w:r w:rsidRPr="008B3F38">
        <w:rPr>
          <w:bCs/>
          <w:lang w:val="ru-RU"/>
        </w:rPr>
        <w:tab/>
        <w:t xml:space="preserve">Решая эти приоритетные задачи параллельно с более широким процессом обзора в соответствии с Резолюцией 25, МСЭ может более </w:t>
      </w:r>
      <w:proofErr w:type="gramStart"/>
      <w:r w:rsidRPr="008B3F38">
        <w:rPr>
          <w:bCs/>
          <w:lang w:val="ru-RU"/>
        </w:rPr>
        <w:t>наглядно продемонстрировать</w:t>
      </w:r>
      <w:proofErr w:type="gramEnd"/>
      <w:r w:rsidRPr="008B3F38">
        <w:rPr>
          <w:bCs/>
          <w:lang w:val="ru-RU"/>
        </w:rPr>
        <w:t xml:space="preserve"> свою приверженность подотчетности, прозрачности и достижению своих стратегических целей благодаря усиленному и устойчивому региональному присутствию.</w:t>
      </w:r>
    </w:p>
    <w:p w14:paraId="62308E95" w14:textId="77777777" w:rsidR="00E84E89" w:rsidRPr="008B3F38" w:rsidRDefault="00E84E89" w:rsidP="00E84E89">
      <w:pPr>
        <w:overflowPunct/>
        <w:autoSpaceDE/>
        <w:autoSpaceDN/>
        <w:adjustRightInd/>
        <w:spacing w:before="0"/>
        <w:textAlignment w:val="auto"/>
        <w:rPr>
          <w:lang w:val="ru-RU"/>
        </w:rPr>
      </w:pPr>
      <w:r w:rsidRPr="008B3F38">
        <w:rPr>
          <w:lang w:val="ru-RU"/>
        </w:rPr>
        <w:br w:type="page"/>
      </w:r>
    </w:p>
    <w:p w14:paraId="7BDAE109" w14:textId="77777777" w:rsidR="00E84E89" w:rsidRPr="008B3F38" w:rsidRDefault="00E84E89" w:rsidP="00426DF2">
      <w:pPr>
        <w:pStyle w:val="Heading1"/>
        <w:tabs>
          <w:tab w:val="clear" w:pos="774"/>
        </w:tabs>
        <w:ind w:left="0" w:firstLine="0"/>
        <w:rPr>
          <w:lang w:val="ru-RU"/>
        </w:rPr>
      </w:pPr>
      <w:bookmarkStart w:id="36" w:name="_Toc199491613"/>
      <w:bookmarkStart w:id="37" w:name="_Toc201047363"/>
      <w:r w:rsidRPr="008B3F38">
        <w:rPr>
          <w:lang w:val="ru-RU"/>
        </w:rPr>
        <w:lastRenderedPageBreak/>
        <w:t>Часть четвертая</w:t>
      </w:r>
      <w:bookmarkEnd w:id="36"/>
      <w:bookmarkEnd w:id="37"/>
    </w:p>
    <w:p w14:paraId="16F82097" w14:textId="77777777" w:rsidR="00E84E89" w:rsidRPr="008B3F38" w:rsidRDefault="00E84E89" w:rsidP="00426DF2">
      <w:pPr>
        <w:pStyle w:val="Heading1"/>
        <w:tabs>
          <w:tab w:val="clear" w:pos="774"/>
        </w:tabs>
        <w:ind w:left="0" w:firstLine="0"/>
        <w:rPr>
          <w:lang w:val="ru-RU"/>
        </w:rPr>
      </w:pPr>
      <w:bookmarkStart w:id="38" w:name="_Toc137224233"/>
      <w:bookmarkStart w:id="39" w:name="_Toc199491614"/>
      <w:bookmarkStart w:id="40" w:name="_Toc201047364"/>
      <w:r w:rsidRPr="008B3F38">
        <w:rPr>
          <w:lang w:val="ru-RU"/>
        </w:rPr>
        <w:t>Ранее вынесенные рекомендации</w:t>
      </w:r>
      <w:bookmarkEnd w:id="38"/>
      <w:bookmarkEnd w:id="39"/>
      <w:bookmarkEnd w:id="40"/>
    </w:p>
    <w:p w14:paraId="48070052" w14:textId="122BD555" w:rsidR="00E84E89" w:rsidRPr="008B3F38" w:rsidRDefault="00E84E89" w:rsidP="00E84E89">
      <w:pPr>
        <w:tabs>
          <w:tab w:val="clear" w:pos="794"/>
          <w:tab w:val="left" w:pos="774"/>
        </w:tabs>
        <w:rPr>
          <w:bCs/>
          <w:lang w:val="ru-RU"/>
        </w:rPr>
      </w:pPr>
      <w:r w:rsidRPr="008B3F38">
        <w:rPr>
          <w:b/>
          <w:lang w:val="ru-RU"/>
        </w:rPr>
        <w:t>4.1</w:t>
      </w:r>
      <w:r w:rsidRPr="008B3F38">
        <w:rPr>
          <w:bCs/>
          <w:lang w:val="ru-RU"/>
        </w:rPr>
        <w:tab/>
        <w:t>В мае 2024 года Генеральный секретарь поручила ответственным за процессы и соответствующим руководителям в МСЭ провести всеобъемлющий обзор всех оставшихся невыполненными рекомендаций. Реагирование на рекомендации внешнего аудитора и их выполнение является обязанностью руководства, а наша отчетность официально подтверждает статус каждой из рекомендаций для Членов.</w:t>
      </w:r>
    </w:p>
    <w:p w14:paraId="4FA41DDC" w14:textId="7854873A" w:rsidR="00E84E89" w:rsidRPr="008B3F38" w:rsidRDefault="00E84E89" w:rsidP="00E84E89">
      <w:pPr>
        <w:tabs>
          <w:tab w:val="clear" w:pos="794"/>
          <w:tab w:val="left" w:pos="774"/>
        </w:tabs>
        <w:rPr>
          <w:bCs/>
          <w:lang w:val="ru-RU"/>
        </w:rPr>
      </w:pPr>
      <w:r w:rsidRPr="008B3F38">
        <w:rPr>
          <w:b/>
          <w:lang w:val="ru-RU"/>
        </w:rPr>
        <w:t>4.2</w:t>
      </w:r>
      <w:r w:rsidRPr="008B3F38">
        <w:rPr>
          <w:bCs/>
          <w:lang w:val="ru-RU"/>
        </w:rPr>
        <w:tab/>
        <w:t>С тех пор, как мы начали работать в рамках нашего мандата мы представили Совету</w:t>
      </w:r>
      <w:r w:rsidR="00593EB6" w:rsidRPr="008B3F38">
        <w:rPr>
          <w:bCs/>
          <w:lang w:val="ru-RU"/>
        </w:rPr>
        <w:t>-</w:t>
      </w:r>
      <w:r w:rsidRPr="008B3F38">
        <w:rPr>
          <w:bCs/>
          <w:lang w:val="ru-RU"/>
        </w:rPr>
        <w:t>21 рекомендацию в наших отчетах. В прошлом году были закрыты пять рекомендаций. Из</w:t>
      </w:r>
      <w:r w:rsidR="00593EB6" w:rsidRPr="008B3F38">
        <w:rPr>
          <w:bCs/>
          <w:lang w:val="ru-RU"/>
        </w:rPr>
        <w:t> </w:t>
      </w:r>
      <w:r w:rsidRPr="008B3F38">
        <w:rPr>
          <w:bCs/>
          <w:lang w:val="ru-RU"/>
        </w:rPr>
        <w:t>оставшихся шестнадцати рекомендаций МСЭ выполнил четыре, и мы закрыли еще одну рекомендацию по ЮНСМИС как невыполненную (Рекомендация № 9 от 2022 г.). Девять</w:t>
      </w:r>
      <w:r w:rsidR="007F2A6E" w:rsidRPr="008B3F38">
        <w:rPr>
          <w:bCs/>
          <w:lang w:val="ru-RU"/>
        </w:rPr>
        <w:t> </w:t>
      </w:r>
      <w:r w:rsidRPr="008B3F38">
        <w:rPr>
          <w:bCs/>
          <w:lang w:val="ru-RU"/>
        </w:rPr>
        <w:t>рекомендаций находятся в процессе выполнения, и еще две рекомендации по проекту строительства нового здания мы считаем невыполненными и остающимися открытыми. В</w:t>
      </w:r>
      <w:r w:rsidR="00593EB6" w:rsidRPr="008B3F38">
        <w:rPr>
          <w:bCs/>
          <w:lang w:val="ru-RU"/>
        </w:rPr>
        <w:t> </w:t>
      </w:r>
      <w:r w:rsidRPr="008B3F38">
        <w:rPr>
          <w:bCs/>
          <w:lang w:val="ru-RU"/>
        </w:rPr>
        <w:t>Дополнении 1 представлена более подробная информация о статусе наших предыдущих</w:t>
      </w:r>
      <w:r w:rsidR="007F2A6E" w:rsidRPr="008B3F38">
        <w:rPr>
          <w:bCs/>
          <w:lang w:val="ru-RU"/>
        </w:rPr>
        <w:t> </w:t>
      </w:r>
      <w:r w:rsidRPr="008B3F38">
        <w:rPr>
          <w:bCs/>
          <w:lang w:val="ru-RU"/>
        </w:rPr>
        <w:t>рекомендаций.</w:t>
      </w:r>
    </w:p>
    <w:p w14:paraId="661A531E" w14:textId="5DD4AAE3" w:rsidR="00E84E89" w:rsidRPr="008B3F38" w:rsidRDefault="00E84E89" w:rsidP="00E84E89">
      <w:pPr>
        <w:tabs>
          <w:tab w:val="clear" w:pos="794"/>
          <w:tab w:val="left" w:pos="774"/>
        </w:tabs>
        <w:rPr>
          <w:bCs/>
          <w:lang w:val="ru-RU"/>
        </w:rPr>
      </w:pPr>
      <w:r w:rsidRPr="008B3F38">
        <w:rPr>
          <w:b/>
          <w:lang w:val="ru-RU"/>
        </w:rPr>
        <w:t>4.3</w:t>
      </w:r>
      <w:r w:rsidRPr="008B3F38">
        <w:rPr>
          <w:bCs/>
          <w:lang w:val="ru-RU"/>
        </w:rPr>
        <w:tab/>
        <w:t>В процессе обзора, проведенного по поручению Генерального секретаря, руководство пересмотрело статус открытых рекомендаций наших предшественников. Приступив к выполнению нашего мандата, мы унаследовали примерно 121 открытую рекомендацию, которые были обсуждены в нашем отчете, представленном в июне 2023 года. Ранее МСЭ разработал Инструмент отслеживания и Информационную панель по вопросам соблюдения, которая служит центральным хранилищем для всех рекомендаций, вынесенных внутренними и внешними надзорными органами. С помощью Информационной панели ведется учет ответов на рекомендации и отслеживается ход их выполнения. В мае 2025 года Секретариат представил обновленную информацию о рекомендациях, которые он считает выполненными, в виде офлайновой документации.</w:t>
      </w:r>
    </w:p>
    <w:p w14:paraId="1AF389B5" w14:textId="1B867FCC" w:rsidR="00E84E89" w:rsidRPr="008B3F38" w:rsidRDefault="00E84E89" w:rsidP="00E84E89">
      <w:pPr>
        <w:tabs>
          <w:tab w:val="clear" w:pos="794"/>
          <w:tab w:val="left" w:pos="774"/>
        </w:tabs>
        <w:rPr>
          <w:bCs/>
          <w:lang w:val="ru-RU"/>
        </w:rPr>
      </w:pPr>
      <w:r w:rsidRPr="008B3F38">
        <w:rPr>
          <w:b/>
          <w:lang w:val="ru-RU"/>
        </w:rPr>
        <w:t>4.4</w:t>
      </w:r>
      <w:r w:rsidRPr="008B3F38">
        <w:rPr>
          <w:bCs/>
          <w:lang w:val="ru-RU"/>
        </w:rPr>
        <w:tab/>
        <w:t>Мы отметили, что рекомендации, содержащиеся в двух "специальных" отчетах наших предшественников, а именно в отчете "Укрепление регионального присутствия" (Документ</w:t>
      </w:r>
      <w:r w:rsidR="00593EB6" w:rsidRPr="008B3F38">
        <w:rPr>
          <w:bCs/>
          <w:lang w:val="ru-RU"/>
        </w:rPr>
        <w:t> </w:t>
      </w:r>
      <w:hyperlink r:id="rId13" w:history="1">
        <w:r w:rsidRPr="008B3F38">
          <w:rPr>
            <w:rStyle w:val="Hyperlink"/>
            <w:lang w:val="ru-RU"/>
          </w:rPr>
          <w:t>C18/125</w:t>
        </w:r>
      </w:hyperlink>
      <w:r w:rsidRPr="008B3F38">
        <w:rPr>
          <w:lang w:val="ru-RU"/>
        </w:rPr>
        <w:t xml:space="preserve"> </w:t>
      </w:r>
      <w:r w:rsidRPr="008B3F38">
        <w:rPr>
          <w:bCs/>
          <w:lang w:val="ru-RU"/>
        </w:rPr>
        <w:t xml:space="preserve">от 9 октября 2018 г.) и их специальном отчете "Рассмотрение случая мошенничества в МСЭ" (Документ </w:t>
      </w:r>
      <w:hyperlink r:id="rId14" w:history="1">
        <w:r w:rsidRPr="008B3F38">
          <w:rPr>
            <w:rStyle w:val="Hyperlink"/>
            <w:lang w:val="ru-RU"/>
          </w:rPr>
          <w:t>C19/106</w:t>
        </w:r>
      </w:hyperlink>
      <w:r w:rsidRPr="008B3F38">
        <w:rPr>
          <w:lang w:val="ru-RU"/>
        </w:rPr>
        <w:t xml:space="preserve"> </w:t>
      </w:r>
      <w:r w:rsidRPr="008B3F38">
        <w:rPr>
          <w:bCs/>
          <w:lang w:val="ru-RU"/>
        </w:rPr>
        <w:t>от 10 июня 2019 г.), не были включены в Инструмент отслеживания соблюдения или в офлайновую документацию, и, следовательно, связанные с ними 24</w:t>
      </w:r>
      <w:r w:rsidR="00593EB6" w:rsidRPr="008B3F38">
        <w:rPr>
          <w:bCs/>
          <w:lang w:val="ru-RU"/>
        </w:rPr>
        <w:t> </w:t>
      </w:r>
      <w:r w:rsidRPr="008B3F38">
        <w:rPr>
          <w:bCs/>
          <w:lang w:val="ru-RU"/>
        </w:rPr>
        <w:t>рекомендации, остававшиеся открытыми в конце срока действия мандата нашего предшественника, не были активно рассмотрены Секретариатом МСЭ и фактически были потеряны из виду.</w:t>
      </w:r>
    </w:p>
    <w:p w14:paraId="0BF69623" w14:textId="37B32FF8" w:rsidR="00E84E89" w:rsidRPr="008B3F38" w:rsidRDefault="00E84E89" w:rsidP="00E84E89">
      <w:pPr>
        <w:tabs>
          <w:tab w:val="clear" w:pos="794"/>
          <w:tab w:val="left" w:pos="774"/>
        </w:tabs>
        <w:rPr>
          <w:bCs/>
          <w:lang w:val="ru-RU"/>
        </w:rPr>
      </w:pPr>
      <w:r w:rsidRPr="008B3F38">
        <w:rPr>
          <w:b/>
          <w:lang w:val="ru-RU"/>
        </w:rPr>
        <w:t>4.5</w:t>
      </w:r>
      <w:r w:rsidRPr="008B3F38">
        <w:rPr>
          <w:bCs/>
          <w:lang w:val="ru-RU"/>
        </w:rPr>
        <w:tab/>
        <w:t>После нашего вмешательства была представлена обновленная информация, которая была включена в Дополнение 2. Пять рекомендаций из отчета "Рассмотрение случая мошенничества в МСЭ" не были выполнены (№№ 4, 5, 6, 7 и 16), но мы заменили три из них нашими соответствующими рекомендациями с учетом изменений, внесенных со времени представления отчета нашего предшественника. МСЭ добился меньшего прогресса в выполнении рекомендаций 2018 года по "укреплению регионального присутствия", восемь из которых остаются открытыми, и многие из вопросов, поднятых в ходе посещения нами Азиатско-Тихоокеанского регионального отделения, согласуются с темами, названными нашими предшественниками.</w:t>
      </w:r>
    </w:p>
    <w:p w14:paraId="0DEA64BB" w14:textId="101FAC89" w:rsidR="00E84E89" w:rsidRPr="008B3F38" w:rsidRDefault="00E84E89" w:rsidP="00E84E89">
      <w:pPr>
        <w:tabs>
          <w:tab w:val="clear" w:pos="794"/>
          <w:tab w:val="left" w:pos="774"/>
        </w:tabs>
        <w:rPr>
          <w:bCs/>
          <w:lang w:val="ru-RU"/>
        </w:rPr>
      </w:pPr>
      <w:r w:rsidRPr="008B3F38">
        <w:rPr>
          <w:b/>
          <w:lang w:val="ru-RU"/>
        </w:rPr>
        <w:t>4.6</w:t>
      </w:r>
      <w:r w:rsidRPr="008B3F38">
        <w:rPr>
          <w:bCs/>
          <w:lang w:val="ru-RU"/>
        </w:rPr>
        <w:tab/>
        <w:t xml:space="preserve">Что касается "специального" отчета нашего предшественника "Региональное отделение для Северной и Южной Америки" (Документ </w:t>
      </w:r>
      <w:hyperlink r:id="rId15" w:history="1">
        <w:r w:rsidRPr="008B3F38">
          <w:rPr>
            <w:rStyle w:val="Hyperlink"/>
            <w:lang w:val="ru-RU"/>
          </w:rPr>
          <w:t>C22/104</w:t>
        </w:r>
      </w:hyperlink>
      <w:r w:rsidRPr="008B3F38">
        <w:rPr>
          <w:lang w:val="ru-RU"/>
        </w:rPr>
        <w:t xml:space="preserve"> </w:t>
      </w:r>
      <w:r w:rsidRPr="008B3F38">
        <w:rPr>
          <w:bCs/>
          <w:lang w:val="ru-RU"/>
        </w:rPr>
        <w:t>от 6 сентября 2022 г.), то МСЭ закрыл четыре открытые рекомендации, оставив восемь рекомендаций в статусе</w:t>
      </w:r>
      <w:r w:rsidR="00CD03A9" w:rsidRPr="008B3F38">
        <w:rPr>
          <w:bCs/>
          <w:lang w:val="ru-RU"/>
        </w:rPr>
        <w:t> </w:t>
      </w:r>
      <w:r w:rsidRPr="008B3F38">
        <w:rPr>
          <w:bCs/>
          <w:lang w:val="ru-RU"/>
        </w:rPr>
        <w:t>"выполняется".</w:t>
      </w:r>
    </w:p>
    <w:p w14:paraId="74270D42" w14:textId="2A2AD033" w:rsidR="00E84E89" w:rsidRPr="008B3F38" w:rsidRDefault="00E84E89" w:rsidP="00E84E89">
      <w:pPr>
        <w:tabs>
          <w:tab w:val="clear" w:pos="794"/>
          <w:tab w:val="left" w:pos="774"/>
        </w:tabs>
        <w:rPr>
          <w:bCs/>
          <w:lang w:val="ru-RU"/>
        </w:rPr>
      </w:pPr>
      <w:r w:rsidRPr="008B3F38">
        <w:rPr>
          <w:b/>
          <w:lang w:val="ru-RU"/>
        </w:rPr>
        <w:lastRenderedPageBreak/>
        <w:t>4.7</w:t>
      </w:r>
      <w:r w:rsidRPr="008B3F38">
        <w:rPr>
          <w:bCs/>
          <w:lang w:val="ru-RU"/>
        </w:rPr>
        <w:tab/>
        <w:t>В отчете нашего предшественника по финансовой отчетности за 2021</w:t>
      </w:r>
      <w:r w:rsidR="00593EB6" w:rsidRPr="008B3F38">
        <w:rPr>
          <w:bCs/>
          <w:lang w:val="ru-RU"/>
        </w:rPr>
        <w:t> </w:t>
      </w:r>
      <w:r w:rsidRPr="008B3F38">
        <w:rPr>
          <w:bCs/>
          <w:lang w:val="ru-RU"/>
        </w:rPr>
        <w:t>год (Документ</w:t>
      </w:r>
      <w:r w:rsidR="00593EB6" w:rsidRPr="008B3F38">
        <w:rPr>
          <w:bCs/>
          <w:lang w:val="ru-RU"/>
        </w:rPr>
        <w:t> </w:t>
      </w:r>
      <w:hyperlink r:id="rId16" w:history="1">
        <w:r w:rsidRPr="008B3F38">
          <w:rPr>
            <w:rStyle w:val="Hyperlink"/>
            <w:lang w:val="ru-RU"/>
          </w:rPr>
          <w:t>C22/101</w:t>
        </w:r>
      </w:hyperlink>
      <w:r w:rsidRPr="008B3F38">
        <w:rPr>
          <w:lang w:val="ru-RU"/>
        </w:rPr>
        <w:t xml:space="preserve"> </w:t>
      </w:r>
      <w:r w:rsidRPr="008B3F38">
        <w:rPr>
          <w:bCs/>
          <w:lang w:val="ru-RU"/>
        </w:rPr>
        <w:t>от 6 сентября 2022 г</w:t>
      </w:r>
      <w:r w:rsidR="0066390F" w:rsidRPr="008B3F38">
        <w:rPr>
          <w:bCs/>
          <w:lang w:val="ru-RU"/>
        </w:rPr>
        <w:t>.</w:t>
      </w:r>
      <w:r w:rsidRPr="008B3F38">
        <w:rPr>
          <w:bCs/>
          <w:lang w:val="ru-RU"/>
        </w:rPr>
        <w:t>) содержалось 48 рекомендаций. В нашем отчете за 2022</w:t>
      </w:r>
      <w:r w:rsidR="00593EB6" w:rsidRPr="008B3F38">
        <w:rPr>
          <w:bCs/>
          <w:lang w:val="ru-RU"/>
        </w:rPr>
        <w:t> </w:t>
      </w:r>
      <w:r w:rsidRPr="008B3F38">
        <w:rPr>
          <w:bCs/>
          <w:lang w:val="ru-RU"/>
        </w:rPr>
        <w:t>год мы отметили, что Секретариат закрыл девять из них, а из оставшихся 39</w:t>
      </w:r>
      <w:r w:rsidR="00593EB6" w:rsidRPr="008B3F38">
        <w:rPr>
          <w:bCs/>
          <w:lang w:val="ru-RU"/>
        </w:rPr>
        <w:t> </w:t>
      </w:r>
      <w:r w:rsidRPr="008B3F38">
        <w:rPr>
          <w:bCs/>
          <w:lang w:val="ru-RU"/>
        </w:rPr>
        <w:t>рекомендаций еще 32 в настоящее время считаются выполненными, в результате чего семь рекомендаций остаются открытыми или находятся в процессе выполнения.</w:t>
      </w:r>
    </w:p>
    <w:p w14:paraId="19348714" w14:textId="79BCA2FE" w:rsidR="00E84E89" w:rsidRPr="008B3F38" w:rsidRDefault="00E84E89" w:rsidP="00E84E89">
      <w:pPr>
        <w:tabs>
          <w:tab w:val="clear" w:pos="794"/>
          <w:tab w:val="left" w:pos="774"/>
        </w:tabs>
        <w:rPr>
          <w:bCs/>
          <w:lang w:val="ru-RU"/>
        </w:rPr>
      </w:pPr>
      <w:r w:rsidRPr="008B3F38">
        <w:rPr>
          <w:b/>
          <w:lang w:val="ru-RU"/>
        </w:rPr>
        <w:t>4.8</w:t>
      </w:r>
      <w:r w:rsidRPr="008B3F38">
        <w:rPr>
          <w:bCs/>
          <w:lang w:val="ru-RU"/>
        </w:rPr>
        <w:tab/>
        <w:t>В предыдущих отчетах нашего предшественника по финансовой отчетности содержалось еще 11 открытых рекомендаций. Восемь из них закрыты и три остаются открытыми. В Дополнении 2 представлена более подробная информация о статусе рекомендаций наших предшественников.</w:t>
      </w:r>
    </w:p>
    <w:p w14:paraId="0F2EC58A" w14:textId="54C5E12F" w:rsidR="00E84E89" w:rsidRPr="008B3F38" w:rsidRDefault="00E84E89" w:rsidP="00E84E89">
      <w:pPr>
        <w:tabs>
          <w:tab w:val="clear" w:pos="794"/>
          <w:tab w:val="left" w:pos="774"/>
        </w:tabs>
        <w:rPr>
          <w:bCs/>
          <w:lang w:val="ru-RU"/>
        </w:rPr>
      </w:pPr>
      <w:r w:rsidRPr="008B3F38">
        <w:rPr>
          <w:b/>
          <w:lang w:val="ru-RU"/>
        </w:rPr>
        <w:t>4.9</w:t>
      </w:r>
      <w:r w:rsidRPr="008B3F38">
        <w:rPr>
          <w:bCs/>
          <w:lang w:val="ru-RU"/>
        </w:rPr>
        <w:tab/>
        <w:t>Хотя информационная панель по вопросам соблюдения является полезным инструментом для руководства и IMAC, ее практическая ценность существенно снижается из-за того, что она остается незавершенной или используется в качестве единственного хранилища информации о ходе выполнения рекомендаций. Более того, нами установлено, что процесс отслеживания и оценки прогресса в выполнении открытых рекомендаций не является систематическим и не управляется должным образом. По нашему мнению, МСЭ не учел в достаточной степени замечания предыдущего внешнего аудитора.</w:t>
      </w:r>
    </w:p>
    <w:p w14:paraId="105CE640" w14:textId="77777777" w:rsidR="00E84E89" w:rsidRPr="008B3F38" w:rsidRDefault="00E84E89" w:rsidP="00E84E89">
      <w:pPr>
        <w:rPr>
          <w:b/>
          <w:bCs/>
          <w:lang w:val="ru-RU"/>
        </w:rPr>
      </w:pPr>
      <w:r w:rsidRPr="008B3F38">
        <w:rPr>
          <w:b/>
          <w:bCs/>
          <w:lang w:val="ru-RU"/>
        </w:rPr>
        <w:t>МСЭ следует</w:t>
      </w:r>
      <w:r w:rsidRPr="008B3F38">
        <w:rPr>
          <w:lang w:val="ru-RU"/>
        </w:rPr>
        <w:t>:</w:t>
      </w:r>
    </w:p>
    <w:p w14:paraId="56F9D1AE" w14:textId="0EC1B0B8" w:rsidR="00E84E89" w:rsidRPr="008B3F38" w:rsidRDefault="00E84E89" w:rsidP="00E84E89">
      <w:pPr>
        <w:rPr>
          <w:b/>
          <w:bCs/>
          <w:lang w:val="ru-RU"/>
        </w:rPr>
      </w:pPr>
      <w:r w:rsidRPr="008B3F38">
        <w:rPr>
          <w:b/>
          <w:bCs/>
          <w:lang w:val="ru-RU"/>
        </w:rPr>
        <w:t>РЕК17: рекомендовать Секретариату МСЭ наладить систематический процесс отслеживания выполнения открытых рекомендаций с использованием существующих инструментов</w:t>
      </w:r>
      <w:r w:rsidRPr="008B3F38">
        <w:rPr>
          <w:lang w:val="ru-RU"/>
        </w:rPr>
        <w:t>.</w:t>
      </w:r>
    </w:p>
    <w:p w14:paraId="48EDF566" w14:textId="3997C733" w:rsidR="00E84E89" w:rsidRPr="008B3F38" w:rsidRDefault="00E84E89" w:rsidP="00E84E89">
      <w:pPr>
        <w:rPr>
          <w:b/>
          <w:bCs/>
          <w:lang w:val="ru-RU"/>
        </w:rPr>
      </w:pPr>
      <w:r w:rsidRPr="008B3F38">
        <w:rPr>
          <w:b/>
          <w:bCs/>
          <w:lang w:val="ru-RU"/>
        </w:rPr>
        <w:t>РЕК18: кроме того, Секретариату следует взаимодействовать с IMAC, регулярно отчитываясь о достигнутом прогрессе</w:t>
      </w:r>
      <w:r w:rsidRPr="008B3F38">
        <w:rPr>
          <w:lang w:val="ru-RU"/>
        </w:rPr>
        <w:t>.</w:t>
      </w:r>
    </w:p>
    <w:p w14:paraId="6BEC2730" w14:textId="5F40ADEE" w:rsidR="00E84E89" w:rsidRPr="008B3F38" w:rsidRDefault="00E84E89" w:rsidP="00E84E89">
      <w:pPr>
        <w:rPr>
          <w:i/>
          <w:iCs/>
          <w:lang w:val="ru-RU"/>
        </w:rPr>
      </w:pPr>
      <w:r w:rsidRPr="008B3F38">
        <w:rPr>
          <w:i/>
          <w:iCs/>
          <w:lang w:val="ru-RU"/>
        </w:rPr>
        <w:t>Замечание руководства МСЭ: МСЭ принял к сведению настоящую рекомендацию. МСЭ</w:t>
      </w:r>
      <w:r w:rsidR="00CD03A9" w:rsidRPr="008B3F38">
        <w:rPr>
          <w:i/>
          <w:iCs/>
          <w:lang w:val="ru-RU"/>
        </w:rPr>
        <w:t> </w:t>
      </w:r>
      <w:r w:rsidRPr="008B3F38">
        <w:rPr>
          <w:i/>
          <w:iCs/>
          <w:lang w:val="ru-RU"/>
        </w:rPr>
        <w:t>усовершенствует информационную панель по вопросам соблюдения и обеспечит структурированный и последовательный процесс отслеживания статуса всех открытых рекомендаций. Это позволит использовать существующие инструменты (</w:t>
      </w:r>
      <w:r w:rsidRPr="008B3F38">
        <w:rPr>
          <w:bCs/>
          <w:i/>
          <w:iCs/>
          <w:lang w:val="ru-RU"/>
        </w:rPr>
        <w:t>Инструмент отслеживания и Информационную панель по вопросам соблюдения</w:t>
      </w:r>
      <w:r w:rsidRPr="008B3F38">
        <w:rPr>
          <w:i/>
          <w:iCs/>
          <w:lang w:val="ru-RU"/>
        </w:rPr>
        <w:t>) для обеспечения прозрачности, своевременности принятия мер и подотчетности. На координаторов в различных департаментах будут возложены четкие обязанности, и в рамках нашего цикла внутренней отчетности будет предоставляться регулярно обновляемая информация.</w:t>
      </w:r>
    </w:p>
    <w:p w14:paraId="5DA8542C" w14:textId="77777777" w:rsidR="00E84E89" w:rsidRPr="008B3F38" w:rsidRDefault="00E84E89" w:rsidP="00E84E89">
      <w:pPr>
        <w:rPr>
          <w:i/>
          <w:iCs/>
          <w:lang w:val="ru-RU"/>
        </w:rPr>
      </w:pPr>
      <w:r w:rsidRPr="008B3F38">
        <w:rPr>
          <w:i/>
          <w:iCs/>
          <w:lang w:val="ru-RU"/>
        </w:rPr>
        <w:t>Секретариат согласен с тем, что регулярное взаимодействие с Независимым консультативным комитетом по управлению (IMAC) имеет решающее значение для усиления надзора. В повестку дня собраний IMAC будет включен постоянный пункт о представлении отчетности о ходе выполнения рекомендаций. Это позволит поддерживать конструктивный диалог, повысить эффективность управления рисками и постоянно совершенствовать все аспекты деятельности организации.</w:t>
      </w:r>
    </w:p>
    <w:p w14:paraId="1DB20004" w14:textId="77777777" w:rsidR="00E84E89" w:rsidRPr="008B3F38" w:rsidRDefault="00E84E89" w:rsidP="00593EB6">
      <w:pPr>
        <w:rPr>
          <w:bCs/>
          <w:lang w:val="ru-RU"/>
        </w:rPr>
      </w:pPr>
      <w:bookmarkStart w:id="41" w:name="_Toc137224234"/>
      <w:bookmarkStart w:id="42" w:name="_Toc199491615"/>
      <w:r w:rsidRPr="008B3F38">
        <w:rPr>
          <w:bCs/>
          <w:lang w:val="ru-RU"/>
        </w:rPr>
        <w:br w:type="page"/>
      </w:r>
    </w:p>
    <w:p w14:paraId="50B75FBC" w14:textId="77777777" w:rsidR="00E84E89" w:rsidRPr="008B3F38" w:rsidRDefault="00E84E89" w:rsidP="00426DF2">
      <w:pPr>
        <w:pStyle w:val="Heading1"/>
        <w:tabs>
          <w:tab w:val="clear" w:pos="774"/>
        </w:tabs>
        <w:ind w:left="0" w:firstLine="0"/>
        <w:rPr>
          <w:lang w:val="ru-RU"/>
        </w:rPr>
      </w:pPr>
      <w:bookmarkStart w:id="43" w:name="_Toc201047365"/>
      <w:r w:rsidRPr="008B3F38">
        <w:rPr>
          <w:lang w:val="ru-RU"/>
        </w:rPr>
        <w:lastRenderedPageBreak/>
        <w:t>Выражение признательности</w:t>
      </w:r>
      <w:bookmarkEnd w:id="41"/>
      <w:bookmarkEnd w:id="42"/>
      <w:bookmarkEnd w:id="43"/>
    </w:p>
    <w:p w14:paraId="25E097AD" w14:textId="392644BA" w:rsidR="00E84E89" w:rsidRPr="008B3F38" w:rsidRDefault="00E84E89" w:rsidP="00E84E89">
      <w:pPr>
        <w:tabs>
          <w:tab w:val="clear" w:pos="794"/>
          <w:tab w:val="left" w:pos="774"/>
        </w:tabs>
        <w:rPr>
          <w:bCs/>
          <w:lang w:val="ru-RU"/>
        </w:rPr>
      </w:pPr>
      <w:bookmarkStart w:id="44" w:name="SW0023"/>
      <w:r w:rsidRPr="008B3F38">
        <w:rPr>
          <w:b/>
          <w:lang w:val="ru-RU"/>
        </w:rPr>
        <w:t>4.10</w:t>
      </w:r>
      <w:r w:rsidRPr="008B3F38">
        <w:rPr>
          <w:bCs/>
          <w:lang w:val="ru-RU"/>
        </w:rPr>
        <w:tab/>
        <w:t>Мы хотели бы поблагодарить Генерального секретаря и ее сотрудников за их непрерывное сотрудничество и работу с нами в целях возвращения к нормальному циклу предоставления отчетности и аудиторских проверок.</w:t>
      </w:r>
    </w:p>
    <w:p w14:paraId="34277C4C" w14:textId="77777777" w:rsidR="00E84E89" w:rsidRPr="008B3F38" w:rsidRDefault="00E84E89" w:rsidP="00CD03A9">
      <w:pPr>
        <w:pStyle w:val="Normalaftertitle"/>
        <w:spacing w:before="480"/>
        <w:rPr>
          <w:lang w:val="ru-RU"/>
        </w:rPr>
      </w:pPr>
      <w:r w:rsidRPr="008B3F38">
        <w:rPr>
          <w:lang w:val="ru-RU"/>
        </w:rPr>
        <w:t>Оригинал подписан</w:t>
      </w:r>
    </w:p>
    <w:p w14:paraId="69D84F24" w14:textId="77777777" w:rsidR="00E84E89" w:rsidRPr="008B3F38" w:rsidRDefault="00E84E89" w:rsidP="00CD03A9">
      <w:pPr>
        <w:pStyle w:val="Normalaftertitle"/>
        <w:spacing w:before="480" w:after="120"/>
        <w:rPr>
          <w:b/>
          <w:bCs/>
          <w:szCs w:val="24"/>
          <w:lang w:val="ru-RU"/>
        </w:rPr>
      </w:pPr>
      <w:r w:rsidRPr="008B3F38">
        <w:rPr>
          <w:b/>
          <w:bCs/>
          <w:szCs w:val="24"/>
          <w:lang w:val="ru-RU"/>
        </w:rPr>
        <w:t>Гарет Дэвис</w:t>
      </w:r>
    </w:p>
    <w:p w14:paraId="2A61089F" w14:textId="77777777" w:rsidR="00E84E89" w:rsidRPr="008B3F38" w:rsidRDefault="00E84E89" w:rsidP="00E84E89">
      <w:pPr>
        <w:pStyle w:val="Normalaftertitle"/>
        <w:spacing w:before="120" w:after="120"/>
        <w:rPr>
          <w:b/>
          <w:bCs/>
          <w:szCs w:val="24"/>
          <w:lang w:val="ru-RU"/>
        </w:rPr>
      </w:pPr>
      <w:r w:rsidRPr="008B3F38">
        <w:rPr>
          <w:b/>
          <w:bCs/>
          <w:szCs w:val="24"/>
          <w:lang w:val="ru-RU"/>
        </w:rPr>
        <w:t>Контролер и Генеральный ревизор, Соединенное Королевство – Внешний аудитор</w:t>
      </w:r>
    </w:p>
    <w:p w14:paraId="67948EDB" w14:textId="77777777" w:rsidR="00E84E89" w:rsidRPr="008B3F38" w:rsidRDefault="00E84E89" w:rsidP="00E84E89">
      <w:pPr>
        <w:pStyle w:val="Normalaftertitle"/>
        <w:spacing w:before="120"/>
        <w:rPr>
          <w:b/>
          <w:bCs/>
          <w:szCs w:val="24"/>
          <w:lang w:val="ru-RU"/>
        </w:rPr>
      </w:pPr>
      <w:r w:rsidRPr="008B3F38">
        <w:rPr>
          <w:b/>
          <w:bCs/>
          <w:szCs w:val="24"/>
          <w:lang w:val="ru-RU"/>
        </w:rPr>
        <w:t>30 мая 202</w:t>
      </w:r>
      <w:bookmarkEnd w:id="44"/>
      <w:r w:rsidRPr="008B3F38">
        <w:rPr>
          <w:b/>
          <w:bCs/>
          <w:szCs w:val="24"/>
          <w:lang w:val="ru-RU"/>
        </w:rPr>
        <w:t>5 года</w:t>
      </w:r>
    </w:p>
    <w:p w14:paraId="12BD8538" w14:textId="77777777" w:rsidR="00E84E89" w:rsidRPr="008B3F38" w:rsidRDefault="00E84E89" w:rsidP="007C0CD7">
      <w:pPr>
        <w:rPr>
          <w:lang w:val="ru-RU"/>
        </w:rPr>
      </w:pPr>
    </w:p>
    <w:p w14:paraId="195AE60E" w14:textId="77777777" w:rsidR="00E84E89" w:rsidRPr="008B3F38" w:rsidRDefault="00E84E89" w:rsidP="007C0CD7">
      <w:pPr>
        <w:rPr>
          <w:lang w:val="ru-RU"/>
        </w:rPr>
        <w:sectPr w:rsidR="00E84E89" w:rsidRPr="008B3F38" w:rsidSect="00796BD3">
          <w:headerReference w:type="first" r:id="rId17"/>
          <w:footerReference w:type="first" r:id="rId18"/>
          <w:pgSz w:w="11907" w:h="16834"/>
          <w:pgMar w:top="1418" w:right="1418" w:bottom="1418" w:left="1418" w:header="720" w:footer="720" w:gutter="0"/>
          <w:paperSrc w:first="286" w:other="286"/>
          <w:cols w:space="720"/>
          <w:titlePg/>
        </w:sectPr>
      </w:pPr>
    </w:p>
    <w:p w14:paraId="3D11332E" w14:textId="77777777" w:rsidR="00E84E89" w:rsidRPr="008B3F38" w:rsidRDefault="00E84E89" w:rsidP="000A513C">
      <w:pPr>
        <w:pStyle w:val="AppendixNo"/>
        <w:spacing w:before="0"/>
        <w:rPr>
          <w:lang w:val="ru-RU"/>
        </w:rPr>
      </w:pPr>
      <w:bookmarkStart w:id="45" w:name="_Toc199491616"/>
      <w:bookmarkStart w:id="46" w:name="_Toc201047366"/>
      <w:r w:rsidRPr="008B3F38">
        <w:rPr>
          <w:lang w:val="ru-RU"/>
        </w:rPr>
        <w:lastRenderedPageBreak/>
        <w:t>Дополнение 1</w:t>
      </w:r>
      <w:bookmarkEnd w:id="45"/>
      <w:bookmarkEnd w:id="46"/>
    </w:p>
    <w:p w14:paraId="52D16614" w14:textId="7907D8B3" w:rsidR="00E84E89" w:rsidRPr="008B3F38" w:rsidRDefault="00E84E89" w:rsidP="00E84E89">
      <w:pPr>
        <w:pStyle w:val="Appendixtitle"/>
        <w:rPr>
          <w:lang w:val="ru-RU"/>
        </w:rPr>
      </w:pPr>
      <w:bookmarkStart w:id="47" w:name="_Toc201047367"/>
      <w:r w:rsidRPr="008B3F38">
        <w:rPr>
          <w:lang w:val="ru-RU"/>
        </w:rPr>
        <w:t>Рекомендации за предыдущий год</w:t>
      </w:r>
      <w:bookmarkEnd w:id="47"/>
    </w:p>
    <w:tbl>
      <w:tblPr>
        <w:tblW w:w="5030" w:type="pct"/>
        <w:jc w:val="center"/>
        <w:tblBorders>
          <w:top w:val="single" w:sz="12" w:space="0" w:color="008000"/>
          <w:left w:val="nil"/>
          <w:bottom w:val="single" w:sz="12" w:space="0" w:color="008000"/>
          <w:right w:val="nil"/>
          <w:insideH w:val="nil"/>
          <w:insideV w:val="nil"/>
        </w:tblBorders>
        <w:tblLayout w:type="fixed"/>
        <w:tblLook w:val="00A0" w:firstRow="1" w:lastRow="0" w:firstColumn="1" w:lastColumn="0" w:noHBand="0" w:noVBand="0"/>
      </w:tblPr>
      <w:tblGrid>
        <w:gridCol w:w="1541"/>
        <w:gridCol w:w="3278"/>
        <w:gridCol w:w="5103"/>
        <w:gridCol w:w="2788"/>
        <w:gridCol w:w="1372"/>
      </w:tblGrid>
      <w:tr w:rsidR="00E84E89" w:rsidRPr="008B3F38" w14:paraId="17CAE42A" w14:textId="77777777" w:rsidTr="000A513C">
        <w:trPr>
          <w:jc w:val="center"/>
        </w:trPr>
        <w:tc>
          <w:tcPr>
            <w:tcW w:w="5000" w:type="pct"/>
            <w:gridSpan w:val="5"/>
            <w:tcBorders>
              <w:bottom w:val="single" w:sz="6" w:space="0" w:color="008000"/>
            </w:tcBorders>
            <w:shd w:val="clear" w:color="auto" w:fill="auto"/>
          </w:tcPr>
          <w:p w14:paraId="15DE9A1C" w14:textId="77777777" w:rsidR="00E84E89" w:rsidRPr="008B3F38" w:rsidRDefault="00E84E89" w:rsidP="003C6890">
            <w:pPr>
              <w:pStyle w:val="Tablehead"/>
              <w:spacing w:before="120" w:after="120"/>
              <w:jc w:val="left"/>
              <w:rPr>
                <w:sz w:val="22"/>
                <w:szCs w:val="22"/>
                <w:lang w:val="ru-RU"/>
              </w:rPr>
            </w:pPr>
            <w:bookmarkStart w:id="48" w:name="_Hlk200982258"/>
            <w:r w:rsidRPr="008B3F38">
              <w:rPr>
                <w:sz w:val="22"/>
                <w:szCs w:val="22"/>
                <w:lang w:val="ru-RU"/>
              </w:rPr>
              <w:t>Предыдущие рекомендации НРУ</w:t>
            </w:r>
          </w:p>
        </w:tc>
      </w:tr>
      <w:tr w:rsidR="00FD50C2" w:rsidRPr="008B3F38" w14:paraId="69A610FD" w14:textId="77777777" w:rsidTr="000A513C">
        <w:trPr>
          <w:jc w:val="center"/>
        </w:trPr>
        <w:tc>
          <w:tcPr>
            <w:tcW w:w="547" w:type="pct"/>
            <w:tcBorders>
              <w:top w:val="single" w:sz="6" w:space="0" w:color="008000"/>
            </w:tcBorders>
            <w:shd w:val="clear" w:color="auto" w:fill="auto"/>
          </w:tcPr>
          <w:p w14:paraId="5D9FD761" w14:textId="77777777" w:rsidR="00E84E89" w:rsidRPr="008B3F38" w:rsidRDefault="00E84E89" w:rsidP="003C6890">
            <w:pPr>
              <w:pStyle w:val="Tablehead"/>
              <w:rPr>
                <w:sz w:val="18"/>
                <w:szCs w:val="18"/>
                <w:lang w:val="ru-RU"/>
              </w:rPr>
            </w:pPr>
            <w:r w:rsidRPr="008B3F38">
              <w:rPr>
                <w:sz w:val="18"/>
                <w:szCs w:val="18"/>
                <w:lang w:val="ru-RU"/>
              </w:rPr>
              <w:t>Ссылка</w:t>
            </w:r>
          </w:p>
        </w:tc>
        <w:tc>
          <w:tcPr>
            <w:tcW w:w="1164" w:type="pct"/>
            <w:tcBorders>
              <w:top w:val="single" w:sz="6" w:space="0" w:color="008000"/>
            </w:tcBorders>
            <w:shd w:val="clear" w:color="auto" w:fill="auto"/>
          </w:tcPr>
          <w:p w14:paraId="58167FF3" w14:textId="77777777" w:rsidR="00E84E89" w:rsidRPr="008B3F38" w:rsidRDefault="00E84E89" w:rsidP="003C6890">
            <w:pPr>
              <w:pStyle w:val="Tablehead"/>
              <w:rPr>
                <w:sz w:val="18"/>
                <w:szCs w:val="18"/>
                <w:lang w:val="ru-RU"/>
              </w:rPr>
            </w:pPr>
            <w:r w:rsidRPr="008B3F38">
              <w:rPr>
                <w:sz w:val="18"/>
                <w:szCs w:val="18"/>
                <w:lang w:val="ru-RU"/>
              </w:rPr>
              <w:t>Рекомендация</w:t>
            </w:r>
          </w:p>
        </w:tc>
        <w:tc>
          <w:tcPr>
            <w:tcW w:w="1812" w:type="pct"/>
            <w:tcBorders>
              <w:top w:val="single" w:sz="6" w:space="0" w:color="008000"/>
            </w:tcBorders>
            <w:shd w:val="clear" w:color="auto" w:fill="auto"/>
          </w:tcPr>
          <w:p w14:paraId="723773B4" w14:textId="77777777" w:rsidR="00E84E89" w:rsidRPr="008B3F38" w:rsidRDefault="00E84E89" w:rsidP="003C6890">
            <w:pPr>
              <w:pStyle w:val="Tablehead"/>
              <w:rPr>
                <w:sz w:val="18"/>
                <w:szCs w:val="18"/>
                <w:lang w:val="ru-RU"/>
              </w:rPr>
            </w:pPr>
            <w:r w:rsidRPr="008B3F38">
              <w:rPr>
                <w:sz w:val="18"/>
                <w:szCs w:val="18"/>
                <w:lang w:val="ru-RU"/>
              </w:rPr>
              <w:t>Ответ руководства</w:t>
            </w:r>
          </w:p>
        </w:tc>
        <w:tc>
          <w:tcPr>
            <w:tcW w:w="990" w:type="pct"/>
            <w:tcBorders>
              <w:top w:val="single" w:sz="6" w:space="0" w:color="008000"/>
            </w:tcBorders>
            <w:shd w:val="clear" w:color="auto" w:fill="auto"/>
          </w:tcPr>
          <w:p w14:paraId="545EA5D8" w14:textId="77777777" w:rsidR="00E84E89" w:rsidRPr="008B3F38" w:rsidRDefault="00E84E89" w:rsidP="003C6890">
            <w:pPr>
              <w:pStyle w:val="Tablehead"/>
              <w:ind w:right="-147"/>
              <w:rPr>
                <w:sz w:val="18"/>
                <w:szCs w:val="18"/>
                <w:lang w:val="ru-RU"/>
              </w:rPr>
            </w:pPr>
            <w:r w:rsidRPr="008B3F38">
              <w:rPr>
                <w:sz w:val="18"/>
                <w:szCs w:val="18"/>
                <w:lang w:val="ru-RU"/>
              </w:rPr>
              <w:t>Мнение Внешнего аудитора</w:t>
            </w:r>
          </w:p>
        </w:tc>
        <w:tc>
          <w:tcPr>
            <w:tcW w:w="487" w:type="pct"/>
            <w:tcBorders>
              <w:top w:val="single" w:sz="6" w:space="0" w:color="008000"/>
            </w:tcBorders>
            <w:shd w:val="clear" w:color="auto" w:fill="auto"/>
          </w:tcPr>
          <w:p w14:paraId="4E0D2736" w14:textId="77777777" w:rsidR="00E84E89" w:rsidRPr="008B3F38" w:rsidRDefault="00E84E89" w:rsidP="003C6890">
            <w:pPr>
              <w:pStyle w:val="Tablehead"/>
              <w:rPr>
                <w:sz w:val="18"/>
                <w:szCs w:val="18"/>
                <w:lang w:val="ru-RU"/>
              </w:rPr>
            </w:pPr>
            <w:r w:rsidRPr="008B3F38">
              <w:rPr>
                <w:sz w:val="18"/>
                <w:szCs w:val="18"/>
                <w:lang w:val="ru-RU"/>
              </w:rPr>
              <w:t>Статус</w:t>
            </w:r>
          </w:p>
        </w:tc>
      </w:tr>
      <w:tr w:rsidR="00FD50C2" w:rsidRPr="008B3F38" w14:paraId="698D080A" w14:textId="77777777" w:rsidTr="000A513C">
        <w:trPr>
          <w:jc w:val="center"/>
        </w:trPr>
        <w:tc>
          <w:tcPr>
            <w:tcW w:w="547" w:type="pct"/>
            <w:shd w:val="clear" w:color="auto" w:fill="auto"/>
          </w:tcPr>
          <w:p w14:paraId="22E6B9F7" w14:textId="77777777" w:rsidR="00E84E89" w:rsidRPr="008B3F38" w:rsidRDefault="00E84E89" w:rsidP="003C6890">
            <w:pPr>
              <w:pStyle w:val="Tabletext"/>
              <w:rPr>
                <w:sz w:val="18"/>
                <w:szCs w:val="18"/>
                <w:lang w:val="ru-RU"/>
              </w:rPr>
            </w:pPr>
            <w:r w:rsidRPr="008B3F38">
              <w:rPr>
                <w:sz w:val="18"/>
                <w:szCs w:val="18"/>
                <w:lang w:val="ru-RU"/>
              </w:rPr>
              <w:t>Промежуточный отчет за 2022 г., РЕК2</w:t>
            </w:r>
          </w:p>
        </w:tc>
        <w:tc>
          <w:tcPr>
            <w:tcW w:w="1164" w:type="pct"/>
            <w:shd w:val="clear" w:color="auto" w:fill="auto"/>
          </w:tcPr>
          <w:p w14:paraId="0878FC78" w14:textId="77777777" w:rsidR="00E84E89" w:rsidRPr="008B3F38" w:rsidRDefault="00E84E89" w:rsidP="003C6890">
            <w:pPr>
              <w:pStyle w:val="Tabletext"/>
              <w:rPr>
                <w:sz w:val="18"/>
                <w:szCs w:val="18"/>
                <w:lang w:val="ru-RU"/>
              </w:rPr>
            </w:pPr>
            <w:r w:rsidRPr="008B3F38">
              <w:rPr>
                <w:sz w:val="18"/>
                <w:szCs w:val="18"/>
                <w:lang w:val="ru-RU"/>
              </w:rPr>
              <w:t>Разработать руководство по бухгалтерскому учету на основе IPSAS с подробным описанием всей принятой политики бухгалтерского учета, а также предоставить персоналу руководящие указания по учету на основе метода начисления, с тем чтобы обеспечить составление МСЭ надежной и точной финансовой отчетности для Членов.</w:t>
            </w:r>
          </w:p>
        </w:tc>
        <w:tc>
          <w:tcPr>
            <w:tcW w:w="1812" w:type="pct"/>
            <w:shd w:val="clear" w:color="auto" w:fill="auto"/>
          </w:tcPr>
          <w:p w14:paraId="247A42DD" w14:textId="77777777" w:rsidR="00E84E89" w:rsidRPr="008B3F38" w:rsidRDefault="00E84E89" w:rsidP="003C6890">
            <w:pPr>
              <w:pStyle w:val="Tabletext"/>
              <w:rPr>
                <w:sz w:val="18"/>
                <w:szCs w:val="18"/>
                <w:lang w:val="ru-RU"/>
              </w:rPr>
            </w:pPr>
            <w:r w:rsidRPr="008B3F38">
              <w:rPr>
                <w:sz w:val="18"/>
                <w:szCs w:val="18"/>
                <w:lang w:val="ru-RU"/>
              </w:rPr>
              <w:t>Разработана учетная документация на основе IPSAS, содержащая ключевые стандарты, применимые в МСЭ к основным бухгалтерским операциям. В результате МСЭ получил возможность готовить финансовую отчетность более высокого качества, начиная с 2024 года. По мере выпуска новых стандартов IPSAS потребуется дальнейшее совершенствование.</w:t>
            </w:r>
          </w:p>
        </w:tc>
        <w:tc>
          <w:tcPr>
            <w:tcW w:w="990" w:type="pct"/>
            <w:shd w:val="clear" w:color="auto" w:fill="auto"/>
          </w:tcPr>
          <w:p w14:paraId="0163E5C4" w14:textId="77777777" w:rsidR="00E84E89" w:rsidRPr="008B3F38" w:rsidRDefault="00E84E89" w:rsidP="003C6890">
            <w:pPr>
              <w:pStyle w:val="Tabletext"/>
              <w:rPr>
                <w:sz w:val="18"/>
                <w:szCs w:val="18"/>
                <w:lang w:val="ru-RU"/>
              </w:rPr>
            </w:pPr>
            <w:r w:rsidRPr="008B3F38">
              <w:rPr>
                <w:sz w:val="18"/>
                <w:szCs w:val="18"/>
                <w:lang w:val="ru-RU"/>
              </w:rPr>
              <w:t>Мы принимаем к сведению ответ руководства и, основываясь на результатах аудита, считаем, что качество учетной документации МСЭ повышается. Мы вновь подчеркиваем необходимость сведения руководства в единый справочный документ. МСЭ необходимо разработать документы по учетной политике для новых и появляющихся стандартов IPSAS, которые должны быть внедрены в ближайшие годы, и запросить мнения IMAC относительно этих предлагаемых правил до их внедрения.</w:t>
            </w:r>
          </w:p>
        </w:tc>
        <w:tc>
          <w:tcPr>
            <w:tcW w:w="487" w:type="pct"/>
            <w:shd w:val="clear" w:color="auto" w:fill="auto"/>
          </w:tcPr>
          <w:p w14:paraId="70723CA2" w14:textId="77777777" w:rsidR="00E84E89" w:rsidRPr="008B3F38" w:rsidRDefault="00E84E89" w:rsidP="003C6890">
            <w:pPr>
              <w:pStyle w:val="Tabletext"/>
              <w:rPr>
                <w:sz w:val="18"/>
                <w:szCs w:val="18"/>
                <w:lang w:val="ru-RU"/>
              </w:rPr>
            </w:pPr>
            <w:r w:rsidRPr="008B3F38">
              <w:rPr>
                <w:sz w:val="18"/>
                <w:szCs w:val="18"/>
                <w:lang w:val="ru-RU"/>
              </w:rPr>
              <w:t>Выполняется.</w:t>
            </w:r>
          </w:p>
        </w:tc>
      </w:tr>
      <w:tr w:rsidR="00FD50C2" w:rsidRPr="008B3F38" w14:paraId="1D6F0F4D" w14:textId="77777777" w:rsidTr="000A513C">
        <w:trPr>
          <w:jc w:val="center"/>
        </w:trPr>
        <w:tc>
          <w:tcPr>
            <w:tcW w:w="547" w:type="pct"/>
            <w:shd w:val="clear" w:color="auto" w:fill="auto"/>
          </w:tcPr>
          <w:p w14:paraId="627A504E" w14:textId="77777777" w:rsidR="00E84E89" w:rsidRPr="008B3F38" w:rsidRDefault="00E84E89" w:rsidP="003C6890">
            <w:pPr>
              <w:pStyle w:val="Tabletext"/>
              <w:rPr>
                <w:sz w:val="18"/>
                <w:szCs w:val="18"/>
                <w:lang w:val="ru-RU"/>
              </w:rPr>
            </w:pPr>
            <w:r w:rsidRPr="008B3F38">
              <w:rPr>
                <w:sz w:val="18"/>
                <w:szCs w:val="18"/>
                <w:lang w:val="ru-RU"/>
              </w:rPr>
              <w:t>Промежуточный отчет за 2022 г., РЕК4</w:t>
            </w:r>
          </w:p>
        </w:tc>
        <w:tc>
          <w:tcPr>
            <w:tcW w:w="1164" w:type="pct"/>
            <w:shd w:val="clear" w:color="auto" w:fill="auto"/>
          </w:tcPr>
          <w:p w14:paraId="0967B707" w14:textId="77777777" w:rsidR="00E84E89" w:rsidRPr="008B3F38" w:rsidRDefault="00E84E89" w:rsidP="003C6890">
            <w:pPr>
              <w:pStyle w:val="Tabletext"/>
              <w:rPr>
                <w:sz w:val="18"/>
                <w:szCs w:val="18"/>
                <w:lang w:val="ru-RU"/>
              </w:rPr>
            </w:pPr>
            <w:r w:rsidRPr="008B3F38">
              <w:rPr>
                <w:sz w:val="18"/>
                <w:szCs w:val="18"/>
                <w:lang w:val="ru-RU"/>
              </w:rPr>
              <w:t>Проанализировать глубинные причины выявленных проблем и изучить навыки и возможности, необходимые для строгого соответствия требованиям к финансовой отчетности, с тем чтобы обеспечить подготовку надежной и точной финансовой отчетности.</w:t>
            </w:r>
          </w:p>
        </w:tc>
        <w:tc>
          <w:tcPr>
            <w:tcW w:w="1812" w:type="pct"/>
            <w:shd w:val="clear" w:color="auto" w:fill="auto"/>
          </w:tcPr>
          <w:p w14:paraId="6AE5303A" w14:textId="77777777" w:rsidR="00E84E89" w:rsidRPr="008B3F38" w:rsidRDefault="00E84E89" w:rsidP="003C6890">
            <w:pPr>
              <w:pStyle w:val="Tabletext"/>
              <w:rPr>
                <w:sz w:val="18"/>
                <w:szCs w:val="18"/>
                <w:lang w:val="ru-RU"/>
              </w:rPr>
            </w:pPr>
            <w:r w:rsidRPr="008B3F38">
              <w:rPr>
                <w:sz w:val="18"/>
                <w:szCs w:val="18"/>
                <w:lang w:val="ru-RU"/>
              </w:rPr>
              <w:t>МСЭ усилил поддержку, необходимую для составления качественной финансовой отчетности. В результате был усилен потенциал Отдела бухгалтерского учета, и это обеспечит непрерывность процесса подготовки будущих отчетов и связанных с ним процессов. Будет проведена дальнейшая реструктуризация FRMD, чтобы в дальнейшем все аспекты соответствовали своему назначению.</w:t>
            </w:r>
          </w:p>
        </w:tc>
        <w:tc>
          <w:tcPr>
            <w:tcW w:w="990" w:type="pct"/>
            <w:shd w:val="clear" w:color="auto" w:fill="auto"/>
          </w:tcPr>
          <w:p w14:paraId="7578131C" w14:textId="77777777" w:rsidR="00E84E89" w:rsidRPr="008B3F38" w:rsidRDefault="00E84E89" w:rsidP="003C6890">
            <w:pPr>
              <w:pStyle w:val="Tabletext"/>
              <w:rPr>
                <w:sz w:val="18"/>
                <w:szCs w:val="18"/>
                <w:lang w:val="ru-RU"/>
              </w:rPr>
            </w:pPr>
            <w:r w:rsidRPr="008B3F38">
              <w:rPr>
                <w:sz w:val="18"/>
                <w:szCs w:val="18"/>
                <w:lang w:val="ru-RU"/>
              </w:rPr>
              <w:t>Мы приняли к сведению ответ руководства и, исходя из результатов аудита, считаем данную рекомендацию выполненной.</w:t>
            </w:r>
          </w:p>
        </w:tc>
        <w:tc>
          <w:tcPr>
            <w:tcW w:w="487" w:type="pct"/>
            <w:shd w:val="clear" w:color="auto" w:fill="auto"/>
          </w:tcPr>
          <w:p w14:paraId="1A8204B2" w14:textId="77777777" w:rsidR="00E84E89" w:rsidRPr="008B3F38" w:rsidRDefault="00E84E89" w:rsidP="003C6890">
            <w:pPr>
              <w:pStyle w:val="Tabletext"/>
              <w:rPr>
                <w:sz w:val="18"/>
                <w:szCs w:val="18"/>
                <w:lang w:val="ru-RU"/>
              </w:rPr>
            </w:pPr>
            <w:r w:rsidRPr="008B3F38">
              <w:rPr>
                <w:sz w:val="18"/>
                <w:szCs w:val="18"/>
                <w:lang w:val="ru-RU"/>
              </w:rPr>
              <w:t>Выполнена.</w:t>
            </w:r>
          </w:p>
          <w:p w14:paraId="08FAED52" w14:textId="77777777" w:rsidR="00E84E89" w:rsidRPr="008B3F38" w:rsidRDefault="00E84E89" w:rsidP="003C6890">
            <w:pPr>
              <w:pStyle w:val="Tabletext"/>
              <w:rPr>
                <w:sz w:val="18"/>
                <w:szCs w:val="18"/>
                <w:lang w:val="ru-RU"/>
              </w:rPr>
            </w:pPr>
            <w:r w:rsidRPr="008B3F38">
              <w:rPr>
                <w:sz w:val="18"/>
                <w:szCs w:val="18"/>
                <w:lang w:val="ru-RU"/>
              </w:rPr>
              <w:t>Закрыта.</w:t>
            </w:r>
          </w:p>
        </w:tc>
      </w:tr>
      <w:tr w:rsidR="00FD50C2" w:rsidRPr="008B3F38" w14:paraId="780EA327" w14:textId="77777777" w:rsidTr="000A513C">
        <w:trPr>
          <w:jc w:val="center"/>
        </w:trPr>
        <w:tc>
          <w:tcPr>
            <w:tcW w:w="547" w:type="pct"/>
            <w:shd w:val="clear" w:color="auto" w:fill="auto"/>
          </w:tcPr>
          <w:p w14:paraId="48AAAC67" w14:textId="77777777" w:rsidR="00E84E89" w:rsidRPr="008B3F38" w:rsidRDefault="00E84E89" w:rsidP="003C6890">
            <w:pPr>
              <w:pStyle w:val="Tabletext"/>
              <w:rPr>
                <w:sz w:val="18"/>
                <w:szCs w:val="18"/>
                <w:lang w:val="ru-RU"/>
              </w:rPr>
            </w:pPr>
            <w:r w:rsidRPr="008B3F38">
              <w:rPr>
                <w:sz w:val="18"/>
                <w:szCs w:val="18"/>
                <w:lang w:val="ru-RU"/>
              </w:rPr>
              <w:t>Промежуточный отчет за 2022 г., РЕК5</w:t>
            </w:r>
          </w:p>
        </w:tc>
        <w:tc>
          <w:tcPr>
            <w:tcW w:w="1164" w:type="pct"/>
            <w:shd w:val="clear" w:color="auto" w:fill="auto"/>
          </w:tcPr>
          <w:p w14:paraId="41C0234B" w14:textId="66E7A50C" w:rsidR="0066390F" w:rsidRPr="008B3F38" w:rsidRDefault="00E84E89" w:rsidP="003C6890">
            <w:pPr>
              <w:pStyle w:val="Tabletext"/>
              <w:tabs>
                <w:tab w:val="clear" w:pos="851"/>
                <w:tab w:val="left" w:pos="737"/>
              </w:tabs>
              <w:ind w:left="284" w:hanging="284"/>
              <w:rPr>
                <w:sz w:val="18"/>
                <w:szCs w:val="18"/>
                <w:lang w:val="ru-RU"/>
              </w:rPr>
            </w:pPr>
            <w:r w:rsidRPr="008B3F38">
              <w:rPr>
                <w:sz w:val="18"/>
                <w:szCs w:val="18"/>
                <w:lang w:val="ru-RU"/>
              </w:rPr>
              <w:t>a)</w:t>
            </w:r>
            <w:r w:rsidR="00FD50C2" w:rsidRPr="008B3F38">
              <w:rPr>
                <w:sz w:val="18"/>
                <w:szCs w:val="18"/>
                <w:lang w:val="ru-RU"/>
              </w:rPr>
              <w:tab/>
            </w:r>
            <w:r w:rsidRPr="008B3F38">
              <w:rPr>
                <w:sz w:val="18"/>
                <w:szCs w:val="18"/>
                <w:lang w:val="ru-RU"/>
              </w:rPr>
              <w:t>пересмотреть периодичность, круг ведения и данные, используемые для обоснования принятия решений на собраниях высшего руководства, а также</w:t>
            </w:r>
          </w:p>
          <w:p w14:paraId="56A4C46F" w14:textId="118BF845" w:rsidR="00E84E89" w:rsidRPr="008B3F38" w:rsidRDefault="00E84E89" w:rsidP="003C6890">
            <w:pPr>
              <w:pStyle w:val="Tabletext"/>
              <w:tabs>
                <w:tab w:val="clear" w:pos="851"/>
                <w:tab w:val="left" w:pos="737"/>
              </w:tabs>
              <w:ind w:left="284" w:hanging="284"/>
              <w:rPr>
                <w:sz w:val="18"/>
                <w:szCs w:val="18"/>
                <w:lang w:val="ru-RU"/>
              </w:rPr>
            </w:pPr>
            <w:r w:rsidRPr="008B3F38">
              <w:rPr>
                <w:sz w:val="18"/>
                <w:szCs w:val="18"/>
                <w:lang w:val="ru-RU"/>
              </w:rPr>
              <w:lastRenderedPageBreak/>
              <w:t>b)</w:t>
            </w:r>
            <w:r w:rsidR="00FD50C2" w:rsidRPr="008B3F38">
              <w:rPr>
                <w:sz w:val="18"/>
                <w:szCs w:val="18"/>
                <w:lang w:val="ru-RU"/>
              </w:rPr>
              <w:tab/>
            </w:r>
            <w:r w:rsidRPr="008B3F38">
              <w:rPr>
                <w:sz w:val="18"/>
                <w:szCs w:val="18"/>
                <w:lang w:val="ru-RU"/>
              </w:rPr>
              <w:t>создать комплект отчетов для систематического представления. Это обеспечило бы лучшую основу для надзора и привело бы к принятию документированных мер, которые будут далее отслеживаться, и формированию лучшей основы для коллективного управленческого надзора Союза.</w:t>
            </w:r>
          </w:p>
        </w:tc>
        <w:tc>
          <w:tcPr>
            <w:tcW w:w="1812" w:type="pct"/>
            <w:shd w:val="clear" w:color="auto" w:fill="auto"/>
          </w:tcPr>
          <w:p w14:paraId="0A10A813" w14:textId="1F7F077C" w:rsidR="00E84E89" w:rsidRPr="008B3F38" w:rsidRDefault="00E84E89" w:rsidP="003C6890">
            <w:pPr>
              <w:pStyle w:val="Tabletext"/>
              <w:rPr>
                <w:sz w:val="18"/>
                <w:szCs w:val="18"/>
                <w:lang w:val="ru-RU"/>
              </w:rPr>
            </w:pPr>
            <w:r w:rsidRPr="008B3F38">
              <w:rPr>
                <w:sz w:val="18"/>
                <w:szCs w:val="18"/>
                <w:lang w:val="ru-RU"/>
              </w:rPr>
              <w:lastRenderedPageBreak/>
              <w:t>МСЭ выполнил рекомендацию, и был достигнут значительный прогресс. Официальные собрания высшего руководства, включая Координационный комитет (КК), Руководящую координационную группу (РКГ) и РКГ Плюс (в</w:t>
            </w:r>
            <w:r w:rsidR="00FD50C2" w:rsidRPr="008B3F38">
              <w:rPr>
                <w:sz w:val="18"/>
                <w:szCs w:val="18"/>
                <w:lang w:val="ru-RU"/>
              </w:rPr>
              <w:t> </w:t>
            </w:r>
            <w:r w:rsidRPr="008B3F38">
              <w:rPr>
                <w:sz w:val="18"/>
                <w:szCs w:val="18"/>
                <w:lang w:val="ru-RU"/>
              </w:rPr>
              <w:t xml:space="preserve">состав которой входят директора региональных отделений), проводятся не </w:t>
            </w:r>
            <w:r w:rsidRPr="008B3F38">
              <w:rPr>
                <w:sz w:val="18"/>
                <w:szCs w:val="18"/>
                <w:lang w:val="ru-RU"/>
              </w:rPr>
              <w:lastRenderedPageBreak/>
              <w:t>реже одного раза в месяц. КК</w:t>
            </w:r>
            <w:r w:rsidR="00FD50C2" w:rsidRPr="008B3F38">
              <w:rPr>
                <w:sz w:val="18"/>
                <w:szCs w:val="18"/>
                <w:lang w:val="ru-RU"/>
              </w:rPr>
              <w:t> </w:t>
            </w:r>
            <w:r w:rsidRPr="008B3F38">
              <w:rPr>
                <w:sz w:val="18"/>
                <w:szCs w:val="18"/>
                <w:lang w:val="ru-RU"/>
              </w:rPr>
              <w:t>проводит собрания чаще, когда конкретные темы требуют дополнительного внимания высшего руководства.</w:t>
            </w:r>
          </w:p>
          <w:p w14:paraId="3C0C9AE6" w14:textId="092C40A6" w:rsidR="00E84E89" w:rsidRPr="008B3F38" w:rsidRDefault="00E84E89" w:rsidP="003C6890">
            <w:pPr>
              <w:pStyle w:val="Tabletext"/>
              <w:rPr>
                <w:sz w:val="18"/>
                <w:szCs w:val="18"/>
                <w:lang w:val="ru-RU"/>
              </w:rPr>
            </w:pPr>
            <w:r w:rsidRPr="008B3F38">
              <w:rPr>
                <w:sz w:val="18"/>
                <w:szCs w:val="18"/>
                <w:lang w:val="ru-RU"/>
              </w:rPr>
              <w:t>Выездные совещания высшего руководства также служат основой для укрепления приверженности и определения приоритетов Организации. Этот процесс также позволил приступить к реализации программы "Адаптивное руководство", в которой участвуют все руководители уровня</w:t>
            </w:r>
            <w:r w:rsidR="00CD03A9" w:rsidRPr="008B3F38">
              <w:rPr>
                <w:sz w:val="18"/>
                <w:szCs w:val="18"/>
                <w:lang w:val="ru-RU"/>
              </w:rPr>
              <w:t> </w:t>
            </w:r>
            <w:r w:rsidRPr="008B3F38">
              <w:rPr>
                <w:sz w:val="18"/>
                <w:szCs w:val="18"/>
                <w:lang w:val="ru-RU"/>
              </w:rPr>
              <w:t>С5 и выше.</w:t>
            </w:r>
          </w:p>
          <w:p w14:paraId="4A9F33A9" w14:textId="77777777" w:rsidR="00E84E89" w:rsidRPr="008B3F38" w:rsidRDefault="00E84E89" w:rsidP="003C6890">
            <w:pPr>
              <w:pStyle w:val="Tabletext"/>
              <w:rPr>
                <w:sz w:val="18"/>
                <w:szCs w:val="18"/>
                <w:lang w:val="ru-RU"/>
              </w:rPr>
            </w:pPr>
            <w:r w:rsidRPr="008B3F38">
              <w:rPr>
                <w:sz w:val="18"/>
                <w:szCs w:val="18"/>
                <w:lang w:val="ru-RU"/>
              </w:rPr>
              <w:t>Качество отчетности и информации продолжает улучшаться благодаря подготовке отчетов и разработке информационных панелей. Последующие действия по итогам совещаний высшего руководства теперь отслеживаются более тщательно на уровне КК и при помощи механизма отслеживания РКГ, что повышает качество документации и эффективность надзора.</w:t>
            </w:r>
          </w:p>
          <w:p w14:paraId="588DA685" w14:textId="77777777" w:rsidR="00E84E89" w:rsidRPr="008B3F38" w:rsidRDefault="00E84E89" w:rsidP="003C6890">
            <w:pPr>
              <w:pStyle w:val="Tabletext"/>
              <w:rPr>
                <w:sz w:val="18"/>
                <w:szCs w:val="18"/>
                <w:lang w:val="ru-RU"/>
              </w:rPr>
            </w:pPr>
            <w:r w:rsidRPr="008B3F38">
              <w:rPr>
                <w:sz w:val="18"/>
                <w:szCs w:val="18"/>
                <w:lang w:val="ru-RU"/>
              </w:rPr>
              <w:t>Ожидается, что по мере реализации Дорожной карты трансформации более систематическая отчетность будет способствовать дальнейшему повышению эффективности процесса принятия решений во всей организации.</w:t>
            </w:r>
          </w:p>
        </w:tc>
        <w:tc>
          <w:tcPr>
            <w:tcW w:w="990" w:type="pct"/>
            <w:shd w:val="clear" w:color="auto" w:fill="auto"/>
          </w:tcPr>
          <w:p w14:paraId="4D3A2B23" w14:textId="77777777" w:rsidR="00E84E89" w:rsidRPr="008B3F38" w:rsidRDefault="00E84E89" w:rsidP="003C6890">
            <w:pPr>
              <w:pStyle w:val="Tabletext"/>
              <w:rPr>
                <w:sz w:val="18"/>
                <w:szCs w:val="18"/>
                <w:lang w:val="ru-RU"/>
              </w:rPr>
            </w:pPr>
            <w:r w:rsidRPr="008B3F38">
              <w:rPr>
                <w:sz w:val="18"/>
                <w:szCs w:val="18"/>
                <w:lang w:val="ru-RU"/>
              </w:rPr>
              <w:lastRenderedPageBreak/>
              <w:t>Мы принимаем к сведению ответ руководства и отметили повышение качества отчетности в ходе нашего аудита 2024 года.</w:t>
            </w:r>
          </w:p>
        </w:tc>
        <w:tc>
          <w:tcPr>
            <w:tcW w:w="487" w:type="pct"/>
            <w:shd w:val="clear" w:color="auto" w:fill="auto"/>
          </w:tcPr>
          <w:p w14:paraId="4B95A9FE" w14:textId="77777777" w:rsidR="00E84E89" w:rsidRPr="008B3F38" w:rsidRDefault="00E84E89" w:rsidP="003C6890">
            <w:pPr>
              <w:pStyle w:val="Tabletext"/>
              <w:rPr>
                <w:sz w:val="18"/>
                <w:szCs w:val="18"/>
                <w:lang w:val="ru-RU"/>
              </w:rPr>
            </w:pPr>
            <w:r w:rsidRPr="008B3F38">
              <w:rPr>
                <w:sz w:val="18"/>
                <w:szCs w:val="18"/>
                <w:lang w:val="ru-RU"/>
              </w:rPr>
              <w:t>Выполнена.</w:t>
            </w:r>
          </w:p>
          <w:p w14:paraId="47A74BAA" w14:textId="77777777" w:rsidR="00E84E89" w:rsidRPr="008B3F38" w:rsidRDefault="00E84E89" w:rsidP="003C6890">
            <w:pPr>
              <w:pStyle w:val="Tabletext"/>
              <w:rPr>
                <w:sz w:val="18"/>
                <w:szCs w:val="18"/>
                <w:lang w:val="ru-RU"/>
              </w:rPr>
            </w:pPr>
            <w:r w:rsidRPr="008B3F38">
              <w:rPr>
                <w:sz w:val="18"/>
                <w:szCs w:val="18"/>
                <w:lang w:val="ru-RU"/>
              </w:rPr>
              <w:t>Закрыта.</w:t>
            </w:r>
          </w:p>
        </w:tc>
      </w:tr>
      <w:tr w:rsidR="00FD50C2" w:rsidRPr="008B3F38" w14:paraId="75F03678" w14:textId="77777777" w:rsidTr="000A513C">
        <w:trPr>
          <w:jc w:val="center"/>
        </w:trPr>
        <w:tc>
          <w:tcPr>
            <w:tcW w:w="547" w:type="pct"/>
            <w:shd w:val="clear" w:color="auto" w:fill="auto"/>
          </w:tcPr>
          <w:p w14:paraId="64960CAC" w14:textId="77777777" w:rsidR="00E84E89" w:rsidRPr="008B3F38" w:rsidRDefault="00E84E89" w:rsidP="003C6890">
            <w:pPr>
              <w:pStyle w:val="Tabletext"/>
              <w:rPr>
                <w:sz w:val="18"/>
                <w:szCs w:val="18"/>
                <w:lang w:val="ru-RU"/>
              </w:rPr>
            </w:pPr>
            <w:r w:rsidRPr="008B3F38">
              <w:rPr>
                <w:sz w:val="18"/>
                <w:szCs w:val="18"/>
                <w:lang w:val="ru-RU"/>
              </w:rPr>
              <w:t>Промежуточный отчет за 2022 г., РЕК6</w:t>
            </w:r>
          </w:p>
        </w:tc>
        <w:tc>
          <w:tcPr>
            <w:tcW w:w="1164" w:type="pct"/>
            <w:shd w:val="clear" w:color="auto" w:fill="auto"/>
          </w:tcPr>
          <w:p w14:paraId="6B7105E9" w14:textId="7C6093C0" w:rsidR="00E84E89" w:rsidRPr="008B3F38" w:rsidRDefault="00E84E89" w:rsidP="003C6890">
            <w:pPr>
              <w:pStyle w:val="Tabletext"/>
              <w:rPr>
                <w:sz w:val="18"/>
                <w:szCs w:val="18"/>
                <w:lang w:val="ru-RU"/>
              </w:rPr>
            </w:pPr>
            <w:r w:rsidRPr="008B3F38">
              <w:rPr>
                <w:sz w:val="18"/>
                <w:szCs w:val="18"/>
                <w:lang w:val="ru-RU"/>
              </w:rPr>
              <w:t>Разработать дорожную карту для полной реализации и интеграции Системы подотчетности, чтобы обеспечить создание процессов для предоставления подтверждения достоверности на основе фактов, а также использовать ежегодное Заключение о внутреннем контроле, для того чтобы Члены имели наглядное представление об</w:t>
            </w:r>
            <w:r w:rsidR="00FD50C2" w:rsidRPr="008B3F38">
              <w:rPr>
                <w:sz w:val="18"/>
                <w:szCs w:val="18"/>
                <w:lang w:val="ru-RU"/>
              </w:rPr>
              <w:t> </w:t>
            </w:r>
            <w:r w:rsidRPr="008B3F38">
              <w:rPr>
                <w:sz w:val="18"/>
                <w:szCs w:val="18"/>
                <w:lang w:val="ru-RU"/>
              </w:rPr>
              <w:t>изменениях.</w:t>
            </w:r>
          </w:p>
        </w:tc>
        <w:tc>
          <w:tcPr>
            <w:tcW w:w="1812" w:type="pct"/>
            <w:shd w:val="clear" w:color="auto" w:fill="auto"/>
          </w:tcPr>
          <w:p w14:paraId="69FCBD45" w14:textId="589B20CA" w:rsidR="00E84E89" w:rsidRPr="008B3F38" w:rsidRDefault="00E84E89" w:rsidP="003C6890">
            <w:pPr>
              <w:pStyle w:val="Tabletext"/>
              <w:rPr>
                <w:sz w:val="18"/>
                <w:szCs w:val="18"/>
                <w:lang w:val="ru-RU"/>
              </w:rPr>
            </w:pPr>
            <w:r w:rsidRPr="008B3F38">
              <w:rPr>
                <w:sz w:val="18"/>
                <w:szCs w:val="18"/>
                <w:lang w:val="ru-RU"/>
              </w:rPr>
              <w:t>В течение 2024 ф.</w:t>
            </w:r>
            <w:r w:rsidR="008B3F38">
              <w:rPr>
                <w:sz w:val="18"/>
                <w:szCs w:val="18"/>
                <w:lang w:val="ru-RU"/>
              </w:rPr>
              <w:t> </w:t>
            </w:r>
            <w:r w:rsidRPr="008B3F38">
              <w:rPr>
                <w:sz w:val="18"/>
                <w:szCs w:val="18"/>
                <w:lang w:val="ru-RU"/>
              </w:rPr>
              <w:t>г. мы старались документально подтверждать информацию, которая была включена в Заключение о внутреннем контроле. Это включало информацию, запрашиваемую у руководителей и представляемую ими в письмах-подтверждениях, которые включаются в Заключение о внутреннем контроле, которое в свою очередь было расширено за счет включения компонента самооценки системы внутреннего контроля (основанного на системе COSO). Хотя результаты позволили получить ключевую информацию, в этом процессе не удалось выявить критические недостатки, особенно в том, что касается делегирования полномочий. Отчасти это было связано с неодинаковым пониманием многими руководителями своих функций и обязанностей в рамках системы внутреннего контроля, а также в отношении компонента самооценки самого мероприятия. Эти результаты свидетельствуют о</w:t>
            </w:r>
            <w:r w:rsidR="00FD50C2" w:rsidRPr="008B3F38">
              <w:rPr>
                <w:sz w:val="18"/>
                <w:szCs w:val="18"/>
                <w:lang w:val="ru-RU"/>
              </w:rPr>
              <w:t> </w:t>
            </w:r>
            <w:r w:rsidRPr="008B3F38">
              <w:rPr>
                <w:sz w:val="18"/>
                <w:szCs w:val="18"/>
                <w:lang w:val="ru-RU"/>
              </w:rPr>
              <w:t xml:space="preserve">необходимости более активного взаимодействия с руководителями в ходе подготовки к мероприятию с акцентом на разъяснение им их обязанностей, чтобы помочь в дальнейшем внедрении нашей системы подотчетности, в частности, путем выявления недостатков и </w:t>
            </w:r>
            <w:r w:rsidRPr="008B3F38">
              <w:rPr>
                <w:sz w:val="18"/>
                <w:szCs w:val="18"/>
                <w:lang w:val="ru-RU"/>
              </w:rPr>
              <w:lastRenderedPageBreak/>
              <w:t>совершенствования. Ключевым моментом разрабатываемой нами дорожной карты является то, что мы должны стремиться к тому, чтобы существующий процесс SIC был не просто процедурным мероприятием, а должным образом отражал усилия, прилагаемые в течение года для выявления недостатков и повышения эффективности нашего внутреннего контроля. Мы также рассматриваем возможность интеграции принимаемых нами мер по управлению рисками в другой существующий обязательный процесс, а именно в ежегодно обновляемые скользящие оперативные планы, вместо того чтобы проводить эти мероприятия отдельно, что приблизит нас к внедрению системы общеорганизационного управления рисками. Кроме того, в настоящее время Подразделение по надзору проводит аудит Системы подотчетности, который, как мы надеемся, позволит нам получить полезные замечания для дальнейшего внедрения этой системы.</w:t>
            </w:r>
          </w:p>
        </w:tc>
        <w:tc>
          <w:tcPr>
            <w:tcW w:w="990" w:type="pct"/>
            <w:shd w:val="clear" w:color="auto" w:fill="auto"/>
          </w:tcPr>
          <w:p w14:paraId="1FF5E333" w14:textId="2C00218D" w:rsidR="00E84E89" w:rsidRPr="008B3F38" w:rsidRDefault="00E84E89" w:rsidP="003C6890">
            <w:pPr>
              <w:pStyle w:val="Tabletext"/>
              <w:rPr>
                <w:sz w:val="18"/>
                <w:szCs w:val="18"/>
                <w:lang w:val="ru-RU"/>
              </w:rPr>
            </w:pPr>
            <w:r w:rsidRPr="008B3F38">
              <w:rPr>
                <w:sz w:val="18"/>
                <w:szCs w:val="18"/>
                <w:lang w:val="ru-RU"/>
              </w:rPr>
              <w:lastRenderedPageBreak/>
              <w:t>Мы принимаем к сведению ответ руководства и дополнительные комментарии в отношении Заключения о</w:t>
            </w:r>
            <w:r w:rsidR="00FD50C2" w:rsidRPr="008B3F38">
              <w:rPr>
                <w:sz w:val="18"/>
                <w:szCs w:val="18"/>
                <w:lang w:val="ru-RU"/>
              </w:rPr>
              <w:t> </w:t>
            </w:r>
            <w:r w:rsidRPr="008B3F38">
              <w:rPr>
                <w:sz w:val="18"/>
                <w:szCs w:val="18"/>
                <w:lang w:val="ru-RU"/>
              </w:rPr>
              <w:t>внутреннем контроле в отчете за этот год. Как подчеркивается в ответе, МСЭ необходимо разработать дорожную карту для полного внедрения Системы</w:t>
            </w:r>
            <w:r w:rsidR="00CD03A9" w:rsidRPr="008B3F38">
              <w:rPr>
                <w:sz w:val="18"/>
                <w:szCs w:val="18"/>
                <w:lang w:val="ru-RU"/>
              </w:rPr>
              <w:t> </w:t>
            </w:r>
            <w:r w:rsidRPr="008B3F38">
              <w:rPr>
                <w:sz w:val="18"/>
                <w:szCs w:val="18"/>
                <w:lang w:val="ru-RU"/>
              </w:rPr>
              <w:t>подотчетности.</w:t>
            </w:r>
          </w:p>
        </w:tc>
        <w:tc>
          <w:tcPr>
            <w:tcW w:w="487" w:type="pct"/>
            <w:shd w:val="clear" w:color="auto" w:fill="auto"/>
          </w:tcPr>
          <w:p w14:paraId="3719DAEB" w14:textId="77777777" w:rsidR="00E84E89" w:rsidRPr="008B3F38" w:rsidRDefault="00E84E89" w:rsidP="003C6890">
            <w:pPr>
              <w:pStyle w:val="Tabletext"/>
              <w:rPr>
                <w:sz w:val="18"/>
                <w:szCs w:val="18"/>
                <w:lang w:val="ru-RU"/>
              </w:rPr>
            </w:pPr>
            <w:r w:rsidRPr="008B3F38">
              <w:rPr>
                <w:sz w:val="18"/>
                <w:szCs w:val="18"/>
                <w:lang w:val="ru-RU"/>
              </w:rPr>
              <w:t>Выполняется.</w:t>
            </w:r>
          </w:p>
        </w:tc>
      </w:tr>
      <w:tr w:rsidR="00FD50C2" w:rsidRPr="008B3F38" w14:paraId="45F202F1" w14:textId="77777777" w:rsidTr="000A513C">
        <w:trPr>
          <w:jc w:val="center"/>
        </w:trPr>
        <w:tc>
          <w:tcPr>
            <w:tcW w:w="547" w:type="pct"/>
            <w:shd w:val="clear" w:color="auto" w:fill="auto"/>
          </w:tcPr>
          <w:p w14:paraId="1B669647" w14:textId="77777777" w:rsidR="00E84E89" w:rsidRPr="008B3F38" w:rsidRDefault="00E84E89" w:rsidP="003C6890">
            <w:pPr>
              <w:pStyle w:val="Tabletext"/>
              <w:rPr>
                <w:sz w:val="18"/>
                <w:szCs w:val="18"/>
                <w:lang w:val="ru-RU"/>
              </w:rPr>
            </w:pPr>
            <w:r w:rsidRPr="008B3F38">
              <w:rPr>
                <w:sz w:val="18"/>
                <w:szCs w:val="18"/>
                <w:lang w:val="ru-RU"/>
              </w:rPr>
              <w:t>Промежуточный отчет за 2022 г., РЕК7</w:t>
            </w:r>
          </w:p>
        </w:tc>
        <w:tc>
          <w:tcPr>
            <w:tcW w:w="1164" w:type="pct"/>
            <w:shd w:val="clear" w:color="auto" w:fill="auto"/>
          </w:tcPr>
          <w:p w14:paraId="499FDEDC" w14:textId="77777777" w:rsidR="00E84E89" w:rsidRPr="008B3F38" w:rsidRDefault="00E84E89" w:rsidP="003C6890">
            <w:pPr>
              <w:pStyle w:val="Tabletext"/>
              <w:rPr>
                <w:sz w:val="18"/>
                <w:szCs w:val="18"/>
                <w:lang w:val="ru-RU"/>
              </w:rPr>
            </w:pPr>
            <w:r w:rsidRPr="008B3F38">
              <w:rPr>
                <w:sz w:val="18"/>
                <w:szCs w:val="18"/>
                <w:lang w:val="ru-RU"/>
              </w:rPr>
              <w:t>Обеспечить достаточную поддержку любой программы трансформации со стороны подразделения по управлению программами в целях смягчения выявленных рисков для программы изменений и надлежащее укомплектование этого подразделения ресурсами, обладающими требуемыми навыками для реализации успешной программы изменений.</w:t>
            </w:r>
          </w:p>
        </w:tc>
        <w:tc>
          <w:tcPr>
            <w:tcW w:w="1812" w:type="pct"/>
            <w:shd w:val="clear" w:color="auto" w:fill="auto"/>
          </w:tcPr>
          <w:p w14:paraId="15357930" w14:textId="77777777" w:rsidR="00E84E89" w:rsidRPr="008B3F38" w:rsidRDefault="00E84E89" w:rsidP="003C6890">
            <w:pPr>
              <w:pStyle w:val="Tabletext"/>
              <w:rPr>
                <w:sz w:val="18"/>
                <w:szCs w:val="18"/>
                <w:lang w:val="ru-RU"/>
              </w:rPr>
            </w:pPr>
            <w:r w:rsidRPr="008B3F38">
              <w:rPr>
                <w:sz w:val="18"/>
                <w:szCs w:val="18"/>
                <w:lang w:val="ru-RU"/>
              </w:rPr>
              <w:t>В ноябре 2024 года руководитель Группы по трансформации инициировал составление Портфеля проектов трансформации и создание Отдела по управлению портфелем проектов трансформации, руководствуясь стандартными принципами управления портфелем проектов (PPM). Чтобы придать этим усилиям еще больший импульс, 1 апреля 2025 года к группе присоединился руководитель программы трансформации уровня P4, который оказывает поддержку руководителю группы в разработке механизмов, процедур и инструментов, а также содействует проведению регулярных собраний Группы руководителей проектов трансформации и обновлению информации о статусе портфеля проектов трансформации и информационных панелей. Первоначальная версия информационной панели портфеля проектов трансформации была впервые представлена РГС в феврале 2025 года.</w:t>
            </w:r>
          </w:p>
          <w:p w14:paraId="3F76E30E" w14:textId="77777777" w:rsidR="00E84E89" w:rsidRPr="008B3F38" w:rsidRDefault="00E84E89" w:rsidP="003C6890">
            <w:pPr>
              <w:pStyle w:val="Tabletext"/>
              <w:rPr>
                <w:sz w:val="18"/>
                <w:szCs w:val="18"/>
                <w:lang w:val="ru-RU"/>
              </w:rPr>
            </w:pPr>
            <w:r w:rsidRPr="008B3F38">
              <w:rPr>
                <w:sz w:val="18"/>
                <w:szCs w:val="18"/>
                <w:lang w:val="ru-RU"/>
              </w:rPr>
              <w:t>В сотрудничестве с HRMD Группа по трансформации также запланировала проведение учебного мероприятия по методике гибкого управления проектами PRINCE2. Это учебное мероприятие будет организовано как для руководителей проектов трансформации, так и для других соответствующих сотрудников, после того как будет проведена внутренняя оценка различных методик управления проектами, используемых в настоящее время в МСЭ.</w:t>
            </w:r>
          </w:p>
          <w:p w14:paraId="4EF167E7" w14:textId="77777777" w:rsidR="00E84E89" w:rsidRPr="008B3F38" w:rsidRDefault="00E84E89" w:rsidP="003C6890">
            <w:pPr>
              <w:pStyle w:val="Tabletext"/>
              <w:rPr>
                <w:sz w:val="18"/>
                <w:szCs w:val="18"/>
                <w:lang w:val="ru-RU"/>
              </w:rPr>
            </w:pPr>
            <w:r w:rsidRPr="008B3F38">
              <w:rPr>
                <w:sz w:val="18"/>
                <w:szCs w:val="18"/>
                <w:lang w:val="ru-RU"/>
              </w:rPr>
              <w:lastRenderedPageBreak/>
              <w:t>Кроме того, на основе анализа имеющихся инструментов команда Группа по трансформации стандартизирует использование Microsoft Planner, Microsoft Project и Microsoft Teams в качестве официальных платформ для управления портфелем проектов и совместной работы.</w:t>
            </w:r>
          </w:p>
          <w:p w14:paraId="1E2BDE44" w14:textId="77777777" w:rsidR="00E84E89" w:rsidRPr="008B3F38" w:rsidRDefault="00E84E89" w:rsidP="003C6890">
            <w:pPr>
              <w:pStyle w:val="Tabletext"/>
              <w:rPr>
                <w:sz w:val="18"/>
                <w:szCs w:val="18"/>
                <w:lang w:val="ru-RU"/>
              </w:rPr>
            </w:pPr>
            <w:r w:rsidRPr="008B3F38">
              <w:rPr>
                <w:sz w:val="18"/>
                <w:szCs w:val="18"/>
                <w:lang w:val="ru-RU"/>
              </w:rPr>
              <w:t>Портфель проектов трансформации продолжает совершенствоваться.</w:t>
            </w:r>
          </w:p>
        </w:tc>
        <w:tc>
          <w:tcPr>
            <w:tcW w:w="990" w:type="pct"/>
            <w:shd w:val="clear" w:color="auto" w:fill="auto"/>
          </w:tcPr>
          <w:p w14:paraId="13FA85E9" w14:textId="77777777" w:rsidR="00E84E89" w:rsidRPr="008B3F38" w:rsidRDefault="00E84E89" w:rsidP="003C6890">
            <w:pPr>
              <w:pStyle w:val="Tabletext"/>
              <w:rPr>
                <w:sz w:val="18"/>
                <w:szCs w:val="18"/>
                <w:lang w:val="ru-RU"/>
              </w:rPr>
            </w:pPr>
            <w:r w:rsidRPr="008B3F38">
              <w:rPr>
                <w:sz w:val="18"/>
                <w:szCs w:val="18"/>
                <w:lang w:val="ru-RU"/>
              </w:rPr>
              <w:lastRenderedPageBreak/>
              <w:t>Мы принимаем к сведению ответ реакцию руководства и то, что были созданы механизмы управления программами. Процесс трансформации МСЭ находится на ранней стадии, и мы более подробно прокомментировали эти механизмы в отчете за этот год. Эффективность функционирования этих механизмов будет дополнительно рассмотрена в отчете за следующий год.</w:t>
            </w:r>
          </w:p>
        </w:tc>
        <w:tc>
          <w:tcPr>
            <w:tcW w:w="487" w:type="pct"/>
            <w:shd w:val="clear" w:color="auto" w:fill="auto"/>
          </w:tcPr>
          <w:p w14:paraId="0CEFFFC2" w14:textId="77777777" w:rsidR="00E84E89" w:rsidRPr="008B3F38" w:rsidRDefault="00E84E89" w:rsidP="003C6890">
            <w:pPr>
              <w:pStyle w:val="Tabletext"/>
              <w:rPr>
                <w:sz w:val="18"/>
                <w:szCs w:val="18"/>
                <w:lang w:val="ru-RU"/>
              </w:rPr>
            </w:pPr>
            <w:r w:rsidRPr="008B3F38">
              <w:rPr>
                <w:sz w:val="18"/>
                <w:szCs w:val="18"/>
                <w:lang w:val="ru-RU"/>
              </w:rPr>
              <w:t>Выполнена.</w:t>
            </w:r>
          </w:p>
          <w:p w14:paraId="6E336D39" w14:textId="77777777" w:rsidR="00E84E89" w:rsidRPr="008B3F38" w:rsidRDefault="00E84E89" w:rsidP="003C6890">
            <w:pPr>
              <w:pStyle w:val="Tabletext"/>
              <w:rPr>
                <w:sz w:val="18"/>
                <w:szCs w:val="18"/>
                <w:lang w:val="ru-RU"/>
              </w:rPr>
            </w:pPr>
            <w:r w:rsidRPr="008B3F38">
              <w:rPr>
                <w:sz w:val="18"/>
                <w:szCs w:val="18"/>
                <w:lang w:val="ru-RU"/>
              </w:rPr>
              <w:t>Закрыта.</w:t>
            </w:r>
          </w:p>
        </w:tc>
      </w:tr>
      <w:tr w:rsidR="00FD50C2" w:rsidRPr="008B3F38" w14:paraId="1AC73F40" w14:textId="77777777" w:rsidTr="000A513C">
        <w:trPr>
          <w:jc w:val="center"/>
        </w:trPr>
        <w:tc>
          <w:tcPr>
            <w:tcW w:w="547" w:type="pct"/>
            <w:shd w:val="clear" w:color="auto" w:fill="auto"/>
          </w:tcPr>
          <w:p w14:paraId="7067AC4B" w14:textId="77777777" w:rsidR="00E84E89" w:rsidRPr="008B3F38" w:rsidRDefault="00E84E89" w:rsidP="003C6890">
            <w:pPr>
              <w:pStyle w:val="Tabletext"/>
              <w:rPr>
                <w:sz w:val="18"/>
                <w:szCs w:val="18"/>
                <w:lang w:val="ru-RU"/>
              </w:rPr>
            </w:pPr>
            <w:r w:rsidRPr="008B3F38">
              <w:rPr>
                <w:sz w:val="18"/>
                <w:szCs w:val="18"/>
                <w:lang w:val="ru-RU"/>
              </w:rPr>
              <w:t>Промежуточный отчет за 2022 г., РЕК8</w:t>
            </w:r>
          </w:p>
        </w:tc>
        <w:tc>
          <w:tcPr>
            <w:tcW w:w="1164" w:type="pct"/>
            <w:shd w:val="clear" w:color="auto" w:fill="auto"/>
          </w:tcPr>
          <w:p w14:paraId="5449A3CB" w14:textId="77777777" w:rsidR="00E84E89" w:rsidRPr="008B3F38" w:rsidRDefault="00E84E89" w:rsidP="003C6890">
            <w:pPr>
              <w:pStyle w:val="Tabletext"/>
              <w:rPr>
                <w:sz w:val="18"/>
                <w:szCs w:val="18"/>
                <w:lang w:val="ru-RU"/>
              </w:rPr>
            </w:pPr>
            <w:r w:rsidRPr="008B3F38">
              <w:rPr>
                <w:sz w:val="18"/>
                <w:szCs w:val="18"/>
                <w:lang w:val="ru-RU"/>
              </w:rPr>
              <w:t>Проанализировать механизмы управления и подтверждения достоверности и регулярно запрашивать подтверждение того, что управление, обеспечение ресурсами и выполнение проекта осуществляется надлежащим образом, для того чтобы обеспечить выявление и снижение рисков программы крупных капитальных вложений.</w:t>
            </w:r>
          </w:p>
        </w:tc>
        <w:tc>
          <w:tcPr>
            <w:tcW w:w="1812" w:type="pct"/>
            <w:shd w:val="clear" w:color="auto" w:fill="auto"/>
          </w:tcPr>
          <w:p w14:paraId="281D87FA" w14:textId="1C13F392" w:rsidR="00E84E89" w:rsidRPr="008B3F38" w:rsidRDefault="00E84E89" w:rsidP="003C6890">
            <w:pPr>
              <w:pStyle w:val="Tabletext"/>
              <w:rPr>
                <w:sz w:val="18"/>
                <w:szCs w:val="18"/>
                <w:lang w:val="ru-RU"/>
              </w:rPr>
            </w:pPr>
            <w:r w:rsidRPr="008B3F38">
              <w:rPr>
                <w:sz w:val="18"/>
                <w:szCs w:val="18"/>
                <w:lang w:val="ru-RU"/>
              </w:rPr>
              <w:t>В связи с новым проектом строительства здания Варембе была обновлена система управления проектами, которая в настоящее время рассматривается руководством МСЭ с целью ее утверждения. В этой системе описаны механизмы обеспечения управления и гарантий в рамках проекта строительства, направленные на оптимизацию процесса принятия решений, обеспечивая при этом стратегическую согласованность, эффективное использование ресурсов и эффективное управление рисками. Специальный реестр рисков, связанных с проектом строительства нового здания, ведется Отделом административно-хозяйственного управления и проекта строительства здания при поддержке внешней фирмы по управлению проектами. Фирма была привлечена для того, чтобы извлечь уроки из передового опыта реализации аналогичных проектов, и участвовать в управлении рисками. Надзор за реализацией проекта осуществляет Консультативная группа Государств-Членов (КГГС), в состав которой также входит технический эксперт, предоставленный правительством Германии, а финансовые отчеты регулярно передаются принимающей стране, которая также проводит внешний обзор и консультирует в отношении реализации проекта. Наконец, руководство проектом также осуществляется Руководящим комитетом.</w:t>
            </w:r>
          </w:p>
          <w:p w14:paraId="0FF64482" w14:textId="2E87C84B" w:rsidR="00E84E89" w:rsidRPr="008B3F38" w:rsidRDefault="00E84E89" w:rsidP="003C6890">
            <w:pPr>
              <w:pStyle w:val="Tabletext"/>
              <w:rPr>
                <w:sz w:val="18"/>
                <w:szCs w:val="18"/>
                <w:lang w:val="ru-RU"/>
              </w:rPr>
            </w:pPr>
            <w:r w:rsidRPr="008B3F38">
              <w:rPr>
                <w:sz w:val="18"/>
                <w:szCs w:val="18"/>
                <w:lang w:val="ru-RU"/>
              </w:rPr>
              <w:t>Пересмотрена система управления проектами, которая будет утверждена КК, как только будут получены отзывы от IMAC и Внешнего аудита (КГГЧ уже рассмотрела новую систему</w:t>
            </w:r>
            <w:r w:rsidR="00CD03A9" w:rsidRPr="008B3F38">
              <w:rPr>
                <w:sz w:val="18"/>
                <w:szCs w:val="18"/>
                <w:lang w:val="ru-RU"/>
              </w:rPr>
              <w:t> </w:t>
            </w:r>
            <w:r w:rsidRPr="008B3F38">
              <w:rPr>
                <w:sz w:val="18"/>
                <w:szCs w:val="18"/>
                <w:lang w:val="ru-RU"/>
              </w:rPr>
              <w:t>управления).</w:t>
            </w:r>
          </w:p>
        </w:tc>
        <w:tc>
          <w:tcPr>
            <w:tcW w:w="990" w:type="pct"/>
            <w:shd w:val="clear" w:color="auto" w:fill="auto"/>
          </w:tcPr>
          <w:p w14:paraId="75AEFC06" w14:textId="77777777" w:rsidR="00E84E89" w:rsidRPr="008B3F38" w:rsidRDefault="00E84E89" w:rsidP="003C6890">
            <w:pPr>
              <w:pStyle w:val="Tabletext"/>
              <w:rPr>
                <w:sz w:val="18"/>
                <w:szCs w:val="18"/>
                <w:lang w:val="ru-RU"/>
              </w:rPr>
            </w:pPr>
            <w:r w:rsidRPr="008B3F38">
              <w:rPr>
                <w:sz w:val="18"/>
                <w:szCs w:val="18"/>
                <w:lang w:val="ru-RU"/>
              </w:rPr>
              <w:t>Мы принимаем к сведению ответ руководства и еще раз подчеркиваем важность создания надлежащих механизмов управления и гарантий в отношении столь важного проекта.</w:t>
            </w:r>
          </w:p>
        </w:tc>
        <w:tc>
          <w:tcPr>
            <w:tcW w:w="487" w:type="pct"/>
            <w:shd w:val="clear" w:color="auto" w:fill="auto"/>
          </w:tcPr>
          <w:p w14:paraId="55077959" w14:textId="77777777" w:rsidR="00E84E89" w:rsidRPr="008B3F38" w:rsidRDefault="00E84E89" w:rsidP="003C6890">
            <w:pPr>
              <w:pStyle w:val="Tabletext"/>
              <w:rPr>
                <w:sz w:val="18"/>
                <w:szCs w:val="18"/>
                <w:lang w:val="ru-RU"/>
              </w:rPr>
            </w:pPr>
            <w:r w:rsidRPr="008B3F38">
              <w:rPr>
                <w:sz w:val="18"/>
                <w:szCs w:val="18"/>
                <w:lang w:val="ru-RU"/>
              </w:rPr>
              <w:t>Не выполнена.</w:t>
            </w:r>
          </w:p>
        </w:tc>
      </w:tr>
      <w:tr w:rsidR="00FD50C2" w:rsidRPr="008B3F38" w14:paraId="478A9F71" w14:textId="77777777" w:rsidTr="000A513C">
        <w:trPr>
          <w:jc w:val="center"/>
        </w:trPr>
        <w:tc>
          <w:tcPr>
            <w:tcW w:w="547" w:type="pct"/>
            <w:shd w:val="clear" w:color="auto" w:fill="auto"/>
          </w:tcPr>
          <w:p w14:paraId="68D22DA6" w14:textId="77777777" w:rsidR="00E84E89" w:rsidRPr="008B3F38" w:rsidRDefault="00E84E89" w:rsidP="003C6890">
            <w:pPr>
              <w:pStyle w:val="Tabletext"/>
              <w:rPr>
                <w:sz w:val="18"/>
                <w:szCs w:val="18"/>
                <w:lang w:val="ru-RU"/>
              </w:rPr>
            </w:pPr>
            <w:r w:rsidRPr="008B3F38">
              <w:rPr>
                <w:sz w:val="18"/>
                <w:szCs w:val="18"/>
                <w:lang w:val="ru-RU"/>
              </w:rPr>
              <w:t>Промежуточный отчет за 2022 г., РЕК9</w:t>
            </w:r>
          </w:p>
        </w:tc>
        <w:tc>
          <w:tcPr>
            <w:tcW w:w="1164" w:type="pct"/>
            <w:shd w:val="clear" w:color="auto" w:fill="auto"/>
          </w:tcPr>
          <w:p w14:paraId="622E2A5F" w14:textId="77777777" w:rsidR="00E84E89" w:rsidRPr="008B3F38" w:rsidRDefault="00E84E89" w:rsidP="003C6890">
            <w:pPr>
              <w:pStyle w:val="Tabletext"/>
              <w:rPr>
                <w:sz w:val="18"/>
                <w:szCs w:val="18"/>
                <w:lang w:val="ru-RU"/>
              </w:rPr>
            </w:pPr>
            <w:r w:rsidRPr="008B3F38">
              <w:rPr>
                <w:sz w:val="18"/>
                <w:szCs w:val="18"/>
                <w:lang w:val="ru-RU"/>
              </w:rPr>
              <w:t xml:space="preserve">Разработать четкое заявление о необходимости развития и выгодах, которые будут получены, чтобы Союз мог эффективно оценить и достичь </w:t>
            </w:r>
            <w:r w:rsidRPr="008B3F38">
              <w:rPr>
                <w:sz w:val="18"/>
                <w:szCs w:val="18"/>
                <w:lang w:val="ru-RU"/>
              </w:rPr>
              <w:lastRenderedPageBreak/>
              <w:t>оптимального соотношения затрат и результатов от инвестиций.</w:t>
            </w:r>
          </w:p>
        </w:tc>
        <w:tc>
          <w:tcPr>
            <w:tcW w:w="1812" w:type="pct"/>
            <w:shd w:val="clear" w:color="auto" w:fill="auto"/>
          </w:tcPr>
          <w:p w14:paraId="201C5C06" w14:textId="77777777" w:rsidR="00E84E89" w:rsidRPr="008B3F38" w:rsidRDefault="00E84E89" w:rsidP="003C6890">
            <w:pPr>
              <w:pStyle w:val="Tabletext"/>
              <w:rPr>
                <w:sz w:val="18"/>
                <w:szCs w:val="18"/>
                <w:lang w:val="ru-RU"/>
              </w:rPr>
            </w:pPr>
            <w:r w:rsidRPr="008B3F38">
              <w:rPr>
                <w:sz w:val="18"/>
                <w:szCs w:val="18"/>
                <w:lang w:val="ru-RU"/>
              </w:rPr>
              <w:lastRenderedPageBreak/>
              <w:t xml:space="preserve">Эта рекомендация была вынесена, когда суммы, указанные в заявках на разработку первоначального проекта, превысили имеющийся бюджет. В то время МСЭ запросил независимую экспертную оценку третьей стороной, которая должна была рекомендовать дальнейшие действия. После переоценки </w:t>
            </w:r>
            <w:r w:rsidRPr="008B3F38">
              <w:rPr>
                <w:sz w:val="18"/>
                <w:szCs w:val="18"/>
                <w:lang w:val="ru-RU"/>
              </w:rPr>
              <w:lastRenderedPageBreak/>
              <w:t>потребностей было разработано альтернативное проектное предложение с четким изложением потребностей и способов их удовлетворения. В июне 2024 года Совет МСЭ принял решение отказаться от первоначального проекта и одобрить альтернативный проект с измененным объемом работ, соответствующим потребностям, и в рамках имеющегося бюджета. Чтобы обеспечить оптимальное соотношение цены и качества, был проведен конкурсный отбор генерального проектировщика (архитектурно-проектной фирмы), и в настоящее время завершается подготовка контракта.</w:t>
            </w:r>
          </w:p>
        </w:tc>
        <w:tc>
          <w:tcPr>
            <w:tcW w:w="990" w:type="pct"/>
            <w:shd w:val="clear" w:color="auto" w:fill="auto"/>
          </w:tcPr>
          <w:p w14:paraId="7B032007" w14:textId="77777777" w:rsidR="00E84E89" w:rsidRPr="008B3F38" w:rsidRDefault="00E84E89" w:rsidP="003C6890">
            <w:pPr>
              <w:pStyle w:val="Tabletext"/>
              <w:rPr>
                <w:sz w:val="18"/>
                <w:szCs w:val="18"/>
                <w:lang w:val="ru-RU"/>
              </w:rPr>
            </w:pPr>
            <w:r w:rsidRPr="008B3F38">
              <w:rPr>
                <w:sz w:val="18"/>
                <w:szCs w:val="18"/>
                <w:lang w:val="ru-RU"/>
              </w:rPr>
              <w:lastRenderedPageBreak/>
              <w:t xml:space="preserve">Мы принимаем к сведению ответ руководства, но считаем, что пока еще не было представлено четкое и подробное описание </w:t>
            </w:r>
            <w:r w:rsidRPr="008B3F38">
              <w:rPr>
                <w:sz w:val="18"/>
                <w:szCs w:val="18"/>
                <w:lang w:val="ru-RU"/>
              </w:rPr>
              <w:lastRenderedPageBreak/>
              <w:t>потребностей и выгод, которые будут получены от проекта строительства нового здания, необходимое для того, чтобы Союза смог эффективно оценить и получить отдачу от инвестиций.</w:t>
            </w:r>
          </w:p>
        </w:tc>
        <w:tc>
          <w:tcPr>
            <w:tcW w:w="487" w:type="pct"/>
            <w:shd w:val="clear" w:color="auto" w:fill="auto"/>
          </w:tcPr>
          <w:p w14:paraId="41F0A22E" w14:textId="77777777" w:rsidR="00E84E89" w:rsidRPr="008B3F38" w:rsidRDefault="00E84E89" w:rsidP="003C6890">
            <w:pPr>
              <w:pStyle w:val="Tabletext"/>
              <w:rPr>
                <w:sz w:val="18"/>
                <w:szCs w:val="18"/>
                <w:lang w:val="ru-RU"/>
              </w:rPr>
            </w:pPr>
            <w:r w:rsidRPr="008B3F38">
              <w:rPr>
                <w:sz w:val="18"/>
                <w:szCs w:val="18"/>
                <w:lang w:val="ru-RU"/>
              </w:rPr>
              <w:lastRenderedPageBreak/>
              <w:t>Не выполнена.</w:t>
            </w:r>
          </w:p>
        </w:tc>
      </w:tr>
      <w:tr w:rsidR="00FD50C2" w:rsidRPr="008B3F38" w14:paraId="1D048C3A" w14:textId="77777777" w:rsidTr="000A513C">
        <w:trPr>
          <w:jc w:val="center"/>
        </w:trPr>
        <w:tc>
          <w:tcPr>
            <w:tcW w:w="547" w:type="pct"/>
            <w:shd w:val="clear" w:color="auto" w:fill="auto"/>
          </w:tcPr>
          <w:p w14:paraId="2C139F00" w14:textId="77777777" w:rsidR="00E84E89" w:rsidRPr="008B3F38" w:rsidRDefault="00E84E89" w:rsidP="003C6890">
            <w:pPr>
              <w:pStyle w:val="Tabletext"/>
              <w:rPr>
                <w:sz w:val="18"/>
                <w:szCs w:val="18"/>
                <w:lang w:val="ru-RU"/>
              </w:rPr>
            </w:pPr>
            <w:r w:rsidRPr="008B3F38">
              <w:rPr>
                <w:sz w:val="18"/>
                <w:szCs w:val="18"/>
                <w:lang w:val="ru-RU"/>
              </w:rPr>
              <w:t>Заключительный отчет за 2022 г., РЕК4</w:t>
            </w:r>
          </w:p>
        </w:tc>
        <w:tc>
          <w:tcPr>
            <w:tcW w:w="1164" w:type="pct"/>
            <w:shd w:val="clear" w:color="auto" w:fill="auto"/>
          </w:tcPr>
          <w:p w14:paraId="07C77A87" w14:textId="77777777" w:rsidR="00E84E89" w:rsidRPr="008B3F38" w:rsidRDefault="00E84E89" w:rsidP="003C6890">
            <w:pPr>
              <w:pStyle w:val="Tabletext"/>
              <w:rPr>
                <w:sz w:val="18"/>
                <w:szCs w:val="18"/>
                <w:lang w:val="ru-RU"/>
              </w:rPr>
            </w:pPr>
            <w:r w:rsidRPr="008B3F38">
              <w:rPr>
                <w:sz w:val="18"/>
                <w:szCs w:val="18"/>
                <w:lang w:val="ru-RU"/>
              </w:rPr>
              <w:t>Проанализировать инвестиционную политику и процессы, с тем чтобы они отражали передовой опыт и обеспечивали наибольшую отдачу от денежных ресурсов при согласованном допустимом риске; эта деятельность должна быть основана на внешнем сопоставительном анализе и специальных знаниях.</w:t>
            </w:r>
          </w:p>
        </w:tc>
        <w:tc>
          <w:tcPr>
            <w:tcW w:w="1812" w:type="pct"/>
            <w:shd w:val="clear" w:color="auto" w:fill="auto"/>
          </w:tcPr>
          <w:p w14:paraId="0AB43103" w14:textId="77777777" w:rsidR="00E84E89" w:rsidRPr="008B3F38" w:rsidRDefault="00E84E89" w:rsidP="003C6890">
            <w:pPr>
              <w:pStyle w:val="Tabletext"/>
              <w:rPr>
                <w:sz w:val="18"/>
                <w:szCs w:val="18"/>
                <w:lang w:val="ru-RU"/>
              </w:rPr>
            </w:pPr>
            <w:r w:rsidRPr="008B3F38">
              <w:rPr>
                <w:sz w:val="18"/>
                <w:szCs w:val="18"/>
                <w:lang w:val="ru-RU"/>
              </w:rPr>
              <w:t>МСЭ пересмотрел свой Финансовый регламент и Финансовые правила. Одним из ключевых аспектов является утверждение двух ключевых служебных распоряжений о создании Казначейского комитета и пересмотре инвестиционной политики. Эти распоряжения выполняются в 2025 году и в них установлены параметры, в соответствии с которыми МСЭ следует инвестировать средства (включая хеджирование валютных рисков, профиль инвестиционных рисков как в краткосрочной, так и в долгосрочной перспективе).</w:t>
            </w:r>
          </w:p>
        </w:tc>
        <w:tc>
          <w:tcPr>
            <w:tcW w:w="990" w:type="pct"/>
            <w:shd w:val="clear" w:color="auto" w:fill="auto"/>
          </w:tcPr>
          <w:p w14:paraId="3DC8FAC2" w14:textId="77777777" w:rsidR="00E84E89" w:rsidRPr="008B3F38" w:rsidRDefault="00E84E89" w:rsidP="003C6890">
            <w:pPr>
              <w:pStyle w:val="Tabletext"/>
              <w:rPr>
                <w:sz w:val="18"/>
                <w:szCs w:val="18"/>
                <w:lang w:val="ru-RU"/>
              </w:rPr>
            </w:pPr>
            <w:r w:rsidRPr="008B3F38">
              <w:rPr>
                <w:sz w:val="18"/>
                <w:szCs w:val="18"/>
                <w:lang w:val="ru-RU"/>
              </w:rPr>
              <w:t>Мы принимаем к сведению ответ руководства и учтем его в рамках нашего аудита 2025 года.</w:t>
            </w:r>
          </w:p>
        </w:tc>
        <w:tc>
          <w:tcPr>
            <w:tcW w:w="487" w:type="pct"/>
            <w:shd w:val="clear" w:color="auto" w:fill="auto"/>
          </w:tcPr>
          <w:p w14:paraId="6248C6EE" w14:textId="77777777" w:rsidR="00E84E89" w:rsidRPr="008B3F38" w:rsidRDefault="00E84E89" w:rsidP="003C6890">
            <w:pPr>
              <w:pStyle w:val="Tabletext"/>
              <w:rPr>
                <w:sz w:val="18"/>
                <w:szCs w:val="18"/>
                <w:lang w:val="ru-RU"/>
              </w:rPr>
            </w:pPr>
            <w:r w:rsidRPr="008B3F38">
              <w:rPr>
                <w:sz w:val="18"/>
                <w:szCs w:val="18"/>
                <w:lang w:val="ru-RU"/>
              </w:rPr>
              <w:t>Выполняется.</w:t>
            </w:r>
          </w:p>
        </w:tc>
      </w:tr>
      <w:tr w:rsidR="00FD50C2" w:rsidRPr="008B3F38" w14:paraId="362D7735" w14:textId="77777777" w:rsidTr="000A513C">
        <w:trPr>
          <w:jc w:val="center"/>
        </w:trPr>
        <w:tc>
          <w:tcPr>
            <w:tcW w:w="547" w:type="pct"/>
            <w:shd w:val="clear" w:color="auto" w:fill="auto"/>
          </w:tcPr>
          <w:p w14:paraId="528458E6" w14:textId="77777777" w:rsidR="00E84E89" w:rsidRPr="008B3F38" w:rsidRDefault="00E84E89" w:rsidP="003C6890">
            <w:pPr>
              <w:pStyle w:val="Tabletext"/>
              <w:rPr>
                <w:sz w:val="18"/>
                <w:szCs w:val="18"/>
                <w:lang w:val="ru-RU"/>
              </w:rPr>
            </w:pPr>
            <w:bookmarkStart w:id="49" w:name="_Hlk200537802"/>
            <w:r w:rsidRPr="008B3F38">
              <w:rPr>
                <w:sz w:val="18"/>
                <w:szCs w:val="18"/>
                <w:lang w:val="ru-RU"/>
              </w:rPr>
              <w:t>Заключительный отчет за 2022 г., РЕК5</w:t>
            </w:r>
          </w:p>
        </w:tc>
        <w:tc>
          <w:tcPr>
            <w:tcW w:w="1164" w:type="pct"/>
            <w:shd w:val="clear" w:color="auto" w:fill="auto"/>
          </w:tcPr>
          <w:p w14:paraId="3A534280" w14:textId="0641F7E0" w:rsidR="00E84E89" w:rsidRPr="008B3F38" w:rsidRDefault="00E84E89" w:rsidP="003C6890">
            <w:pPr>
              <w:pStyle w:val="Tabletext"/>
              <w:rPr>
                <w:sz w:val="18"/>
                <w:szCs w:val="18"/>
                <w:lang w:val="ru-RU"/>
              </w:rPr>
            </w:pPr>
            <w:r w:rsidRPr="008B3F38">
              <w:rPr>
                <w:sz w:val="18"/>
                <w:szCs w:val="18"/>
                <w:lang w:val="ru-RU"/>
              </w:rPr>
              <w:t>Пересмотреть существующие процедуры управления дебиторской задолженностью, чтобы обеспечить более активные последующие действия и меры по взысканию</w:t>
            </w:r>
            <w:r w:rsidR="00CD03A9" w:rsidRPr="008B3F38">
              <w:rPr>
                <w:sz w:val="18"/>
                <w:szCs w:val="18"/>
                <w:lang w:val="ru-RU"/>
              </w:rPr>
              <w:t> </w:t>
            </w:r>
            <w:r w:rsidRPr="008B3F38">
              <w:rPr>
                <w:sz w:val="18"/>
                <w:szCs w:val="18"/>
                <w:lang w:val="ru-RU"/>
              </w:rPr>
              <w:t>задолженности.</w:t>
            </w:r>
          </w:p>
        </w:tc>
        <w:tc>
          <w:tcPr>
            <w:tcW w:w="1812" w:type="pct"/>
            <w:shd w:val="clear" w:color="auto" w:fill="auto"/>
          </w:tcPr>
          <w:p w14:paraId="272B0543" w14:textId="77777777" w:rsidR="00E84E89" w:rsidRPr="008B3F38" w:rsidRDefault="00E84E89" w:rsidP="003C6890">
            <w:pPr>
              <w:pStyle w:val="Tabletext"/>
              <w:rPr>
                <w:sz w:val="18"/>
                <w:szCs w:val="18"/>
                <w:lang w:val="ru-RU"/>
              </w:rPr>
            </w:pPr>
            <w:r w:rsidRPr="008B3F38">
              <w:rPr>
                <w:sz w:val="18"/>
                <w:szCs w:val="18"/>
                <w:lang w:val="ru-RU"/>
              </w:rPr>
              <w:t>МСЭ принял ранее упомянутые меры в отношении наших должников. В некоторых случаях были достигнуты положительные результаты в плане взыскания дебиторской задолженности. Однако были случаи, когда некоторые Государства-Члены были не в состоянии выплачивать свои взносы в регулярный бюджет. МСЭ проведет обзор в соответствии со своими Финансовым регламентом и Финансовыми правилами, чтобы определить возможные варианты взыскания просроченной дебиторской задолженности.</w:t>
            </w:r>
          </w:p>
        </w:tc>
        <w:tc>
          <w:tcPr>
            <w:tcW w:w="990" w:type="pct"/>
            <w:shd w:val="clear" w:color="auto" w:fill="auto"/>
          </w:tcPr>
          <w:p w14:paraId="3875B03C" w14:textId="77777777" w:rsidR="00E84E89" w:rsidRPr="008B3F38" w:rsidRDefault="00E84E89" w:rsidP="003C6890">
            <w:pPr>
              <w:pStyle w:val="Tabletext"/>
              <w:rPr>
                <w:sz w:val="18"/>
                <w:szCs w:val="18"/>
                <w:lang w:val="ru-RU"/>
              </w:rPr>
            </w:pPr>
            <w:r w:rsidRPr="008B3F38">
              <w:rPr>
                <w:sz w:val="18"/>
                <w:szCs w:val="18"/>
                <w:lang w:val="ru-RU"/>
              </w:rPr>
              <w:t>Мы принимаем к сведению ответ руководства и намерение продолжить обзор и в связи с этим вновь рассмотрим этот вопрос в рамках нашего аудита 2025 года.</w:t>
            </w:r>
          </w:p>
        </w:tc>
        <w:tc>
          <w:tcPr>
            <w:tcW w:w="487" w:type="pct"/>
            <w:shd w:val="clear" w:color="auto" w:fill="auto"/>
          </w:tcPr>
          <w:p w14:paraId="15F6BFEC" w14:textId="77777777" w:rsidR="00E84E89" w:rsidRPr="008B3F38" w:rsidRDefault="00E84E89" w:rsidP="003C6890">
            <w:pPr>
              <w:pStyle w:val="Tabletext"/>
              <w:rPr>
                <w:sz w:val="18"/>
                <w:szCs w:val="18"/>
                <w:lang w:val="ru-RU"/>
              </w:rPr>
            </w:pPr>
            <w:r w:rsidRPr="008B3F38">
              <w:rPr>
                <w:sz w:val="18"/>
                <w:szCs w:val="18"/>
                <w:lang w:val="ru-RU"/>
              </w:rPr>
              <w:t>Выполняется.</w:t>
            </w:r>
          </w:p>
        </w:tc>
      </w:tr>
      <w:tr w:rsidR="00FD50C2" w:rsidRPr="008B3F38" w14:paraId="07FB47B3" w14:textId="77777777" w:rsidTr="000A513C">
        <w:trPr>
          <w:jc w:val="center"/>
        </w:trPr>
        <w:tc>
          <w:tcPr>
            <w:tcW w:w="547" w:type="pct"/>
            <w:shd w:val="clear" w:color="auto" w:fill="auto"/>
          </w:tcPr>
          <w:p w14:paraId="0943081F" w14:textId="77777777" w:rsidR="00E84E89" w:rsidRPr="008B3F38" w:rsidRDefault="00E84E89" w:rsidP="003C6890">
            <w:pPr>
              <w:pStyle w:val="Tabletext"/>
              <w:rPr>
                <w:sz w:val="18"/>
                <w:szCs w:val="18"/>
                <w:lang w:val="ru-RU"/>
              </w:rPr>
            </w:pPr>
            <w:r w:rsidRPr="008B3F38">
              <w:rPr>
                <w:sz w:val="18"/>
                <w:szCs w:val="18"/>
                <w:lang w:val="ru-RU"/>
              </w:rPr>
              <w:t>Заключительный отчет за 2022 г., РЕК6</w:t>
            </w:r>
          </w:p>
        </w:tc>
        <w:tc>
          <w:tcPr>
            <w:tcW w:w="1164" w:type="pct"/>
            <w:shd w:val="clear" w:color="auto" w:fill="auto"/>
          </w:tcPr>
          <w:p w14:paraId="6B9B34E5" w14:textId="77777777" w:rsidR="00E84E89" w:rsidRPr="008B3F38" w:rsidRDefault="00E84E89" w:rsidP="003C6890">
            <w:pPr>
              <w:pStyle w:val="Tabletext"/>
              <w:rPr>
                <w:sz w:val="18"/>
                <w:szCs w:val="18"/>
                <w:lang w:val="ru-RU"/>
              </w:rPr>
            </w:pPr>
            <w:r w:rsidRPr="008B3F38">
              <w:rPr>
                <w:sz w:val="18"/>
                <w:szCs w:val="18"/>
                <w:lang w:val="ru-RU"/>
              </w:rPr>
              <w:t>Обеспечить, чтобы при распределении бюджета и принятии финансовых решений учитывались реалистичные сроки движения финансовых потоков, основанные на исторических тенденциях, чтобы свести к минимуму риск перерасхода средств.</w:t>
            </w:r>
          </w:p>
        </w:tc>
        <w:tc>
          <w:tcPr>
            <w:tcW w:w="1812" w:type="pct"/>
            <w:shd w:val="clear" w:color="auto" w:fill="auto"/>
          </w:tcPr>
          <w:p w14:paraId="3C4938C4" w14:textId="409B3F2A" w:rsidR="00E84E89" w:rsidRPr="008B3F38" w:rsidRDefault="00E84E89" w:rsidP="003C6890">
            <w:pPr>
              <w:pStyle w:val="Tabletext"/>
              <w:rPr>
                <w:sz w:val="18"/>
                <w:szCs w:val="18"/>
                <w:lang w:val="ru-RU"/>
              </w:rPr>
            </w:pPr>
            <w:r w:rsidRPr="008B3F38">
              <w:rPr>
                <w:sz w:val="18"/>
                <w:szCs w:val="18"/>
                <w:lang w:val="ru-RU"/>
              </w:rPr>
              <w:t>МСЭ проанализировал свою политику в отношении распределения бюджетных средств и распространил среди высшего руководства проекты документов о переходе к механизму распределения бюджетных средств в случае, если доходы МСЭ не соответствуют смете его расходов. Это</w:t>
            </w:r>
            <w:r w:rsidR="007C53BA" w:rsidRPr="008B3F38">
              <w:rPr>
                <w:sz w:val="18"/>
                <w:szCs w:val="18"/>
                <w:lang w:val="ru-RU"/>
              </w:rPr>
              <w:t> </w:t>
            </w:r>
            <w:r w:rsidRPr="008B3F38">
              <w:rPr>
                <w:sz w:val="18"/>
                <w:szCs w:val="18"/>
                <w:lang w:val="ru-RU"/>
              </w:rPr>
              <w:t>вызывает обеспокоенность последние 4 года, в течение которых поскольку уровень доходов не соответствует тому, что заложено в бюджет.</w:t>
            </w:r>
          </w:p>
        </w:tc>
        <w:tc>
          <w:tcPr>
            <w:tcW w:w="990" w:type="pct"/>
            <w:shd w:val="clear" w:color="auto" w:fill="auto"/>
          </w:tcPr>
          <w:p w14:paraId="60138F8B" w14:textId="77777777" w:rsidR="00E84E89" w:rsidRPr="008B3F38" w:rsidRDefault="00E84E89" w:rsidP="003C6890">
            <w:pPr>
              <w:pStyle w:val="Tabletext"/>
              <w:rPr>
                <w:sz w:val="18"/>
                <w:szCs w:val="18"/>
                <w:lang w:val="ru-RU"/>
              </w:rPr>
            </w:pPr>
            <w:r w:rsidRPr="008B3F38">
              <w:rPr>
                <w:sz w:val="18"/>
                <w:szCs w:val="18"/>
                <w:lang w:val="ru-RU"/>
              </w:rPr>
              <w:t>Мы принимаем к сведению ответ руководства и рассмотрим бюджетный процесс более подробно в рамках нашего аудита 2025 года.</w:t>
            </w:r>
          </w:p>
        </w:tc>
        <w:tc>
          <w:tcPr>
            <w:tcW w:w="487" w:type="pct"/>
            <w:shd w:val="clear" w:color="auto" w:fill="auto"/>
          </w:tcPr>
          <w:p w14:paraId="6976A741" w14:textId="77777777" w:rsidR="00E84E89" w:rsidRPr="008B3F38" w:rsidRDefault="00E84E89" w:rsidP="003C6890">
            <w:pPr>
              <w:pStyle w:val="Tabletext"/>
              <w:rPr>
                <w:sz w:val="18"/>
                <w:szCs w:val="18"/>
                <w:lang w:val="ru-RU"/>
              </w:rPr>
            </w:pPr>
            <w:r w:rsidRPr="008B3F38">
              <w:rPr>
                <w:sz w:val="18"/>
                <w:szCs w:val="18"/>
                <w:lang w:val="ru-RU"/>
              </w:rPr>
              <w:t>Выполняется.</w:t>
            </w:r>
          </w:p>
        </w:tc>
      </w:tr>
      <w:tr w:rsidR="00FD50C2" w:rsidRPr="008B3F38" w14:paraId="374B5063" w14:textId="77777777" w:rsidTr="000A513C">
        <w:trPr>
          <w:jc w:val="center"/>
        </w:trPr>
        <w:tc>
          <w:tcPr>
            <w:tcW w:w="547" w:type="pct"/>
            <w:shd w:val="clear" w:color="auto" w:fill="auto"/>
          </w:tcPr>
          <w:p w14:paraId="4DFA64C2" w14:textId="77777777" w:rsidR="00E84E89" w:rsidRPr="008B3F38" w:rsidRDefault="00E84E89" w:rsidP="003C6890">
            <w:pPr>
              <w:pStyle w:val="Tabletext"/>
              <w:rPr>
                <w:sz w:val="18"/>
                <w:szCs w:val="18"/>
                <w:lang w:val="ru-RU"/>
              </w:rPr>
            </w:pPr>
            <w:r w:rsidRPr="008B3F38">
              <w:rPr>
                <w:sz w:val="18"/>
                <w:szCs w:val="18"/>
                <w:lang w:val="ru-RU"/>
              </w:rPr>
              <w:lastRenderedPageBreak/>
              <w:t>Заключительный отчет за 2022 г., РЕК7</w:t>
            </w:r>
          </w:p>
        </w:tc>
        <w:tc>
          <w:tcPr>
            <w:tcW w:w="1164" w:type="pct"/>
            <w:shd w:val="clear" w:color="auto" w:fill="auto"/>
          </w:tcPr>
          <w:p w14:paraId="19F8524D" w14:textId="77777777" w:rsidR="00E84E89" w:rsidRPr="008B3F38" w:rsidRDefault="00E84E89" w:rsidP="003C6890">
            <w:pPr>
              <w:pStyle w:val="Tabletext"/>
              <w:rPr>
                <w:sz w:val="18"/>
                <w:szCs w:val="18"/>
                <w:lang w:val="ru-RU"/>
              </w:rPr>
            </w:pPr>
            <w:r w:rsidRPr="008B3F38">
              <w:rPr>
                <w:sz w:val="18"/>
                <w:szCs w:val="18"/>
                <w:lang w:val="ru-RU"/>
              </w:rPr>
              <w:t>Регулярно проводить исследования стоимости медицинских страховых выплат для содействия оценке размера обязательств по выплатам сотрудникам и разработать политику по корректировке этих предположений в период между полноценными исследованиями.</w:t>
            </w:r>
          </w:p>
        </w:tc>
        <w:tc>
          <w:tcPr>
            <w:tcW w:w="1812" w:type="pct"/>
            <w:shd w:val="clear" w:color="auto" w:fill="auto"/>
          </w:tcPr>
          <w:p w14:paraId="667A160F" w14:textId="1E1BAF2C" w:rsidR="00E84E89" w:rsidRPr="008B3F38" w:rsidRDefault="00E84E89" w:rsidP="003C6890">
            <w:pPr>
              <w:pStyle w:val="Tabletext"/>
              <w:rPr>
                <w:sz w:val="18"/>
                <w:szCs w:val="18"/>
                <w:lang w:val="ru-RU"/>
              </w:rPr>
            </w:pPr>
            <w:r w:rsidRPr="008B3F38">
              <w:rPr>
                <w:sz w:val="18"/>
                <w:szCs w:val="18"/>
                <w:lang w:val="ru-RU"/>
              </w:rPr>
              <w:t>МСЭ совместно с ЮНСМИС и AON провел анализ выплат по медицинскому страхованию во второй половине 2024 года. По</w:t>
            </w:r>
            <w:r w:rsidR="0066390F" w:rsidRPr="008B3F38">
              <w:rPr>
                <w:sz w:val="18"/>
                <w:szCs w:val="18"/>
                <w:lang w:val="ru-RU"/>
              </w:rPr>
              <w:t> </w:t>
            </w:r>
            <w:r w:rsidRPr="008B3F38">
              <w:rPr>
                <w:sz w:val="18"/>
                <w:szCs w:val="18"/>
                <w:lang w:val="ru-RU"/>
              </w:rPr>
              <w:t>результатам анализа были обновлены ранее использовавшиеся предположения. В дальнейшем такой анализ будет проводиться каждые 3 года.</w:t>
            </w:r>
          </w:p>
        </w:tc>
        <w:tc>
          <w:tcPr>
            <w:tcW w:w="990" w:type="pct"/>
            <w:shd w:val="clear" w:color="auto" w:fill="auto"/>
          </w:tcPr>
          <w:p w14:paraId="74AD1F3A" w14:textId="77777777" w:rsidR="00E84E89" w:rsidRPr="008B3F38" w:rsidRDefault="00E84E89" w:rsidP="003C6890">
            <w:pPr>
              <w:pStyle w:val="Tabletext"/>
              <w:rPr>
                <w:sz w:val="18"/>
                <w:szCs w:val="18"/>
                <w:lang w:val="ru-RU"/>
              </w:rPr>
            </w:pPr>
            <w:r w:rsidRPr="008B3F38">
              <w:rPr>
                <w:sz w:val="18"/>
                <w:szCs w:val="18"/>
                <w:lang w:val="ru-RU"/>
              </w:rPr>
              <w:t>В течение 2024 года МСЭ провел подробный анализ выплат по медицинскому страхованию. Более подробно это обсуждается в отчете за этот год.</w:t>
            </w:r>
          </w:p>
        </w:tc>
        <w:tc>
          <w:tcPr>
            <w:tcW w:w="487" w:type="pct"/>
            <w:shd w:val="clear" w:color="auto" w:fill="auto"/>
          </w:tcPr>
          <w:p w14:paraId="3093F5D9" w14:textId="77777777" w:rsidR="00E84E89" w:rsidRPr="008B3F38" w:rsidRDefault="00E84E89" w:rsidP="003C6890">
            <w:pPr>
              <w:pStyle w:val="Tabletext"/>
              <w:rPr>
                <w:sz w:val="18"/>
                <w:szCs w:val="18"/>
                <w:lang w:val="ru-RU"/>
              </w:rPr>
            </w:pPr>
            <w:r w:rsidRPr="008B3F38">
              <w:rPr>
                <w:sz w:val="18"/>
                <w:szCs w:val="18"/>
                <w:lang w:val="ru-RU"/>
              </w:rPr>
              <w:t>Выполнена. Закрыта.</w:t>
            </w:r>
          </w:p>
        </w:tc>
      </w:tr>
      <w:tr w:rsidR="00FD50C2" w:rsidRPr="008B3F38" w14:paraId="7FBE0088" w14:textId="77777777" w:rsidTr="000A513C">
        <w:trPr>
          <w:jc w:val="center"/>
        </w:trPr>
        <w:tc>
          <w:tcPr>
            <w:tcW w:w="547" w:type="pct"/>
            <w:shd w:val="clear" w:color="auto" w:fill="auto"/>
          </w:tcPr>
          <w:p w14:paraId="5F57B589" w14:textId="77777777" w:rsidR="00E84E89" w:rsidRPr="008B3F38" w:rsidRDefault="00E84E89" w:rsidP="003C6890">
            <w:pPr>
              <w:pStyle w:val="Tabletext"/>
              <w:rPr>
                <w:sz w:val="18"/>
                <w:szCs w:val="18"/>
                <w:lang w:val="ru-RU"/>
              </w:rPr>
            </w:pPr>
            <w:r w:rsidRPr="008B3F38">
              <w:rPr>
                <w:sz w:val="18"/>
                <w:szCs w:val="18"/>
                <w:lang w:val="ru-RU"/>
              </w:rPr>
              <w:t>Заключительный отчет за 2022 г., РЕК8</w:t>
            </w:r>
          </w:p>
        </w:tc>
        <w:tc>
          <w:tcPr>
            <w:tcW w:w="1164" w:type="pct"/>
            <w:shd w:val="clear" w:color="auto" w:fill="auto"/>
          </w:tcPr>
          <w:p w14:paraId="42DC453A" w14:textId="21A83038" w:rsidR="00E84E89" w:rsidRPr="008B3F38" w:rsidRDefault="00E84E89" w:rsidP="003C6890">
            <w:pPr>
              <w:pStyle w:val="Tabletext"/>
              <w:rPr>
                <w:sz w:val="18"/>
                <w:szCs w:val="18"/>
                <w:lang w:val="ru-RU"/>
              </w:rPr>
            </w:pPr>
            <w:r w:rsidRPr="008B3F38">
              <w:rPr>
                <w:sz w:val="18"/>
                <w:szCs w:val="18"/>
                <w:lang w:val="ru-RU"/>
              </w:rPr>
              <w:t>Обеспечить надлежащую проверку и подтверждение всех данных третьих сторон, используемых для оценки размера обязательств по выплатам</w:t>
            </w:r>
            <w:r w:rsidR="007C53BA" w:rsidRPr="008B3F38">
              <w:rPr>
                <w:sz w:val="18"/>
                <w:szCs w:val="18"/>
                <w:lang w:val="ru-RU"/>
              </w:rPr>
              <w:t> </w:t>
            </w:r>
            <w:r w:rsidRPr="008B3F38">
              <w:rPr>
                <w:sz w:val="18"/>
                <w:szCs w:val="18"/>
                <w:lang w:val="ru-RU"/>
              </w:rPr>
              <w:t>сотрудникам.</w:t>
            </w:r>
          </w:p>
        </w:tc>
        <w:tc>
          <w:tcPr>
            <w:tcW w:w="1812" w:type="pct"/>
            <w:shd w:val="clear" w:color="auto" w:fill="auto"/>
          </w:tcPr>
          <w:p w14:paraId="17589099" w14:textId="77777777" w:rsidR="00E84E89" w:rsidRPr="008B3F38" w:rsidRDefault="00E84E89" w:rsidP="003C6890">
            <w:pPr>
              <w:pStyle w:val="Tabletext"/>
              <w:rPr>
                <w:sz w:val="18"/>
                <w:szCs w:val="18"/>
                <w:lang w:val="ru-RU"/>
              </w:rPr>
            </w:pPr>
            <w:r w:rsidRPr="008B3F38">
              <w:rPr>
                <w:sz w:val="18"/>
                <w:szCs w:val="18"/>
                <w:lang w:val="ru-RU"/>
              </w:rPr>
              <w:t>МСЭ ввел в действие процедуру проверки данных третьих сторон, используемых для выплаты пособий сотрудникам, по состоянию на конец года. Эти данные были подтверждены HRMD и Подразделением внутреннего аудита, чтобы гарантировать полноту и точность данных для целей обработки на конец года.</w:t>
            </w:r>
          </w:p>
        </w:tc>
        <w:tc>
          <w:tcPr>
            <w:tcW w:w="990" w:type="pct"/>
            <w:shd w:val="clear" w:color="auto" w:fill="auto"/>
          </w:tcPr>
          <w:p w14:paraId="3BAFFED8" w14:textId="77777777" w:rsidR="00E84E89" w:rsidRPr="008B3F38" w:rsidRDefault="00E84E89" w:rsidP="003C6890">
            <w:pPr>
              <w:pStyle w:val="Tabletext"/>
              <w:rPr>
                <w:sz w:val="18"/>
                <w:szCs w:val="18"/>
                <w:lang w:val="ru-RU"/>
              </w:rPr>
            </w:pPr>
            <w:r w:rsidRPr="008B3F38">
              <w:rPr>
                <w:sz w:val="18"/>
                <w:szCs w:val="18"/>
                <w:lang w:val="ru-RU"/>
              </w:rPr>
              <w:t>Мы принимаем к сведению ответ руководства; этот вопрос рассматривается более подробно в отчете за этот год.</w:t>
            </w:r>
          </w:p>
        </w:tc>
        <w:tc>
          <w:tcPr>
            <w:tcW w:w="487" w:type="pct"/>
            <w:shd w:val="clear" w:color="auto" w:fill="auto"/>
          </w:tcPr>
          <w:p w14:paraId="69D08653" w14:textId="77777777" w:rsidR="00E84E89" w:rsidRPr="008B3F38" w:rsidRDefault="00E84E89" w:rsidP="003C6890">
            <w:pPr>
              <w:pStyle w:val="Tabletext"/>
              <w:rPr>
                <w:sz w:val="18"/>
                <w:szCs w:val="18"/>
                <w:lang w:val="ru-RU"/>
              </w:rPr>
            </w:pPr>
            <w:r w:rsidRPr="008B3F38">
              <w:rPr>
                <w:sz w:val="18"/>
                <w:szCs w:val="18"/>
                <w:lang w:val="ru-RU"/>
              </w:rPr>
              <w:t>Выполняется.</w:t>
            </w:r>
          </w:p>
        </w:tc>
      </w:tr>
      <w:tr w:rsidR="00FD50C2" w:rsidRPr="008B3F38" w14:paraId="047D399B" w14:textId="77777777" w:rsidTr="000A513C">
        <w:trPr>
          <w:jc w:val="center"/>
        </w:trPr>
        <w:tc>
          <w:tcPr>
            <w:tcW w:w="547" w:type="pct"/>
            <w:shd w:val="clear" w:color="auto" w:fill="auto"/>
          </w:tcPr>
          <w:p w14:paraId="37274E34" w14:textId="77777777" w:rsidR="00E84E89" w:rsidRPr="008B3F38" w:rsidRDefault="00E84E89" w:rsidP="003C6890">
            <w:pPr>
              <w:pStyle w:val="Tabletext"/>
              <w:rPr>
                <w:sz w:val="18"/>
                <w:szCs w:val="18"/>
                <w:lang w:val="ru-RU"/>
              </w:rPr>
            </w:pPr>
            <w:r w:rsidRPr="008B3F38">
              <w:rPr>
                <w:sz w:val="18"/>
                <w:szCs w:val="18"/>
                <w:lang w:val="ru-RU"/>
              </w:rPr>
              <w:t>Заключительный отчет за 2022 г., РЕК9</w:t>
            </w:r>
          </w:p>
        </w:tc>
        <w:tc>
          <w:tcPr>
            <w:tcW w:w="1164" w:type="pct"/>
            <w:shd w:val="clear" w:color="auto" w:fill="auto"/>
          </w:tcPr>
          <w:p w14:paraId="79EFF0D6" w14:textId="77777777" w:rsidR="00E84E89" w:rsidRPr="008B3F38" w:rsidRDefault="00E84E89" w:rsidP="003C6890">
            <w:pPr>
              <w:pStyle w:val="Tabletext"/>
              <w:rPr>
                <w:sz w:val="18"/>
                <w:szCs w:val="18"/>
                <w:lang w:val="ru-RU"/>
              </w:rPr>
            </w:pPr>
            <w:r w:rsidRPr="008B3F38">
              <w:rPr>
                <w:sz w:val="18"/>
                <w:szCs w:val="18"/>
                <w:lang w:val="ru-RU"/>
              </w:rPr>
              <w:t>Пересмотреть свое первоначальное экономическое обоснование присоединения к плану ЮНСМИС и представить Совету отчет о сопутствующих затратах и выгодах для Союза, связанных с этим важным инвестиционным решением.</w:t>
            </w:r>
          </w:p>
        </w:tc>
        <w:tc>
          <w:tcPr>
            <w:tcW w:w="1812" w:type="pct"/>
            <w:shd w:val="clear" w:color="auto" w:fill="auto"/>
          </w:tcPr>
          <w:p w14:paraId="1AA56DEB" w14:textId="00E7997A" w:rsidR="0066390F" w:rsidRPr="008B3F38" w:rsidRDefault="00E84E89" w:rsidP="003C6890">
            <w:pPr>
              <w:pStyle w:val="Tabletext"/>
              <w:rPr>
                <w:sz w:val="18"/>
                <w:szCs w:val="18"/>
                <w:lang w:val="ru-RU"/>
              </w:rPr>
            </w:pPr>
            <w:r w:rsidRPr="008B3F38">
              <w:rPr>
                <w:sz w:val="18"/>
                <w:szCs w:val="18"/>
                <w:lang w:val="ru-RU"/>
              </w:rPr>
              <w:t>Руководство принимает эту рекомендацию и будет работать с другими учреждениями системы ООН, чтобы обеспечить контрольные показатели уровня защиты в области медицинского страхования, предоставляемой своим вышедшим на пенсию и действующим сотрудникам. В</w:t>
            </w:r>
            <w:r w:rsidR="000A513C" w:rsidRPr="008B3F38">
              <w:rPr>
                <w:sz w:val="18"/>
                <w:szCs w:val="18"/>
                <w:lang w:val="ru-RU"/>
              </w:rPr>
              <w:t> </w:t>
            </w:r>
            <w:r w:rsidRPr="008B3F38">
              <w:rPr>
                <w:sz w:val="18"/>
                <w:szCs w:val="18"/>
                <w:lang w:val="ru-RU"/>
              </w:rPr>
              <w:t>2019−2020 годах Совету по многочисленным каналам была представлена информация, в том числе об экономическом обосновании и процессе, на основании которой МСЭ заключил соглашение с ЮНСМИС. Это отражено, в частности, в следующих документах: Информация для Совета</w:t>
            </w:r>
            <w:r w:rsidR="007C53BA" w:rsidRPr="008B3F38">
              <w:rPr>
                <w:sz w:val="18"/>
                <w:szCs w:val="18"/>
                <w:lang w:val="ru-RU"/>
              </w:rPr>
              <w:t>:</w:t>
            </w:r>
          </w:p>
          <w:p w14:paraId="7D3EEFDE" w14:textId="4FF78076" w:rsidR="0066390F" w:rsidRPr="008B3F38" w:rsidRDefault="00E84E89" w:rsidP="003C6890">
            <w:pPr>
              <w:pStyle w:val="Tabletext"/>
              <w:ind w:left="284" w:hanging="284"/>
              <w:rPr>
                <w:sz w:val="18"/>
                <w:szCs w:val="18"/>
                <w:lang w:val="ru-RU"/>
              </w:rPr>
            </w:pPr>
            <w:r w:rsidRPr="008B3F38">
              <w:rPr>
                <w:sz w:val="18"/>
                <w:szCs w:val="18"/>
                <w:lang w:val="ru-RU"/>
              </w:rPr>
              <w:t>•</w:t>
            </w:r>
            <w:r w:rsidR="0066390F" w:rsidRPr="008B3F38">
              <w:rPr>
                <w:sz w:val="18"/>
                <w:szCs w:val="18"/>
                <w:lang w:val="ru-RU"/>
              </w:rPr>
              <w:tab/>
            </w:r>
            <w:r w:rsidRPr="008B3F38">
              <w:rPr>
                <w:sz w:val="18"/>
                <w:szCs w:val="18"/>
                <w:lang w:val="ru-RU"/>
              </w:rPr>
              <w:t>Отчеты о</w:t>
            </w:r>
            <w:r w:rsidR="000A513C" w:rsidRPr="008B3F38">
              <w:rPr>
                <w:sz w:val="18"/>
                <w:szCs w:val="18"/>
                <w:lang w:val="ru-RU"/>
              </w:rPr>
              <w:t> </w:t>
            </w:r>
            <w:r w:rsidRPr="008B3F38">
              <w:rPr>
                <w:sz w:val="18"/>
                <w:szCs w:val="18"/>
                <w:lang w:val="ru-RU"/>
              </w:rPr>
              <w:t>финансовой деятельности за 2019 (</w:t>
            </w:r>
            <w:hyperlink r:id="rId19" w:history="1">
              <w:r w:rsidRPr="008B3F38">
                <w:rPr>
                  <w:rStyle w:val="Hyperlink"/>
                  <w:sz w:val="18"/>
                  <w:szCs w:val="18"/>
                  <w:lang w:val="ru-RU"/>
                </w:rPr>
                <w:t>C20/42(Rev.1</w:t>
              </w:r>
            </w:hyperlink>
            <w:r w:rsidRPr="008B3F38">
              <w:rPr>
                <w:sz w:val="18"/>
                <w:szCs w:val="18"/>
                <w:lang w:val="ru-RU"/>
              </w:rPr>
              <w:t>) и 2020</w:t>
            </w:r>
            <w:r w:rsidR="000A513C" w:rsidRPr="008B3F38">
              <w:rPr>
                <w:sz w:val="18"/>
                <w:szCs w:val="18"/>
                <w:lang w:val="ru-RU"/>
              </w:rPr>
              <w:t> </w:t>
            </w:r>
            <w:r w:rsidRPr="008B3F38">
              <w:rPr>
                <w:sz w:val="18"/>
                <w:szCs w:val="18"/>
                <w:lang w:val="ru-RU"/>
              </w:rPr>
              <w:t>(</w:t>
            </w:r>
            <w:hyperlink r:id="rId20" w:history="1">
              <w:r w:rsidRPr="008B3F38">
                <w:rPr>
                  <w:rStyle w:val="Hyperlink"/>
                  <w:sz w:val="18"/>
                  <w:szCs w:val="18"/>
                  <w:lang w:val="ru-RU"/>
                </w:rPr>
                <w:t>C21/42</w:t>
              </w:r>
            </w:hyperlink>
            <w:r w:rsidRPr="008B3F38">
              <w:rPr>
                <w:sz w:val="18"/>
                <w:szCs w:val="18"/>
                <w:lang w:val="ru-RU"/>
              </w:rPr>
              <w:t>) годы;</w:t>
            </w:r>
          </w:p>
          <w:p w14:paraId="771ED5DF" w14:textId="65080FF9" w:rsidR="0066390F" w:rsidRPr="008B3F38" w:rsidRDefault="00E84E89" w:rsidP="003C6890">
            <w:pPr>
              <w:pStyle w:val="Tabletext"/>
              <w:ind w:left="284" w:hanging="284"/>
              <w:rPr>
                <w:sz w:val="18"/>
                <w:szCs w:val="18"/>
                <w:lang w:val="ru-RU"/>
              </w:rPr>
            </w:pPr>
            <w:r w:rsidRPr="008B3F38">
              <w:rPr>
                <w:sz w:val="18"/>
                <w:szCs w:val="18"/>
                <w:lang w:val="ru-RU"/>
              </w:rPr>
              <w:t>•</w:t>
            </w:r>
            <w:r w:rsidR="0066390F" w:rsidRPr="008B3F38">
              <w:rPr>
                <w:sz w:val="18"/>
                <w:szCs w:val="18"/>
                <w:lang w:val="ru-RU"/>
              </w:rPr>
              <w:tab/>
            </w:r>
            <w:r w:rsidRPr="008B3F38">
              <w:rPr>
                <w:sz w:val="18"/>
                <w:szCs w:val="18"/>
                <w:lang w:val="ru-RU"/>
              </w:rPr>
              <w:t>Отчет Генерального секретаря о ходе выполнения Стратегического плана в области людских ресурсов и Резолюции 48 (</w:t>
            </w:r>
            <w:hyperlink r:id="rId21" w:history="1">
              <w:r w:rsidRPr="008B3F38">
                <w:rPr>
                  <w:rStyle w:val="Hyperlink"/>
                  <w:sz w:val="18"/>
                  <w:szCs w:val="18"/>
                  <w:lang w:val="ru-RU"/>
                </w:rPr>
                <w:t>C20/54</w:t>
              </w:r>
            </w:hyperlink>
            <w:r w:rsidRPr="008B3F38">
              <w:rPr>
                <w:sz w:val="18"/>
                <w:szCs w:val="18"/>
                <w:lang w:val="ru-RU"/>
              </w:rPr>
              <w:t>);</w:t>
            </w:r>
          </w:p>
          <w:p w14:paraId="11254FF1" w14:textId="0159B859" w:rsidR="0066390F" w:rsidRPr="008B3F38" w:rsidRDefault="00E84E89" w:rsidP="003C6890">
            <w:pPr>
              <w:pStyle w:val="Tabletext"/>
              <w:ind w:left="284" w:hanging="284"/>
              <w:rPr>
                <w:sz w:val="18"/>
                <w:szCs w:val="18"/>
                <w:lang w:val="ru-RU"/>
              </w:rPr>
            </w:pPr>
            <w:r w:rsidRPr="008B3F38">
              <w:rPr>
                <w:sz w:val="18"/>
                <w:szCs w:val="18"/>
                <w:lang w:val="ru-RU"/>
              </w:rPr>
              <w:t>•</w:t>
            </w:r>
            <w:r w:rsidR="0066390F" w:rsidRPr="008B3F38">
              <w:rPr>
                <w:sz w:val="18"/>
                <w:szCs w:val="18"/>
                <w:lang w:val="ru-RU"/>
              </w:rPr>
              <w:tab/>
            </w:r>
            <w:r w:rsidRPr="008B3F38">
              <w:rPr>
                <w:sz w:val="18"/>
                <w:szCs w:val="18"/>
                <w:lang w:val="ru-RU"/>
              </w:rPr>
              <w:t>Отчет внешнего аудитора за 2019 год (</w:t>
            </w:r>
            <w:hyperlink r:id="rId22" w:history="1">
              <w:r w:rsidRPr="008B3F38">
                <w:rPr>
                  <w:rStyle w:val="Hyperlink"/>
                  <w:sz w:val="18"/>
                  <w:szCs w:val="18"/>
                  <w:lang w:val="ru-RU"/>
                </w:rPr>
                <w:t>C20/40</w:t>
              </w:r>
            </w:hyperlink>
            <w:r w:rsidRPr="008B3F38">
              <w:rPr>
                <w:sz w:val="18"/>
                <w:szCs w:val="18"/>
                <w:lang w:val="ru-RU"/>
              </w:rPr>
              <w:t>);</w:t>
            </w:r>
          </w:p>
          <w:p w14:paraId="2EDDC1AA" w14:textId="6A01EF98" w:rsidR="0066390F" w:rsidRPr="008B3F38" w:rsidRDefault="00E84E89" w:rsidP="003C6890">
            <w:pPr>
              <w:pStyle w:val="Tabletext"/>
              <w:ind w:left="284" w:hanging="284"/>
              <w:rPr>
                <w:sz w:val="18"/>
                <w:szCs w:val="18"/>
                <w:lang w:val="ru-RU"/>
              </w:rPr>
            </w:pPr>
            <w:r w:rsidRPr="008B3F38">
              <w:rPr>
                <w:sz w:val="18"/>
                <w:szCs w:val="18"/>
                <w:lang w:val="ru-RU"/>
              </w:rPr>
              <w:t>•</w:t>
            </w:r>
            <w:r w:rsidR="0066390F" w:rsidRPr="008B3F38">
              <w:rPr>
                <w:sz w:val="18"/>
                <w:szCs w:val="18"/>
                <w:lang w:val="ru-RU"/>
              </w:rPr>
              <w:tab/>
            </w:r>
            <w:r w:rsidRPr="008B3F38">
              <w:rPr>
                <w:sz w:val="18"/>
                <w:szCs w:val="18"/>
                <w:lang w:val="ru-RU"/>
              </w:rPr>
              <w:t>Отчеты Генерального секретаря об</w:t>
            </w:r>
            <w:r w:rsidR="0066390F" w:rsidRPr="008B3F38">
              <w:rPr>
                <w:sz w:val="18"/>
                <w:szCs w:val="18"/>
                <w:lang w:val="ru-RU"/>
              </w:rPr>
              <w:t> </w:t>
            </w:r>
            <w:r w:rsidRPr="008B3F38">
              <w:rPr>
                <w:sz w:val="18"/>
                <w:szCs w:val="18"/>
                <w:lang w:val="ru-RU"/>
              </w:rPr>
              <w:t>обязательствах по медицинскому страхованию после выхода в отставку (АСХИ) за 2020 (</w:t>
            </w:r>
            <w:hyperlink r:id="rId23" w:history="1">
              <w:r w:rsidRPr="008B3F38">
                <w:rPr>
                  <w:rStyle w:val="Hyperlink"/>
                  <w:sz w:val="18"/>
                  <w:szCs w:val="18"/>
                  <w:lang w:val="ru-RU"/>
                </w:rPr>
                <w:t>C20/46(Rev.1</w:t>
              </w:r>
            </w:hyperlink>
            <w:r w:rsidRPr="008B3F38">
              <w:rPr>
                <w:sz w:val="18"/>
                <w:szCs w:val="18"/>
                <w:lang w:val="ru-RU"/>
              </w:rPr>
              <w:t>) и 2021</w:t>
            </w:r>
            <w:r w:rsidR="0066390F" w:rsidRPr="008B3F38">
              <w:rPr>
                <w:sz w:val="18"/>
                <w:szCs w:val="18"/>
                <w:lang w:val="ru-RU"/>
              </w:rPr>
              <w:t> </w:t>
            </w:r>
            <w:r w:rsidRPr="008B3F38">
              <w:rPr>
                <w:sz w:val="18"/>
                <w:szCs w:val="18"/>
                <w:lang w:val="ru-RU"/>
              </w:rPr>
              <w:t>(</w:t>
            </w:r>
            <w:hyperlink r:id="rId24" w:history="1">
              <w:r w:rsidRPr="008B3F38">
                <w:rPr>
                  <w:rStyle w:val="Hyperlink"/>
                  <w:sz w:val="18"/>
                  <w:szCs w:val="18"/>
                  <w:lang w:val="ru-RU"/>
                </w:rPr>
                <w:t>C21/46</w:t>
              </w:r>
            </w:hyperlink>
            <w:r w:rsidRPr="008B3F38">
              <w:rPr>
                <w:sz w:val="18"/>
                <w:szCs w:val="18"/>
                <w:lang w:val="ru-RU"/>
              </w:rPr>
              <w:t>) годы.</w:t>
            </w:r>
          </w:p>
          <w:p w14:paraId="04F73AAE" w14:textId="12CECE2B" w:rsidR="00E84E89" w:rsidRPr="008B3F38" w:rsidRDefault="00E84E89" w:rsidP="003C6890">
            <w:pPr>
              <w:pStyle w:val="Tabletext"/>
              <w:rPr>
                <w:sz w:val="18"/>
                <w:szCs w:val="18"/>
                <w:lang w:val="ru-RU"/>
              </w:rPr>
            </w:pPr>
            <w:r w:rsidRPr="008B3F38">
              <w:rPr>
                <w:sz w:val="18"/>
                <w:szCs w:val="18"/>
                <w:lang w:val="ru-RU"/>
              </w:rPr>
              <w:t xml:space="preserve">Соответствующие выдержки из этих документов приводятся ниже. Ни по одному из этих отчетов не было зафиксировано возражений Совета или просьб о дальнейшем обсуждении соглашения с ЮНСМИС. IMAC также был проинформирован в устной форме. Независимый актуарный эксперт подтвердил, что предложение ЮНСМИС было выгодным с учетом профиля </w:t>
            </w:r>
            <w:r w:rsidRPr="008B3F38">
              <w:rPr>
                <w:sz w:val="18"/>
                <w:szCs w:val="18"/>
                <w:lang w:val="ru-RU"/>
              </w:rPr>
              <w:lastRenderedPageBreak/>
              <w:t>демографических рисков МСЭ, поэтому присоединение к плану ЮНСМИС представлялось более устойчивым для Союза и персонала, чем использование отдельного плана. В</w:t>
            </w:r>
            <w:r w:rsidR="000A513C" w:rsidRPr="008B3F38">
              <w:rPr>
                <w:sz w:val="18"/>
                <w:szCs w:val="18"/>
                <w:lang w:val="ru-RU"/>
              </w:rPr>
              <w:t> </w:t>
            </w:r>
            <w:r w:rsidRPr="008B3F38">
              <w:rPr>
                <w:sz w:val="18"/>
                <w:szCs w:val="18"/>
                <w:lang w:val="ru-RU"/>
              </w:rPr>
              <w:t>заключении AON говорится: "В целом, можно считать, что диапазон будущей единовременной суммы компенсации составляет от 13 до 51</w:t>
            </w:r>
            <w:r w:rsidR="0066390F" w:rsidRPr="008B3F38">
              <w:rPr>
                <w:sz w:val="18"/>
                <w:szCs w:val="18"/>
                <w:lang w:val="ru-RU"/>
              </w:rPr>
              <w:t> </w:t>
            </w:r>
            <w:r w:rsidRPr="008B3F38">
              <w:rPr>
                <w:sz w:val="18"/>
                <w:szCs w:val="18"/>
                <w:lang w:val="ru-RU"/>
              </w:rPr>
              <w:t>млн., при этом 13</w:t>
            </w:r>
            <w:r w:rsidR="0066390F" w:rsidRPr="008B3F38">
              <w:rPr>
                <w:sz w:val="18"/>
                <w:szCs w:val="18"/>
                <w:lang w:val="ru-RU"/>
              </w:rPr>
              <w:t> </w:t>
            </w:r>
            <w:r w:rsidRPr="008B3F38">
              <w:rPr>
                <w:sz w:val="18"/>
                <w:szCs w:val="18"/>
                <w:lang w:val="ru-RU"/>
              </w:rPr>
              <w:t>млн. можно рассматривать как "оптимистичный" сценарий. Поэтому мы считаем, что финансовое предложение в размере 21</w:t>
            </w:r>
            <w:r w:rsidR="0066390F" w:rsidRPr="008B3F38">
              <w:rPr>
                <w:sz w:val="18"/>
                <w:szCs w:val="18"/>
                <w:lang w:val="ru-RU"/>
              </w:rPr>
              <w:t> </w:t>
            </w:r>
            <w:r w:rsidRPr="008B3F38">
              <w:rPr>
                <w:sz w:val="18"/>
                <w:szCs w:val="18"/>
                <w:lang w:val="ru-RU"/>
              </w:rPr>
              <w:t>млн.</w:t>
            </w:r>
            <w:r w:rsidR="0066390F" w:rsidRPr="008B3F38">
              <w:rPr>
                <w:sz w:val="18"/>
                <w:szCs w:val="18"/>
                <w:lang w:val="ru-RU"/>
              </w:rPr>
              <w:t xml:space="preserve"> </w:t>
            </w:r>
            <w:r w:rsidRPr="008B3F38">
              <w:rPr>
                <w:sz w:val="18"/>
                <w:szCs w:val="18"/>
                <w:lang w:val="ru-RU"/>
              </w:rPr>
              <w:t>шв.</w:t>
            </w:r>
            <w:r w:rsidR="0066390F" w:rsidRPr="008B3F38">
              <w:rPr>
                <w:sz w:val="18"/>
                <w:szCs w:val="18"/>
                <w:lang w:val="ru-RU"/>
              </w:rPr>
              <w:t> </w:t>
            </w:r>
            <w:r w:rsidRPr="008B3F38">
              <w:rPr>
                <w:sz w:val="18"/>
                <w:szCs w:val="18"/>
                <w:lang w:val="ru-RU"/>
              </w:rPr>
              <w:t>фр. для компенсации будущих расходов выглядит как разумное предложение со стороны ЮНСМИС. Кроме того, предусмотрена компенсация за прошлые периоды в размере 19</w:t>
            </w:r>
            <w:r w:rsidR="00225CB4" w:rsidRPr="008B3F38">
              <w:rPr>
                <w:sz w:val="18"/>
                <w:szCs w:val="18"/>
                <w:lang w:val="ru-RU"/>
              </w:rPr>
              <w:t> </w:t>
            </w:r>
            <w:r w:rsidRPr="008B3F38">
              <w:rPr>
                <w:sz w:val="18"/>
                <w:szCs w:val="18"/>
                <w:lang w:val="ru-RU"/>
              </w:rPr>
              <w:t>млн. шв. фр., что является результатом арифметического</w:t>
            </w:r>
            <w:r w:rsidR="007C53BA" w:rsidRPr="008B3F38">
              <w:rPr>
                <w:sz w:val="18"/>
                <w:szCs w:val="18"/>
                <w:lang w:val="ru-RU"/>
              </w:rPr>
              <w:t> </w:t>
            </w:r>
            <w:r w:rsidRPr="008B3F38">
              <w:rPr>
                <w:sz w:val="18"/>
                <w:szCs w:val="18"/>
                <w:lang w:val="ru-RU"/>
              </w:rPr>
              <w:t>расчета".</w:t>
            </w:r>
          </w:p>
          <w:p w14:paraId="1B92DF48" w14:textId="77777777" w:rsidR="00E84E89" w:rsidRPr="008B3F38" w:rsidRDefault="00E84E89" w:rsidP="003C6890">
            <w:pPr>
              <w:pStyle w:val="Tabletext"/>
              <w:rPr>
                <w:sz w:val="18"/>
                <w:szCs w:val="18"/>
                <w:lang w:val="ru-RU"/>
              </w:rPr>
            </w:pPr>
            <w:r w:rsidRPr="008B3F38">
              <w:rPr>
                <w:sz w:val="18"/>
                <w:szCs w:val="18"/>
                <w:lang w:val="ru-RU"/>
              </w:rPr>
              <w:t>Руководство рассмотрело этот ответ и считает, что этот вопрос следует закрыть.</w:t>
            </w:r>
          </w:p>
        </w:tc>
        <w:tc>
          <w:tcPr>
            <w:tcW w:w="990" w:type="pct"/>
            <w:shd w:val="clear" w:color="auto" w:fill="auto"/>
          </w:tcPr>
          <w:p w14:paraId="6C8C9E3A" w14:textId="67517C13" w:rsidR="00E84E89" w:rsidRPr="008B3F38" w:rsidRDefault="00E84E89" w:rsidP="003C6890">
            <w:pPr>
              <w:pStyle w:val="Tabletext"/>
              <w:rPr>
                <w:sz w:val="18"/>
                <w:szCs w:val="18"/>
                <w:lang w:val="ru-RU"/>
              </w:rPr>
            </w:pPr>
            <w:r w:rsidRPr="008B3F38">
              <w:rPr>
                <w:sz w:val="18"/>
                <w:szCs w:val="18"/>
                <w:lang w:val="ru-RU"/>
              </w:rPr>
              <w:lastRenderedPageBreak/>
              <w:t>Мы принимаем к сведению ответ руководства и то, что оно считает вопрос закрытым.</w:t>
            </w:r>
          </w:p>
          <w:p w14:paraId="699F0570" w14:textId="77777777" w:rsidR="00E84E89" w:rsidRPr="008B3F38" w:rsidRDefault="00E84E89" w:rsidP="003C6890">
            <w:pPr>
              <w:pStyle w:val="Tabletext"/>
              <w:rPr>
                <w:sz w:val="18"/>
                <w:szCs w:val="18"/>
                <w:lang w:val="ru-RU"/>
              </w:rPr>
            </w:pPr>
            <w:r w:rsidRPr="008B3F38">
              <w:rPr>
                <w:sz w:val="18"/>
                <w:szCs w:val="18"/>
                <w:lang w:val="ru-RU"/>
              </w:rPr>
              <w:t>Мы считаем, что затраты и выгоды от присоединения к альтернативным механизмам ЮНСМИС не были в достаточной степени учтены, а варианты, ранее представленные Совету, не обеспечили надлежащей основы для принятия решения.</w:t>
            </w:r>
          </w:p>
          <w:p w14:paraId="14A088F5" w14:textId="77777777" w:rsidR="00E84E89" w:rsidRPr="008B3F38" w:rsidRDefault="00E84E89" w:rsidP="003C6890">
            <w:pPr>
              <w:pStyle w:val="Tabletext"/>
              <w:rPr>
                <w:sz w:val="18"/>
                <w:szCs w:val="18"/>
                <w:lang w:val="ru-RU"/>
              </w:rPr>
            </w:pPr>
            <w:r w:rsidRPr="008B3F38">
              <w:rPr>
                <w:sz w:val="18"/>
                <w:szCs w:val="18"/>
                <w:lang w:val="ru-RU"/>
              </w:rPr>
              <w:t>Мы закрываем эту рекомендацию с учетом того, сколько времени прошло, но настоятельно призываем Секретариат регулярно отчитываться о расходах на поддержание существующей системы АСХИ.</w:t>
            </w:r>
          </w:p>
        </w:tc>
        <w:tc>
          <w:tcPr>
            <w:tcW w:w="487" w:type="pct"/>
            <w:shd w:val="clear" w:color="auto" w:fill="auto"/>
          </w:tcPr>
          <w:p w14:paraId="6DB2EEBA" w14:textId="77777777" w:rsidR="00E84E89" w:rsidRPr="008B3F38" w:rsidRDefault="00E84E89" w:rsidP="003C6890">
            <w:pPr>
              <w:pStyle w:val="Tabletext"/>
              <w:rPr>
                <w:sz w:val="18"/>
                <w:szCs w:val="18"/>
                <w:lang w:val="ru-RU"/>
              </w:rPr>
            </w:pPr>
            <w:r w:rsidRPr="008B3F38">
              <w:rPr>
                <w:sz w:val="18"/>
                <w:szCs w:val="18"/>
                <w:lang w:val="ru-RU"/>
              </w:rPr>
              <w:t>Не выполнена. Закрыта.</w:t>
            </w:r>
          </w:p>
        </w:tc>
      </w:tr>
      <w:tr w:rsidR="00FD50C2" w:rsidRPr="008B3F38" w14:paraId="4B8B5169" w14:textId="77777777" w:rsidTr="000A513C">
        <w:trPr>
          <w:jc w:val="center"/>
        </w:trPr>
        <w:tc>
          <w:tcPr>
            <w:tcW w:w="547" w:type="pct"/>
            <w:shd w:val="clear" w:color="auto" w:fill="auto"/>
          </w:tcPr>
          <w:p w14:paraId="53178F4D" w14:textId="77777777" w:rsidR="00E84E89" w:rsidRPr="008B3F38" w:rsidRDefault="00E84E89" w:rsidP="003C6890">
            <w:pPr>
              <w:pStyle w:val="Tabletext"/>
              <w:rPr>
                <w:sz w:val="18"/>
                <w:szCs w:val="18"/>
                <w:lang w:val="ru-RU"/>
              </w:rPr>
            </w:pPr>
            <w:r w:rsidRPr="008B3F38">
              <w:rPr>
                <w:sz w:val="18"/>
                <w:szCs w:val="18"/>
                <w:lang w:val="ru-RU"/>
              </w:rPr>
              <w:t>Заключительный отчет за 2022 г., РЕК10</w:t>
            </w:r>
          </w:p>
        </w:tc>
        <w:tc>
          <w:tcPr>
            <w:tcW w:w="1164" w:type="pct"/>
            <w:shd w:val="clear" w:color="auto" w:fill="auto"/>
          </w:tcPr>
          <w:p w14:paraId="49E16C51" w14:textId="77777777" w:rsidR="00E84E89" w:rsidRPr="008B3F38" w:rsidRDefault="00E84E89" w:rsidP="003C6890">
            <w:pPr>
              <w:pStyle w:val="Tabletext"/>
              <w:rPr>
                <w:sz w:val="18"/>
                <w:szCs w:val="18"/>
                <w:lang w:val="ru-RU"/>
              </w:rPr>
            </w:pPr>
            <w:r w:rsidRPr="008B3F38">
              <w:rPr>
                <w:sz w:val="18"/>
                <w:szCs w:val="18"/>
                <w:lang w:val="ru-RU"/>
              </w:rPr>
              <w:t>Пересмотреть все текущие остатки средств и резервов, а также возможности их упорядочения и упрощения, проанализировав, продолжают ли текущие остатки соответствовать финансовым планам Союза. Пересмотр должен происходить в рамках реализации общей стратегии по управлению резервами и финансовыми средствами, согласованной со стратегическими планами МСЭ.</w:t>
            </w:r>
          </w:p>
        </w:tc>
        <w:tc>
          <w:tcPr>
            <w:tcW w:w="1812" w:type="pct"/>
            <w:shd w:val="clear" w:color="auto" w:fill="auto"/>
          </w:tcPr>
          <w:p w14:paraId="6805361E" w14:textId="77777777" w:rsidR="00E84E89" w:rsidRPr="008B3F38" w:rsidRDefault="00E84E89" w:rsidP="003C6890">
            <w:pPr>
              <w:pStyle w:val="Tabletext"/>
              <w:rPr>
                <w:sz w:val="18"/>
                <w:szCs w:val="18"/>
                <w:lang w:val="ru-RU"/>
              </w:rPr>
            </w:pPr>
            <w:r w:rsidRPr="008B3F38">
              <w:rPr>
                <w:sz w:val="18"/>
                <w:szCs w:val="18"/>
                <w:lang w:val="ru-RU"/>
              </w:rPr>
              <w:t>МСЭ проанализировал остатки средств в своих фондах и резервах. В течение 2024 года часть из них была использована. Однако в 2025 году необходимо продолжить работу по обновлению оставшихся счетов и их консолидации.</w:t>
            </w:r>
          </w:p>
        </w:tc>
        <w:tc>
          <w:tcPr>
            <w:tcW w:w="990" w:type="pct"/>
            <w:shd w:val="clear" w:color="auto" w:fill="auto"/>
          </w:tcPr>
          <w:p w14:paraId="2AF9FCCF" w14:textId="77777777" w:rsidR="00E84E89" w:rsidRPr="008B3F38" w:rsidRDefault="00E84E89" w:rsidP="003C6890">
            <w:pPr>
              <w:pStyle w:val="Tabletext"/>
              <w:rPr>
                <w:sz w:val="18"/>
                <w:szCs w:val="18"/>
                <w:lang w:val="ru-RU"/>
              </w:rPr>
            </w:pPr>
            <w:r w:rsidRPr="008B3F38">
              <w:rPr>
                <w:sz w:val="18"/>
                <w:szCs w:val="18"/>
                <w:lang w:val="ru-RU"/>
              </w:rPr>
              <w:t>Мы принимаем к сведению ответ руководства и учтем его в рамках нашего аудита 2025 года.</w:t>
            </w:r>
          </w:p>
        </w:tc>
        <w:tc>
          <w:tcPr>
            <w:tcW w:w="487" w:type="pct"/>
            <w:shd w:val="clear" w:color="auto" w:fill="auto"/>
          </w:tcPr>
          <w:p w14:paraId="536457DB" w14:textId="77777777" w:rsidR="00E84E89" w:rsidRPr="008B3F38" w:rsidRDefault="00E84E89" w:rsidP="003C6890">
            <w:pPr>
              <w:pStyle w:val="Tabletext"/>
              <w:rPr>
                <w:sz w:val="18"/>
                <w:szCs w:val="18"/>
                <w:lang w:val="ru-RU"/>
              </w:rPr>
            </w:pPr>
            <w:r w:rsidRPr="008B3F38">
              <w:rPr>
                <w:sz w:val="18"/>
                <w:szCs w:val="18"/>
                <w:lang w:val="ru-RU"/>
              </w:rPr>
              <w:t>Выполняется.</w:t>
            </w:r>
          </w:p>
        </w:tc>
      </w:tr>
      <w:tr w:rsidR="00FD50C2" w:rsidRPr="008B3F38" w14:paraId="3D881EEA" w14:textId="77777777" w:rsidTr="000A513C">
        <w:trPr>
          <w:jc w:val="center"/>
        </w:trPr>
        <w:tc>
          <w:tcPr>
            <w:tcW w:w="547" w:type="pct"/>
            <w:shd w:val="clear" w:color="auto" w:fill="auto"/>
          </w:tcPr>
          <w:p w14:paraId="3ABF15B7" w14:textId="77777777" w:rsidR="00E84E89" w:rsidRPr="008B3F38" w:rsidRDefault="00E84E89" w:rsidP="003C6890">
            <w:pPr>
              <w:pStyle w:val="Tabletext"/>
              <w:rPr>
                <w:sz w:val="18"/>
                <w:szCs w:val="18"/>
                <w:lang w:val="ru-RU"/>
              </w:rPr>
            </w:pPr>
            <w:r w:rsidRPr="008B3F38">
              <w:rPr>
                <w:sz w:val="18"/>
                <w:szCs w:val="18"/>
                <w:lang w:val="ru-RU"/>
              </w:rPr>
              <w:t>Отчет за 2023 г., РЕК1</w:t>
            </w:r>
          </w:p>
        </w:tc>
        <w:tc>
          <w:tcPr>
            <w:tcW w:w="1164" w:type="pct"/>
            <w:shd w:val="clear" w:color="auto" w:fill="auto"/>
          </w:tcPr>
          <w:p w14:paraId="4FB0EEE3" w14:textId="77777777" w:rsidR="00E84E89" w:rsidRPr="008B3F38" w:rsidRDefault="00E84E89" w:rsidP="003C6890">
            <w:pPr>
              <w:pStyle w:val="Tabletext"/>
              <w:rPr>
                <w:sz w:val="18"/>
                <w:szCs w:val="18"/>
                <w:lang w:val="ru-RU"/>
              </w:rPr>
            </w:pPr>
            <w:r w:rsidRPr="008B3F38">
              <w:rPr>
                <w:sz w:val="18"/>
                <w:szCs w:val="18"/>
                <w:lang w:val="ru-RU"/>
              </w:rPr>
              <w:t>Провести новую систематическую оценку подверженности риску мошенничества в масштабе всего Союза и рассмотреть вопрос о том, является ли текущая деятельность по контролю в достаточной степени целенаправленной для снижения выявленных рисков.</w:t>
            </w:r>
          </w:p>
        </w:tc>
        <w:tc>
          <w:tcPr>
            <w:tcW w:w="1812" w:type="pct"/>
            <w:shd w:val="clear" w:color="auto" w:fill="auto"/>
          </w:tcPr>
          <w:p w14:paraId="51C95966" w14:textId="77777777" w:rsidR="00E84E89" w:rsidRPr="008B3F38" w:rsidRDefault="00E84E89" w:rsidP="003C6890">
            <w:pPr>
              <w:pStyle w:val="Tabletext"/>
              <w:rPr>
                <w:sz w:val="18"/>
                <w:szCs w:val="18"/>
                <w:lang w:val="ru-RU"/>
              </w:rPr>
            </w:pPr>
            <w:r w:rsidRPr="008B3F38">
              <w:rPr>
                <w:sz w:val="18"/>
                <w:szCs w:val="18"/>
                <w:lang w:val="ru-RU"/>
              </w:rPr>
              <w:t>МСЭ принимает эту рекомендацию и включит ее в планирование мероприятий по надзору на 2025 год.</w:t>
            </w:r>
          </w:p>
        </w:tc>
        <w:tc>
          <w:tcPr>
            <w:tcW w:w="990" w:type="pct"/>
            <w:shd w:val="clear" w:color="auto" w:fill="auto"/>
          </w:tcPr>
          <w:p w14:paraId="34777D37" w14:textId="77777777" w:rsidR="00E84E89" w:rsidRPr="008B3F38" w:rsidRDefault="00E84E89" w:rsidP="003C6890">
            <w:pPr>
              <w:pStyle w:val="Tabletext"/>
              <w:rPr>
                <w:sz w:val="18"/>
                <w:szCs w:val="18"/>
                <w:lang w:val="ru-RU"/>
              </w:rPr>
            </w:pPr>
            <w:r w:rsidRPr="008B3F38">
              <w:rPr>
                <w:sz w:val="18"/>
                <w:szCs w:val="18"/>
                <w:lang w:val="ru-RU"/>
              </w:rPr>
              <w:t>Мы принимаем к сведению ответ руководства и учтем его в рамках нашего аудита 2025 года.</w:t>
            </w:r>
          </w:p>
        </w:tc>
        <w:tc>
          <w:tcPr>
            <w:tcW w:w="487" w:type="pct"/>
            <w:shd w:val="clear" w:color="auto" w:fill="auto"/>
          </w:tcPr>
          <w:p w14:paraId="670B74AE" w14:textId="77777777" w:rsidR="00E84E89" w:rsidRPr="008B3F38" w:rsidRDefault="00E84E89" w:rsidP="003C6890">
            <w:pPr>
              <w:pStyle w:val="Tabletext"/>
              <w:rPr>
                <w:sz w:val="18"/>
                <w:szCs w:val="18"/>
                <w:lang w:val="ru-RU"/>
              </w:rPr>
            </w:pPr>
            <w:r w:rsidRPr="008B3F38">
              <w:rPr>
                <w:sz w:val="18"/>
                <w:szCs w:val="18"/>
                <w:lang w:val="ru-RU"/>
              </w:rPr>
              <w:t>Выполняется.</w:t>
            </w:r>
          </w:p>
        </w:tc>
      </w:tr>
      <w:tr w:rsidR="00FD50C2" w:rsidRPr="008B3F38" w14:paraId="0AAD45F1" w14:textId="77777777" w:rsidTr="000A513C">
        <w:trPr>
          <w:jc w:val="center"/>
        </w:trPr>
        <w:tc>
          <w:tcPr>
            <w:tcW w:w="547" w:type="pct"/>
            <w:shd w:val="clear" w:color="auto" w:fill="auto"/>
          </w:tcPr>
          <w:p w14:paraId="2A16B979" w14:textId="77777777" w:rsidR="00E84E89" w:rsidRPr="008B3F38" w:rsidRDefault="00E84E89" w:rsidP="003C6890">
            <w:pPr>
              <w:pStyle w:val="Tabletext"/>
              <w:rPr>
                <w:sz w:val="18"/>
                <w:szCs w:val="18"/>
                <w:lang w:val="ru-RU"/>
              </w:rPr>
            </w:pPr>
            <w:r w:rsidRPr="008B3F38">
              <w:rPr>
                <w:sz w:val="18"/>
                <w:szCs w:val="18"/>
                <w:lang w:val="ru-RU"/>
              </w:rPr>
              <w:t>Отчет за 2023 г., РЕК2</w:t>
            </w:r>
          </w:p>
        </w:tc>
        <w:tc>
          <w:tcPr>
            <w:tcW w:w="1164" w:type="pct"/>
            <w:shd w:val="clear" w:color="auto" w:fill="auto"/>
          </w:tcPr>
          <w:p w14:paraId="6F0E4578" w14:textId="5E233B4B" w:rsidR="0066390F" w:rsidRPr="008B3F38" w:rsidRDefault="00E84E89" w:rsidP="003C6890">
            <w:pPr>
              <w:pStyle w:val="Tabletext"/>
              <w:tabs>
                <w:tab w:val="clear" w:pos="851"/>
                <w:tab w:val="clear" w:pos="1134"/>
                <w:tab w:val="left" w:pos="954"/>
              </w:tabs>
              <w:ind w:left="284" w:hanging="284"/>
              <w:rPr>
                <w:sz w:val="18"/>
                <w:szCs w:val="18"/>
                <w:lang w:val="ru-RU"/>
              </w:rPr>
            </w:pPr>
            <w:r w:rsidRPr="008B3F38">
              <w:rPr>
                <w:sz w:val="18"/>
                <w:szCs w:val="18"/>
                <w:lang w:val="ru-RU"/>
              </w:rPr>
              <w:t>a)</w:t>
            </w:r>
            <w:r w:rsidRPr="008B3F38">
              <w:rPr>
                <w:sz w:val="18"/>
                <w:szCs w:val="18"/>
                <w:lang w:val="ru-RU"/>
              </w:rPr>
              <w:tab/>
              <w:t xml:space="preserve">обеспечить проведение текущего анализа политики по борьбе с мошенничеством и защите от мести в соответствии с передовым </w:t>
            </w:r>
            <w:r w:rsidRPr="008B3F38">
              <w:rPr>
                <w:sz w:val="18"/>
                <w:szCs w:val="18"/>
                <w:lang w:val="ru-RU"/>
              </w:rPr>
              <w:lastRenderedPageBreak/>
              <w:t>опытом и при условии тщательной проверки IMAC; и</w:t>
            </w:r>
          </w:p>
          <w:p w14:paraId="44D60EDB" w14:textId="7176A113" w:rsidR="00E84E89" w:rsidRPr="008B3F38" w:rsidRDefault="00E84E89" w:rsidP="003C6890">
            <w:pPr>
              <w:pStyle w:val="Tabletext"/>
              <w:tabs>
                <w:tab w:val="clear" w:pos="851"/>
                <w:tab w:val="clear" w:pos="1134"/>
                <w:tab w:val="left" w:pos="954"/>
              </w:tabs>
              <w:ind w:left="284" w:hanging="284"/>
              <w:rPr>
                <w:sz w:val="18"/>
                <w:szCs w:val="18"/>
                <w:lang w:val="ru-RU"/>
              </w:rPr>
            </w:pPr>
            <w:r w:rsidRPr="008B3F38">
              <w:rPr>
                <w:sz w:val="18"/>
                <w:szCs w:val="18"/>
                <w:lang w:val="ru-RU"/>
              </w:rPr>
              <w:t>b)</w:t>
            </w:r>
            <w:r w:rsidR="000A513C" w:rsidRPr="008B3F38">
              <w:rPr>
                <w:sz w:val="18"/>
                <w:szCs w:val="18"/>
                <w:lang w:val="ru-RU"/>
              </w:rPr>
              <w:tab/>
            </w:r>
            <w:r w:rsidRPr="008B3F38">
              <w:rPr>
                <w:sz w:val="18"/>
                <w:szCs w:val="18"/>
                <w:lang w:val="ru-RU"/>
              </w:rPr>
              <w:t>укрепить внутренние механизмы правосудия путем внедрения соответствующих независимых процессов омбудсмена.</w:t>
            </w:r>
          </w:p>
        </w:tc>
        <w:tc>
          <w:tcPr>
            <w:tcW w:w="1812" w:type="pct"/>
            <w:shd w:val="clear" w:color="auto" w:fill="auto"/>
          </w:tcPr>
          <w:p w14:paraId="6304AE5D" w14:textId="626E10F0" w:rsidR="00E84E89" w:rsidRPr="008B3F38" w:rsidRDefault="00E84E89" w:rsidP="003C6890">
            <w:pPr>
              <w:pStyle w:val="Tabletext"/>
              <w:ind w:left="284" w:hanging="284"/>
              <w:rPr>
                <w:sz w:val="18"/>
                <w:szCs w:val="18"/>
                <w:lang w:val="ru-RU"/>
              </w:rPr>
            </w:pPr>
            <w:r w:rsidRPr="008B3F38">
              <w:rPr>
                <w:sz w:val="18"/>
                <w:szCs w:val="18"/>
                <w:lang w:val="ru-RU"/>
              </w:rPr>
              <w:lastRenderedPageBreak/>
              <w:t>a)</w:t>
            </w:r>
            <w:r w:rsidR="000A513C" w:rsidRPr="008B3F38">
              <w:rPr>
                <w:sz w:val="18"/>
                <w:szCs w:val="18"/>
                <w:lang w:val="ru-RU"/>
              </w:rPr>
              <w:tab/>
            </w:r>
            <w:r w:rsidRPr="008B3F38">
              <w:rPr>
                <w:sz w:val="18"/>
                <w:szCs w:val="18"/>
                <w:lang w:val="ru-RU"/>
              </w:rPr>
              <w:t>Политика была пересмотрена и обновлена в соответствии с передовой практикой и передана на рассмотрение IMAC. В</w:t>
            </w:r>
            <w:r w:rsidR="000A513C" w:rsidRPr="008B3F38">
              <w:rPr>
                <w:sz w:val="18"/>
                <w:szCs w:val="18"/>
                <w:lang w:val="ru-RU"/>
              </w:rPr>
              <w:t> </w:t>
            </w:r>
            <w:r w:rsidRPr="008B3F38">
              <w:rPr>
                <w:sz w:val="18"/>
                <w:szCs w:val="18"/>
                <w:lang w:val="ru-RU"/>
              </w:rPr>
              <w:t>настоящее время она дорабатывается с учетом замечаний IMAC, ОКК и Совета персонала.</w:t>
            </w:r>
          </w:p>
          <w:p w14:paraId="45A21893" w14:textId="2199115A" w:rsidR="00E84E89" w:rsidRPr="008B3F38" w:rsidRDefault="00E84E89" w:rsidP="003C6890">
            <w:pPr>
              <w:pStyle w:val="Tabletext"/>
              <w:ind w:left="284" w:hanging="284"/>
              <w:rPr>
                <w:sz w:val="18"/>
                <w:szCs w:val="18"/>
                <w:lang w:val="ru-RU"/>
              </w:rPr>
            </w:pPr>
            <w:r w:rsidRPr="008B3F38">
              <w:rPr>
                <w:sz w:val="18"/>
                <w:szCs w:val="18"/>
                <w:lang w:val="ru-RU"/>
              </w:rPr>
              <w:lastRenderedPageBreak/>
              <w:t>b)</w:t>
            </w:r>
            <w:r w:rsidR="000A513C" w:rsidRPr="008B3F38">
              <w:rPr>
                <w:sz w:val="18"/>
                <w:szCs w:val="18"/>
                <w:lang w:val="ru-RU"/>
              </w:rPr>
              <w:tab/>
            </w:r>
            <w:r w:rsidRPr="008B3F38">
              <w:rPr>
                <w:sz w:val="18"/>
                <w:szCs w:val="18"/>
                <w:lang w:val="ru-RU"/>
              </w:rPr>
              <w:t>В ноябре 2024 года МСЭ, ВОИС и ЮНОМС подписали меморандум о взаимопонимании по передаче функции омбудсмена на аутсорсинг ЮНОМС. Поделившись этой услугой с ВОИС, МСЭ устранил потребность во внутренних ресурсах, обеспечив при этом постоянный доступ к независимым и профессиональным услугам омбудсмена</w:t>
            </w:r>
            <w:r w:rsidR="007C53BA" w:rsidRPr="008B3F38">
              <w:rPr>
                <w:sz w:val="18"/>
                <w:szCs w:val="18"/>
                <w:lang w:val="ru-RU"/>
              </w:rPr>
              <w:t> </w:t>
            </w:r>
            <w:r w:rsidRPr="008B3F38">
              <w:rPr>
                <w:sz w:val="18"/>
                <w:szCs w:val="18"/>
                <w:lang w:val="ru-RU"/>
              </w:rPr>
              <w:t>и</w:t>
            </w:r>
            <w:r w:rsidR="007C53BA" w:rsidRPr="008B3F38">
              <w:rPr>
                <w:sz w:val="18"/>
                <w:szCs w:val="18"/>
                <w:lang w:val="ru-RU"/>
              </w:rPr>
              <w:t> </w:t>
            </w:r>
            <w:r w:rsidRPr="008B3F38">
              <w:rPr>
                <w:sz w:val="18"/>
                <w:szCs w:val="18"/>
                <w:lang w:val="ru-RU"/>
              </w:rPr>
              <w:t>посредничества.</w:t>
            </w:r>
          </w:p>
          <w:p w14:paraId="7695A3BA" w14:textId="77777777" w:rsidR="00E84E89" w:rsidRPr="008B3F38" w:rsidRDefault="00E84E89" w:rsidP="003C6890">
            <w:pPr>
              <w:pStyle w:val="Tabletext"/>
              <w:rPr>
                <w:sz w:val="18"/>
                <w:szCs w:val="18"/>
                <w:lang w:val="ru-RU"/>
              </w:rPr>
            </w:pPr>
            <w:r w:rsidRPr="008B3F38">
              <w:rPr>
                <w:sz w:val="18"/>
                <w:szCs w:val="18"/>
                <w:lang w:val="ru-RU"/>
              </w:rPr>
              <w:t>Утвержден служебный приказ о создании функционального звена омбудсмена в МСЭ, который будет издан, как только занимающий эту должность сотрудник приступит к исполнению своих обязанностей в 2025 году.</w:t>
            </w:r>
          </w:p>
        </w:tc>
        <w:tc>
          <w:tcPr>
            <w:tcW w:w="990" w:type="pct"/>
            <w:shd w:val="clear" w:color="auto" w:fill="auto"/>
          </w:tcPr>
          <w:p w14:paraId="65B71F16" w14:textId="77777777" w:rsidR="00E84E89" w:rsidRPr="008B3F38" w:rsidRDefault="00E84E89" w:rsidP="003C6890">
            <w:pPr>
              <w:pStyle w:val="Tabletext"/>
              <w:rPr>
                <w:sz w:val="18"/>
                <w:szCs w:val="18"/>
                <w:lang w:val="ru-RU"/>
              </w:rPr>
            </w:pPr>
            <w:r w:rsidRPr="008B3F38">
              <w:rPr>
                <w:sz w:val="18"/>
                <w:szCs w:val="18"/>
                <w:lang w:val="ru-RU"/>
              </w:rPr>
              <w:lastRenderedPageBreak/>
              <w:t>Мы принимаем к сведению ответ руководства и учтем его в рамках нашего аудита 2025 года.</w:t>
            </w:r>
          </w:p>
        </w:tc>
        <w:tc>
          <w:tcPr>
            <w:tcW w:w="487" w:type="pct"/>
            <w:shd w:val="clear" w:color="auto" w:fill="auto"/>
          </w:tcPr>
          <w:p w14:paraId="3D308D66" w14:textId="77777777" w:rsidR="00E84E89" w:rsidRPr="008B3F38" w:rsidRDefault="00E84E89" w:rsidP="003C6890">
            <w:pPr>
              <w:pStyle w:val="Tabletext"/>
              <w:rPr>
                <w:sz w:val="18"/>
                <w:szCs w:val="18"/>
                <w:lang w:val="ru-RU"/>
              </w:rPr>
            </w:pPr>
            <w:r w:rsidRPr="008B3F38">
              <w:rPr>
                <w:sz w:val="18"/>
                <w:szCs w:val="18"/>
                <w:lang w:val="ru-RU"/>
              </w:rPr>
              <w:t>Выполняется.</w:t>
            </w:r>
          </w:p>
        </w:tc>
      </w:tr>
      <w:bookmarkEnd w:id="48"/>
      <w:bookmarkEnd w:id="49"/>
    </w:tbl>
    <w:p w14:paraId="5103D09D" w14:textId="1A6705B5" w:rsidR="00E84E89" w:rsidRPr="008B3F38" w:rsidRDefault="00E84E89">
      <w:pPr>
        <w:tabs>
          <w:tab w:val="clear" w:pos="794"/>
          <w:tab w:val="clear" w:pos="1191"/>
          <w:tab w:val="clear" w:pos="1588"/>
          <w:tab w:val="clear" w:pos="1985"/>
        </w:tabs>
        <w:overflowPunct/>
        <w:autoSpaceDE/>
        <w:autoSpaceDN/>
        <w:adjustRightInd/>
        <w:spacing w:before="0"/>
        <w:textAlignment w:val="auto"/>
        <w:rPr>
          <w:lang w:val="ru-RU"/>
        </w:rPr>
      </w:pPr>
      <w:r w:rsidRPr="008B3F38">
        <w:rPr>
          <w:lang w:val="ru-RU"/>
        </w:rPr>
        <w:br w:type="page"/>
      </w:r>
    </w:p>
    <w:p w14:paraId="7AEB64DF" w14:textId="77777777" w:rsidR="003C6890" w:rsidRPr="008B3F38" w:rsidRDefault="003C6890" w:rsidP="003C6890">
      <w:pPr>
        <w:pStyle w:val="AppendixNo"/>
        <w:rPr>
          <w:lang w:val="ru-RU"/>
        </w:rPr>
      </w:pPr>
      <w:bookmarkStart w:id="50" w:name="_Toc201047368"/>
      <w:bookmarkStart w:id="51" w:name="_Toc199491617"/>
      <w:bookmarkStart w:id="52" w:name="_Hlk133421856"/>
      <w:bookmarkStart w:id="53" w:name="_Hlk133422370"/>
      <w:bookmarkStart w:id="54" w:name="_Hlk133586559"/>
      <w:bookmarkStart w:id="55" w:name="_Hlk133421428"/>
      <w:r w:rsidRPr="008B3F38">
        <w:rPr>
          <w:lang w:val="ru-RU"/>
        </w:rPr>
        <w:lastRenderedPageBreak/>
        <w:t>Дополнение 2</w:t>
      </w:r>
      <w:bookmarkEnd w:id="50"/>
    </w:p>
    <w:p w14:paraId="3015C5F8" w14:textId="3E2DB7A7" w:rsidR="003C6890" w:rsidRPr="008B3F38" w:rsidRDefault="003C6890" w:rsidP="003C6890">
      <w:pPr>
        <w:pStyle w:val="Appendixtitle"/>
        <w:rPr>
          <w:lang w:val="ru-RU"/>
        </w:rPr>
      </w:pPr>
      <w:bookmarkStart w:id="56" w:name="_Toc201047369"/>
      <w:r w:rsidRPr="008B3F38">
        <w:rPr>
          <w:lang w:val="ru-RU"/>
        </w:rPr>
        <w:t>Рекомендации Corte dei conti</w:t>
      </w:r>
      <w:bookmarkEnd w:id="51"/>
      <w:r w:rsidRPr="008B3F38">
        <w:rPr>
          <w:lang w:val="ru-RU"/>
        </w:rPr>
        <w:t xml:space="preserve"> в процессе выполнения</w:t>
      </w:r>
      <w:bookmarkEnd w:id="56"/>
    </w:p>
    <w:tbl>
      <w:tblPr>
        <w:tblW w:w="5035" w:type="pct"/>
        <w:jc w:val="center"/>
        <w:tblBorders>
          <w:top w:val="single" w:sz="12" w:space="0" w:color="008000"/>
          <w:left w:val="nil"/>
          <w:bottom w:val="single" w:sz="12" w:space="0" w:color="008000"/>
          <w:right w:val="nil"/>
          <w:insideH w:val="nil"/>
          <w:insideV w:val="nil"/>
        </w:tblBorders>
        <w:tblLayout w:type="fixed"/>
        <w:tblLook w:val="00A0" w:firstRow="1" w:lastRow="0" w:firstColumn="1" w:lastColumn="0" w:noHBand="0" w:noVBand="0"/>
      </w:tblPr>
      <w:tblGrid>
        <w:gridCol w:w="996"/>
        <w:gridCol w:w="3967"/>
        <w:gridCol w:w="8"/>
        <w:gridCol w:w="4674"/>
        <w:gridCol w:w="3205"/>
        <w:gridCol w:w="6"/>
        <w:gridCol w:w="1240"/>
      </w:tblGrid>
      <w:tr w:rsidR="003C6890" w:rsidRPr="007D30B5" w14:paraId="377BC4D1" w14:textId="77777777" w:rsidTr="008A2FDE">
        <w:trPr>
          <w:jc w:val="center"/>
        </w:trPr>
        <w:tc>
          <w:tcPr>
            <w:tcW w:w="5000" w:type="pct"/>
            <w:gridSpan w:val="7"/>
            <w:tcBorders>
              <w:bottom w:val="single" w:sz="6" w:space="0" w:color="008000"/>
            </w:tcBorders>
            <w:shd w:val="clear" w:color="auto" w:fill="auto"/>
          </w:tcPr>
          <w:p w14:paraId="4E5895E8" w14:textId="77777777" w:rsidR="003C6890" w:rsidRPr="008B3F38" w:rsidRDefault="003C6890" w:rsidP="00025DC3">
            <w:pPr>
              <w:pStyle w:val="Tabletitle"/>
              <w:keepNext w:val="0"/>
              <w:spacing w:before="120"/>
              <w:jc w:val="left"/>
              <w:rPr>
                <w:b w:val="0"/>
                <w:bCs/>
                <w:szCs w:val="22"/>
                <w:lang w:val="ru-RU"/>
              </w:rPr>
            </w:pPr>
            <w:r w:rsidRPr="008B3F38">
              <w:rPr>
                <w:bCs/>
                <w:color w:val="000000"/>
                <w:szCs w:val="22"/>
                <w:lang w:val="ru-RU"/>
              </w:rPr>
              <w:t>Предыдущие рекомендации Corte dei conti</w:t>
            </w:r>
          </w:p>
        </w:tc>
      </w:tr>
      <w:tr w:rsidR="00411F7C" w:rsidRPr="008B3F38" w14:paraId="2B75EE03" w14:textId="77777777" w:rsidTr="008A2FDE">
        <w:trPr>
          <w:jc w:val="center"/>
        </w:trPr>
        <w:tc>
          <w:tcPr>
            <w:tcW w:w="353" w:type="pct"/>
            <w:tcBorders>
              <w:top w:val="single" w:sz="6" w:space="0" w:color="008000"/>
            </w:tcBorders>
            <w:shd w:val="clear" w:color="auto" w:fill="auto"/>
          </w:tcPr>
          <w:p w14:paraId="223A501B" w14:textId="77777777" w:rsidR="003C6890" w:rsidRPr="008B3F38" w:rsidRDefault="003C6890" w:rsidP="00025DC3">
            <w:pPr>
              <w:pStyle w:val="Tablehead"/>
              <w:keepNext w:val="0"/>
              <w:rPr>
                <w:sz w:val="18"/>
                <w:szCs w:val="18"/>
                <w:lang w:val="ru-RU"/>
              </w:rPr>
            </w:pPr>
            <w:r w:rsidRPr="008B3F38">
              <w:rPr>
                <w:bCs/>
                <w:color w:val="000000"/>
                <w:sz w:val="18"/>
                <w:szCs w:val="18"/>
                <w:lang w:val="ru-RU"/>
              </w:rPr>
              <w:t>Ссылка</w:t>
            </w:r>
          </w:p>
        </w:tc>
        <w:tc>
          <w:tcPr>
            <w:tcW w:w="1407" w:type="pct"/>
            <w:tcBorders>
              <w:top w:val="single" w:sz="6" w:space="0" w:color="008000"/>
            </w:tcBorders>
            <w:shd w:val="clear" w:color="auto" w:fill="auto"/>
          </w:tcPr>
          <w:p w14:paraId="321FEEE8" w14:textId="77777777" w:rsidR="003C6890" w:rsidRPr="008B3F38" w:rsidRDefault="003C6890" w:rsidP="00025DC3">
            <w:pPr>
              <w:pStyle w:val="Tablehead"/>
              <w:keepNext w:val="0"/>
              <w:rPr>
                <w:sz w:val="18"/>
                <w:szCs w:val="18"/>
                <w:lang w:val="ru-RU"/>
              </w:rPr>
            </w:pPr>
            <w:r w:rsidRPr="008B3F38">
              <w:rPr>
                <w:bCs/>
                <w:color w:val="000000"/>
                <w:sz w:val="18"/>
                <w:szCs w:val="18"/>
                <w:lang w:val="ru-RU"/>
              </w:rPr>
              <w:t>Рекомендация</w:t>
            </w:r>
          </w:p>
        </w:tc>
        <w:tc>
          <w:tcPr>
            <w:tcW w:w="1661" w:type="pct"/>
            <w:gridSpan w:val="2"/>
            <w:tcBorders>
              <w:top w:val="single" w:sz="6" w:space="0" w:color="008000"/>
            </w:tcBorders>
            <w:shd w:val="clear" w:color="auto" w:fill="auto"/>
          </w:tcPr>
          <w:p w14:paraId="0E1CFE9F" w14:textId="77777777" w:rsidR="003C6890" w:rsidRPr="008B3F38" w:rsidRDefault="003C6890" w:rsidP="00025DC3">
            <w:pPr>
              <w:pStyle w:val="Tablehead"/>
              <w:keepNext w:val="0"/>
              <w:rPr>
                <w:sz w:val="18"/>
                <w:szCs w:val="18"/>
                <w:lang w:val="ru-RU"/>
              </w:rPr>
            </w:pPr>
            <w:r w:rsidRPr="008B3F38">
              <w:rPr>
                <w:bCs/>
                <w:color w:val="000000"/>
                <w:sz w:val="18"/>
                <w:szCs w:val="18"/>
                <w:lang w:val="ru-RU"/>
              </w:rPr>
              <w:t>Ответ руководства</w:t>
            </w:r>
          </w:p>
        </w:tc>
        <w:tc>
          <w:tcPr>
            <w:tcW w:w="1139" w:type="pct"/>
            <w:gridSpan w:val="2"/>
            <w:tcBorders>
              <w:top w:val="single" w:sz="6" w:space="0" w:color="008000"/>
            </w:tcBorders>
            <w:shd w:val="clear" w:color="auto" w:fill="auto"/>
          </w:tcPr>
          <w:p w14:paraId="0960C00E" w14:textId="77777777" w:rsidR="003C6890" w:rsidRPr="008B3F38" w:rsidRDefault="003C6890" w:rsidP="00025DC3">
            <w:pPr>
              <w:pStyle w:val="Tablehead"/>
              <w:keepNext w:val="0"/>
              <w:rPr>
                <w:sz w:val="18"/>
                <w:szCs w:val="18"/>
                <w:lang w:val="ru-RU"/>
              </w:rPr>
            </w:pPr>
            <w:r w:rsidRPr="008B3F38">
              <w:rPr>
                <w:bCs/>
                <w:color w:val="000000"/>
                <w:sz w:val="18"/>
                <w:szCs w:val="18"/>
                <w:lang w:val="ru-RU"/>
              </w:rPr>
              <w:t>Мнение Внешнего аудитора</w:t>
            </w:r>
          </w:p>
        </w:tc>
        <w:tc>
          <w:tcPr>
            <w:tcW w:w="440" w:type="pct"/>
            <w:tcBorders>
              <w:top w:val="single" w:sz="6" w:space="0" w:color="008000"/>
            </w:tcBorders>
            <w:shd w:val="clear" w:color="auto" w:fill="auto"/>
          </w:tcPr>
          <w:p w14:paraId="5FB48597" w14:textId="77777777" w:rsidR="003C6890" w:rsidRPr="008B3F38" w:rsidRDefault="003C6890" w:rsidP="00025DC3">
            <w:pPr>
              <w:pStyle w:val="Tablehead"/>
              <w:keepNext w:val="0"/>
              <w:rPr>
                <w:sz w:val="18"/>
                <w:szCs w:val="18"/>
                <w:lang w:val="ru-RU"/>
              </w:rPr>
            </w:pPr>
            <w:r w:rsidRPr="008B3F38">
              <w:rPr>
                <w:bCs/>
                <w:color w:val="000000"/>
                <w:sz w:val="18"/>
                <w:szCs w:val="18"/>
                <w:lang w:val="ru-RU"/>
              </w:rPr>
              <w:t>Статус</w:t>
            </w:r>
          </w:p>
        </w:tc>
      </w:tr>
      <w:tr w:rsidR="00411F7C" w:rsidRPr="008B3F38" w14:paraId="7E6E535E" w14:textId="77777777" w:rsidTr="008A2FDE">
        <w:trPr>
          <w:jc w:val="center"/>
        </w:trPr>
        <w:tc>
          <w:tcPr>
            <w:tcW w:w="353" w:type="pct"/>
            <w:shd w:val="clear" w:color="auto" w:fill="auto"/>
          </w:tcPr>
          <w:p w14:paraId="6638C21A" w14:textId="77777777" w:rsidR="003C6890" w:rsidRPr="008B3F38" w:rsidRDefault="003C6890" w:rsidP="00025DC3">
            <w:pPr>
              <w:pStyle w:val="Tabletext"/>
              <w:tabs>
                <w:tab w:val="left" w:pos="819"/>
              </w:tabs>
              <w:rPr>
                <w:sz w:val="18"/>
                <w:szCs w:val="18"/>
                <w:lang w:val="ru-RU"/>
              </w:rPr>
            </w:pPr>
            <w:r w:rsidRPr="008B3F38">
              <w:rPr>
                <w:color w:val="000000"/>
                <w:sz w:val="18"/>
                <w:szCs w:val="18"/>
                <w:lang w:val="ru-RU"/>
              </w:rPr>
              <w:t>2021 г.</w:t>
            </w:r>
            <w:r w:rsidRPr="008B3F38">
              <w:rPr>
                <w:color w:val="000000"/>
                <w:sz w:val="18"/>
                <w:szCs w:val="18"/>
                <w:lang w:val="ru-RU"/>
              </w:rPr>
              <w:br/>
              <w:t>РЕК1</w:t>
            </w:r>
          </w:p>
        </w:tc>
        <w:tc>
          <w:tcPr>
            <w:tcW w:w="1407" w:type="pct"/>
            <w:shd w:val="clear" w:color="auto" w:fill="auto"/>
          </w:tcPr>
          <w:p w14:paraId="2A7B578F" w14:textId="77777777" w:rsidR="003C6890" w:rsidRPr="008B3F38" w:rsidRDefault="003C6890" w:rsidP="00025DC3">
            <w:pPr>
              <w:pStyle w:val="Tabletext"/>
              <w:rPr>
                <w:sz w:val="18"/>
                <w:szCs w:val="18"/>
                <w:lang w:val="ru-RU"/>
              </w:rPr>
            </w:pPr>
            <w:r w:rsidRPr="008B3F38">
              <w:rPr>
                <w:color w:val="000000"/>
                <w:sz w:val="18"/>
                <w:szCs w:val="18"/>
                <w:lang w:val="ru-RU"/>
              </w:rPr>
              <w:t>Постоянно и точно отслеживать этот процесс перемещения, чтобы повысить точность и полноту реестра активов, обеспечивая сохранность активов МСЭ</w:t>
            </w:r>
          </w:p>
        </w:tc>
        <w:tc>
          <w:tcPr>
            <w:tcW w:w="1661" w:type="pct"/>
            <w:gridSpan w:val="2"/>
            <w:shd w:val="clear" w:color="auto" w:fill="auto"/>
          </w:tcPr>
          <w:p w14:paraId="58DAC2F1" w14:textId="1D745281" w:rsidR="003C6890" w:rsidRPr="008B3F38" w:rsidRDefault="003C6890" w:rsidP="00025DC3">
            <w:pPr>
              <w:pStyle w:val="Tabletext"/>
              <w:rPr>
                <w:sz w:val="18"/>
                <w:szCs w:val="18"/>
                <w:lang w:val="ru-RU"/>
              </w:rPr>
            </w:pPr>
            <w:r w:rsidRPr="008B3F38">
              <w:rPr>
                <w:color w:val="000000"/>
                <w:sz w:val="18"/>
                <w:szCs w:val="18"/>
                <w:lang w:val="ru-RU"/>
              </w:rPr>
              <w:t>Обновленная информация по состоянию на май 2025 г.: МСЭ осуществляет контроль за этими предметами на постоянной основе. Каждый год проводится физическая инвентаризация. Активы, указанные в настоящей рекомендации, используются только одной службой, а именно Отделом связи. Как было указано в нашем предыдущем комментарии, эти активы крайне сложно маркировать. МСЭ известно, что эти активы находятся в сфере ответственности этого подразделения. FRMD рекомендовал перевести данную рекомендацию в статус</w:t>
            </w:r>
            <w:r w:rsidR="0008331E" w:rsidRPr="008B3F38">
              <w:rPr>
                <w:color w:val="000000"/>
                <w:sz w:val="18"/>
                <w:szCs w:val="18"/>
                <w:lang w:val="ru-RU"/>
              </w:rPr>
              <w:t> </w:t>
            </w:r>
            <w:r w:rsidRPr="008B3F38">
              <w:rPr>
                <w:color w:val="000000"/>
                <w:sz w:val="18"/>
                <w:szCs w:val="18"/>
                <w:lang w:val="ru-RU"/>
              </w:rPr>
              <w:t>выполненной.</w:t>
            </w:r>
          </w:p>
        </w:tc>
        <w:tc>
          <w:tcPr>
            <w:tcW w:w="1139" w:type="pct"/>
            <w:gridSpan w:val="2"/>
            <w:shd w:val="clear" w:color="auto" w:fill="auto"/>
          </w:tcPr>
          <w:p w14:paraId="5B758804" w14:textId="77777777" w:rsidR="003C6890" w:rsidRPr="008B3F38" w:rsidRDefault="003C6890" w:rsidP="00025DC3">
            <w:pPr>
              <w:pStyle w:val="Tabletext"/>
              <w:rPr>
                <w:sz w:val="18"/>
                <w:szCs w:val="18"/>
                <w:lang w:val="ru-RU"/>
              </w:rPr>
            </w:pPr>
            <w:r w:rsidRPr="008B3F38">
              <w:rPr>
                <w:color w:val="000000"/>
                <w:sz w:val="18"/>
                <w:szCs w:val="18"/>
                <w:lang w:val="ru-RU"/>
              </w:rPr>
              <w:t>Последний ответ принят к сведению и признан обоснованным. Рекомендация выполнена.</w:t>
            </w:r>
          </w:p>
        </w:tc>
        <w:tc>
          <w:tcPr>
            <w:tcW w:w="440" w:type="pct"/>
            <w:shd w:val="clear" w:color="auto" w:fill="auto"/>
          </w:tcPr>
          <w:p w14:paraId="46EFF3F2" w14:textId="77777777" w:rsidR="003C6890" w:rsidRPr="008B3F38" w:rsidRDefault="003C6890" w:rsidP="00025DC3">
            <w:pPr>
              <w:pStyle w:val="Tabletext"/>
              <w:rPr>
                <w:sz w:val="18"/>
                <w:szCs w:val="18"/>
                <w:lang w:val="ru-RU"/>
              </w:rPr>
            </w:pPr>
            <w:r w:rsidRPr="008B3F38">
              <w:rPr>
                <w:color w:val="000000"/>
                <w:sz w:val="18"/>
                <w:szCs w:val="18"/>
                <w:lang w:val="ru-RU"/>
              </w:rPr>
              <w:t>Закрыта.</w:t>
            </w:r>
          </w:p>
        </w:tc>
      </w:tr>
      <w:tr w:rsidR="00411F7C" w:rsidRPr="008B3F38" w14:paraId="5D3039FF" w14:textId="77777777" w:rsidTr="008A2FDE">
        <w:trPr>
          <w:jc w:val="center"/>
        </w:trPr>
        <w:tc>
          <w:tcPr>
            <w:tcW w:w="353" w:type="pct"/>
            <w:shd w:val="clear" w:color="auto" w:fill="auto"/>
          </w:tcPr>
          <w:p w14:paraId="69812FC9" w14:textId="77777777" w:rsidR="003C6890" w:rsidRPr="008B3F38" w:rsidRDefault="003C6890" w:rsidP="00025DC3">
            <w:pPr>
              <w:pStyle w:val="Tabletext"/>
              <w:rPr>
                <w:sz w:val="18"/>
                <w:szCs w:val="18"/>
                <w:lang w:val="ru-RU"/>
              </w:rPr>
            </w:pPr>
            <w:r w:rsidRPr="008B3F38">
              <w:rPr>
                <w:color w:val="000000"/>
                <w:sz w:val="18"/>
                <w:szCs w:val="18"/>
                <w:lang w:val="ru-RU"/>
              </w:rPr>
              <w:t>2021 г.</w:t>
            </w:r>
            <w:r w:rsidRPr="008B3F38">
              <w:rPr>
                <w:color w:val="000000"/>
                <w:sz w:val="18"/>
                <w:szCs w:val="18"/>
                <w:lang w:val="ru-RU"/>
              </w:rPr>
              <w:br/>
              <w:t>РЕК2</w:t>
            </w:r>
          </w:p>
        </w:tc>
        <w:tc>
          <w:tcPr>
            <w:tcW w:w="1407" w:type="pct"/>
            <w:shd w:val="clear" w:color="auto" w:fill="auto"/>
          </w:tcPr>
          <w:p w14:paraId="406E8088" w14:textId="5CD65090" w:rsidR="00411F7C" w:rsidRPr="008B3F38" w:rsidRDefault="003C6890" w:rsidP="00025DC3">
            <w:pPr>
              <w:pStyle w:val="Tabletext"/>
              <w:ind w:left="284" w:hanging="284"/>
              <w:rPr>
                <w:color w:val="000000"/>
                <w:sz w:val="18"/>
                <w:szCs w:val="18"/>
                <w:lang w:val="ru-RU"/>
              </w:rPr>
            </w:pPr>
            <w:r w:rsidRPr="008B3F38">
              <w:rPr>
                <w:color w:val="000000"/>
                <w:sz w:val="18"/>
                <w:szCs w:val="18"/>
                <w:lang w:val="ru-RU"/>
              </w:rPr>
              <w:t>1)</w:t>
            </w:r>
            <w:r w:rsidR="00411F7C" w:rsidRPr="008B3F38">
              <w:rPr>
                <w:color w:val="000000"/>
                <w:sz w:val="18"/>
                <w:szCs w:val="18"/>
                <w:lang w:val="ru-RU"/>
              </w:rPr>
              <w:tab/>
            </w:r>
            <w:r w:rsidRPr="008B3F38">
              <w:rPr>
                <w:color w:val="000000"/>
                <w:sz w:val="18"/>
                <w:szCs w:val="18"/>
                <w:lang w:val="ru-RU"/>
              </w:rPr>
              <w:t>усиление мониторинга состояния активов, такого как их срок полезной службы, остаточная стоимость и/или любая потеря</w:t>
            </w:r>
            <w:r w:rsidR="008B3F38">
              <w:rPr>
                <w:color w:val="000000"/>
                <w:sz w:val="18"/>
                <w:szCs w:val="18"/>
                <w:lang w:val="ru-RU"/>
              </w:rPr>
              <w:t> </w:t>
            </w:r>
            <w:r w:rsidRPr="008B3F38">
              <w:rPr>
                <w:color w:val="000000"/>
                <w:sz w:val="18"/>
                <w:szCs w:val="18"/>
                <w:lang w:val="ru-RU"/>
              </w:rPr>
              <w:t>стоимости;</w:t>
            </w:r>
          </w:p>
          <w:p w14:paraId="44A1BDD2" w14:textId="378F8DDE" w:rsidR="00411F7C" w:rsidRPr="008B3F38" w:rsidRDefault="003C6890" w:rsidP="00025DC3">
            <w:pPr>
              <w:pStyle w:val="Tabletext"/>
              <w:ind w:left="284" w:hanging="284"/>
              <w:rPr>
                <w:color w:val="000000"/>
                <w:sz w:val="18"/>
                <w:szCs w:val="18"/>
                <w:lang w:val="ru-RU"/>
              </w:rPr>
            </w:pPr>
            <w:r w:rsidRPr="008B3F38">
              <w:rPr>
                <w:color w:val="000000"/>
                <w:sz w:val="18"/>
                <w:szCs w:val="18"/>
                <w:lang w:val="ru-RU"/>
              </w:rPr>
              <w:t>2)</w:t>
            </w:r>
            <w:r w:rsidR="00411F7C" w:rsidRPr="008B3F38">
              <w:rPr>
                <w:color w:val="000000"/>
                <w:sz w:val="18"/>
                <w:szCs w:val="18"/>
                <w:lang w:val="ru-RU"/>
              </w:rPr>
              <w:tab/>
            </w:r>
            <w:r w:rsidRPr="008B3F38">
              <w:rPr>
                <w:color w:val="000000"/>
                <w:sz w:val="18"/>
                <w:szCs w:val="18"/>
                <w:lang w:val="ru-RU"/>
              </w:rPr>
              <w:t>оценка их фактического устаревания, производимая специальным комитетом, перед принятием решения об их списании; кроме того, этот комитет должен быть компетентным в технической области и состоять из сотрудников, не отвечающих за приобретение активов и управление ими в течение срока их полезной службы;</w:t>
            </w:r>
          </w:p>
          <w:p w14:paraId="1C132EED" w14:textId="5E1FE42D" w:rsidR="003C6890" w:rsidRPr="008B3F38" w:rsidRDefault="003C6890" w:rsidP="00025DC3">
            <w:pPr>
              <w:pStyle w:val="Tabletext"/>
              <w:ind w:left="284" w:hanging="284"/>
              <w:rPr>
                <w:sz w:val="18"/>
                <w:szCs w:val="18"/>
                <w:lang w:val="ru-RU"/>
              </w:rPr>
            </w:pPr>
            <w:r w:rsidRPr="008B3F38">
              <w:rPr>
                <w:color w:val="000000"/>
                <w:sz w:val="18"/>
                <w:szCs w:val="18"/>
                <w:lang w:val="ru-RU"/>
              </w:rPr>
              <w:t>3)</w:t>
            </w:r>
            <w:r w:rsidR="00411F7C" w:rsidRPr="008B3F38">
              <w:rPr>
                <w:color w:val="000000"/>
                <w:sz w:val="18"/>
                <w:szCs w:val="18"/>
                <w:lang w:val="ru-RU"/>
              </w:rPr>
              <w:tab/>
            </w:r>
            <w:r w:rsidRPr="008B3F38">
              <w:rPr>
                <w:color w:val="000000"/>
                <w:sz w:val="18"/>
                <w:szCs w:val="18"/>
                <w:lang w:val="ru-RU"/>
              </w:rPr>
              <w:t>внедрение более строгой процедуры под управлением упомянутого комитета по оценке предметов, в частности, в случае продажи активов персоналу.</w:t>
            </w:r>
          </w:p>
        </w:tc>
        <w:tc>
          <w:tcPr>
            <w:tcW w:w="1661" w:type="pct"/>
            <w:gridSpan w:val="2"/>
            <w:shd w:val="clear" w:color="auto" w:fill="auto"/>
          </w:tcPr>
          <w:p w14:paraId="26FC0C12" w14:textId="77777777" w:rsidR="003C6890" w:rsidRPr="008B3F38" w:rsidRDefault="003C6890" w:rsidP="00025DC3">
            <w:pPr>
              <w:pStyle w:val="Tabletext"/>
              <w:rPr>
                <w:sz w:val="18"/>
                <w:szCs w:val="18"/>
                <w:lang w:val="ru-RU"/>
              </w:rPr>
            </w:pPr>
            <w:r w:rsidRPr="008B3F38">
              <w:rPr>
                <w:color w:val="000000"/>
                <w:sz w:val="18"/>
                <w:szCs w:val="18"/>
                <w:lang w:val="ru-RU"/>
              </w:rPr>
              <w:t>Обновленная информация по состоянию на май 2025 г.: существует строгая процедура продажи оборудования персоналу. Эта процедура, предусмотренная Служебным приказом 21/09 "Порядок приобретения компьютерного оборудования", детально определяет условия продажи данного оборудования.</w:t>
            </w:r>
          </w:p>
        </w:tc>
        <w:tc>
          <w:tcPr>
            <w:tcW w:w="1139" w:type="pct"/>
            <w:gridSpan w:val="2"/>
            <w:shd w:val="clear" w:color="auto" w:fill="auto"/>
          </w:tcPr>
          <w:p w14:paraId="2E67DD71" w14:textId="67E101F4" w:rsidR="003C6890" w:rsidRPr="008B3F38" w:rsidRDefault="003C6890" w:rsidP="00025DC3">
            <w:pPr>
              <w:pStyle w:val="Tabletext"/>
              <w:rPr>
                <w:spacing w:val="-2"/>
                <w:sz w:val="18"/>
                <w:szCs w:val="18"/>
                <w:lang w:val="ru-RU"/>
              </w:rPr>
            </w:pPr>
            <w:r w:rsidRPr="008B3F38">
              <w:rPr>
                <w:color w:val="000000"/>
                <w:sz w:val="18"/>
                <w:szCs w:val="18"/>
                <w:lang w:val="ru-RU"/>
              </w:rPr>
              <w:t xml:space="preserve">Мы приняли к сведению ответ руководства, и оно приняло риск на основе анализа соотношения финансовых затрат и результатов. </w:t>
            </w:r>
            <w:r w:rsidRPr="008B3F38">
              <w:rPr>
                <w:b/>
                <w:bCs/>
                <w:color w:val="000000"/>
                <w:sz w:val="18"/>
                <w:szCs w:val="18"/>
                <w:lang w:val="ru-RU"/>
              </w:rPr>
              <w:t>Служебный приказ</w:t>
            </w:r>
            <w:r w:rsidR="00411F7C" w:rsidRPr="008B3F38">
              <w:rPr>
                <w:b/>
                <w:bCs/>
                <w:color w:val="000000"/>
                <w:sz w:val="18"/>
                <w:szCs w:val="18"/>
                <w:lang w:val="ru-RU"/>
              </w:rPr>
              <w:t> </w:t>
            </w:r>
            <w:r w:rsidRPr="008B3F38">
              <w:rPr>
                <w:b/>
                <w:bCs/>
                <w:color w:val="000000"/>
                <w:sz w:val="18"/>
                <w:szCs w:val="18"/>
                <w:lang w:val="ru-RU"/>
              </w:rPr>
              <w:t>21/09 следует пересмотреть и усовершенствовать, особенно в части подачи сотрудниками запросов на приобретение путем покупки активов в составе информационных систем МСЭ.</w:t>
            </w:r>
            <w:r w:rsidRPr="008B3F38">
              <w:rPr>
                <w:color w:val="000000"/>
                <w:sz w:val="18"/>
                <w:szCs w:val="18"/>
                <w:lang w:val="ru-RU"/>
              </w:rPr>
              <w:t xml:space="preserve"> </w:t>
            </w:r>
            <w:r w:rsidRPr="008B3F38">
              <w:rPr>
                <w:b/>
                <w:bCs/>
                <w:color w:val="000000"/>
                <w:sz w:val="18"/>
                <w:szCs w:val="18"/>
                <w:lang w:val="ru-RU"/>
              </w:rPr>
              <w:t>На наш взгляд, действия по утилизации оборудования должны инициироваться только тогда, когда Союз сочтет его устаревшим или избыточным, и это должно происходить в рамках регулярных и плановых мероприятий по признанию обесценения активов</w:t>
            </w:r>
            <w:r w:rsidRPr="008B3F38">
              <w:rPr>
                <w:color w:val="000000"/>
                <w:sz w:val="18"/>
                <w:szCs w:val="18"/>
                <w:lang w:val="ru-RU"/>
              </w:rPr>
              <w:t>.</w:t>
            </w:r>
          </w:p>
        </w:tc>
        <w:tc>
          <w:tcPr>
            <w:tcW w:w="440" w:type="pct"/>
            <w:shd w:val="clear" w:color="auto" w:fill="auto"/>
          </w:tcPr>
          <w:p w14:paraId="61A6F5CA" w14:textId="77777777" w:rsidR="003C6890" w:rsidRPr="008B3F38" w:rsidRDefault="003C6890" w:rsidP="00025DC3">
            <w:pPr>
              <w:pStyle w:val="Tabletext"/>
              <w:rPr>
                <w:sz w:val="18"/>
                <w:szCs w:val="18"/>
                <w:lang w:val="ru-RU"/>
              </w:rPr>
            </w:pPr>
            <w:r w:rsidRPr="008B3F38">
              <w:rPr>
                <w:color w:val="000000"/>
                <w:sz w:val="18"/>
                <w:szCs w:val="18"/>
                <w:lang w:val="ru-RU"/>
              </w:rPr>
              <w:t>Закрыта, с оговоркой.</w:t>
            </w:r>
          </w:p>
        </w:tc>
      </w:tr>
      <w:tr w:rsidR="00411F7C" w:rsidRPr="008B3F38" w14:paraId="6DB7A4F7" w14:textId="77777777" w:rsidTr="008A2FDE">
        <w:trPr>
          <w:jc w:val="center"/>
        </w:trPr>
        <w:tc>
          <w:tcPr>
            <w:tcW w:w="353" w:type="pct"/>
            <w:shd w:val="clear" w:color="auto" w:fill="auto"/>
          </w:tcPr>
          <w:p w14:paraId="1E2DCFE5" w14:textId="77777777" w:rsidR="003C6890" w:rsidRPr="008B3F38" w:rsidRDefault="003C6890" w:rsidP="00025DC3">
            <w:pPr>
              <w:pStyle w:val="Tabletext"/>
              <w:rPr>
                <w:sz w:val="18"/>
                <w:szCs w:val="18"/>
                <w:lang w:val="ru-RU"/>
              </w:rPr>
            </w:pPr>
            <w:r w:rsidRPr="008B3F38">
              <w:rPr>
                <w:color w:val="000000"/>
                <w:sz w:val="18"/>
                <w:szCs w:val="18"/>
                <w:lang w:val="ru-RU"/>
              </w:rPr>
              <w:lastRenderedPageBreak/>
              <w:t>2021 г.</w:t>
            </w:r>
            <w:r w:rsidRPr="008B3F38">
              <w:rPr>
                <w:color w:val="000000"/>
                <w:sz w:val="18"/>
                <w:szCs w:val="18"/>
                <w:lang w:val="ru-RU"/>
              </w:rPr>
              <w:br/>
              <w:t>РЕК3</w:t>
            </w:r>
          </w:p>
        </w:tc>
        <w:tc>
          <w:tcPr>
            <w:tcW w:w="1407" w:type="pct"/>
            <w:shd w:val="clear" w:color="auto" w:fill="auto"/>
          </w:tcPr>
          <w:p w14:paraId="5E8D3904" w14:textId="60D2E91D" w:rsidR="003C6890" w:rsidRPr="008B3F38" w:rsidRDefault="003C6890" w:rsidP="00025DC3">
            <w:pPr>
              <w:pStyle w:val="Tabletext"/>
              <w:ind w:left="284" w:hanging="284"/>
              <w:rPr>
                <w:sz w:val="18"/>
                <w:szCs w:val="18"/>
                <w:lang w:val="ru-RU"/>
              </w:rPr>
            </w:pPr>
            <w:r w:rsidRPr="008B3F38">
              <w:rPr>
                <w:color w:val="000000"/>
                <w:sz w:val="18"/>
                <w:szCs w:val="18"/>
                <w:lang w:val="ru-RU"/>
              </w:rPr>
              <w:t>a)</w:t>
            </w:r>
            <w:r w:rsidRPr="008B3F38">
              <w:rPr>
                <w:color w:val="000000"/>
                <w:sz w:val="18"/>
                <w:szCs w:val="18"/>
                <w:lang w:val="ru-RU"/>
              </w:rPr>
              <w:tab/>
              <w:t>Руководству усилить внутренний процесс проверки писем-подтверждений, касающихся остатков средств на текущих счетах, открытых на местном уровне, путем эффективной оценки информации, получаемой непосредственно от банков (например, писем-подтверждений или других альтернативных подтверждающих документов). В частности, для счетов, по которым мы ни разу не получали письма-подтверждения в течение 10 лет, а также в случае, когда уровень их получения был</w:t>
            </w:r>
            <w:r w:rsidR="008B3F38">
              <w:rPr>
                <w:color w:val="000000"/>
                <w:sz w:val="18"/>
                <w:szCs w:val="18"/>
                <w:lang w:val="ru-RU"/>
              </w:rPr>
              <w:t> </w:t>
            </w:r>
            <w:r w:rsidRPr="008B3F38">
              <w:rPr>
                <w:color w:val="000000"/>
                <w:sz w:val="18"/>
                <w:szCs w:val="18"/>
                <w:lang w:val="ru-RU"/>
              </w:rPr>
              <w:t>низким.</w:t>
            </w:r>
          </w:p>
          <w:p w14:paraId="6AD12A76" w14:textId="77777777" w:rsidR="003C6890" w:rsidRPr="008B3F38" w:rsidRDefault="003C6890" w:rsidP="00025DC3">
            <w:pPr>
              <w:pStyle w:val="Tabletext"/>
              <w:ind w:left="284" w:hanging="284"/>
              <w:rPr>
                <w:sz w:val="18"/>
                <w:szCs w:val="18"/>
                <w:lang w:val="ru-RU"/>
              </w:rPr>
            </w:pPr>
            <w:r w:rsidRPr="008B3F38">
              <w:rPr>
                <w:color w:val="000000"/>
                <w:sz w:val="18"/>
                <w:szCs w:val="18"/>
                <w:lang w:val="ru-RU"/>
              </w:rPr>
              <w:t>b)</w:t>
            </w:r>
            <w:r w:rsidRPr="008B3F38">
              <w:rPr>
                <w:color w:val="000000"/>
                <w:sz w:val="18"/>
                <w:szCs w:val="18"/>
                <w:lang w:val="ru-RU"/>
              </w:rPr>
              <w:tab/>
              <w:t>Незамедлительно приступить к комплексной проверке этих счетов на предмет правильности прав подписи и поиска потенциальных неучтенных обязательств путем проверки, проводимой подразделением, не зависимым от местного руководства, или, что еще лучше, независимым от персонала, непосредственно работающего со счетами. Результат этой работы, выполненной лицами, не зависимыми от персонала, участвующего в повседневном управлении, может не только повысить уровень внутреннего контроля в управлении денежными средствами на местах, но и снизить уровень репутационного риска, потенциально связанного с риском мошенничества, в особенности на местном уровне. Тем не менее, когда это необходимо, те же принципы должны действовать и на уровне штаб-квартиры.</w:t>
            </w:r>
          </w:p>
          <w:p w14:paraId="7556F32A" w14:textId="12B474E9" w:rsidR="003C6890" w:rsidRPr="008B3F38" w:rsidRDefault="003C6890" w:rsidP="00025DC3">
            <w:pPr>
              <w:pStyle w:val="Tabletext"/>
              <w:ind w:left="284" w:hanging="284"/>
              <w:rPr>
                <w:sz w:val="18"/>
                <w:szCs w:val="18"/>
                <w:lang w:val="ru-RU"/>
              </w:rPr>
            </w:pPr>
            <w:r w:rsidRPr="008B3F38">
              <w:rPr>
                <w:color w:val="000000"/>
                <w:sz w:val="18"/>
                <w:szCs w:val="18"/>
                <w:lang w:val="ru-RU"/>
              </w:rPr>
              <w:t>c)</w:t>
            </w:r>
            <w:r w:rsidRPr="008B3F38">
              <w:rPr>
                <w:color w:val="000000"/>
                <w:sz w:val="18"/>
                <w:szCs w:val="18"/>
                <w:lang w:val="ru-RU"/>
              </w:rPr>
              <w:tab/>
              <w:t xml:space="preserve">Руководству, в случае если возможно возникновение неприемлемого уровня рисков по некоторым из счетов, по которым ни разу не было получено прямого подтверждения, изучить возможность закрытия некоторых из этих счетов и/или </w:t>
            </w:r>
            <w:r w:rsidRPr="008B3F38">
              <w:rPr>
                <w:color w:val="000000"/>
                <w:sz w:val="18"/>
                <w:szCs w:val="18"/>
                <w:lang w:val="ru-RU"/>
              </w:rPr>
              <w:lastRenderedPageBreak/>
              <w:t>оценить возможность использования альтернативных вариантов, обеспечиваемых в системе ООН, если они будут сочтены эффективными и надежными (например, ПРООН), или другими учреждениями, действующими в этой</w:t>
            </w:r>
            <w:r w:rsidR="008B3F38">
              <w:rPr>
                <w:color w:val="000000"/>
                <w:sz w:val="18"/>
                <w:szCs w:val="18"/>
                <w:lang w:val="ru-RU"/>
              </w:rPr>
              <w:t> </w:t>
            </w:r>
            <w:r w:rsidRPr="008B3F38">
              <w:rPr>
                <w:color w:val="000000"/>
                <w:sz w:val="18"/>
                <w:szCs w:val="18"/>
                <w:lang w:val="ru-RU"/>
              </w:rPr>
              <w:t>области.</w:t>
            </w:r>
          </w:p>
        </w:tc>
        <w:tc>
          <w:tcPr>
            <w:tcW w:w="1661" w:type="pct"/>
            <w:gridSpan w:val="2"/>
            <w:shd w:val="clear" w:color="auto" w:fill="auto"/>
          </w:tcPr>
          <w:p w14:paraId="23BB8DAB" w14:textId="77777777" w:rsidR="003C6890" w:rsidRPr="008B3F38" w:rsidRDefault="003C6890" w:rsidP="00025DC3">
            <w:pPr>
              <w:pStyle w:val="Tabletext"/>
              <w:rPr>
                <w:sz w:val="18"/>
                <w:szCs w:val="18"/>
                <w:lang w:val="ru-RU"/>
              </w:rPr>
            </w:pPr>
            <w:r w:rsidRPr="008B3F38">
              <w:rPr>
                <w:color w:val="000000"/>
                <w:sz w:val="18"/>
                <w:szCs w:val="18"/>
                <w:lang w:val="ru-RU"/>
              </w:rPr>
              <w:lastRenderedPageBreak/>
              <w:t>Обновленная информация по состоянию на май 2024 г.: данную рекомендацию можно считать выполненной в виде постоянного процесса, который осуществляется с учетом изменений в составе персонала и условиях работы банка.</w:t>
            </w:r>
          </w:p>
        </w:tc>
        <w:tc>
          <w:tcPr>
            <w:tcW w:w="1139" w:type="pct"/>
            <w:gridSpan w:val="2"/>
            <w:shd w:val="clear" w:color="auto" w:fill="auto"/>
          </w:tcPr>
          <w:p w14:paraId="6D3692E3" w14:textId="128DDAE2" w:rsidR="003C6890" w:rsidRPr="008B3F38" w:rsidRDefault="003C6890" w:rsidP="00025DC3">
            <w:pPr>
              <w:pStyle w:val="Tabletext"/>
              <w:rPr>
                <w:sz w:val="18"/>
                <w:szCs w:val="18"/>
                <w:lang w:val="ru-RU"/>
              </w:rPr>
            </w:pPr>
            <w:r w:rsidRPr="008B3F38">
              <w:rPr>
                <w:color w:val="000000"/>
                <w:sz w:val="18"/>
                <w:szCs w:val="18"/>
                <w:lang w:val="ru-RU"/>
              </w:rPr>
              <w:t>Как отмечалось в отчете о</w:t>
            </w:r>
            <w:r w:rsidR="00D30E05" w:rsidRPr="008B3F38">
              <w:rPr>
                <w:color w:val="000000"/>
                <w:sz w:val="18"/>
                <w:szCs w:val="18"/>
                <w:lang w:val="ru-RU"/>
              </w:rPr>
              <w:t> </w:t>
            </w:r>
            <w:r w:rsidRPr="008B3F38">
              <w:rPr>
                <w:color w:val="000000"/>
                <w:sz w:val="18"/>
                <w:szCs w:val="18"/>
                <w:lang w:val="ru-RU"/>
              </w:rPr>
              <w:t xml:space="preserve">выполненной аудиторской проверке для руководства и IMAC за этот год, </w:t>
            </w:r>
            <w:r w:rsidRPr="008B3F38">
              <w:rPr>
                <w:b/>
                <w:bCs/>
                <w:color w:val="000000"/>
                <w:sz w:val="18"/>
                <w:szCs w:val="18"/>
                <w:lang w:val="ru-RU"/>
              </w:rPr>
              <w:t>мы выявили некоторые серьезные недостатки контроля, связанные с "лицами, уполномоченными ставить подпись в банках", поэтому мы дали рекомендации руководству по устранению этих недостатков</w:t>
            </w:r>
            <w:r w:rsidRPr="008B3F38">
              <w:rPr>
                <w:color w:val="000000"/>
                <w:sz w:val="18"/>
                <w:szCs w:val="18"/>
                <w:lang w:val="ru-RU"/>
              </w:rPr>
              <w:t>.</w:t>
            </w:r>
          </w:p>
        </w:tc>
        <w:tc>
          <w:tcPr>
            <w:tcW w:w="440" w:type="pct"/>
            <w:shd w:val="clear" w:color="auto" w:fill="auto"/>
          </w:tcPr>
          <w:p w14:paraId="61AE1064" w14:textId="77777777" w:rsidR="003C6890" w:rsidRPr="008B3F38" w:rsidRDefault="003C6890" w:rsidP="00025DC3">
            <w:pPr>
              <w:pStyle w:val="Tabletext"/>
              <w:rPr>
                <w:sz w:val="18"/>
                <w:szCs w:val="18"/>
                <w:lang w:val="ru-RU"/>
              </w:rPr>
            </w:pPr>
            <w:r w:rsidRPr="008B3F38">
              <w:rPr>
                <w:color w:val="000000"/>
                <w:sz w:val="18"/>
                <w:szCs w:val="18"/>
                <w:lang w:val="ru-RU"/>
              </w:rPr>
              <w:t>Закрыта, с оговоркой.</w:t>
            </w:r>
          </w:p>
        </w:tc>
      </w:tr>
      <w:tr w:rsidR="00411F7C" w:rsidRPr="008B3F38" w14:paraId="6A9EB2A4" w14:textId="77777777" w:rsidTr="008A2FDE">
        <w:trPr>
          <w:jc w:val="center"/>
        </w:trPr>
        <w:tc>
          <w:tcPr>
            <w:tcW w:w="353" w:type="pct"/>
            <w:shd w:val="clear" w:color="auto" w:fill="auto"/>
          </w:tcPr>
          <w:p w14:paraId="3940935D" w14:textId="77777777" w:rsidR="003C6890" w:rsidRPr="008B3F38" w:rsidRDefault="003C6890" w:rsidP="00025DC3">
            <w:pPr>
              <w:pStyle w:val="Tabletext"/>
              <w:rPr>
                <w:sz w:val="18"/>
                <w:szCs w:val="18"/>
                <w:lang w:val="ru-RU"/>
              </w:rPr>
            </w:pPr>
            <w:r w:rsidRPr="008B3F38">
              <w:rPr>
                <w:color w:val="000000"/>
                <w:sz w:val="18"/>
                <w:szCs w:val="18"/>
                <w:lang w:val="ru-RU"/>
              </w:rPr>
              <w:t>2021 г.</w:t>
            </w:r>
            <w:r w:rsidRPr="008B3F38">
              <w:rPr>
                <w:color w:val="000000"/>
                <w:sz w:val="18"/>
                <w:szCs w:val="18"/>
                <w:lang w:val="ru-RU"/>
              </w:rPr>
              <w:br/>
              <w:t>РЕК4</w:t>
            </w:r>
          </w:p>
        </w:tc>
        <w:tc>
          <w:tcPr>
            <w:tcW w:w="1407" w:type="pct"/>
            <w:shd w:val="clear" w:color="auto" w:fill="auto"/>
          </w:tcPr>
          <w:p w14:paraId="7D622588" w14:textId="67BDF0CA" w:rsidR="003C6890" w:rsidRPr="008B3F38" w:rsidRDefault="001D6BAF" w:rsidP="00025DC3">
            <w:pPr>
              <w:pStyle w:val="Tabletext"/>
              <w:rPr>
                <w:sz w:val="18"/>
                <w:szCs w:val="18"/>
                <w:lang w:val="ru-RU"/>
              </w:rPr>
            </w:pPr>
            <w:r w:rsidRPr="008B3F38">
              <w:rPr>
                <w:color w:val="000000"/>
                <w:sz w:val="18"/>
                <w:szCs w:val="18"/>
                <w:lang w:val="ru-RU"/>
              </w:rPr>
              <w:t xml:space="preserve">Снизить </w:t>
            </w:r>
            <w:r w:rsidR="003C6890" w:rsidRPr="008B3F38">
              <w:rPr>
                <w:color w:val="000000"/>
                <w:sz w:val="18"/>
                <w:szCs w:val="18"/>
                <w:lang w:val="ru-RU"/>
              </w:rPr>
              <w:t>этот порог или, чтобы свести к минимуму риски, рассмотреть возможность его отмены, разрешая банковские операции только тогда, когда гарантируется двойная подпись</w:t>
            </w:r>
            <w:r w:rsidR="0008331E" w:rsidRPr="008B3F38">
              <w:rPr>
                <w:color w:val="000000"/>
                <w:sz w:val="18"/>
                <w:szCs w:val="18"/>
                <w:lang w:val="ru-RU"/>
              </w:rPr>
              <w:t>.</w:t>
            </w:r>
          </w:p>
        </w:tc>
        <w:tc>
          <w:tcPr>
            <w:tcW w:w="1661" w:type="pct"/>
            <w:gridSpan w:val="2"/>
            <w:shd w:val="clear" w:color="auto" w:fill="auto"/>
          </w:tcPr>
          <w:p w14:paraId="3946CEF0" w14:textId="510F5E3D" w:rsidR="003C6890" w:rsidRPr="008B3F38" w:rsidRDefault="003C6890" w:rsidP="00025DC3">
            <w:pPr>
              <w:pStyle w:val="Tabletext"/>
              <w:rPr>
                <w:sz w:val="18"/>
                <w:szCs w:val="18"/>
                <w:lang w:val="ru-RU"/>
              </w:rPr>
            </w:pPr>
            <w:r w:rsidRPr="008B3F38">
              <w:rPr>
                <w:color w:val="000000"/>
                <w:sz w:val="18"/>
                <w:szCs w:val="18"/>
                <w:lang w:val="ru-RU"/>
              </w:rPr>
              <w:t>Обновленная информация по состоянию на май 2025 г.: выполнение данной рекомендации может быть затруднительным. В некоторых отделениях может быть только один сотрудник категории специалистов. В случае систематического применения этой рекомендации существует риск нанести ущерб работе отделения. В</w:t>
            </w:r>
            <w:r w:rsidR="001D6BAF" w:rsidRPr="008B3F38">
              <w:rPr>
                <w:color w:val="000000"/>
                <w:sz w:val="18"/>
                <w:szCs w:val="18"/>
                <w:lang w:val="ru-RU"/>
              </w:rPr>
              <w:t> </w:t>
            </w:r>
            <w:r w:rsidRPr="008B3F38">
              <w:rPr>
                <w:color w:val="000000"/>
                <w:sz w:val="18"/>
                <w:szCs w:val="18"/>
                <w:lang w:val="ru-RU"/>
              </w:rPr>
              <w:t>подобных ситуациях должна быть гарантирована гибкость на временной основе.</w:t>
            </w:r>
          </w:p>
        </w:tc>
        <w:tc>
          <w:tcPr>
            <w:tcW w:w="1139" w:type="pct"/>
            <w:gridSpan w:val="2"/>
            <w:shd w:val="clear" w:color="auto" w:fill="auto"/>
          </w:tcPr>
          <w:p w14:paraId="6C7DA2D4" w14:textId="77777777" w:rsidR="003C6890" w:rsidRPr="008B3F38" w:rsidRDefault="003C6890" w:rsidP="00025DC3">
            <w:pPr>
              <w:pStyle w:val="Tabletext"/>
              <w:rPr>
                <w:sz w:val="18"/>
                <w:szCs w:val="18"/>
                <w:lang w:val="ru-RU"/>
              </w:rPr>
            </w:pPr>
            <w:r w:rsidRPr="008B3F38">
              <w:rPr>
                <w:color w:val="000000"/>
                <w:sz w:val="18"/>
                <w:szCs w:val="18"/>
                <w:lang w:val="ru-RU"/>
              </w:rPr>
              <w:t>Последний ответ принят к сведению и признан обоснованным. Рекомендация выполнена.</w:t>
            </w:r>
          </w:p>
        </w:tc>
        <w:tc>
          <w:tcPr>
            <w:tcW w:w="440" w:type="pct"/>
            <w:shd w:val="clear" w:color="auto" w:fill="auto"/>
          </w:tcPr>
          <w:p w14:paraId="2ADC9075" w14:textId="77777777" w:rsidR="003C6890" w:rsidRPr="008B3F38" w:rsidRDefault="003C6890" w:rsidP="00025DC3">
            <w:pPr>
              <w:pStyle w:val="Tabletext"/>
              <w:rPr>
                <w:sz w:val="18"/>
                <w:szCs w:val="18"/>
                <w:lang w:val="ru-RU"/>
              </w:rPr>
            </w:pPr>
            <w:r w:rsidRPr="008B3F38">
              <w:rPr>
                <w:color w:val="000000"/>
                <w:sz w:val="18"/>
                <w:szCs w:val="18"/>
                <w:lang w:val="ru-RU"/>
              </w:rPr>
              <w:t>Закрыта.</w:t>
            </w:r>
          </w:p>
        </w:tc>
      </w:tr>
      <w:tr w:rsidR="00411F7C" w:rsidRPr="008B3F38" w14:paraId="3A44F375" w14:textId="77777777" w:rsidTr="008A2FDE">
        <w:trPr>
          <w:jc w:val="center"/>
        </w:trPr>
        <w:tc>
          <w:tcPr>
            <w:tcW w:w="353" w:type="pct"/>
            <w:shd w:val="clear" w:color="auto" w:fill="auto"/>
          </w:tcPr>
          <w:p w14:paraId="65382B1F" w14:textId="77777777" w:rsidR="003C6890" w:rsidRPr="008B3F38" w:rsidRDefault="003C6890" w:rsidP="00025DC3">
            <w:pPr>
              <w:pStyle w:val="Tabletext"/>
              <w:rPr>
                <w:sz w:val="18"/>
                <w:szCs w:val="18"/>
                <w:lang w:val="ru-RU"/>
              </w:rPr>
            </w:pPr>
            <w:r w:rsidRPr="008B3F38">
              <w:rPr>
                <w:color w:val="000000"/>
                <w:sz w:val="18"/>
                <w:szCs w:val="18"/>
                <w:lang w:val="ru-RU"/>
              </w:rPr>
              <w:t>2021 г.</w:t>
            </w:r>
            <w:r w:rsidRPr="008B3F38">
              <w:rPr>
                <w:color w:val="000000"/>
                <w:sz w:val="18"/>
                <w:szCs w:val="18"/>
                <w:lang w:val="ru-RU"/>
              </w:rPr>
              <w:br/>
              <w:t>РЕК5</w:t>
            </w:r>
          </w:p>
        </w:tc>
        <w:tc>
          <w:tcPr>
            <w:tcW w:w="1407" w:type="pct"/>
            <w:shd w:val="clear" w:color="auto" w:fill="auto"/>
          </w:tcPr>
          <w:p w14:paraId="36DB3388" w14:textId="2103D45A" w:rsidR="003C6890" w:rsidRPr="008B3F38" w:rsidRDefault="003C6890" w:rsidP="00025DC3">
            <w:pPr>
              <w:pStyle w:val="Tabletext"/>
              <w:rPr>
                <w:sz w:val="18"/>
                <w:szCs w:val="18"/>
                <w:lang w:val="ru-RU"/>
              </w:rPr>
            </w:pPr>
            <w:r w:rsidRPr="008B3F38">
              <w:rPr>
                <w:color w:val="000000"/>
                <w:sz w:val="18"/>
                <w:szCs w:val="18"/>
                <w:lang w:val="ru-RU"/>
              </w:rPr>
              <w:t>Рекомендуем провести новую оценку зданий, с тем чтобы убедиться в том, что сумма, указанная в счетах, все еще является</w:t>
            </w:r>
            <w:r w:rsidR="0008331E" w:rsidRPr="008B3F38">
              <w:rPr>
                <w:color w:val="000000"/>
                <w:sz w:val="18"/>
                <w:szCs w:val="18"/>
                <w:lang w:val="ru-RU"/>
              </w:rPr>
              <w:t> </w:t>
            </w:r>
            <w:r w:rsidRPr="008B3F38">
              <w:rPr>
                <w:color w:val="000000"/>
                <w:sz w:val="18"/>
                <w:szCs w:val="18"/>
                <w:lang w:val="ru-RU"/>
              </w:rPr>
              <w:t>адекватной.</w:t>
            </w:r>
          </w:p>
        </w:tc>
        <w:tc>
          <w:tcPr>
            <w:tcW w:w="1661" w:type="pct"/>
            <w:gridSpan w:val="2"/>
            <w:shd w:val="clear" w:color="auto" w:fill="auto"/>
          </w:tcPr>
          <w:p w14:paraId="1254B822" w14:textId="4555A9F6" w:rsidR="003C6890" w:rsidRPr="008B3F38" w:rsidRDefault="003C6890" w:rsidP="00025DC3">
            <w:pPr>
              <w:pStyle w:val="Tabletext"/>
              <w:rPr>
                <w:sz w:val="18"/>
                <w:szCs w:val="18"/>
                <w:lang w:val="ru-RU"/>
              </w:rPr>
            </w:pPr>
            <w:r w:rsidRPr="008B3F38">
              <w:rPr>
                <w:color w:val="000000"/>
                <w:sz w:val="18"/>
                <w:szCs w:val="18"/>
                <w:lang w:val="ru-RU"/>
              </w:rPr>
              <w:t>Руководство МСЭ считает, что данный вопрос следует отложить до начала процедуры продажи здания</w:t>
            </w:r>
            <w:r w:rsidR="0008331E" w:rsidRPr="008B3F38">
              <w:rPr>
                <w:color w:val="000000"/>
                <w:sz w:val="18"/>
                <w:szCs w:val="18"/>
                <w:lang w:val="ru-RU"/>
              </w:rPr>
              <w:t> </w:t>
            </w:r>
            <w:r w:rsidRPr="008B3F38">
              <w:rPr>
                <w:color w:val="000000"/>
                <w:sz w:val="18"/>
                <w:szCs w:val="18"/>
                <w:lang w:val="ru-RU"/>
              </w:rPr>
              <w:t>"Башня".</w:t>
            </w:r>
          </w:p>
        </w:tc>
        <w:tc>
          <w:tcPr>
            <w:tcW w:w="1139" w:type="pct"/>
            <w:gridSpan w:val="2"/>
            <w:shd w:val="clear" w:color="auto" w:fill="auto"/>
          </w:tcPr>
          <w:p w14:paraId="5728AE04" w14:textId="77777777" w:rsidR="003C6890" w:rsidRPr="008B3F38" w:rsidRDefault="003C6890" w:rsidP="00025DC3">
            <w:pPr>
              <w:pStyle w:val="Tabletext"/>
              <w:rPr>
                <w:sz w:val="18"/>
                <w:szCs w:val="18"/>
                <w:lang w:val="ru-RU"/>
              </w:rPr>
            </w:pPr>
            <w:r w:rsidRPr="008B3F38">
              <w:rPr>
                <w:color w:val="000000"/>
                <w:sz w:val="18"/>
                <w:szCs w:val="18"/>
                <w:lang w:val="ru-RU"/>
              </w:rPr>
              <w:t>Мы полагаем, что находящиеся в эксплуатации существующие здания надлежащим образом учтены по первоначальной стоимости в соответствии со стандартами IPSAS и установленной учетной политикой МСЭ. Мы дали подробные рекомендации руководству по признанию будущих затрат на "новые" здания.</w:t>
            </w:r>
          </w:p>
        </w:tc>
        <w:tc>
          <w:tcPr>
            <w:tcW w:w="440" w:type="pct"/>
            <w:shd w:val="clear" w:color="auto" w:fill="auto"/>
          </w:tcPr>
          <w:p w14:paraId="4EA8BC19" w14:textId="77777777" w:rsidR="003C6890" w:rsidRPr="008B3F38" w:rsidRDefault="003C6890" w:rsidP="00025DC3">
            <w:pPr>
              <w:pStyle w:val="Tabletext"/>
              <w:rPr>
                <w:sz w:val="18"/>
                <w:szCs w:val="18"/>
                <w:lang w:val="ru-RU"/>
              </w:rPr>
            </w:pPr>
            <w:r w:rsidRPr="008B3F38">
              <w:rPr>
                <w:color w:val="000000"/>
                <w:sz w:val="18"/>
                <w:szCs w:val="18"/>
                <w:lang w:val="ru-RU"/>
              </w:rPr>
              <w:t>Закрыта.</w:t>
            </w:r>
          </w:p>
        </w:tc>
      </w:tr>
      <w:tr w:rsidR="00411F7C" w:rsidRPr="008B3F38" w14:paraId="4E7B1F46" w14:textId="77777777" w:rsidTr="008A2FDE">
        <w:trPr>
          <w:jc w:val="center"/>
        </w:trPr>
        <w:tc>
          <w:tcPr>
            <w:tcW w:w="353" w:type="pct"/>
            <w:shd w:val="clear" w:color="auto" w:fill="auto"/>
          </w:tcPr>
          <w:p w14:paraId="023CAA52" w14:textId="77777777" w:rsidR="003C6890" w:rsidRPr="008B3F38" w:rsidRDefault="003C6890" w:rsidP="00025DC3">
            <w:pPr>
              <w:pStyle w:val="Tabletext"/>
              <w:rPr>
                <w:sz w:val="18"/>
                <w:szCs w:val="18"/>
                <w:lang w:val="ru-RU"/>
              </w:rPr>
            </w:pPr>
            <w:r w:rsidRPr="008B3F38">
              <w:rPr>
                <w:color w:val="000000"/>
                <w:sz w:val="18"/>
                <w:szCs w:val="18"/>
                <w:lang w:val="ru-RU"/>
              </w:rPr>
              <w:t>2021 г.</w:t>
            </w:r>
            <w:r w:rsidRPr="008B3F38">
              <w:rPr>
                <w:color w:val="000000"/>
                <w:sz w:val="18"/>
                <w:szCs w:val="18"/>
                <w:lang w:val="ru-RU"/>
              </w:rPr>
              <w:br/>
              <w:t>РЕК6</w:t>
            </w:r>
          </w:p>
        </w:tc>
        <w:tc>
          <w:tcPr>
            <w:tcW w:w="1407" w:type="pct"/>
            <w:shd w:val="clear" w:color="auto" w:fill="auto"/>
          </w:tcPr>
          <w:p w14:paraId="58E97AFE" w14:textId="0266293F" w:rsidR="001D6BAF" w:rsidRPr="008B3F38" w:rsidRDefault="003C6890" w:rsidP="00025DC3">
            <w:pPr>
              <w:pStyle w:val="Tabletext"/>
              <w:rPr>
                <w:color w:val="000000"/>
                <w:sz w:val="18"/>
                <w:szCs w:val="18"/>
                <w:lang w:val="ru-RU"/>
              </w:rPr>
            </w:pPr>
            <w:r w:rsidRPr="008B3F38">
              <w:rPr>
                <w:color w:val="000000"/>
                <w:sz w:val="18"/>
                <w:szCs w:val="18"/>
                <w:lang w:val="ru-RU"/>
              </w:rPr>
              <w:t>Руководству МСЭ незамедлительно:</w:t>
            </w:r>
          </w:p>
          <w:p w14:paraId="4BF28821" w14:textId="5EDEA28B" w:rsidR="001D6BAF" w:rsidRPr="008B3F38" w:rsidRDefault="003C6890" w:rsidP="00025DC3">
            <w:pPr>
              <w:pStyle w:val="Tabletext"/>
              <w:ind w:left="284" w:hanging="284"/>
              <w:rPr>
                <w:color w:val="000000"/>
                <w:sz w:val="18"/>
                <w:szCs w:val="18"/>
                <w:lang w:val="ru-RU"/>
              </w:rPr>
            </w:pPr>
            <w:r w:rsidRPr="008B3F38">
              <w:rPr>
                <w:color w:val="000000"/>
                <w:sz w:val="18"/>
                <w:szCs w:val="18"/>
                <w:lang w:val="ru-RU"/>
              </w:rPr>
              <w:t>a)</w:t>
            </w:r>
            <w:r w:rsidR="001D6BAF" w:rsidRPr="008B3F38">
              <w:rPr>
                <w:color w:val="000000"/>
                <w:sz w:val="18"/>
                <w:szCs w:val="18"/>
                <w:lang w:val="ru-RU"/>
              </w:rPr>
              <w:tab/>
            </w:r>
            <w:r w:rsidRPr="008B3F38">
              <w:rPr>
                <w:color w:val="000000"/>
                <w:sz w:val="18"/>
                <w:szCs w:val="18"/>
                <w:lang w:val="ru-RU"/>
              </w:rPr>
              <w:t>представить Совету план по людским ресурсам с указанием того, как было перераспределено "рабочее время персонала МСЭ и Telecom" и как оно будет перераспределено на осуществление основных видов деятельности МСЭ;</w:t>
            </w:r>
          </w:p>
          <w:p w14:paraId="3F887D90" w14:textId="21C2CAEC" w:rsidR="001D6BAF" w:rsidRPr="008B3F38" w:rsidRDefault="003C6890" w:rsidP="00025DC3">
            <w:pPr>
              <w:pStyle w:val="Tabletext"/>
              <w:ind w:left="284" w:hanging="284"/>
              <w:rPr>
                <w:color w:val="000000"/>
                <w:sz w:val="18"/>
                <w:szCs w:val="18"/>
                <w:lang w:val="ru-RU"/>
              </w:rPr>
            </w:pPr>
            <w:r w:rsidRPr="008B3F38">
              <w:rPr>
                <w:color w:val="000000"/>
                <w:sz w:val="18"/>
                <w:szCs w:val="18"/>
                <w:lang w:val="ru-RU"/>
              </w:rPr>
              <w:t>b)</w:t>
            </w:r>
            <w:r w:rsidR="001D6BAF" w:rsidRPr="008B3F38">
              <w:rPr>
                <w:color w:val="000000"/>
                <w:sz w:val="18"/>
                <w:szCs w:val="18"/>
                <w:lang w:val="ru-RU"/>
              </w:rPr>
              <w:tab/>
            </w:r>
            <w:r w:rsidRPr="008B3F38">
              <w:rPr>
                <w:color w:val="000000"/>
                <w:sz w:val="18"/>
                <w:szCs w:val="18"/>
                <w:lang w:val="ru-RU"/>
              </w:rPr>
              <w:t xml:space="preserve">поставить перед всеми сотрудниками, перераспределенными на работу по линии Telecom, четкие и поддающиеся измерению задачи и, когда эти сотрудники будут задействованы в деятельности МСЭ, изучить вопрос о том, как они смогут участвовать, при необходимости, в будущей </w:t>
            </w:r>
            <w:r w:rsidRPr="008B3F38">
              <w:rPr>
                <w:color w:val="000000"/>
                <w:sz w:val="18"/>
                <w:szCs w:val="18"/>
                <w:lang w:val="ru-RU"/>
              </w:rPr>
              <w:lastRenderedPageBreak/>
              <w:t>деятельности в рамках Telecom, не нарушая непрерывность основной деятельности</w:t>
            </w:r>
            <w:r w:rsidR="0008331E" w:rsidRPr="008B3F38">
              <w:rPr>
                <w:color w:val="000000"/>
                <w:sz w:val="18"/>
                <w:szCs w:val="18"/>
                <w:lang w:val="ru-RU"/>
              </w:rPr>
              <w:t> </w:t>
            </w:r>
            <w:r w:rsidRPr="008B3F38">
              <w:rPr>
                <w:color w:val="000000"/>
                <w:sz w:val="18"/>
                <w:szCs w:val="18"/>
                <w:lang w:val="ru-RU"/>
              </w:rPr>
              <w:t>МСЭ;</w:t>
            </w:r>
          </w:p>
          <w:p w14:paraId="28E2F5C0" w14:textId="1E0EA7A8" w:rsidR="001D6BAF" w:rsidRPr="008B3F38" w:rsidRDefault="003C6890" w:rsidP="00025DC3">
            <w:pPr>
              <w:pStyle w:val="Tabletext"/>
              <w:ind w:left="284" w:hanging="284"/>
              <w:rPr>
                <w:color w:val="000000"/>
                <w:sz w:val="18"/>
                <w:szCs w:val="18"/>
                <w:lang w:val="ru-RU"/>
              </w:rPr>
            </w:pPr>
            <w:r w:rsidRPr="008B3F38">
              <w:rPr>
                <w:color w:val="000000"/>
                <w:sz w:val="18"/>
                <w:szCs w:val="18"/>
                <w:lang w:val="ru-RU"/>
              </w:rPr>
              <w:t>с)</w:t>
            </w:r>
            <w:r w:rsidR="001D6BAF" w:rsidRPr="008B3F38">
              <w:rPr>
                <w:color w:val="000000"/>
                <w:sz w:val="18"/>
                <w:szCs w:val="18"/>
                <w:lang w:val="ru-RU"/>
              </w:rPr>
              <w:tab/>
            </w:r>
            <w:r w:rsidRPr="008B3F38">
              <w:rPr>
                <w:color w:val="000000"/>
                <w:sz w:val="18"/>
                <w:szCs w:val="18"/>
                <w:lang w:val="ru-RU"/>
              </w:rPr>
              <w:t>начать проведение независимой внутренней оценки с целью определить, имела ли место недостаточная или неполная рабочая загрузка персонала МСЭ или Telecom и/или недостаточная поддержка со стороны руководства в переходе от выполнения функций, связанных с Telecom, к работе над другими задачами МСЭ, с тем чтобы компенсировать работу, не выполненную по линии Telecom (будь то полная или частичная занятость). В</w:t>
            </w:r>
            <w:r w:rsidR="001D6BAF" w:rsidRPr="008B3F38">
              <w:rPr>
                <w:color w:val="000000"/>
                <w:sz w:val="18"/>
                <w:szCs w:val="18"/>
                <w:lang w:val="ru-RU"/>
              </w:rPr>
              <w:t> </w:t>
            </w:r>
            <w:r w:rsidRPr="008B3F38">
              <w:rPr>
                <w:color w:val="000000"/>
                <w:sz w:val="18"/>
                <w:szCs w:val="18"/>
                <w:lang w:val="ru-RU"/>
              </w:rPr>
              <w:t>случае недостаточной рабочей загрузки следует провести оценку с целью установить, не несет ли за это ответственность руководство;</w:t>
            </w:r>
          </w:p>
          <w:p w14:paraId="6C5EC4F5" w14:textId="1F07FCB2" w:rsidR="003C6890" w:rsidRPr="008B3F38" w:rsidRDefault="003C6890" w:rsidP="00025DC3">
            <w:pPr>
              <w:pStyle w:val="Tabletext"/>
              <w:ind w:left="284" w:hanging="284"/>
              <w:rPr>
                <w:sz w:val="18"/>
                <w:szCs w:val="18"/>
                <w:lang w:val="ru-RU"/>
              </w:rPr>
            </w:pPr>
            <w:r w:rsidRPr="008B3F38">
              <w:rPr>
                <w:color w:val="000000"/>
                <w:sz w:val="18"/>
                <w:szCs w:val="18"/>
                <w:lang w:val="ru-RU"/>
              </w:rPr>
              <w:t>d)</w:t>
            </w:r>
            <w:r w:rsidR="001D6BAF" w:rsidRPr="008B3F38">
              <w:rPr>
                <w:color w:val="000000"/>
                <w:sz w:val="18"/>
                <w:szCs w:val="18"/>
                <w:lang w:val="ru-RU"/>
              </w:rPr>
              <w:tab/>
            </w:r>
            <w:r w:rsidRPr="008B3F38">
              <w:rPr>
                <w:color w:val="000000"/>
                <w:sz w:val="18"/>
                <w:szCs w:val="18"/>
                <w:lang w:val="ru-RU"/>
              </w:rPr>
              <w:t>оценить, насколько контракты, которые были подписаны с персоналом Telecom в прошлом (и все еще действуют) и которые будут, как предполагается, подписаны в будущем, соответствуют целям Telecom: например, с учетом того что мероприятие Telecom проводится на ежегодной основе, персонал не может наниматься на срок более одного года и т. п. После проведения оценки мы также рекомендуем руководству принять меры для соблюдения и надлежащей реализации графика</w:t>
            </w:r>
            <w:r w:rsidR="0008331E" w:rsidRPr="008B3F38">
              <w:rPr>
                <w:color w:val="000000"/>
                <w:sz w:val="18"/>
                <w:szCs w:val="18"/>
                <w:lang w:val="ru-RU"/>
              </w:rPr>
              <w:t> </w:t>
            </w:r>
            <w:r w:rsidRPr="008B3F38">
              <w:rPr>
                <w:color w:val="000000"/>
                <w:sz w:val="18"/>
                <w:szCs w:val="18"/>
                <w:lang w:val="ru-RU"/>
              </w:rPr>
              <w:t>мероприятия.</w:t>
            </w:r>
          </w:p>
        </w:tc>
        <w:tc>
          <w:tcPr>
            <w:tcW w:w="1661" w:type="pct"/>
            <w:gridSpan w:val="2"/>
            <w:shd w:val="clear" w:color="auto" w:fill="auto"/>
          </w:tcPr>
          <w:p w14:paraId="0AB6DB8D" w14:textId="5549A6C0" w:rsidR="003C6890" w:rsidRPr="008B3F38" w:rsidRDefault="003C6890" w:rsidP="00025DC3">
            <w:pPr>
              <w:pStyle w:val="Tabletext"/>
              <w:rPr>
                <w:sz w:val="18"/>
                <w:szCs w:val="18"/>
                <w:lang w:val="ru-RU"/>
              </w:rPr>
            </w:pPr>
            <w:r w:rsidRPr="008B3F38">
              <w:rPr>
                <w:color w:val="000000"/>
                <w:sz w:val="18"/>
                <w:szCs w:val="18"/>
                <w:lang w:val="ru-RU"/>
              </w:rPr>
              <w:lastRenderedPageBreak/>
              <w:t>Обновленная информация по состоянию на февраль 2025 г.: влияние пандемии COVID на мероприятия Telecom было рассмотрено в Отчете Председателя Постоянного комитета по администрированию и управлению для Совета в 2022 году (</w:t>
            </w:r>
            <w:hyperlink r:id="rId25" w:history="1">
              <w:r w:rsidRPr="008B3F38">
                <w:rPr>
                  <w:rStyle w:val="Hyperlink"/>
                  <w:sz w:val="18"/>
                  <w:szCs w:val="18"/>
                  <w:lang w:val="ru-RU"/>
                </w:rPr>
                <w:t>C22/88</w:t>
              </w:r>
            </w:hyperlink>
            <w:r w:rsidRPr="008B3F38">
              <w:rPr>
                <w:color w:val="000000"/>
                <w:sz w:val="18"/>
                <w:szCs w:val="18"/>
                <w:lang w:val="ru-RU"/>
              </w:rPr>
              <w:t>) (на основе сведений, представленных в Отчете о финансовой деятельности за 2020 год (</w:t>
            </w:r>
            <w:hyperlink r:id="rId26" w:history="1">
              <w:r w:rsidRPr="008B3F38">
                <w:rPr>
                  <w:rStyle w:val="Hyperlink"/>
                  <w:sz w:val="18"/>
                  <w:szCs w:val="18"/>
                  <w:lang w:val="ru-RU"/>
                </w:rPr>
                <w:t>C22/42</w:t>
              </w:r>
            </w:hyperlink>
            <w:r w:rsidRPr="008B3F38">
              <w:rPr>
                <w:color w:val="000000"/>
                <w:sz w:val="18"/>
                <w:szCs w:val="18"/>
                <w:lang w:val="ru-RU"/>
              </w:rPr>
              <w:t>)). В отчете, в частности, содержится подробная информация о менее масштабных мероприятиях ITU Digital World 2020 и 2021</w:t>
            </w:r>
            <w:r w:rsidR="001D6BAF" w:rsidRPr="008B3F38">
              <w:rPr>
                <w:color w:val="000000"/>
                <w:sz w:val="18"/>
                <w:szCs w:val="18"/>
                <w:lang w:val="ru-RU"/>
              </w:rPr>
              <w:t> </w:t>
            </w:r>
            <w:r w:rsidRPr="008B3F38">
              <w:rPr>
                <w:color w:val="000000"/>
                <w:sz w:val="18"/>
                <w:szCs w:val="18"/>
                <w:lang w:val="ru-RU"/>
              </w:rPr>
              <w:t>года, в том числе об управлении персоналом, например о перераспределении сотрудников, переводе в другие подразделения, и связанных с этим затратах.</w:t>
            </w:r>
          </w:p>
          <w:p w14:paraId="24117409" w14:textId="77777777" w:rsidR="003C6890" w:rsidRPr="008B3F38" w:rsidRDefault="003C6890" w:rsidP="00025DC3">
            <w:pPr>
              <w:pStyle w:val="Tabletext"/>
              <w:rPr>
                <w:sz w:val="18"/>
                <w:szCs w:val="18"/>
                <w:lang w:val="ru-RU"/>
              </w:rPr>
            </w:pPr>
            <w:r w:rsidRPr="008B3F38">
              <w:rPr>
                <w:color w:val="000000"/>
                <w:sz w:val="18"/>
                <w:szCs w:val="18"/>
                <w:lang w:val="ru-RU"/>
              </w:rPr>
              <w:lastRenderedPageBreak/>
              <w:t>МСЭ рекомендует перевести настоящую рекомендацию в статус выполненной, в частности ввиду прекращения мероприятий Telecom.</w:t>
            </w:r>
          </w:p>
          <w:p w14:paraId="4C9D3F81" w14:textId="2793743A" w:rsidR="003C6890" w:rsidRPr="008B3F38" w:rsidRDefault="003C6890" w:rsidP="00025DC3">
            <w:pPr>
              <w:pStyle w:val="Tabletext"/>
              <w:rPr>
                <w:sz w:val="18"/>
                <w:szCs w:val="18"/>
                <w:lang w:val="ru-RU"/>
              </w:rPr>
            </w:pPr>
            <w:r w:rsidRPr="008B3F38">
              <w:rPr>
                <w:color w:val="000000"/>
                <w:sz w:val="18"/>
                <w:szCs w:val="18"/>
                <w:lang w:val="ru-RU"/>
              </w:rPr>
              <w:t>Деятельность Telecom была прекращена в соответствии с Резолюцией 11, принятой на ПК-22. Данная</w:t>
            </w:r>
            <w:r w:rsidR="0008331E" w:rsidRPr="008B3F38">
              <w:rPr>
                <w:color w:val="000000"/>
                <w:sz w:val="18"/>
                <w:szCs w:val="18"/>
                <w:lang w:val="ru-RU"/>
              </w:rPr>
              <w:t> </w:t>
            </w:r>
            <w:r w:rsidRPr="008B3F38">
              <w:rPr>
                <w:color w:val="000000"/>
                <w:sz w:val="18"/>
                <w:szCs w:val="18"/>
                <w:lang w:val="ru-RU"/>
              </w:rPr>
              <w:t>рекомендация более не актуальна.</w:t>
            </w:r>
          </w:p>
        </w:tc>
        <w:tc>
          <w:tcPr>
            <w:tcW w:w="1139" w:type="pct"/>
            <w:gridSpan w:val="2"/>
            <w:shd w:val="clear" w:color="auto" w:fill="auto"/>
          </w:tcPr>
          <w:p w14:paraId="479A2795" w14:textId="0155FA40" w:rsidR="003C6890" w:rsidRPr="008B3F38" w:rsidRDefault="003C6890" w:rsidP="00025DC3">
            <w:pPr>
              <w:pStyle w:val="Tabletext"/>
              <w:rPr>
                <w:sz w:val="18"/>
                <w:szCs w:val="18"/>
                <w:lang w:val="ru-RU"/>
              </w:rPr>
            </w:pPr>
            <w:r w:rsidRPr="008B3F38">
              <w:rPr>
                <w:color w:val="000000"/>
                <w:sz w:val="18"/>
                <w:szCs w:val="18"/>
                <w:lang w:val="ru-RU"/>
              </w:rPr>
              <w:lastRenderedPageBreak/>
              <w:t>Учитывая рекомендацию, касающуюся деятельности Telecom, и то, что эта деятельность была прекращена, рекомендацию целесообразно перевести в статус</w:t>
            </w:r>
            <w:r w:rsidR="008B3F38">
              <w:rPr>
                <w:color w:val="000000"/>
                <w:sz w:val="18"/>
                <w:szCs w:val="18"/>
                <w:lang w:val="ru-RU"/>
              </w:rPr>
              <w:t> </w:t>
            </w:r>
            <w:r w:rsidRPr="008B3F38">
              <w:rPr>
                <w:color w:val="000000"/>
                <w:sz w:val="18"/>
                <w:szCs w:val="18"/>
                <w:lang w:val="ru-RU"/>
              </w:rPr>
              <w:t>выполненной.</w:t>
            </w:r>
          </w:p>
        </w:tc>
        <w:tc>
          <w:tcPr>
            <w:tcW w:w="440" w:type="pct"/>
            <w:shd w:val="clear" w:color="auto" w:fill="auto"/>
          </w:tcPr>
          <w:p w14:paraId="7FED524C" w14:textId="77777777" w:rsidR="003C6890" w:rsidRPr="008B3F38" w:rsidRDefault="003C6890" w:rsidP="00025DC3">
            <w:pPr>
              <w:pStyle w:val="Tabletext"/>
              <w:rPr>
                <w:sz w:val="18"/>
                <w:szCs w:val="18"/>
                <w:lang w:val="ru-RU"/>
              </w:rPr>
            </w:pPr>
            <w:r w:rsidRPr="008B3F38">
              <w:rPr>
                <w:color w:val="000000"/>
                <w:sz w:val="18"/>
                <w:szCs w:val="18"/>
                <w:lang w:val="ru-RU"/>
              </w:rPr>
              <w:t>Закрыта.</w:t>
            </w:r>
          </w:p>
        </w:tc>
      </w:tr>
      <w:tr w:rsidR="00411F7C" w:rsidRPr="008B3F38" w14:paraId="1E61D48B" w14:textId="77777777" w:rsidTr="008A2FDE">
        <w:trPr>
          <w:jc w:val="center"/>
        </w:trPr>
        <w:tc>
          <w:tcPr>
            <w:tcW w:w="353" w:type="pct"/>
            <w:shd w:val="clear" w:color="auto" w:fill="auto"/>
          </w:tcPr>
          <w:p w14:paraId="646BAF66" w14:textId="77777777" w:rsidR="003C6890" w:rsidRPr="008B3F38" w:rsidRDefault="003C6890" w:rsidP="00025DC3">
            <w:pPr>
              <w:pStyle w:val="Tabletext"/>
              <w:rPr>
                <w:sz w:val="18"/>
                <w:szCs w:val="18"/>
                <w:lang w:val="ru-RU"/>
              </w:rPr>
            </w:pPr>
            <w:r w:rsidRPr="008B3F38">
              <w:rPr>
                <w:color w:val="000000"/>
                <w:sz w:val="18"/>
                <w:szCs w:val="18"/>
                <w:lang w:val="ru-RU"/>
              </w:rPr>
              <w:t>2021 г.</w:t>
            </w:r>
            <w:r w:rsidRPr="008B3F38">
              <w:rPr>
                <w:color w:val="000000"/>
                <w:sz w:val="18"/>
                <w:szCs w:val="18"/>
                <w:lang w:val="ru-RU"/>
              </w:rPr>
              <w:br/>
              <w:t>РЕК7</w:t>
            </w:r>
          </w:p>
        </w:tc>
        <w:tc>
          <w:tcPr>
            <w:tcW w:w="1407" w:type="pct"/>
            <w:shd w:val="clear" w:color="auto" w:fill="auto"/>
          </w:tcPr>
          <w:p w14:paraId="1234B645" w14:textId="4B3FD564" w:rsidR="003C6890" w:rsidRPr="008B3F38" w:rsidRDefault="003C6890" w:rsidP="00025DC3">
            <w:pPr>
              <w:pStyle w:val="Tabletext"/>
              <w:rPr>
                <w:sz w:val="18"/>
                <w:szCs w:val="18"/>
                <w:lang w:val="ru-RU"/>
              </w:rPr>
            </w:pPr>
            <w:r w:rsidRPr="008B3F38">
              <w:rPr>
                <w:color w:val="000000"/>
                <w:sz w:val="18"/>
                <w:szCs w:val="18"/>
                <w:lang w:val="ru-RU"/>
              </w:rPr>
              <w:t>МСЭ в кратчайшие сроки начать проведение независимой внутренней оценки с целью определить, были ли эти расходы, отнесенные на Telecom, необоснованными и если да, то лежит ли какая-либо ответственность за это на</w:t>
            </w:r>
            <w:r w:rsidR="00934DCB" w:rsidRPr="008B3F38">
              <w:rPr>
                <w:color w:val="000000"/>
                <w:sz w:val="18"/>
                <w:szCs w:val="18"/>
                <w:lang w:val="ru-RU"/>
              </w:rPr>
              <w:t> </w:t>
            </w:r>
            <w:r w:rsidRPr="008B3F38">
              <w:rPr>
                <w:color w:val="000000"/>
                <w:sz w:val="18"/>
                <w:szCs w:val="18"/>
                <w:lang w:val="ru-RU"/>
              </w:rPr>
              <w:t>руководстве.</w:t>
            </w:r>
          </w:p>
        </w:tc>
        <w:tc>
          <w:tcPr>
            <w:tcW w:w="1661" w:type="pct"/>
            <w:gridSpan w:val="2"/>
            <w:shd w:val="clear" w:color="auto" w:fill="auto"/>
          </w:tcPr>
          <w:p w14:paraId="0B414338" w14:textId="6AEA2CAD" w:rsidR="003C6890" w:rsidRPr="008B3F38" w:rsidRDefault="003C6890" w:rsidP="00025DC3">
            <w:pPr>
              <w:pStyle w:val="Tabletext"/>
              <w:rPr>
                <w:sz w:val="18"/>
                <w:szCs w:val="18"/>
                <w:lang w:val="ru-RU"/>
              </w:rPr>
            </w:pPr>
            <w:r w:rsidRPr="008B3F38">
              <w:rPr>
                <w:color w:val="000000"/>
                <w:sz w:val="18"/>
                <w:szCs w:val="18"/>
                <w:lang w:val="ru-RU"/>
              </w:rPr>
              <w:t>Обновленная информация по состоянию на май 2024 г.: FRMD рекомендовал перевести данную рекомендацию в статус выполненной, в частности ввиду прекращения мероприятий Telecom.</w:t>
            </w:r>
          </w:p>
          <w:p w14:paraId="61BC8020" w14:textId="6407B417" w:rsidR="003C6890" w:rsidRPr="008B3F38" w:rsidRDefault="003C6890" w:rsidP="00025DC3">
            <w:pPr>
              <w:pStyle w:val="Tabletext"/>
              <w:rPr>
                <w:sz w:val="18"/>
                <w:szCs w:val="18"/>
                <w:lang w:val="ru-RU"/>
              </w:rPr>
            </w:pPr>
            <w:r w:rsidRPr="008B3F38">
              <w:rPr>
                <w:color w:val="000000"/>
                <w:sz w:val="18"/>
                <w:szCs w:val="18"/>
                <w:lang w:val="ru-RU"/>
              </w:rPr>
              <w:t>Деятельность Telecom была прекращена в соответствии с Резолюцией 11, принятой на ПК-22. Данная</w:t>
            </w:r>
            <w:r w:rsidR="00934DCB" w:rsidRPr="008B3F38">
              <w:rPr>
                <w:color w:val="000000"/>
                <w:sz w:val="18"/>
                <w:szCs w:val="18"/>
                <w:lang w:val="ru-RU"/>
              </w:rPr>
              <w:t> </w:t>
            </w:r>
            <w:r w:rsidRPr="008B3F38">
              <w:rPr>
                <w:color w:val="000000"/>
                <w:sz w:val="18"/>
                <w:szCs w:val="18"/>
                <w:lang w:val="ru-RU"/>
              </w:rPr>
              <w:t>рекомендация более не актуальна.</w:t>
            </w:r>
          </w:p>
        </w:tc>
        <w:tc>
          <w:tcPr>
            <w:tcW w:w="1139" w:type="pct"/>
            <w:gridSpan w:val="2"/>
            <w:shd w:val="clear" w:color="auto" w:fill="auto"/>
          </w:tcPr>
          <w:p w14:paraId="178C4217" w14:textId="77777777" w:rsidR="003C6890" w:rsidRPr="008B3F38" w:rsidRDefault="003C6890" w:rsidP="00025DC3">
            <w:pPr>
              <w:pStyle w:val="Tabletext"/>
              <w:rPr>
                <w:sz w:val="18"/>
                <w:szCs w:val="18"/>
                <w:lang w:val="ru-RU"/>
              </w:rPr>
            </w:pPr>
            <w:r w:rsidRPr="008B3F38">
              <w:rPr>
                <w:color w:val="000000"/>
                <w:sz w:val="18"/>
                <w:szCs w:val="18"/>
                <w:lang w:val="ru-RU"/>
              </w:rPr>
              <w:t>Учитывая рекомендацию, касающуюся деятельности Telecom, и то, что она была прекращена, рекомендацию целесообразно перевести в статус выполненной.</w:t>
            </w:r>
          </w:p>
        </w:tc>
        <w:tc>
          <w:tcPr>
            <w:tcW w:w="440" w:type="pct"/>
            <w:shd w:val="clear" w:color="auto" w:fill="auto"/>
          </w:tcPr>
          <w:p w14:paraId="7AD0267F" w14:textId="77777777" w:rsidR="003C6890" w:rsidRPr="008B3F38" w:rsidRDefault="003C6890" w:rsidP="00025DC3">
            <w:pPr>
              <w:pStyle w:val="Tabletext"/>
              <w:rPr>
                <w:sz w:val="18"/>
                <w:szCs w:val="18"/>
                <w:lang w:val="ru-RU"/>
              </w:rPr>
            </w:pPr>
            <w:r w:rsidRPr="008B3F38">
              <w:rPr>
                <w:color w:val="000000"/>
                <w:sz w:val="18"/>
                <w:szCs w:val="18"/>
                <w:lang w:val="ru-RU"/>
              </w:rPr>
              <w:t>Закрыта.</w:t>
            </w:r>
          </w:p>
        </w:tc>
      </w:tr>
      <w:tr w:rsidR="00411F7C" w:rsidRPr="008B3F38" w14:paraId="2CE65F8C" w14:textId="77777777" w:rsidTr="008A2FDE">
        <w:trPr>
          <w:jc w:val="center"/>
        </w:trPr>
        <w:tc>
          <w:tcPr>
            <w:tcW w:w="353" w:type="pct"/>
            <w:shd w:val="clear" w:color="auto" w:fill="auto"/>
          </w:tcPr>
          <w:p w14:paraId="2A239C75" w14:textId="77777777" w:rsidR="003C6890" w:rsidRPr="008B3F38" w:rsidRDefault="003C6890" w:rsidP="00025DC3">
            <w:pPr>
              <w:pStyle w:val="Tabletext"/>
              <w:rPr>
                <w:sz w:val="18"/>
                <w:szCs w:val="18"/>
                <w:lang w:val="ru-RU"/>
              </w:rPr>
            </w:pPr>
            <w:r w:rsidRPr="008B3F38">
              <w:rPr>
                <w:color w:val="000000"/>
                <w:sz w:val="18"/>
                <w:szCs w:val="18"/>
                <w:lang w:val="ru-RU"/>
              </w:rPr>
              <w:lastRenderedPageBreak/>
              <w:t>2021 г.</w:t>
            </w:r>
            <w:r w:rsidRPr="008B3F38">
              <w:rPr>
                <w:color w:val="000000"/>
                <w:sz w:val="18"/>
                <w:szCs w:val="18"/>
                <w:lang w:val="ru-RU"/>
              </w:rPr>
              <w:br/>
              <w:t>РЕК8</w:t>
            </w:r>
          </w:p>
        </w:tc>
        <w:tc>
          <w:tcPr>
            <w:tcW w:w="1407" w:type="pct"/>
            <w:shd w:val="clear" w:color="auto" w:fill="auto"/>
          </w:tcPr>
          <w:p w14:paraId="333604AE" w14:textId="1694CACC" w:rsidR="003C6890" w:rsidRPr="008B3F38" w:rsidRDefault="003C6890" w:rsidP="00025DC3">
            <w:pPr>
              <w:pStyle w:val="Tabletext"/>
              <w:rPr>
                <w:sz w:val="18"/>
                <w:szCs w:val="18"/>
                <w:lang w:val="ru-RU"/>
              </w:rPr>
            </w:pPr>
            <w:r w:rsidRPr="008B3F38">
              <w:rPr>
                <w:color w:val="000000"/>
                <w:sz w:val="18"/>
                <w:szCs w:val="18"/>
                <w:lang w:val="ru-RU"/>
              </w:rPr>
              <w:t>МСЭ оценить, могла ли эта платформа, предоставленная принимающей страной, рассматриваться как "вклад в натуральном выражении" по степени ответственности за ее разработку, а также в соответствии с правовой и договорной основой. Если это невозможно, мы также рекомендуем самостоятельно с помощью внутренних ресурсов оценить, имеется ли ответственность управленческого уровня:</w:t>
            </w:r>
          </w:p>
          <w:p w14:paraId="3A5E4853" w14:textId="4BB8AF9B" w:rsidR="003C6890" w:rsidRPr="008B3F38" w:rsidRDefault="003C6890" w:rsidP="00025DC3">
            <w:pPr>
              <w:pStyle w:val="Tabletext"/>
              <w:ind w:left="284" w:hanging="284"/>
              <w:rPr>
                <w:sz w:val="18"/>
                <w:szCs w:val="18"/>
                <w:lang w:val="ru-RU"/>
              </w:rPr>
            </w:pPr>
            <w:r w:rsidRPr="008B3F38">
              <w:rPr>
                <w:color w:val="000000"/>
                <w:sz w:val="18"/>
                <w:szCs w:val="18"/>
                <w:lang w:val="ru-RU"/>
              </w:rPr>
              <w:t>a)</w:t>
            </w:r>
            <w:r w:rsidRPr="008B3F38">
              <w:rPr>
                <w:color w:val="000000"/>
                <w:sz w:val="18"/>
                <w:szCs w:val="18"/>
                <w:lang w:val="ru-RU"/>
              </w:rPr>
              <w:tab/>
              <w:t>в непредоставлении своевременно достаточной и достоверной информации Генеральному секретарю, что вынудило его в качестве исключительного случая разрешить осуществление деятельности, при этом ее неосуществление позволило бы сохранить ресурсы МСЭ, которые можно было бы направить на более неотложные в масштабах всего МСЭ программные</w:t>
            </w:r>
            <w:r w:rsidR="008B3F38">
              <w:rPr>
                <w:color w:val="000000"/>
                <w:sz w:val="18"/>
                <w:szCs w:val="18"/>
                <w:lang w:val="ru-RU"/>
              </w:rPr>
              <w:t> </w:t>
            </w:r>
            <w:r w:rsidRPr="008B3F38">
              <w:rPr>
                <w:color w:val="000000"/>
                <w:sz w:val="18"/>
                <w:szCs w:val="18"/>
                <w:lang w:val="ru-RU"/>
              </w:rPr>
              <w:t>мероприятия;</w:t>
            </w:r>
          </w:p>
          <w:p w14:paraId="4E096C12" w14:textId="77777777" w:rsidR="003C6890" w:rsidRPr="008B3F38" w:rsidRDefault="003C6890" w:rsidP="00025DC3">
            <w:pPr>
              <w:pStyle w:val="Tabletext"/>
              <w:ind w:left="284" w:hanging="284"/>
              <w:rPr>
                <w:sz w:val="18"/>
                <w:szCs w:val="18"/>
                <w:lang w:val="ru-RU"/>
              </w:rPr>
            </w:pPr>
            <w:r w:rsidRPr="008B3F38">
              <w:rPr>
                <w:color w:val="000000"/>
                <w:sz w:val="18"/>
                <w:szCs w:val="18"/>
                <w:lang w:val="ru-RU"/>
              </w:rPr>
              <w:t>b)</w:t>
            </w:r>
            <w:r w:rsidRPr="008B3F38">
              <w:rPr>
                <w:color w:val="000000"/>
                <w:sz w:val="18"/>
                <w:szCs w:val="18"/>
                <w:lang w:val="ru-RU"/>
              </w:rPr>
              <w:tab/>
              <w:t>в принятии решения о продолжении работы на Digital World, что увеличило прямые и косвенные затраты в статьях финансовой отчетности МСЭ, с учетом, что принимающая страна не планировала подписывать дополнительное соглашение HCA на 2021 год.</w:t>
            </w:r>
          </w:p>
        </w:tc>
        <w:tc>
          <w:tcPr>
            <w:tcW w:w="1661" w:type="pct"/>
            <w:gridSpan w:val="2"/>
            <w:shd w:val="clear" w:color="auto" w:fill="auto"/>
          </w:tcPr>
          <w:p w14:paraId="5A83D929" w14:textId="6534B1EC" w:rsidR="003C6890" w:rsidRPr="008B3F38" w:rsidRDefault="003C6890" w:rsidP="00025DC3">
            <w:pPr>
              <w:pStyle w:val="Tabletext"/>
              <w:rPr>
                <w:sz w:val="18"/>
                <w:szCs w:val="18"/>
                <w:lang w:val="ru-RU"/>
              </w:rPr>
            </w:pPr>
            <w:r w:rsidRPr="008B3F38">
              <w:rPr>
                <w:color w:val="000000"/>
                <w:sz w:val="18"/>
                <w:szCs w:val="18"/>
                <w:lang w:val="ru-RU"/>
              </w:rPr>
              <w:t>Обновленная информация по состоянию на май 2024 г.: FRMD рекомендовал перевести данную рекомендацию в статус выполненной, в частности ввиду прекращения мероприятий Telecom.</w:t>
            </w:r>
          </w:p>
          <w:p w14:paraId="0F2EE5F2" w14:textId="14C4F490" w:rsidR="003C6890" w:rsidRPr="008B3F38" w:rsidRDefault="003C6890" w:rsidP="00025DC3">
            <w:pPr>
              <w:pStyle w:val="Tabletext"/>
              <w:rPr>
                <w:sz w:val="18"/>
                <w:szCs w:val="18"/>
                <w:lang w:val="ru-RU"/>
              </w:rPr>
            </w:pPr>
            <w:r w:rsidRPr="008B3F38">
              <w:rPr>
                <w:color w:val="000000"/>
                <w:sz w:val="18"/>
                <w:szCs w:val="18"/>
                <w:lang w:val="ru-RU"/>
              </w:rPr>
              <w:t>Деятельность Telecom была прекращена в соответствии с</w:t>
            </w:r>
            <w:r w:rsidR="001D6BAF" w:rsidRPr="008B3F38">
              <w:rPr>
                <w:color w:val="000000"/>
                <w:sz w:val="18"/>
                <w:szCs w:val="18"/>
                <w:lang w:val="ru-RU"/>
              </w:rPr>
              <w:t> </w:t>
            </w:r>
            <w:r w:rsidRPr="008B3F38">
              <w:rPr>
                <w:color w:val="000000"/>
                <w:sz w:val="18"/>
                <w:szCs w:val="18"/>
                <w:lang w:val="ru-RU"/>
              </w:rPr>
              <w:t>Резолюцией 11, принятой на ПК-22. Данная</w:t>
            </w:r>
            <w:r w:rsidR="00934DCB" w:rsidRPr="008B3F38">
              <w:rPr>
                <w:color w:val="000000"/>
                <w:sz w:val="18"/>
                <w:szCs w:val="18"/>
                <w:lang w:val="ru-RU"/>
              </w:rPr>
              <w:t> </w:t>
            </w:r>
            <w:r w:rsidRPr="008B3F38">
              <w:rPr>
                <w:color w:val="000000"/>
                <w:sz w:val="18"/>
                <w:szCs w:val="18"/>
                <w:lang w:val="ru-RU"/>
              </w:rPr>
              <w:t>рекомендация более не актуальна.</w:t>
            </w:r>
          </w:p>
        </w:tc>
        <w:tc>
          <w:tcPr>
            <w:tcW w:w="1139" w:type="pct"/>
            <w:gridSpan w:val="2"/>
            <w:shd w:val="clear" w:color="auto" w:fill="auto"/>
          </w:tcPr>
          <w:p w14:paraId="1538258C" w14:textId="77777777" w:rsidR="003C6890" w:rsidRPr="008B3F38" w:rsidRDefault="003C6890" w:rsidP="00025DC3">
            <w:pPr>
              <w:pStyle w:val="Tabletext"/>
              <w:rPr>
                <w:sz w:val="18"/>
                <w:szCs w:val="18"/>
                <w:lang w:val="ru-RU"/>
              </w:rPr>
            </w:pPr>
            <w:r w:rsidRPr="008B3F38">
              <w:rPr>
                <w:color w:val="000000"/>
                <w:sz w:val="18"/>
                <w:szCs w:val="18"/>
                <w:lang w:val="ru-RU"/>
              </w:rPr>
              <w:t>Учитывая рекомендацию, касающуюся деятельности Telecom, и то, что она была прекращена, рекомендацию целесообразно перевести в статус выполненной.</w:t>
            </w:r>
          </w:p>
        </w:tc>
        <w:tc>
          <w:tcPr>
            <w:tcW w:w="440" w:type="pct"/>
            <w:shd w:val="clear" w:color="auto" w:fill="auto"/>
          </w:tcPr>
          <w:p w14:paraId="26051AEB" w14:textId="77777777" w:rsidR="003C6890" w:rsidRPr="008B3F38" w:rsidRDefault="003C6890" w:rsidP="00025DC3">
            <w:pPr>
              <w:pStyle w:val="Tabletext"/>
              <w:rPr>
                <w:sz w:val="18"/>
                <w:szCs w:val="18"/>
                <w:lang w:val="ru-RU"/>
              </w:rPr>
            </w:pPr>
            <w:r w:rsidRPr="008B3F38">
              <w:rPr>
                <w:color w:val="000000"/>
                <w:sz w:val="18"/>
                <w:szCs w:val="18"/>
                <w:lang w:val="ru-RU"/>
              </w:rPr>
              <w:t>Закрыта.</w:t>
            </w:r>
          </w:p>
        </w:tc>
      </w:tr>
      <w:tr w:rsidR="00411F7C" w:rsidRPr="008B3F38" w14:paraId="5B311383" w14:textId="77777777" w:rsidTr="008A2FDE">
        <w:trPr>
          <w:jc w:val="center"/>
        </w:trPr>
        <w:tc>
          <w:tcPr>
            <w:tcW w:w="353" w:type="pct"/>
            <w:shd w:val="clear" w:color="auto" w:fill="auto"/>
          </w:tcPr>
          <w:p w14:paraId="1CEC3DDA" w14:textId="77777777" w:rsidR="003C6890" w:rsidRPr="008B3F38" w:rsidRDefault="003C6890" w:rsidP="00025DC3">
            <w:pPr>
              <w:pStyle w:val="Tabletext"/>
              <w:rPr>
                <w:sz w:val="18"/>
                <w:szCs w:val="18"/>
                <w:lang w:val="ru-RU"/>
              </w:rPr>
            </w:pPr>
            <w:r w:rsidRPr="008B3F38">
              <w:rPr>
                <w:color w:val="000000"/>
                <w:sz w:val="18"/>
                <w:szCs w:val="18"/>
                <w:lang w:val="ru-RU"/>
              </w:rPr>
              <w:t>2021 г.</w:t>
            </w:r>
            <w:r w:rsidRPr="008B3F38">
              <w:rPr>
                <w:color w:val="000000"/>
                <w:sz w:val="18"/>
                <w:szCs w:val="18"/>
                <w:lang w:val="ru-RU"/>
              </w:rPr>
              <w:br/>
              <w:t>РЕК9</w:t>
            </w:r>
          </w:p>
        </w:tc>
        <w:tc>
          <w:tcPr>
            <w:tcW w:w="1407" w:type="pct"/>
            <w:shd w:val="clear" w:color="auto" w:fill="auto"/>
          </w:tcPr>
          <w:p w14:paraId="48B9D6DA" w14:textId="77777777" w:rsidR="001D6BAF" w:rsidRPr="008B3F38" w:rsidRDefault="003C6890" w:rsidP="00025DC3">
            <w:pPr>
              <w:pStyle w:val="Tabletext"/>
              <w:rPr>
                <w:color w:val="000000"/>
                <w:sz w:val="18"/>
                <w:szCs w:val="18"/>
                <w:lang w:val="ru-RU"/>
              </w:rPr>
            </w:pPr>
            <w:r w:rsidRPr="008B3F38">
              <w:rPr>
                <w:color w:val="000000"/>
                <w:sz w:val="18"/>
                <w:szCs w:val="18"/>
                <w:lang w:val="ru-RU"/>
              </w:rPr>
              <w:t>Расширить Руководство МСЭ по управлению проектами, а также Руководство по закупкам и Приложение II к Финансовому регламенту и Финансовым правилам МСЭ "Правила, процедуры и финансовые соглашения для добровольных взносов и целевых фондов", с тем чтобы предотвратить возникновение всех видов конфликтов интересов. Такой правовой анализ необходим безотлагательно не только для обеспечения надлежащей регламентарной базы, но и правовой основы для разработки и внедрения эффективной системы внутреннего контроля, в частности чтобы избежать ситуаций</w:t>
            </w:r>
            <w:r w:rsidR="001D6BAF" w:rsidRPr="008B3F38">
              <w:rPr>
                <w:color w:val="000000"/>
                <w:sz w:val="18"/>
                <w:szCs w:val="18"/>
                <w:lang w:val="ru-RU"/>
              </w:rPr>
              <w:t>:</w:t>
            </w:r>
          </w:p>
          <w:p w14:paraId="13C3D1ED" w14:textId="50329314" w:rsidR="001D6BAF" w:rsidRPr="008B3F38" w:rsidRDefault="003C6890" w:rsidP="00025DC3">
            <w:pPr>
              <w:pStyle w:val="Tabletext"/>
              <w:ind w:left="284" w:hanging="284"/>
              <w:rPr>
                <w:color w:val="000000"/>
                <w:sz w:val="18"/>
                <w:szCs w:val="18"/>
                <w:lang w:val="ru-RU"/>
              </w:rPr>
            </w:pPr>
            <w:r w:rsidRPr="008B3F38">
              <w:rPr>
                <w:color w:val="000000"/>
                <w:sz w:val="18"/>
                <w:szCs w:val="18"/>
                <w:lang w:val="ru-RU"/>
              </w:rPr>
              <w:lastRenderedPageBreak/>
              <w:t>i)</w:t>
            </w:r>
            <w:r w:rsidR="001D6BAF" w:rsidRPr="008B3F38">
              <w:rPr>
                <w:color w:val="000000"/>
                <w:sz w:val="18"/>
                <w:szCs w:val="18"/>
                <w:lang w:val="ru-RU"/>
              </w:rPr>
              <w:tab/>
            </w:r>
            <w:r w:rsidRPr="008B3F38">
              <w:rPr>
                <w:color w:val="000000"/>
                <w:sz w:val="18"/>
                <w:szCs w:val="18"/>
                <w:lang w:val="ru-RU"/>
              </w:rPr>
              <w:t>когда партнер по финансированию является получателем помощи МСЭ</w:t>
            </w:r>
            <w:r w:rsidR="001D6BAF" w:rsidRPr="008B3F38">
              <w:rPr>
                <w:color w:val="000000"/>
                <w:sz w:val="18"/>
                <w:szCs w:val="18"/>
                <w:lang w:val="ru-RU"/>
              </w:rPr>
              <w:t>;</w:t>
            </w:r>
            <w:r w:rsidRPr="008B3F38">
              <w:rPr>
                <w:color w:val="000000"/>
                <w:sz w:val="18"/>
                <w:szCs w:val="18"/>
                <w:lang w:val="ru-RU"/>
              </w:rPr>
              <w:t xml:space="preserve"> и также</w:t>
            </w:r>
          </w:p>
          <w:p w14:paraId="2E0D8C51" w14:textId="483EDB35" w:rsidR="003C6890" w:rsidRPr="008B3F38" w:rsidRDefault="003C6890" w:rsidP="00025DC3">
            <w:pPr>
              <w:pStyle w:val="Tabletext"/>
              <w:ind w:left="284" w:hanging="284"/>
              <w:rPr>
                <w:sz w:val="18"/>
                <w:szCs w:val="18"/>
                <w:lang w:val="ru-RU"/>
              </w:rPr>
            </w:pPr>
            <w:r w:rsidRPr="008B3F38">
              <w:rPr>
                <w:color w:val="000000"/>
                <w:sz w:val="18"/>
                <w:szCs w:val="18"/>
                <w:lang w:val="ru-RU"/>
              </w:rPr>
              <w:t>ii</w:t>
            </w:r>
            <w:r w:rsidR="00EA37BB" w:rsidRPr="008B3F38">
              <w:rPr>
                <w:color w:val="000000"/>
                <w:sz w:val="18"/>
                <w:szCs w:val="18"/>
                <w:lang w:val="ru-RU"/>
              </w:rPr>
              <w:t>)</w:t>
            </w:r>
            <w:r w:rsidR="001D6BAF" w:rsidRPr="008B3F38">
              <w:rPr>
                <w:color w:val="000000"/>
                <w:sz w:val="18"/>
                <w:szCs w:val="18"/>
                <w:lang w:val="ru-RU"/>
              </w:rPr>
              <w:tab/>
            </w:r>
            <w:r w:rsidRPr="008B3F38">
              <w:rPr>
                <w:color w:val="000000"/>
                <w:sz w:val="18"/>
                <w:szCs w:val="18"/>
                <w:lang w:val="ru-RU"/>
              </w:rPr>
              <w:t>когда доноры и бенефициары имеют общую заинтересованность в том, чтобы был выбран конкретный поставщик вместо наиболее эффективного с точки зрения</w:t>
            </w:r>
            <w:r w:rsidR="00934DCB" w:rsidRPr="008B3F38">
              <w:rPr>
                <w:color w:val="000000"/>
                <w:sz w:val="18"/>
                <w:szCs w:val="18"/>
                <w:lang w:val="ru-RU"/>
              </w:rPr>
              <w:t> </w:t>
            </w:r>
            <w:r w:rsidRPr="008B3F38">
              <w:rPr>
                <w:color w:val="000000"/>
                <w:sz w:val="18"/>
                <w:szCs w:val="18"/>
                <w:lang w:val="ru-RU"/>
              </w:rPr>
              <w:t>затрат.</w:t>
            </w:r>
          </w:p>
        </w:tc>
        <w:tc>
          <w:tcPr>
            <w:tcW w:w="1661" w:type="pct"/>
            <w:gridSpan w:val="2"/>
            <w:shd w:val="clear" w:color="auto" w:fill="auto"/>
          </w:tcPr>
          <w:p w14:paraId="58CCDB23" w14:textId="62E6ED83" w:rsidR="003C6890" w:rsidRPr="008B3F38" w:rsidRDefault="003C6890" w:rsidP="00025DC3">
            <w:pPr>
              <w:pStyle w:val="Tabletext"/>
              <w:rPr>
                <w:sz w:val="18"/>
                <w:szCs w:val="18"/>
                <w:lang w:val="ru-RU"/>
              </w:rPr>
            </w:pPr>
            <w:r w:rsidRPr="008B3F38">
              <w:rPr>
                <w:color w:val="000000"/>
                <w:sz w:val="18"/>
                <w:szCs w:val="18"/>
                <w:lang w:val="ru-RU"/>
              </w:rPr>
              <w:lastRenderedPageBreak/>
              <w:t>Обновленная информация по состоянию на февраль 2025 г.: сотрудники МСЭ обязаны ежегодно заполнять заявление о заинтересованности в соответствии со Служебным приказом 24/16 "Политика МСЭ по заявлению о заинтересованности" и должны заявлять о</w:t>
            </w:r>
            <w:r w:rsidR="001D6BAF" w:rsidRPr="008B3F38">
              <w:rPr>
                <w:color w:val="000000"/>
                <w:sz w:val="18"/>
                <w:szCs w:val="18"/>
                <w:lang w:val="ru-RU"/>
              </w:rPr>
              <w:t> </w:t>
            </w:r>
            <w:r w:rsidRPr="008B3F38">
              <w:rPr>
                <w:color w:val="000000"/>
                <w:sz w:val="18"/>
                <w:szCs w:val="18"/>
                <w:lang w:val="ru-RU"/>
              </w:rPr>
              <w:t>любых фактических, потенциальных или кажущихся конфликтах интересов, в том числе в отношении проектов МСЭ. […]</w:t>
            </w:r>
          </w:p>
          <w:p w14:paraId="45FFB424" w14:textId="77777777" w:rsidR="003C6890" w:rsidRPr="008B3F38" w:rsidRDefault="003C6890" w:rsidP="00025DC3">
            <w:pPr>
              <w:pStyle w:val="Tabletext"/>
              <w:rPr>
                <w:sz w:val="18"/>
                <w:szCs w:val="18"/>
                <w:lang w:val="ru-RU"/>
              </w:rPr>
            </w:pPr>
            <w:r w:rsidRPr="008B3F38">
              <w:rPr>
                <w:color w:val="000000"/>
                <w:sz w:val="18"/>
                <w:szCs w:val="18"/>
                <w:lang w:val="ru-RU"/>
              </w:rPr>
              <w:t>Рекомендуется перевести данную рекомендацию в статус выполненной.</w:t>
            </w:r>
          </w:p>
        </w:tc>
        <w:tc>
          <w:tcPr>
            <w:tcW w:w="1139" w:type="pct"/>
            <w:gridSpan w:val="2"/>
            <w:shd w:val="clear" w:color="auto" w:fill="auto"/>
          </w:tcPr>
          <w:p w14:paraId="7DAEAE87" w14:textId="77777777" w:rsidR="003C6890" w:rsidRPr="008B3F38" w:rsidRDefault="003C6890" w:rsidP="00025DC3">
            <w:pPr>
              <w:pStyle w:val="Tabletext"/>
              <w:rPr>
                <w:sz w:val="18"/>
                <w:szCs w:val="18"/>
                <w:lang w:val="ru-RU"/>
              </w:rPr>
            </w:pPr>
            <w:r w:rsidRPr="008B3F38">
              <w:rPr>
                <w:color w:val="000000"/>
                <w:sz w:val="18"/>
                <w:szCs w:val="18"/>
                <w:lang w:val="ru-RU"/>
              </w:rPr>
              <w:t>Последний ответ принят к сведению и признан обоснованным. Рекомендация выполнена.</w:t>
            </w:r>
          </w:p>
        </w:tc>
        <w:tc>
          <w:tcPr>
            <w:tcW w:w="440" w:type="pct"/>
            <w:shd w:val="clear" w:color="auto" w:fill="auto"/>
          </w:tcPr>
          <w:p w14:paraId="316A6F00" w14:textId="77777777" w:rsidR="003C6890" w:rsidRPr="008B3F38" w:rsidRDefault="003C6890" w:rsidP="00025DC3">
            <w:pPr>
              <w:pStyle w:val="Tabletext"/>
              <w:rPr>
                <w:sz w:val="18"/>
                <w:szCs w:val="18"/>
                <w:lang w:val="ru-RU"/>
              </w:rPr>
            </w:pPr>
            <w:r w:rsidRPr="008B3F38">
              <w:rPr>
                <w:color w:val="000000"/>
                <w:sz w:val="18"/>
                <w:szCs w:val="18"/>
                <w:lang w:val="ru-RU"/>
              </w:rPr>
              <w:t>Закрыта.</w:t>
            </w:r>
          </w:p>
        </w:tc>
      </w:tr>
      <w:tr w:rsidR="00411F7C" w:rsidRPr="008B3F38" w14:paraId="7C10F643" w14:textId="77777777" w:rsidTr="008A2FDE">
        <w:trPr>
          <w:jc w:val="center"/>
        </w:trPr>
        <w:tc>
          <w:tcPr>
            <w:tcW w:w="353" w:type="pct"/>
            <w:shd w:val="clear" w:color="auto" w:fill="auto"/>
          </w:tcPr>
          <w:p w14:paraId="04C6717E" w14:textId="77777777" w:rsidR="003C6890" w:rsidRPr="008B3F38" w:rsidRDefault="003C6890" w:rsidP="00025DC3">
            <w:pPr>
              <w:pStyle w:val="Tabletext"/>
              <w:rPr>
                <w:sz w:val="18"/>
                <w:szCs w:val="18"/>
                <w:lang w:val="ru-RU"/>
              </w:rPr>
            </w:pPr>
            <w:r w:rsidRPr="008B3F38">
              <w:rPr>
                <w:color w:val="000000"/>
                <w:sz w:val="18"/>
                <w:szCs w:val="18"/>
                <w:lang w:val="ru-RU"/>
              </w:rPr>
              <w:t>2021 г.</w:t>
            </w:r>
            <w:r w:rsidRPr="008B3F38">
              <w:rPr>
                <w:color w:val="000000"/>
                <w:sz w:val="18"/>
                <w:szCs w:val="18"/>
                <w:lang w:val="ru-RU"/>
              </w:rPr>
              <w:br/>
              <w:t>РЕК10</w:t>
            </w:r>
          </w:p>
        </w:tc>
        <w:tc>
          <w:tcPr>
            <w:tcW w:w="1407" w:type="pct"/>
            <w:shd w:val="clear" w:color="auto" w:fill="auto"/>
          </w:tcPr>
          <w:p w14:paraId="4BFCADA3" w14:textId="77777777" w:rsidR="003C6890" w:rsidRPr="008B3F38" w:rsidRDefault="003C6890" w:rsidP="00025DC3">
            <w:pPr>
              <w:pStyle w:val="Tabletext"/>
              <w:rPr>
                <w:sz w:val="18"/>
                <w:szCs w:val="18"/>
                <w:lang w:val="ru-RU"/>
              </w:rPr>
            </w:pPr>
            <w:r w:rsidRPr="008B3F38">
              <w:rPr>
                <w:color w:val="000000"/>
                <w:sz w:val="18"/>
                <w:szCs w:val="18"/>
                <w:lang w:val="ru-RU"/>
              </w:rPr>
              <w:t xml:space="preserve">Рекомендуем следующее: </w:t>
            </w:r>
          </w:p>
          <w:p w14:paraId="379E2F44" w14:textId="77777777" w:rsidR="003C6890" w:rsidRPr="008B3F38" w:rsidRDefault="003C6890" w:rsidP="00025DC3">
            <w:pPr>
              <w:pStyle w:val="Tabletext"/>
              <w:ind w:left="284" w:hanging="284"/>
              <w:rPr>
                <w:sz w:val="18"/>
                <w:szCs w:val="18"/>
                <w:lang w:val="ru-RU"/>
              </w:rPr>
            </w:pPr>
            <w:r w:rsidRPr="008B3F38">
              <w:rPr>
                <w:color w:val="000000"/>
                <w:sz w:val="18"/>
                <w:szCs w:val="18"/>
                <w:lang w:val="ru-RU"/>
              </w:rPr>
              <w:t>i)</w:t>
            </w:r>
            <w:r w:rsidRPr="008B3F38">
              <w:rPr>
                <w:color w:val="000000"/>
                <w:sz w:val="18"/>
                <w:szCs w:val="18"/>
                <w:lang w:val="ru-RU"/>
              </w:rPr>
              <w:tab/>
              <w:t>срочно активизировать соответствующий анализ для выявления показателей риска, связанных с потенциальными конфликтами интересов и рисками мошенничества, проверенный независимым экспертом;</w:t>
            </w:r>
          </w:p>
          <w:p w14:paraId="4A881081" w14:textId="77777777" w:rsidR="003C6890" w:rsidRPr="008B3F38" w:rsidRDefault="003C6890" w:rsidP="00025DC3">
            <w:pPr>
              <w:pStyle w:val="Tabletext"/>
              <w:ind w:left="284" w:hanging="284"/>
              <w:rPr>
                <w:sz w:val="18"/>
                <w:szCs w:val="18"/>
                <w:lang w:val="ru-RU"/>
              </w:rPr>
            </w:pPr>
            <w:r w:rsidRPr="008B3F38">
              <w:rPr>
                <w:color w:val="000000"/>
                <w:sz w:val="18"/>
                <w:szCs w:val="18"/>
                <w:lang w:val="ru-RU"/>
              </w:rPr>
              <w:t>ii)</w:t>
            </w:r>
            <w:r w:rsidRPr="008B3F38">
              <w:rPr>
                <w:color w:val="000000"/>
                <w:sz w:val="18"/>
                <w:szCs w:val="18"/>
                <w:lang w:val="ru-RU"/>
              </w:rPr>
              <w:tab/>
              <w:t>пересмотреть текущие проекты на предмет наличия обстоятельств потенциального или существующего конфликта интересов, как описано выше;</w:t>
            </w:r>
          </w:p>
          <w:p w14:paraId="60EE05AB" w14:textId="5E53CDD9" w:rsidR="003C6890" w:rsidRPr="008B3F38" w:rsidRDefault="003C6890" w:rsidP="00025DC3">
            <w:pPr>
              <w:pStyle w:val="Tabletext"/>
              <w:ind w:left="284" w:hanging="284"/>
              <w:rPr>
                <w:sz w:val="18"/>
                <w:szCs w:val="18"/>
                <w:lang w:val="ru-RU"/>
              </w:rPr>
            </w:pPr>
            <w:r w:rsidRPr="008B3F38">
              <w:rPr>
                <w:color w:val="000000"/>
                <w:sz w:val="18"/>
                <w:szCs w:val="18"/>
                <w:lang w:val="ru-RU"/>
              </w:rPr>
              <w:t>iii)</w:t>
            </w:r>
            <w:r w:rsidRPr="008B3F38">
              <w:rPr>
                <w:color w:val="000000"/>
                <w:sz w:val="18"/>
                <w:szCs w:val="18"/>
                <w:lang w:val="ru-RU"/>
              </w:rPr>
              <w:tab/>
              <w:t>оценить возможность приостановки новых проектов, а также оплаты текущих проектов, если проведенный анализ в соответствии с вышеуказанными положениями указывает на риск возникновения конфликта интересов, мошенничества, нарушений, и, в</w:t>
            </w:r>
            <w:r w:rsidR="001D6BAF" w:rsidRPr="008B3F38">
              <w:rPr>
                <w:color w:val="000000"/>
                <w:sz w:val="18"/>
                <w:szCs w:val="18"/>
                <w:lang w:val="ru-RU"/>
              </w:rPr>
              <w:t> </w:t>
            </w:r>
            <w:r w:rsidRPr="008B3F38">
              <w:rPr>
                <w:color w:val="000000"/>
                <w:sz w:val="18"/>
                <w:szCs w:val="18"/>
                <w:lang w:val="ru-RU"/>
              </w:rPr>
              <w:t>любом случае, до вступления в силу соответствующей системы контроля и процесса (как рекомендовано выше).</w:t>
            </w:r>
          </w:p>
        </w:tc>
        <w:tc>
          <w:tcPr>
            <w:tcW w:w="1661" w:type="pct"/>
            <w:gridSpan w:val="2"/>
            <w:shd w:val="clear" w:color="auto" w:fill="auto"/>
          </w:tcPr>
          <w:p w14:paraId="265C6509" w14:textId="4F85FA89" w:rsidR="003C6890" w:rsidRPr="008B3F38" w:rsidRDefault="003C6890" w:rsidP="00025DC3">
            <w:pPr>
              <w:pStyle w:val="Tabletext"/>
              <w:rPr>
                <w:sz w:val="18"/>
                <w:szCs w:val="18"/>
                <w:lang w:val="ru-RU"/>
              </w:rPr>
            </w:pPr>
            <w:r w:rsidRPr="008B3F38">
              <w:rPr>
                <w:color w:val="000000"/>
                <w:sz w:val="18"/>
                <w:szCs w:val="18"/>
                <w:lang w:val="ru-RU"/>
              </w:rPr>
              <w:t>Обновленная информация по состоянию на февраль 2025 г.: в 2022 году МСЭ нанял внешнего консультанта по внутреннему аудиту и рискам для проведения оценки, связанной с серьезным риском мошенничества, финансовыми и репутационными рисками в МСЭ. В</w:t>
            </w:r>
            <w:r w:rsidR="001D6BAF" w:rsidRPr="008B3F38">
              <w:rPr>
                <w:color w:val="000000"/>
                <w:sz w:val="18"/>
                <w:szCs w:val="18"/>
                <w:lang w:val="ru-RU"/>
              </w:rPr>
              <w:t> </w:t>
            </w:r>
            <w:r w:rsidRPr="008B3F38">
              <w:rPr>
                <w:color w:val="000000"/>
                <w:sz w:val="18"/>
                <w:szCs w:val="18"/>
                <w:lang w:val="ru-RU"/>
              </w:rPr>
              <w:t>рамках оценки было отмечено, что после ситуации в Бангкоке МСЭ принял широкий спектр мер по совершенствованию управления и внутреннего контроля. Что касается потенциальной уязвимости системы, в 2023</w:t>
            </w:r>
            <w:r w:rsidR="001D6BAF" w:rsidRPr="008B3F38">
              <w:rPr>
                <w:color w:val="000000"/>
                <w:sz w:val="18"/>
                <w:szCs w:val="18"/>
                <w:lang w:val="ru-RU"/>
              </w:rPr>
              <w:t> </w:t>
            </w:r>
            <w:r w:rsidRPr="008B3F38">
              <w:rPr>
                <w:color w:val="000000"/>
                <w:sz w:val="18"/>
                <w:szCs w:val="18"/>
                <w:lang w:val="ru-RU"/>
              </w:rPr>
              <w:t>году ISD нанял внешнюю экспертную фирму для оценки ERP МСЭ с уделением особого внимания вопросам прав доступа, разделению обязанностей, противоречащим нормам и нарушениям в рамках важнейших видов деятельности/подпроцессов, что может создавать условия, приводящие к мошенническим действиям. Что касается конфликтов интересов, сотрудники МСЭ обязаны ежегодно заполнять заявление о заинтересованности в соответствии со Служебным приказом 24/16 "Политика МСЭ по заявлению о</w:t>
            </w:r>
            <w:r w:rsidR="001D6BAF" w:rsidRPr="008B3F38">
              <w:rPr>
                <w:color w:val="000000"/>
                <w:sz w:val="18"/>
                <w:szCs w:val="18"/>
                <w:lang w:val="ru-RU"/>
              </w:rPr>
              <w:t> </w:t>
            </w:r>
            <w:r w:rsidRPr="008B3F38">
              <w:rPr>
                <w:color w:val="000000"/>
                <w:sz w:val="18"/>
                <w:szCs w:val="18"/>
                <w:lang w:val="ru-RU"/>
              </w:rPr>
              <w:t>заинтересованности" и должны заявлять о любых фактических, потенциальных или кажущихся конфликтах интересов, в том числе в отношении проектов МСЭ. При</w:t>
            </w:r>
            <w:r w:rsidR="00934DCB" w:rsidRPr="008B3F38">
              <w:rPr>
                <w:color w:val="000000"/>
                <w:sz w:val="18"/>
                <w:szCs w:val="18"/>
                <w:lang w:val="ru-RU"/>
              </w:rPr>
              <w:t> </w:t>
            </w:r>
            <w:r w:rsidRPr="008B3F38">
              <w:rPr>
                <w:color w:val="000000"/>
                <w:sz w:val="18"/>
                <w:szCs w:val="18"/>
                <w:lang w:val="ru-RU"/>
              </w:rPr>
              <w:t>заполнении этого документы сотрудники должны также ознакомиться со списком продавцов/поставщиков МСЭ и заявить, имеют ли они какую-либо заинтересованность в любой из перечисленных организаций или какие-либо отношения с любой из них. Все заявления рассматриваются Управлением по вопросам этики. Кроме того, существует протокол на случай выявления конфликта интересов или иных нарушений в проектах (например, в соответствии со Служебным приказом</w:t>
            </w:r>
            <w:r w:rsidR="001D6BAF" w:rsidRPr="008B3F38">
              <w:rPr>
                <w:color w:val="000000"/>
                <w:sz w:val="18"/>
                <w:szCs w:val="18"/>
                <w:lang w:val="ru-RU"/>
              </w:rPr>
              <w:t> </w:t>
            </w:r>
            <w:r w:rsidRPr="008B3F38">
              <w:rPr>
                <w:color w:val="000000"/>
                <w:sz w:val="18"/>
                <w:szCs w:val="18"/>
                <w:lang w:val="ru-RU"/>
              </w:rPr>
              <w:t xml:space="preserve">24/16) и принятия соответствующих мер по смягчению последствий. </w:t>
            </w:r>
            <w:r w:rsidRPr="008B3F38">
              <w:rPr>
                <w:color w:val="000000"/>
                <w:sz w:val="18"/>
                <w:szCs w:val="18"/>
                <w:lang w:val="ru-RU"/>
              </w:rPr>
              <w:lastRenderedPageBreak/>
              <w:t>Управление по вопросам этики также проводит обязательное обучение, охватывающее тему конфликта интересов и осведомленности о</w:t>
            </w:r>
            <w:r w:rsidR="00D30E05" w:rsidRPr="008B3F38">
              <w:rPr>
                <w:color w:val="000000"/>
                <w:sz w:val="18"/>
                <w:szCs w:val="18"/>
                <w:lang w:val="ru-RU"/>
              </w:rPr>
              <w:t> </w:t>
            </w:r>
            <w:r w:rsidRPr="008B3F38">
              <w:rPr>
                <w:color w:val="000000"/>
                <w:sz w:val="18"/>
                <w:szCs w:val="18"/>
                <w:lang w:val="ru-RU"/>
              </w:rPr>
              <w:t>мошенничестве, с особым акцентом на сообщение о</w:t>
            </w:r>
            <w:r w:rsidR="00D30E05" w:rsidRPr="008B3F38">
              <w:rPr>
                <w:color w:val="000000"/>
                <w:sz w:val="18"/>
                <w:szCs w:val="18"/>
                <w:lang w:val="ru-RU"/>
              </w:rPr>
              <w:t> </w:t>
            </w:r>
            <w:r w:rsidRPr="008B3F38">
              <w:rPr>
                <w:color w:val="000000"/>
                <w:sz w:val="18"/>
                <w:szCs w:val="18"/>
                <w:lang w:val="ru-RU"/>
              </w:rPr>
              <w:t>таких случаях, учитывая, что, по данным CFE, в 70%</w:t>
            </w:r>
            <w:r w:rsidR="00D30E05" w:rsidRPr="008B3F38">
              <w:rPr>
                <w:color w:val="000000"/>
                <w:sz w:val="18"/>
                <w:szCs w:val="18"/>
                <w:lang w:val="ru-RU"/>
              </w:rPr>
              <w:t> </w:t>
            </w:r>
            <w:r w:rsidRPr="008B3F38">
              <w:rPr>
                <w:color w:val="000000"/>
                <w:sz w:val="18"/>
                <w:szCs w:val="18"/>
                <w:lang w:val="ru-RU"/>
              </w:rPr>
              <w:t>случаев о мошенничестве становится известно благодаря сообщениям сотрудников внутри организации. В новом Уставе Подразделения по надзору 2024 года представлена обновленная система направления сообщений и расследования предполагаемых случаев мошенничества и других неправомерных действий. Новый руководитель Подразделения по надзору приступил к работе в МСЭ в 2024 году.</w:t>
            </w:r>
          </w:p>
          <w:p w14:paraId="419CE409" w14:textId="61E92B98" w:rsidR="003C6890" w:rsidRPr="008B3F38" w:rsidRDefault="003C6890" w:rsidP="00025DC3">
            <w:pPr>
              <w:pStyle w:val="Tabletext"/>
              <w:rPr>
                <w:sz w:val="18"/>
                <w:szCs w:val="18"/>
                <w:lang w:val="ru-RU"/>
              </w:rPr>
            </w:pPr>
            <w:r w:rsidRPr="008B3F38">
              <w:rPr>
                <w:color w:val="000000"/>
                <w:sz w:val="18"/>
                <w:szCs w:val="18"/>
                <w:lang w:val="ru-RU"/>
              </w:rPr>
              <w:t>Обновленная информация по состоянию на май 2025 г.: в</w:t>
            </w:r>
            <w:r w:rsidR="001D6BAF" w:rsidRPr="008B3F38">
              <w:rPr>
                <w:color w:val="000000"/>
                <w:sz w:val="18"/>
                <w:szCs w:val="18"/>
                <w:lang w:val="ru-RU"/>
              </w:rPr>
              <w:t> </w:t>
            </w:r>
            <w:r w:rsidRPr="008B3F38">
              <w:rPr>
                <w:color w:val="000000"/>
                <w:sz w:val="18"/>
                <w:szCs w:val="18"/>
                <w:lang w:val="ru-RU"/>
              </w:rPr>
              <w:t>2025 году Подразделение по надзору планирует привлечь внешних экспертов для проведения корпоративной оценки риска мошенничества, результаты которой, вероятно, помогут в дальнейшем выполнении настоящей рекомендации, включая регулярную функционально ориентированную оценку риска мошенничества на второй линии.</w:t>
            </w:r>
          </w:p>
          <w:p w14:paraId="3AE4F7F9" w14:textId="77777777" w:rsidR="003C6890" w:rsidRPr="008B3F38" w:rsidRDefault="003C6890" w:rsidP="00025DC3">
            <w:pPr>
              <w:pStyle w:val="Tabletext"/>
              <w:rPr>
                <w:sz w:val="18"/>
                <w:szCs w:val="18"/>
                <w:lang w:val="ru-RU"/>
              </w:rPr>
            </w:pPr>
            <w:r w:rsidRPr="008B3F38">
              <w:rPr>
                <w:color w:val="000000"/>
                <w:sz w:val="18"/>
                <w:szCs w:val="18"/>
                <w:lang w:val="ru-RU"/>
              </w:rPr>
              <w:t>МСЭ считает, что данная рекомендация находится в процессе выполнения.</w:t>
            </w:r>
          </w:p>
        </w:tc>
        <w:tc>
          <w:tcPr>
            <w:tcW w:w="1139" w:type="pct"/>
            <w:gridSpan w:val="2"/>
            <w:shd w:val="clear" w:color="auto" w:fill="auto"/>
          </w:tcPr>
          <w:p w14:paraId="7D09E8F7" w14:textId="77777777" w:rsidR="003C6890" w:rsidRPr="008B3F38" w:rsidRDefault="003C6890" w:rsidP="00025DC3">
            <w:pPr>
              <w:pStyle w:val="Tabletext"/>
              <w:rPr>
                <w:sz w:val="18"/>
                <w:szCs w:val="18"/>
                <w:lang w:val="ru-RU"/>
              </w:rPr>
            </w:pPr>
            <w:r w:rsidRPr="008B3F38">
              <w:rPr>
                <w:color w:val="000000"/>
                <w:sz w:val="18"/>
                <w:szCs w:val="18"/>
                <w:lang w:val="ru-RU"/>
              </w:rPr>
              <w:lastRenderedPageBreak/>
              <w:t>Мы принимаем к сведению последний ответ. Мы более подробно рассмотрим мероприятия в рамках Управления по вопросам этики в рамках аудиторской проверки следующего года.</w:t>
            </w:r>
          </w:p>
        </w:tc>
        <w:tc>
          <w:tcPr>
            <w:tcW w:w="440" w:type="pct"/>
            <w:shd w:val="clear" w:color="auto" w:fill="auto"/>
          </w:tcPr>
          <w:p w14:paraId="003B3FF3" w14:textId="77777777" w:rsidR="003C6890" w:rsidRPr="008B3F38" w:rsidRDefault="003C6890" w:rsidP="00025DC3">
            <w:pPr>
              <w:pStyle w:val="Tabletext"/>
              <w:ind w:right="-57"/>
              <w:rPr>
                <w:sz w:val="18"/>
                <w:szCs w:val="18"/>
                <w:lang w:val="ru-RU"/>
              </w:rPr>
            </w:pPr>
            <w:r w:rsidRPr="008B3F38">
              <w:rPr>
                <w:color w:val="000000"/>
                <w:sz w:val="18"/>
                <w:szCs w:val="18"/>
                <w:lang w:val="ru-RU"/>
              </w:rPr>
              <w:t>Выполняется.</w:t>
            </w:r>
          </w:p>
        </w:tc>
      </w:tr>
      <w:tr w:rsidR="00411F7C" w:rsidRPr="008B3F38" w14:paraId="7B0D6404" w14:textId="77777777" w:rsidTr="008A2FDE">
        <w:trPr>
          <w:jc w:val="center"/>
        </w:trPr>
        <w:tc>
          <w:tcPr>
            <w:tcW w:w="353" w:type="pct"/>
            <w:shd w:val="clear" w:color="auto" w:fill="auto"/>
          </w:tcPr>
          <w:p w14:paraId="31C44FE5" w14:textId="77777777" w:rsidR="003C6890" w:rsidRPr="008B3F38" w:rsidRDefault="003C6890" w:rsidP="00025DC3">
            <w:pPr>
              <w:pStyle w:val="Tabletext"/>
              <w:rPr>
                <w:sz w:val="18"/>
                <w:szCs w:val="18"/>
                <w:lang w:val="ru-RU"/>
              </w:rPr>
            </w:pPr>
            <w:r w:rsidRPr="008B3F38">
              <w:rPr>
                <w:color w:val="000000"/>
                <w:sz w:val="18"/>
                <w:szCs w:val="18"/>
                <w:lang w:val="ru-RU"/>
              </w:rPr>
              <w:t>2021 г.</w:t>
            </w:r>
            <w:r w:rsidRPr="008B3F38">
              <w:rPr>
                <w:color w:val="000000"/>
                <w:sz w:val="18"/>
                <w:szCs w:val="18"/>
                <w:lang w:val="ru-RU"/>
              </w:rPr>
              <w:br/>
              <w:t>РЕК11</w:t>
            </w:r>
          </w:p>
        </w:tc>
        <w:tc>
          <w:tcPr>
            <w:tcW w:w="1407" w:type="pct"/>
            <w:shd w:val="clear" w:color="auto" w:fill="auto"/>
          </w:tcPr>
          <w:p w14:paraId="5339C71A" w14:textId="2E8628A7" w:rsidR="003C6890" w:rsidRPr="008B3F38" w:rsidRDefault="003C6890" w:rsidP="00025DC3">
            <w:pPr>
              <w:pStyle w:val="Tabletext"/>
              <w:rPr>
                <w:sz w:val="18"/>
                <w:szCs w:val="18"/>
                <w:lang w:val="ru-RU"/>
              </w:rPr>
            </w:pPr>
            <w:r w:rsidRPr="008B3F38">
              <w:rPr>
                <w:color w:val="000000"/>
                <w:sz w:val="18"/>
                <w:szCs w:val="18"/>
                <w:lang w:val="ru-RU"/>
              </w:rPr>
              <w:t>Мы поддерживаем рекомендации, данные в рамках "Аудиторской проверки программ, проектов и дополнительной деятельности (PPSA), финансируемых за счет добровольных взносов и целевых фондов", опубликованной Службой внутреннего аудита 30 сентября 2021</w:t>
            </w:r>
            <w:r w:rsidR="001D6BAF" w:rsidRPr="008B3F38">
              <w:rPr>
                <w:color w:val="000000"/>
                <w:sz w:val="18"/>
                <w:szCs w:val="18"/>
                <w:lang w:val="ru-RU"/>
              </w:rPr>
              <w:t> </w:t>
            </w:r>
            <w:r w:rsidRPr="008B3F38">
              <w:rPr>
                <w:color w:val="000000"/>
                <w:sz w:val="18"/>
                <w:szCs w:val="18"/>
                <w:lang w:val="ru-RU"/>
              </w:rPr>
              <w:t>года, и рекомендуем руководству незамедлительно выполнить их, а IAU проследить за их выполнением.</w:t>
            </w:r>
          </w:p>
        </w:tc>
        <w:tc>
          <w:tcPr>
            <w:tcW w:w="1661" w:type="pct"/>
            <w:gridSpan w:val="2"/>
            <w:shd w:val="clear" w:color="auto" w:fill="auto"/>
          </w:tcPr>
          <w:p w14:paraId="6A981226" w14:textId="77777777" w:rsidR="003C6890" w:rsidRPr="008B3F38" w:rsidRDefault="003C6890" w:rsidP="00025DC3">
            <w:pPr>
              <w:pStyle w:val="Tabletext"/>
              <w:ind w:left="284" w:hanging="284"/>
              <w:rPr>
                <w:sz w:val="18"/>
                <w:szCs w:val="18"/>
                <w:lang w:val="ru-RU"/>
              </w:rPr>
            </w:pPr>
            <w:r w:rsidRPr="008B3F38">
              <w:rPr>
                <w:color w:val="000000"/>
                <w:sz w:val="18"/>
                <w:szCs w:val="18"/>
                <w:lang w:val="ru-RU"/>
              </w:rPr>
              <w:t>1)</w:t>
            </w:r>
            <w:r w:rsidRPr="008B3F38">
              <w:rPr>
                <w:color w:val="000000"/>
                <w:sz w:val="18"/>
                <w:szCs w:val="18"/>
                <w:lang w:val="ru-RU"/>
              </w:rPr>
              <w:tab/>
              <w:t>Пересмотрен документ "Отчет о ходе выполнения проектов" (PISR), с тем чтобы содействовать обновлению информации координаторами проектов;</w:t>
            </w:r>
          </w:p>
          <w:p w14:paraId="66FD369C" w14:textId="77777777" w:rsidR="003C6890" w:rsidRPr="008B3F38" w:rsidRDefault="003C6890" w:rsidP="00025DC3">
            <w:pPr>
              <w:pStyle w:val="Tabletext"/>
              <w:ind w:left="284" w:hanging="284"/>
              <w:rPr>
                <w:sz w:val="18"/>
                <w:szCs w:val="18"/>
                <w:lang w:val="ru-RU"/>
              </w:rPr>
            </w:pPr>
            <w:r w:rsidRPr="008B3F38">
              <w:rPr>
                <w:color w:val="000000"/>
                <w:sz w:val="18"/>
                <w:szCs w:val="18"/>
                <w:lang w:val="ru-RU"/>
              </w:rPr>
              <w:t>2)</w:t>
            </w:r>
            <w:r w:rsidRPr="008B3F38">
              <w:rPr>
                <w:color w:val="000000"/>
                <w:sz w:val="18"/>
                <w:szCs w:val="18"/>
                <w:lang w:val="ru-RU"/>
              </w:rPr>
              <w:tab/>
              <w:t>каждые два месяца планируется представлять руководству БР отчет о ходе выполнения проекта, в котором основное внимание будет уделяться проблемам и решениям;</w:t>
            </w:r>
          </w:p>
          <w:p w14:paraId="1B24F3B6" w14:textId="7FB88F26" w:rsidR="003C6890" w:rsidRPr="008B3F38" w:rsidRDefault="003C6890" w:rsidP="00025DC3">
            <w:pPr>
              <w:pStyle w:val="Tabletext"/>
              <w:ind w:left="284" w:hanging="284"/>
              <w:rPr>
                <w:sz w:val="18"/>
                <w:szCs w:val="18"/>
                <w:lang w:val="ru-RU"/>
              </w:rPr>
            </w:pPr>
            <w:r w:rsidRPr="008B3F38">
              <w:rPr>
                <w:color w:val="000000"/>
                <w:sz w:val="18"/>
                <w:szCs w:val="18"/>
                <w:lang w:val="ru-RU"/>
              </w:rPr>
              <w:t>3)</w:t>
            </w:r>
            <w:r w:rsidRPr="008B3F38">
              <w:rPr>
                <w:color w:val="000000"/>
                <w:sz w:val="18"/>
                <w:szCs w:val="18"/>
                <w:lang w:val="ru-RU"/>
              </w:rPr>
              <w:tab/>
              <w:t>был пересмотрен документ "Устав проекта", который должен использоваться для любого нового проекта</w:t>
            </w:r>
            <w:r w:rsidR="001D6BAF" w:rsidRPr="008B3F38">
              <w:rPr>
                <w:color w:val="000000"/>
                <w:sz w:val="18"/>
                <w:szCs w:val="18"/>
                <w:lang w:val="ru-RU"/>
              </w:rPr>
              <w:t> </w:t>
            </w:r>
            <w:r w:rsidRPr="008B3F38">
              <w:rPr>
                <w:color w:val="000000"/>
                <w:sz w:val="18"/>
                <w:szCs w:val="18"/>
                <w:lang w:val="ru-RU"/>
              </w:rPr>
              <w:t>БР;</w:t>
            </w:r>
          </w:p>
          <w:p w14:paraId="73A65C50" w14:textId="77777777" w:rsidR="003C6890" w:rsidRPr="008B3F38" w:rsidRDefault="003C6890" w:rsidP="00025DC3">
            <w:pPr>
              <w:pStyle w:val="Tabletext"/>
              <w:ind w:left="284" w:hanging="284"/>
              <w:rPr>
                <w:sz w:val="18"/>
                <w:szCs w:val="18"/>
                <w:lang w:val="ru-RU"/>
              </w:rPr>
            </w:pPr>
            <w:r w:rsidRPr="008B3F38">
              <w:rPr>
                <w:color w:val="000000"/>
                <w:sz w:val="18"/>
                <w:szCs w:val="18"/>
                <w:lang w:val="ru-RU"/>
              </w:rPr>
              <w:t>4)</w:t>
            </w:r>
            <w:r w:rsidRPr="008B3F38">
              <w:rPr>
                <w:color w:val="000000"/>
                <w:sz w:val="18"/>
                <w:szCs w:val="18"/>
                <w:lang w:val="ru-RU"/>
              </w:rPr>
              <w:tab/>
              <w:t>разработаны документы "План работы по проекту", "Потребности проекта" и "Закрытие проекта", которые предложены координаторам проектов БР;</w:t>
            </w:r>
          </w:p>
          <w:p w14:paraId="5030690A" w14:textId="77777777" w:rsidR="003C6890" w:rsidRPr="008B3F38" w:rsidRDefault="003C6890" w:rsidP="00025DC3">
            <w:pPr>
              <w:pStyle w:val="Tabletext"/>
              <w:ind w:left="284" w:hanging="284"/>
              <w:rPr>
                <w:sz w:val="18"/>
                <w:szCs w:val="18"/>
                <w:lang w:val="ru-RU"/>
              </w:rPr>
            </w:pPr>
            <w:r w:rsidRPr="008B3F38">
              <w:rPr>
                <w:color w:val="000000"/>
                <w:sz w:val="18"/>
                <w:szCs w:val="18"/>
                <w:lang w:val="ru-RU"/>
              </w:rPr>
              <w:t>5)</w:t>
            </w:r>
            <w:r w:rsidRPr="008B3F38">
              <w:rPr>
                <w:color w:val="000000"/>
                <w:sz w:val="18"/>
                <w:szCs w:val="18"/>
                <w:lang w:val="ru-RU"/>
              </w:rPr>
              <w:tab/>
              <w:t xml:space="preserve">был предложен проект формализации процесса разработки проектной документации, который в </w:t>
            </w:r>
            <w:r w:rsidRPr="008B3F38">
              <w:rPr>
                <w:color w:val="000000"/>
                <w:sz w:val="18"/>
                <w:szCs w:val="18"/>
                <w:lang w:val="ru-RU"/>
              </w:rPr>
              <w:lastRenderedPageBreak/>
              <w:t>настоящее время проходит процесс консолидации в Руководство БР по управлению проектами.</w:t>
            </w:r>
          </w:p>
          <w:p w14:paraId="6C3A87C3" w14:textId="77777777" w:rsidR="003C6890" w:rsidRPr="008B3F38" w:rsidRDefault="003C6890" w:rsidP="00025DC3">
            <w:pPr>
              <w:pStyle w:val="Tabletext"/>
              <w:rPr>
                <w:sz w:val="18"/>
                <w:szCs w:val="18"/>
                <w:lang w:val="ru-RU"/>
              </w:rPr>
            </w:pPr>
            <w:r w:rsidRPr="008B3F38">
              <w:rPr>
                <w:color w:val="000000"/>
                <w:sz w:val="18"/>
                <w:szCs w:val="18"/>
                <w:lang w:val="ru-RU"/>
              </w:rPr>
              <w:t>Предельный срок – 30 июня 2025 г.</w:t>
            </w:r>
          </w:p>
          <w:p w14:paraId="1C772998" w14:textId="3689BE62" w:rsidR="003C6890" w:rsidRPr="008B3F38" w:rsidRDefault="003C6890" w:rsidP="00025DC3">
            <w:pPr>
              <w:pStyle w:val="Tabletext"/>
              <w:rPr>
                <w:sz w:val="18"/>
                <w:szCs w:val="18"/>
                <w:lang w:val="ru-RU"/>
              </w:rPr>
            </w:pPr>
            <w:r w:rsidRPr="008B3F38">
              <w:rPr>
                <w:color w:val="000000"/>
                <w:sz w:val="18"/>
                <w:szCs w:val="18"/>
                <w:lang w:val="ru-RU"/>
              </w:rPr>
              <w:t>МСЭ считает, что данная рекомендация находится в процессе выполнения.</w:t>
            </w:r>
          </w:p>
        </w:tc>
        <w:tc>
          <w:tcPr>
            <w:tcW w:w="1139" w:type="pct"/>
            <w:gridSpan w:val="2"/>
            <w:shd w:val="clear" w:color="auto" w:fill="auto"/>
          </w:tcPr>
          <w:p w14:paraId="22837979" w14:textId="77777777" w:rsidR="003C6890" w:rsidRPr="008B3F38" w:rsidRDefault="003C6890" w:rsidP="00025DC3">
            <w:pPr>
              <w:pStyle w:val="Tabletext"/>
              <w:rPr>
                <w:sz w:val="18"/>
                <w:szCs w:val="18"/>
                <w:lang w:val="ru-RU"/>
              </w:rPr>
            </w:pPr>
            <w:r w:rsidRPr="008B3F38">
              <w:rPr>
                <w:color w:val="000000"/>
                <w:sz w:val="18"/>
                <w:szCs w:val="18"/>
                <w:lang w:val="ru-RU"/>
              </w:rPr>
              <w:lastRenderedPageBreak/>
              <w:t>Последний ответ принят к сведению и признан обоснованным. Учитывая, что Подразделение по надзору должно отслеживать на детальном уровне выполнение своих рекомендаций, данная соответствующая рекомендация по итогам внешнего аудита выполнена.</w:t>
            </w:r>
          </w:p>
        </w:tc>
        <w:tc>
          <w:tcPr>
            <w:tcW w:w="440" w:type="pct"/>
            <w:shd w:val="clear" w:color="auto" w:fill="auto"/>
          </w:tcPr>
          <w:p w14:paraId="28D7D4D9" w14:textId="77777777" w:rsidR="003C6890" w:rsidRPr="008B3F38" w:rsidRDefault="003C6890" w:rsidP="00025DC3">
            <w:pPr>
              <w:pStyle w:val="Tabletext"/>
              <w:rPr>
                <w:sz w:val="18"/>
                <w:szCs w:val="18"/>
                <w:lang w:val="ru-RU"/>
              </w:rPr>
            </w:pPr>
            <w:r w:rsidRPr="008B3F38">
              <w:rPr>
                <w:color w:val="000000"/>
                <w:sz w:val="18"/>
                <w:szCs w:val="18"/>
                <w:lang w:val="ru-RU"/>
              </w:rPr>
              <w:t>Закрыта.</w:t>
            </w:r>
          </w:p>
        </w:tc>
      </w:tr>
      <w:tr w:rsidR="00411F7C" w:rsidRPr="008B3F38" w14:paraId="48ABB8D1" w14:textId="77777777" w:rsidTr="008A2FDE">
        <w:trPr>
          <w:jc w:val="center"/>
        </w:trPr>
        <w:tc>
          <w:tcPr>
            <w:tcW w:w="353" w:type="pct"/>
            <w:shd w:val="clear" w:color="auto" w:fill="auto"/>
          </w:tcPr>
          <w:p w14:paraId="4BC2EFD4" w14:textId="77777777" w:rsidR="003C6890" w:rsidRPr="008B3F38" w:rsidRDefault="003C6890" w:rsidP="00025DC3">
            <w:pPr>
              <w:pStyle w:val="Tabletext"/>
              <w:rPr>
                <w:sz w:val="18"/>
                <w:szCs w:val="18"/>
                <w:lang w:val="ru-RU"/>
              </w:rPr>
            </w:pPr>
            <w:r w:rsidRPr="008B3F38">
              <w:rPr>
                <w:color w:val="000000"/>
                <w:sz w:val="18"/>
                <w:szCs w:val="18"/>
                <w:lang w:val="ru-RU"/>
              </w:rPr>
              <w:t>2021 г.</w:t>
            </w:r>
            <w:r w:rsidRPr="008B3F38">
              <w:rPr>
                <w:color w:val="000000"/>
                <w:sz w:val="18"/>
                <w:szCs w:val="18"/>
                <w:lang w:val="ru-RU"/>
              </w:rPr>
              <w:br/>
              <w:t>РЕК12</w:t>
            </w:r>
          </w:p>
        </w:tc>
        <w:tc>
          <w:tcPr>
            <w:tcW w:w="1407" w:type="pct"/>
            <w:shd w:val="clear" w:color="auto" w:fill="auto"/>
          </w:tcPr>
          <w:p w14:paraId="107773F5" w14:textId="77777777" w:rsidR="003C6890" w:rsidRPr="008B3F38" w:rsidRDefault="003C6890" w:rsidP="00025DC3">
            <w:pPr>
              <w:pStyle w:val="Tabletext"/>
              <w:rPr>
                <w:sz w:val="18"/>
                <w:szCs w:val="18"/>
                <w:lang w:val="ru-RU"/>
              </w:rPr>
            </w:pPr>
            <w:r w:rsidRPr="008B3F38">
              <w:rPr>
                <w:color w:val="000000"/>
                <w:sz w:val="18"/>
                <w:szCs w:val="18"/>
                <w:lang w:val="ru-RU"/>
              </w:rPr>
              <w:t>Руководству в безотлагательном порядке:</w:t>
            </w:r>
          </w:p>
          <w:p w14:paraId="51A82C9C" w14:textId="77777777" w:rsidR="003C6890" w:rsidRPr="008B3F38" w:rsidRDefault="003C6890" w:rsidP="00025DC3">
            <w:pPr>
              <w:pStyle w:val="Tabletext"/>
              <w:ind w:left="284" w:hanging="284"/>
              <w:rPr>
                <w:sz w:val="18"/>
                <w:szCs w:val="18"/>
                <w:lang w:val="ru-RU"/>
              </w:rPr>
            </w:pPr>
            <w:r w:rsidRPr="008B3F38">
              <w:rPr>
                <w:color w:val="000000"/>
                <w:sz w:val="18"/>
                <w:szCs w:val="18"/>
                <w:lang w:val="ru-RU"/>
              </w:rPr>
              <w:t>i)</w:t>
            </w:r>
            <w:r w:rsidRPr="008B3F38">
              <w:rPr>
                <w:color w:val="000000"/>
                <w:sz w:val="18"/>
                <w:szCs w:val="18"/>
                <w:lang w:val="ru-RU"/>
              </w:rPr>
              <w:tab/>
              <w:t>продолжить организацию в рамках всего МСЭ курсов профессиональной подготовки по всем практикам и руководствам, существующим в настоящее время в МСЭ, особенно для БР и БСЭ;</w:t>
            </w:r>
          </w:p>
          <w:p w14:paraId="3BC435C3" w14:textId="476C7024" w:rsidR="003C6890" w:rsidRPr="008B3F38" w:rsidRDefault="003C6890" w:rsidP="00025DC3">
            <w:pPr>
              <w:pStyle w:val="Tabletext"/>
              <w:ind w:left="284" w:hanging="284"/>
              <w:rPr>
                <w:sz w:val="18"/>
                <w:szCs w:val="18"/>
                <w:lang w:val="ru-RU"/>
              </w:rPr>
            </w:pPr>
            <w:r w:rsidRPr="008B3F38">
              <w:rPr>
                <w:color w:val="000000"/>
                <w:sz w:val="18"/>
                <w:szCs w:val="18"/>
                <w:lang w:val="ru-RU"/>
              </w:rPr>
              <w:t>ii)</w:t>
            </w:r>
            <w:r w:rsidRPr="008B3F38">
              <w:rPr>
                <w:color w:val="000000"/>
                <w:sz w:val="18"/>
                <w:szCs w:val="18"/>
                <w:lang w:val="ru-RU"/>
              </w:rPr>
              <w:tab/>
              <w:t>укрепить внутренний контроль путем создания контрольных списков, основанных на точных мерах контроля, следующих из имеющейся нормативной базы (управление</w:t>
            </w:r>
            <w:r w:rsidR="00442453" w:rsidRPr="008B3F38">
              <w:rPr>
                <w:color w:val="000000"/>
                <w:sz w:val="18"/>
                <w:szCs w:val="18"/>
                <w:lang w:val="ru-RU"/>
              </w:rPr>
              <w:t> </w:t>
            </w:r>
            <w:r w:rsidRPr="008B3F38">
              <w:rPr>
                <w:color w:val="000000"/>
                <w:sz w:val="18"/>
                <w:szCs w:val="18"/>
                <w:lang w:val="ru-RU"/>
              </w:rPr>
              <w:t>конфликтом интересов, риски мошенничества и пр.), включая также конкретные, последовательные и эффективные показатели риска мошенничества и ошибок, которые могут помочь надзорным органам и/или независимым оценщикам в мониторинге и укреплении внутреннего контроля. Такие</w:t>
            </w:r>
            <w:r w:rsidR="00EC6C7B" w:rsidRPr="008B3F38">
              <w:rPr>
                <w:color w:val="000000"/>
                <w:sz w:val="18"/>
                <w:szCs w:val="18"/>
                <w:lang w:val="ru-RU"/>
              </w:rPr>
              <w:t> </w:t>
            </w:r>
            <w:r w:rsidRPr="008B3F38">
              <w:rPr>
                <w:color w:val="000000"/>
                <w:sz w:val="18"/>
                <w:szCs w:val="18"/>
                <w:lang w:val="ru-RU"/>
              </w:rPr>
              <w:t>контрольные списки должны последовательно применяться во всех Бюро, создавая аудиторский процесс, в ходе которого надзорные органы могли бы контролировать работу руководителей проектов, где, как указано выше, каждый элемент контроля будет способствовать укреплению эффективной системы внутреннего контроля.</w:t>
            </w:r>
          </w:p>
        </w:tc>
        <w:tc>
          <w:tcPr>
            <w:tcW w:w="1661" w:type="pct"/>
            <w:gridSpan w:val="2"/>
            <w:shd w:val="clear" w:color="auto" w:fill="auto"/>
          </w:tcPr>
          <w:p w14:paraId="714F528D" w14:textId="70941CEC" w:rsidR="003C6890" w:rsidRPr="008B3F38" w:rsidRDefault="003C6890" w:rsidP="00025DC3">
            <w:pPr>
              <w:pStyle w:val="Tabletext"/>
              <w:rPr>
                <w:sz w:val="18"/>
                <w:szCs w:val="18"/>
                <w:lang w:val="ru-RU"/>
              </w:rPr>
            </w:pPr>
            <w:r w:rsidRPr="008B3F38">
              <w:rPr>
                <w:color w:val="000000"/>
                <w:sz w:val="18"/>
                <w:szCs w:val="18"/>
                <w:lang w:val="ru-RU"/>
              </w:rPr>
              <w:t>Обновленная информация по состоянию на май 2024</w:t>
            </w:r>
            <w:r w:rsidR="001D6BAF" w:rsidRPr="008B3F38">
              <w:rPr>
                <w:color w:val="000000"/>
                <w:sz w:val="18"/>
                <w:szCs w:val="18"/>
                <w:lang w:val="ru-RU"/>
              </w:rPr>
              <w:t> </w:t>
            </w:r>
            <w:r w:rsidRPr="008B3F38">
              <w:rPr>
                <w:color w:val="000000"/>
                <w:sz w:val="18"/>
                <w:szCs w:val="18"/>
                <w:lang w:val="ru-RU"/>
              </w:rPr>
              <w:t>года: МСЭ усовершенствовал руководство проектами во всем БРЭ за счет широкого круга мероприятий. Ниже приведен краткий обзор [этих] мероприятий, [...] проводимых с 2021 года:</w:t>
            </w:r>
          </w:p>
          <w:p w14:paraId="0B1EEDD4" w14:textId="77777777" w:rsidR="003C6890" w:rsidRPr="008B3F38" w:rsidRDefault="003C6890" w:rsidP="00025DC3">
            <w:pPr>
              <w:pStyle w:val="Tabletext"/>
              <w:ind w:left="284" w:hanging="284"/>
              <w:rPr>
                <w:sz w:val="18"/>
                <w:szCs w:val="18"/>
                <w:lang w:val="ru-RU"/>
              </w:rPr>
            </w:pPr>
            <w:r w:rsidRPr="008B3F38">
              <w:rPr>
                <w:color w:val="000000"/>
                <w:sz w:val="18"/>
                <w:szCs w:val="18"/>
                <w:lang w:val="ru-RU"/>
              </w:rPr>
              <w:t>–</w:t>
            </w:r>
            <w:r w:rsidRPr="008B3F38">
              <w:rPr>
                <w:color w:val="000000"/>
                <w:sz w:val="18"/>
                <w:szCs w:val="18"/>
                <w:lang w:val="ru-RU"/>
              </w:rPr>
              <w:tab/>
              <w:t>Учреждение Комитета по проектам БРЭ: Комитет по проектам БРЭ продолжает проводить собрания на регулярной основе для оценки целесообразности и актуальности предложений до их перехода в статус проектов, рассмотрения и утверждения проектов до их согласования с партнерами и обеспечения надзора за реализацией проектов и их закрытия при возникновении проблем. Контроль за выполнением решений Комитета на регулярной основе контролируется Отделом поддержки проектов, и результаты контроля доводятся до сведения Комитета по проектам.</w:t>
            </w:r>
          </w:p>
          <w:p w14:paraId="3C968235" w14:textId="2616EB19" w:rsidR="003C6890" w:rsidRPr="008B3F38" w:rsidRDefault="003C6890" w:rsidP="00025DC3">
            <w:pPr>
              <w:pStyle w:val="Tabletext"/>
              <w:ind w:left="284" w:hanging="284"/>
              <w:rPr>
                <w:sz w:val="18"/>
                <w:szCs w:val="18"/>
                <w:lang w:val="ru-RU"/>
              </w:rPr>
            </w:pPr>
            <w:r w:rsidRPr="008B3F38">
              <w:rPr>
                <w:color w:val="000000"/>
                <w:sz w:val="18"/>
                <w:szCs w:val="18"/>
                <w:lang w:val="ru-RU"/>
              </w:rPr>
              <w:t>–</w:t>
            </w:r>
            <w:r w:rsidRPr="008B3F38">
              <w:rPr>
                <w:color w:val="000000"/>
                <w:sz w:val="18"/>
                <w:szCs w:val="18"/>
                <w:lang w:val="ru-RU"/>
              </w:rPr>
              <w:tab/>
              <w:t>Создание новой группы "Проекты под особым надзором", т.</w:t>
            </w:r>
            <w:r w:rsidR="00411F7C" w:rsidRPr="008B3F38">
              <w:rPr>
                <w:color w:val="000000"/>
                <w:sz w:val="18"/>
                <w:szCs w:val="18"/>
                <w:lang w:val="ru-RU"/>
              </w:rPr>
              <w:t> </w:t>
            </w:r>
            <w:r w:rsidRPr="008B3F38">
              <w:rPr>
                <w:color w:val="000000"/>
                <w:sz w:val="18"/>
                <w:szCs w:val="18"/>
                <w:lang w:val="ru-RU"/>
              </w:rPr>
              <w:t>е.</w:t>
            </w:r>
            <w:r w:rsidR="00411F7C" w:rsidRPr="008B3F38">
              <w:rPr>
                <w:color w:val="000000"/>
                <w:sz w:val="18"/>
                <w:szCs w:val="18"/>
                <w:lang w:val="ru-RU"/>
              </w:rPr>
              <w:t> </w:t>
            </w:r>
            <w:r w:rsidRPr="008B3F38">
              <w:rPr>
                <w:color w:val="000000"/>
                <w:sz w:val="18"/>
                <w:szCs w:val="18"/>
                <w:lang w:val="ru-RU"/>
              </w:rPr>
              <w:t>Комитет по проектам БРЭ внедрил новый механизм для обеспечения дополнительного уровня надзора за проектами, с выполнением которых давно есть сложности. Мониторинг проектов, включенных в эту группу, осуществляется на еженедельной основе, и Директору БРЭ представляется еженедельный отчет для рассмотрения и дополнительных указаний. Проекты находятся под особым надзором до тех пор, пока их реализация не вернется на прежний уровень.</w:t>
            </w:r>
          </w:p>
          <w:p w14:paraId="750DFAD3" w14:textId="46C483D9" w:rsidR="003C6890" w:rsidRPr="008B3F38" w:rsidRDefault="003C6890" w:rsidP="00025DC3">
            <w:pPr>
              <w:pStyle w:val="Tabletext"/>
              <w:ind w:left="284" w:hanging="284"/>
              <w:rPr>
                <w:sz w:val="18"/>
                <w:szCs w:val="18"/>
                <w:lang w:val="ru-RU"/>
              </w:rPr>
            </w:pPr>
            <w:r w:rsidRPr="008B3F38">
              <w:rPr>
                <w:color w:val="000000"/>
                <w:sz w:val="18"/>
                <w:szCs w:val="18"/>
                <w:lang w:val="ru-RU"/>
              </w:rPr>
              <w:t>–</w:t>
            </w:r>
            <w:r w:rsidRPr="008B3F38">
              <w:rPr>
                <w:color w:val="000000"/>
                <w:sz w:val="18"/>
                <w:szCs w:val="18"/>
                <w:lang w:val="ru-RU"/>
              </w:rPr>
              <w:tab/>
              <w:t xml:space="preserve">Совершенствование отчетности перед партнерами: БРЭ ввело новую политику, гарантирующую регулярное, не реже одного раза в шесть (6) месяцев, получение всеми партнерами по проекту отчетов, включающих подробную информацию о результатах, достигнутых в ходе финансируемых ими проектов, а </w:t>
            </w:r>
            <w:r w:rsidRPr="008B3F38">
              <w:rPr>
                <w:color w:val="000000"/>
                <w:sz w:val="18"/>
                <w:szCs w:val="18"/>
                <w:lang w:val="ru-RU"/>
              </w:rPr>
              <w:lastRenderedPageBreak/>
              <w:t>также подробные финансовые данные. Эта мера была введена после полученных отзывов КГРЭ. Эти</w:t>
            </w:r>
            <w:r w:rsidR="00EC6C7B" w:rsidRPr="008B3F38">
              <w:rPr>
                <w:color w:val="000000"/>
                <w:sz w:val="18"/>
                <w:szCs w:val="18"/>
                <w:lang w:val="ru-RU"/>
              </w:rPr>
              <w:t> </w:t>
            </w:r>
            <w:r w:rsidRPr="008B3F38">
              <w:rPr>
                <w:color w:val="000000"/>
                <w:sz w:val="18"/>
                <w:szCs w:val="18"/>
                <w:lang w:val="ru-RU"/>
              </w:rPr>
              <w:t>отчеты донорам предоставляются не по запросу доноров, их целью является обеспечение прозрачности, а также более качественной и своевременной отчетности.</w:t>
            </w:r>
          </w:p>
          <w:p w14:paraId="345C6D1C" w14:textId="7C0301BB" w:rsidR="003C6890" w:rsidRPr="008B3F38" w:rsidRDefault="003C6890" w:rsidP="00025DC3">
            <w:pPr>
              <w:pStyle w:val="Tabletext"/>
              <w:ind w:left="284" w:hanging="284"/>
              <w:rPr>
                <w:sz w:val="18"/>
                <w:szCs w:val="18"/>
                <w:lang w:val="ru-RU"/>
              </w:rPr>
            </w:pPr>
            <w:r w:rsidRPr="008B3F38">
              <w:rPr>
                <w:color w:val="000000"/>
                <w:sz w:val="18"/>
                <w:szCs w:val="18"/>
                <w:lang w:val="ru-RU"/>
              </w:rPr>
              <w:t>–</w:t>
            </w:r>
            <w:r w:rsidRPr="008B3F38">
              <w:rPr>
                <w:color w:val="000000"/>
                <w:sz w:val="18"/>
                <w:szCs w:val="18"/>
                <w:lang w:val="ru-RU"/>
              </w:rPr>
              <w:tab/>
              <w:t>Новая информационная панель проектов для Государств – Членов МСЭ: после получения отзывов от КГРЭ МСЭ представил новую интерактивную информационную панель проектов, на которой члены МСЭ могут получить более подробную информацию о состоянии портфеля проектов МСЭ-D. Новая информационная панель доступна на Портале проектов БРЭ владельцам учетных записей пользователей МСЭ с доступом TIES.</w:t>
            </w:r>
          </w:p>
          <w:p w14:paraId="58D299C5" w14:textId="77777777" w:rsidR="003C6890" w:rsidRPr="008B3F38" w:rsidRDefault="003C6890" w:rsidP="00025DC3">
            <w:pPr>
              <w:pStyle w:val="Tabletext"/>
              <w:rPr>
                <w:sz w:val="18"/>
                <w:szCs w:val="18"/>
                <w:lang w:val="ru-RU"/>
              </w:rPr>
            </w:pPr>
            <w:r w:rsidRPr="008B3F38">
              <w:rPr>
                <w:color w:val="000000"/>
                <w:sz w:val="18"/>
                <w:szCs w:val="18"/>
                <w:lang w:val="ru-RU"/>
              </w:rPr>
              <w:t>В том что касается отбора консультантов и управления ими, МСЭ ввел новые механизмы повышения прозрачности и конкуренции на все позиции для найма в МСЭ. В ряде случаев это привело к задержкам в найме, которые повлияли на сроки реализации PPSA. В качестве дальнейших шагов администрация МСЭ в настоящее время рассматривает усовершенствования, введенные для сокращения продолжительности и сложности процессов, чтобы обеспечить более своевременный набор экспертов и персонала.</w:t>
            </w:r>
          </w:p>
          <w:p w14:paraId="2262092A" w14:textId="77777777" w:rsidR="003C6890" w:rsidRPr="008B3F38" w:rsidRDefault="003C6890" w:rsidP="00025DC3">
            <w:pPr>
              <w:pStyle w:val="Tabletext"/>
              <w:rPr>
                <w:sz w:val="18"/>
                <w:szCs w:val="18"/>
                <w:lang w:val="ru-RU"/>
              </w:rPr>
            </w:pPr>
            <w:r w:rsidRPr="008B3F38">
              <w:rPr>
                <w:color w:val="000000"/>
                <w:sz w:val="18"/>
                <w:szCs w:val="18"/>
                <w:lang w:val="ru-RU"/>
              </w:rPr>
              <w:t>С учетом того, что PPSA проводится в рамках всего МСЭ, вышеизложенные методики и механизмы, разработанные и внедренные БРЭ, могут быть распространены на другие Бюро и ГА.</w:t>
            </w:r>
          </w:p>
          <w:p w14:paraId="260647A2" w14:textId="77777777" w:rsidR="003C6890" w:rsidRPr="008B3F38" w:rsidRDefault="003C6890" w:rsidP="00025DC3">
            <w:pPr>
              <w:pStyle w:val="Tabletext"/>
              <w:rPr>
                <w:sz w:val="18"/>
                <w:szCs w:val="18"/>
                <w:lang w:val="ru-RU"/>
              </w:rPr>
            </w:pPr>
            <w:r w:rsidRPr="008B3F38">
              <w:rPr>
                <w:color w:val="000000"/>
                <w:sz w:val="18"/>
                <w:szCs w:val="18"/>
                <w:lang w:val="ru-RU"/>
              </w:rPr>
              <w:t>Эту рекомендацию можно считать частично выполненной для PPSA, проводимой под руководством БРЭ, при этом для других Бюро и Генерального секретариата работа продолжается.</w:t>
            </w:r>
          </w:p>
        </w:tc>
        <w:tc>
          <w:tcPr>
            <w:tcW w:w="1139" w:type="pct"/>
            <w:gridSpan w:val="2"/>
            <w:shd w:val="clear" w:color="auto" w:fill="auto"/>
          </w:tcPr>
          <w:p w14:paraId="59F6CE3E" w14:textId="77777777" w:rsidR="003C6890" w:rsidRPr="008B3F38" w:rsidRDefault="003C6890" w:rsidP="00025DC3">
            <w:pPr>
              <w:pStyle w:val="Tabletext"/>
              <w:rPr>
                <w:sz w:val="18"/>
                <w:szCs w:val="18"/>
                <w:lang w:val="ru-RU"/>
              </w:rPr>
            </w:pPr>
            <w:r w:rsidRPr="008B3F38">
              <w:rPr>
                <w:color w:val="000000"/>
                <w:sz w:val="18"/>
                <w:szCs w:val="18"/>
                <w:lang w:val="ru-RU"/>
              </w:rPr>
              <w:lastRenderedPageBreak/>
              <w:t>Последний ответ принимается к сведению. Учитывая изложенные в настоящем отчете наши собственные выводы, сделанные в этом году в отношении проектной деятельности и в более общем смысле относительно среды контроля, эта рекомендация находится в процессе выполнения.</w:t>
            </w:r>
          </w:p>
        </w:tc>
        <w:tc>
          <w:tcPr>
            <w:tcW w:w="440" w:type="pct"/>
            <w:shd w:val="clear" w:color="auto" w:fill="auto"/>
          </w:tcPr>
          <w:p w14:paraId="6C5309CC" w14:textId="77777777" w:rsidR="003C6890" w:rsidRPr="008B3F38" w:rsidRDefault="003C6890" w:rsidP="00025DC3">
            <w:pPr>
              <w:pStyle w:val="Tabletext"/>
              <w:ind w:right="-57"/>
              <w:rPr>
                <w:sz w:val="18"/>
                <w:szCs w:val="18"/>
                <w:lang w:val="ru-RU"/>
              </w:rPr>
            </w:pPr>
            <w:r w:rsidRPr="008B3F38">
              <w:rPr>
                <w:color w:val="000000"/>
                <w:sz w:val="18"/>
                <w:szCs w:val="18"/>
                <w:lang w:val="ru-RU"/>
              </w:rPr>
              <w:t>Выполняется.</w:t>
            </w:r>
          </w:p>
        </w:tc>
      </w:tr>
      <w:tr w:rsidR="00411F7C" w:rsidRPr="008B3F38" w14:paraId="064C7C3E" w14:textId="77777777" w:rsidTr="008A2FDE">
        <w:trPr>
          <w:jc w:val="center"/>
        </w:trPr>
        <w:tc>
          <w:tcPr>
            <w:tcW w:w="353" w:type="pct"/>
            <w:shd w:val="clear" w:color="auto" w:fill="auto"/>
          </w:tcPr>
          <w:p w14:paraId="7EDDFE5E" w14:textId="77777777" w:rsidR="003C6890" w:rsidRPr="008B3F38" w:rsidRDefault="003C6890" w:rsidP="00025DC3">
            <w:pPr>
              <w:pStyle w:val="Tabletext"/>
              <w:rPr>
                <w:sz w:val="18"/>
                <w:szCs w:val="18"/>
                <w:lang w:val="ru-RU"/>
              </w:rPr>
            </w:pPr>
            <w:r w:rsidRPr="008B3F38">
              <w:rPr>
                <w:color w:val="000000"/>
                <w:sz w:val="18"/>
                <w:szCs w:val="18"/>
                <w:lang w:val="ru-RU"/>
              </w:rPr>
              <w:t>2021 г.</w:t>
            </w:r>
            <w:r w:rsidRPr="008B3F38">
              <w:rPr>
                <w:color w:val="000000"/>
                <w:sz w:val="18"/>
                <w:szCs w:val="18"/>
                <w:lang w:val="ru-RU"/>
              </w:rPr>
              <w:br/>
              <w:t>РЕК13</w:t>
            </w:r>
          </w:p>
        </w:tc>
        <w:tc>
          <w:tcPr>
            <w:tcW w:w="1407" w:type="pct"/>
            <w:shd w:val="clear" w:color="auto" w:fill="auto"/>
          </w:tcPr>
          <w:p w14:paraId="25745130" w14:textId="65240564" w:rsidR="003C6890" w:rsidRPr="008B3F38" w:rsidRDefault="003C6890" w:rsidP="00025DC3">
            <w:pPr>
              <w:pStyle w:val="Tabletext"/>
              <w:ind w:left="284" w:hanging="284"/>
              <w:rPr>
                <w:sz w:val="18"/>
                <w:szCs w:val="18"/>
                <w:lang w:val="ru-RU"/>
              </w:rPr>
            </w:pPr>
            <w:r w:rsidRPr="008B3F38">
              <w:rPr>
                <w:color w:val="000000"/>
                <w:sz w:val="18"/>
                <w:szCs w:val="18"/>
                <w:lang w:val="ru-RU"/>
              </w:rPr>
              <w:t>a)</w:t>
            </w:r>
            <w:r w:rsidRPr="008B3F38">
              <w:rPr>
                <w:color w:val="000000"/>
                <w:sz w:val="18"/>
                <w:szCs w:val="18"/>
                <w:lang w:val="ru-RU"/>
              </w:rPr>
              <w:tab/>
              <w:t>сопровождать мониторинг расходов также пересмотром действующей нормативной базы для правильной организации периодов работы и начисления отпусков с учетом окончания службы</w:t>
            </w:r>
            <w:r w:rsidR="00EA37BB" w:rsidRPr="008B3F38">
              <w:rPr>
                <w:color w:val="000000"/>
                <w:sz w:val="18"/>
                <w:szCs w:val="18"/>
                <w:lang w:val="ru-RU"/>
              </w:rPr>
              <w:t>;</w:t>
            </w:r>
            <w:r w:rsidRPr="008B3F38">
              <w:rPr>
                <w:color w:val="000000"/>
                <w:sz w:val="18"/>
                <w:szCs w:val="18"/>
                <w:lang w:val="ru-RU"/>
              </w:rPr>
              <w:t xml:space="preserve"> а также</w:t>
            </w:r>
          </w:p>
          <w:p w14:paraId="7A5B6DC9" w14:textId="77777777" w:rsidR="003C6890" w:rsidRPr="008B3F38" w:rsidRDefault="003C6890" w:rsidP="00025DC3">
            <w:pPr>
              <w:pStyle w:val="Tabletext"/>
              <w:ind w:left="284" w:hanging="284"/>
              <w:rPr>
                <w:sz w:val="18"/>
                <w:szCs w:val="18"/>
                <w:lang w:val="ru-RU"/>
              </w:rPr>
            </w:pPr>
            <w:r w:rsidRPr="008B3F38">
              <w:rPr>
                <w:color w:val="000000"/>
                <w:sz w:val="18"/>
                <w:szCs w:val="18"/>
                <w:lang w:val="ru-RU"/>
              </w:rPr>
              <w:lastRenderedPageBreak/>
              <w:t>b)</w:t>
            </w:r>
            <w:r w:rsidRPr="008B3F38">
              <w:rPr>
                <w:color w:val="000000"/>
                <w:sz w:val="18"/>
                <w:szCs w:val="18"/>
                <w:lang w:val="ru-RU"/>
              </w:rPr>
              <w:tab/>
              <w:t>пересмотреть и укрепить правила, касающиеся дней отпуска, которые могут быть накоплены сотрудниками перед прекращением работы в Организации.</w:t>
            </w:r>
          </w:p>
        </w:tc>
        <w:tc>
          <w:tcPr>
            <w:tcW w:w="1661" w:type="pct"/>
            <w:gridSpan w:val="2"/>
            <w:shd w:val="clear" w:color="auto" w:fill="auto"/>
          </w:tcPr>
          <w:p w14:paraId="208F9F93" w14:textId="50C27647" w:rsidR="003C6890" w:rsidRPr="008B3F38" w:rsidRDefault="003C6890" w:rsidP="00025DC3">
            <w:pPr>
              <w:pStyle w:val="Tabletext"/>
              <w:rPr>
                <w:sz w:val="18"/>
                <w:szCs w:val="18"/>
                <w:lang w:val="ru-RU"/>
              </w:rPr>
            </w:pPr>
            <w:r w:rsidRPr="008B3F38">
              <w:rPr>
                <w:color w:val="000000"/>
                <w:sz w:val="18"/>
                <w:szCs w:val="18"/>
                <w:lang w:val="ru-RU"/>
              </w:rPr>
              <w:lastRenderedPageBreak/>
              <w:t>Обновленная информация по состоянию на май 2024 г.: разработан контрольный перечень "Окончание службы". Данную рекомендацию следует пометить как</w:t>
            </w:r>
            <w:r w:rsidR="00EC6C7B" w:rsidRPr="008B3F38">
              <w:rPr>
                <w:color w:val="000000"/>
                <w:sz w:val="18"/>
                <w:szCs w:val="18"/>
                <w:lang w:val="ru-RU"/>
              </w:rPr>
              <w:t> </w:t>
            </w:r>
            <w:r w:rsidRPr="008B3F38">
              <w:rPr>
                <w:color w:val="000000"/>
                <w:sz w:val="18"/>
                <w:szCs w:val="18"/>
                <w:lang w:val="ru-RU"/>
              </w:rPr>
              <w:t>выполненную.</w:t>
            </w:r>
          </w:p>
          <w:p w14:paraId="40E97F14" w14:textId="77777777" w:rsidR="003C6890" w:rsidRPr="008B3F38" w:rsidRDefault="003C6890" w:rsidP="00025DC3">
            <w:pPr>
              <w:pStyle w:val="Tabletext"/>
              <w:rPr>
                <w:sz w:val="18"/>
                <w:szCs w:val="18"/>
                <w:lang w:val="ru-RU"/>
              </w:rPr>
            </w:pPr>
            <w:r w:rsidRPr="008B3F38">
              <w:rPr>
                <w:color w:val="000000"/>
                <w:sz w:val="18"/>
                <w:szCs w:val="18"/>
                <w:lang w:val="ru-RU"/>
              </w:rPr>
              <w:t>МСЭ считает данную рекомендацию выполненной.</w:t>
            </w:r>
          </w:p>
        </w:tc>
        <w:tc>
          <w:tcPr>
            <w:tcW w:w="1139" w:type="pct"/>
            <w:gridSpan w:val="2"/>
            <w:shd w:val="clear" w:color="auto" w:fill="auto"/>
          </w:tcPr>
          <w:p w14:paraId="58BCF057" w14:textId="77777777" w:rsidR="003C6890" w:rsidRPr="008B3F38" w:rsidRDefault="003C6890" w:rsidP="00025DC3">
            <w:pPr>
              <w:pStyle w:val="Tabletext"/>
              <w:rPr>
                <w:sz w:val="18"/>
                <w:szCs w:val="18"/>
                <w:lang w:val="ru-RU"/>
              </w:rPr>
            </w:pPr>
            <w:r w:rsidRPr="008B3F38">
              <w:rPr>
                <w:color w:val="000000"/>
                <w:sz w:val="18"/>
                <w:szCs w:val="18"/>
                <w:lang w:val="ru-RU"/>
              </w:rPr>
              <w:t>Последний ответ принят к сведению и признан обоснованным. Рекомендация выполнена.</w:t>
            </w:r>
          </w:p>
        </w:tc>
        <w:tc>
          <w:tcPr>
            <w:tcW w:w="440" w:type="pct"/>
            <w:shd w:val="clear" w:color="auto" w:fill="auto"/>
          </w:tcPr>
          <w:p w14:paraId="635D1DC8" w14:textId="77777777" w:rsidR="003C6890" w:rsidRPr="008B3F38" w:rsidRDefault="003C6890" w:rsidP="00025DC3">
            <w:pPr>
              <w:pStyle w:val="Tabletext"/>
              <w:rPr>
                <w:sz w:val="18"/>
                <w:szCs w:val="18"/>
                <w:lang w:val="ru-RU"/>
              </w:rPr>
            </w:pPr>
            <w:r w:rsidRPr="008B3F38">
              <w:rPr>
                <w:color w:val="000000"/>
                <w:sz w:val="18"/>
                <w:szCs w:val="18"/>
                <w:lang w:val="ru-RU"/>
              </w:rPr>
              <w:t>Закрыта.</w:t>
            </w:r>
          </w:p>
        </w:tc>
      </w:tr>
      <w:tr w:rsidR="00411F7C" w:rsidRPr="008B3F38" w14:paraId="26B20F39" w14:textId="77777777" w:rsidTr="008A2FDE">
        <w:trPr>
          <w:jc w:val="center"/>
        </w:trPr>
        <w:tc>
          <w:tcPr>
            <w:tcW w:w="353" w:type="pct"/>
            <w:shd w:val="clear" w:color="auto" w:fill="auto"/>
          </w:tcPr>
          <w:p w14:paraId="3F47104B" w14:textId="77777777" w:rsidR="003C6890" w:rsidRPr="008B3F38" w:rsidRDefault="003C6890" w:rsidP="00025DC3">
            <w:pPr>
              <w:pStyle w:val="Tabletext"/>
              <w:rPr>
                <w:sz w:val="18"/>
                <w:szCs w:val="18"/>
                <w:lang w:val="ru-RU"/>
              </w:rPr>
            </w:pPr>
            <w:r w:rsidRPr="008B3F38">
              <w:rPr>
                <w:color w:val="000000"/>
                <w:sz w:val="18"/>
                <w:szCs w:val="18"/>
                <w:lang w:val="ru-RU"/>
              </w:rPr>
              <w:t>2021 г.</w:t>
            </w:r>
            <w:r w:rsidRPr="008B3F38">
              <w:rPr>
                <w:color w:val="000000"/>
                <w:sz w:val="18"/>
                <w:szCs w:val="18"/>
                <w:lang w:val="ru-RU"/>
              </w:rPr>
              <w:br/>
              <w:t>РЕК14</w:t>
            </w:r>
          </w:p>
        </w:tc>
        <w:tc>
          <w:tcPr>
            <w:tcW w:w="1407" w:type="pct"/>
            <w:shd w:val="clear" w:color="auto" w:fill="auto"/>
          </w:tcPr>
          <w:p w14:paraId="2448E8CF" w14:textId="5484F06B" w:rsidR="003C6890" w:rsidRPr="008B3F38" w:rsidRDefault="003C6890" w:rsidP="00025DC3">
            <w:pPr>
              <w:pStyle w:val="Tabletext"/>
              <w:rPr>
                <w:sz w:val="18"/>
                <w:szCs w:val="18"/>
                <w:lang w:val="ru-RU"/>
              </w:rPr>
            </w:pPr>
            <w:r w:rsidRPr="008B3F38">
              <w:rPr>
                <w:color w:val="000000"/>
                <w:sz w:val="18"/>
                <w:szCs w:val="18"/>
                <w:lang w:val="ru-RU"/>
              </w:rPr>
              <w:t>Своевременно и эффективно внедрить политику</w:t>
            </w:r>
            <w:r w:rsidR="00EC6C7B" w:rsidRPr="008B3F38">
              <w:rPr>
                <w:color w:val="000000"/>
                <w:sz w:val="18"/>
                <w:szCs w:val="18"/>
                <w:lang w:val="ru-RU"/>
              </w:rPr>
              <w:t> </w:t>
            </w:r>
            <w:r w:rsidRPr="008B3F38">
              <w:rPr>
                <w:color w:val="000000"/>
                <w:sz w:val="18"/>
                <w:szCs w:val="18"/>
                <w:lang w:val="ru-RU"/>
              </w:rPr>
              <w:t>мобильности.</w:t>
            </w:r>
          </w:p>
        </w:tc>
        <w:tc>
          <w:tcPr>
            <w:tcW w:w="1661" w:type="pct"/>
            <w:gridSpan w:val="2"/>
            <w:shd w:val="clear" w:color="auto" w:fill="auto"/>
          </w:tcPr>
          <w:p w14:paraId="1C1825B1" w14:textId="757DAB33" w:rsidR="003C6890" w:rsidRPr="008B3F38" w:rsidRDefault="003C6890" w:rsidP="00025DC3">
            <w:pPr>
              <w:pStyle w:val="Tabletext"/>
              <w:rPr>
                <w:sz w:val="18"/>
                <w:szCs w:val="18"/>
                <w:lang w:val="ru-RU"/>
              </w:rPr>
            </w:pPr>
            <w:r w:rsidRPr="008B3F38">
              <w:rPr>
                <w:color w:val="000000"/>
                <w:sz w:val="18"/>
                <w:szCs w:val="18"/>
                <w:lang w:val="ru-RU"/>
              </w:rPr>
              <w:t>Обновленная информация по состоянию на май 2025 г.: настоящая рекомендация, а также рекомендации 17 и 18 Специального отчета Регионального отделения для Северной и Южной Америки 2022 года, касающиеся ротации и мобильности сотрудников, рассматриваются</w:t>
            </w:r>
            <w:r w:rsidR="00EC6C7B" w:rsidRPr="008B3F38">
              <w:rPr>
                <w:color w:val="000000"/>
                <w:sz w:val="18"/>
                <w:szCs w:val="18"/>
                <w:lang w:val="ru-RU"/>
              </w:rPr>
              <w:t> </w:t>
            </w:r>
            <w:r w:rsidRPr="008B3F38">
              <w:rPr>
                <w:color w:val="000000"/>
                <w:sz w:val="18"/>
                <w:szCs w:val="18"/>
                <w:lang w:val="ru-RU"/>
              </w:rPr>
              <w:t>совместно.</w:t>
            </w:r>
          </w:p>
          <w:p w14:paraId="656ABEA1" w14:textId="1AD4322C" w:rsidR="003C6890" w:rsidRPr="008B3F38" w:rsidRDefault="003C6890" w:rsidP="00025DC3">
            <w:pPr>
              <w:pStyle w:val="Tabletext"/>
              <w:rPr>
                <w:sz w:val="18"/>
                <w:szCs w:val="18"/>
                <w:lang w:val="ru-RU"/>
              </w:rPr>
            </w:pPr>
            <w:r w:rsidRPr="008B3F38">
              <w:rPr>
                <w:color w:val="000000"/>
                <w:sz w:val="18"/>
                <w:szCs w:val="18"/>
                <w:lang w:val="ru-RU"/>
              </w:rPr>
              <w:t>МСЭ считает, что рекомендация находится в процессе</w:t>
            </w:r>
            <w:r w:rsidR="00EC6C7B" w:rsidRPr="008B3F38">
              <w:rPr>
                <w:color w:val="000000"/>
                <w:sz w:val="18"/>
                <w:szCs w:val="18"/>
                <w:lang w:val="ru-RU"/>
              </w:rPr>
              <w:t> </w:t>
            </w:r>
            <w:r w:rsidRPr="008B3F38">
              <w:rPr>
                <w:color w:val="000000"/>
                <w:sz w:val="18"/>
                <w:szCs w:val="18"/>
                <w:lang w:val="ru-RU"/>
              </w:rPr>
              <w:t>выполнения.</w:t>
            </w:r>
          </w:p>
        </w:tc>
        <w:tc>
          <w:tcPr>
            <w:tcW w:w="1139" w:type="pct"/>
            <w:gridSpan w:val="2"/>
            <w:shd w:val="clear" w:color="auto" w:fill="auto"/>
          </w:tcPr>
          <w:p w14:paraId="4B2023B1" w14:textId="2DF2009B" w:rsidR="003C6890" w:rsidRPr="008B3F38" w:rsidRDefault="003C6890" w:rsidP="00025DC3">
            <w:pPr>
              <w:pStyle w:val="Tabletext"/>
              <w:rPr>
                <w:sz w:val="18"/>
                <w:szCs w:val="18"/>
                <w:lang w:val="ru-RU"/>
              </w:rPr>
            </w:pPr>
            <w:r w:rsidRPr="008B3F38">
              <w:rPr>
                <w:color w:val="000000"/>
                <w:sz w:val="18"/>
                <w:szCs w:val="18"/>
                <w:lang w:val="ru-RU"/>
              </w:rPr>
              <w:t>Последний ответ принимается к сведению. Настоящая рекомендация по-прежнему находится в процессе</w:t>
            </w:r>
            <w:r w:rsidR="00EC6C7B" w:rsidRPr="008B3F38">
              <w:rPr>
                <w:color w:val="000000"/>
                <w:sz w:val="18"/>
                <w:szCs w:val="18"/>
                <w:lang w:val="ru-RU"/>
              </w:rPr>
              <w:t> </w:t>
            </w:r>
            <w:r w:rsidRPr="008B3F38">
              <w:rPr>
                <w:color w:val="000000"/>
                <w:sz w:val="18"/>
                <w:szCs w:val="18"/>
                <w:lang w:val="ru-RU"/>
              </w:rPr>
              <w:t>выполнения.</w:t>
            </w:r>
          </w:p>
        </w:tc>
        <w:tc>
          <w:tcPr>
            <w:tcW w:w="440" w:type="pct"/>
            <w:shd w:val="clear" w:color="auto" w:fill="auto"/>
          </w:tcPr>
          <w:p w14:paraId="2B062B26" w14:textId="77777777" w:rsidR="003C6890" w:rsidRPr="008B3F38" w:rsidRDefault="003C6890" w:rsidP="00025DC3">
            <w:pPr>
              <w:pStyle w:val="Tabletext"/>
              <w:ind w:right="-57"/>
              <w:rPr>
                <w:sz w:val="18"/>
                <w:szCs w:val="18"/>
                <w:lang w:val="ru-RU"/>
              </w:rPr>
            </w:pPr>
            <w:r w:rsidRPr="008B3F38">
              <w:rPr>
                <w:color w:val="000000"/>
                <w:sz w:val="18"/>
                <w:szCs w:val="18"/>
                <w:lang w:val="ru-RU"/>
              </w:rPr>
              <w:t>Выполняется.</w:t>
            </w:r>
          </w:p>
        </w:tc>
      </w:tr>
      <w:tr w:rsidR="00411F7C" w:rsidRPr="008B3F38" w14:paraId="5F13C7F9" w14:textId="77777777" w:rsidTr="008A2FDE">
        <w:trPr>
          <w:jc w:val="center"/>
        </w:trPr>
        <w:tc>
          <w:tcPr>
            <w:tcW w:w="353" w:type="pct"/>
            <w:shd w:val="clear" w:color="auto" w:fill="auto"/>
          </w:tcPr>
          <w:p w14:paraId="17FEBCF3" w14:textId="38482B1B" w:rsidR="003C6890" w:rsidRPr="008B3F38" w:rsidRDefault="003C6890" w:rsidP="00025DC3">
            <w:pPr>
              <w:pStyle w:val="Tabletext"/>
              <w:rPr>
                <w:sz w:val="18"/>
                <w:szCs w:val="18"/>
                <w:lang w:val="ru-RU"/>
              </w:rPr>
            </w:pPr>
            <w:r w:rsidRPr="008B3F38">
              <w:rPr>
                <w:color w:val="000000"/>
                <w:sz w:val="18"/>
                <w:szCs w:val="18"/>
                <w:lang w:val="ru-RU"/>
              </w:rPr>
              <w:t>2021 г.</w:t>
            </w:r>
            <w:r w:rsidRPr="008B3F38">
              <w:rPr>
                <w:color w:val="000000"/>
                <w:sz w:val="18"/>
                <w:szCs w:val="18"/>
                <w:lang w:val="ru-RU"/>
              </w:rPr>
              <w:br/>
              <w:t>Р</w:t>
            </w:r>
            <w:r w:rsidR="001D6BAF" w:rsidRPr="008B3F38">
              <w:rPr>
                <w:color w:val="000000"/>
                <w:sz w:val="18"/>
                <w:szCs w:val="18"/>
                <w:lang w:val="ru-RU"/>
              </w:rPr>
              <w:t>ЕК</w:t>
            </w:r>
            <w:r w:rsidRPr="008B3F38">
              <w:rPr>
                <w:color w:val="000000"/>
                <w:sz w:val="18"/>
                <w:szCs w:val="18"/>
                <w:lang w:val="ru-RU"/>
              </w:rPr>
              <w:t>15</w:t>
            </w:r>
          </w:p>
        </w:tc>
        <w:tc>
          <w:tcPr>
            <w:tcW w:w="1407" w:type="pct"/>
            <w:shd w:val="clear" w:color="auto" w:fill="auto"/>
          </w:tcPr>
          <w:p w14:paraId="22A37572" w14:textId="77777777" w:rsidR="003C6890" w:rsidRPr="008B3F38" w:rsidRDefault="003C6890" w:rsidP="00025DC3">
            <w:pPr>
              <w:pStyle w:val="Tabletext"/>
              <w:rPr>
                <w:sz w:val="18"/>
                <w:szCs w:val="18"/>
                <w:lang w:val="ru-RU"/>
              </w:rPr>
            </w:pPr>
            <w:r w:rsidRPr="008B3F38">
              <w:rPr>
                <w:color w:val="000000"/>
                <w:sz w:val="18"/>
                <w:szCs w:val="18"/>
                <w:lang w:val="ru-RU"/>
              </w:rPr>
              <w:t>Принять систему, позволяющую, по меньшей мере, хранение всех документов, касающихся контрактов SSA, доступ к которым с течением времени не будет утрачиваться.</w:t>
            </w:r>
          </w:p>
        </w:tc>
        <w:tc>
          <w:tcPr>
            <w:tcW w:w="1661" w:type="pct"/>
            <w:gridSpan w:val="2"/>
            <w:shd w:val="clear" w:color="auto" w:fill="auto"/>
          </w:tcPr>
          <w:p w14:paraId="73DD4E9C" w14:textId="2F532CC3" w:rsidR="003C6890" w:rsidRPr="008B3F38" w:rsidRDefault="003C6890" w:rsidP="00025DC3">
            <w:pPr>
              <w:pStyle w:val="Tabletext"/>
              <w:rPr>
                <w:sz w:val="18"/>
                <w:szCs w:val="18"/>
                <w:lang w:val="ru-RU"/>
              </w:rPr>
            </w:pPr>
            <w:r w:rsidRPr="008B3F38">
              <w:rPr>
                <w:color w:val="000000"/>
                <w:sz w:val="18"/>
                <w:szCs w:val="18"/>
                <w:lang w:val="ru-RU"/>
              </w:rPr>
              <w:t>Обновленная информация по состоянию на февраль 2025 г.: были введены меры контроля, например, была разработана стандартная рабочая процедура (SOP) для платежей по SSA для обеспечения своевременного завершения контрактов, в соответствии с которой, в частности, руководители должны подтвердить успешное достижение результатов. С августа 2024 года HRMD/SAS требует, чтобы все руководители, нанимающие персонал, подтверждали обеспечение всех результатов, перечисленных в круге ведения, до осуществления полной и окончательной оплаты. Начиная с января 2025</w:t>
            </w:r>
            <w:r w:rsidR="001D6BAF" w:rsidRPr="008B3F38">
              <w:rPr>
                <w:color w:val="000000"/>
                <w:sz w:val="18"/>
                <w:szCs w:val="18"/>
                <w:lang w:val="ru-RU"/>
              </w:rPr>
              <w:t> </w:t>
            </w:r>
            <w:r w:rsidRPr="008B3F38">
              <w:rPr>
                <w:color w:val="000000"/>
                <w:sz w:val="18"/>
                <w:szCs w:val="18"/>
                <w:lang w:val="ru-RU"/>
              </w:rPr>
              <w:t>года в SAP необходимо будет загружать копии этих документов с подтверждением. Были разработаны Руководящие принципы в отношении конфликта интересов при заключении SSA для содействия внедрению обязательных заявлений и мониторингу фактических или потенциальных конфликтов при заключении SSA. Обязательное заявление в онлайновой форме автоматически направляется в Управление по вопросам этики и HRMD. Кроме того, в настоящее время пересматривается политика в отношении SSA, включая пересмотр вознаграждения по SSA (последнее обновление в 2010 г</w:t>
            </w:r>
            <w:r w:rsidR="001D6BAF" w:rsidRPr="008B3F38">
              <w:rPr>
                <w:color w:val="000000"/>
                <w:sz w:val="18"/>
                <w:szCs w:val="18"/>
                <w:lang w:val="ru-RU"/>
              </w:rPr>
              <w:t>.</w:t>
            </w:r>
            <w:r w:rsidRPr="008B3F38">
              <w:rPr>
                <w:color w:val="000000"/>
                <w:sz w:val="18"/>
                <w:szCs w:val="18"/>
                <w:lang w:val="ru-RU"/>
              </w:rPr>
              <w:t xml:space="preserve">), которая будет опубликована во втором квартале 2025 года. Новая политика обеспечит более четкие руководящие принципы в отношении использования и ограничения контрактов на </w:t>
            </w:r>
            <w:r w:rsidRPr="008B3F38">
              <w:rPr>
                <w:color w:val="000000"/>
                <w:sz w:val="18"/>
                <w:szCs w:val="18"/>
                <w:lang w:val="ru-RU"/>
              </w:rPr>
              <w:lastRenderedPageBreak/>
              <w:t>консультирование (например, один контракт на консультирование с МСЭ за раз).</w:t>
            </w:r>
          </w:p>
          <w:p w14:paraId="0C1D995B" w14:textId="77777777" w:rsidR="003C6890" w:rsidRPr="008B3F38" w:rsidRDefault="003C6890" w:rsidP="00025DC3">
            <w:pPr>
              <w:pStyle w:val="Tabletext"/>
              <w:rPr>
                <w:sz w:val="18"/>
                <w:szCs w:val="18"/>
                <w:lang w:val="ru-RU"/>
              </w:rPr>
            </w:pPr>
            <w:r w:rsidRPr="008B3F38">
              <w:rPr>
                <w:color w:val="000000"/>
                <w:sz w:val="18"/>
                <w:szCs w:val="18"/>
                <w:lang w:val="ru-RU"/>
              </w:rPr>
              <w:t>МСЭ рекомендует перевести данную рекомендацию в статус выполненной.</w:t>
            </w:r>
          </w:p>
        </w:tc>
        <w:tc>
          <w:tcPr>
            <w:tcW w:w="1139" w:type="pct"/>
            <w:gridSpan w:val="2"/>
            <w:shd w:val="clear" w:color="auto" w:fill="auto"/>
          </w:tcPr>
          <w:p w14:paraId="6690F413" w14:textId="3419F52C" w:rsidR="003C6890" w:rsidRPr="008B3F38" w:rsidRDefault="003C6890" w:rsidP="00025DC3">
            <w:pPr>
              <w:pStyle w:val="Tabletext"/>
              <w:rPr>
                <w:sz w:val="18"/>
                <w:szCs w:val="18"/>
                <w:lang w:val="ru-RU"/>
              </w:rPr>
            </w:pPr>
            <w:r w:rsidRPr="008B3F38">
              <w:rPr>
                <w:color w:val="000000"/>
                <w:sz w:val="18"/>
                <w:szCs w:val="18"/>
                <w:lang w:val="ru-RU"/>
              </w:rPr>
              <w:lastRenderedPageBreak/>
              <w:t>Последний ответ принят к сведению и признан</w:t>
            </w:r>
            <w:r w:rsidR="00EC6C7B" w:rsidRPr="008B3F38">
              <w:rPr>
                <w:color w:val="000000"/>
                <w:sz w:val="18"/>
                <w:szCs w:val="18"/>
                <w:lang w:val="ru-RU"/>
              </w:rPr>
              <w:t> </w:t>
            </w:r>
            <w:r w:rsidRPr="008B3F38">
              <w:rPr>
                <w:color w:val="000000"/>
                <w:sz w:val="18"/>
                <w:szCs w:val="18"/>
                <w:lang w:val="ru-RU"/>
              </w:rPr>
              <w:t>обоснованным.</w:t>
            </w:r>
            <w:r w:rsidR="00EC6C7B" w:rsidRPr="008B3F38">
              <w:rPr>
                <w:color w:val="000000"/>
                <w:sz w:val="18"/>
                <w:szCs w:val="18"/>
                <w:lang w:val="ru-RU"/>
              </w:rPr>
              <w:t xml:space="preserve"> </w:t>
            </w:r>
            <w:r w:rsidRPr="008B3F38">
              <w:rPr>
                <w:color w:val="000000"/>
                <w:sz w:val="18"/>
                <w:szCs w:val="18"/>
                <w:lang w:val="ru-RU"/>
              </w:rPr>
              <w:t>Рекомендация</w:t>
            </w:r>
            <w:r w:rsidR="00EC6C7B" w:rsidRPr="008B3F38">
              <w:rPr>
                <w:color w:val="000000"/>
                <w:sz w:val="18"/>
                <w:szCs w:val="18"/>
                <w:lang w:val="ru-RU"/>
              </w:rPr>
              <w:t> </w:t>
            </w:r>
            <w:r w:rsidRPr="008B3F38">
              <w:rPr>
                <w:color w:val="000000"/>
                <w:sz w:val="18"/>
                <w:szCs w:val="18"/>
                <w:lang w:val="ru-RU"/>
              </w:rPr>
              <w:t>выполнена.</w:t>
            </w:r>
          </w:p>
        </w:tc>
        <w:tc>
          <w:tcPr>
            <w:tcW w:w="440" w:type="pct"/>
            <w:shd w:val="clear" w:color="auto" w:fill="auto"/>
          </w:tcPr>
          <w:p w14:paraId="61F069B2" w14:textId="77777777" w:rsidR="003C6890" w:rsidRPr="008B3F38" w:rsidRDefault="003C6890" w:rsidP="00025DC3">
            <w:pPr>
              <w:pStyle w:val="Tabletext"/>
              <w:rPr>
                <w:sz w:val="18"/>
                <w:szCs w:val="18"/>
                <w:lang w:val="ru-RU"/>
              </w:rPr>
            </w:pPr>
            <w:r w:rsidRPr="008B3F38">
              <w:rPr>
                <w:color w:val="000000"/>
                <w:sz w:val="18"/>
                <w:szCs w:val="18"/>
                <w:lang w:val="ru-RU"/>
              </w:rPr>
              <w:t>Закрыта.</w:t>
            </w:r>
          </w:p>
        </w:tc>
      </w:tr>
      <w:tr w:rsidR="00411F7C" w:rsidRPr="008B3F38" w14:paraId="43503415" w14:textId="77777777" w:rsidTr="008A2FDE">
        <w:trPr>
          <w:jc w:val="center"/>
        </w:trPr>
        <w:tc>
          <w:tcPr>
            <w:tcW w:w="353" w:type="pct"/>
            <w:shd w:val="clear" w:color="auto" w:fill="auto"/>
          </w:tcPr>
          <w:p w14:paraId="14EB9465" w14:textId="77777777" w:rsidR="003C6890" w:rsidRPr="008B3F38" w:rsidRDefault="003C6890" w:rsidP="00025DC3">
            <w:pPr>
              <w:pStyle w:val="Tabletext"/>
              <w:rPr>
                <w:sz w:val="18"/>
                <w:szCs w:val="18"/>
                <w:lang w:val="ru-RU"/>
              </w:rPr>
            </w:pPr>
            <w:r w:rsidRPr="008B3F38">
              <w:rPr>
                <w:color w:val="000000"/>
                <w:sz w:val="18"/>
                <w:szCs w:val="18"/>
                <w:lang w:val="ru-RU"/>
              </w:rPr>
              <w:t>2021 г.</w:t>
            </w:r>
            <w:r w:rsidRPr="008B3F38">
              <w:rPr>
                <w:color w:val="000000"/>
                <w:sz w:val="18"/>
                <w:szCs w:val="18"/>
                <w:lang w:val="ru-RU"/>
              </w:rPr>
              <w:br/>
              <w:t>РЕК16</w:t>
            </w:r>
          </w:p>
        </w:tc>
        <w:tc>
          <w:tcPr>
            <w:tcW w:w="1407" w:type="pct"/>
            <w:shd w:val="clear" w:color="auto" w:fill="auto"/>
          </w:tcPr>
          <w:p w14:paraId="2CA8A09D" w14:textId="569A7A0A" w:rsidR="003C6890" w:rsidRPr="008B3F38" w:rsidRDefault="003C6890" w:rsidP="00025DC3">
            <w:pPr>
              <w:pStyle w:val="Tabletext"/>
              <w:ind w:left="284" w:hanging="284"/>
              <w:rPr>
                <w:sz w:val="18"/>
                <w:szCs w:val="18"/>
                <w:lang w:val="ru-RU"/>
              </w:rPr>
            </w:pPr>
            <w:r w:rsidRPr="008B3F38">
              <w:rPr>
                <w:color w:val="000000"/>
                <w:sz w:val="18"/>
                <w:szCs w:val="18"/>
                <w:lang w:val="ru-RU"/>
              </w:rPr>
              <w:t>a)</w:t>
            </w:r>
            <w:r w:rsidRPr="008B3F38">
              <w:rPr>
                <w:color w:val="000000"/>
                <w:sz w:val="18"/>
                <w:szCs w:val="18"/>
                <w:lang w:val="ru-RU"/>
              </w:rPr>
              <w:tab/>
              <w:t>пересмотреть все существующие контракты, в которых отсутствует декларация об</w:t>
            </w:r>
            <w:r w:rsidR="00EA37BB" w:rsidRPr="008B3F38">
              <w:rPr>
                <w:color w:val="000000"/>
                <w:sz w:val="18"/>
                <w:szCs w:val="18"/>
                <w:lang w:val="ru-RU"/>
              </w:rPr>
              <w:t> </w:t>
            </w:r>
            <w:r w:rsidRPr="008B3F38">
              <w:rPr>
                <w:color w:val="000000"/>
                <w:sz w:val="18"/>
                <w:szCs w:val="18"/>
                <w:lang w:val="ru-RU"/>
              </w:rPr>
              <w:t>отсутствии конфликта интересов, подписанная консультантами SSA;</w:t>
            </w:r>
          </w:p>
          <w:p w14:paraId="5C266A2B" w14:textId="687FA657" w:rsidR="003C6890" w:rsidRPr="008B3F38" w:rsidRDefault="003C6890" w:rsidP="00025DC3">
            <w:pPr>
              <w:pStyle w:val="Tabletext"/>
              <w:ind w:left="284" w:hanging="284"/>
              <w:rPr>
                <w:sz w:val="18"/>
                <w:szCs w:val="18"/>
                <w:lang w:val="ru-RU"/>
              </w:rPr>
            </w:pPr>
            <w:r w:rsidRPr="008B3F38">
              <w:rPr>
                <w:color w:val="000000"/>
                <w:sz w:val="18"/>
                <w:szCs w:val="18"/>
                <w:lang w:val="ru-RU"/>
              </w:rPr>
              <w:t>b)</w:t>
            </w:r>
            <w:r w:rsidRPr="008B3F38">
              <w:rPr>
                <w:color w:val="000000"/>
                <w:sz w:val="18"/>
                <w:szCs w:val="18"/>
                <w:lang w:val="ru-RU"/>
              </w:rPr>
              <w:tab/>
              <w:t>привлечь сотрудника по вопросам этики к мониторингу таких деклараций в рамках</w:t>
            </w:r>
            <w:r w:rsidR="001D6BAF" w:rsidRPr="008B3F38">
              <w:rPr>
                <w:color w:val="000000"/>
                <w:sz w:val="18"/>
                <w:szCs w:val="18"/>
                <w:lang w:val="ru-RU"/>
              </w:rPr>
              <w:t> </w:t>
            </w:r>
            <w:r w:rsidRPr="008B3F38">
              <w:rPr>
                <w:color w:val="000000"/>
                <w:sz w:val="18"/>
                <w:szCs w:val="18"/>
                <w:lang w:val="ru-RU"/>
              </w:rPr>
              <w:t>SSA.</w:t>
            </w:r>
          </w:p>
        </w:tc>
        <w:tc>
          <w:tcPr>
            <w:tcW w:w="1661" w:type="pct"/>
            <w:gridSpan w:val="2"/>
            <w:shd w:val="clear" w:color="auto" w:fill="auto"/>
          </w:tcPr>
          <w:p w14:paraId="48C3EA3B" w14:textId="74BB91FF" w:rsidR="003C6890" w:rsidRPr="008B3F38" w:rsidRDefault="003C6890" w:rsidP="00025DC3">
            <w:pPr>
              <w:pStyle w:val="Tabletext"/>
              <w:rPr>
                <w:sz w:val="18"/>
                <w:szCs w:val="18"/>
                <w:lang w:val="ru-RU"/>
              </w:rPr>
            </w:pPr>
            <w:r w:rsidRPr="008B3F38">
              <w:rPr>
                <w:color w:val="000000"/>
                <w:sz w:val="18"/>
                <w:szCs w:val="18"/>
                <w:lang w:val="ru-RU"/>
              </w:rPr>
              <w:t>Обновленная информация по состоянию на декабрь 2023</w:t>
            </w:r>
            <w:r w:rsidR="001D6BAF" w:rsidRPr="008B3F38">
              <w:rPr>
                <w:color w:val="000000"/>
                <w:sz w:val="18"/>
                <w:szCs w:val="18"/>
                <w:lang w:val="ru-RU"/>
              </w:rPr>
              <w:t> </w:t>
            </w:r>
            <w:r w:rsidRPr="008B3F38">
              <w:rPr>
                <w:color w:val="000000"/>
                <w:sz w:val="18"/>
                <w:szCs w:val="18"/>
                <w:lang w:val="ru-RU"/>
              </w:rPr>
              <w:t>г.: по всем действующим контрактам будет предложено заполнить новую электронную форму. Сотрудник по вопросам этики в полной мере вовлечен в мониторинг таких деклараций. Всеобъемлющие руководящие указания по набору персонала, которые охватывают мониторинг и контроль набора экспертов/консультантов, утверждены КК и опубликованы в сети интранет. Была развернута система управления набором персонала, которая охватывает весь процесс набора экспертов/консультантов и включает в себя систему и процессы контроля.</w:t>
            </w:r>
          </w:p>
          <w:p w14:paraId="1EFDC7E1" w14:textId="488BB6F4" w:rsidR="003C6890" w:rsidRPr="008B3F38" w:rsidRDefault="003C6890" w:rsidP="00025DC3">
            <w:pPr>
              <w:pStyle w:val="Tabletext"/>
              <w:rPr>
                <w:sz w:val="18"/>
                <w:szCs w:val="18"/>
                <w:lang w:val="ru-RU"/>
              </w:rPr>
            </w:pPr>
            <w:r w:rsidRPr="008B3F38">
              <w:rPr>
                <w:color w:val="000000"/>
                <w:sz w:val="18"/>
                <w:szCs w:val="18"/>
                <w:lang w:val="ru-RU"/>
              </w:rPr>
              <w:t>Обновленная информация по состоянию на февраль 2024</w:t>
            </w:r>
            <w:r w:rsidR="00EA37BB" w:rsidRPr="008B3F38">
              <w:rPr>
                <w:color w:val="000000"/>
                <w:sz w:val="18"/>
                <w:szCs w:val="18"/>
                <w:lang w:val="ru-RU"/>
              </w:rPr>
              <w:t> </w:t>
            </w:r>
            <w:r w:rsidRPr="008B3F38">
              <w:rPr>
                <w:color w:val="000000"/>
                <w:sz w:val="18"/>
                <w:szCs w:val="18"/>
                <w:lang w:val="ru-RU"/>
              </w:rPr>
              <w:t>г.: в соответствии с Служебным приказом 22/02 "Политика МСЭ по заявлению о заинтересованности" (и</w:t>
            </w:r>
            <w:r w:rsidR="001D6BAF" w:rsidRPr="008B3F38">
              <w:rPr>
                <w:color w:val="000000"/>
                <w:sz w:val="18"/>
                <w:szCs w:val="18"/>
                <w:lang w:val="ru-RU"/>
              </w:rPr>
              <w:t> </w:t>
            </w:r>
            <w:r w:rsidRPr="008B3F38">
              <w:rPr>
                <w:color w:val="000000"/>
                <w:sz w:val="18"/>
                <w:szCs w:val="18"/>
                <w:lang w:val="ru-RU"/>
              </w:rPr>
              <w:t>Служебным приказом 24/16) к консультантам и лицам, имеющим контракты SSA, применяется требование об</w:t>
            </w:r>
            <w:r w:rsidR="00EA37BB" w:rsidRPr="008B3F38">
              <w:rPr>
                <w:color w:val="000000"/>
                <w:sz w:val="18"/>
                <w:szCs w:val="18"/>
                <w:lang w:val="ru-RU"/>
              </w:rPr>
              <w:t> </w:t>
            </w:r>
            <w:r w:rsidRPr="008B3F38">
              <w:rPr>
                <w:color w:val="000000"/>
                <w:sz w:val="18"/>
                <w:szCs w:val="18"/>
                <w:lang w:val="ru-RU"/>
              </w:rPr>
              <w:t>обязательном подписании ежегодного заявления о</w:t>
            </w:r>
            <w:r w:rsidR="001D6BAF" w:rsidRPr="008B3F38">
              <w:rPr>
                <w:color w:val="000000"/>
                <w:sz w:val="18"/>
                <w:szCs w:val="18"/>
                <w:lang w:val="ru-RU"/>
              </w:rPr>
              <w:t> </w:t>
            </w:r>
            <w:r w:rsidRPr="008B3F38">
              <w:rPr>
                <w:color w:val="000000"/>
                <w:sz w:val="18"/>
                <w:szCs w:val="18"/>
                <w:lang w:val="ru-RU"/>
              </w:rPr>
              <w:t>заинтересованности.</w:t>
            </w:r>
          </w:p>
          <w:p w14:paraId="08E9D28A" w14:textId="376C65BF" w:rsidR="003C6890" w:rsidRPr="008B3F38" w:rsidRDefault="003C6890" w:rsidP="00025DC3">
            <w:pPr>
              <w:pStyle w:val="Tabletext"/>
              <w:rPr>
                <w:sz w:val="18"/>
                <w:szCs w:val="18"/>
                <w:lang w:val="ru-RU"/>
              </w:rPr>
            </w:pPr>
            <w:r w:rsidRPr="008B3F38">
              <w:rPr>
                <w:color w:val="000000"/>
                <w:sz w:val="18"/>
                <w:szCs w:val="18"/>
                <w:lang w:val="ru-RU"/>
              </w:rPr>
              <w:t>Обновленная информация по состоянию на февраль 2025 года: введение контрольных мер для повышения уровня соблюдения, в частности стандартная рабочая процедура для выплат по SSA и своевременное закрытие контрактов и подтверждение со стороны руководителей о достижении результатов. Кроме того, были разработаны Руководящие принципы в отношении конфликтов интересов, применимые к лицам, имеющим контракты SSA, для содействия внедрению обязательных заявлений о фактических или потенциальных конфликтах и осуществлению их мониторинга. Обязательное заявление подписывается в онлайновой форме, и его экземпляры автоматически направляются в Управление по вопросам этики и HRMD. Политика в отношении SSA 2010</w:t>
            </w:r>
            <w:r w:rsidR="00EA37BB" w:rsidRPr="008B3F38">
              <w:rPr>
                <w:color w:val="000000"/>
                <w:sz w:val="18"/>
                <w:szCs w:val="18"/>
                <w:lang w:val="ru-RU"/>
              </w:rPr>
              <w:t> </w:t>
            </w:r>
            <w:r w:rsidRPr="008B3F38">
              <w:rPr>
                <w:color w:val="000000"/>
                <w:sz w:val="18"/>
                <w:szCs w:val="18"/>
                <w:lang w:val="ru-RU"/>
              </w:rPr>
              <w:t xml:space="preserve">года в настоящее время проходит процедуру обновления (в том числе в части шкалы вознаграждений). Она будет выпущена во втором </w:t>
            </w:r>
            <w:r w:rsidRPr="008B3F38">
              <w:rPr>
                <w:color w:val="000000"/>
                <w:sz w:val="18"/>
                <w:szCs w:val="18"/>
                <w:lang w:val="ru-RU"/>
              </w:rPr>
              <w:lastRenderedPageBreak/>
              <w:t>квартале 2025 года и будет обеспечивать более четкие руководящие принципы в отношении использования и ограничений контрактов на консультирование (например, один контракт на консультирование с МСЭ за</w:t>
            </w:r>
            <w:r w:rsidR="00EA37BB" w:rsidRPr="008B3F38">
              <w:rPr>
                <w:color w:val="000000"/>
                <w:sz w:val="18"/>
                <w:szCs w:val="18"/>
                <w:lang w:val="ru-RU"/>
              </w:rPr>
              <w:t> </w:t>
            </w:r>
            <w:r w:rsidRPr="008B3F38">
              <w:rPr>
                <w:color w:val="000000"/>
                <w:sz w:val="18"/>
                <w:szCs w:val="18"/>
                <w:lang w:val="ru-RU"/>
              </w:rPr>
              <w:t>раз).</w:t>
            </w:r>
          </w:p>
          <w:p w14:paraId="0D3EBCC5" w14:textId="77777777" w:rsidR="003C6890" w:rsidRPr="008B3F38" w:rsidRDefault="003C6890" w:rsidP="00025DC3">
            <w:pPr>
              <w:pStyle w:val="Tabletext"/>
              <w:rPr>
                <w:sz w:val="18"/>
                <w:szCs w:val="18"/>
                <w:lang w:val="ru-RU"/>
              </w:rPr>
            </w:pPr>
            <w:r w:rsidRPr="008B3F38">
              <w:rPr>
                <w:color w:val="000000"/>
                <w:sz w:val="18"/>
                <w:szCs w:val="18"/>
                <w:lang w:val="ru-RU"/>
              </w:rPr>
              <w:t>МСЭ считает данную рекомендацию выполненной.</w:t>
            </w:r>
          </w:p>
        </w:tc>
        <w:tc>
          <w:tcPr>
            <w:tcW w:w="1139" w:type="pct"/>
            <w:gridSpan w:val="2"/>
            <w:shd w:val="clear" w:color="auto" w:fill="auto"/>
          </w:tcPr>
          <w:p w14:paraId="3ADC93BB" w14:textId="77777777" w:rsidR="003C6890" w:rsidRPr="008B3F38" w:rsidRDefault="003C6890" w:rsidP="00025DC3">
            <w:pPr>
              <w:pStyle w:val="Tabletext"/>
              <w:rPr>
                <w:sz w:val="18"/>
                <w:szCs w:val="18"/>
                <w:lang w:val="ru-RU"/>
              </w:rPr>
            </w:pPr>
            <w:r w:rsidRPr="008B3F38">
              <w:rPr>
                <w:color w:val="000000"/>
                <w:sz w:val="18"/>
                <w:szCs w:val="18"/>
                <w:lang w:val="ru-RU"/>
              </w:rPr>
              <w:lastRenderedPageBreak/>
              <w:t>Последний ответ принят к сведению и признан обоснованным. Рекомендация выполнена.</w:t>
            </w:r>
          </w:p>
        </w:tc>
        <w:tc>
          <w:tcPr>
            <w:tcW w:w="440" w:type="pct"/>
            <w:shd w:val="clear" w:color="auto" w:fill="auto"/>
          </w:tcPr>
          <w:p w14:paraId="3B1C2F52" w14:textId="77777777" w:rsidR="003C6890" w:rsidRPr="008B3F38" w:rsidRDefault="003C6890" w:rsidP="00025DC3">
            <w:pPr>
              <w:pStyle w:val="Tabletext"/>
              <w:rPr>
                <w:sz w:val="18"/>
                <w:szCs w:val="18"/>
                <w:lang w:val="ru-RU"/>
              </w:rPr>
            </w:pPr>
            <w:r w:rsidRPr="008B3F38">
              <w:rPr>
                <w:color w:val="000000"/>
                <w:sz w:val="18"/>
                <w:szCs w:val="18"/>
                <w:lang w:val="ru-RU"/>
              </w:rPr>
              <w:t>Закрыта.</w:t>
            </w:r>
          </w:p>
        </w:tc>
      </w:tr>
      <w:tr w:rsidR="00411F7C" w:rsidRPr="008B3F38" w14:paraId="24F90B61" w14:textId="77777777" w:rsidTr="008A2FDE">
        <w:trPr>
          <w:jc w:val="center"/>
        </w:trPr>
        <w:tc>
          <w:tcPr>
            <w:tcW w:w="353" w:type="pct"/>
            <w:shd w:val="clear" w:color="auto" w:fill="auto"/>
          </w:tcPr>
          <w:p w14:paraId="76EAD48E" w14:textId="77777777" w:rsidR="003C6890" w:rsidRPr="008B3F38" w:rsidRDefault="003C6890" w:rsidP="00025DC3">
            <w:pPr>
              <w:pStyle w:val="Tabletext"/>
              <w:rPr>
                <w:sz w:val="18"/>
                <w:szCs w:val="18"/>
                <w:lang w:val="ru-RU"/>
              </w:rPr>
            </w:pPr>
            <w:r w:rsidRPr="008B3F38">
              <w:rPr>
                <w:color w:val="000000"/>
                <w:sz w:val="18"/>
                <w:szCs w:val="18"/>
                <w:lang w:val="ru-RU"/>
              </w:rPr>
              <w:t>2021 г.</w:t>
            </w:r>
            <w:r w:rsidRPr="008B3F38">
              <w:rPr>
                <w:color w:val="000000"/>
                <w:sz w:val="18"/>
                <w:szCs w:val="18"/>
                <w:lang w:val="ru-RU"/>
              </w:rPr>
              <w:br/>
              <w:t>РЕК17</w:t>
            </w:r>
          </w:p>
        </w:tc>
        <w:tc>
          <w:tcPr>
            <w:tcW w:w="1407" w:type="pct"/>
            <w:shd w:val="clear" w:color="auto" w:fill="auto"/>
          </w:tcPr>
          <w:p w14:paraId="04B7DC8B" w14:textId="77777777" w:rsidR="00EA37BB" w:rsidRPr="008B3F38" w:rsidRDefault="003C6890" w:rsidP="00025DC3">
            <w:pPr>
              <w:pStyle w:val="Tabletext"/>
              <w:rPr>
                <w:color w:val="000000"/>
                <w:sz w:val="18"/>
                <w:szCs w:val="18"/>
                <w:lang w:val="ru-RU"/>
              </w:rPr>
            </w:pPr>
            <w:r w:rsidRPr="008B3F38">
              <w:rPr>
                <w:color w:val="000000"/>
                <w:sz w:val="18"/>
                <w:szCs w:val="18"/>
                <w:lang w:val="ru-RU"/>
              </w:rPr>
              <w:t xml:space="preserve">Руководству </w:t>
            </w:r>
          </w:p>
          <w:p w14:paraId="02598DEB" w14:textId="5513C47A" w:rsidR="00EA37BB" w:rsidRPr="008B3F38" w:rsidRDefault="003C6890" w:rsidP="00025DC3">
            <w:pPr>
              <w:pStyle w:val="Tabletext"/>
              <w:ind w:left="284" w:hanging="284"/>
              <w:rPr>
                <w:color w:val="000000"/>
                <w:sz w:val="18"/>
                <w:szCs w:val="18"/>
                <w:lang w:val="ru-RU"/>
              </w:rPr>
            </w:pPr>
            <w:r w:rsidRPr="008B3F38">
              <w:rPr>
                <w:color w:val="000000"/>
                <w:sz w:val="18"/>
                <w:szCs w:val="18"/>
                <w:lang w:val="ru-RU"/>
              </w:rPr>
              <w:t>i)</w:t>
            </w:r>
            <w:r w:rsidR="00EA37BB" w:rsidRPr="008B3F38">
              <w:rPr>
                <w:color w:val="000000"/>
                <w:sz w:val="18"/>
                <w:szCs w:val="18"/>
                <w:lang w:val="ru-RU"/>
              </w:rPr>
              <w:tab/>
            </w:r>
            <w:r w:rsidRPr="008B3F38">
              <w:rPr>
                <w:color w:val="000000"/>
                <w:sz w:val="18"/>
                <w:szCs w:val="18"/>
                <w:lang w:val="ru-RU"/>
              </w:rPr>
              <w:t>продолжать усилия по возврату средств, утраченных в связи со случаем мошенничества, и пытаться прийти к соглашению с местными властями, с тем чтобы попытаться вернуть их;</w:t>
            </w:r>
          </w:p>
          <w:p w14:paraId="29E93E01" w14:textId="77BB8438" w:rsidR="003C6890" w:rsidRPr="008B3F38" w:rsidRDefault="003C6890" w:rsidP="00025DC3">
            <w:pPr>
              <w:pStyle w:val="Tabletext"/>
              <w:ind w:left="284" w:hanging="284"/>
              <w:rPr>
                <w:sz w:val="18"/>
                <w:szCs w:val="18"/>
                <w:lang w:val="ru-RU"/>
              </w:rPr>
            </w:pPr>
            <w:r w:rsidRPr="008B3F38">
              <w:rPr>
                <w:color w:val="000000"/>
                <w:sz w:val="18"/>
                <w:szCs w:val="18"/>
                <w:lang w:val="ru-RU"/>
              </w:rPr>
              <w:t>ii)</w:t>
            </w:r>
            <w:r w:rsidR="00EA37BB" w:rsidRPr="008B3F38">
              <w:rPr>
                <w:color w:val="000000"/>
                <w:sz w:val="18"/>
                <w:szCs w:val="18"/>
                <w:lang w:val="ru-RU"/>
              </w:rPr>
              <w:tab/>
            </w:r>
            <w:r w:rsidRPr="008B3F38">
              <w:rPr>
                <w:color w:val="000000"/>
                <w:sz w:val="18"/>
                <w:szCs w:val="18"/>
                <w:lang w:val="ru-RU"/>
              </w:rPr>
              <w:t>также установить протоколы ex-ante с являющимися донорами Государствами-Членами, которые могут оказать содействие в создании правовой и договорной базы для лучшего преследования мошенничества, которое наносит ущерб МСЭ или донору.</w:t>
            </w:r>
          </w:p>
        </w:tc>
        <w:tc>
          <w:tcPr>
            <w:tcW w:w="1661" w:type="pct"/>
            <w:gridSpan w:val="2"/>
            <w:shd w:val="clear" w:color="auto" w:fill="auto"/>
          </w:tcPr>
          <w:p w14:paraId="73FC6DEC" w14:textId="72654EF7" w:rsidR="003C6890" w:rsidRPr="008B3F38" w:rsidRDefault="003C6890" w:rsidP="00025DC3">
            <w:pPr>
              <w:pStyle w:val="Tabletext"/>
              <w:rPr>
                <w:sz w:val="18"/>
                <w:szCs w:val="18"/>
                <w:lang w:val="ru-RU"/>
              </w:rPr>
            </w:pPr>
            <w:r w:rsidRPr="008B3F38">
              <w:rPr>
                <w:color w:val="000000"/>
                <w:sz w:val="18"/>
                <w:szCs w:val="18"/>
                <w:lang w:val="ru-RU"/>
              </w:rPr>
              <w:t>Антикоррупционные органы Таиланда в настоящее время ведут расследование в отношении правонарушителя в Таиланде в связи с жалобой, поданной МСЭ. Секретариат МСЭ по запросу предоставляет полномочным органам Таиланда необходимые доказательства. Рассмотрение этого дела в Таиланде продолжается. Кроме того, все соглашения с донорами теперь включают пункт об аудите и расследовании.</w:t>
            </w:r>
          </w:p>
          <w:p w14:paraId="3611F477" w14:textId="0735BBE8" w:rsidR="003C6890" w:rsidRPr="008B3F38" w:rsidRDefault="003C6890" w:rsidP="00025DC3">
            <w:pPr>
              <w:pStyle w:val="Tabletext"/>
              <w:rPr>
                <w:sz w:val="18"/>
                <w:szCs w:val="18"/>
                <w:lang w:val="ru-RU"/>
              </w:rPr>
            </w:pPr>
            <w:r w:rsidRPr="008B3F38">
              <w:rPr>
                <w:color w:val="000000"/>
                <w:sz w:val="18"/>
                <w:szCs w:val="18"/>
                <w:lang w:val="ru-RU"/>
              </w:rPr>
              <w:t>МСЭ рекомендует перевести данную рекомендацию в статус выполненной.</w:t>
            </w:r>
          </w:p>
        </w:tc>
        <w:tc>
          <w:tcPr>
            <w:tcW w:w="1139" w:type="pct"/>
            <w:gridSpan w:val="2"/>
            <w:shd w:val="clear" w:color="auto" w:fill="auto"/>
          </w:tcPr>
          <w:p w14:paraId="69DC4B46" w14:textId="77777777" w:rsidR="003C6890" w:rsidRPr="008B3F38" w:rsidRDefault="003C6890" w:rsidP="00025DC3">
            <w:pPr>
              <w:pStyle w:val="Tabletext"/>
              <w:rPr>
                <w:sz w:val="18"/>
                <w:szCs w:val="18"/>
                <w:lang w:val="ru-RU"/>
              </w:rPr>
            </w:pPr>
            <w:r w:rsidRPr="008B3F38">
              <w:rPr>
                <w:color w:val="000000"/>
                <w:sz w:val="18"/>
                <w:szCs w:val="18"/>
                <w:lang w:val="ru-RU"/>
              </w:rPr>
              <w:t>Последний ответ принят к сведению и признан обоснованным. Рекомендация выполнена.</w:t>
            </w:r>
          </w:p>
        </w:tc>
        <w:tc>
          <w:tcPr>
            <w:tcW w:w="440" w:type="pct"/>
            <w:shd w:val="clear" w:color="auto" w:fill="auto"/>
          </w:tcPr>
          <w:p w14:paraId="4340B8A9" w14:textId="77777777" w:rsidR="003C6890" w:rsidRPr="008B3F38" w:rsidRDefault="003C6890" w:rsidP="00025DC3">
            <w:pPr>
              <w:pStyle w:val="Tabletext"/>
              <w:rPr>
                <w:sz w:val="18"/>
                <w:szCs w:val="18"/>
                <w:lang w:val="ru-RU"/>
              </w:rPr>
            </w:pPr>
            <w:r w:rsidRPr="008B3F38">
              <w:rPr>
                <w:color w:val="000000"/>
                <w:sz w:val="18"/>
                <w:szCs w:val="18"/>
                <w:lang w:val="ru-RU"/>
              </w:rPr>
              <w:t>Закрыта.</w:t>
            </w:r>
          </w:p>
        </w:tc>
      </w:tr>
      <w:tr w:rsidR="00411F7C" w:rsidRPr="008B3F38" w14:paraId="7165CF2A" w14:textId="77777777" w:rsidTr="008A2FDE">
        <w:trPr>
          <w:jc w:val="center"/>
        </w:trPr>
        <w:tc>
          <w:tcPr>
            <w:tcW w:w="353" w:type="pct"/>
            <w:shd w:val="clear" w:color="auto" w:fill="auto"/>
          </w:tcPr>
          <w:p w14:paraId="013655DE" w14:textId="77777777" w:rsidR="003C6890" w:rsidRPr="008B3F38" w:rsidRDefault="003C6890" w:rsidP="00025DC3">
            <w:pPr>
              <w:pStyle w:val="Tabletext"/>
              <w:rPr>
                <w:sz w:val="18"/>
                <w:szCs w:val="18"/>
                <w:lang w:val="ru-RU"/>
              </w:rPr>
            </w:pPr>
            <w:r w:rsidRPr="008B3F38">
              <w:rPr>
                <w:color w:val="000000"/>
                <w:sz w:val="18"/>
                <w:szCs w:val="18"/>
                <w:lang w:val="ru-RU"/>
              </w:rPr>
              <w:t>2021 г.</w:t>
            </w:r>
            <w:r w:rsidRPr="008B3F38">
              <w:rPr>
                <w:color w:val="000000"/>
                <w:sz w:val="18"/>
                <w:szCs w:val="18"/>
                <w:lang w:val="ru-RU"/>
              </w:rPr>
              <w:br/>
              <w:t>РЕК18</w:t>
            </w:r>
          </w:p>
        </w:tc>
        <w:tc>
          <w:tcPr>
            <w:tcW w:w="1407" w:type="pct"/>
            <w:shd w:val="clear" w:color="auto" w:fill="auto"/>
          </w:tcPr>
          <w:p w14:paraId="1C88E005" w14:textId="77777777" w:rsidR="003C6890" w:rsidRPr="008B3F38" w:rsidRDefault="003C6890" w:rsidP="00025DC3">
            <w:pPr>
              <w:pStyle w:val="Tabletext"/>
              <w:rPr>
                <w:sz w:val="18"/>
                <w:szCs w:val="18"/>
                <w:lang w:val="ru-RU"/>
              </w:rPr>
            </w:pPr>
            <w:r w:rsidRPr="008B3F38">
              <w:rPr>
                <w:color w:val="000000"/>
                <w:sz w:val="18"/>
                <w:szCs w:val="18"/>
                <w:lang w:val="ru-RU"/>
              </w:rPr>
              <w:t>Учитывая результаты отчета, выпущенного внешним экспертом по оценке по делу о мошенничестве в Бангкоке, мы рекомендуем принять меры в рамках соответствующей административной процедуры.</w:t>
            </w:r>
          </w:p>
        </w:tc>
        <w:tc>
          <w:tcPr>
            <w:tcW w:w="1661" w:type="pct"/>
            <w:gridSpan w:val="2"/>
            <w:shd w:val="clear" w:color="auto" w:fill="auto"/>
          </w:tcPr>
          <w:p w14:paraId="4A06E666" w14:textId="339340FC" w:rsidR="003C6890" w:rsidRPr="008B3F38" w:rsidRDefault="003C6890" w:rsidP="00025DC3">
            <w:pPr>
              <w:pStyle w:val="Tabletext"/>
              <w:rPr>
                <w:sz w:val="18"/>
                <w:szCs w:val="18"/>
                <w:lang w:val="ru-RU"/>
              </w:rPr>
            </w:pPr>
            <w:r w:rsidRPr="008B3F38">
              <w:rPr>
                <w:color w:val="000000"/>
                <w:sz w:val="18"/>
                <w:szCs w:val="18"/>
                <w:lang w:val="ru-RU"/>
              </w:rPr>
              <w:t>В отношении лица, ответственного за совершение мошеннических действий, приняты соответствующие меры. Нарушитель был уволен, а в антикоррупционные органы Таиланда была подана официальная жалоба. По</w:t>
            </w:r>
            <w:r w:rsidR="001D6BAF" w:rsidRPr="008B3F38">
              <w:rPr>
                <w:color w:val="000000"/>
                <w:sz w:val="18"/>
                <w:szCs w:val="18"/>
                <w:lang w:val="ru-RU"/>
              </w:rPr>
              <w:t> </w:t>
            </w:r>
            <w:r w:rsidRPr="008B3F38">
              <w:rPr>
                <w:color w:val="000000"/>
                <w:sz w:val="18"/>
                <w:szCs w:val="18"/>
                <w:lang w:val="ru-RU"/>
              </w:rPr>
              <w:t>запросу МСЭ предоставляет доказательства антикоррупционным органам Таиланда с целью оказания содействия в ведении этого дела в Таиланде. В</w:t>
            </w:r>
            <w:r w:rsidR="001D6BAF" w:rsidRPr="008B3F38">
              <w:rPr>
                <w:color w:val="000000"/>
                <w:sz w:val="18"/>
                <w:szCs w:val="18"/>
                <w:lang w:val="ru-RU"/>
              </w:rPr>
              <w:t> </w:t>
            </w:r>
            <w:r w:rsidRPr="008B3F38">
              <w:rPr>
                <w:color w:val="000000"/>
                <w:sz w:val="18"/>
                <w:szCs w:val="18"/>
                <w:lang w:val="ru-RU"/>
              </w:rPr>
              <w:t>отношении соответствующих сотрудников были также приняты внутренние дисциплинарные взыскания.</w:t>
            </w:r>
          </w:p>
          <w:p w14:paraId="05C1C072" w14:textId="3330C2B6" w:rsidR="003C6890" w:rsidRPr="008B3F38" w:rsidRDefault="003C6890" w:rsidP="00025DC3">
            <w:pPr>
              <w:pStyle w:val="Tabletext"/>
              <w:rPr>
                <w:sz w:val="18"/>
                <w:szCs w:val="18"/>
                <w:lang w:val="ru-RU"/>
              </w:rPr>
            </w:pPr>
            <w:r w:rsidRPr="008B3F38">
              <w:rPr>
                <w:color w:val="000000"/>
                <w:sz w:val="18"/>
                <w:szCs w:val="18"/>
                <w:lang w:val="ru-RU"/>
              </w:rPr>
              <w:t>МСЭ рекомендует перевести данную рекомендацию в статус выполненной.</w:t>
            </w:r>
          </w:p>
        </w:tc>
        <w:tc>
          <w:tcPr>
            <w:tcW w:w="1139" w:type="pct"/>
            <w:gridSpan w:val="2"/>
            <w:shd w:val="clear" w:color="auto" w:fill="auto"/>
          </w:tcPr>
          <w:p w14:paraId="75008810" w14:textId="77777777" w:rsidR="003C6890" w:rsidRPr="008B3F38" w:rsidRDefault="003C6890" w:rsidP="00025DC3">
            <w:pPr>
              <w:pStyle w:val="Tabletext"/>
              <w:rPr>
                <w:sz w:val="18"/>
                <w:szCs w:val="18"/>
                <w:lang w:val="ru-RU"/>
              </w:rPr>
            </w:pPr>
            <w:r w:rsidRPr="008B3F38">
              <w:rPr>
                <w:color w:val="000000"/>
                <w:sz w:val="18"/>
                <w:szCs w:val="18"/>
                <w:lang w:val="ru-RU"/>
              </w:rPr>
              <w:t>Последний ответ принят к сведению и признан обоснованным. Рекомендация выполнена.</w:t>
            </w:r>
          </w:p>
        </w:tc>
        <w:tc>
          <w:tcPr>
            <w:tcW w:w="440" w:type="pct"/>
            <w:shd w:val="clear" w:color="auto" w:fill="auto"/>
          </w:tcPr>
          <w:p w14:paraId="3070C5ED" w14:textId="77777777" w:rsidR="003C6890" w:rsidRPr="008B3F38" w:rsidRDefault="003C6890" w:rsidP="00025DC3">
            <w:pPr>
              <w:pStyle w:val="Tabletext"/>
              <w:rPr>
                <w:sz w:val="18"/>
                <w:szCs w:val="18"/>
                <w:lang w:val="ru-RU"/>
              </w:rPr>
            </w:pPr>
            <w:r w:rsidRPr="008B3F38">
              <w:rPr>
                <w:color w:val="000000"/>
                <w:sz w:val="18"/>
                <w:szCs w:val="18"/>
                <w:lang w:val="ru-RU"/>
              </w:rPr>
              <w:t>Закрыта.</w:t>
            </w:r>
          </w:p>
        </w:tc>
      </w:tr>
      <w:tr w:rsidR="00411F7C" w:rsidRPr="008B3F38" w14:paraId="497D55A8" w14:textId="77777777" w:rsidTr="008A2FDE">
        <w:trPr>
          <w:jc w:val="center"/>
        </w:trPr>
        <w:tc>
          <w:tcPr>
            <w:tcW w:w="353" w:type="pct"/>
            <w:shd w:val="clear" w:color="auto" w:fill="auto"/>
          </w:tcPr>
          <w:p w14:paraId="69C975B1" w14:textId="77777777" w:rsidR="003C6890" w:rsidRPr="008B3F38" w:rsidRDefault="003C6890" w:rsidP="00025DC3">
            <w:pPr>
              <w:pStyle w:val="Tabletext"/>
              <w:rPr>
                <w:sz w:val="18"/>
                <w:szCs w:val="18"/>
                <w:lang w:val="ru-RU"/>
              </w:rPr>
            </w:pPr>
            <w:r w:rsidRPr="008B3F38">
              <w:rPr>
                <w:color w:val="000000"/>
                <w:sz w:val="18"/>
                <w:szCs w:val="18"/>
                <w:lang w:val="ru-RU"/>
              </w:rPr>
              <w:t>2021 г.</w:t>
            </w:r>
            <w:r w:rsidRPr="008B3F38">
              <w:rPr>
                <w:color w:val="000000"/>
                <w:sz w:val="18"/>
                <w:szCs w:val="18"/>
                <w:lang w:val="ru-RU"/>
              </w:rPr>
              <w:br/>
              <w:t>РЕК19</w:t>
            </w:r>
          </w:p>
        </w:tc>
        <w:tc>
          <w:tcPr>
            <w:tcW w:w="1407" w:type="pct"/>
            <w:shd w:val="clear" w:color="auto" w:fill="auto"/>
          </w:tcPr>
          <w:p w14:paraId="70B4F5D1" w14:textId="77777777" w:rsidR="003C6890" w:rsidRPr="008B3F38" w:rsidRDefault="003C6890" w:rsidP="00025DC3">
            <w:pPr>
              <w:pStyle w:val="Tabletext"/>
              <w:rPr>
                <w:sz w:val="18"/>
                <w:szCs w:val="18"/>
                <w:lang w:val="ru-RU"/>
              </w:rPr>
            </w:pPr>
            <w:r w:rsidRPr="008B3F38">
              <w:rPr>
                <w:color w:val="000000"/>
                <w:sz w:val="18"/>
                <w:szCs w:val="18"/>
                <w:lang w:val="ru-RU"/>
              </w:rPr>
              <w:t>Руководству начать тщательную и всестороннюю работу, с тем чтобы определить более эффективные меры, в особенности в областях с высоким риском.</w:t>
            </w:r>
          </w:p>
        </w:tc>
        <w:tc>
          <w:tcPr>
            <w:tcW w:w="1661" w:type="pct"/>
            <w:gridSpan w:val="2"/>
            <w:shd w:val="clear" w:color="auto" w:fill="auto"/>
          </w:tcPr>
          <w:p w14:paraId="6947500E" w14:textId="01E19578" w:rsidR="003C6890" w:rsidRPr="008B3F38" w:rsidRDefault="003C6890" w:rsidP="00025DC3">
            <w:pPr>
              <w:pStyle w:val="Tabletext"/>
              <w:rPr>
                <w:sz w:val="18"/>
                <w:szCs w:val="18"/>
                <w:lang w:val="ru-RU"/>
              </w:rPr>
            </w:pPr>
            <w:r w:rsidRPr="008B3F38">
              <w:rPr>
                <w:color w:val="000000"/>
                <w:sz w:val="18"/>
                <w:szCs w:val="18"/>
                <w:lang w:val="ru-RU"/>
              </w:rPr>
              <w:t>Обновленная информация по состоянию на май 2025</w:t>
            </w:r>
            <w:r w:rsidR="001D6BAF" w:rsidRPr="008B3F38">
              <w:rPr>
                <w:color w:val="000000"/>
                <w:sz w:val="18"/>
                <w:szCs w:val="18"/>
                <w:lang w:val="ru-RU"/>
              </w:rPr>
              <w:t> </w:t>
            </w:r>
            <w:r w:rsidRPr="008B3F38">
              <w:rPr>
                <w:color w:val="000000"/>
                <w:sz w:val="18"/>
                <w:szCs w:val="18"/>
                <w:lang w:val="ru-RU"/>
              </w:rPr>
              <w:t xml:space="preserve">года: в последние годы БРЭ усиливает контроль за командировками через Исполнительный комитет БРЭ по вопросам управления; совершенствует контроль за расходами с помощью наших УОР, в том числе в региональных и зональных отделениях; сотрудничает с ISD для усиления мер контроля, связанных с физической безопасностью и защитой, а также безопасностью ИТ в наших региональных и зональных отделениях; и работает над внедрением структуры DoA. БРЭ намерено </w:t>
            </w:r>
            <w:r w:rsidRPr="008B3F38">
              <w:rPr>
                <w:color w:val="000000"/>
                <w:sz w:val="18"/>
                <w:szCs w:val="18"/>
                <w:lang w:val="ru-RU"/>
              </w:rPr>
              <w:lastRenderedPageBreak/>
              <w:t>уделять основное внимание другим областям с высокой степенью риска, в том числе тем, которые могут быть выявлены, в первую очередь с помощью запланированной на этот год Оценки риска корпоративного мошенничества, а также запрашивать поддержку в этом отношении.</w:t>
            </w:r>
          </w:p>
          <w:p w14:paraId="6FD7101C" w14:textId="02834209" w:rsidR="003C6890" w:rsidRPr="008B3F38" w:rsidRDefault="003C6890" w:rsidP="00025DC3">
            <w:pPr>
              <w:pStyle w:val="Tabletext"/>
              <w:rPr>
                <w:sz w:val="18"/>
                <w:szCs w:val="18"/>
                <w:lang w:val="ru-RU"/>
              </w:rPr>
            </w:pPr>
            <w:r w:rsidRPr="008B3F38">
              <w:rPr>
                <w:color w:val="000000"/>
                <w:sz w:val="18"/>
                <w:szCs w:val="18"/>
                <w:lang w:val="ru-RU"/>
              </w:rPr>
              <w:t>МСЭ считает, что рекомендация находится в процессе</w:t>
            </w:r>
            <w:r w:rsidR="00B85C90" w:rsidRPr="008B3F38">
              <w:rPr>
                <w:color w:val="000000"/>
                <w:sz w:val="18"/>
                <w:szCs w:val="18"/>
                <w:lang w:val="ru-RU"/>
              </w:rPr>
              <w:t> </w:t>
            </w:r>
            <w:r w:rsidRPr="008B3F38">
              <w:rPr>
                <w:color w:val="000000"/>
                <w:sz w:val="18"/>
                <w:szCs w:val="18"/>
                <w:lang w:val="ru-RU"/>
              </w:rPr>
              <w:t>выполнения.</w:t>
            </w:r>
          </w:p>
        </w:tc>
        <w:tc>
          <w:tcPr>
            <w:tcW w:w="1139" w:type="pct"/>
            <w:gridSpan w:val="2"/>
            <w:shd w:val="clear" w:color="auto" w:fill="auto"/>
          </w:tcPr>
          <w:p w14:paraId="2891F903" w14:textId="5C963587" w:rsidR="003C6890" w:rsidRPr="008B3F38" w:rsidRDefault="003C6890" w:rsidP="00025DC3">
            <w:pPr>
              <w:pStyle w:val="Tabletext"/>
              <w:rPr>
                <w:sz w:val="18"/>
                <w:szCs w:val="18"/>
                <w:lang w:val="ru-RU"/>
              </w:rPr>
            </w:pPr>
            <w:r w:rsidRPr="008B3F38">
              <w:rPr>
                <w:color w:val="000000"/>
                <w:sz w:val="18"/>
                <w:szCs w:val="18"/>
                <w:lang w:val="ru-RU"/>
              </w:rPr>
              <w:lastRenderedPageBreak/>
              <w:t>Последний ответ принимается к сведению. Настоящая рекомендация по-прежнему находится в процессе</w:t>
            </w:r>
            <w:r w:rsidR="00B85C90" w:rsidRPr="008B3F38">
              <w:rPr>
                <w:color w:val="000000"/>
                <w:sz w:val="18"/>
                <w:szCs w:val="18"/>
                <w:lang w:val="ru-RU"/>
              </w:rPr>
              <w:t> </w:t>
            </w:r>
            <w:r w:rsidRPr="008B3F38">
              <w:rPr>
                <w:color w:val="000000"/>
                <w:sz w:val="18"/>
                <w:szCs w:val="18"/>
                <w:lang w:val="ru-RU"/>
              </w:rPr>
              <w:t>выполнения.</w:t>
            </w:r>
          </w:p>
        </w:tc>
        <w:tc>
          <w:tcPr>
            <w:tcW w:w="440" w:type="pct"/>
            <w:shd w:val="clear" w:color="auto" w:fill="auto"/>
          </w:tcPr>
          <w:p w14:paraId="030A9EDE" w14:textId="77777777" w:rsidR="003C6890" w:rsidRPr="008B3F38" w:rsidRDefault="003C6890" w:rsidP="00025DC3">
            <w:pPr>
              <w:pStyle w:val="Tabletext"/>
              <w:ind w:right="-57"/>
              <w:rPr>
                <w:sz w:val="18"/>
                <w:szCs w:val="18"/>
                <w:lang w:val="ru-RU"/>
              </w:rPr>
            </w:pPr>
            <w:r w:rsidRPr="008B3F38">
              <w:rPr>
                <w:color w:val="000000"/>
                <w:sz w:val="18"/>
                <w:szCs w:val="18"/>
                <w:lang w:val="ru-RU"/>
              </w:rPr>
              <w:t>Выполняется.</w:t>
            </w:r>
          </w:p>
        </w:tc>
      </w:tr>
      <w:tr w:rsidR="00411F7C" w:rsidRPr="008B3F38" w14:paraId="71FBADFF" w14:textId="77777777" w:rsidTr="008A2FDE">
        <w:trPr>
          <w:jc w:val="center"/>
        </w:trPr>
        <w:tc>
          <w:tcPr>
            <w:tcW w:w="353" w:type="pct"/>
            <w:shd w:val="clear" w:color="auto" w:fill="auto"/>
          </w:tcPr>
          <w:p w14:paraId="684BF1E9" w14:textId="77777777" w:rsidR="003C6890" w:rsidRPr="008B3F38" w:rsidRDefault="003C6890" w:rsidP="00025DC3">
            <w:pPr>
              <w:pStyle w:val="Tabletext"/>
              <w:rPr>
                <w:sz w:val="18"/>
                <w:szCs w:val="18"/>
                <w:lang w:val="ru-RU"/>
              </w:rPr>
            </w:pPr>
            <w:r w:rsidRPr="008B3F38">
              <w:rPr>
                <w:color w:val="000000"/>
                <w:sz w:val="18"/>
                <w:szCs w:val="18"/>
                <w:lang w:val="ru-RU"/>
              </w:rPr>
              <w:t>2021 г.</w:t>
            </w:r>
            <w:r w:rsidRPr="008B3F38">
              <w:rPr>
                <w:color w:val="000000"/>
                <w:sz w:val="18"/>
                <w:szCs w:val="18"/>
                <w:lang w:val="ru-RU"/>
              </w:rPr>
              <w:br/>
              <w:t>РЕК20</w:t>
            </w:r>
          </w:p>
        </w:tc>
        <w:tc>
          <w:tcPr>
            <w:tcW w:w="1407" w:type="pct"/>
            <w:shd w:val="clear" w:color="auto" w:fill="auto"/>
          </w:tcPr>
          <w:p w14:paraId="448C6D5B" w14:textId="77777777" w:rsidR="003C6890" w:rsidRPr="008B3F38" w:rsidRDefault="003C6890" w:rsidP="00025DC3">
            <w:pPr>
              <w:pStyle w:val="Tabletext"/>
              <w:rPr>
                <w:sz w:val="18"/>
                <w:szCs w:val="18"/>
                <w:lang w:val="ru-RU"/>
              </w:rPr>
            </w:pPr>
            <w:r w:rsidRPr="008B3F38">
              <w:rPr>
                <w:color w:val="000000"/>
                <w:sz w:val="18"/>
                <w:szCs w:val="18"/>
                <w:lang w:val="ru-RU"/>
              </w:rPr>
              <w:t>Оценить, есть ли у МСЭ необходимость в постоянном мониторинге со стороны независимого проверяющего, как это предусмотрено международной практикой (например, системой COSO, когда требуется "вторая линия обороны"), по меньшей мере, для регионального присутствия и/или для областей с высоким уровнем риска, выявленных на сегодняшний день (например, SSA и управление проектами).</w:t>
            </w:r>
          </w:p>
        </w:tc>
        <w:tc>
          <w:tcPr>
            <w:tcW w:w="1661" w:type="pct"/>
            <w:gridSpan w:val="2"/>
            <w:shd w:val="clear" w:color="auto" w:fill="auto"/>
          </w:tcPr>
          <w:p w14:paraId="5A4C239C" w14:textId="77777777" w:rsidR="003C6890" w:rsidRPr="008B3F38" w:rsidRDefault="003C6890" w:rsidP="00025DC3">
            <w:pPr>
              <w:pStyle w:val="Tabletext"/>
              <w:rPr>
                <w:sz w:val="18"/>
                <w:szCs w:val="18"/>
                <w:lang w:val="ru-RU"/>
              </w:rPr>
            </w:pPr>
            <w:r w:rsidRPr="008B3F38">
              <w:rPr>
                <w:color w:val="000000"/>
                <w:sz w:val="18"/>
                <w:szCs w:val="18"/>
                <w:lang w:val="ru-RU"/>
              </w:rPr>
              <w:t>Обновленная информация по состоянию на май 2025 г.: что касается поддержки на второй линии, тесное сотрудничество с ISD для региональных и зональных отделений в последние годы сосредоточено на обеспечении непрерывности и устойчивости деятельности, безопасности и защищенности, а также защищенности нашей системы ИТ. Поддержку в отношении бюджета и расходов оказывают финансовые контролеры FRMD. БРЭ намерено продолжать уделять основное внимание другим областям с высокой степенью риска, в том числе тем, которые могут быть выявлены, в первую очередь с помощью запланированной на этот год Оценки риска корпоративного мошенничества, а также запрашивать поддержку в этом отношении.</w:t>
            </w:r>
          </w:p>
          <w:p w14:paraId="35FEF290" w14:textId="22593022" w:rsidR="003C6890" w:rsidRPr="008B3F38" w:rsidRDefault="003C6890" w:rsidP="00025DC3">
            <w:pPr>
              <w:pStyle w:val="Tabletext"/>
              <w:rPr>
                <w:sz w:val="18"/>
                <w:szCs w:val="18"/>
                <w:lang w:val="ru-RU"/>
              </w:rPr>
            </w:pPr>
            <w:r w:rsidRPr="008B3F38">
              <w:rPr>
                <w:color w:val="000000"/>
                <w:sz w:val="18"/>
                <w:szCs w:val="18"/>
                <w:lang w:val="ru-RU"/>
              </w:rPr>
              <w:t>МСЭ считает, что рекомендация находится в процессе</w:t>
            </w:r>
            <w:r w:rsidR="00B85C90" w:rsidRPr="008B3F38">
              <w:rPr>
                <w:color w:val="000000"/>
                <w:sz w:val="18"/>
                <w:szCs w:val="18"/>
                <w:lang w:val="ru-RU"/>
              </w:rPr>
              <w:t> </w:t>
            </w:r>
            <w:r w:rsidRPr="008B3F38">
              <w:rPr>
                <w:color w:val="000000"/>
                <w:sz w:val="18"/>
                <w:szCs w:val="18"/>
                <w:lang w:val="ru-RU"/>
              </w:rPr>
              <w:t>выполнения.</w:t>
            </w:r>
          </w:p>
        </w:tc>
        <w:tc>
          <w:tcPr>
            <w:tcW w:w="1139" w:type="pct"/>
            <w:gridSpan w:val="2"/>
            <w:shd w:val="clear" w:color="auto" w:fill="auto"/>
          </w:tcPr>
          <w:p w14:paraId="10AC3E74" w14:textId="39A5795B" w:rsidR="003C6890" w:rsidRPr="008B3F38" w:rsidRDefault="003C6890" w:rsidP="00025DC3">
            <w:pPr>
              <w:pStyle w:val="Tabletext"/>
              <w:rPr>
                <w:sz w:val="18"/>
                <w:szCs w:val="18"/>
                <w:lang w:val="ru-RU"/>
              </w:rPr>
            </w:pPr>
            <w:r w:rsidRPr="008B3F38">
              <w:rPr>
                <w:color w:val="000000"/>
                <w:sz w:val="18"/>
                <w:szCs w:val="18"/>
                <w:lang w:val="ru-RU"/>
              </w:rPr>
              <w:t>Последний ответ принимается к сведению. Учитывая наши собственные выводы, сделанные в этом году в отношении проектной деятельности и отсутствия прогресса в оценке риска мошенничества, эта рекомендация находится в процессе</w:t>
            </w:r>
            <w:r w:rsidR="00B85C90" w:rsidRPr="008B3F38">
              <w:rPr>
                <w:color w:val="000000"/>
                <w:sz w:val="18"/>
                <w:szCs w:val="18"/>
                <w:lang w:val="ru-RU"/>
              </w:rPr>
              <w:t> </w:t>
            </w:r>
            <w:r w:rsidRPr="008B3F38">
              <w:rPr>
                <w:color w:val="000000"/>
                <w:sz w:val="18"/>
                <w:szCs w:val="18"/>
                <w:lang w:val="ru-RU"/>
              </w:rPr>
              <w:t>выполнения.</w:t>
            </w:r>
          </w:p>
        </w:tc>
        <w:tc>
          <w:tcPr>
            <w:tcW w:w="440" w:type="pct"/>
            <w:shd w:val="clear" w:color="auto" w:fill="auto"/>
          </w:tcPr>
          <w:p w14:paraId="3AE4AE33" w14:textId="77777777" w:rsidR="003C6890" w:rsidRPr="008B3F38" w:rsidRDefault="003C6890" w:rsidP="00025DC3">
            <w:pPr>
              <w:pStyle w:val="Tabletext"/>
              <w:ind w:right="-57"/>
              <w:rPr>
                <w:sz w:val="18"/>
                <w:szCs w:val="18"/>
                <w:lang w:val="ru-RU"/>
              </w:rPr>
            </w:pPr>
            <w:r w:rsidRPr="008B3F38">
              <w:rPr>
                <w:color w:val="000000"/>
                <w:sz w:val="18"/>
                <w:szCs w:val="18"/>
                <w:lang w:val="ru-RU"/>
              </w:rPr>
              <w:t>Выполняется.</w:t>
            </w:r>
          </w:p>
        </w:tc>
      </w:tr>
      <w:tr w:rsidR="00411F7C" w:rsidRPr="008B3F38" w14:paraId="7970D38E" w14:textId="77777777" w:rsidTr="008A2FDE">
        <w:trPr>
          <w:jc w:val="center"/>
        </w:trPr>
        <w:tc>
          <w:tcPr>
            <w:tcW w:w="353" w:type="pct"/>
            <w:shd w:val="clear" w:color="auto" w:fill="auto"/>
          </w:tcPr>
          <w:p w14:paraId="5F4EF6D0" w14:textId="77777777" w:rsidR="003C6890" w:rsidRPr="008B3F38" w:rsidRDefault="003C6890" w:rsidP="00025DC3">
            <w:pPr>
              <w:pStyle w:val="Tabletext"/>
              <w:rPr>
                <w:sz w:val="18"/>
                <w:szCs w:val="18"/>
                <w:lang w:val="ru-RU"/>
              </w:rPr>
            </w:pPr>
            <w:r w:rsidRPr="008B3F38">
              <w:rPr>
                <w:color w:val="000000"/>
                <w:sz w:val="18"/>
                <w:szCs w:val="18"/>
                <w:lang w:val="ru-RU"/>
              </w:rPr>
              <w:t>2021 г.</w:t>
            </w:r>
            <w:r w:rsidRPr="008B3F38">
              <w:rPr>
                <w:color w:val="000000"/>
                <w:sz w:val="18"/>
                <w:szCs w:val="18"/>
                <w:lang w:val="ru-RU"/>
              </w:rPr>
              <w:br/>
              <w:t>РЕК21</w:t>
            </w:r>
          </w:p>
        </w:tc>
        <w:tc>
          <w:tcPr>
            <w:tcW w:w="1407" w:type="pct"/>
            <w:shd w:val="clear" w:color="auto" w:fill="auto"/>
          </w:tcPr>
          <w:p w14:paraId="735F680B" w14:textId="2A8ABCBE" w:rsidR="003C6890" w:rsidRPr="008B3F38" w:rsidRDefault="003C6890" w:rsidP="00025DC3">
            <w:pPr>
              <w:pStyle w:val="Tabletext"/>
              <w:rPr>
                <w:sz w:val="18"/>
                <w:szCs w:val="18"/>
                <w:lang w:val="ru-RU"/>
              </w:rPr>
            </w:pPr>
            <w:r w:rsidRPr="008B3F38">
              <w:rPr>
                <w:color w:val="000000"/>
                <w:sz w:val="18"/>
                <w:szCs w:val="18"/>
                <w:lang w:val="ru-RU"/>
              </w:rPr>
              <w:t>Незамедлительно провести пересмотр Устава Службы внутреннего аудита и его нормативных</w:t>
            </w:r>
            <w:r w:rsidR="00735365" w:rsidRPr="008B3F38">
              <w:rPr>
                <w:color w:val="000000"/>
                <w:sz w:val="18"/>
                <w:szCs w:val="18"/>
                <w:lang w:val="ru-RU"/>
              </w:rPr>
              <w:t> </w:t>
            </w:r>
            <w:r w:rsidRPr="008B3F38">
              <w:rPr>
                <w:color w:val="000000"/>
                <w:sz w:val="18"/>
                <w:szCs w:val="18"/>
                <w:lang w:val="ru-RU"/>
              </w:rPr>
              <w:t>документов.</w:t>
            </w:r>
          </w:p>
        </w:tc>
        <w:tc>
          <w:tcPr>
            <w:tcW w:w="1661" w:type="pct"/>
            <w:gridSpan w:val="2"/>
            <w:shd w:val="clear" w:color="auto" w:fill="auto"/>
          </w:tcPr>
          <w:p w14:paraId="2E277013" w14:textId="2FEBBA6E" w:rsidR="003C6890" w:rsidRPr="008B3F38" w:rsidRDefault="003C6890" w:rsidP="00025DC3">
            <w:pPr>
              <w:pStyle w:val="Tabletext"/>
              <w:rPr>
                <w:color w:val="000000"/>
                <w:sz w:val="18"/>
                <w:szCs w:val="18"/>
                <w:lang w:val="ru-RU"/>
              </w:rPr>
            </w:pPr>
            <w:r w:rsidRPr="008B3F38">
              <w:rPr>
                <w:color w:val="000000"/>
                <w:sz w:val="18"/>
                <w:szCs w:val="18"/>
                <w:lang w:val="ru-RU"/>
              </w:rPr>
              <w:t>Обновленная информация по состоянию на январь 2025</w:t>
            </w:r>
            <w:r w:rsidR="001D6BAF" w:rsidRPr="008B3F38">
              <w:rPr>
                <w:color w:val="000000"/>
                <w:sz w:val="18"/>
                <w:szCs w:val="18"/>
                <w:lang w:val="ru-RU"/>
              </w:rPr>
              <w:t> </w:t>
            </w:r>
            <w:r w:rsidRPr="008B3F38">
              <w:rPr>
                <w:color w:val="000000"/>
                <w:sz w:val="18"/>
                <w:szCs w:val="18"/>
                <w:lang w:val="ru-RU"/>
              </w:rPr>
              <w:t>г.: новый Устав Подразделения по надзору, который регулирует функции внутреннего аудита, включая его независимость, как функции, отдельной от расследований, был представлен в сентябре 2024 года в Служебном приказе 24/09 "Принятие Устава Подразделения по надзору МСЭ и соответствующие разъяснения". Этот Служебный приказ был представлен в связи с принятием Советом в 2024 году Устава, в разделе VII которого предусмотрен его пересмотр не реже чем каждые пять лет, при этом Генеральный секретарь вносит предложения по изменениям на рассмотрение Совета. В Уставе также говорится о</w:t>
            </w:r>
            <w:r w:rsidR="001D6BAF" w:rsidRPr="008B3F38">
              <w:rPr>
                <w:color w:val="000000"/>
                <w:sz w:val="18"/>
                <w:szCs w:val="18"/>
                <w:lang w:val="ru-RU"/>
              </w:rPr>
              <w:t> </w:t>
            </w:r>
            <w:r w:rsidRPr="008B3F38">
              <w:rPr>
                <w:color w:val="000000"/>
                <w:sz w:val="18"/>
                <w:szCs w:val="18"/>
                <w:lang w:val="ru-RU"/>
              </w:rPr>
              <w:t xml:space="preserve">"соблюдении" функцией аудита новых Глобальных стандартов </w:t>
            </w:r>
            <w:r w:rsidRPr="008B3F38">
              <w:rPr>
                <w:color w:val="000000"/>
                <w:sz w:val="18"/>
                <w:szCs w:val="18"/>
                <w:lang w:val="ru-RU"/>
              </w:rPr>
              <w:lastRenderedPageBreak/>
              <w:t>внутреннего аудита (</w:t>
            </w:r>
            <w:r w:rsidRPr="008B3F38">
              <w:rPr>
                <w:sz w:val="18"/>
                <w:szCs w:val="18"/>
                <w:lang w:val="ru-RU"/>
              </w:rPr>
              <w:t>GIAS</w:t>
            </w:r>
            <w:r w:rsidRPr="008B3F38">
              <w:rPr>
                <w:color w:val="000000"/>
                <w:sz w:val="18"/>
                <w:szCs w:val="18"/>
                <w:lang w:val="ru-RU"/>
              </w:rPr>
              <w:t>) IIA, вступивших в силу в январе 2025 года. В п. 32(h) раздела VI Устава предусматривается периодический анализ соответствия функций аудита общепринятым стандартам, что может повлечь за собой операционные и регламентарные</w:t>
            </w:r>
            <w:r w:rsidR="00735365" w:rsidRPr="008B3F38">
              <w:rPr>
                <w:color w:val="000000"/>
                <w:sz w:val="18"/>
                <w:szCs w:val="18"/>
                <w:lang w:val="ru-RU"/>
              </w:rPr>
              <w:t> </w:t>
            </w:r>
            <w:r w:rsidRPr="008B3F38">
              <w:rPr>
                <w:color w:val="000000"/>
                <w:sz w:val="18"/>
                <w:szCs w:val="18"/>
                <w:lang w:val="ru-RU"/>
              </w:rPr>
              <w:t>изменения.</w:t>
            </w:r>
          </w:p>
          <w:p w14:paraId="3A0348F7" w14:textId="77777777" w:rsidR="003C6890" w:rsidRPr="008B3F38" w:rsidRDefault="003C6890" w:rsidP="00025DC3">
            <w:pPr>
              <w:pStyle w:val="Tabletext"/>
              <w:rPr>
                <w:color w:val="000000"/>
                <w:sz w:val="18"/>
                <w:szCs w:val="18"/>
                <w:lang w:val="ru-RU"/>
              </w:rPr>
            </w:pPr>
            <w:r w:rsidRPr="008B3F38">
              <w:rPr>
                <w:color w:val="000000"/>
                <w:sz w:val="18"/>
                <w:szCs w:val="18"/>
                <w:lang w:val="ru-RU"/>
              </w:rPr>
              <w:t>Подразделение по надзору рекомендует перевести данную рекомендацию в статус выполненной.</w:t>
            </w:r>
          </w:p>
        </w:tc>
        <w:tc>
          <w:tcPr>
            <w:tcW w:w="1139" w:type="pct"/>
            <w:gridSpan w:val="2"/>
            <w:shd w:val="clear" w:color="auto" w:fill="auto"/>
          </w:tcPr>
          <w:p w14:paraId="2B13112F" w14:textId="77777777" w:rsidR="003C6890" w:rsidRPr="008B3F38" w:rsidRDefault="003C6890" w:rsidP="00025DC3">
            <w:pPr>
              <w:pStyle w:val="Tabletext"/>
              <w:rPr>
                <w:sz w:val="18"/>
                <w:szCs w:val="18"/>
                <w:lang w:val="ru-RU"/>
              </w:rPr>
            </w:pPr>
            <w:r w:rsidRPr="008B3F38">
              <w:rPr>
                <w:color w:val="000000"/>
                <w:sz w:val="18"/>
                <w:szCs w:val="18"/>
                <w:lang w:val="ru-RU"/>
              </w:rPr>
              <w:lastRenderedPageBreak/>
              <w:t>Последний ответ принят к сведению и признан обоснованным. Рекомендация выполнена.</w:t>
            </w:r>
          </w:p>
        </w:tc>
        <w:tc>
          <w:tcPr>
            <w:tcW w:w="440" w:type="pct"/>
            <w:shd w:val="clear" w:color="auto" w:fill="auto"/>
          </w:tcPr>
          <w:p w14:paraId="15870FAB" w14:textId="77777777" w:rsidR="003C6890" w:rsidRPr="008B3F38" w:rsidRDefault="003C6890" w:rsidP="00025DC3">
            <w:pPr>
              <w:pStyle w:val="Tabletext"/>
              <w:rPr>
                <w:sz w:val="18"/>
                <w:szCs w:val="18"/>
                <w:lang w:val="ru-RU"/>
              </w:rPr>
            </w:pPr>
            <w:r w:rsidRPr="008B3F38">
              <w:rPr>
                <w:color w:val="000000"/>
                <w:sz w:val="18"/>
                <w:szCs w:val="18"/>
                <w:lang w:val="ru-RU"/>
              </w:rPr>
              <w:t>Закрыта.</w:t>
            </w:r>
          </w:p>
        </w:tc>
      </w:tr>
      <w:tr w:rsidR="00411F7C" w:rsidRPr="008B3F38" w14:paraId="7398A4ED" w14:textId="77777777" w:rsidTr="008A2FDE">
        <w:trPr>
          <w:jc w:val="center"/>
        </w:trPr>
        <w:tc>
          <w:tcPr>
            <w:tcW w:w="353" w:type="pct"/>
            <w:shd w:val="clear" w:color="auto" w:fill="auto"/>
          </w:tcPr>
          <w:p w14:paraId="7870F6E1" w14:textId="77777777" w:rsidR="003C6890" w:rsidRPr="008B3F38" w:rsidRDefault="003C6890" w:rsidP="00025DC3">
            <w:pPr>
              <w:pStyle w:val="Tabletext"/>
              <w:rPr>
                <w:sz w:val="18"/>
                <w:szCs w:val="18"/>
                <w:lang w:val="ru-RU"/>
              </w:rPr>
            </w:pPr>
            <w:r w:rsidRPr="008B3F38">
              <w:rPr>
                <w:color w:val="000000"/>
                <w:sz w:val="18"/>
                <w:szCs w:val="18"/>
                <w:lang w:val="ru-RU"/>
              </w:rPr>
              <w:t>2021 г.</w:t>
            </w:r>
            <w:r w:rsidRPr="008B3F38">
              <w:rPr>
                <w:color w:val="000000"/>
                <w:sz w:val="18"/>
                <w:szCs w:val="18"/>
                <w:lang w:val="ru-RU"/>
              </w:rPr>
              <w:br/>
              <w:t>РЕК22</w:t>
            </w:r>
          </w:p>
        </w:tc>
        <w:tc>
          <w:tcPr>
            <w:tcW w:w="1407" w:type="pct"/>
            <w:shd w:val="clear" w:color="auto" w:fill="auto"/>
          </w:tcPr>
          <w:p w14:paraId="20BBFF2A" w14:textId="1654AB74" w:rsidR="003C6890" w:rsidRPr="008B3F38" w:rsidRDefault="003C6890" w:rsidP="00025DC3">
            <w:pPr>
              <w:pStyle w:val="Tabletext"/>
              <w:rPr>
                <w:sz w:val="18"/>
                <w:szCs w:val="18"/>
                <w:lang w:val="ru-RU"/>
              </w:rPr>
            </w:pPr>
            <w:r w:rsidRPr="008B3F38">
              <w:rPr>
                <w:color w:val="000000"/>
                <w:sz w:val="18"/>
                <w:szCs w:val="18"/>
                <w:lang w:val="ru-RU"/>
              </w:rPr>
              <w:t>Внести поправки в нормативные документы с условием, что Устав Службы внутреннего аудита</w:t>
            </w:r>
            <w:r w:rsidR="00735365" w:rsidRPr="008B3F38">
              <w:rPr>
                <w:color w:val="000000"/>
                <w:sz w:val="18"/>
                <w:szCs w:val="18"/>
                <w:lang w:val="ru-RU"/>
              </w:rPr>
              <w:t> </w:t>
            </w:r>
            <w:r w:rsidRPr="008B3F38">
              <w:rPr>
                <w:color w:val="000000"/>
                <w:sz w:val="18"/>
                <w:szCs w:val="18"/>
                <w:lang w:val="ru-RU"/>
              </w:rPr>
              <w:t>будет представляться руководителем IAU в IMAC и после его оценки утверждаться как</w:t>
            </w:r>
            <w:r w:rsidR="00735365" w:rsidRPr="008B3F38">
              <w:rPr>
                <w:color w:val="000000"/>
                <w:sz w:val="18"/>
                <w:szCs w:val="18"/>
                <w:lang w:val="ru-RU"/>
              </w:rPr>
              <w:t> </w:t>
            </w:r>
            <w:r w:rsidRPr="008B3F38">
              <w:rPr>
                <w:color w:val="000000"/>
                <w:sz w:val="18"/>
                <w:szCs w:val="18"/>
                <w:lang w:val="ru-RU"/>
              </w:rPr>
              <w:t>Генеральным секретарем, так и Советом.</w:t>
            </w:r>
          </w:p>
        </w:tc>
        <w:tc>
          <w:tcPr>
            <w:tcW w:w="1661" w:type="pct"/>
            <w:gridSpan w:val="2"/>
            <w:shd w:val="clear" w:color="auto" w:fill="auto"/>
          </w:tcPr>
          <w:p w14:paraId="6738B79C" w14:textId="25B5E770" w:rsidR="003C6890" w:rsidRPr="008B3F38" w:rsidRDefault="003C6890" w:rsidP="00025DC3">
            <w:pPr>
              <w:pStyle w:val="Tabletext"/>
              <w:rPr>
                <w:sz w:val="18"/>
                <w:szCs w:val="18"/>
                <w:lang w:val="ru-RU"/>
              </w:rPr>
            </w:pPr>
            <w:r w:rsidRPr="008B3F38">
              <w:rPr>
                <w:color w:val="000000"/>
                <w:sz w:val="18"/>
                <w:szCs w:val="18"/>
                <w:lang w:val="ru-RU"/>
              </w:rPr>
              <w:t>Обновленная информация по состоянию на январь 2025</w:t>
            </w:r>
            <w:r w:rsidR="001D6BAF" w:rsidRPr="008B3F38">
              <w:rPr>
                <w:color w:val="000000"/>
                <w:sz w:val="18"/>
                <w:szCs w:val="18"/>
                <w:lang w:val="ru-RU"/>
              </w:rPr>
              <w:t> </w:t>
            </w:r>
            <w:r w:rsidRPr="008B3F38">
              <w:rPr>
                <w:color w:val="000000"/>
                <w:sz w:val="18"/>
                <w:szCs w:val="18"/>
                <w:lang w:val="ru-RU"/>
              </w:rPr>
              <w:t>г.: новый Устав Подразделения по надзору, который регулирует функции внутреннего аудита, включая его независимость, был представлен в сентябре 2024 года в Служебном приказе 24/09 "Принятие Устава Подразделения по надзору МСЭ и соответствующие разъяснения". Этот служебный приказ был представлен в связи с принятием Советом 2024 года Устава, в отношении которого IMAC представил свои замечания после его рассмотрения. В разделе VII нового Устава предусматривается его пересмотр не реже одного раза в пять лет, и Генеральный секретарь предлагает изменения Совету, если это обоснованно.</w:t>
            </w:r>
          </w:p>
          <w:p w14:paraId="05E8D536" w14:textId="77777777" w:rsidR="003C6890" w:rsidRPr="008B3F38" w:rsidRDefault="003C6890" w:rsidP="00025DC3">
            <w:pPr>
              <w:pStyle w:val="Tabletext"/>
              <w:rPr>
                <w:sz w:val="18"/>
                <w:szCs w:val="18"/>
                <w:lang w:val="ru-RU"/>
              </w:rPr>
            </w:pPr>
            <w:r w:rsidRPr="008B3F38">
              <w:rPr>
                <w:color w:val="000000"/>
                <w:sz w:val="18"/>
                <w:szCs w:val="18"/>
                <w:lang w:val="ru-RU"/>
              </w:rPr>
              <w:t>МСЭ рекомендует перевести данную рекомендацию в статус выполненной.</w:t>
            </w:r>
          </w:p>
        </w:tc>
        <w:tc>
          <w:tcPr>
            <w:tcW w:w="1139" w:type="pct"/>
            <w:gridSpan w:val="2"/>
            <w:shd w:val="clear" w:color="auto" w:fill="auto"/>
          </w:tcPr>
          <w:p w14:paraId="50481D8E" w14:textId="77777777" w:rsidR="003C6890" w:rsidRPr="008B3F38" w:rsidRDefault="003C6890" w:rsidP="00025DC3">
            <w:pPr>
              <w:pStyle w:val="Tabletext"/>
              <w:rPr>
                <w:sz w:val="18"/>
                <w:szCs w:val="18"/>
                <w:lang w:val="ru-RU"/>
              </w:rPr>
            </w:pPr>
            <w:r w:rsidRPr="008B3F38">
              <w:rPr>
                <w:color w:val="000000"/>
                <w:sz w:val="18"/>
                <w:szCs w:val="18"/>
                <w:lang w:val="ru-RU"/>
              </w:rPr>
              <w:t>Последний ответ принят к сведению и признан обоснованным. Рекомендация выполнена.</w:t>
            </w:r>
          </w:p>
        </w:tc>
        <w:tc>
          <w:tcPr>
            <w:tcW w:w="440" w:type="pct"/>
            <w:shd w:val="clear" w:color="auto" w:fill="auto"/>
          </w:tcPr>
          <w:p w14:paraId="79A2BF7A" w14:textId="77777777" w:rsidR="003C6890" w:rsidRPr="008B3F38" w:rsidRDefault="003C6890" w:rsidP="00025DC3">
            <w:pPr>
              <w:pStyle w:val="Tabletext"/>
              <w:rPr>
                <w:sz w:val="18"/>
                <w:szCs w:val="18"/>
                <w:lang w:val="ru-RU"/>
              </w:rPr>
            </w:pPr>
            <w:r w:rsidRPr="008B3F38">
              <w:rPr>
                <w:color w:val="000000"/>
                <w:sz w:val="18"/>
                <w:szCs w:val="18"/>
                <w:lang w:val="ru-RU"/>
              </w:rPr>
              <w:t>Закрыта.</w:t>
            </w:r>
          </w:p>
        </w:tc>
      </w:tr>
      <w:tr w:rsidR="00411F7C" w:rsidRPr="008B3F38" w14:paraId="2814CBA2" w14:textId="77777777" w:rsidTr="008A2FDE">
        <w:trPr>
          <w:jc w:val="center"/>
        </w:trPr>
        <w:tc>
          <w:tcPr>
            <w:tcW w:w="353" w:type="pct"/>
            <w:shd w:val="clear" w:color="auto" w:fill="auto"/>
          </w:tcPr>
          <w:p w14:paraId="41FC10CF" w14:textId="77777777" w:rsidR="003C6890" w:rsidRPr="008B3F38" w:rsidRDefault="003C6890" w:rsidP="00025DC3">
            <w:pPr>
              <w:pStyle w:val="Tabletext"/>
              <w:rPr>
                <w:sz w:val="18"/>
                <w:szCs w:val="18"/>
                <w:lang w:val="ru-RU"/>
              </w:rPr>
            </w:pPr>
            <w:r w:rsidRPr="008B3F38">
              <w:rPr>
                <w:color w:val="000000"/>
                <w:sz w:val="18"/>
                <w:szCs w:val="18"/>
                <w:lang w:val="ru-RU"/>
              </w:rPr>
              <w:t>2021 г.</w:t>
            </w:r>
            <w:r w:rsidRPr="008B3F38">
              <w:rPr>
                <w:color w:val="000000"/>
                <w:sz w:val="18"/>
                <w:szCs w:val="18"/>
                <w:lang w:val="ru-RU"/>
              </w:rPr>
              <w:br/>
              <w:t>РЕК23</w:t>
            </w:r>
          </w:p>
        </w:tc>
        <w:tc>
          <w:tcPr>
            <w:tcW w:w="1407" w:type="pct"/>
            <w:shd w:val="clear" w:color="auto" w:fill="auto"/>
          </w:tcPr>
          <w:p w14:paraId="7E1DA0A6" w14:textId="77777777" w:rsidR="003C6890" w:rsidRPr="008B3F38" w:rsidRDefault="003C6890" w:rsidP="00025DC3">
            <w:pPr>
              <w:pStyle w:val="Tabletext"/>
              <w:rPr>
                <w:sz w:val="18"/>
                <w:szCs w:val="18"/>
                <w:lang w:val="ru-RU"/>
              </w:rPr>
            </w:pPr>
            <w:r w:rsidRPr="008B3F38">
              <w:rPr>
                <w:color w:val="000000"/>
                <w:sz w:val="18"/>
                <w:szCs w:val="18"/>
                <w:lang w:val="ru-RU"/>
              </w:rPr>
              <w:t>Руководителю IAU внедрить планирование аудита, основанного на оценке рисков и в том числе имеющего скользящий цикл продолжительностью несколько лет, что позволило бы максимально использовать внутренние ресурсы в целях обеспечения регулярного охвата рисков, ключевых направлений и видов деятельности Организации. Продолжительность скользящего цикла (обычно три года) должна определяться IAU, принимая во внимание имеющиеся ресурсы; информация об областях, аудит которых предполагается провести в ходе цикла, должна раскрываться, например помещаться в таблице в конце годового плана.</w:t>
            </w:r>
          </w:p>
        </w:tc>
        <w:tc>
          <w:tcPr>
            <w:tcW w:w="1661" w:type="pct"/>
            <w:gridSpan w:val="2"/>
            <w:shd w:val="clear" w:color="auto" w:fill="auto"/>
          </w:tcPr>
          <w:p w14:paraId="51A8FD22" w14:textId="187B563E" w:rsidR="003C6890" w:rsidRPr="008B3F38" w:rsidRDefault="003C6890" w:rsidP="00025DC3">
            <w:pPr>
              <w:pStyle w:val="Tabletext"/>
              <w:rPr>
                <w:sz w:val="18"/>
                <w:szCs w:val="18"/>
                <w:lang w:val="ru-RU"/>
              </w:rPr>
            </w:pPr>
            <w:r w:rsidRPr="008B3F38">
              <w:rPr>
                <w:color w:val="000000"/>
                <w:sz w:val="18"/>
                <w:szCs w:val="18"/>
                <w:lang w:val="ru-RU"/>
              </w:rPr>
              <w:t>Обновленная информация по состоянию на январь 2025</w:t>
            </w:r>
            <w:r w:rsidR="001D6BAF" w:rsidRPr="008B3F38">
              <w:rPr>
                <w:color w:val="000000"/>
                <w:sz w:val="18"/>
                <w:szCs w:val="18"/>
                <w:lang w:val="ru-RU"/>
              </w:rPr>
              <w:t> </w:t>
            </w:r>
            <w:r w:rsidRPr="008B3F38">
              <w:rPr>
                <w:color w:val="000000"/>
                <w:sz w:val="18"/>
                <w:szCs w:val="18"/>
                <w:lang w:val="ru-RU"/>
              </w:rPr>
              <w:t>года: ежегодный план внутреннего аудита всегда основан на рисках, ежегодно представлялся IMAC для замечаний и содержит позиции/области среднесрочного планирования. В Служебном приказе 24/09 был опубликован новый Устав Подразделения по надзору МСЭ после его принятия Советом 2024 года. В Уставе предусматривается разработка планов аудита, основанных на оценке рисков, которые рассматриваются IMAC и утверждаются Генеральным секретарем.</w:t>
            </w:r>
          </w:p>
          <w:p w14:paraId="5B03F2DE" w14:textId="77777777" w:rsidR="003C6890" w:rsidRPr="008B3F38" w:rsidRDefault="003C6890" w:rsidP="00025DC3">
            <w:pPr>
              <w:pStyle w:val="Tabletext"/>
              <w:rPr>
                <w:sz w:val="18"/>
                <w:szCs w:val="18"/>
                <w:lang w:val="ru-RU"/>
              </w:rPr>
            </w:pPr>
            <w:r w:rsidRPr="008B3F38">
              <w:rPr>
                <w:color w:val="000000"/>
                <w:sz w:val="18"/>
                <w:szCs w:val="18"/>
                <w:lang w:val="ru-RU"/>
              </w:rPr>
              <w:t>МСЭ рекомендует перевести данную рекомендацию в статус выполненной.</w:t>
            </w:r>
          </w:p>
        </w:tc>
        <w:tc>
          <w:tcPr>
            <w:tcW w:w="1139" w:type="pct"/>
            <w:gridSpan w:val="2"/>
            <w:shd w:val="clear" w:color="auto" w:fill="auto"/>
          </w:tcPr>
          <w:p w14:paraId="41890F9B" w14:textId="0D17357F" w:rsidR="003C6890" w:rsidRPr="008B3F38" w:rsidRDefault="003C6890" w:rsidP="00025DC3">
            <w:pPr>
              <w:pStyle w:val="Tabletext"/>
              <w:rPr>
                <w:sz w:val="18"/>
                <w:szCs w:val="18"/>
                <w:lang w:val="ru-RU"/>
              </w:rPr>
            </w:pPr>
            <w:r w:rsidRPr="008B3F38">
              <w:rPr>
                <w:color w:val="000000"/>
                <w:sz w:val="18"/>
                <w:szCs w:val="18"/>
                <w:lang w:val="ru-RU"/>
              </w:rPr>
              <w:t>Как отмечено в отчете за этот год, система внутреннего аудита должна пройти экспертную оценку Института внутренних аудиторов. Мы</w:t>
            </w:r>
            <w:r w:rsidR="00735365" w:rsidRPr="008B3F38">
              <w:rPr>
                <w:color w:val="000000"/>
                <w:sz w:val="18"/>
                <w:szCs w:val="18"/>
                <w:lang w:val="ru-RU"/>
              </w:rPr>
              <w:t> </w:t>
            </w:r>
            <w:r w:rsidRPr="008B3F38">
              <w:rPr>
                <w:color w:val="000000"/>
                <w:sz w:val="18"/>
                <w:szCs w:val="18"/>
                <w:lang w:val="ru-RU"/>
              </w:rPr>
              <w:t>выполнили эту подробную рекомендацию по планированию, проведем обзор результатов оценки IIA и представим обновленную информацию Совету в нашем отчете в следующем году.</w:t>
            </w:r>
          </w:p>
        </w:tc>
        <w:tc>
          <w:tcPr>
            <w:tcW w:w="440" w:type="pct"/>
            <w:shd w:val="clear" w:color="auto" w:fill="auto"/>
          </w:tcPr>
          <w:p w14:paraId="422888CC" w14:textId="77777777" w:rsidR="003C6890" w:rsidRPr="008B3F38" w:rsidRDefault="003C6890" w:rsidP="00025DC3">
            <w:pPr>
              <w:pStyle w:val="Tabletext"/>
              <w:rPr>
                <w:sz w:val="18"/>
                <w:szCs w:val="18"/>
                <w:lang w:val="ru-RU"/>
              </w:rPr>
            </w:pPr>
            <w:r w:rsidRPr="008B3F38">
              <w:rPr>
                <w:color w:val="000000"/>
                <w:sz w:val="18"/>
                <w:szCs w:val="18"/>
                <w:lang w:val="ru-RU"/>
              </w:rPr>
              <w:t>Закрыта.</w:t>
            </w:r>
          </w:p>
        </w:tc>
      </w:tr>
      <w:tr w:rsidR="00411F7C" w:rsidRPr="008B3F38" w14:paraId="69C192DF" w14:textId="77777777" w:rsidTr="008A2FDE">
        <w:trPr>
          <w:jc w:val="center"/>
        </w:trPr>
        <w:tc>
          <w:tcPr>
            <w:tcW w:w="353" w:type="pct"/>
            <w:shd w:val="clear" w:color="auto" w:fill="auto"/>
          </w:tcPr>
          <w:p w14:paraId="40D4D14E" w14:textId="77777777" w:rsidR="003C6890" w:rsidRPr="008B3F38" w:rsidRDefault="003C6890" w:rsidP="00025DC3">
            <w:pPr>
              <w:pStyle w:val="Tabletext"/>
              <w:rPr>
                <w:sz w:val="18"/>
                <w:szCs w:val="18"/>
                <w:lang w:val="ru-RU"/>
              </w:rPr>
            </w:pPr>
            <w:r w:rsidRPr="008B3F38">
              <w:rPr>
                <w:color w:val="000000"/>
                <w:sz w:val="18"/>
                <w:szCs w:val="18"/>
                <w:lang w:val="ru-RU"/>
              </w:rPr>
              <w:lastRenderedPageBreak/>
              <w:t>2021 г.</w:t>
            </w:r>
            <w:r w:rsidRPr="008B3F38">
              <w:rPr>
                <w:color w:val="000000"/>
                <w:sz w:val="18"/>
                <w:szCs w:val="18"/>
                <w:lang w:val="ru-RU"/>
              </w:rPr>
              <w:br/>
              <w:t>РЕК24</w:t>
            </w:r>
          </w:p>
        </w:tc>
        <w:tc>
          <w:tcPr>
            <w:tcW w:w="1407" w:type="pct"/>
            <w:shd w:val="clear" w:color="auto" w:fill="auto"/>
          </w:tcPr>
          <w:p w14:paraId="188B8C1F" w14:textId="4E6BF173" w:rsidR="001D6BAF" w:rsidRPr="008B3F38" w:rsidRDefault="003C6890" w:rsidP="00025DC3">
            <w:pPr>
              <w:pStyle w:val="Tabletext"/>
              <w:ind w:left="284" w:hanging="284"/>
              <w:rPr>
                <w:color w:val="000000"/>
                <w:sz w:val="18"/>
                <w:szCs w:val="18"/>
                <w:lang w:val="ru-RU"/>
              </w:rPr>
            </w:pPr>
            <w:r w:rsidRPr="008B3F38">
              <w:rPr>
                <w:color w:val="000000"/>
                <w:sz w:val="18"/>
                <w:szCs w:val="18"/>
                <w:lang w:val="ru-RU"/>
              </w:rPr>
              <w:t>i)</w:t>
            </w:r>
            <w:r w:rsidR="001D6BAF" w:rsidRPr="008B3F38">
              <w:rPr>
                <w:color w:val="000000"/>
                <w:sz w:val="18"/>
                <w:szCs w:val="18"/>
                <w:lang w:val="ru-RU"/>
              </w:rPr>
              <w:tab/>
            </w:r>
            <w:r w:rsidRPr="008B3F38">
              <w:rPr>
                <w:color w:val="000000"/>
                <w:sz w:val="18"/>
                <w:szCs w:val="18"/>
                <w:lang w:val="ru-RU"/>
              </w:rPr>
              <w:t>при пересмотре Устава IAU институционализировать функцию оценки, установив набор необходимых навыков;</w:t>
            </w:r>
          </w:p>
          <w:p w14:paraId="3F6E73CE" w14:textId="42A131C6" w:rsidR="003C6890" w:rsidRPr="008B3F38" w:rsidRDefault="003C6890" w:rsidP="00025DC3">
            <w:pPr>
              <w:pStyle w:val="Tabletext"/>
              <w:ind w:left="284" w:hanging="284"/>
              <w:rPr>
                <w:sz w:val="18"/>
                <w:szCs w:val="18"/>
                <w:lang w:val="ru-RU"/>
              </w:rPr>
            </w:pPr>
            <w:r w:rsidRPr="008B3F38">
              <w:rPr>
                <w:color w:val="000000"/>
                <w:sz w:val="18"/>
                <w:szCs w:val="18"/>
                <w:lang w:val="ru-RU"/>
              </w:rPr>
              <w:t>ii)</w:t>
            </w:r>
            <w:r w:rsidR="001D6BAF" w:rsidRPr="008B3F38">
              <w:rPr>
                <w:color w:val="000000"/>
                <w:sz w:val="18"/>
                <w:szCs w:val="18"/>
                <w:lang w:val="ru-RU"/>
              </w:rPr>
              <w:tab/>
            </w:r>
            <w:r w:rsidRPr="008B3F38">
              <w:rPr>
                <w:color w:val="000000"/>
                <w:sz w:val="18"/>
                <w:szCs w:val="18"/>
                <w:lang w:val="ru-RU"/>
              </w:rPr>
              <w:t>предусматривать в плане работы IAU проведение деятельности по оценке на регулярной основе.</w:t>
            </w:r>
          </w:p>
        </w:tc>
        <w:tc>
          <w:tcPr>
            <w:tcW w:w="1661" w:type="pct"/>
            <w:gridSpan w:val="2"/>
            <w:shd w:val="clear" w:color="auto" w:fill="auto"/>
          </w:tcPr>
          <w:p w14:paraId="0B5D70D8" w14:textId="55437FCE" w:rsidR="003C6890" w:rsidRPr="008B3F38" w:rsidRDefault="003C6890" w:rsidP="00025DC3">
            <w:pPr>
              <w:pStyle w:val="Tabletext"/>
              <w:rPr>
                <w:sz w:val="18"/>
                <w:szCs w:val="18"/>
                <w:lang w:val="ru-RU"/>
              </w:rPr>
            </w:pPr>
            <w:r w:rsidRPr="008B3F38">
              <w:rPr>
                <w:color w:val="000000"/>
                <w:sz w:val="18"/>
                <w:szCs w:val="18"/>
                <w:lang w:val="ru-RU"/>
              </w:rPr>
              <w:t>Обновленная информация по состоянию на январь 2025</w:t>
            </w:r>
            <w:r w:rsidR="001D6BAF" w:rsidRPr="008B3F38">
              <w:rPr>
                <w:color w:val="000000"/>
                <w:sz w:val="18"/>
                <w:szCs w:val="18"/>
                <w:lang w:val="ru-RU"/>
              </w:rPr>
              <w:t> </w:t>
            </w:r>
            <w:r w:rsidRPr="008B3F38">
              <w:rPr>
                <w:color w:val="000000"/>
                <w:sz w:val="18"/>
                <w:szCs w:val="18"/>
                <w:lang w:val="ru-RU"/>
              </w:rPr>
              <w:t>года: создание Подразделения по надзору было утверждено Советом в 2023 году. В Служебном приказе</w:t>
            </w:r>
            <w:r w:rsidR="001D6BAF" w:rsidRPr="008B3F38">
              <w:rPr>
                <w:color w:val="000000"/>
                <w:sz w:val="18"/>
                <w:szCs w:val="18"/>
                <w:lang w:val="ru-RU"/>
              </w:rPr>
              <w:t> </w:t>
            </w:r>
            <w:r w:rsidRPr="008B3F38">
              <w:rPr>
                <w:color w:val="000000"/>
                <w:sz w:val="18"/>
                <w:szCs w:val="18"/>
                <w:lang w:val="ru-RU"/>
              </w:rPr>
              <w:t>24/09 был опубликован новый Устав Подразделения по надзору после его принятия Советом в 2024 году. Этот Устав охватывает и регулирует обязанности функции оценки, которая находится в процессе создания.</w:t>
            </w:r>
          </w:p>
          <w:p w14:paraId="1ABEBB21" w14:textId="77777777" w:rsidR="003C6890" w:rsidRPr="008B3F38" w:rsidRDefault="003C6890" w:rsidP="00025DC3">
            <w:pPr>
              <w:pStyle w:val="Tabletext"/>
              <w:rPr>
                <w:sz w:val="18"/>
                <w:szCs w:val="18"/>
                <w:lang w:val="ru-RU"/>
              </w:rPr>
            </w:pPr>
            <w:r w:rsidRPr="008B3F38">
              <w:rPr>
                <w:color w:val="000000"/>
                <w:sz w:val="18"/>
                <w:szCs w:val="18"/>
                <w:lang w:val="ru-RU"/>
              </w:rPr>
              <w:t>МСЭ рекомендует перевести данную рекомендацию в статус выполненной.</w:t>
            </w:r>
          </w:p>
        </w:tc>
        <w:tc>
          <w:tcPr>
            <w:tcW w:w="1139" w:type="pct"/>
            <w:gridSpan w:val="2"/>
            <w:shd w:val="clear" w:color="auto" w:fill="auto"/>
          </w:tcPr>
          <w:p w14:paraId="221D9E5B" w14:textId="77777777" w:rsidR="003C6890" w:rsidRPr="008B3F38" w:rsidRDefault="003C6890" w:rsidP="00025DC3">
            <w:pPr>
              <w:pStyle w:val="Tabletext"/>
              <w:rPr>
                <w:sz w:val="18"/>
                <w:szCs w:val="18"/>
                <w:lang w:val="ru-RU"/>
              </w:rPr>
            </w:pPr>
            <w:r w:rsidRPr="008B3F38">
              <w:rPr>
                <w:color w:val="000000"/>
                <w:sz w:val="18"/>
                <w:szCs w:val="18"/>
                <w:lang w:val="ru-RU"/>
              </w:rPr>
              <w:t>Как отмечалось в отчете за этот год, хотя функция оценки теперь находится в рамках Подразделения по надзору, деятельность по оценке не проводилась. Вследствие этого мы заменили данную рекомендацию.</w:t>
            </w:r>
          </w:p>
        </w:tc>
        <w:tc>
          <w:tcPr>
            <w:tcW w:w="440" w:type="pct"/>
            <w:shd w:val="clear" w:color="auto" w:fill="auto"/>
          </w:tcPr>
          <w:p w14:paraId="6550D9D4" w14:textId="77777777" w:rsidR="003C6890" w:rsidRPr="008B3F38" w:rsidRDefault="003C6890" w:rsidP="00025DC3">
            <w:pPr>
              <w:pStyle w:val="Tabletext"/>
              <w:rPr>
                <w:sz w:val="18"/>
                <w:szCs w:val="18"/>
                <w:lang w:val="ru-RU"/>
              </w:rPr>
            </w:pPr>
            <w:r w:rsidRPr="008B3F38">
              <w:rPr>
                <w:color w:val="000000"/>
                <w:sz w:val="18"/>
                <w:szCs w:val="18"/>
                <w:lang w:val="ru-RU"/>
              </w:rPr>
              <w:t>Закрыта.</w:t>
            </w:r>
          </w:p>
        </w:tc>
      </w:tr>
      <w:tr w:rsidR="00411F7C" w:rsidRPr="008B3F38" w14:paraId="1D68E98A" w14:textId="77777777" w:rsidTr="008A2FDE">
        <w:trPr>
          <w:jc w:val="center"/>
        </w:trPr>
        <w:tc>
          <w:tcPr>
            <w:tcW w:w="353" w:type="pct"/>
            <w:shd w:val="clear" w:color="auto" w:fill="auto"/>
          </w:tcPr>
          <w:p w14:paraId="422C74B1" w14:textId="77777777" w:rsidR="003C6890" w:rsidRPr="008B3F38" w:rsidRDefault="003C6890" w:rsidP="00025DC3">
            <w:pPr>
              <w:pStyle w:val="Tabletext"/>
              <w:rPr>
                <w:sz w:val="18"/>
                <w:szCs w:val="18"/>
                <w:lang w:val="ru-RU"/>
              </w:rPr>
            </w:pPr>
            <w:r w:rsidRPr="008B3F38">
              <w:rPr>
                <w:color w:val="000000"/>
                <w:sz w:val="18"/>
                <w:szCs w:val="18"/>
                <w:lang w:val="ru-RU"/>
              </w:rPr>
              <w:t>2021 г.</w:t>
            </w:r>
            <w:r w:rsidRPr="008B3F38">
              <w:rPr>
                <w:color w:val="000000"/>
                <w:sz w:val="18"/>
                <w:szCs w:val="18"/>
                <w:lang w:val="ru-RU"/>
              </w:rPr>
              <w:br/>
              <w:t>РЕК25</w:t>
            </w:r>
          </w:p>
        </w:tc>
        <w:tc>
          <w:tcPr>
            <w:tcW w:w="1407" w:type="pct"/>
            <w:shd w:val="clear" w:color="auto" w:fill="auto"/>
          </w:tcPr>
          <w:p w14:paraId="3E85718F" w14:textId="77777777" w:rsidR="003C6890" w:rsidRPr="008B3F38" w:rsidRDefault="003C6890" w:rsidP="00025DC3">
            <w:pPr>
              <w:pStyle w:val="Tabletext"/>
              <w:rPr>
                <w:sz w:val="18"/>
                <w:szCs w:val="18"/>
                <w:lang w:val="ru-RU"/>
              </w:rPr>
            </w:pPr>
            <w:r w:rsidRPr="008B3F38">
              <w:rPr>
                <w:color w:val="000000"/>
                <w:sz w:val="18"/>
                <w:szCs w:val="18"/>
                <w:lang w:val="ru-RU"/>
              </w:rPr>
              <w:t>Следует ввести рассчитанную на год программу профессиональной подготовки, согласованную с годовым планом работы, чтобы оценить уровень профессиональных навыков, необходимых для его реализации.</w:t>
            </w:r>
          </w:p>
        </w:tc>
        <w:tc>
          <w:tcPr>
            <w:tcW w:w="1661" w:type="pct"/>
            <w:gridSpan w:val="2"/>
            <w:shd w:val="clear" w:color="auto" w:fill="auto"/>
          </w:tcPr>
          <w:p w14:paraId="20624AD3" w14:textId="1E1A97FB" w:rsidR="003C6890" w:rsidRPr="008B3F38" w:rsidRDefault="003C6890" w:rsidP="00025DC3">
            <w:pPr>
              <w:pStyle w:val="Tabletext"/>
              <w:rPr>
                <w:sz w:val="18"/>
                <w:szCs w:val="18"/>
                <w:lang w:val="ru-RU"/>
              </w:rPr>
            </w:pPr>
            <w:r w:rsidRPr="008B3F38">
              <w:rPr>
                <w:color w:val="000000"/>
                <w:sz w:val="18"/>
                <w:szCs w:val="18"/>
                <w:lang w:val="ru-RU"/>
              </w:rPr>
              <w:t>Обновленная информация по состоянию на май 2025 г.: в</w:t>
            </w:r>
            <w:r w:rsidR="001D6BAF" w:rsidRPr="008B3F38">
              <w:rPr>
                <w:color w:val="000000"/>
                <w:sz w:val="18"/>
                <w:szCs w:val="18"/>
                <w:lang w:val="ru-RU"/>
              </w:rPr>
              <w:t> </w:t>
            </w:r>
            <w:r w:rsidRPr="008B3F38">
              <w:rPr>
                <w:color w:val="000000"/>
                <w:sz w:val="18"/>
                <w:szCs w:val="18"/>
                <w:lang w:val="ru-RU"/>
              </w:rPr>
              <w:t>соответствии с программой обеспечения и улучшения качества, которая определена в стандартах Института внутренних аудиторов (IIA) и которая включает оценку собственной деятельности и внешнюю экспертную оценку, Подразделение по надзору разработает программы профессиональной подготовки в соответствии с этой рекомендацией, которая при необходимости будет внедрена при поддержке МСЭ.</w:t>
            </w:r>
          </w:p>
          <w:p w14:paraId="75DD4C41" w14:textId="77777777" w:rsidR="003C6890" w:rsidRPr="008B3F38" w:rsidRDefault="003C6890" w:rsidP="00025DC3">
            <w:pPr>
              <w:pStyle w:val="Tabletext"/>
              <w:rPr>
                <w:sz w:val="18"/>
                <w:szCs w:val="18"/>
                <w:lang w:val="ru-RU"/>
              </w:rPr>
            </w:pPr>
            <w:r w:rsidRPr="008B3F38">
              <w:rPr>
                <w:color w:val="000000"/>
                <w:sz w:val="18"/>
                <w:szCs w:val="18"/>
                <w:lang w:val="ru-RU"/>
              </w:rPr>
              <w:t>МСЭ считает, что данная рекомендация находится в процессе выполнения.</w:t>
            </w:r>
          </w:p>
        </w:tc>
        <w:tc>
          <w:tcPr>
            <w:tcW w:w="1139" w:type="pct"/>
            <w:gridSpan w:val="2"/>
            <w:shd w:val="clear" w:color="auto" w:fill="auto"/>
          </w:tcPr>
          <w:p w14:paraId="45C33E04" w14:textId="77777777" w:rsidR="003C6890" w:rsidRPr="008B3F38" w:rsidRDefault="003C6890" w:rsidP="00025DC3">
            <w:pPr>
              <w:pStyle w:val="Tabletext"/>
              <w:rPr>
                <w:sz w:val="18"/>
                <w:szCs w:val="18"/>
                <w:lang w:val="ru-RU"/>
              </w:rPr>
            </w:pPr>
            <w:r w:rsidRPr="008B3F38">
              <w:rPr>
                <w:color w:val="000000"/>
                <w:sz w:val="18"/>
                <w:szCs w:val="18"/>
                <w:lang w:val="ru-RU"/>
              </w:rPr>
              <w:t>Данная рекомендация касается требований к профессиональным навыкам и непрерывного профессионального развития персонала внутреннего аудита. Представленный ответ является общим положением МСЭ по профессиональной подготовке и не касается специфики рекомендации. Данная рекомендация не выполнена, и ожидается, что она будет рассматриваться как часть экспертной оценки IIA.</w:t>
            </w:r>
          </w:p>
        </w:tc>
        <w:tc>
          <w:tcPr>
            <w:tcW w:w="440" w:type="pct"/>
            <w:shd w:val="clear" w:color="auto" w:fill="auto"/>
          </w:tcPr>
          <w:p w14:paraId="6E2F0893" w14:textId="77777777" w:rsidR="003C6890" w:rsidRPr="008B3F38" w:rsidRDefault="003C6890" w:rsidP="00025DC3">
            <w:pPr>
              <w:pStyle w:val="Tabletext"/>
              <w:ind w:right="-57"/>
              <w:rPr>
                <w:sz w:val="18"/>
                <w:szCs w:val="18"/>
                <w:lang w:val="ru-RU"/>
              </w:rPr>
            </w:pPr>
            <w:r w:rsidRPr="008B3F38">
              <w:rPr>
                <w:color w:val="000000"/>
                <w:sz w:val="18"/>
                <w:szCs w:val="18"/>
                <w:lang w:val="ru-RU"/>
              </w:rPr>
              <w:t>Выполняется.</w:t>
            </w:r>
          </w:p>
        </w:tc>
      </w:tr>
      <w:tr w:rsidR="00411F7C" w:rsidRPr="008B3F38" w14:paraId="7C3073A8" w14:textId="77777777" w:rsidTr="008A2FDE">
        <w:trPr>
          <w:jc w:val="center"/>
        </w:trPr>
        <w:tc>
          <w:tcPr>
            <w:tcW w:w="353" w:type="pct"/>
            <w:shd w:val="clear" w:color="auto" w:fill="auto"/>
          </w:tcPr>
          <w:p w14:paraId="5CD4099B" w14:textId="77777777" w:rsidR="003C6890" w:rsidRPr="008B3F38" w:rsidRDefault="003C6890" w:rsidP="00025DC3">
            <w:pPr>
              <w:pStyle w:val="Tabletext"/>
              <w:rPr>
                <w:sz w:val="18"/>
                <w:szCs w:val="18"/>
                <w:lang w:val="ru-RU"/>
              </w:rPr>
            </w:pPr>
            <w:r w:rsidRPr="008B3F38">
              <w:rPr>
                <w:color w:val="000000"/>
                <w:sz w:val="18"/>
                <w:szCs w:val="18"/>
                <w:lang w:val="ru-RU"/>
              </w:rPr>
              <w:t>2021 г.</w:t>
            </w:r>
            <w:r w:rsidRPr="008B3F38">
              <w:rPr>
                <w:color w:val="000000"/>
                <w:sz w:val="18"/>
                <w:szCs w:val="18"/>
                <w:lang w:val="ru-RU"/>
              </w:rPr>
              <w:br/>
              <w:t>РЕК26</w:t>
            </w:r>
          </w:p>
        </w:tc>
        <w:tc>
          <w:tcPr>
            <w:tcW w:w="1407" w:type="pct"/>
            <w:shd w:val="clear" w:color="auto" w:fill="auto"/>
          </w:tcPr>
          <w:p w14:paraId="4D815B2C" w14:textId="77777777" w:rsidR="003C6890" w:rsidRPr="008B3F38" w:rsidRDefault="003C6890" w:rsidP="00025DC3">
            <w:pPr>
              <w:pStyle w:val="Tabletext"/>
              <w:rPr>
                <w:sz w:val="18"/>
                <w:szCs w:val="18"/>
                <w:lang w:val="ru-RU"/>
              </w:rPr>
            </w:pPr>
            <w:r w:rsidRPr="008B3F38">
              <w:rPr>
                <w:color w:val="000000"/>
                <w:sz w:val="18"/>
                <w:szCs w:val="18"/>
                <w:lang w:val="ru-RU"/>
              </w:rPr>
              <w:t>Руководителю IAU следует регулярно проводить оценку собственной деятельности (по крайней мере каждые два года) на соответствие всем стандартам IIA и модели "трех линий", чтобы содействовать процессу регулярного совершенствования IAU, и определять все необходимые действия.</w:t>
            </w:r>
          </w:p>
        </w:tc>
        <w:tc>
          <w:tcPr>
            <w:tcW w:w="1661" w:type="pct"/>
            <w:gridSpan w:val="2"/>
            <w:shd w:val="clear" w:color="auto" w:fill="auto"/>
          </w:tcPr>
          <w:p w14:paraId="769374FB" w14:textId="61A02474" w:rsidR="003C6890" w:rsidRPr="008B3F38" w:rsidRDefault="003C6890" w:rsidP="00025DC3">
            <w:pPr>
              <w:pStyle w:val="Tabletext"/>
              <w:rPr>
                <w:sz w:val="18"/>
                <w:szCs w:val="18"/>
                <w:lang w:val="ru-RU"/>
              </w:rPr>
            </w:pPr>
            <w:r w:rsidRPr="008B3F38">
              <w:rPr>
                <w:color w:val="000000"/>
                <w:sz w:val="18"/>
                <w:szCs w:val="18"/>
                <w:lang w:val="ru-RU"/>
              </w:rPr>
              <w:t>Обновленная информация по состоянию на январь 2025</w:t>
            </w:r>
            <w:r w:rsidR="001D6BAF" w:rsidRPr="008B3F38">
              <w:rPr>
                <w:color w:val="000000"/>
                <w:sz w:val="18"/>
                <w:szCs w:val="18"/>
                <w:lang w:val="ru-RU"/>
              </w:rPr>
              <w:t> </w:t>
            </w:r>
            <w:r w:rsidRPr="008B3F38">
              <w:rPr>
                <w:color w:val="000000"/>
                <w:sz w:val="18"/>
                <w:szCs w:val="18"/>
                <w:lang w:val="ru-RU"/>
              </w:rPr>
              <w:t>г.: оценка собственной деятельности проводится</w:t>
            </w:r>
            <w:r w:rsidR="00735365" w:rsidRPr="008B3F38">
              <w:rPr>
                <w:color w:val="000000"/>
                <w:sz w:val="18"/>
                <w:szCs w:val="18"/>
                <w:lang w:val="ru-RU"/>
              </w:rPr>
              <w:t> </w:t>
            </w:r>
            <w:r w:rsidRPr="008B3F38">
              <w:rPr>
                <w:color w:val="000000"/>
                <w:sz w:val="18"/>
                <w:szCs w:val="18"/>
                <w:lang w:val="ru-RU"/>
              </w:rPr>
              <w:t>ежегодно.</w:t>
            </w:r>
          </w:p>
          <w:p w14:paraId="11FBC4C3" w14:textId="77777777" w:rsidR="003C6890" w:rsidRPr="008B3F38" w:rsidRDefault="003C6890" w:rsidP="00025DC3">
            <w:pPr>
              <w:pStyle w:val="Tabletext"/>
              <w:rPr>
                <w:sz w:val="18"/>
                <w:szCs w:val="18"/>
                <w:lang w:val="ru-RU"/>
              </w:rPr>
            </w:pPr>
            <w:r w:rsidRPr="008B3F38">
              <w:rPr>
                <w:color w:val="000000"/>
                <w:sz w:val="18"/>
                <w:szCs w:val="18"/>
                <w:lang w:val="ru-RU"/>
              </w:rPr>
              <w:t>МСЭ рекомендует перевести данную рекомендацию в статус выполненной.</w:t>
            </w:r>
          </w:p>
        </w:tc>
        <w:tc>
          <w:tcPr>
            <w:tcW w:w="1139" w:type="pct"/>
            <w:gridSpan w:val="2"/>
            <w:shd w:val="clear" w:color="auto" w:fill="auto"/>
          </w:tcPr>
          <w:p w14:paraId="02B81ED2" w14:textId="310C0D2A" w:rsidR="003C6890" w:rsidRPr="008B3F38" w:rsidRDefault="003C6890" w:rsidP="00025DC3">
            <w:pPr>
              <w:pStyle w:val="Tabletext"/>
              <w:rPr>
                <w:sz w:val="18"/>
                <w:szCs w:val="18"/>
                <w:lang w:val="ru-RU"/>
              </w:rPr>
            </w:pPr>
            <w:r w:rsidRPr="008B3F38">
              <w:rPr>
                <w:color w:val="000000"/>
                <w:sz w:val="18"/>
                <w:szCs w:val="18"/>
                <w:lang w:val="ru-RU"/>
              </w:rPr>
              <w:t>Как отмечено в отчете за этот год, система внутреннего аудита должна пройти экспертную оценку IIA. Мы</w:t>
            </w:r>
            <w:r w:rsidR="00735365" w:rsidRPr="008B3F38">
              <w:rPr>
                <w:color w:val="000000"/>
                <w:sz w:val="18"/>
                <w:szCs w:val="18"/>
                <w:lang w:val="ru-RU"/>
              </w:rPr>
              <w:t> </w:t>
            </w:r>
            <w:r w:rsidRPr="008B3F38">
              <w:rPr>
                <w:color w:val="000000"/>
                <w:sz w:val="18"/>
                <w:szCs w:val="18"/>
                <w:lang w:val="ru-RU"/>
              </w:rPr>
              <w:t>выполнили эту подробную рекомендацию по оценке собственной деятельности, проведем обзор результатов оценки IIA и представим обновленную информацию Совету в нашем отчете в следующем году.</w:t>
            </w:r>
          </w:p>
        </w:tc>
        <w:tc>
          <w:tcPr>
            <w:tcW w:w="440" w:type="pct"/>
            <w:shd w:val="clear" w:color="auto" w:fill="auto"/>
          </w:tcPr>
          <w:p w14:paraId="6C8317AF" w14:textId="77777777" w:rsidR="003C6890" w:rsidRPr="008B3F38" w:rsidRDefault="003C6890" w:rsidP="00025DC3">
            <w:pPr>
              <w:pStyle w:val="Tabletext"/>
              <w:rPr>
                <w:sz w:val="18"/>
                <w:szCs w:val="18"/>
                <w:lang w:val="ru-RU"/>
              </w:rPr>
            </w:pPr>
            <w:r w:rsidRPr="008B3F38">
              <w:rPr>
                <w:color w:val="000000"/>
                <w:sz w:val="18"/>
                <w:szCs w:val="18"/>
                <w:lang w:val="ru-RU"/>
              </w:rPr>
              <w:t>Закрыта.</w:t>
            </w:r>
          </w:p>
        </w:tc>
      </w:tr>
      <w:tr w:rsidR="00411F7C" w:rsidRPr="008B3F38" w14:paraId="138DED0C" w14:textId="77777777" w:rsidTr="008A2FDE">
        <w:trPr>
          <w:jc w:val="center"/>
        </w:trPr>
        <w:tc>
          <w:tcPr>
            <w:tcW w:w="353" w:type="pct"/>
            <w:shd w:val="clear" w:color="auto" w:fill="auto"/>
          </w:tcPr>
          <w:p w14:paraId="69D1F821" w14:textId="77777777" w:rsidR="003C6890" w:rsidRPr="008B3F38" w:rsidRDefault="003C6890" w:rsidP="00025DC3">
            <w:pPr>
              <w:pStyle w:val="Tabletext"/>
              <w:rPr>
                <w:sz w:val="18"/>
                <w:szCs w:val="18"/>
                <w:lang w:val="ru-RU"/>
              </w:rPr>
            </w:pPr>
            <w:r w:rsidRPr="008B3F38">
              <w:rPr>
                <w:color w:val="000000"/>
                <w:sz w:val="18"/>
                <w:szCs w:val="18"/>
                <w:lang w:val="ru-RU"/>
              </w:rPr>
              <w:t>2021 г.</w:t>
            </w:r>
            <w:r w:rsidRPr="008B3F38">
              <w:rPr>
                <w:color w:val="000000"/>
                <w:sz w:val="18"/>
                <w:szCs w:val="18"/>
                <w:lang w:val="ru-RU"/>
              </w:rPr>
              <w:br/>
              <w:t>РЕК27</w:t>
            </w:r>
          </w:p>
        </w:tc>
        <w:tc>
          <w:tcPr>
            <w:tcW w:w="1407" w:type="pct"/>
            <w:shd w:val="clear" w:color="auto" w:fill="auto"/>
          </w:tcPr>
          <w:p w14:paraId="3728ECD2" w14:textId="77777777" w:rsidR="003C6890" w:rsidRPr="008B3F38" w:rsidRDefault="003C6890" w:rsidP="00025DC3">
            <w:pPr>
              <w:pStyle w:val="Tabletext"/>
              <w:rPr>
                <w:sz w:val="18"/>
                <w:szCs w:val="18"/>
                <w:lang w:val="ru-RU"/>
              </w:rPr>
            </w:pPr>
            <w:r w:rsidRPr="008B3F38">
              <w:rPr>
                <w:color w:val="000000"/>
                <w:sz w:val="18"/>
                <w:szCs w:val="18"/>
                <w:lang w:val="ru-RU"/>
              </w:rPr>
              <w:t xml:space="preserve">Пересмотреть Устав IAU, указав, что к Подразделению внутреннего аудита нельзя обращаться за оказанием консультационных услуг, за исключением случаев, когда имеется срочная необходимость. В этом случае следует четко определить задачи такого рода </w:t>
            </w:r>
            <w:r w:rsidRPr="008B3F38">
              <w:rPr>
                <w:color w:val="000000"/>
                <w:sz w:val="18"/>
                <w:szCs w:val="18"/>
                <w:lang w:val="ru-RU"/>
              </w:rPr>
              <w:lastRenderedPageBreak/>
              <w:t>консультационных услуг, заранее указав меры для обеспечения гарантий независимости IAU.</w:t>
            </w:r>
          </w:p>
        </w:tc>
        <w:tc>
          <w:tcPr>
            <w:tcW w:w="1661" w:type="pct"/>
            <w:gridSpan w:val="2"/>
            <w:shd w:val="clear" w:color="auto" w:fill="auto"/>
          </w:tcPr>
          <w:p w14:paraId="3811FE2B" w14:textId="626D03F1" w:rsidR="003C6890" w:rsidRPr="008B3F38" w:rsidRDefault="003C6890" w:rsidP="00025DC3">
            <w:pPr>
              <w:pStyle w:val="Tabletext"/>
              <w:rPr>
                <w:color w:val="000000"/>
                <w:sz w:val="18"/>
                <w:szCs w:val="18"/>
                <w:lang w:val="ru-RU"/>
              </w:rPr>
            </w:pPr>
            <w:r w:rsidRPr="008B3F38">
              <w:rPr>
                <w:color w:val="000000"/>
                <w:sz w:val="18"/>
                <w:szCs w:val="18"/>
                <w:lang w:val="ru-RU"/>
              </w:rPr>
              <w:lastRenderedPageBreak/>
              <w:t>Обновленная информация по состоянию на январь 2025</w:t>
            </w:r>
            <w:r w:rsidR="001D6BAF" w:rsidRPr="008B3F38">
              <w:rPr>
                <w:color w:val="000000"/>
                <w:sz w:val="18"/>
                <w:szCs w:val="18"/>
                <w:lang w:val="ru-RU"/>
              </w:rPr>
              <w:t> </w:t>
            </w:r>
            <w:r w:rsidRPr="008B3F38">
              <w:rPr>
                <w:color w:val="000000"/>
                <w:sz w:val="18"/>
                <w:szCs w:val="18"/>
                <w:lang w:val="ru-RU"/>
              </w:rPr>
              <w:t>г.: новый Устав Подразделения по надзору, который регулирует функции внутреннего аудита, был представлен в сентябре 2024 года в Служебном приказе</w:t>
            </w:r>
            <w:r w:rsidR="001D6BAF" w:rsidRPr="008B3F38">
              <w:rPr>
                <w:color w:val="000000"/>
                <w:sz w:val="18"/>
                <w:szCs w:val="18"/>
                <w:lang w:val="ru-RU"/>
              </w:rPr>
              <w:t> </w:t>
            </w:r>
            <w:r w:rsidRPr="008B3F38">
              <w:rPr>
                <w:color w:val="000000"/>
                <w:sz w:val="18"/>
                <w:szCs w:val="18"/>
                <w:lang w:val="ru-RU"/>
              </w:rPr>
              <w:t xml:space="preserve">24/09 "Принятие Устава Подразделения по надзору МСЭ и соответствующие разъяснения". </w:t>
            </w:r>
            <w:r w:rsidRPr="008B3F38">
              <w:rPr>
                <w:color w:val="000000"/>
                <w:sz w:val="18"/>
                <w:szCs w:val="18"/>
                <w:lang w:val="ru-RU"/>
              </w:rPr>
              <w:lastRenderedPageBreak/>
              <w:t>Этот</w:t>
            </w:r>
            <w:r w:rsidR="00735365" w:rsidRPr="008B3F38">
              <w:rPr>
                <w:color w:val="000000"/>
                <w:sz w:val="18"/>
                <w:szCs w:val="18"/>
                <w:lang w:val="ru-RU"/>
              </w:rPr>
              <w:t> </w:t>
            </w:r>
            <w:r w:rsidRPr="008B3F38">
              <w:rPr>
                <w:color w:val="000000"/>
                <w:sz w:val="18"/>
                <w:szCs w:val="18"/>
                <w:lang w:val="ru-RU"/>
              </w:rPr>
              <w:t>служебный приказ был представлен в связи с принятием Советом 2024 года Устава, в отношении которого IMAC представил свои замечания после его рассмотрения.</w:t>
            </w:r>
          </w:p>
          <w:p w14:paraId="25509535" w14:textId="77777777" w:rsidR="003C6890" w:rsidRPr="008B3F38" w:rsidRDefault="003C6890" w:rsidP="00025DC3">
            <w:pPr>
              <w:pStyle w:val="Tabletext"/>
              <w:rPr>
                <w:sz w:val="18"/>
                <w:szCs w:val="18"/>
                <w:lang w:val="ru-RU"/>
              </w:rPr>
            </w:pPr>
            <w:r w:rsidRPr="008B3F38">
              <w:rPr>
                <w:color w:val="000000"/>
                <w:sz w:val="18"/>
                <w:szCs w:val="18"/>
                <w:lang w:val="ru-RU"/>
              </w:rPr>
              <w:t>МСЭ рекомендует перевести данную рекомендацию в статус выполненной.</w:t>
            </w:r>
          </w:p>
        </w:tc>
        <w:tc>
          <w:tcPr>
            <w:tcW w:w="1139" w:type="pct"/>
            <w:gridSpan w:val="2"/>
            <w:shd w:val="clear" w:color="auto" w:fill="auto"/>
          </w:tcPr>
          <w:p w14:paraId="1F78E713" w14:textId="77777777" w:rsidR="003C6890" w:rsidRPr="008B3F38" w:rsidRDefault="003C6890" w:rsidP="00025DC3">
            <w:pPr>
              <w:pStyle w:val="Tabletext"/>
              <w:rPr>
                <w:sz w:val="18"/>
                <w:szCs w:val="18"/>
                <w:lang w:val="ru-RU"/>
              </w:rPr>
            </w:pPr>
            <w:r w:rsidRPr="008B3F38">
              <w:rPr>
                <w:color w:val="000000"/>
                <w:sz w:val="18"/>
                <w:szCs w:val="18"/>
                <w:lang w:val="ru-RU"/>
              </w:rPr>
              <w:lastRenderedPageBreak/>
              <w:t>Последний ответ принят к сведению и признан обоснованным. Рекомендация выполнена.</w:t>
            </w:r>
          </w:p>
        </w:tc>
        <w:tc>
          <w:tcPr>
            <w:tcW w:w="440" w:type="pct"/>
            <w:shd w:val="clear" w:color="auto" w:fill="auto"/>
          </w:tcPr>
          <w:p w14:paraId="7C458F0D" w14:textId="77777777" w:rsidR="003C6890" w:rsidRPr="008B3F38" w:rsidRDefault="003C6890" w:rsidP="00025DC3">
            <w:pPr>
              <w:pStyle w:val="Tabletext"/>
              <w:rPr>
                <w:sz w:val="18"/>
                <w:szCs w:val="18"/>
                <w:lang w:val="ru-RU"/>
              </w:rPr>
            </w:pPr>
            <w:r w:rsidRPr="008B3F38">
              <w:rPr>
                <w:color w:val="000000"/>
                <w:sz w:val="18"/>
                <w:szCs w:val="18"/>
                <w:lang w:val="ru-RU"/>
              </w:rPr>
              <w:t>Закрыта.</w:t>
            </w:r>
          </w:p>
        </w:tc>
      </w:tr>
      <w:tr w:rsidR="00411F7C" w:rsidRPr="008B3F38" w14:paraId="7B02D8D9" w14:textId="77777777" w:rsidTr="008A2FDE">
        <w:trPr>
          <w:jc w:val="center"/>
        </w:trPr>
        <w:tc>
          <w:tcPr>
            <w:tcW w:w="353" w:type="pct"/>
            <w:shd w:val="clear" w:color="auto" w:fill="auto"/>
          </w:tcPr>
          <w:p w14:paraId="46CB9AA2" w14:textId="77777777" w:rsidR="003C6890" w:rsidRPr="008B3F38" w:rsidRDefault="003C6890" w:rsidP="00025DC3">
            <w:pPr>
              <w:pStyle w:val="Tabletext"/>
              <w:rPr>
                <w:sz w:val="18"/>
                <w:szCs w:val="18"/>
                <w:lang w:val="ru-RU"/>
              </w:rPr>
            </w:pPr>
            <w:r w:rsidRPr="008B3F38">
              <w:rPr>
                <w:color w:val="000000"/>
                <w:sz w:val="18"/>
                <w:szCs w:val="18"/>
                <w:lang w:val="ru-RU"/>
              </w:rPr>
              <w:t>2021 г.</w:t>
            </w:r>
            <w:r w:rsidRPr="008B3F38">
              <w:rPr>
                <w:color w:val="000000"/>
                <w:sz w:val="18"/>
                <w:szCs w:val="18"/>
                <w:lang w:val="ru-RU"/>
              </w:rPr>
              <w:br/>
              <w:t>РЕК28</w:t>
            </w:r>
          </w:p>
        </w:tc>
        <w:tc>
          <w:tcPr>
            <w:tcW w:w="1407" w:type="pct"/>
            <w:shd w:val="clear" w:color="auto" w:fill="auto"/>
          </w:tcPr>
          <w:p w14:paraId="0BF81850" w14:textId="77777777" w:rsidR="003C6890" w:rsidRPr="008B3F38" w:rsidRDefault="003C6890" w:rsidP="00025DC3">
            <w:pPr>
              <w:pStyle w:val="Tabletext"/>
              <w:rPr>
                <w:sz w:val="18"/>
                <w:szCs w:val="18"/>
                <w:lang w:val="ru-RU"/>
              </w:rPr>
            </w:pPr>
            <w:r w:rsidRPr="008B3F38">
              <w:rPr>
                <w:color w:val="000000"/>
                <w:sz w:val="18"/>
                <w:szCs w:val="18"/>
                <w:lang w:val="ru-RU"/>
              </w:rPr>
              <w:t>Внести поправки в круг ведения руководителя IAU и предусмотреть установление невозобновляемого срока полномочий от пяти до семи лет для должности руководителя IAU, без возможности трудоустройства в МСЭ по окончании срока действия мандата.</w:t>
            </w:r>
          </w:p>
        </w:tc>
        <w:tc>
          <w:tcPr>
            <w:tcW w:w="1661" w:type="pct"/>
            <w:gridSpan w:val="2"/>
            <w:shd w:val="clear" w:color="auto" w:fill="auto"/>
          </w:tcPr>
          <w:p w14:paraId="47C97846" w14:textId="0A57BF22" w:rsidR="003C6890" w:rsidRPr="008B3F38" w:rsidRDefault="003C6890" w:rsidP="00025DC3">
            <w:pPr>
              <w:pStyle w:val="Tabletext"/>
              <w:rPr>
                <w:sz w:val="18"/>
                <w:szCs w:val="18"/>
                <w:lang w:val="ru-RU"/>
              </w:rPr>
            </w:pPr>
            <w:r w:rsidRPr="008B3F38">
              <w:rPr>
                <w:color w:val="000000"/>
                <w:sz w:val="18"/>
                <w:szCs w:val="18"/>
                <w:lang w:val="ru-RU"/>
              </w:rPr>
              <w:t>Обновленная информация по состоянию на январь 2025</w:t>
            </w:r>
            <w:r w:rsidR="001D6BAF" w:rsidRPr="008B3F38">
              <w:rPr>
                <w:color w:val="000000"/>
                <w:sz w:val="18"/>
                <w:szCs w:val="18"/>
                <w:lang w:val="ru-RU"/>
              </w:rPr>
              <w:t> </w:t>
            </w:r>
            <w:r w:rsidRPr="008B3F38">
              <w:rPr>
                <w:color w:val="000000"/>
                <w:sz w:val="18"/>
                <w:szCs w:val="18"/>
                <w:lang w:val="ru-RU"/>
              </w:rPr>
              <w:t>г.: срок полномочий руководителя Подразделения по надзору составляет пять лет.</w:t>
            </w:r>
          </w:p>
          <w:p w14:paraId="1717ECA6" w14:textId="77777777" w:rsidR="003C6890" w:rsidRPr="008B3F38" w:rsidRDefault="003C6890" w:rsidP="00025DC3">
            <w:pPr>
              <w:pStyle w:val="Tabletext"/>
              <w:rPr>
                <w:sz w:val="18"/>
                <w:szCs w:val="18"/>
                <w:lang w:val="ru-RU"/>
              </w:rPr>
            </w:pPr>
            <w:r w:rsidRPr="008B3F38">
              <w:rPr>
                <w:color w:val="000000"/>
                <w:sz w:val="18"/>
                <w:szCs w:val="18"/>
                <w:lang w:val="ru-RU"/>
              </w:rPr>
              <w:t>МСЭ рекомендует перевести данную рекомендацию в статус выполненной.</w:t>
            </w:r>
          </w:p>
        </w:tc>
        <w:tc>
          <w:tcPr>
            <w:tcW w:w="1139" w:type="pct"/>
            <w:gridSpan w:val="2"/>
            <w:shd w:val="clear" w:color="auto" w:fill="auto"/>
          </w:tcPr>
          <w:p w14:paraId="0BDE6045" w14:textId="77777777" w:rsidR="003C6890" w:rsidRPr="008B3F38" w:rsidRDefault="003C6890" w:rsidP="00025DC3">
            <w:pPr>
              <w:pStyle w:val="Tabletext"/>
              <w:rPr>
                <w:sz w:val="18"/>
                <w:szCs w:val="18"/>
                <w:lang w:val="ru-RU"/>
              </w:rPr>
            </w:pPr>
            <w:r w:rsidRPr="008B3F38">
              <w:rPr>
                <w:color w:val="000000"/>
                <w:sz w:val="18"/>
                <w:szCs w:val="18"/>
                <w:lang w:val="ru-RU"/>
              </w:rPr>
              <w:t>Последний ответ принят к сведению и признан обоснованным. Рекомендация выполнена.</w:t>
            </w:r>
          </w:p>
        </w:tc>
        <w:tc>
          <w:tcPr>
            <w:tcW w:w="440" w:type="pct"/>
            <w:shd w:val="clear" w:color="auto" w:fill="auto"/>
          </w:tcPr>
          <w:p w14:paraId="6D1FE0E0" w14:textId="77777777" w:rsidR="003C6890" w:rsidRPr="008B3F38" w:rsidRDefault="003C6890" w:rsidP="00025DC3">
            <w:pPr>
              <w:pStyle w:val="Tabletext"/>
              <w:rPr>
                <w:sz w:val="18"/>
                <w:szCs w:val="18"/>
                <w:lang w:val="ru-RU"/>
              </w:rPr>
            </w:pPr>
            <w:r w:rsidRPr="008B3F38">
              <w:rPr>
                <w:color w:val="000000"/>
                <w:sz w:val="18"/>
                <w:szCs w:val="18"/>
                <w:lang w:val="ru-RU"/>
              </w:rPr>
              <w:t>Закрыта.</w:t>
            </w:r>
          </w:p>
        </w:tc>
      </w:tr>
      <w:tr w:rsidR="00411F7C" w:rsidRPr="008B3F38" w14:paraId="590684B9" w14:textId="77777777" w:rsidTr="008A2FDE">
        <w:trPr>
          <w:jc w:val="center"/>
        </w:trPr>
        <w:tc>
          <w:tcPr>
            <w:tcW w:w="353" w:type="pct"/>
            <w:shd w:val="clear" w:color="auto" w:fill="auto"/>
          </w:tcPr>
          <w:p w14:paraId="3745F731" w14:textId="77777777" w:rsidR="003C6890" w:rsidRPr="008B3F38" w:rsidRDefault="003C6890" w:rsidP="00025DC3">
            <w:pPr>
              <w:pStyle w:val="Tabletext"/>
              <w:rPr>
                <w:sz w:val="18"/>
                <w:szCs w:val="18"/>
                <w:lang w:val="ru-RU"/>
              </w:rPr>
            </w:pPr>
            <w:r w:rsidRPr="008B3F38">
              <w:rPr>
                <w:color w:val="000000"/>
                <w:sz w:val="18"/>
                <w:szCs w:val="18"/>
                <w:lang w:val="ru-RU"/>
              </w:rPr>
              <w:t>2021 г.</w:t>
            </w:r>
            <w:r w:rsidRPr="008B3F38">
              <w:rPr>
                <w:color w:val="000000"/>
                <w:sz w:val="18"/>
                <w:szCs w:val="18"/>
                <w:lang w:val="ru-RU"/>
              </w:rPr>
              <w:br/>
              <w:t>РЕК29</w:t>
            </w:r>
          </w:p>
        </w:tc>
        <w:tc>
          <w:tcPr>
            <w:tcW w:w="1407" w:type="pct"/>
            <w:shd w:val="clear" w:color="auto" w:fill="auto"/>
          </w:tcPr>
          <w:p w14:paraId="1228DE1B" w14:textId="77777777" w:rsidR="003C6890" w:rsidRPr="008B3F38" w:rsidRDefault="003C6890" w:rsidP="00025DC3">
            <w:pPr>
              <w:pStyle w:val="Tabletext"/>
              <w:rPr>
                <w:sz w:val="18"/>
                <w:szCs w:val="18"/>
                <w:lang w:val="ru-RU"/>
              </w:rPr>
            </w:pPr>
            <w:r w:rsidRPr="008B3F38">
              <w:rPr>
                <w:color w:val="000000"/>
                <w:sz w:val="18"/>
                <w:szCs w:val="18"/>
                <w:lang w:val="ru-RU"/>
              </w:rPr>
              <w:t>ВНЕСТИ поправки в Устав IAU, указав, что руководителю IAU следует представлять годовой строящийся на оценке рисков план аудита на утверждение Независимому консультативном комитету по управлению, и что Генеральному секретарю следует выделять достаточные ресурсы в соответствии с утвержденным годовым планом аудита.</w:t>
            </w:r>
          </w:p>
        </w:tc>
        <w:tc>
          <w:tcPr>
            <w:tcW w:w="1661" w:type="pct"/>
            <w:gridSpan w:val="2"/>
            <w:shd w:val="clear" w:color="auto" w:fill="auto"/>
          </w:tcPr>
          <w:p w14:paraId="44DD7A57" w14:textId="7F92EB51" w:rsidR="003C6890" w:rsidRPr="008B3F38" w:rsidRDefault="003C6890" w:rsidP="00025DC3">
            <w:pPr>
              <w:pStyle w:val="Tabletext"/>
              <w:rPr>
                <w:color w:val="000000"/>
                <w:sz w:val="18"/>
                <w:szCs w:val="18"/>
                <w:lang w:val="ru-RU"/>
              </w:rPr>
            </w:pPr>
            <w:r w:rsidRPr="008B3F38">
              <w:rPr>
                <w:color w:val="000000"/>
                <w:sz w:val="18"/>
                <w:szCs w:val="18"/>
                <w:lang w:val="ru-RU"/>
              </w:rPr>
              <w:t>Обновленная информация по состоянию на январь 2025</w:t>
            </w:r>
            <w:r w:rsidR="001D6BAF" w:rsidRPr="008B3F38">
              <w:rPr>
                <w:color w:val="000000"/>
                <w:sz w:val="18"/>
                <w:szCs w:val="18"/>
                <w:lang w:val="ru-RU"/>
              </w:rPr>
              <w:t> </w:t>
            </w:r>
            <w:r w:rsidRPr="008B3F38">
              <w:rPr>
                <w:color w:val="000000"/>
                <w:sz w:val="18"/>
                <w:szCs w:val="18"/>
                <w:lang w:val="ru-RU"/>
              </w:rPr>
              <w:t>г.: новый Устав Подразделения по надзору был представлен в сентябре 2024 года в Служебном приказе 24/09 "Принятие Устава Подразделения по надзору МСЭ и соответствующие разъяснения". Этот Служебный приказ был представлен в связи с принятием Советом 2024 года Устава, в пунктах 8 и 9 раздела III, а также в пункте 32(a) раздела VI которого содержится требование о рассмотрении IMAC и утверждении Генеральным секретарем плана аудита, основанного на оценке рисков.</w:t>
            </w:r>
          </w:p>
          <w:p w14:paraId="7FAB2ED9" w14:textId="77777777" w:rsidR="003C6890" w:rsidRPr="008B3F38" w:rsidRDefault="003C6890" w:rsidP="00025DC3">
            <w:pPr>
              <w:pStyle w:val="Tabletext"/>
              <w:rPr>
                <w:color w:val="000000"/>
                <w:sz w:val="18"/>
                <w:szCs w:val="18"/>
                <w:lang w:val="ru-RU"/>
              </w:rPr>
            </w:pPr>
            <w:r w:rsidRPr="008B3F38">
              <w:rPr>
                <w:color w:val="000000"/>
                <w:sz w:val="18"/>
                <w:szCs w:val="18"/>
                <w:lang w:val="ru-RU"/>
              </w:rPr>
              <w:t>МСЭ рекомендует перевести данную рекомендацию в статус выполненной.</w:t>
            </w:r>
          </w:p>
        </w:tc>
        <w:tc>
          <w:tcPr>
            <w:tcW w:w="1139" w:type="pct"/>
            <w:gridSpan w:val="2"/>
            <w:shd w:val="clear" w:color="auto" w:fill="auto"/>
          </w:tcPr>
          <w:p w14:paraId="65313377" w14:textId="45CD2568" w:rsidR="003C6890" w:rsidRPr="008B3F38" w:rsidRDefault="003C6890" w:rsidP="00025DC3">
            <w:pPr>
              <w:pStyle w:val="Tabletext"/>
              <w:rPr>
                <w:sz w:val="18"/>
                <w:szCs w:val="18"/>
                <w:lang w:val="ru-RU"/>
              </w:rPr>
            </w:pPr>
            <w:r w:rsidRPr="008B3F38">
              <w:rPr>
                <w:color w:val="000000"/>
                <w:sz w:val="18"/>
                <w:szCs w:val="18"/>
                <w:lang w:val="ru-RU"/>
              </w:rPr>
              <w:t>Как отмечено в отчете за этот год, система внутреннего аудита должна пройти экспертную оценку IIA. Мы</w:t>
            </w:r>
            <w:r w:rsidR="00735365" w:rsidRPr="008B3F38">
              <w:rPr>
                <w:color w:val="000000"/>
                <w:sz w:val="18"/>
                <w:szCs w:val="18"/>
                <w:lang w:val="ru-RU"/>
              </w:rPr>
              <w:t> </w:t>
            </w:r>
            <w:r w:rsidRPr="008B3F38">
              <w:rPr>
                <w:color w:val="000000"/>
                <w:sz w:val="18"/>
                <w:szCs w:val="18"/>
                <w:lang w:val="ru-RU"/>
              </w:rPr>
              <w:t>выполнили эту подробную рекомендацию по планированию, проведем обзор результатов оценки IIA и представим обновленную информацию Совету в нашем отчете в следующем году.</w:t>
            </w:r>
          </w:p>
        </w:tc>
        <w:tc>
          <w:tcPr>
            <w:tcW w:w="440" w:type="pct"/>
            <w:shd w:val="clear" w:color="auto" w:fill="auto"/>
          </w:tcPr>
          <w:p w14:paraId="2B904728" w14:textId="77777777" w:rsidR="003C6890" w:rsidRPr="008B3F38" w:rsidRDefault="003C6890" w:rsidP="00025DC3">
            <w:pPr>
              <w:pStyle w:val="Tabletext"/>
              <w:rPr>
                <w:sz w:val="18"/>
                <w:szCs w:val="18"/>
                <w:lang w:val="ru-RU"/>
              </w:rPr>
            </w:pPr>
            <w:r w:rsidRPr="008B3F38">
              <w:rPr>
                <w:color w:val="000000"/>
                <w:sz w:val="18"/>
                <w:szCs w:val="18"/>
                <w:lang w:val="ru-RU"/>
              </w:rPr>
              <w:t>Закрыта.</w:t>
            </w:r>
          </w:p>
        </w:tc>
      </w:tr>
      <w:tr w:rsidR="00411F7C" w:rsidRPr="008B3F38" w14:paraId="75CE4649" w14:textId="77777777" w:rsidTr="008A2FDE">
        <w:trPr>
          <w:jc w:val="center"/>
        </w:trPr>
        <w:tc>
          <w:tcPr>
            <w:tcW w:w="353" w:type="pct"/>
            <w:shd w:val="clear" w:color="auto" w:fill="auto"/>
          </w:tcPr>
          <w:p w14:paraId="6A1E9A13" w14:textId="77777777" w:rsidR="003C6890" w:rsidRPr="008B3F38" w:rsidRDefault="003C6890" w:rsidP="00025DC3">
            <w:pPr>
              <w:pStyle w:val="Tabletext"/>
              <w:rPr>
                <w:sz w:val="18"/>
                <w:szCs w:val="18"/>
                <w:lang w:val="ru-RU"/>
              </w:rPr>
            </w:pPr>
            <w:r w:rsidRPr="008B3F38">
              <w:rPr>
                <w:color w:val="000000"/>
                <w:sz w:val="18"/>
                <w:szCs w:val="18"/>
                <w:lang w:val="ru-RU"/>
              </w:rPr>
              <w:t>2021 г.</w:t>
            </w:r>
            <w:r w:rsidRPr="008B3F38">
              <w:rPr>
                <w:color w:val="000000"/>
                <w:sz w:val="18"/>
                <w:szCs w:val="18"/>
                <w:lang w:val="ru-RU"/>
              </w:rPr>
              <w:br/>
              <w:t>РЕК30</w:t>
            </w:r>
          </w:p>
        </w:tc>
        <w:tc>
          <w:tcPr>
            <w:tcW w:w="1407" w:type="pct"/>
            <w:shd w:val="clear" w:color="auto" w:fill="auto"/>
          </w:tcPr>
          <w:p w14:paraId="3309C82F" w14:textId="6A20E078" w:rsidR="003C6890" w:rsidRPr="008B3F38" w:rsidRDefault="003C6890" w:rsidP="00025DC3">
            <w:pPr>
              <w:pStyle w:val="Tabletext"/>
              <w:rPr>
                <w:sz w:val="18"/>
                <w:szCs w:val="18"/>
                <w:lang w:val="ru-RU"/>
              </w:rPr>
            </w:pPr>
            <w:r w:rsidRPr="008B3F38">
              <w:rPr>
                <w:color w:val="000000"/>
                <w:sz w:val="18"/>
                <w:szCs w:val="18"/>
                <w:lang w:val="ru-RU"/>
              </w:rPr>
              <w:t>Рекомендуем следующее:</w:t>
            </w:r>
          </w:p>
          <w:p w14:paraId="19518187" w14:textId="14E4E787" w:rsidR="003C6890" w:rsidRPr="008B3F38" w:rsidRDefault="003C6890" w:rsidP="00025DC3">
            <w:pPr>
              <w:pStyle w:val="Tabletext"/>
              <w:ind w:left="284" w:hanging="284"/>
              <w:rPr>
                <w:sz w:val="18"/>
                <w:szCs w:val="18"/>
                <w:lang w:val="ru-RU"/>
              </w:rPr>
            </w:pPr>
            <w:r w:rsidRPr="008B3F38">
              <w:rPr>
                <w:color w:val="000000"/>
                <w:sz w:val="18"/>
                <w:szCs w:val="18"/>
                <w:lang w:val="ru-RU"/>
              </w:rPr>
              <w:t>i)</w:t>
            </w:r>
            <w:r w:rsidRPr="008B3F38">
              <w:rPr>
                <w:color w:val="000000"/>
                <w:sz w:val="18"/>
                <w:szCs w:val="18"/>
                <w:lang w:val="ru-RU"/>
              </w:rPr>
              <w:tab/>
              <w:t>Совет должен разработать и утвердить новую нормативную базу в отношении функции проведения расследований с участием в процессе разработки новых правил как IMAC, так и специалиста по расследованиям;</w:t>
            </w:r>
          </w:p>
          <w:p w14:paraId="66E2D256" w14:textId="448E78EF" w:rsidR="003C6890" w:rsidRPr="008B3F38" w:rsidRDefault="003C6890" w:rsidP="00025DC3">
            <w:pPr>
              <w:pStyle w:val="Tabletext"/>
              <w:ind w:left="284" w:hanging="284"/>
              <w:rPr>
                <w:sz w:val="18"/>
                <w:szCs w:val="18"/>
                <w:lang w:val="ru-RU"/>
              </w:rPr>
            </w:pPr>
            <w:r w:rsidRPr="008B3F38">
              <w:rPr>
                <w:color w:val="000000"/>
                <w:sz w:val="18"/>
                <w:szCs w:val="18"/>
                <w:lang w:val="ru-RU"/>
              </w:rPr>
              <w:t>ii)</w:t>
            </w:r>
            <w:r w:rsidRPr="008B3F38">
              <w:rPr>
                <w:color w:val="000000"/>
                <w:sz w:val="18"/>
                <w:szCs w:val="18"/>
                <w:lang w:val="ru-RU"/>
              </w:rPr>
              <w:tab/>
              <w:t>сотрудник по вопросам этики не должен участвовать в выполнении следственных функций в рамках нового процесса, хотя ему необходимо постоянно координировать свою деятельность со специалистом по расследованиям (например, если он является координатором политики защиты</w:t>
            </w:r>
            <w:r w:rsidR="00735365" w:rsidRPr="008B3F38">
              <w:rPr>
                <w:color w:val="000000"/>
                <w:sz w:val="18"/>
                <w:szCs w:val="18"/>
                <w:lang w:val="ru-RU"/>
              </w:rPr>
              <w:t> </w:t>
            </w:r>
            <w:r w:rsidRPr="008B3F38">
              <w:rPr>
                <w:color w:val="000000"/>
                <w:sz w:val="18"/>
                <w:szCs w:val="18"/>
                <w:lang w:val="ru-RU"/>
              </w:rPr>
              <w:t>осведомителей);</w:t>
            </w:r>
          </w:p>
          <w:p w14:paraId="26AC1339" w14:textId="77777777" w:rsidR="003C6890" w:rsidRPr="008B3F38" w:rsidRDefault="003C6890" w:rsidP="00025DC3">
            <w:pPr>
              <w:pStyle w:val="Tabletext"/>
              <w:ind w:left="284" w:hanging="284"/>
              <w:rPr>
                <w:sz w:val="18"/>
                <w:szCs w:val="18"/>
                <w:lang w:val="ru-RU"/>
              </w:rPr>
            </w:pPr>
            <w:r w:rsidRPr="008B3F38">
              <w:rPr>
                <w:color w:val="000000"/>
                <w:sz w:val="18"/>
                <w:szCs w:val="18"/>
                <w:lang w:val="ru-RU"/>
              </w:rPr>
              <w:lastRenderedPageBreak/>
              <w:t>iii)</w:t>
            </w:r>
            <w:r w:rsidRPr="008B3F38">
              <w:rPr>
                <w:color w:val="000000"/>
                <w:sz w:val="18"/>
                <w:szCs w:val="18"/>
                <w:lang w:val="ru-RU"/>
              </w:rPr>
              <w:tab/>
              <w:t>специалист по расследованиям может принять решение о начале расследования без разрешения Генерального секретаря.</w:t>
            </w:r>
          </w:p>
        </w:tc>
        <w:tc>
          <w:tcPr>
            <w:tcW w:w="1661" w:type="pct"/>
            <w:gridSpan w:val="2"/>
            <w:shd w:val="clear" w:color="auto" w:fill="auto"/>
          </w:tcPr>
          <w:p w14:paraId="326A2D5A" w14:textId="3DA9FAC5" w:rsidR="003C6890" w:rsidRPr="008B3F38" w:rsidRDefault="003C6890" w:rsidP="00025DC3">
            <w:pPr>
              <w:pStyle w:val="Tabletext"/>
              <w:rPr>
                <w:color w:val="000000"/>
                <w:sz w:val="18"/>
                <w:szCs w:val="18"/>
                <w:lang w:val="ru-RU"/>
              </w:rPr>
            </w:pPr>
            <w:r w:rsidRPr="008B3F38">
              <w:rPr>
                <w:color w:val="000000"/>
                <w:sz w:val="18"/>
                <w:szCs w:val="18"/>
                <w:lang w:val="ru-RU"/>
              </w:rPr>
              <w:lastRenderedPageBreak/>
              <w:t>Обновленная информация по состоянию на май 2025 г.: Подразделение по надзору было создано посредством Документа С23. Новый Устав Подразделения по надзору был представлен в сентябре 2024 года в Служебном приказе 24/09 "Принятие Устава Подразделения по надзору МСЭ и соответствующие разъяснения". Служебный приказ 24/09 был представлен в связи с принятием Советом 2024 года Устава, в отношении которого IMAC представил свои замечания после его рассмотрения. В Уставе определены и разграничены конкретные обязанности в рамках функции расследования, которое проводится независимо от руководства (пункт 2 раздела I и IV) и отдельно от обязанностей в рамках функции внутреннего аудита. Это</w:t>
            </w:r>
            <w:r w:rsidR="00735365" w:rsidRPr="008B3F38">
              <w:rPr>
                <w:color w:val="000000"/>
                <w:sz w:val="18"/>
                <w:szCs w:val="18"/>
                <w:lang w:val="ru-RU"/>
              </w:rPr>
              <w:t> </w:t>
            </w:r>
            <w:r w:rsidRPr="008B3F38">
              <w:rPr>
                <w:color w:val="000000"/>
                <w:sz w:val="18"/>
                <w:szCs w:val="18"/>
                <w:lang w:val="ru-RU"/>
              </w:rPr>
              <w:t xml:space="preserve">включает в себя независимую оценку </w:t>
            </w:r>
            <w:r w:rsidRPr="008B3F38">
              <w:rPr>
                <w:color w:val="000000"/>
                <w:sz w:val="18"/>
                <w:szCs w:val="18"/>
                <w:lang w:val="ru-RU"/>
              </w:rPr>
              <w:lastRenderedPageBreak/>
              <w:t>Подразделением по надзору полученных заявлений и, при наличии оснований, принятие решения о начале официального расследования (п. 10(b) раздела III). Должны быть выпущены новые служебные приказы, которые будут охватывать руководящие указания по проведению расследований, и обновлены соответствующие служебные приказы, с тем чтобы отразить в них положения Устава ПН. В частности, о том, что сообщения о неправомерных действиях направляются в ПН, которое проводит предварительную оценку. Было отмечено, что в процессе разработки проекта проводились консультации с IMAC.</w:t>
            </w:r>
          </w:p>
          <w:p w14:paraId="2E5A9FA7" w14:textId="77777777" w:rsidR="003C6890" w:rsidRPr="008B3F38" w:rsidRDefault="003C6890" w:rsidP="00025DC3">
            <w:pPr>
              <w:pStyle w:val="Tabletext"/>
              <w:rPr>
                <w:color w:val="000000"/>
                <w:sz w:val="18"/>
                <w:szCs w:val="18"/>
                <w:lang w:val="ru-RU"/>
              </w:rPr>
            </w:pPr>
            <w:r w:rsidRPr="008B3F38">
              <w:rPr>
                <w:color w:val="000000"/>
                <w:sz w:val="18"/>
                <w:szCs w:val="18"/>
                <w:lang w:val="ru-RU"/>
              </w:rPr>
              <w:t>МСЭ рекомендует перевести данную рекомендацию в статус выполненной.</w:t>
            </w:r>
          </w:p>
        </w:tc>
        <w:tc>
          <w:tcPr>
            <w:tcW w:w="1139" w:type="pct"/>
            <w:gridSpan w:val="2"/>
            <w:shd w:val="clear" w:color="auto" w:fill="auto"/>
          </w:tcPr>
          <w:p w14:paraId="65AB87DB" w14:textId="60E66B6C" w:rsidR="003C6890" w:rsidRPr="008B3F38" w:rsidRDefault="003C6890" w:rsidP="00025DC3">
            <w:pPr>
              <w:pStyle w:val="Tabletext"/>
              <w:rPr>
                <w:sz w:val="18"/>
                <w:szCs w:val="18"/>
                <w:lang w:val="ru-RU"/>
              </w:rPr>
            </w:pPr>
            <w:r w:rsidRPr="008B3F38">
              <w:rPr>
                <w:color w:val="000000"/>
                <w:sz w:val="18"/>
                <w:szCs w:val="18"/>
                <w:lang w:val="ru-RU"/>
              </w:rPr>
              <w:lastRenderedPageBreak/>
              <w:t>Последний ответ принят к сведению и признан обоснованным. При</w:t>
            </w:r>
            <w:r w:rsidR="008B3F38">
              <w:rPr>
                <w:color w:val="000000"/>
                <w:sz w:val="18"/>
                <w:szCs w:val="18"/>
                <w:lang w:val="ru-RU"/>
              </w:rPr>
              <w:t> </w:t>
            </w:r>
            <w:r w:rsidRPr="008B3F38">
              <w:rPr>
                <w:color w:val="000000"/>
                <w:sz w:val="18"/>
                <w:szCs w:val="18"/>
                <w:lang w:val="ru-RU"/>
              </w:rPr>
              <w:t>создании Подразделения по надзору были рассмотрены пункты i) и ii) рекомендации. Пункт iii) рассматривается в новом служебном приказе "Руководящие указания МСЭ по проведению расследований". Мы</w:t>
            </w:r>
            <w:r w:rsidR="00735365" w:rsidRPr="008B3F38">
              <w:rPr>
                <w:color w:val="000000"/>
                <w:sz w:val="18"/>
                <w:szCs w:val="18"/>
                <w:lang w:val="ru-RU"/>
              </w:rPr>
              <w:t> </w:t>
            </w:r>
            <w:r w:rsidRPr="008B3F38">
              <w:rPr>
                <w:color w:val="000000"/>
                <w:sz w:val="18"/>
                <w:szCs w:val="18"/>
                <w:lang w:val="ru-RU"/>
              </w:rPr>
              <w:t>рассмотрим действие новых внутренних процедур правосудия в ходе аудиторской проверки в следующем году.</w:t>
            </w:r>
          </w:p>
        </w:tc>
        <w:tc>
          <w:tcPr>
            <w:tcW w:w="440" w:type="pct"/>
            <w:shd w:val="clear" w:color="auto" w:fill="auto"/>
          </w:tcPr>
          <w:p w14:paraId="0087D3A0" w14:textId="77777777" w:rsidR="003C6890" w:rsidRPr="008B3F38" w:rsidRDefault="003C6890" w:rsidP="00025DC3">
            <w:pPr>
              <w:pStyle w:val="Tabletext"/>
              <w:rPr>
                <w:sz w:val="18"/>
                <w:szCs w:val="18"/>
                <w:lang w:val="ru-RU"/>
              </w:rPr>
            </w:pPr>
            <w:r w:rsidRPr="008B3F38">
              <w:rPr>
                <w:color w:val="000000"/>
                <w:sz w:val="18"/>
                <w:szCs w:val="18"/>
                <w:lang w:val="ru-RU"/>
              </w:rPr>
              <w:t>Закрыта.</w:t>
            </w:r>
          </w:p>
        </w:tc>
      </w:tr>
      <w:tr w:rsidR="00411F7C" w:rsidRPr="008B3F38" w14:paraId="6087A19C" w14:textId="77777777" w:rsidTr="008A2FDE">
        <w:trPr>
          <w:jc w:val="center"/>
        </w:trPr>
        <w:tc>
          <w:tcPr>
            <w:tcW w:w="353" w:type="pct"/>
            <w:shd w:val="clear" w:color="auto" w:fill="auto"/>
          </w:tcPr>
          <w:p w14:paraId="056B6253" w14:textId="77777777" w:rsidR="003C6890" w:rsidRPr="008B3F38" w:rsidRDefault="003C6890" w:rsidP="00025DC3">
            <w:pPr>
              <w:pStyle w:val="Tabletext"/>
              <w:rPr>
                <w:sz w:val="18"/>
                <w:szCs w:val="18"/>
                <w:lang w:val="ru-RU"/>
              </w:rPr>
            </w:pPr>
            <w:r w:rsidRPr="008B3F38">
              <w:rPr>
                <w:color w:val="000000"/>
                <w:sz w:val="18"/>
                <w:szCs w:val="18"/>
                <w:lang w:val="ru-RU"/>
              </w:rPr>
              <w:t>2021 г.</w:t>
            </w:r>
            <w:r w:rsidRPr="008B3F38">
              <w:rPr>
                <w:color w:val="000000"/>
                <w:sz w:val="18"/>
                <w:szCs w:val="18"/>
                <w:lang w:val="ru-RU"/>
              </w:rPr>
              <w:br/>
              <w:t>РЕК31</w:t>
            </w:r>
          </w:p>
        </w:tc>
        <w:tc>
          <w:tcPr>
            <w:tcW w:w="1407" w:type="pct"/>
            <w:shd w:val="clear" w:color="auto" w:fill="auto"/>
          </w:tcPr>
          <w:p w14:paraId="03A7B64A" w14:textId="77777777" w:rsidR="003C6890" w:rsidRPr="008B3F38" w:rsidRDefault="003C6890" w:rsidP="00025DC3">
            <w:pPr>
              <w:pStyle w:val="Tabletext"/>
              <w:rPr>
                <w:sz w:val="18"/>
                <w:szCs w:val="18"/>
                <w:lang w:val="ru-RU"/>
              </w:rPr>
            </w:pPr>
            <w:r w:rsidRPr="008B3F38">
              <w:rPr>
                <w:color w:val="000000"/>
                <w:sz w:val="18"/>
                <w:szCs w:val="18"/>
                <w:lang w:val="ru-RU"/>
              </w:rPr>
              <w:t>Рекомендуем следующее:</w:t>
            </w:r>
          </w:p>
          <w:p w14:paraId="5408E7D5" w14:textId="77777777" w:rsidR="003C6890" w:rsidRPr="008B3F38" w:rsidRDefault="003C6890" w:rsidP="00025DC3">
            <w:pPr>
              <w:pStyle w:val="Tabletext"/>
              <w:ind w:left="284" w:hanging="284"/>
              <w:rPr>
                <w:sz w:val="18"/>
                <w:szCs w:val="18"/>
                <w:lang w:val="ru-RU"/>
              </w:rPr>
            </w:pPr>
            <w:r w:rsidRPr="008B3F38">
              <w:rPr>
                <w:color w:val="000000"/>
                <w:sz w:val="18"/>
                <w:szCs w:val="18"/>
                <w:lang w:val="ru-RU"/>
              </w:rPr>
              <w:t>i)</w:t>
            </w:r>
            <w:r w:rsidRPr="008B3F38">
              <w:rPr>
                <w:color w:val="000000"/>
                <w:sz w:val="18"/>
                <w:szCs w:val="18"/>
                <w:lang w:val="ru-RU"/>
              </w:rPr>
              <w:tab/>
              <w:t>Генеральный секретарь обеспечивает подразделение достаточными ресурсами, как финансовыми, так и − если это будет сочтено целесообразным и эффективным − людскими; и</w:t>
            </w:r>
          </w:p>
          <w:p w14:paraId="74B2C3FF" w14:textId="77777777" w:rsidR="003C6890" w:rsidRPr="008B3F38" w:rsidRDefault="003C6890" w:rsidP="00025DC3">
            <w:pPr>
              <w:pStyle w:val="Tabletext"/>
              <w:ind w:left="284" w:hanging="284"/>
              <w:rPr>
                <w:sz w:val="18"/>
                <w:szCs w:val="18"/>
                <w:lang w:val="ru-RU"/>
              </w:rPr>
            </w:pPr>
            <w:r w:rsidRPr="008B3F38">
              <w:rPr>
                <w:color w:val="000000"/>
                <w:sz w:val="18"/>
                <w:szCs w:val="18"/>
                <w:lang w:val="ru-RU"/>
              </w:rPr>
              <w:t>ii)</w:t>
            </w:r>
            <w:r w:rsidRPr="008B3F38">
              <w:rPr>
                <w:color w:val="000000"/>
                <w:sz w:val="18"/>
                <w:szCs w:val="18"/>
                <w:lang w:val="ru-RU"/>
              </w:rPr>
              <w:tab/>
              <w:t>специалист по расследованию изучает и подписывает соглашение с УСВН или каким-либо следственным органом Организации Объединенных Наций для проведения всех необходимых расследований, в том числе в тех областях, в которых следователь не обладает достаточной квалификацией и/или если сотрудников подразделения недостаточно для выполнения его работы.</w:t>
            </w:r>
          </w:p>
        </w:tc>
        <w:tc>
          <w:tcPr>
            <w:tcW w:w="1661" w:type="pct"/>
            <w:gridSpan w:val="2"/>
            <w:shd w:val="clear" w:color="auto" w:fill="auto"/>
          </w:tcPr>
          <w:p w14:paraId="091603E1" w14:textId="26E49A22" w:rsidR="003C6890" w:rsidRPr="008B3F38" w:rsidRDefault="003C6890" w:rsidP="00025DC3">
            <w:pPr>
              <w:pStyle w:val="Tabletext"/>
              <w:rPr>
                <w:color w:val="000000"/>
                <w:sz w:val="18"/>
                <w:szCs w:val="18"/>
                <w:lang w:val="ru-RU"/>
              </w:rPr>
            </w:pPr>
            <w:r w:rsidRPr="008B3F38">
              <w:rPr>
                <w:color w:val="000000"/>
                <w:sz w:val="18"/>
                <w:szCs w:val="18"/>
                <w:lang w:val="ru-RU"/>
              </w:rPr>
              <w:t>Обновленная информация по состоянию на май 2025 г.: была усовершенствована новая система и внутренний потенциал для проведения мероприятий по расследованию, в том числе за счет выделения дополнительных ресурсов. В частности, Совет в 2023 году утвердил создание Подразделения по надзору (C23/53), которое включает функцию расследования. Совет 2024</w:t>
            </w:r>
            <w:r w:rsidR="001D6BAF" w:rsidRPr="008B3F38">
              <w:rPr>
                <w:color w:val="000000"/>
                <w:sz w:val="18"/>
                <w:szCs w:val="18"/>
                <w:lang w:val="ru-RU"/>
              </w:rPr>
              <w:t> </w:t>
            </w:r>
            <w:r w:rsidRPr="008B3F38">
              <w:rPr>
                <w:color w:val="000000"/>
                <w:sz w:val="18"/>
                <w:szCs w:val="18"/>
                <w:lang w:val="ru-RU"/>
              </w:rPr>
              <w:t>года также принял Устав Подразделения по надзору, который был представлен в Служебном приказе 24/09 "Принятие Устава Подразделения по надзору МСЭ и соответствующие разъяснения". Было создано Подразделение по надзору, которое укомплектовано надлежащими ресурсами. Во второй половине 2024 года была заполнена недавно созданная должность руководителя Подразделения по надзору уровня D1. Кроме того, в соответствии с применимыми правилами и руководящими указаниями по проведению расследований, при необходимости Подразделение по надзору может запросить и привлечь внешние ресурсы для поддержки расследования. МСЭ находится в процессе заключения соглашения с УСВН.</w:t>
            </w:r>
          </w:p>
        </w:tc>
        <w:tc>
          <w:tcPr>
            <w:tcW w:w="1139" w:type="pct"/>
            <w:gridSpan w:val="2"/>
            <w:shd w:val="clear" w:color="auto" w:fill="auto"/>
          </w:tcPr>
          <w:p w14:paraId="2C9F7421" w14:textId="11CB64D4" w:rsidR="003C6890" w:rsidRPr="008B3F38" w:rsidRDefault="003C6890" w:rsidP="00025DC3">
            <w:pPr>
              <w:pStyle w:val="Tabletext"/>
              <w:rPr>
                <w:sz w:val="18"/>
                <w:szCs w:val="18"/>
                <w:lang w:val="ru-RU"/>
              </w:rPr>
            </w:pPr>
            <w:r w:rsidRPr="008B3F38">
              <w:rPr>
                <w:color w:val="000000"/>
                <w:sz w:val="18"/>
                <w:szCs w:val="18"/>
                <w:lang w:val="ru-RU"/>
              </w:rPr>
              <w:t>Последний ответ принимается к сведению. Как подчеркивается в Части</w:t>
            </w:r>
            <w:r w:rsidR="00EA37BB" w:rsidRPr="008B3F38">
              <w:rPr>
                <w:color w:val="000000"/>
                <w:sz w:val="18"/>
                <w:szCs w:val="18"/>
                <w:lang w:val="ru-RU"/>
              </w:rPr>
              <w:t> </w:t>
            </w:r>
            <w:r w:rsidRPr="008B3F38">
              <w:rPr>
                <w:color w:val="000000"/>
                <w:sz w:val="18"/>
                <w:szCs w:val="18"/>
                <w:lang w:val="ru-RU"/>
              </w:rPr>
              <w:t>2 настоящего отчета, пересмотренные механизмы надзора находятся на начальном этапе и мы отмечали, что они еще не полностью обеспечены ресурсами. Следовательно, данная рекомендация по-прежнему находится в процессе</w:t>
            </w:r>
            <w:r w:rsidR="00735365" w:rsidRPr="008B3F38">
              <w:rPr>
                <w:color w:val="000000"/>
                <w:sz w:val="18"/>
                <w:szCs w:val="18"/>
                <w:lang w:val="ru-RU"/>
              </w:rPr>
              <w:t> </w:t>
            </w:r>
            <w:r w:rsidRPr="008B3F38">
              <w:rPr>
                <w:color w:val="000000"/>
                <w:sz w:val="18"/>
                <w:szCs w:val="18"/>
                <w:lang w:val="ru-RU"/>
              </w:rPr>
              <w:t>выполнения.</w:t>
            </w:r>
          </w:p>
        </w:tc>
        <w:tc>
          <w:tcPr>
            <w:tcW w:w="440" w:type="pct"/>
            <w:shd w:val="clear" w:color="auto" w:fill="auto"/>
          </w:tcPr>
          <w:p w14:paraId="7C36E1F6" w14:textId="77777777" w:rsidR="003C6890" w:rsidRPr="008B3F38" w:rsidRDefault="003C6890" w:rsidP="00025DC3">
            <w:pPr>
              <w:pStyle w:val="Tabletext"/>
              <w:ind w:right="-57"/>
              <w:rPr>
                <w:sz w:val="18"/>
                <w:szCs w:val="18"/>
                <w:lang w:val="ru-RU"/>
              </w:rPr>
            </w:pPr>
            <w:r w:rsidRPr="008B3F38">
              <w:rPr>
                <w:color w:val="000000"/>
                <w:sz w:val="18"/>
                <w:szCs w:val="18"/>
                <w:lang w:val="ru-RU"/>
              </w:rPr>
              <w:t>Выполняется.</w:t>
            </w:r>
          </w:p>
        </w:tc>
      </w:tr>
      <w:tr w:rsidR="00411F7C" w:rsidRPr="008B3F38" w14:paraId="35AC382A" w14:textId="77777777" w:rsidTr="008A2FDE">
        <w:trPr>
          <w:jc w:val="center"/>
        </w:trPr>
        <w:tc>
          <w:tcPr>
            <w:tcW w:w="353" w:type="pct"/>
            <w:shd w:val="clear" w:color="auto" w:fill="auto"/>
          </w:tcPr>
          <w:p w14:paraId="4E4FD8A1" w14:textId="77777777" w:rsidR="003C6890" w:rsidRPr="008B3F38" w:rsidRDefault="003C6890" w:rsidP="00025DC3">
            <w:pPr>
              <w:pStyle w:val="Tabletext"/>
              <w:rPr>
                <w:sz w:val="18"/>
                <w:szCs w:val="18"/>
                <w:lang w:val="ru-RU"/>
              </w:rPr>
            </w:pPr>
            <w:r w:rsidRPr="008B3F38">
              <w:rPr>
                <w:color w:val="000000"/>
                <w:sz w:val="18"/>
                <w:szCs w:val="18"/>
                <w:lang w:val="ru-RU"/>
              </w:rPr>
              <w:t>2021 г.</w:t>
            </w:r>
            <w:r w:rsidRPr="008B3F38">
              <w:rPr>
                <w:color w:val="000000"/>
                <w:sz w:val="18"/>
                <w:szCs w:val="18"/>
                <w:lang w:val="ru-RU"/>
              </w:rPr>
              <w:br/>
              <w:t>РЕК32</w:t>
            </w:r>
          </w:p>
        </w:tc>
        <w:tc>
          <w:tcPr>
            <w:tcW w:w="1407" w:type="pct"/>
            <w:shd w:val="clear" w:color="auto" w:fill="auto"/>
          </w:tcPr>
          <w:p w14:paraId="68367519" w14:textId="5257A70A" w:rsidR="003C6890" w:rsidRPr="008B3F38" w:rsidRDefault="003C6890" w:rsidP="00025DC3">
            <w:pPr>
              <w:pStyle w:val="Tabletext"/>
              <w:rPr>
                <w:sz w:val="18"/>
                <w:szCs w:val="18"/>
                <w:lang w:val="ru-RU"/>
              </w:rPr>
            </w:pPr>
            <w:r w:rsidRPr="008B3F38">
              <w:rPr>
                <w:color w:val="000000"/>
                <w:sz w:val="18"/>
                <w:szCs w:val="18"/>
                <w:lang w:val="ru-RU"/>
              </w:rPr>
              <w:t xml:space="preserve">Использовать различных сотрудников в основных этапах процесса управления изменениями для соблюдения принципа разделения и устранения связанного с этим риска допущения в производстве изменений, </w:t>
            </w:r>
            <w:r w:rsidRPr="008B3F38">
              <w:rPr>
                <w:color w:val="000000"/>
                <w:sz w:val="18"/>
                <w:szCs w:val="18"/>
                <w:lang w:val="ru-RU"/>
              </w:rPr>
              <w:lastRenderedPageBreak/>
              <w:t>ранее не санкционированных и не</w:t>
            </w:r>
            <w:r w:rsidR="00735365" w:rsidRPr="008B3F38">
              <w:rPr>
                <w:color w:val="000000"/>
                <w:sz w:val="18"/>
                <w:szCs w:val="18"/>
                <w:lang w:val="ru-RU"/>
              </w:rPr>
              <w:t> </w:t>
            </w:r>
            <w:r w:rsidRPr="008B3F38">
              <w:rPr>
                <w:color w:val="000000"/>
                <w:sz w:val="18"/>
                <w:szCs w:val="18"/>
                <w:lang w:val="ru-RU"/>
              </w:rPr>
              <w:t>проверенных.</w:t>
            </w:r>
          </w:p>
        </w:tc>
        <w:tc>
          <w:tcPr>
            <w:tcW w:w="1661" w:type="pct"/>
            <w:gridSpan w:val="2"/>
            <w:shd w:val="clear" w:color="auto" w:fill="auto"/>
          </w:tcPr>
          <w:p w14:paraId="0C372D68" w14:textId="77777777" w:rsidR="003C6890" w:rsidRPr="008B3F38" w:rsidRDefault="003C6890" w:rsidP="00025DC3">
            <w:pPr>
              <w:pStyle w:val="Tabletext"/>
              <w:rPr>
                <w:sz w:val="18"/>
                <w:szCs w:val="18"/>
                <w:lang w:val="ru-RU"/>
              </w:rPr>
            </w:pPr>
            <w:r w:rsidRPr="008B3F38">
              <w:rPr>
                <w:color w:val="000000"/>
                <w:sz w:val="18"/>
                <w:szCs w:val="18"/>
                <w:lang w:val="ru-RU"/>
              </w:rPr>
              <w:lastRenderedPageBreak/>
              <w:t xml:space="preserve">В качестве общего механизма укрепления управления и надзора был создан Комитет по управлению ИКТ, обеспечивающий надлежащее управление рисками и реализацию мер контроля, например надлежащее </w:t>
            </w:r>
            <w:r w:rsidRPr="008B3F38">
              <w:rPr>
                <w:color w:val="000000"/>
                <w:sz w:val="18"/>
                <w:szCs w:val="18"/>
                <w:lang w:val="ru-RU"/>
              </w:rPr>
              <w:lastRenderedPageBreak/>
              <w:t>разделение обязанностей, на различных этапах реализации значимых проектов в области ИТ.</w:t>
            </w:r>
          </w:p>
          <w:p w14:paraId="3BD5A2C8" w14:textId="77777777" w:rsidR="003C6890" w:rsidRPr="008B3F38" w:rsidRDefault="003C6890" w:rsidP="00025DC3">
            <w:pPr>
              <w:pStyle w:val="Tabletext"/>
              <w:rPr>
                <w:sz w:val="18"/>
                <w:szCs w:val="18"/>
                <w:lang w:val="ru-RU"/>
              </w:rPr>
            </w:pPr>
            <w:r w:rsidRPr="008B3F38">
              <w:rPr>
                <w:color w:val="000000"/>
                <w:sz w:val="18"/>
                <w:szCs w:val="18"/>
                <w:lang w:val="ru-RU"/>
              </w:rPr>
              <w:t>Введено разделение сред и доступ пользователей к среде. Формы и руководящие указания UAT корректируются в соответствии с каждым выпуском в системах ERP и CRM.</w:t>
            </w:r>
          </w:p>
          <w:p w14:paraId="0DD2AEBF" w14:textId="77777777" w:rsidR="003C6890" w:rsidRPr="008B3F38" w:rsidRDefault="003C6890" w:rsidP="00025DC3">
            <w:pPr>
              <w:pStyle w:val="Tabletext"/>
              <w:rPr>
                <w:sz w:val="18"/>
                <w:szCs w:val="18"/>
                <w:lang w:val="ru-RU"/>
              </w:rPr>
            </w:pPr>
            <w:r w:rsidRPr="008B3F38">
              <w:rPr>
                <w:color w:val="000000"/>
                <w:sz w:val="18"/>
                <w:szCs w:val="18"/>
                <w:lang w:val="ru-RU"/>
              </w:rPr>
              <w:t>МСЭ рекомендует перевести данную рекомендацию в статус выполненной.</w:t>
            </w:r>
          </w:p>
        </w:tc>
        <w:tc>
          <w:tcPr>
            <w:tcW w:w="1139" w:type="pct"/>
            <w:gridSpan w:val="2"/>
            <w:shd w:val="clear" w:color="auto" w:fill="auto"/>
          </w:tcPr>
          <w:p w14:paraId="668691ED" w14:textId="77777777" w:rsidR="003C6890" w:rsidRPr="008B3F38" w:rsidRDefault="003C6890" w:rsidP="00025DC3">
            <w:pPr>
              <w:pStyle w:val="Tabletext"/>
              <w:rPr>
                <w:sz w:val="18"/>
                <w:szCs w:val="18"/>
                <w:lang w:val="ru-RU"/>
              </w:rPr>
            </w:pPr>
            <w:r w:rsidRPr="008B3F38">
              <w:rPr>
                <w:color w:val="000000"/>
                <w:sz w:val="18"/>
                <w:szCs w:val="18"/>
                <w:lang w:val="ru-RU"/>
              </w:rPr>
              <w:lastRenderedPageBreak/>
              <w:t xml:space="preserve">Последний ответ принят к сведению и признан обоснованным. Как отмечалось в Части 2 текущего отчета, мы рассмотрели общие меры, принимаемые руководством для </w:t>
            </w:r>
            <w:r w:rsidRPr="008B3F38">
              <w:rPr>
                <w:color w:val="000000"/>
                <w:sz w:val="18"/>
                <w:szCs w:val="18"/>
                <w:lang w:val="ru-RU"/>
              </w:rPr>
              <w:lastRenderedPageBreak/>
              <w:t>обеспечения гарантий в отношении своей среды ИТ, и подготовили соответствующие новые рекомендации в настоящем отчете.</w:t>
            </w:r>
          </w:p>
        </w:tc>
        <w:tc>
          <w:tcPr>
            <w:tcW w:w="440" w:type="pct"/>
            <w:shd w:val="clear" w:color="auto" w:fill="auto"/>
          </w:tcPr>
          <w:p w14:paraId="5399284F" w14:textId="77777777" w:rsidR="003C6890" w:rsidRPr="008B3F38" w:rsidRDefault="003C6890" w:rsidP="00025DC3">
            <w:pPr>
              <w:pStyle w:val="Tabletext"/>
              <w:rPr>
                <w:sz w:val="18"/>
                <w:szCs w:val="18"/>
                <w:lang w:val="ru-RU"/>
              </w:rPr>
            </w:pPr>
            <w:r w:rsidRPr="008B3F38">
              <w:rPr>
                <w:color w:val="000000"/>
                <w:sz w:val="18"/>
                <w:szCs w:val="18"/>
                <w:lang w:val="ru-RU"/>
              </w:rPr>
              <w:lastRenderedPageBreak/>
              <w:t>Закрыта.</w:t>
            </w:r>
          </w:p>
        </w:tc>
      </w:tr>
      <w:tr w:rsidR="00411F7C" w:rsidRPr="008B3F38" w14:paraId="69D0E6A1" w14:textId="77777777" w:rsidTr="008A2FDE">
        <w:trPr>
          <w:jc w:val="center"/>
        </w:trPr>
        <w:tc>
          <w:tcPr>
            <w:tcW w:w="353" w:type="pct"/>
            <w:shd w:val="clear" w:color="auto" w:fill="auto"/>
          </w:tcPr>
          <w:p w14:paraId="2AF37874" w14:textId="77777777" w:rsidR="003C6890" w:rsidRPr="008B3F38" w:rsidRDefault="003C6890" w:rsidP="00025DC3">
            <w:pPr>
              <w:pStyle w:val="Tabletext"/>
              <w:rPr>
                <w:sz w:val="18"/>
                <w:szCs w:val="18"/>
                <w:lang w:val="ru-RU"/>
              </w:rPr>
            </w:pPr>
            <w:r w:rsidRPr="008B3F38">
              <w:rPr>
                <w:color w:val="000000"/>
                <w:sz w:val="18"/>
                <w:szCs w:val="18"/>
                <w:lang w:val="ru-RU"/>
              </w:rPr>
              <w:t>2021 г.</w:t>
            </w:r>
            <w:r w:rsidRPr="008B3F38">
              <w:rPr>
                <w:color w:val="000000"/>
                <w:sz w:val="18"/>
                <w:szCs w:val="18"/>
                <w:lang w:val="ru-RU"/>
              </w:rPr>
              <w:br/>
              <w:t>РЕК33</w:t>
            </w:r>
          </w:p>
        </w:tc>
        <w:tc>
          <w:tcPr>
            <w:tcW w:w="1407" w:type="pct"/>
            <w:shd w:val="clear" w:color="auto" w:fill="auto"/>
          </w:tcPr>
          <w:p w14:paraId="5960C1C5" w14:textId="06B1073F" w:rsidR="003C6890" w:rsidRPr="008B3F38" w:rsidRDefault="003C6890" w:rsidP="00025DC3">
            <w:pPr>
              <w:pStyle w:val="Tabletext"/>
              <w:rPr>
                <w:sz w:val="18"/>
                <w:szCs w:val="18"/>
                <w:lang w:val="ru-RU"/>
              </w:rPr>
            </w:pPr>
            <w:r w:rsidRPr="008B3F38">
              <w:rPr>
                <w:color w:val="000000"/>
                <w:sz w:val="18"/>
                <w:szCs w:val="18"/>
                <w:lang w:val="ru-RU"/>
              </w:rPr>
              <w:t>Документально подтверждать приемо-сдаточные испытания пользователем (UAT) или системные испытания, избегая внесения в производство ранее не проверенных</w:t>
            </w:r>
            <w:r w:rsidR="00735365" w:rsidRPr="008B3F38">
              <w:rPr>
                <w:color w:val="000000"/>
                <w:sz w:val="18"/>
                <w:szCs w:val="18"/>
                <w:lang w:val="ru-RU"/>
              </w:rPr>
              <w:t> </w:t>
            </w:r>
            <w:r w:rsidRPr="008B3F38">
              <w:rPr>
                <w:color w:val="000000"/>
                <w:sz w:val="18"/>
                <w:szCs w:val="18"/>
                <w:lang w:val="ru-RU"/>
              </w:rPr>
              <w:t>изменений.</w:t>
            </w:r>
          </w:p>
        </w:tc>
        <w:tc>
          <w:tcPr>
            <w:tcW w:w="1661" w:type="pct"/>
            <w:gridSpan w:val="2"/>
            <w:shd w:val="clear" w:color="auto" w:fill="auto"/>
          </w:tcPr>
          <w:p w14:paraId="6FF69547" w14:textId="4AB4D706" w:rsidR="003C6890" w:rsidRPr="008B3F38" w:rsidRDefault="003C6890" w:rsidP="00025DC3">
            <w:pPr>
              <w:pStyle w:val="Tabletext"/>
              <w:rPr>
                <w:sz w:val="18"/>
                <w:szCs w:val="18"/>
                <w:lang w:val="ru-RU"/>
              </w:rPr>
            </w:pPr>
            <w:r w:rsidRPr="008B3F38">
              <w:rPr>
                <w:color w:val="000000"/>
                <w:sz w:val="18"/>
                <w:szCs w:val="18"/>
                <w:lang w:val="ru-RU"/>
              </w:rPr>
              <w:t>Обновленная информация по состоянию на май 2025 г.: в</w:t>
            </w:r>
            <w:r w:rsidR="001D6BAF" w:rsidRPr="008B3F38">
              <w:rPr>
                <w:color w:val="000000"/>
                <w:sz w:val="18"/>
                <w:szCs w:val="18"/>
                <w:lang w:val="ru-RU"/>
              </w:rPr>
              <w:t> </w:t>
            </w:r>
            <w:r w:rsidRPr="008B3F38">
              <w:rPr>
                <w:color w:val="000000"/>
                <w:sz w:val="18"/>
                <w:szCs w:val="18"/>
                <w:lang w:val="ru-RU"/>
              </w:rPr>
              <w:t>качестве общего механизма укрепления управления и надзора был создан Комитет по управлению ИКТ, обеспечивающий надлежащее управление рисками и реализацию мер контроля, например надлежащее разделение обязанностей, на различных этапах реализации значимых проектов в области ИТ.</w:t>
            </w:r>
          </w:p>
          <w:p w14:paraId="61C9C884" w14:textId="77777777" w:rsidR="003C6890" w:rsidRPr="008B3F38" w:rsidRDefault="003C6890" w:rsidP="00025DC3">
            <w:pPr>
              <w:pStyle w:val="Tabletext"/>
              <w:rPr>
                <w:sz w:val="18"/>
                <w:szCs w:val="18"/>
                <w:lang w:val="ru-RU"/>
              </w:rPr>
            </w:pPr>
            <w:r w:rsidRPr="008B3F38">
              <w:rPr>
                <w:color w:val="000000"/>
                <w:sz w:val="18"/>
                <w:szCs w:val="18"/>
                <w:lang w:val="ru-RU"/>
              </w:rPr>
              <w:t>Документация UAT и формы подписей являются частью процесса внесения изменений в системы ERP и CRM.</w:t>
            </w:r>
          </w:p>
          <w:p w14:paraId="151E5662" w14:textId="77777777" w:rsidR="003C6890" w:rsidRPr="008B3F38" w:rsidRDefault="003C6890" w:rsidP="00025DC3">
            <w:pPr>
              <w:pStyle w:val="Tabletext"/>
              <w:rPr>
                <w:sz w:val="18"/>
                <w:szCs w:val="18"/>
                <w:lang w:val="ru-RU"/>
              </w:rPr>
            </w:pPr>
            <w:r w:rsidRPr="008B3F38">
              <w:rPr>
                <w:color w:val="000000"/>
                <w:sz w:val="18"/>
                <w:szCs w:val="18"/>
                <w:lang w:val="ru-RU"/>
              </w:rPr>
              <w:t>МСЭ рекомендует перевести данную рекомендацию в статус выполненной.</w:t>
            </w:r>
          </w:p>
        </w:tc>
        <w:tc>
          <w:tcPr>
            <w:tcW w:w="1139" w:type="pct"/>
            <w:gridSpan w:val="2"/>
            <w:shd w:val="clear" w:color="auto" w:fill="auto"/>
          </w:tcPr>
          <w:p w14:paraId="47E4ACB1" w14:textId="71FD017E" w:rsidR="003C6890" w:rsidRPr="008B3F38" w:rsidRDefault="003C6890" w:rsidP="00025DC3">
            <w:pPr>
              <w:pStyle w:val="Tabletext"/>
              <w:rPr>
                <w:sz w:val="18"/>
                <w:szCs w:val="18"/>
                <w:lang w:val="ru-RU"/>
              </w:rPr>
            </w:pPr>
            <w:r w:rsidRPr="008B3F38">
              <w:rPr>
                <w:color w:val="000000"/>
                <w:sz w:val="18"/>
                <w:szCs w:val="18"/>
                <w:lang w:val="ru-RU"/>
              </w:rPr>
              <w:t>Последний ответ принят к сведению и признан обоснованным. Как</w:t>
            </w:r>
            <w:r w:rsidR="00735365" w:rsidRPr="008B3F38">
              <w:rPr>
                <w:color w:val="000000"/>
                <w:sz w:val="18"/>
                <w:szCs w:val="18"/>
                <w:lang w:val="ru-RU"/>
              </w:rPr>
              <w:t> </w:t>
            </w:r>
            <w:r w:rsidRPr="008B3F38">
              <w:rPr>
                <w:color w:val="000000"/>
                <w:sz w:val="18"/>
                <w:szCs w:val="18"/>
                <w:lang w:val="ru-RU"/>
              </w:rPr>
              <w:t>отмечалось в Части 2 текущего отчета, мы рассмотрели общие меры, принимаемые руководством для обеспечения гарантий в отношении своей среды ИТ, и подготовили соответствующие новые рекомендации в настоящем отчете.</w:t>
            </w:r>
          </w:p>
        </w:tc>
        <w:tc>
          <w:tcPr>
            <w:tcW w:w="440" w:type="pct"/>
            <w:shd w:val="clear" w:color="auto" w:fill="auto"/>
          </w:tcPr>
          <w:p w14:paraId="2AC1D9E5" w14:textId="77777777" w:rsidR="003C6890" w:rsidRPr="008B3F38" w:rsidRDefault="003C6890" w:rsidP="00025DC3">
            <w:pPr>
              <w:pStyle w:val="Tabletext"/>
              <w:rPr>
                <w:sz w:val="18"/>
                <w:szCs w:val="18"/>
                <w:lang w:val="ru-RU"/>
              </w:rPr>
            </w:pPr>
            <w:r w:rsidRPr="008B3F38">
              <w:rPr>
                <w:color w:val="000000"/>
                <w:sz w:val="18"/>
                <w:szCs w:val="18"/>
                <w:lang w:val="ru-RU"/>
              </w:rPr>
              <w:t>Закрыта.</w:t>
            </w:r>
          </w:p>
        </w:tc>
      </w:tr>
      <w:bookmarkEnd w:id="52"/>
      <w:bookmarkEnd w:id="53"/>
      <w:bookmarkEnd w:id="54"/>
      <w:bookmarkEnd w:id="55"/>
      <w:tr w:rsidR="00E006EF" w:rsidRPr="008B3F38" w14:paraId="13E8C149" w14:textId="77777777" w:rsidTr="008A2FDE">
        <w:trPr>
          <w:jc w:val="center"/>
        </w:trPr>
        <w:tc>
          <w:tcPr>
            <w:tcW w:w="353" w:type="pct"/>
            <w:shd w:val="clear" w:color="auto" w:fill="auto"/>
          </w:tcPr>
          <w:p w14:paraId="6ADB6DBD" w14:textId="77777777" w:rsidR="00E006EF" w:rsidRPr="008B3F38" w:rsidRDefault="00E006EF" w:rsidP="00025DC3">
            <w:pPr>
              <w:pStyle w:val="Tabletext"/>
              <w:rPr>
                <w:sz w:val="18"/>
                <w:szCs w:val="18"/>
                <w:lang w:val="ru-RU"/>
              </w:rPr>
            </w:pPr>
            <w:r w:rsidRPr="008B3F38">
              <w:rPr>
                <w:sz w:val="18"/>
                <w:szCs w:val="18"/>
                <w:lang w:val="ru-RU"/>
              </w:rPr>
              <w:t>2021 г.</w:t>
            </w:r>
            <w:r w:rsidRPr="008B3F38">
              <w:rPr>
                <w:sz w:val="18"/>
                <w:szCs w:val="18"/>
                <w:lang w:val="ru-RU"/>
              </w:rPr>
              <w:br/>
              <w:t>РЕК34</w:t>
            </w:r>
          </w:p>
        </w:tc>
        <w:tc>
          <w:tcPr>
            <w:tcW w:w="1410" w:type="pct"/>
            <w:gridSpan w:val="2"/>
            <w:shd w:val="clear" w:color="auto" w:fill="auto"/>
          </w:tcPr>
          <w:p w14:paraId="7F0DEEDB" w14:textId="77777777" w:rsidR="00E006EF" w:rsidRPr="008B3F38" w:rsidRDefault="00E006EF" w:rsidP="00025DC3">
            <w:pPr>
              <w:pStyle w:val="Tabletext"/>
              <w:rPr>
                <w:sz w:val="18"/>
                <w:szCs w:val="18"/>
                <w:lang w:val="ru-RU"/>
              </w:rPr>
            </w:pPr>
            <w:r w:rsidRPr="008B3F38">
              <w:rPr>
                <w:sz w:val="18"/>
                <w:szCs w:val="18"/>
                <w:lang w:val="ru-RU"/>
              </w:rPr>
              <w:t>Документально подтверждать этап утверждения, избегая связанного с этим риска передачи в производство предварительно не санкционированных изменений.</w:t>
            </w:r>
          </w:p>
        </w:tc>
        <w:tc>
          <w:tcPr>
            <w:tcW w:w="1658" w:type="pct"/>
            <w:shd w:val="clear" w:color="auto" w:fill="auto"/>
          </w:tcPr>
          <w:p w14:paraId="549149DC" w14:textId="122F4652" w:rsidR="00E006EF" w:rsidRPr="008B3F38" w:rsidRDefault="00E006EF" w:rsidP="00025DC3">
            <w:pPr>
              <w:pStyle w:val="Tabletext"/>
              <w:rPr>
                <w:sz w:val="18"/>
                <w:szCs w:val="18"/>
                <w:lang w:val="ru-RU"/>
              </w:rPr>
            </w:pPr>
            <w:r w:rsidRPr="008B3F38">
              <w:rPr>
                <w:sz w:val="18"/>
                <w:szCs w:val="18"/>
                <w:lang w:val="ru-RU"/>
              </w:rPr>
              <w:t>Обновленная информация по состоянию на май 2025 года: В качестве общего механизма укрепления системы управления и надзора был создан Комитет по управлению ИКТ, обеспечивающий надлежащее управление рисками и реализацию мер контроля, таких как надлежащее разделение обязанностей, на различных этапах реализации значимых проектов в области ИТ.</w:t>
            </w:r>
          </w:p>
          <w:p w14:paraId="64CB51F7" w14:textId="77777777" w:rsidR="00E006EF" w:rsidRPr="008B3F38" w:rsidRDefault="00E006EF" w:rsidP="00025DC3">
            <w:pPr>
              <w:pStyle w:val="Tabletext"/>
              <w:rPr>
                <w:sz w:val="18"/>
                <w:szCs w:val="18"/>
                <w:lang w:val="ru-RU"/>
              </w:rPr>
            </w:pPr>
            <w:r w:rsidRPr="008B3F38">
              <w:rPr>
                <w:sz w:val="18"/>
                <w:szCs w:val="18"/>
                <w:lang w:val="ru-RU"/>
              </w:rPr>
              <w:t>Процесс передачи изменений в производство выполняется в соответствии с процедурой приемо-сдаточных испытаний пользователем (UAT), которая включает подписание формы UAT, подтверждающей получение надлежащих разрешений.</w:t>
            </w:r>
          </w:p>
          <w:p w14:paraId="671450C9" w14:textId="77777777" w:rsidR="00E006EF" w:rsidRPr="008B3F38" w:rsidRDefault="00E006EF" w:rsidP="00025DC3">
            <w:pPr>
              <w:pStyle w:val="Tabletext"/>
              <w:rPr>
                <w:sz w:val="18"/>
                <w:szCs w:val="18"/>
                <w:lang w:val="ru-RU"/>
              </w:rPr>
            </w:pPr>
            <w:r w:rsidRPr="008B3F38">
              <w:rPr>
                <w:sz w:val="18"/>
                <w:szCs w:val="18"/>
                <w:lang w:val="ru-RU"/>
              </w:rPr>
              <w:t>МСЭ рекомендует закрыть данную рекомендацию.</w:t>
            </w:r>
          </w:p>
        </w:tc>
        <w:tc>
          <w:tcPr>
            <w:tcW w:w="1139" w:type="pct"/>
            <w:gridSpan w:val="2"/>
            <w:shd w:val="clear" w:color="auto" w:fill="auto"/>
          </w:tcPr>
          <w:p w14:paraId="116C29FB" w14:textId="13E8FA52" w:rsidR="00E006EF" w:rsidRPr="008B3F38" w:rsidRDefault="00E006EF" w:rsidP="00025DC3">
            <w:pPr>
              <w:pStyle w:val="Tabletext"/>
              <w:rPr>
                <w:sz w:val="18"/>
                <w:szCs w:val="18"/>
                <w:lang w:val="ru-RU"/>
              </w:rPr>
            </w:pPr>
            <w:r w:rsidRPr="008B3F38">
              <w:rPr>
                <w:sz w:val="18"/>
                <w:szCs w:val="18"/>
                <w:lang w:val="ru-RU"/>
              </w:rPr>
              <w:t>Последний ответ принят к сведению и признан обоснованным. Как</w:t>
            </w:r>
            <w:r w:rsidR="00735365" w:rsidRPr="008B3F38">
              <w:rPr>
                <w:sz w:val="18"/>
                <w:szCs w:val="18"/>
                <w:lang w:val="ru-RU"/>
              </w:rPr>
              <w:t> </w:t>
            </w:r>
            <w:r w:rsidRPr="008B3F38">
              <w:rPr>
                <w:sz w:val="18"/>
                <w:szCs w:val="18"/>
                <w:lang w:val="ru-RU"/>
              </w:rPr>
              <w:t xml:space="preserve">отмечалось в </w:t>
            </w:r>
            <w:r w:rsidR="0008402A" w:rsidRPr="008B3F38">
              <w:rPr>
                <w:sz w:val="18"/>
                <w:szCs w:val="18"/>
                <w:lang w:val="ru-RU"/>
              </w:rPr>
              <w:t>Части </w:t>
            </w:r>
            <w:r w:rsidRPr="008B3F38">
              <w:rPr>
                <w:sz w:val="18"/>
                <w:szCs w:val="18"/>
                <w:lang w:val="ru-RU"/>
              </w:rPr>
              <w:t>2 настоящего отчета, мы рассмотрели общие механизмы, используемые руководством для обеспечения гарантий в отношении своей ИТ</w:t>
            </w:r>
            <w:r w:rsidR="0008402A" w:rsidRPr="008B3F38">
              <w:rPr>
                <w:rFonts w:ascii="Cambria Math" w:hAnsi="Cambria Math"/>
                <w:sz w:val="18"/>
                <w:szCs w:val="18"/>
                <w:lang w:val="ru-RU"/>
              </w:rPr>
              <w:t>‑</w:t>
            </w:r>
            <w:r w:rsidRPr="008B3F38">
              <w:rPr>
                <w:sz w:val="18"/>
                <w:szCs w:val="18"/>
                <w:lang w:val="ru-RU"/>
              </w:rPr>
              <w:t>среды, и подготовили соответствующие новые рекомендации, представленные в настоящем отчете.</w:t>
            </w:r>
          </w:p>
        </w:tc>
        <w:tc>
          <w:tcPr>
            <w:tcW w:w="440" w:type="pct"/>
            <w:shd w:val="clear" w:color="auto" w:fill="auto"/>
          </w:tcPr>
          <w:p w14:paraId="7D93386E" w14:textId="77777777" w:rsidR="00E006EF" w:rsidRPr="008B3F38" w:rsidRDefault="00E006EF" w:rsidP="00025DC3">
            <w:pPr>
              <w:pStyle w:val="Tabletext"/>
              <w:ind w:right="-57"/>
              <w:rPr>
                <w:sz w:val="18"/>
                <w:szCs w:val="18"/>
                <w:lang w:val="ru-RU"/>
              </w:rPr>
            </w:pPr>
            <w:r w:rsidRPr="008B3F38">
              <w:rPr>
                <w:sz w:val="18"/>
                <w:szCs w:val="18"/>
                <w:lang w:val="ru-RU"/>
              </w:rPr>
              <w:t>Закрыта.</w:t>
            </w:r>
          </w:p>
        </w:tc>
      </w:tr>
      <w:tr w:rsidR="00E006EF" w:rsidRPr="008B3F38" w14:paraId="507ABE15" w14:textId="77777777" w:rsidTr="008A2FDE">
        <w:trPr>
          <w:jc w:val="center"/>
        </w:trPr>
        <w:tc>
          <w:tcPr>
            <w:tcW w:w="353" w:type="pct"/>
            <w:shd w:val="clear" w:color="auto" w:fill="auto"/>
          </w:tcPr>
          <w:p w14:paraId="6C4EC746" w14:textId="4D2B17EF" w:rsidR="00E006EF" w:rsidRPr="008B3F38" w:rsidRDefault="00E006EF" w:rsidP="00025DC3">
            <w:pPr>
              <w:pStyle w:val="Tabletext"/>
              <w:rPr>
                <w:sz w:val="18"/>
                <w:szCs w:val="18"/>
                <w:lang w:val="ru-RU"/>
              </w:rPr>
            </w:pPr>
            <w:r w:rsidRPr="008B3F38">
              <w:rPr>
                <w:sz w:val="18"/>
                <w:szCs w:val="18"/>
                <w:lang w:val="ru-RU"/>
              </w:rPr>
              <w:t>2021 г.</w:t>
            </w:r>
            <w:r w:rsidR="008B3F38">
              <w:rPr>
                <w:sz w:val="18"/>
                <w:szCs w:val="18"/>
                <w:lang w:val="ru-RU"/>
              </w:rPr>
              <w:br/>
            </w:r>
            <w:r w:rsidRPr="008B3F38">
              <w:rPr>
                <w:sz w:val="18"/>
                <w:szCs w:val="18"/>
                <w:lang w:val="ru-RU"/>
              </w:rPr>
              <w:t>РЕК35</w:t>
            </w:r>
          </w:p>
        </w:tc>
        <w:tc>
          <w:tcPr>
            <w:tcW w:w="1410" w:type="pct"/>
            <w:gridSpan w:val="2"/>
            <w:shd w:val="clear" w:color="auto" w:fill="auto"/>
          </w:tcPr>
          <w:p w14:paraId="253FA737" w14:textId="2551965B" w:rsidR="00E006EF" w:rsidRPr="008B3F38" w:rsidRDefault="00E006EF" w:rsidP="00025DC3">
            <w:pPr>
              <w:pStyle w:val="Tabletext"/>
              <w:rPr>
                <w:sz w:val="18"/>
                <w:szCs w:val="18"/>
                <w:lang w:val="ru-RU"/>
              </w:rPr>
            </w:pPr>
            <w:r w:rsidRPr="008B3F38">
              <w:rPr>
                <w:sz w:val="18"/>
                <w:szCs w:val="18"/>
                <w:lang w:val="ru-RU"/>
              </w:rPr>
              <w:t xml:space="preserve">Рассмотреть и обновить процесс управления изменениями для обеспечения точного документального подтверждения различных этапов разработки, испытаний и утверждения для выпуска в производство изменений в </w:t>
            </w:r>
            <w:r w:rsidRPr="008B3F38">
              <w:rPr>
                <w:sz w:val="18"/>
                <w:szCs w:val="18"/>
                <w:lang w:val="ru-RU"/>
              </w:rPr>
              <w:lastRenderedPageBreak/>
              <w:t>приложения. Наряду с этим мы рекомендуем четко определить роли и обязанности для гарантии разделения заинтересованных сторон, участвующих в процессе управления</w:t>
            </w:r>
            <w:r w:rsidR="000C7321" w:rsidRPr="008B3F38">
              <w:rPr>
                <w:sz w:val="18"/>
                <w:szCs w:val="18"/>
                <w:lang w:val="ru-RU"/>
              </w:rPr>
              <w:t> </w:t>
            </w:r>
            <w:r w:rsidRPr="008B3F38">
              <w:rPr>
                <w:sz w:val="18"/>
                <w:szCs w:val="18"/>
                <w:lang w:val="ru-RU"/>
              </w:rPr>
              <w:t>изменениями.</w:t>
            </w:r>
          </w:p>
        </w:tc>
        <w:tc>
          <w:tcPr>
            <w:tcW w:w="1658" w:type="pct"/>
            <w:shd w:val="clear" w:color="auto" w:fill="auto"/>
          </w:tcPr>
          <w:p w14:paraId="15FEBA48" w14:textId="77777777" w:rsidR="00E006EF" w:rsidRPr="008B3F38" w:rsidRDefault="00E006EF" w:rsidP="00025DC3">
            <w:pPr>
              <w:pStyle w:val="Tabletext"/>
              <w:rPr>
                <w:sz w:val="18"/>
                <w:szCs w:val="18"/>
                <w:lang w:val="ru-RU"/>
              </w:rPr>
            </w:pPr>
            <w:r w:rsidRPr="008B3F38">
              <w:rPr>
                <w:sz w:val="18"/>
                <w:szCs w:val="18"/>
                <w:lang w:val="ru-RU"/>
              </w:rPr>
              <w:lastRenderedPageBreak/>
              <w:t xml:space="preserve">Обновленная информация по состоянию на май 2025 года: В качестве общего механизма укрепления системы управления и надзора был создан Комитет по управлению ИКТ, обеспечивающий надлежащее управление рисками и реализацию мер контроля, таких </w:t>
            </w:r>
            <w:r w:rsidRPr="008B3F38">
              <w:rPr>
                <w:sz w:val="18"/>
                <w:szCs w:val="18"/>
                <w:lang w:val="ru-RU"/>
              </w:rPr>
              <w:lastRenderedPageBreak/>
              <w:t>как надлежащее разделение обязанностей, на различных этапах реализации значимых проектов в области ИТ.</w:t>
            </w:r>
          </w:p>
          <w:p w14:paraId="683D12B4" w14:textId="4601F01C" w:rsidR="00E006EF" w:rsidRPr="008B3F38" w:rsidRDefault="00E006EF" w:rsidP="00025DC3">
            <w:pPr>
              <w:pStyle w:val="Tabletext"/>
              <w:rPr>
                <w:sz w:val="18"/>
                <w:szCs w:val="18"/>
                <w:lang w:val="ru-RU"/>
              </w:rPr>
            </w:pPr>
            <w:r w:rsidRPr="008B3F38">
              <w:rPr>
                <w:sz w:val="18"/>
                <w:szCs w:val="18"/>
                <w:lang w:val="ru-RU"/>
              </w:rPr>
              <w:t>Процесс управления изменениями включает в себя документирование бизнес-требований, планирование деятельности по разработке, подготовку среды, определение пользователей/ролей, обязанностей и критериев, а также переход к процессу производства.</w:t>
            </w:r>
          </w:p>
          <w:p w14:paraId="0A03663A" w14:textId="77777777" w:rsidR="00E006EF" w:rsidRPr="008B3F38" w:rsidRDefault="00E006EF" w:rsidP="00025DC3">
            <w:pPr>
              <w:pStyle w:val="Tabletext"/>
              <w:rPr>
                <w:sz w:val="18"/>
                <w:szCs w:val="18"/>
                <w:lang w:val="ru-RU"/>
              </w:rPr>
            </w:pPr>
            <w:r w:rsidRPr="008B3F38">
              <w:rPr>
                <w:sz w:val="18"/>
                <w:szCs w:val="18"/>
                <w:lang w:val="ru-RU"/>
              </w:rPr>
              <w:t>МСЭ рекомендует закрыть данную рекомендацию.</w:t>
            </w:r>
          </w:p>
        </w:tc>
        <w:tc>
          <w:tcPr>
            <w:tcW w:w="1139" w:type="pct"/>
            <w:gridSpan w:val="2"/>
            <w:shd w:val="clear" w:color="auto" w:fill="auto"/>
          </w:tcPr>
          <w:p w14:paraId="3F756296" w14:textId="4B5004A1" w:rsidR="00E006EF" w:rsidRPr="008B3F38" w:rsidRDefault="00E006EF" w:rsidP="00025DC3">
            <w:pPr>
              <w:pStyle w:val="Tabletext"/>
              <w:rPr>
                <w:sz w:val="18"/>
                <w:szCs w:val="18"/>
                <w:lang w:val="ru-RU"/>
              </w:rPr>
            </w:pPr>
            <w:r w:rsidRPr="008B3F38">
              <w:rPr>
                <w:sz w:val="18"/>
                <w:szCs w:val="18"/>
                <w:lang w:val="ru-RU"/>
              </w:rPr>
              <w:lastRenderedPageBreak/>
              <w:t>Последний ответ принят к сведению и признан обоснованным. Как</w:t>
            </w:r>
            <w:r w:rsidR="000C7321" w:rsidRPr="008B3F38">
              <w:rPr>
                <w:sz w:val="18"/>
                <w:szCs w:val="18"/>
                <w:lang w:val="ru-RU"/>
              </w:rPr>
              <w:t> </w:t>
            </w:r>
            <w:r w:rsidRPr="008B3F38">
              <w:rPr>
                <w:sz w:val="18"/>
                <w:szCs w:val="18"/>
                <w:lang w:val="ru-RU"/>
              </w:rPr>
              <w:t xml:space="preserve">отмечалось в </w:t>
            </w:r>
            <w:r w:rsidR="0008402A" w:rsidRPr="008B3F38">
              <w:rPr>
                <w:sz w:val="18"/>
                <w:szCs w:val="18"/>
                <w:lang w:val="ru-RU"/>
              </w:rPr>
              <w:t>Части </w:t>
            </w:r>
            <w:r w:rsidRPr="008B3F38">
              <w:rPr>
                <w:sz w:val="18"/>
                <w:szCs w:val="18"/>
                <w:lang w:val="ru-RU"/>
              </w:rPr>
              <w:t xml:space="preserve">2 настоящего отчета, мы рассмотрели общие механизмы, используемые </w:t>
            </w:r>
            <w:r w:rsidRPr="008B3F38">
              <w:rPr>
                <w:sz w:val="18"/>
                <w:szCs w:val="18"/>
                <w:lang w:val="ru-RU"/>
              </w:rPr>
              <w:lastRenderedPageBreak/>
              <w:t>руководством для обеспечения гарантий в отношении своей ИТ</w:t>
            </w:r>
            <w:r w:rsidR="0008402A" w:rsidRPr="008B3F38">
              <w:rPr>
                <w:rFonts w:ascii="Cambria Math" w:hAnsi="Cambria Math"/>
                <w:sz w:val="18"/>
                <w:szCs w:val="18"/>
                <w:lang w:val="ru-RU"/>
              </w:rPr>
              <w:t>‑</w:t>
            </w:r>
            <w:r w:rsidRPr="008B3F38">
              <w:rPr>
                <w:sz w:val="18"/>
                <w:szCs w:val="18"/>
                <w:lang w:val="ru-RU"/>
              </w:rPr>
              <w:t>среды, и подготовили соответствующие новые рекомендации, представленные в настоящем отчете.</w:t>
            </w:r>
          </w:p>
        </w:tc>
        <w:tc>
          <w:tcPr>
            <w:tcW w:w="440" w:type="pct"/>
            <w:shd w:val="clear" w:color="auto" w:fill="auto"/>
          </w:tcPr>
          <w:p w14:paraId="1553F215" w14:textId="77777777" w:rsidR="00E006EF" w:rsidRPr="008B3F38" w:rsidRDefault="00E006EF" w:rsidP="00025DC3">
            <w:pPr>
              <w:pStyle w:val="Tabletext"/>
              <w:ind w:right="-57"/>
              <w:rPr>
                <w:sz w:val="18"/>
                <w:szCs w:val="18"/>
                <w:lang w:val="ru-RU"/>
              </w:rPr>
            </w:pPr>
            <w:r w:rsidRPr="008B3F38">
              <w:rPr>
                <w:sz w:val="18"/>
                <w:szCs w:val="18"/>
                <w:lang w:val="ru-RU"/>
              </w:rPr>
              <w:lastRenderedPageBreak/>
              <w:t>Закрыта.</w:t>
            </w:r>
          </w:p>
        </w:tc>
      </w:tr>
      <w:tr w:rsidR="00E006EF" w:rsidRPr="008B3F38" w14:paraId="473785FE" w14:textId="77777777" w:rsidTr="008A2FDE">
        <w:trPr>
          <w:jc w:val="center"/>
        </w:trPr>
        <w:tc>
          <w:tcPr>
            <w:tcW w:w="353" w:type="pct"/>
            <w:shd w:val="clear" w:color="auto" w:fill="auto"/>
          </w:tcPr>
          <w:p w14:paraId="0FDB1D26" w14:textId="77777777" w:rsidR="00E006EF" w:rsidRPr="008B3F38" w:rsidRDefault="00E006EF" w:rsidP="00025DC3">
            <w:pPr>
              <w:pStyle w:val="Tabletext"/>
              <w:rPr>
                <w:sz w:val="18"/>
                <w:szCs w:val="18"/>
                <w:lang w:val="ru-RU"/>
              </w:rPr>
            </w:pPr>
            <w:r w:rsidRPr="008B3F38">
              <w:rPr>
                <w:sz w:val="18"/>
                <w:szCs w:val="18"/>
                <w:lang w:val="ru-RU"/>
              </w:rPr>
              <w:t>2021 г.</w:t>
            </w:r>
            <w:r w:rsidRPr="008B3F38">
              <w:rPr>
                <w:sz w:val="18"/>
                <w:szCs w:val="18"/>
                <w:lang w:val="ru-RU"/>
              </w:rPr>
              <w:br/>
              <w:t>РЕК36</w:t>
            </w:r>
          </w:p>
        </w:tc>
        <w:tc>
          <w:tcPr>
            <w:tcW w:w="1410" w:type="pct"/>
            <w:gridSpan w:val="2"/>
            <w:shd w:val="clear" w:color="auto" w:fill="auto"/>
          </w:tcPr>
          <w:p w14:paraId="63F9F566" w14:textId="77777777" w:rsidR="00E006EF" w:rsidRPr="008B3F38" w:rsidRDefault="00E006EF" w:rsidP="00025DC3">
            <w:pPr>
              <w:pStyle w:val="Tabletext"/>
              <w:rPr>
                <w:sz w:val="18"/>
                <w:szCs w:val="18"/>
                <w:lang w:val="ru-RU"/>
              </w:rPr>
            </w:pPr>
            <w:r w:rsidRPr="008B3F38">
              <w:rPr>
                <w:sz w:val="18"/>
                <w:szCs w:val="18"/>
                <w:lang w:val="ru-RU"/>
              </w:rPr>
              <w:t>Привлекать различных сотрудников к деятельности в рамках основных этапов процесса управления изменениями для обеспечения соблюдения принципа разделения обязанностей между разработчиками и руководителями.</w:t>
            </w:r>
          </w:p>
        </w:tc>
        <w:tc>
          <w:tcPr>
            <w:tcW w:w="1658" w:type="pct"/>
            <w:shd w:val="clear" w:color="auto" w:fill="auto"/>
          </w:tcPr>
          <w:p w14:paraId="0748258C" w14:textId="77777777" w:rsidR="00E006EF" w:rsidRPr="008B3F38" w:rsidRDefault="00E006EF" w:rsidP="00025DC3">
            <w:pPr>
              <w:pStyle w:val="Tabletext"/>
              <w:rPr>
                <w:sz w:val="18"/>
                <w:szCs w:val="18"/>
                <w:lang w:val="ru-RU"/>
              </w:rPr>
            </w:pPr>
            <w:r w:rsidRPr="008B3F38">
              <w:rPr>
                <w:sz w:val="18"/>
                <w:szCs w:val="18"/>
                <w:lang w:val="ru-RU"/>
              </w:rPr>
              <w:t>Обновленная информация по состоянию на май 2025 года: В качестве общего механизма укрепления системы управления и надзора был создан Комитет по управлению ИКТ, обеспечивающий надлежащее управление рисками и реализацию мер контроля, таких как надлежащее разделение обязанностей, на различных этапах реализации значимых проектов в области ИТ.</w:t>
            </w:r>
          </w:p>
          <w:p w14:paraId="75D51704" w14:textId="77777777" w:rsidR="00E006EF" w:rsidRPr="008B3F38" w:rsidRDefault="00E006EF" w:rsidP="00025DC3">
            <w:pPr>
              <w:pStyle w:val="Tabletext"/>
              <w:rPr>
                <w:sz w:val="18"/>
                <w:szCs w:val="18"/>
                <w:lang w:val="ru-RU"/>
              </w:rPr>
            </w:pPr>
            <w:r w:rsidRPr="008B3F38">
              <w:rPr>
                <w:sz w:val="18"/>
                <w:szCs w:val="18"/>
                <w:lang w:val="ru-RU"/>
              </w:rPr>
              <w:t>В уставе проекта описываются роли и обязанности на разных этапах реализации проекта, в том числе применительно к бизнес-подразделениям и группам разработчиков, а также к процессу выпуска в производство.</w:t>
            </w:r>
          </w:p>
          <w:p w14:paraId="0AE0E646" w14:textId="77777777" w:rsidR="00E006EF" w:rsidRPr="008B3F38" w:rsidRDefault="00E006EF" w:rsidP="00025DC3">
            <w:pPr>
              <w:pStyle w:val="Tabletext"/>
              <w:rPr>
                <w:sz w:val="18"/>
                <w:szCs w:val="18"/>
                <w:lang w:val="ru-RU"/>
              </w:rPr>
            </w:pPr>
            <w:r w:rsidRPr="008B3F38">
              <w:rPr>
                <w:sz w:val="18"/>
                <w:szCs w:val="18"/>
                <w:lang w:val="ru-RU"/>
              </w:rPr>
              <w:t>МСЭ рекомендует закрыть данную рекомендацию.</w:t>
            </w:r>
          </w:p>
        </w:tc>
        <w:tc>
          <w:tcPr>
            <w:tcW w:w="1139" w:type="pct"/>
            <w:gridSpan w:val="2"/>
            <w:shd w:val="clear" w:color="auto" w:fill="auto"/>
          </w:tcPr>
          <w:p w14:paraId="70EEBB9B" w14:textId="78DFB4E4" w:rsidR="00E006EF" w:rsidRPr="008B3F38" w:rsidRDefault="00E006EF" w:rsidP="00025DC3">
            <w:pPr>
              <w:pStyle w:val="Tabletext"/>
              <w:rPr>
                <w:sz w:val="18"/>
                <w:szCs w:val="18"/>
                <w:lang w:val="ru-RU"/>
              </w:rPr>
            </w:pPr>
            <w:r w:rsidRPr="008B3F38">
              <w:rPr>
                <w:sz w:val="18"/>
                <w:szCs w:val="18"/>
                <w:lang w:val="ru-RU"/>
              </w:rPr>
              <w:t>Последний ответ принят к сведению и признан обоснованным. Как</w:t>
            </w:r>
            <w:r w:rsidR="000C7321" w:rsidRPr="008B3F38">
              <w:rPr>
                <w:sz w:val="18"/>
                <w:szCs w:val="18"/>
                <w:lang w:val="ru-RU"/>
              </w:rPr>
              <w:t> </w:t>
            </w:r>
            <w:r w:rsidRPr="008B3F38">
              <w:rPr>
                <w:sz w:val="18"/>
                <w:szCs w:val="18"/>
                <w:lang w:val="ru-RU"/>
              </w:rPr>
              <w:t xml:space="preserve">отмечалось в </w:t>
            </w:r>
            <w:r w:rsidR="0008402A" w:rsidRPr="008B3F38">
              <w:rPr>
                <w:sz w:val="18"/>
                <w:szCs w:val="18"/>
                <w:lang w:val="ru-RU"/>
              </w:rPr>
              <w:t>Части </w:t>
            </w:r>
            <w:r w:rsidRPr="008B3F38">
              <w:rPr>
                <w:sz w:val="18"/>
                <w:szCs w:val="18"/>
                <w:lang w:val="ru-RU"/>
              </w:rPr>
              <w:t>2 настоящего отчета, мы рассмотрели общие механизмы, используемые руководством для обеспечения гарантий в отношении своей ИТ</w:t>
            </w:r>
            <w:r w:rsidR="0008402A" w:rsidRPr="008B3F38">
              <w:rPr>
                <w:rFonts w:ascii="Cambria Math" w:hAnsi="Cambria Math"/>
                <w:sz w:val="18"/>
                <w:szCs w:val="18"/>
                <w:lang w:val="ru-RU"/>
              </w:rPr>
              <w:t>‑</w:t>
            </w:r>
            <w:r w:rsidRPr="008B3F38">
              <w:rPr>
                <w:sz w:val="18"/>
                <w:szCs w:val="18"/>
                <w:lang w:val="ru-RU"/>
              </w:rPr>
              <w:t>среды, и подготовили соответствующие новые рекомендации, представленные в настоящем отчете.</w:t>
            </w:r>
          </w:p>
        </w:tc>
        <w:tc>
          <w:tcPr>
            <w:tcW w:w="440" w:type="pct"/>
            <w:shd w:val="clear" w:color="auto" w:fill="auto"/>
          </w:tcPr>
          <w:p w14:paraId="11A021A6" w14:textId="77777777" w:rsidR="00E006EF" w:rsidRPr="008B3F38" w:rsidRDefault="00E006EF" w:rsidP="00025DC3">
            <w:pPr>
              <w:pStyle w:val="Tabletext"/>
              <w:ind w:right="-57"/>
              <w:rPr>
                <w:sz w:val="18"/>
                <w:szCs w:val="18"/>
                <w:lang w:val="ru-RU"/>
              </w:rPr>
            </w:pPr>
            <w:r w:rsidRPr="008B3F38">
              <w:rPr>
                <w:sz w:val="18"/>
                <w:szCs w:val="18"/>
                <w:lang w:val="ru-RU"/>
              </w:rPr>
              <w:t>Закрыта.</w:t>
            </w:r>
          </w:p>
        </w:tc>
      </w:tr>
      <w:tr w:rsidR="00E006EF" w:rsidRPr="008B3F38" w14:paraId="78A1EAC6" w14:textId="77777777" w:rsidTr="008A2FDE">
        <w:trPr>
          <w:jc w:val="center"/>
        </w:trPr>
        <w:tc>
          <w:tcPr>
            <w:tcW w:w="353" w:type="pct"/>
            <w:shd w:val="clear" w:color="auto" w:fill="auto"/>
          </w:tcPr>
          <w:p w14:paraId="381C2CF4" w14:textId="77777777" w:rsidR="00E006EF" w:rsidRPr="008B3F38" w:rsidRDefault="00E006EF" w:rsidP="00025DC3">
            <w:pPr>
              <w:pStyle w:val="Tabletext"/>
              <w:rPr>
                <w:sz w:val="18"/>
                <w:szCs w:val="18"/>
                <w:lang w:val="ru-RU"/>
              </w:rPr>
            </w:pPr>
            <w:r w:rsidRPr="008B3F38">
              <w:rPr>
                <w:sz w:val="18"/>
                <w:szCs w:val="18"/>
                <w:lang w:val="ru-RU"/>
              </w:rPr>
              <w:t>2021 г.</w:t>
            </w:r>
            <w:r w:rsidRPr="008B3F38">
              <w:rPr>
                <w:sz w:val="18"/>
                <w:szCs w:val="18"/>
                <w:lang w:val="ru-RU"/>
              </w:rPr>
              <w:br/>
              <w:t>РЕК37</w:t>
            </w:r>
          </w:p>
        </w:tc>
        <w:tc>
          <w:tcPr>
            <w:tcW w:w="1410" w:type="pct"/>
            <w:gridSpan w:val="2"/>
            <w:shd w:val="clear" w:color="auto" w:fill="auto"/>
          </w:tcPr>
          <w:p w14:paraId="2BF551A7" w14:textId="060DD812" w:rsidR="00E006EF" w:rsidRPr="008B3F38" w:rsidRDefault="00E006EF" w:rsidP="00025DC3">
            <w:pPr>
              <w:pStyle w:val="Tabletext"/>
              <w:rPr>
                <w:sz w:val="18"/>
                <w:szCs w:val="18"/>
                <w:lang w:val="ru-RU"/>
              </w:rPr>
            </w:pPr>
            <w:r w:rsidRPr="008B3F38">
              <w:rPr>
                <w:sz w:val="18"/>
                <w:szCs w:val="18"/>
                <w:lang w:val="ru-RU"/>
              </w:rPr>
              <w:t>На регулярной основе осуществлять процесс исправления ошибок в базе данных с целью установки обновлений, выпускаемых</w:t>
            </w:r>
            <w:r w:rsidR="00FB03FC" w:rsidRPr="008B3F38">
              <w:rPr>
                <w:sz w:val="18"/>
                <w:szCs w:val="18"/>
                <w:lang w:val="ru-RU"/>
              </w:rPr>
              <w:t> </w:t>
            </w:r>
            <w:r w:rsidRPr="008B3F38">
              <w:rPr>
                <w:sz w:val="18"/>
                <w:szCs w:val="18"/>
                <w:lang w:val="ru-RU"/>
              </w:rPr>
              <w:t>поставщиком.</w:t>
            </w:r>
          </w:p>
        </w:tc>
        <w:tc>
          <w:tcPr>
            <w:tcW w:w="1658" w:type="pct"/>
            <w:shd w:val="clear" w:color="auto" w:fill="auto"/>
          </w:tcPr>
          <w:p w14:paraId="7D4A324E" w14:textId="53652DD9" w:rsidR="00E006EF" w:rsidRPr="008B3F38" w:rsidRDefault="00E006EF" w:rsidP="00025DC3">
            <w:pPr>
              <w:pStyle w:val="Tabletext"/>
              <w:rPr>
                <w:sz w:val="18"/>
                <w:szCs w:val="18"/>
                <w:lang w:val="ru-RU"/>
              </w:rPr>
            </w:pPr>
            <w:r w:rsidRPr="008B3F38">
              <w:rPr>
                <w:sz w:val="18"/>
                <w:szCs w:val="18"/>
                <w:lang w:val="ru-RU"/>
              </w:rPr>
              <w:t>Обновленная информация по состоянию на май 2025 года: Внесение исправлений в серверы и базы данных теперь осуществляется в рамках автоматической процедуры внесения исправлений, которая проводится на ежемесячной основе.</w:t>
            </w:r>
          </w:p>
          <w:p w14:paraId="2278D4D9" w14:textId="77777777" w:rsidR="00E006EF" w:rsidRPr="008B3F38" w:rsidRDefault="00E006EF" w:rsidP="00025DC3">
            <w:pPr>
              <w:pStyle w:val="Tabletext"/>
              <w:rPr>
                <w:sz w:val="18"/>
                <w:szCs w:val="18"/>
                <w:lang w:val="ru-RU"/>
              </w:rPr>
            </w:pPr>
            <w:r w:rsidRPr="008B3F38">
              <w:rPr>
                <w:sz w:val="18"/>
                <w:szCs w:val="18"/>
                <w:lang w:val="ru-RU"/>
              </w:rPr>
              <w:t>МСЭ рекомендует закрыть данную рекомендацию.</w:t>
            </w:r>
          </w:p>
        </w:tc>
        <w:tc>
          <w:tcPr>
            <w:tcW w:w="1139" w:type="pct"/>
            <w:gridSpan w:val="2"/>
            <w:shd w:val="clear" w:color="auto" w:fill="auto"/>
          </w:tcPr>
          <w:p w14:paraId="108A3BB6" w14:textId="7CFA4BBC" w:rsidR="00E006EF" w:rsidRPr="008B3F38" w:rsidRDefault="00E006EF" w:rsidP="00025DC3">
            <w:pPr>
              <w:pStyle w:val="Tabletext"/>
              <w:rPr>
                <w:sz w:val="18"/>
                <w:szCs w:val="18"/>
                <w:lang w:val="ru-RU"/>
              </w:rPr>
            </w:pPr>
            <w:r w:rsidRPr="008B3F38">
              <w:rPr>
                <w:sz w:val="18"/>
                <w:szCs w:val="18"/>
                <w:lang w:val="ru-RU"/>
              </w:rPr>
              <w:t xml:space="preserve">Последний ответ принят к сведению и признан обоснованным. Как отмечалось в </w:t>
            </w:r>
            <w:r w:rsidR="0008402A" w:rsidRPr="008B3F38">
              <w:rPr>
                <w:sz w:val="18"/>
                <w:szCs w:val="18"/>
                <w:lang w:val="ru-RU"/>
              </w:rPr>
              <w:t>Части </w:t>
            </w:r>
            <w:r w:rsidRPr="008B3F38">
              <w:rPr>
                <w:sz w:val="18"/>
                <w:szCs w:val="18"/>
                <w:lang w:val="ru-RU"/>
              </w:rPr>
              <w:t>2 настоящего отчета, мы рассмотрели общие механизмы, используемые руководством для обеспечения гарантий в отношении своей ИТ</w:t>
            </w:r>
            <w:r w:rsidR="0008402A" w:rsidRPr="008B3F38">
              <w:rPr>
                <w:rFonts w:ascii="Cambria Math" w:hAnsi="Cambria Math"/>
                <w:sz w:val="18"/>
                <w:szCs w:val="18"/>
                <w:lang w:val="ru-RU"/>
              </w:rPr>
              <w:t>‑</w:t>
            </w:r>
            <w:r w:rsidRPr="008B3F38">
              <w:rPr>
                <w:sz w:val="18"/>
                <w:szCs w:val="18"/>
                <w:lang w:val="ru-RU"/>
              </w:rPr>
              <w:t>среды, и подготовили соответствующие новые рекомендации, представленные в настоящем отчете.</w:t>
            </w:r>
          </w:p>
        </w:tc>
        <w:tc>
          <w:tcPr>
            <w:tcW w:w="440" w:type="pct"/>
            <w:shd w:val="clear" w:color="auto" w:fill="auto"/>
          </w:tcPr>
          <w:p w14:paraId="22217568" w14:textId="77777777" w:rsidR="00E006EF" w:rsidRPr="008B3F38" w:rsidRDefault="00E006EF" w:rsidP="00025DC3">
            <w:pPr>
              <w:pStyle w:val="Tabletext"/>
              <w:ind w:right="-57"/>
              <w:rPr>
                <w:sz w:val="18"/>
                <w:szCs w:val="18"/>
                <w:lang w:val="ru-RU"/>
              </w:rPr>
            </w:pPr>
            <w:r w:rsidRPr="008B3F38">
              <w:rPr>
                <w:sz w:val="18"/>
                <w:szCs w:val="18"/>
                <w:lang w:val="ru-RU"/>
              </w:rPr>
              <w:t>Закрыта.</w:t>
            </w:r>
          </w:p>
        </w:tc>
      </w:tr>
      <w:tr w:rsidR="00E006EF" w:rsidRPr="008B3F38" w14:paraId="0360F69A" w14:textId="77777777" w:rsidTr="008A2FDE">
        <w:trPr>
          <w:jc w:val="center"/>
        </w:trPr>
        <w:tc>
          <w:tcPr>
            <w:tcW w:w="353" w:type="pct"/>
            <w:shd w:val="clear" w:color="auto" w:fill="auto"/>
          </w:tcPr>
          <w:p w14:paraId="76B89F85" w14:textId="77777777" w:rsidR="00E006EF" w:rsidRPr="008B3F38" w:rsidRDefault="00E006EF" w:rsidP="00025DC3">
            <w:pPr>
              <w:pStyle w:val="Tabletext"/>
              <w:rPr>
                <w:sz w:val="18"/>
                <w:szCs w:val="18"/>
                <w:lang w:val="ru-RU"/>
              </w:rPr>
            </w:pPr>
            <w:r w:rsidRPr="008B3F38">
              <w:rPr>
                <w:sz w:val="18"/>
                <w:szCs w:val="18"/>
                <w:lang w:val="ru-RU"/>
              </w:rPr>
              <w:t>2021 г.</w:t>
            </w:r>
            <w:r w:rsidRPr="008B3F38">
              <w:rPr>
                <w:sz w:val="18"/>
                <w:szCs w:val="18"/>
                <w:lang w:val="ru-RU"/>
              </w:rPr>
              <w:br/>
              <w:t>РЕК38</w:t>
            </w:r>
          </w:p>
        </w:tc>
        <w:tc>
          <w:tcPr>
            <w:tcW w:w="1410" w:type="pct"/>
            <w:gridSpan w:val="2"/>
            <w:shd w:val="clear" w:color="auto" w:fill="auto"/>
          </w:tcPr>
          <w:p w14:paraId="23CC993E" w14:textId="77777777" w:rsidR="00E006EF" w:rsidRPr="008B3F38" w:rsidRDefault="00E006EF" w:rsidP="00025DC3">
            <w:pPr>
              <w:pStyle w:val="Tabletext"/>
              <w:rPr>
                <w:sz w:val="18"/>
                <w:szCs w:val="18"/>
                <w:lang w:val="ru-RU"/>
              </w:rPr>
            </w:pPr>
            <w:r w:rsidRPr="008B3F38">
              <w:rPr>
                <w:sz w:val="18"/>
                <w:szCs w:val="18"/>
                <w:lang w:val="ru-RU"/>
              </w:rPr>
              <w:t>Обеспечить, чтобы этап утверждения в процессе инициализации пользователей всегда документально подтверждался и чтобы выполнялась процедура для соблюдения необходимого установленного порядка.</w:t>
            </w:r>
          </w:p>
        </w:tc>
        <w:tc>
          <w:tcPr>
            <w:tcW w:w="1658" w:type="pct"/>
            <w:shd w:val="clear" w:color="auto" w:fill="auto"/>
          </w:tcPr>
          <w:p w14:paraId="7B1FB6F6" w14:textId="05CED81A" w:rsidR="00E006EF" w:rsidRPr="008B3F38" w:rsidRDefault="00E006EF" w:rsidP="00025DC3">
            <w:pPr>
              <w:pStyle w:val="Tabletext"/>
              <w:rPr>
                <w:sz w:val="18"/>
                <w:szCs w:val="18"/>
                <w:lang w:val="ru-RU"/>
              </w:rPr>
            </w:pPr>
            <w:r w:rsidRPr="008B3F38">
              <w:rPr>
                <w:sz w:val="18"/>
                <w:szCs w:val="18"/>
                <w:lang w:val="ru-RU"/>
              </w:rPr>
              <w:t>Обновленная информация по состоянию на май 2025 года: Совершенствование процесса осуществляется на постоянной основе, включая подготовку документации в рамках процесса инициализации</w:t>
            </w:r>
            <w:r w:rsidR="00FB03FC" w:rsidRPr="008B3F38">
              <w:rPr>
                <w:sz w:val="18"/>
                <w:szCs w:val="18"/>
                <w:lang w:val="ru-RU"/>
              </w:rPr>
              <w:t> </w:t>
            </w:r>
            <w:r w:rsidRPr="008B3F38">
              <w:rPr>
                <w:sz w:val="18"/>
                <w:szCs w:val="18"/>
                <w:lang w:val="ru-RU"/>
              </w:rPr>
              <w:t>пользователей.</w:t>
            </w:r>
          </w:p>
          <w:p w14:paraId="0ABAFA99" w14:textId="77777777" w:rsidR="00E006EF" w:rsidRPr="008B3F38" w:rsidRDefault="00E006EF" w:rsidP="00025DC3">
            <w:pPr>
              <w:pStyle w:val="Tabletext"/>
              <w:rPr>
                <w:sz w:val="18"/>
                <w:szCs w:val="18"/>
                <w:lang w:val="ru-RU"/>
              </w:rPr>
            </w:pPr>
            <w:r w:rsidRPr="008B3F38">
              <w:rPr>
                <w:sz w:val="18"/>
                <w:szCs w:val="18"/>
                <w:lang w:val="ru-RU"/>
              </w:rPr>
              <w:lastRenderedPageBreak/>
              <w:t>МСЭ рекомендует закрыть данную рекомендацию.</w:t>
            </w:r>
          </w:p>
        </w:tc>
        <w:tc>
          <w:tcPr>
            <w:tcW w:w="1139" w:type="pct"/>
            <w:gridSpan w:val="2"/>
            <w:shd w:val="clear" w:color="auto" w:fill="auto"/>
          </w:tcPr>
          <w:p w14:paraId="422C838B" w14:textId="564D60E2" w:rsidR="00E006EF" w:rsidRPr="008B3F38" w:rsidRDefault="00E006EF" w:rsidP="00025DC3">
            <w:pPr>
              <w:pStyle w:val="Tabletext"/>
              <w:rPr>
                <w:sz w:val="18"/>
                <w:szCs w:val="18"/>
                <w:lang w:val="ru-RU"/>
              </w:rPr>
            </w:pPr>
            <w:r w:rsidRPr="008B3F38">
              <w:rPr>
                <w:sz w:val="18"/>
                <w:szCs w:val="18"/>
                <w:lang w:val="ru-RU"/>
              </w:rPr>
              <w:lastRenderedPageBreak/>
              <w:t>Последний ответ принят к сведению и признан обоснованным. Как</w:t>
            </w:r>
            <w:r w:rsidR="00FB03FC" w:rsidRPr="008B3F38">
              <w:rPr>
                <w:sz w:val="18"/>
                <w:szCs w:val="18"/>
                <w:lang w:val="ru-RU"/>
              </w:rPr>
              <w:t> </w:t>
            </w:r>
            <w:r w:rsidRPr="008B3F38">
              <w:rPr>
                <w:sz w:val="18"/>
                <w:szCs w:val="18"/>
                <w:lang w:val="ru-RU"/>
              </w:rPr>
              <w:t xml:space="preserve">отмечалось в </w:t>
            </w:r>
            <w:r w:rsidR="0008402A" w:rsidRPr="008B3F38">
              <w:rPr>
                <w:sz w:val="18"/>
                <w:szCs w:val="18"/>
                <w:lang w:val="ru-RU"/>
              </w:rPr>
              <w:t>Части </w:t>
            </w:r>
            <w:r w:rsidRPr="008B3F38">
              <w:rPr>
                <w:sz w:val="18"/>
                <w:szCs w:val="18"/>
                <w:lang w:val="ru-RU"/>
              </w:rPr>
              <w:t xml:space="preserve">2 настоящего отчета, мы рассмотрели общие механизмы, используемые </w:t>
            </w:r>
            <w:r w:rsidRPr="008B3F38">
              <w:rPr>
                <w:sz w:val="18"/>
                <w:szCs w:val="18"/>
                <w:lang w:val="ru-RU"/>
              </w:rPr>
              <w:lastRenderedPageBreak/>
              <w:t>руководством для обеспечения гарантий в отношении своей ИТ</w:t>
            </w:r>
            <w:r w:rsidR="0008402A" w:rsidRPr="008B3F38">
              <w:rPr>
                <w:rFonts w:ascii="Cambria Math" w:hAnsi="Cambria Math"/>
                <w:sz w:val="18"/>
                <w:szCs w:val="18"/>
                <w:lang w:val="ru-RU"/>
              </w:rPr>
              <w:t>‑</w:t>
            </w:r>
            <w:r w:rsidRPr="008B3F38">
              <w:rPr>
                <w:sz w:val="18"/>
                <w:szCs w:val="18"/>
                <w:lang w:val="ru-RU"/>
              </w:rPr>
              <w:t>среды, и подготовили соответствующие новые рекомендации, представленные в настоящем отчете.</w:t>
            </w:r>
          </w:p>
        </w:tc>
        <w:tc>
          <w:tcPr>
            <w:tcW w:w="440" w:type="pct"/>
            <w:shd w:val="clear" w:color="auto" w:fill="auto"/>
          </w:tcPr>
          <w:p w14:paraId="40BF3BAB" w14:textId="77777777" w:rsidR="00E006EF" w:rsidRPr="008B3F38" w:rsidRDefault="00E006EF" w:rsidP="00025DC3">
            <w:pPr>
              <w:pStyle w:val="Tabletext"/>
              <w:ind w:right="-57"/>
              <w:rPr>
                <w:sz w:val="18"/>
                <w:szCs w:val="18"/>
                <w:lang w:val="ru-RU"/>
              </w:rPr>
            </w:pPr>
            <w:r w:rsidRPr="008B3F38">
              <w:rPr>
                <w:sz w:val="18"/>
                <w:szCs w:val="18"/>
                <w:lang w:val="ru-RU"/>
              </w:rPr>
              <w:lastRenderedPageBreak/>
              <w:t>Закрыта.</w:t>
            </w:r>
          </w:p>
        </w:tc>
      </w:tr>
      <w:tr w:rsidR="00E006EF" w:rsidRPr="008B3F38" w14:paraId="48F74C21" w14:textId="77777777" w:rsidTr="008A2FDE">
        <w:trPr>
          <w:jc w:val="center"/>
        </w:trPr>
        <w:tc>
          <w:tcPr>
            <w:tcW w:w="353" w:type="pct"/>
            <w:shd w:val="clear" w:color="auto" w:fill="auto"/>
          </w:tcPr>
          <w:p w14:paraId="39E11F81" w14:textId="77777777" w:rsidR="00E006EF" w:rsidRPr="008B3F38" w:rsidRDefault="00E006EF" w:rsidP="00025DC3">
            <w:pPr>
              <w:pStyle w:val="Tabletext"/>
              <w:rPr>
                <w:sz w:val="18"/>
                <w:szCs w:val="18"/>
                <w:lang w:val="ru-RU"/>
              </w:rPr>
            </w:pPr>
            <w:r w:rsidRPr="008B3F38">
              <w:rPr>
                <w:sz w:val="18"/>
                <w:szCs w:val="18"/>
                <w:lang w:val="ru-RU"/>
              </w:rPr>
              <w:t>2021 г.</w:t>
            </w:r>
            <w:r w:rsidRPr="008B3F38">
              <w:rPr>
                <w:sz w:val="18"/>
                <w:szCs w:val="18"/>
                <w:lang w:val="ru-RU"/>
              </w:rPr>
              <w:br/>
              <w:t>РЕК39</w:t>
            </w:r>
          </w:p>
        </w:tc>
        <w:tc>
          <w:tcPr>
            <w:tcW w:w="1410" w:type="pct"/>
            <w:gridSpan w:val="2"/>
            <w:shd w:val="clear" w:color="auto" w:fill="auto"/>
          </w:tcPr>
          <w:p w14:paraId="0C825C20" w14:textId="71B45DCF" w:rsidR="00E006EF" w:rsidRPr="008B3F38" w:rsidRDefault="00E006EF" w:rsidP="00025DC3">
            <w:pPr>
              <w:pStyle w:val="Tabletext"/>
              <w:rPr>
                <w:sz w:val="18"/>
                <w:szCs w:val="18"/>
                <w:lang w:val="ru-RU"/>
              </w:rPr>
            </w:pPr>
            <w:r w:rsidRPr="008B3F38">
              <w:rPr>
                <w:sz w:val="18"/>
                <w:szCs w:val="18"/>
                <w:lang w:val="ru-RU"/>
              </w:rPr>
              <w:t>Не реже одного раза в год проводить документально подтвержденный анализ прав доступа в отношении всех имеющихся пользователей операционной системы SAP</w:t>
            </w:r>
            <w:r w:rsidR="0008402A" w:rsidRPr="008B3F38">
              <w:rPr>
                <w:sz w:val="18"/>
                <w:szCs w:val="18"/>
                <w:lang w:val="ru-RU"/>
              </w:rPr>
              <w:t> </w:t>
            </w:r>
            <w:r w:rsidRPr="008B3F38">
              <w:rPr>
                <w:sz w:val="18"/>
                <w:szCs w:val="18"/>
                <w:lang w:val="ru-RU"/>
              </w:rPr>
              <w:t>ERP</w:t>
            </w:r>
            <w:r w:rsidR="0008402A" w:rsidRPr="008B3F38">
              <w:rPr>
                <w:sz w:val="18"/>
                <w:szCs w:val="18"/>
                <w:lang w:val="ru-RU"/>
              </w:rPr>
              <w:t> </w:t>
            </w:r>
            <w:r w:rsidRPr="008B3F38">
              <w:rPr>
                <w:sz w:val="18"/>
                <w:szCs w:val="18"/>
                <w:lang w:val="ru-RU"/>
              </w:rPr>
              <w:t>(010).</w:t>
            </w:r>
          </w:p>
        </w:tc>
        <w:tc>
          <w:tcPr>
            <w:tcW w:w="1658" w:type="pct"/>
            <w:shd w:val="clear" w:color="auto" w:fill="auto"/>
          </w:tcPr>
          <w:p w14:paraId="0014FD50" w14:textId="77777777" w:rsidR="00E006EF" w:rsidRPr="008B3F38" w:rsidRDefault="00E006EF" w:rsidP="00025DC3">
            <w:pPr>
              <w:pStyle w:val="Tabletext"/>
              <w:rPr>
                <w:sz w:val="18"/>
                <w:szCs w:val="18"/>
                <w:lang w:val="ru-RU"/>
              </w:rPr>
            </w:pPr>
            <w:r w:rsidRPr="008B3F38">
              <w:rPr>
                <w:sz w:val="18"/>
                <w:szCs w:val="18"/>
                <w:lang w:val="ru-RU"/>
              </w:rPr>
              <w:t>Обновленная информация по состоянию на май 2025 года: Совершенствование процесса осуществляется на постоянной основе. В 2023 году были привлечены внешние эксперты для проведения очередного тщательного всестороннего анализа системы ERP, включая права доступа. Следующий подобный анализ запланирован на 2025 год.</w:t>
            </w:r>
          </w:p>
          <w:p w14:paraId="404696B1" w14:textId="77777777" w:rsidR="00E006EF" w:rsidRPr="008B3F38" w:rsidRDefault="00E006EF" w:rsidP="00025DC3">
            <w:pPr>
              <w:pStyle w:val="Tabletext"/>
              <w:rPr>
                <w:sz w:val="18"/>
                <w:szCs w:val="18"/>
                <w:lang w:val="ru-RU"/>
              </w:rPr>
            </w:pPr>
            <w:r w:rsidRPr="008B3F38">
              <w:rPr>
                <w:sz w:val="18"/>
                <w:szCs w:val="18"/>
                <w:lang w:val="ru-RU"/>
              </w:rPr>
              <w:t>МСЭ рекомендует закрыть данную рекомендацию.</w:t>
            </w:r>
          </w:p>
        </w:tc>
        <w:tc>
          <w:tcPr>
            <w:tcW w:w="1139" w:type="pct"/>
            <w:gridSpan w:val="2"/>
            <w:shd w:val="clear" w:color="auto" w:fill="auto"/>
          </w:tcPr>
          <w:p w14:paraId="6F0FD9B8" w14:textId="70A29FCD" w:rsidR="00E006EF" w:rsidRPr="008B3F38" w:rsidRDefault="00E006EF" w:rsidP="00025DC3">
            <w:pPr>
              <w:pStyle w:val="Tabletext"/>
              <w:rPr>
                <w:sz w:val="18"/>
                <w:szCs w:val="18"/>
                <w:lang w:val="ru-RU"/>
              </w:rPr>
            </w:pPr>
            <w:r w:rsidRPr="008B3F38">
              <w:rPr>
                <w:sz w:val="18"/>
                <w:szCs w:val="18"/>
                <w:lang w:val="ru-RU"/>
              </w:rPr>
              <w:t>Последний ответ принят к сведению и признан обоснованным. Как</w:t>
            </w:r>
            <w:r w:rsidR="00FB03FC" w:rsidRPr="008B3F38">
              <w:rPr>
                <w:sz w:val="18"/>
                <w:szCs w:val="18"/>
                <w:lang w:val="ru-RU"/>
              </w:rPr>
              <w:t> </w:t>
            </w:r>
            <w:r w:rsidRPr="008B3F38">
              <w:rPr>
                <w:sz w:val="18"/>
                <w:szCs w:val="18"/>
                <w:lang w:val="ru-RU"/>
              </w:rPr>
              <w:t xml:space="preserve">отмечалось в </w:t>
            </w:r>
            <w:r w:rsidR="0008402A" w:rsidRPr="008B3F38">
              <w:rPr>
                <w:sz w:val="18"/>
                <w:szCs w:val="18"/>
                <w:lang w:val="ru-RU"/>
              </w:rPr>
              <w:t>Части </w:t>
            </w:r>
            <w:r w:rsidRPr="008B3F38">
              <w:rPr>
                <w:sz w:val="18"/>
                <w:szCs w:val="18"/>
                <w:lang w:val="ru-RU"/>
              </w:rPr>
              <w:t>2 настоящего отчета, мы рассмотрели общие механизмы, используемые руководством для обеспечения гарантий в отношении своей ИТ</w:t>
            </w:r>
            <w:r w:rsidR="0008402A" w:rsidRPr="008B3F38">
              <w:rPr>
                <w:rFonts w:ascii="Cambria Math" w:hAnsi="Cambria Math"/>
                <w:sz w:val="18"/>
                <w:szCs w:val="18"/>
                <w:lang w:val="ru-RU"/>
              </w:rPr>
              <w:t>‑</w:t>
            </w:r>
            <w:r w:rsidRPr="008B3F38">
              <w:rPr>
                <w:sz w:val="18"/>
                <w:szCs w:val="18"/>
                <w:lang w:val="ru-RU"/>
              </w:rPr>
              <w:t>среды, и подготовили соответствующие новые рекомендации, представленные в настоящем отчете.</w:t>
            </w:r>
          </w:p>
        </w:tc>
        <w:tc>
          <w:tcPr>
            <w:tcW w:w="440" w:type="pct"/>
            <w:shd w:val="clear" w:color="auto" w:fill="auto"/>
          </w:tcPr>
          <w:p w14:paraId="4E205204" w14:textId="77777777" w:rsidR="00E006EF" w:rsidRPr="008B3F38" w:rsidRDefault="00E006EF" w:rsidP="00025DC3">
            <w:pPr>
              <w:pStyle w:val="Tabletext"/>
              <w:ind w:right="-57"/>
              <w:rPr>
                <w:sz w:val="18"/>
                <w:szCs w:val="18"/>
                <w:lang w:val="ru-RU"/>
              </w:rPr>
            </w:pPr>
            <w:r w:rsidRPr="008B3F38">
              <w:rPr>
                <w:sz w:val="18"/>
                <w:szCs w:val="18"/>
                <w:lang w:val="ru-RU"/>
              </w:rPr>
              <w:t>Закрыта.</w:t>
            </w:r>
          </w:p>
        </w:tc>
      </w:tr>
      <w:tr w:rsidR="00E006EF" w:rsidRPr="008B3F38" w14:paraId="5A7B547B" w14:textId="77777777" w:rsidTr="008A2FDE">
        <w:trPr>
          <w:jc w:val="center"/>
        </w:trPr>
        <w:tc>
          <w:tcPr>
            <w:tcW w:w="353" w:type="pct"/>
            <w:shd w:val="clear" w:color="auto" w:fill="auto"/>
          </w:tcPr>
          <w:p w14:paraId="52305E50" w14:textId="77777777" w:rsidR="00E006EF" w:rsidRPr="008B3F38" w:rsidRDefault="00E006EF" w:rsidP="00025DC3">
            <w:pPr>
              <w:pStyle w:val="Tabletext"/>
              <w:rPr>
                <w:sz w:val="18"/>
                <w:szCs w:val="18"/>
                <w:lang w:val="ru-RU"/>
              </w:rPr>
            </w:pPr>
            <w:r w:rsidRPr="008B3F38">
              <w:rPr>
                <w:sz w:val="18"/>
                <w:szCs w:val="18"/>
                <w:lang w:val="ru-RU"/>
              </w:rPr>
              <w:t>2021 г.</w:t>
            </w:r>
            <w:r w:rsidRPr="008B3F38">
              <w:rPr>
                <w:sz w:val="18"/>
                <w:szCs w:val="18"/>
                <w:lang w:val="ru-RU"/>
              </w:rPr>
              <w:br/>
              <w:t>РЕК40</w:t>
            </w:r>
          </w:p>
        </w:tc>
        <w:tc>
          <w:tcPr>
            <w:tcW w:w="1410" w:type="pct"/>
            <w:gridSpan w:val="2"/>
            <w:shd w:val="clear" w:color="auto" w:fill="auto"/>
          </w:tcPr>
          <w:p w14:paraId="249EF21D" w14:textId="77777777" w:rsidR="00E006EF" w:rsidRPr="008B3F38" w:rsidRDefault="00E006EF" w:rsidP="00025DC3">
            <w:pPr>
              <w:pStyle w:val="Tabletext"/>
              <w:rPr>
                <w:sz w:val="18"/>
                <w:szCs w:val="18"/>
                <w:lang w:val="ru-RU"/>
              </w:rPr>
            </w:pPr>
            <w:r w:rsidRPr="008B3F38">
              <w:rPr>
                <w:sz w:val="18"/>
                <w:szCs w:val="18"/>
                <w:lang w:val="ru-RU"/>
              </w:rPr>
              <w:t>В течение финансового года на периодической основе проводить документально подтвержденный обзор деятельности, осуществляемой "суперпользователями", путем мониторинга журнала регистрации.</w:t>
            </w:r>
          </w:p>
        </w:tc>
        <w:tc>
          <w:tcPr>
            <w:tcW w:w="1658" w:type="pct"/>
            <w:shd w:val="clear" w:color="auto" w:fill="auto"/>
          </w:tcPr>
          <w:p w14:paraId="00BB0E38" w14:textId="77777777" w:rsidR="00E006EF" w:rsidRPr="008B3F38" w:rsidRDefault="00E006EF" w:rsidP="00025DC3">
            <w:pPr>
              <w:pStyle w:val="Tabletext"/>
              <w:rPr>
                <w:sz w:val="18"/>
                <w:szCs w:val="18"/>
                <w:lang w:val="ru-RU"/>
              </w:rPr>
            </w:pPr>
            <w:r w:rsidRPr="008B3F38">
              <w:rPr>
                <w:sz w:val="18"/>
                <w:szCs w:val="18"/>
                <w:lang w:val="ru-RU"/>
              </w:rPr>
              <w:t>Обновленная информация по состоянию на май 2025 года: Совершенствование процесса осуществляется на постоянной основе. В 2023 году были привлечены внешние эксперты для проведения очередного тщательного всестороннего анализа системы ERP, включая права доступа. Следующий подобный анализ запланирован на 2025 год.</w:t>
            </w:r>
          </w:p>
          <w:p w14:paraId="231D18FE" w14:textId="1605FDA2" w:rsidR="00E006EF" w:rsidRPr="008B3F38" w:rsidRDefault="00E006EF" w:rsidP="00025DC3">
            <w:pPr>
              <w:pStyle w:val="Tabletext"/>
              <w:rPr>
                <w:sz w:val="18"/>
                <w:szCs w:val="18"/>
                <w:lang w:val="ru-RU"/>
              </w:rPr>
            </w:pPr>
            <w:r w:rsidRPr="008B3F38">
              <w:rPr>
                <w:sz w:val="18"/>
                <w:szCs w:val="18"/>
                <w:lang w:val="ru-RU"/>
              </w:rPr>
              <w:t>МСЭ рекомендует продолжить выполнение данной</w:t>
            </w:r>
            <w:r w:rsidR="00FB03FC" w:rsidRPr="008B3F38">
              <w:rPr>
                <w:sz w:val="18"/>
                <w:szCs w:val="18"/>
                <w:lang w:val="ru-RU"/>
              </w:rPr>
              <w:t> </w:t>
            </w:r>
            <w:r w:rsidRPr="008B3F38">
              <w:rPr>
                <w:sz w:val="18"/>
                <w:szCs w:val="18"/>
                <w:lang w:val="ru-RU"/>
              </w:rPr>
              <w:t>рекомендации.</w:t>
            </w:r>
          </w:p>
        </w:tc>
        <w:tc>
          <w:tcPr>
            <w:tcW w:w="1139" w:type="pct"/>
            <w:gridSpan w:val="2"/>
            <w:shd w:val="clear" w:color="auto" w:fill="auto"/>
          </w:tcPr>
          <w:p w14:paraId="2E5486EB" w14:textId="70F25EB9" w:rsidR="00E006EF" w:rsidRPr="008B3F38" w:rsidRDefault="00E006EF" w:rsidP="00025DC3">
            <w:pPr>
              <w:pStyle w:val="Tabletext"/>
              <w:rPr>
                <w:sz w:val="18"/>
                <w:szCs w:val="18"/>
                <w:lang w:val="ru-RU"/>
              </w:rPr>
            </w:pPr>
            <w:r w:rsidRPr="008B3F38">
              <w:rPr>
                <w:sz w:val="18"/>
                <w:szCs w:val="18"/>
                <w:lang w:val="ru-RU"/>
              </w:rPr>
              <w:t>Последний ответ принят к сведению и признан обоснованным. Как</w:t>
            </w:r>
            <w:r w:rsidR="00FB03FC" w:rsidRPr="008B3F38">
              <w:rPr>
                <w:sz w:val="18"/>
                <w:szCs w:val="18"/>
                <w:lang w:val="ru-RU"/>
              </w:rPr>
              <w:t> </w:t>
            </w:r>
            <w:r w:rsidRPr="008B3F38">
              <w:rPr>
                <w:sz w:val="18"/>
                <w:szCs w:val="18"/>
                <w:lang w:val="ru-RU"/>
              </w:rPr>
              <w:t xml:space="preserve">отмечалось в </w:t>
            </w:r>
            <w:r w:rsidR="0008402A" w:rsidRPr="008B3F38">
              <w:rPr>
                <w:sz w:val="18"/>
                <w:szCs w:val="18"/>
                <w:lang w:val="ru-RU"/>
              </w:rPr>
              <w:t>Части </w:t>
            </w:r>
            <w:r w:rsidRPr="008B3F38">
              <w:rPr>
                <w:sz w:val="18"/>
                <w:szCs w:val="18"/>
                <w:lang w:val="ru-RU"/>
              </w:rPr>
              <w:t>2 настоящего отчета, мы рассмотрели общие механизмы, используемые руководством для обеспечения гарантий в отношении своей ИТ</w:t>
            </w:r>
            <w:r w:rsidR="0008402A" w:rsidRPr="008B3F38">
              <w:rPr>
                <w:rFonts w:ascii="Cambria Math" w:hAnsi="Cambria Math"/>
                <w:sz w:val="18"/>
                <w:szCs w:val="18"/>
                <w:lang w:val="ru-RU"/>
              </w:rPr>
              <w:t>‑</w:t>
            </w:r>
            <w:r w:rsidRPr="008B3F38">
              <w:rPr>
                <w:sz w:val="18"/>
                <w:szCs w:val="18"/>
                <w:lang w:val="ru-RU"/>
              </w:rPr>
              <w:t>среды, и подготовили соответствующие новые рекомендации, представленные в настоящем отчете.</w:t>
            </w:r>
          </w:p>
        </w:tc>
        <w:tc>
          <w:tcPr>
            <w:tcW w:w="440" w:type="pct"/>
            <w:shd w:val="clear" w:color="auto" w:fill="auto"/>
          </w:tcPr>
          <w:p w14:paraId="7BC89EA7" w14:textId="77777777" w:rsidR="00E006EF" w:rsidRPr="008B3F38" w:rsidRDefault="00E006EF" w:rsidP="00025DC3">
            <w:pPr>
              <w:pStyle w:val="Tabletext"/>
              <w:ind w:right="-57"/>
              <w:rPr>
                <w:sz w:val="18"/>
                <w:szCs w:val="18"/>
                <w:lang w:val="ru-RU"/>
              </w:rPr>
            </w:pPr>
            <w:r w:rsidRPr="008B3F38">
              <w:rPr>
                <w:sz w:val="18"/>
                <w:szCs w:val="18"/>
                <w:lang w:val="ru-RU"/>
              </w:rPr>
              <w:t>Закрыта.</w:t>
            </w:r>
          </w:p>
        </w:tc>
      </w:tr>
      <w:tr w:rsidR="00E006EF" w:rsidRPr="008B3F38" w14:paraId="1047CE2E" w14:textId="77777777" w:rsidTr="008A2FDE">
        <w:trPr>
          <w:jc w:val="center"/>
        </w:trPr>
        <w:tc>
          <w:tcPr>
            <w:tcW w:w="353" w:type="pct"/>
            <w:shd w:val="clear" w:color="auto" w:fill="auto"/>
          </w:tcPr>
          <w:p w14:paraId="4864D2D1" w14:textId="77777777" w:rsidR="00E006EF" w:rsidRPr="008B3F38" w:rsidRDefault="00E006EF" w:rsidP="00025DC3">
            <w:pPr>
              <w:pStyle w:val="Tabletext"/>
              <w:rPr>
                <w:sz w:val="18"/>
                <w:szCs w:val="18"/>
                <w:lang w:val="ru-RU"/>
              </w:rPr>
            </w:pPr>
            <w:r w:rsidRPr="008B3F38">
              <w:rPr>
                <w:sz w:val="18"/>
                <w:szCs w:val="18"/>
                <w:lang w:val="ru-RU"/>
              </w:rPr>
              <w:t>2021 г.</w:t>
            </w:r>
            <w:r w:rsidRPr="008B3F38">
              <w:rPr>
                <w:sz w:val="18"/>
                <w:szCs w:val="18"/>
                <w:lang w:val="ru-RU"/>
              </w:rPr>
              <w:br/>
              <w:t>РЕК41</w:t>
            </w:r>
          </w:p>
        </w:tc>
        <w:tc>
          <w:tcPr>
            <w:tcW w:w="1410" w:type="pct"/>
            <w:gridSpan w:val="2"/>
            <w:shd w:val="clear" w:color="auto" w:fill="auto"/>
          </w:tcPr>
          <w:p w14:paraId="5EF8777D" w14:textId="1D28E076" w:rsidR="00E006EF" w:rsidRPr="008B3F38" w:rsidRDefault="00E006EF" w:rsidP="00025DC3">
            <w:pPr>
              <w:pStyle w:val="Tabletext"/>
              <w:rPr>
                <w:sz w:val="18"/>
                <w:szCs w:val="18"/>
                <w:lang w:val="ru-RU"/>
              </w:rPr>
            </w:pPr>
            <w:r w:rsidRPr="008B3F38">
              <w:rPr>
                <w:sz w:val="18"/>
                <w:szCs w:val="18"/>
                <w:lang w:val="ru-RU"/>
              </w:rPr>
              <w:t>Руководителям, отвечающим за рабочие процессы МСЭ, проводить документально подтвержденные периодические обзоры функциональных матриц SAP ERP (010) по меньшей мере один раз в год.</w:t>
            </w:r>
          </w:p>
        </w:tc>
        <w:tc>
          <w:tcPr>
            <w:tcW w:w="1658" w:type="pct"/>
            <w:shd w:val="clear" w:color="auto" w:fill="auto"/>
          </w:tcPr>
          <w:p w14:paraId="7D0CCEE6" w14:textId="77777777" w:rsidR="00E006EF" w:rsidRPr="008B3F38" w:rsidRDefault="00E006EF" w:rsidP="00025DC3">
            <w:pPr>
              <w:pStyle w:val="Tabletext"/>
              <w:rPr>
                <w:sz w:val="18"/>
                <w:szCs w:val="18"/>
                <w:lang w:val="ru-RU"/>
              </w:rPr>
            </w:pPr>
            <w:r w:rsidRPr="008B3F38">
              <w:rPr>
                <w:sz w:val="18"/>
                <w:szCs w:val="18"/>
                <w:lang w:val="ru-RU"/>
              </w:rPr>
              <w:t>Обновленная информация по состоянию на май 2025 года: Совершенствование процесса осуществляется на постоянной основе. В 2023 году были привлечены внешние эксперты для проведения очередного тщательного всестороннего анализа системы ERP, включая права доступа. Следующий подобный анализ запланирован на 2025 год.</w:t>
            </w:r>
          </w:p>
          <w:p w14:paraId="6F6A3B3F" w14:textId="77777777" w:rsidR="00E006EF" w:rsidRPr="008B3F38" w:rsidRDefault="00E006EF" w:rsidP="00025DC3">
            <w:pPr>
              <w:pStyle w:val="Tabletext"/>
              <w:rPr>
                <w:sz w:val="18"/>
                <w:szCs w:val="18"/>
                <w:lang w:val="ru-RU"/>
              </w:rPr>
            </w:pPr>
            <w:r w:rsidRPr="008B3F38">
              <w:rPr>
                <w:sz w:val="18"/>
                <w:szCs w:val="18"/>
                <w:lang w:val="ru-RU"/>
              </w:rPr>
              <w:t>МСЭ рекомендует закрыть данную рекомендацию.</w:t>
            </w:r>
          </w:p>
        </w:tc>
        <w:tc>
          <w:tcPr>
            <w:tcW w:w="1139" w:type="pct"/>
            <w:gridSpan w:val="2"/>
            <w:shd w:val="clear" w:color="auto" w:fill="auto"/>
          </w:tcPr>
          <w:p w14:paraId="596FDD17" w14:textId="2C1025A8" w:rsidR="00E006EF" w:rsidRPr="008B3F38" w:rsidRDefault="00E006EF" w:rsidP="00025DC3">
            <w:pPr>
              <w:pStyle w:val="Tabletext"/>
              <w:rPr>
                <w:sz w:val="18"/>
                <w:szCs w:val="18"/>
                <w:lang w:val="ru-RU"/>
              </w:rPr>
            </w:pPr>
            <w:r w:rsidRPr="008B3F38">
              <w:rPr>
                <w:sz w:val="18"/>
                <w:szCs w:val="18"/>
                <w:lang w:val="ru-RU"/>
              </w:rPr>
              <w:t>Последний ответ принят к сведению и признан обоснованным. Как</w:t>
            </w:r>
            <w:r w:rsidR="00FB03FC" w:rsidRPr="008B3F38">
              <w:rPr>
                <w:sz w:val="18"/>
                <w:szCs w:val="18"/>
                <w:lang w:val="ru-RU"/>
              </w:rPr>
              <w:t> </w:t>
            </w:r>
            <w:r w:rsidRPr="008B3F38">
              <w:rPr>
                <w:sz w:val="18"/>
                <w:szCs w:val="18"/>
                <w:lang w:val="ru-RU"/>
              </w:rPr>
              <w:t xml:space="preserve">отмечалось в </w:t>
            </w:r>
            <w:r w:rsidR="0008402A" w:rsidRPr="008B3F38">
              <w:rPr>
                <w:sz w:val="18"/>
                <w:szCs w:val="18"/>
                <w:lang w:val="ru-RU"/>
              </w:rPr>
              <w:t>Части </w:t>
            </w:r>
            <w:r w:rsidRPr="008B3F38">
              <w:rPr>
                <w:sz w:val="18"/>
                <w:szCs w:val="18"/>
                <w:lang w:val="ru-RU"/>
              </w:rPr>
              <w:t>2 настоящего отчета, мы рассмотрели общие механизмы, используемые руководством для обеспечения гарантий в отношении своей ИТ</w:t>
            </w:r>
            <w:r w:rsidR="007E5FDA" w:rsidRPr="008B3F38">
              <w:rPr>
                <w:rFonts w:ascii="Cambria Math" w:hAnsi="Cambria Math"/>
                <w:sz w:val="18"/>
                <w:szCs w:val="18"/>
                <w:lang w:val="ru-RU"/>
              </w:rPr>
              <w:t>‑</w:t>
            </w:r>
            <w:r w:rsidRPr="008B3F38">
              <w:rPr>
                <w:sz w:val="18"/>
                <w:szCs w:val="18"/>
                <w:lang w:val="ru-RU"/>
              </w:rPr>
              <w:t>среды, и подготовили соответствующие новые рекомендации, представленные в настоящем отчете.</w:t>
            </w:r>
          </w:p>
        </w:tc>
        <w:tc>
          <w:tcPr>
            <w:tcW w:w="440" w:type="pct"/>
            <w:shd w:val="clear" w:color="auto" w:fill="auto"/>
          </w:tcPr>
          <w:p w14:paraId="3381A947" w14:textId="77777777" w:rsidR="00E006EF" w:rsidRPr="008B3F38" w:rsidRDefault="00E006EF" w:rsidP="00025DC3">
            <w:pPr>
              <w:pStyle w:val="Tabletext"/>
              <w:ind w:right="-57"/>
              <w:rPr>
                <w:sz w:val="18"/>
                <w:szCs w:val="18"/>
                <w:lang w:val="ru-RU"/>
              </w:rPr>
            </w:pPr>
            <w:r w:rsidRPr="008B3F38">
              <w:rPr>
                <w:sz w:val="18"/>
                <w:szCs w:val="18"/>
                <w:lang w:val="ru-RU"/>
              </w:rPr>
              <w:t>Закрыта.</w:t>
            </w:r>
          </w:p>
        </w:tc>
      </w:tr>
      <w:tr w:rsidR="00E006EF" w:rsidRPr="008B3F38" w14:paraId="160E5AB1" w14:textId="77777777" w:rsidTr="008A2FDE">
        <w:trPr>
          <w:jc w:val="center"/>
        </w:trPr>
        <w:tc>
          <w:tcPr>
            <w:tcW w:w="353" w:type="pct"/>
            <w:shd w:val="clear" w:color="auto" w:fill="auto"/>
          </w:tcPr>
          <w:p w14:paraId="2DBD75D5" w14:textId="77777777" w:rsidR="00E006EF" w:rsidRPr="008B3F38" w:rsidRDefault="00E006EF" w:rsidP="00025DC3">
            <w:pPr>
              <w:pStyle w:val="Tabletext"/>
              <w:rPr>
                <w:sz w:val="18"/>
                <w:szCs w:val="18"/>
                <w:lang w:val="ru-RU"/>
              </w:rPr>
            </w:pPr>
            <w:r w:rsidRPr="008B3F38">
              <w:rPr>
                <w:sz w:val="18"/>
                <w:szCs w:val="18"/>
                <w:lang w:val="ru-RU"/>
              </w:rPr>
              <w:lastRenderedPageBreak/>
              <w:t>2021 г.</w:t>
            </w:r>
            <w:r w:rsidRPr="008B3F38">
              <w:rPr>
                <w:sz w:val="18"/>
                <w:szCs w:val="18"/>
                <w:lang w:val="ru-RU"/>
              </w:rPr>
              <w:br/>
              <w:t>РЕК42</w:t>
            </w:r>
          </w:p>
        </w:tc>
        <w:tc>
          <w:tcPr>
            <w:tcW w:w="1410" w:type="pct"/>
            <w:gridSpan w:val="2"/>
            <w:shd w:val="clear" w:color="auto" w:fill="auto"/>
          </w:tcPr>
          <w:p w14:paraId="585E2BEB" w14:textId="77777777" w:rsidR="00E006EF" w:rsidRPr="008B3F38" w:rsidRDefault="00E006EF" w:rsidP="00025DC3">
            <w:pPr>
              <w:pStyle w:val="Tabletext"/>
              <w:rPr>
                <w:sz w:val="18"/>
                <w:szCs w:val="18"/>
                <w:lang w:val="ru-RU"/>
              </w:rPr>
            </w:pPr>
            <w:r w:rsidRPr="008B3F38">
              <w:rPr>
                <w:sz w:val="18"/>
                <w:szCs w:val="18"/>
                <w:lang w:val="ru-RU"/>
              </w:rPr>
              <w:t>МСЭ следует разработать процедуру управления событиями на этапе открытия клиента SAP ERP (010), для определения надлежащего процесса авторизации и обеспечения хранения соответствующей документации. Наряду с этим мы рекомендуем при открытии клиента установить параметр "CCCORACTIV" в значение "1", чтобы иметь возможность отслеживать изменения в таблице E070.</w:t>
            </w:r>
          </w:p>
        </w:tc>
        <w:tc>
          <w:tcPr>
            <w:tcW w:w="1658" w:type="pct"/>
            <w:shd w:val="clear" w:color="auto" w:fill="auto"/>
          </w:tcPr>
          <w:p w14:paraId="2FC7B169" w14:textId="77777777" w:rsidR="00E006EF" w:rsidRPr="008B3F38" w:rsidRDefault="00E006EF" w:rsidP="00025DC3">
            <w:pPr>
              <w:pStyle w:val="Tabletext"/>
              <w:rPr>
                <w:sz w:val="18"/>
                <w:szCs w:val="18"/>
                <w:lang w:val="ru-RU"/>
              </w:rPr>
            </w:pPr>
            <w:r w:rsidRPr="008B3F38">
              <w:rPr>
                <w:sz w:val="18"/>
                <w:szCs w:val="18"/>
                <w:lang w:val="ru-RU"/>
              </w:rPr>
              <w:t>Обновленная информация по состоянию на май 2024 года: Разработана проводимая вручную процедура для повышения эффективности рассмотрения таких запросов. Дальнейшее усовершенствование потребует приобретения и внедрения модуля GRC SAP, что позволит автоматизировать процесс рассмотрения.</w:t>
            </w:r>
          </w:p>
          <w:p w14:paraId="1AEDD739" w14:textId="02561824" w:rsidR="00E006EF" w:rsidRPr="008B3F38" w:rsidRDefault="00E006EF" w:rsidP="00025DC3">
            <w:pPr>
              <w:pStyle w:val="Tabletext"/>
              <w:rPr>
                <w:sz w:val="18"/>
                <w:szCs w:val="18"/>
                <w:lang w:val="ru-RU"/>
              </w:rPr>
            </w:pPr>
            <w:r w:rsidRPr="008B3F38">
              <w:rPr>
                <w:sz w:val="18"/>
                <w:szCs w:val="18"/>
                <w:lang w:val="ru-RU"/>
              </w:rPr>
              <w:t>МСЭ рекомендует закрыть данную рекомендацию.</w:t>
            </w:r>
          </w:p>
        </w:tc>
        <w:tc>
          <w:tcPr>
            <w:tcW w:w="1139" w:type="pct"/>
            <w:gridSpan w:val="2"/>
            <w:shd w:val="clear" w:color="auto" w:fill="auto"/>
          </w:tcPr>
          <w:p w14:paraId="31666386" w14:textId="77777777" w:rsidR="00E006EF" w:rsidRPr="008B3F38" w:rsidRDefault="00E006EF" w:rsidP="00025DC3">
            <w:pPr>
              <w:pStyle w:val="Tabletext"/>
              <w:rPr>
                <w:sz w:val="18"/>
                <w:szCs w:val="18"/>
                <w:lang w:val="ru-RU"/>
              </w:rPr>
            </w:pPr>
            <w:r w:rsidRPr="008B3F38">
              <w:rPr>
                <w:sz w:val="18"/>
                <w:szCs w:val="18"/>
                <w:lang w:val="ru-RU"/>
              </w:rPr>
              <w:t>Последний ответ принят к сведению и признан обоснованным. Рекомендация закрыта.</w:t>
            </w:r>
          </w:p>
        </w:tc>
        <w:tc>
          <w:tcPr>
            <w:tcW w:w="440" w:type="pct"/>
            <w:shd w:val="clear" w:color="auto" w:fill="auto"/>
          </w:tcPr>
          <w:p w14:paraId="4004DFE6" w14:textId="77777777" w:rsidR="00E006EF" w:rsidRPr="008B3F38" w:rsidRDefault="00E006EF" w:rsidP="00025DC3">
            <w:pPr>
              <w:pStyle w:val="Tabletext"/>
              <w:ind w:right="-57"/>
              <w:rPr>
                <w:sz w:val="18"/>
                <w:szCs w:val="18"/>
                <w:lang w:val="ru-RU"/>
              </w:rPr>
            </w:pPr>
            <w:r w:rsidRPr="008B3F38">
              <w:rPr>
                <w:sz w:val="18"/>
                <w:szCs w:val="18"/>
                <w:lang w:val="ru-RU"/>
              </w:rPr>
              <w:t>Закрыта.</w:t>
            </w:r>
          </w:p>
        </w:tc>
      </w:tr>
      <w:tr w:rsidR="00E006EF" w:rsidRPr="008B3F38" w14:paraId="51F01E31" w14:textId="77777777" w:rsidTr="008A2FDE">
        <w:trPr>
          <w:jc w:val="center"/>
        </w:trPr>
        <w:tc>
          <w:tcPr>
            <w:tcW w:w="353" w:type="pct"/>
            <w:shd w:val="clear" w:color="auto" w:fill="auto"/>
          </w:tcPr>
          <w:p w14:paraId="3FB9ED80" w14:textId="77777777" w:rsidR="00E006EF" w:rsidRPr="008B3F38" w:rsidRDefault="00E006EF" w:rsidP="00025DC3">
            <w:pPr>
              <w:pStyle w:val="Tabletext"/>
              <w:rPr>
                <w:sz w:val="18"/>
                <w:szCs w:val="18"/>
                <w:lang w:val="ru-RU"/>
              </w:rPr>
            </w:pPr>
            <w:r w:rsidRPr="008B3F38">
              <w:rPr>
                <w:sz w:val="18"/>
                <w:szCs w:val="18"/>
                <w:lang w:val="ru-RU"/>
              </w:rPr>
              <w:t>2021 г.</w:t>
            </w:r>
            <w:r w:rsidRPr="008B3F38">
              <w:rPr>
                <w:sz w:val="18"/>
                <w:szCs w:val="18"/>
                <w:lang w:val="ru-RU"/>
              </w:rPr>
              <w:br/>
              <w:t>РЕК43</w:t>
            </w:r>
          </w:p>
        </w:tc>
        <w:tc>
          <w:tcPr>
            <w:tcW w:w="1410" w:type="pct"/>
            <w:gridSpan w:val="2"/>
            <w:shd w:val="clear" w:color="auto" w:fill="auto"/>
          </w:tcPr>
          <w:p w14:paraId="5AD91FFD" w14:textId="3BE8C577" w:rsidR="00E006EF" w:rsidRPr="008B3F38" w:rsidRDefault="00E006EF" w:rsidP="00025DC3">
            <w:pPr>
              <w:pStyle w:val="Tabletext"/>
              <w:rPr>
                <w:sz w:val="18"/>
                <w:szCs w:val="18"/>
                <w:lang w:val="ru-RU"/>
              </w:rPr>
            </w:pPr>
            <w:r w:rsidRPr="008B3F38">
              <w:rPr>
                <w:sz w:val="18"/>
                <w:szCs w:val="18"/>
                <w:lang w:val="ru-RU"/>
              </w:rPr>
              <w:t>МСЭ следует укрепить безопасность операционной системы SAP ERP (010), установив следующие параметры в соответствии с передовым опытом в области ИТ:</w:t>
            </w:r>
          </w:p>
          <w:p w14:paraId="56AD1A9B" w14:textId="0FFF46B4" w:rsidR="00E006EF" w:rsidRPr="008B3F38" w:rsidRDefault="00E006EF" w:rsidP="00025DC3">
            <w:pPr>
              <w:pStyle w:val="Tabletext"/>
              <w:ind w:left="284" w:hanging="284"/>
              <w:rPr>
                <w:sz w:val="18"/>
                <w:szCs w:val="18"/>
                <w:lang w:val="ru-RU"/>
              </w:rPr>
            </w:pPr>
            <w:r w:rsidRPr="008B3F38">
              <w:rPr>
                <w:sz w:val="18"/>
                <w:szCs w:val="18"/>
                <w:lang w:val="ru-RU"/>
              </w:rPr>
              <w:t>1</w:t>
            </w:r>
            <w:r w:rsidR="0008402A" w:rsidRPr="008B3F38">
              <w:rPr>
                <w:sz w:val="18"/>
                <w:szCs w:val="18"/>
                <w:lang w:val="ru-RU"/>
              </w:rPr>
              <w:t>)</w:t>
            </w:r>
            <w:r w:rsidRPr="008B3F38">
              <w:rPr>
                <w:sz w:val="18"/>
                <w:szCs w:val="18"/>
                <w:lang w:val="ru-RU"/>
              </w:rPr>
              <w:tab/>
              <w:t>максимальный срок действия пароля (BP:</w:t>
            </w:r>
            <w:r w:rsidR="0008402A" w:rsidRPr="008B3F38">
              <w:rPr>
                <w:sz w:val="18"/>
                <w:szCs w:val="18"/>
                <w:lang w:val="ru-RU"/>
              </w:rPr>
              <w:t> </w:t>
            </w:r>
            <w:r w:rsidRPr="008B3F38">
              <w:rPr>
                <w:sz w:val="18"/>
                <w:szCs w:val="18"/>
                <w:lang w:val="ru-RU"/>
              </w:rPr>
              <w:t>90</w:t>
            </w:r>
            <w:r w:rsidR="0008402A" w:rsidRPr="008B3F38">
              <w:rPr>
                <w:sz w:val="18"/>
                <w:szCs w:val="18"/>
                <w:lang w:val="ru-RU"/>
              </w:rPr>
              <w:t> </w:t>
            </w:r>
            <w:r w:rsidRPr="008B3F38">
              <w:rPr>
                <w:sz w:val="18"/>
                <w:szCs w:val="18"/>
                <w:lang w:val="ru-RU"/>
              </w:rPr>
              <w:t>или меньше, установить для категории пользователей "все пользователи");</w:t>
            </w:r>
          </w:p>
          <w:p w14:paraId="49E28326" w14:textId="6B80BC76" w:rsidR="00E006EF" w:rsidRPr="008B3F38" w:rsidRDefault="00E006EF" w:rsidP="00025DC3">
            <w:pPr>
              <w:pStyle w:val="Tabletext"/>
              <w:ind w:left="284" w:hanging="284"/>
              <w:rPr>
                <w:sz w:val="18"/>
                <w:szCs w:val="18"/>
                <w:lang w:val="ru-RU"/>
              </w:rPr>
            </w:pPr>
            <w:r w:rsidRPr="008B3F38">
              <w:rPr>
                <w:sz w:val="18"/>
                <w:szCs w:val="18"/>
                <w:lang w:val="ru-RU"/>
              </w:rPr>
              <w:t>2</w:t>
            </w:r>
            <w:r w:rsidR="0008402A" w:rsidRPr="008B3F38">
              <w:rPr>
                <w:sz w:val="18"/>
                <w:szCs w:val="18"/>
                <w:lang w:val="ru-RU"/>
              </w:rPr>
              <w:t>)</w:t>
            </w:r>
            <w:r w:rsidRPr="008B3F38">
              <w:rPr>
                <w:sz w:val="18"/>
                <w:szCs w:val="18"/>
                <w:lang w:val="ru-RU"/>
              </w:rPr>
              <w:tab/>
              <w:t>минимальный срок действия пароля (BP:</w:t>
            </w:r>
            <w:r w:rsidR="0008402A" w:rsidRPr="008B3F38">
              <w:rPr>
                <w:sz w:val="18"/>
                <w:szCs w:val="18"/>
                <w:lang w:val="ru-RU"/>
              </w:rPr>
              <w:t> </w:t>
            </w:r>
            <w:r w:rsidRPr="008B3F38">
              <w:rPr>
                <w:sz w:val="18"/>
                <w:szCs w:val="18"/>
                <w:lang w:val="ru-RU"/>
              </w:rPr>
              <w:t>1</w:t>
            </w:r>
            <w:r w:rsidR="0008402A" w:rsidRPr="008B3F38">
              <w:rPr>
                <w:sz w:val="18"/>
                <w:szCs w:val="18"/>
                <w:lang w:val="ru-RU"/>
              </w:rPr>
              <w:t> </w:t>
            </w:r>
            <w:r w:rsidRPr="008B3F38">
              <w:rPr>
                <w:sz w:val="18"/>
                <w:szCs w:val="18"/>
                <w:lang w:val="ru-RU"/>
              </w:rPr>
              <w:t>или выше, установить для категории пользователей "все пользователи");</w:t>
            </w:r>
          </w:p>
          <w:p w14:paraId="11CE36A7" w14:textId="34F2CE0E" w:rsidR="00E006EF" w:rsidRPr="008B3F38" w:rsidRDefault="00E006EF" w:rsidP="00025DC3">
            <w:pPr>
              <w:pStyle w:val="Tabletext"/>
              <w:ind w:left="284" w:hanging="284"/>
              <w:rPr>
                <w:sz w:val="18"/>
                <w:szCs w:val="18"/>
                <w:lang w:val="ru-RU"/>
              </w:rPr>
            </w:pPr>
            <w:r w:rsidRPr="008B3F38">
              <w:rPr>
                <w:sz w:val="18"/>
                <w:szCs w:val="18"/>
                <w:lang w:val="ru-RU"/>
              </w:rPr>
              <w:t>3</w:t>
            </w:r>
            <w:r w:rsidR="0008402A" w:rsidRPr="008B3F38">
              <w:rPr>
                <w:sz w:val="18"/>
                <w:szCs w:val="18"/>
                <w:lang w:val="ru-RU"/>
              </w:rPr>
              <w:t>)</w:t>
            </w:r>
            <w:r w:rsidRPr="008B3F38">
              <w:rPr>
                <w:sz w:val="18"/>
                <w:szCs w:val="18"/>
                <w:lang w:val="ru-RU"/>
              </w:rPr>
              <w:tab/>
              <w:t>пороговое значение блокировки учетной записи (BP: 3−5 попыток входа; установить для категорий пользователей "админ" и "все</w:t>
            </w:r>
            <w:r w:rsidR="0008402A" w:rsidRPr="008B3F38">
              <w:rPr>
                <w:sz w:val="18"/>
                <w:szCs w:val="18"/>
                <w:lang w:val="ru-RU"/>
              </w:rPr>
              <w:t> </w:t>
            </w:r>
            <w:r w:rsidRPr="008B3F38">
              <w:rPr>
                <w:sz w:val="18"/>
                <w:szCs w:val="18"/>
                <w:lang w:val="ru-RU"/>
              </w:rPr>
              <w:t>пользователи");</w:t>
            </w:r>
          </w:p>
          <w:p w14:paraId="2F136316" w14:textId="2D7DA6B2" w:rsidR="00E006EF" w:rsidRPr="008B3F38" w:rsidRDefault="00E006EF" w:rsidP="00025DC3">
            <w:pPr>
              <w:pStyle w:val="Tabletext"/>
              <w:ind w:left="284" w:hanging="284"/>
              <w:rPr>
                <w:sz w:val="18"/>
                <w:szCs w:val="18"/>
                <w:lang w:val="ru-RU"/>
              </w:rPr>
            </w:pPr>
            <w:r w:rsidRPr="008B3F38">
              <w:rPr>
                <w:sz w:val="18"/>
                <w:szCs w:val="18"/>
                <w:lang w:val="ru-RU"/>
              </w:rPr>
              <w:t>4</w:t>
            </w:r>
            <w:r w:rsidR="0008402A" w:rsidRPr="008B3F38">
              <w:rPr>
                <w:sz w:val="18"/>
                <w:szCs w:val="18"/>
                <w:lang w:val="ru-RU"/>
              </w:rPr>
              <w:t>)</w:t>
            </w:r>
            <w:r w:rsidRPr="008B3F38">
              <w:rPr>
                <w:sz w:val="18"/>
                <w:szCs w:val="18"/>
                <w:lang w:val="ru-RU"/>
              </w:rPr>
              <w:tab/>
              <w:t>информирование о блокировки учетной записи (BP: 0, ноль; установить для категорий пользователей "админ" и "все</w:t>
            </w:r>
            <w:r w:rsidR="0008402A" w:rsidRPr="008B3F38">
              <w:rPr>
                <w:sz w:val="18"/>
                <w:szCs w:val="18"/>
                <w:lang w:val="ru-RU"/>
              </w:rPr>
              <w:t> </w:t>
            </w:r>
            <w:r w:rsidRPr="008B3F38">
              <w:rPr>
                <w:sz w:val="18"/>
                <w:szCs w:val="18"/>
                <w:lang w:val="ru-RU"/>
              </w:rPr>
              <w:t>пользователи");</w:t>
            </w:r>
          </w:p>
          <w:p w14:paraId="15CD023C" w14:textId="2822B23D" w:rsidR="00E006EF" w:rsidRPr="008B3F38" w:rsidRDefault="00E006EF" w:rsidP="00025DC3">
            <w:pPr>
              <w:pStyle w:val="Tabletext"/>
              <w:ind w:left="284" w:hanging="284"/>
              <w:rPr>
                <w:sz w:val="18"/>
                <w:szCs w:val="18"/>
                <w:lang w:val="ru-RU"/>
              </w:rPr>
            </w:pPr>
            <w:r w:rsidRPr="008B3F38">
              <w:rPr>
                <w:sz w:val="18"/>
                <w:szCs w:val="18"/>
                <w:lang w:val="ru-RU"/>
              </w:rPr>
              <w:t>5</w:t>
            </w:r>
            <w:r w:rsidR="0008402A" w:rsidRPr="008B3F38">
              <w:rPr>
                <w:sz w:val="18"/>
                <w:szCs w:val="18"/>
                <w:lang w:val="ru-RU"/>
              </w:rPr>
              <w:t>)</w:t>
            </w:r>
            <w:r w:rsidRPr="008B3F38">
              <w:rPr>
                <w:sz w:val="18"/>
                <w:szCs w:val="18"/>
                <w:lang w:val="ru-RU"/>
              </w:rPr>
              <w:tab/>
              <w:t>время окончания сессии при отсутствии действий (BP: 15 минут; установить для категорий пользователей "админ" и "все</w:t>
            </w:r>
            <w:r w:rsidR="0008402A" w:rsidRPr="008B3F38">
              <w:rPr>
                <w:sz w:val="18"/>
                <w:szCs w:val="18"/>
                <w:lang w:val="ru-RU"/>
              </w:rPr>
              <w:t> </w:t>
            </w:r>
            <w:r w:rsidRPr="008B3F38">
              <w:rPr>
                <w:sz w:val="18"/>
                <w:szCs w:val="18"/>
                <w:lang w:val="ru-RU"/>
              </w:rPr>
              <w:t>пользователи").</w:t>
            </w:r>
          </w:p>
        </w:tc>
        <w:tc>
          <w:tcPr>
            <w:tcW w:w="1658" w:type="pct"/>
            <w:shd w:val="clear" w:color="auto" w:fill="auto"/>
          </w:tcPr>
          <w:p w14:paraId="74DB76F5" w14:textId="77777777" w:rsidR="00E006EF" w:rsidRPr="008B3F38" w:rsidRDefault="00E006EF" w:rsidP="00025DC3">
            <w:pPr>
              <w:pStyle w:val="Tabletext"/>
              <w:rPr>
                <w:sz w:val="18"/>
                <w:szCs w:val="18"/>
                <w:lang w:val="ru-RU"/>
              </w:rPr>
            </w:pPr>
            <w:r w:rsidRPr="008B3F38">
              <w:rPr>
                <w:sz w:val="18"/>
                <w:szCs w:val="18"/>
                <w:lang w:val="ru-RU"/>
              </w:rPr>
              <w:t>Обновленная информация по состоянию на январь 2025 года: В настоящее время испытания проводятся в среде разработки и тестирования. Они будут продолжены в производственной среде при наличии положительных результатов и обеспечении непрерывности обслуживания.</w:t>
            </w:r>
          </w:p>
          <w:p w14:paraId="226F99EE" w14:textId="77777777" w:rsidR="00E006EF" w:rsidRPr="008B3F38" w:rsidRDefault="00E006EF" w:rsidP="00025DC3">
            <w:pPr>
              <w:pStyle w:val="Tabletext"/>
              <w:rPr>
                <w:sz w:val="18"/>
                <w:szCs w:val="18"/>
                <w:lang w:val="ru-RU"/>
              </w:rPr>
            </w:pPr>
            <w:r w:rsidRPr="008B3F38">
              <w:rPr>
                <w:sz w:val="18"/>
                <w:szCs w:val="18"/>
                <w:lang w:val="ru-RU"/>
              </w:rPr>
              <w:t>МСЭ считает, что данная рекомендация находится в процессе выполнения.</w:t>
            </w:r>
          </w:p>
        </w:tc>
        <w:tc>
          <w:tcPr>
            <w:tcW w:w="1139" w:type="pct"/>
            <w:gridSpan w:val="2"/>
            <w:shd w:val="clear" w:color="auto" w:fill="auto"/>
          </w:tcPr>
          <w:p w14:paraId="2E70FBEE" w14:textId="77777777" w:rsidR="00E006EF" w:rsidRPr="008B3F38" w:rsidRDefault="00E006EF" w:rsidP="00025DC3">
            <w:pPr>
              <w:pStyle w:val="Tabletext"/>
              <w:rPr>
                <w:sz w:val="18"/>
                <w:szCs w:val="18"/>
                <w:lang w:val="ru-RU"/>
              </w:rPr>
            </w:pPr>
            <w:r w:rsidRPr="008B3F38">
              <w:rPr>
                <w:sz w:val="18"/>
                <w:szCs w:val="18"/>
                <w:lang w:val="ru-RU"/>
              </w:rPr>
              <w:t>Последний ответ принят к сведению.</w:t>
            </w:r>
          </w:p>
        </w:tc>
        <w:tc>
          <w:tcPr>
            <w:tcW w:w="440" w:type="pct"/>
            <w:shd w:val="clear" w:color="auto" w:fill="auto"/>
          </w:tcPr>
          <w:p w14:paraId="3F7DA357" w14:textId="77777777" w:rsidR="00E006EF" w:rsidRPr="008B3F38" w:rsidRDefault="00E006EF" w:rsidP="00025DC3">
            <w:pPr>
              <w:pStyle w:val="Tabletext"/>
              <w:ind w:right="-57"/>
              <w:rPr>
                <w:sz w:val="18"/>
                <w:szCs w:val="18"/>
                <w:lang w:val="ru-RU"/>
              </w:rPr>
            </w:pPr>
            <w:r w:rsidRPr="008B3F38">
              <w:rPr>
                <w:sz w:val="18"/>
                <w:szCs w:val="18"/>
                <w:lang w:val="ru-RU"/>
              </w:rPr>
              <w:t>Выполняется.</w:t>
            </w:r>
          </w:p>
        </w:tc>
      </w:tr>
      <w:tr w:rsidR="00E006EF" w:rsidRPr="008B3F38" w14:paraId="3027B78A" w14:textId="77777777" w:rsidTr="008A2FDE">
        <w:trPr>
          <w:jc w:val="center"/>
        </w:trPr>
        <w:tc>
          <w:tcPr>
            <w:tcW w:w="353" w:type="pct"/>
            <w:shd w:val="clear" w:color="auto" w:fill="auto"/>
          </w:tcPr>
          <w:p w14:paraId="03C312A0" w14:textId="77777777" w:rsidR="00E006EF" w:rsidRPr="008B3F38" w:rsidRDefault="00E006EF" w:rsidP="00025DC3">
            <w:pPr>
              <w:pStyle w:val="Tabletext"/>
              <w:rPr>
                <w:sz w:val="18"/>
                <w:szCs w:val="18"/>
                <w:lang w:val="ru-RU"/>
              </w:rPr>
            </w:pPr>
            <w:r w:rsidRPr="008B3F38">
              <w:rPr>
                <w:sz w:val="18"/>
                <w:szCs w:val="18"/>
                <w:lang w:val="ru-RU"/>
              </w:rPr>
              <w:t>2021 г.</w:t>
            </w:r>
            <w:r w:rsidRPr="008B3F38">
              <w:rPr>
                <w:sz w:val="18"/>
                <w:szCs w:val="18"/>
                <w:lang w:val="ru-RU"/>
              </w:rPr>
              <w:br/>
              <w:t>РЕК44</w:t>
            </w:r>
          </w:p>
        </w:tc>
        <w:tc>
          <w:tcPr>
            <w:tcW w:w="1410" w:type="pct"/>
            <w:gridSpan w:val="2"/>
            <w:shd w:val="clear" w:color="auto" w:fill="auto"/>
          </w:tcPr>
          <w:p w14:paraId="6DAE28EA" w14:textId="6BEC3C66" w:rsidR="00E006EF" w:rsidRPr="008B3F38" w:rsidRDefault="00E006EF" w:rsidP="00025DC3">
            <w:pPr>
              <w:pStyle w:val="Tabletext"/>
              <w:rPr>
                <w:sz w:val="18"/>
                <w:szCs w:val="18"/>
                <w:lang w:val="ru-RU"/>
              </w:rPr>
            </w:pPr>
            <w:r w:rsidRPr="008B3F38">
              <w:rPr>
                <w:sz w:val="18"/>
                <w:szCs w:val="18"/>
                <w:lang w:val="ru-RU"/>
              </w:rPr>
              <w:t>МСЭ следует укрепить безопасность установок усиления для операционной системы SAP</w:t>
            </w:r>
            <w:r w:rsidR="007E5FDA" w:rsidRPr="008B3F38">
              <w:rPr>
                <w:sz w:val="18"/>
                <w:szCs w:val="18"/>
                <w:lang w:val="ru-RU"/>
              </w:rPr>
              <w:t> </w:t>
            </w:r>
            <w:r w:rsidRPr="008B3F38">
              <w:rPr>
                <w:sz w:val="18"/>
                <w:szCs w:val="18"/>
                <w:lang w:val="ru-RU"/>
              </w:rPr>
              <w:t>ERP</w:t>
            </w:r>
            <w:r w:rsidR="007E5FDA" w:rsidRPr="008B3F38">
              <w:rPr>
                <w:sz w:val="18"/>
                <w:szCs w:val="18"/>
                <w:lang w:val="ru-RU"/>
              </w:rPr>
              <w:t> </w:t>
            </w:r>
            <w:r w:rsidRPr="008B3F38">
              <w:rPr>
                <w:sz w:val="18"/>
                <w:szCs w:val="18"/>
                <w:lang w:val="ru-RU"/>
              </w:rPr>
              <w:t>(010), установив следующие параметры в соответствии с передовым опытом в области</w:t>
            </w:r>
            <w:r w:rsidR="0008402A" w:rsidRPr="008B3F38">
              <w:rPr>
                <w:sz w:val="18"/>
                <w:szCs w:val="18"/>
                <w:lang w:val="ru-RU"/>
              </w:rPr>
              <w:t> </w:t>
            </w:r>
            <w:r w:rsidRPr="008B3F38">
              <w:rPr>
                <w:sz w:val="18"/>
                <w:szCs w:val="18"/>
                <w:lang w:val="ru-RU"/>
              </w:rPr>
              <w:t>ИТ:</w:t>
            </w:r>
          </w:p>
          <w:p w14:paraId="4D6479F7" w14:textId="682F6EFE" w:rsidR="00E006EF" w:rsidRPr="008B3F38" w:rsidRDefault="00E006EF" w:rsidP="00025DC3">
            <w:pPr>
              <w:pStyle w:val="Tabletext"/>
              <w:ind w:left="284" w:hanging="284"/>
              <w:rPr>
                <w:sz w:val="18"/>
                <w:szCs w:val="18"/>
                <w:lang w:val="ru-RU"/>
              </w:rPr>
            </w:pPr>
            <w:r w:rsidRPr="008B3F38">
              <w:rPr>
                <w:sz w:val="18"/>
                <w:szCs w:val="18"/>
                <w:lang w:val="ru-RU"/>
              </w:rPr>
              <w:lastRenderedPageBreak/>
              <w:t>1</w:t>
            </w:r>
            <w:r w:rsidR="0008402A" w:rsidRPr="008B3F38">
              <w:rPr>
                <w:sz w:val="18"/>
                <w:szCs w:val="18"/>
                <w:lang w:val="ru-RU"/>
              </w:rPr>
              <w:t>)</w:t>
            </w:r>
            <w:r w:rsidRPr="008B3F38">
              <w:rPr>
                <w:sz w:val="18"/>
                <w:szCs w:val="18"/>
                <w:lang w:val="ru-RU"/>
              </w:rPr>
              <w:tab/>
              <w:t>аудит событий входа в учетную запись (BP:</w:t>
            </w:r>
            <w:r w:rsidR="0008402A" w:rsidRPr="008B3F38">
              <w:rPr>
                <w:sz w:val="18"/>
                <w:szCs w:val="18"/>
                <w:lang w:val="ru-RU"/>
              </w:rPr>
              <w:t> </w:t>
            </w:r>
            <w:r w:rsidRPr="008B3F38">
              <w:rPr>
                <w:sz w:val="18"/>
                <w:szCs w:val="18"/>
                <w:lang w:val="ru-RU"/>
              </w:rPr>
              <w:t>успех и неудача);</w:t>
            </w:r>
          </w:p>
          <w:p w14:paraId="22A7D45F" w14:textId="73545570" w:rsidR="00E006EF" w:rsidRPr="008B3F38" w:rsidRDefault="00E006EF" w:rsidP="00025DC3">
            <w:pPr>
              <w:pStyle w:val="Tabletext"/>
              <w:ind w:left="284" w:hanging="284"/>
              <w:rPr>
                <w:sz w:val="18"/>
                <w:szCs w:val="18"/>
                <w:lang w:val="ru-RU"/>
              </w:rPr>
            </w:pPr>
            <w:r w:rsidRPr="008B3F38">
              <w:rPr>
                <w:sz w:val="18"/>
                <w:szCs w:val="18"/>
                <w:lang w:val="ru-RU"/>
              </w:rPr>
              <w:t>2</w:t>
            </w:r>
            <w:r w:rsidR="0008402A" w:rsidRPr="008B3F38">
              <w:rPr>
                <w:sz w:val="18"/>
                <w:szCs w:val="18"/>
                <w:lang w:val="ru-RU"/>
              </w:rPr>
              <w:t>)</w:t>
            </w:r>
            <w:r w:rsidRPr="008B3F38">
              <w:rPr>
                <w:sz w:val="18"/>
                <w:szCs w:val="18"/>
                <w:lang w:val="ru-RU"/>
              </w:rPr>
              <w:tab/>
              <w:t>доступ к службе аудита каталога (BP:</w:t>
            </w:r>
            <w:r w:rsidR="0008402A" w:rsidRPr="008B3F38">
              <w:rPr>
                <w:sz w:val="18"/>
                <w:szCs w:val="18"/>
                <w:lang w:val="ru-RU"/>
              </w:rPr>
              <w:t> </w:t>
            </w:r>
            <w:r w:rsidRPr="008B3F38">
              <w:rPr>
                <w:sz w:val="18"/>
                <w:szCs w:val="18"/>
                <w:lang w:val="ru-RU"/>
              </w:rPr>
              <w:t>неудача);</w:t>
            </w:r>
          </w:p>
          <w:p w14:paraId="1B8AF99C" w14:textId="461779B7" w:rsidR="00E006EF" w:rsidRPr="008B3F38" w:rsidRDefault="00E006EF" w:rsidP="00025DC3">
            <w:pPr>
              <w:pStyle w:val="Tabletext"/>
              <w:ind w:left="284" w:hanging="284"/>
              <w:rPr>
                <w:sz w:val="18"/>
                <w:szCs w:val="18"/>
                <w:lang w:val="ru-RU"/>
              </w:rPr>
            </w:pPr>
            <w:r w:rsidRPr="008B3F38">
              <w:rPr>
                <w:sz w:val="18"/>
                <w:szCs w:val="18"/>
                <w:lang w:val="ru-RU"/>
              </w:rPr>
              <w:t>3</w:t>
            </w:r>
            <w:r w:rsidR="0008402A" w:rsidRPr="008B3F38">
              <w:rPr>
                <w:sz w:val="18"/>
                <w:szCs w:val="18"/>
                <w:lang w:val="ru-RU"/>
              </w:rPr>
              <w:t>)</w:t>
            </w:r>
            <w:r w:rsidRPr="008B3F38">
              <w:rPr>
                <w:sz w:val="18"/>
                <w:szCs w:val="18"/>
                <w:lang w:val="ru-RU"/>
              </w:rPr>
              <w:tab/>
              <w:t>доступ к объекту аудита (BP: неудача);</w:t>
            </w:r>
          </w:p>
          <w:p w14:paraId="3D9698E2" w14:textId="34F6D090" w:rsidR="00E006EF" w:rsidRPr="008B3F38" w:rsidRDefault="00E006EF" w:rsidP="00025DC3">
            <w:pPr>
              <w:pStyle w:val="Tabletext"/>
              <w:ind w:left="284" w:hanging="284"/>
              <w:rPr>
                <w:sz w:val="18"/>
                <w:szCs w:val="18"/>
                <w:lang w:val="ru-RU"/>
              </w:rPr>
            </w:pPr>
            <w:r w:rsidRPr="008B3F38">
              <w:rPr>
                <w:sz w:val="18"/>
                <w:szCs w:val="18"/>
                <w:lang w:val="ru-RU"/>
              </w:rPr>
              <w:t>4</w:t>
            </w:r>
            <w:r w:rsidR="0008402A" w:rsidRPr="008B3F38">
              <w:rPr>
                <w:sz w:val="18"/>
                <w:szCs w:val="18"/>
                <w:lang w:val="ru-RU"/>
              </w:rPr>
              <w:t>)</w:t>
            </w:r>
            <w:r w:rsidRPr="008B3F38">
              <w:rPr>
                <w:sz w:val="18"/>
                <w:szCs w:val="18"/>
                <w:lang w:val="ru-RU"/>
              </w:rPr>
              <w:tab/>
              <w:t>использование привилегий аудита (BP:</w:t>
            </w:r>
            <w:r w:rsidR="0008402A" w:rsidRPr="008B3F38">
              <w:rPr>
                <w:sz w:val="18"/>
                <w:szCs w:val="18"/>
                <w:lang w:val="ru-RU"/>
              </w:rPr>
              <w:t> </w:t>
            </w:r>
            <w:r w:rsidRPr="008B3F38">
              <w:rPr>
                <w:sz w:val="18"/>
                <w:szCs w:val="18"/>
                <w:lang w:val="ru-RU"/>
              </w:rPr>
              <w:t>неудача);</w:t>
            </w:r>
          </w:p>
          <w:p w14:paraId="5573ED51" w14:textId="47842E73" w:rsidR="00E006EF" w:rsidRPr="008B3F38" w:rsidRDefault="00E006EF" w:rsidP="00025DC3">
            <w:pPr>
              <w:pStyle w:val="Tabletext"/>
              <w:ind w:left="284" w:hanging="284"/>
              <w:rPr>
                <w:sz w:val="18"/>
                <w:szCs w:val="18"/>
                <w:highlight w:val="yellow"/>
                <w:lang w:val="ru-RU"/>
              </w:rPr>
            </w:pPr>
            <w:r w:rsidRPr="008B3F38">
              <w:rPr>
                <w:sz w:val="18"/>
                <w:szCs w:val="18"/>
                <w:lang w:val="ru-RU"/>
              </w:rPr>
              <w:t>5</w:t>
            </w:r>
            <w:r w:rsidR="0008402A" w:rsidRPr="008B3F38">
              <w:rPr>
                <w:sz w:val="18"/>
                <w:szCs w:val="18"/>
                <w:lang w:val="ru-RU"/>
              </w:rPr>
              <w:t>)</w:t>
            </w:r>
            <w:r w:rsidRPr="008B3F38">
              <w:rPr>
                <w:sz w:val="18"/>
                <w:szCs w:val="18"/>
                <w:lang w:val="ru-RU"/>
              </w:rPr>
              <w:tab/>
              <w:t>аудит системных событий (BP: неудача)</w:t>
            </w:r>
            <w:r w:rsidR="006B7A1D" w:rsidRPr="008B3F38">
              <w:rPr>
                <w:sz w:val="18"/>
                <w:szCs w:val="18"/>
                <w:lang w:val="ru-RU"/>
              </w:rPr>
              <w:t>.</w:t>
            </w:r>
          </w:p>
        </w:tc>
        <w:tc>
          <w:tcPr>
            <w:tcW w:w="1658" w:type="pct"/>
            <w:shd w:val="clear" w:color="auto" w:fill="auto"/>
          </w:tcPr>
          <w:p w14:paraId="5B6426BF" w14:textId="77777777" w:rsidR="00E006EF" w:rsidRPr="008B3F38" w:rsidRDefault="00E006EF" w:rsidP="00025DC3">
            <w:pPr>
              <w:pStyle w:val="Tabletext"/>
              <w:rPr>
                <w:sz w:val="18"/>
                <w:szCs w:val="18"/>
                <w:lang w:val="ru-RU"/>
              </w:rPr>
            </w:pPr>
            <w:r w:rsidRPr="008B3F38">
              <w:rPr>
                <w:sz w:val="18"/>
                <w:szCs w:val="18"/>
                <w:lang w:val="ru-RU"/>
              </w:rPr>
              <w:lastRenderedPageBreak/>
              <w:t>Обновленная информация по состоянию на сентябрь 2024 года: Внедрен новый SOC, действие которого охватывает, в том числе, все серверы экосистемы SAP. Действующая политика аудита распространяется на элементы, упомянутые в рекомендации. SOC работает в режиме 24/7.</w:t>
            </w:r>
          </w:p>
        </w:tc>
        <w:tc>
          <w:tcPr>
            <w:tcW w:w="1139" w:type="pct"/>
            <w:gridSpan w:val="2"/>
            <w:shd w:val="clear" w:color="auto" w:fill="auto"/>
          </w:tcPr>
          <w:p w14:paraId="2C2F63ED" w14:textId="77777777" w:rsidR="00E006EF" w:rsidRPr="008B3F38" w:rsidRDefault="00E006EF" w:rsidP="00025DC3">
            <w:pPr>
              <w:pStyle w:val="Tabletext"/>
              <w:rPr>
                <w:sz w:val="18"/>
                <w:szCs w:val="18"/>
                <w:lang w:val="ru-RU"/>
              </w:rPr>
            </w:pPr>
            <w:r w:rsidRPr="008B3F38">
              <w:rPr>
                <w:sz w:val="18"/>
                <w:szCs w:val="18"/>
                <w:lang w:val="ru-RU"/>
              </w:rPr>
              <w:t>Последний ответ принят к сведению и признан обоснованным. Рекомендация закрыта.</w:t>
            </w:r>
          </w:p>
        </w:tc>
        <w:tc>
          <w:tcPr>
            <w:tcW w:w="440" w:type="pct"/>
            <w:shd w:val="clear" w:color="auto" w:fill="auto"/>
          </w:tcPr>
          <w:p w14:paraId="31193C36" w14:textId="77777777" w:rsidR="00E006EF" w:rsidRPr="008B3F38" w:rsidRDefault="00E006EF" w:rsidP="00025DC3">
            <w:pPr>
              <w:pStyle w:val="Tabletext"/>
              <w:ind w:right="-57"/>
              <w:rPr>
                <w:sz w:val="18"/>
                <w:szCs w:val="18"/>
                <w:lang w:val="ru-RU"/>
              </w:rPr>
            </w:pPr>
            <w:r w:rsidRPr="008B3F38">
              <w:rPr>
                <w:sz w:val="18"/>
                <w:szCs w:val="18"/>
                <w:lang w:val="ru-RU"/>
              </w:rPr>
              <w:t>Закрыта.</w:t>
            </w:r>
          </w:p>
        </w:tc>
      </w:tr>
      <w:tr w:rsidR="00E006EF" w:rsidRPr="008B3F38" w14:paraId="4821F899" w14:textId="77777777" w:rsidTr="008A2FDE">
        <w:trPr>
          <w:jc w:val="center"/>
        </w:trPr>
        <w:tc>
          <w:tcPr>
            <w:tcW w:w="353" w:type="pct"/>
            <w:shd w:val="clear" w:color="auto" w:fill="auto"/>
          </w:tcPr>
          <w:p w14:paraId="7EB8ED64" w14:textId="77777777" w:rsidR="00E006EF" w:rsidRPr="008B3F38" w:rsidRDefault="00E006EF" w:rsidP="00025DC3">
            <w:pPr>
              <w:pStyle w:val="Tabletext"/>
              <w:rPr>
                <w:sz w:val="18"/>
                <w:szCs w:val="18"/>
                <w:lang w:val="ru-RU"/>
              </w:rPr>
            </w:pPr>
            <w:r w:rsidRPr="008B3F38">
              <w:rPr>
                <w:sz w:val="18"/>
                <w:szCs w:val="18"/>
                <w:lang w:val="ru-RU"/>
              </w:rPr>
              <w:t>2021 г.</w:t>
            </w:r>
            <w:r w:rsidRPr="008B3F38">
              <w:rPr>
                <w:sz w:val="18"/>
                <w:szCs w:val="18"/>
                <w:lang w:val="ru-RU"/>
              </w:rPr>
              <w:br/>
              <w:t>РЕК45</w:t>
            </w:r>
          </w:p>
        </w:tc>
        <w:tc>
          <w:tcPr>
            <w:tcW w:w="1410" w:type="pct"/>
            <w:gridSpan w:val="2"/>
            <w:shd w:val="clear" w:color="auto" w:fill="auto"/>
          </w:tcPr>
          <w:p w14:paraId="17780161" w14:textId="4D192526" w:rsidR="00E006EF" w:rsidRPr="008B3F38" w:rsidRDefault="00E006EF" w:rsidP="00025DC3">
            <w:pPr>
              <w:pStyle w:val="Tabletext"/>
              <w:rPr>
                <w:sz w:val="18"/>
                <w:szCs w:val="18"/>
                <w:lang w:val="ru-RU"/>
              </w:rPr>
            </w:pPr>
            <w:r w:rsidRPr="008B3F38">
              <w:rPr>
                <w:sz w:val="18"/>
                <w:szCs w:val="18"/>
                <w:lang w:val="ru-RU"/>
              </w:rPr>
              <w:t>Проводить документально подтвержденный анализ прав доступа по меньшей мере один раз в год для всех имеющихся пользователей операционной системы SAP ERP (010).</w:t>
            </w:r>
          </w:p>
        </w:tc>
        <w:tc>
          <w:tcPr>
            <w:tcW w:w="1658" w:type="pct"/>
            <w:shd w:val="clear" w:color="auto" w:fill="auto"/>
          </w:tcPr>
          <w:p w14:paraId="71D99704" w14:textId="77777777" w:rsidR="00E006EF" w:rsidRPr="008B3F38" w:rsidRDefault="00E006EF" w:rsidP="00025DC3">
            <w:pPr>
              <w:pStyle w:val="Tabletext"/>
              <w:rPr>
                <w:sz w:val="18"/>
                <w:szCs w:val="18"/>
                <w:lang w:val="ru-RU"/>
              </w:rPr>
            </w:pPr>
            <w:r w:rsidRPr="008B3F38">
              <w:rPr>
                <w:sz w:val="18"/>
                <w:szCs w:val="18"/>
                <w:lang w:val="ru-RU"/>
              </w:rPr>
              <w:t>Обновленная информация по состоянию на май 2025 года: Совершенствование процесса осуществляется на постоянной основе. В 2023 году были привлечены внешние эксперты для проведения очередного тщательного всестороннего анализа системы ERP, включая права доступа. Следующий подобный анализ запланирован на 2025 год.</w:t>
            </w:r>
          </w:p>
          <w:p w14:paraId="438357CF" w14:textId="77777777" w:rsidR="00E006EF" w:rsidRPr="008B3F38" w:rsidRDefault="00E006EF" w:rsidP="00025DC3">
            <w:pPr>
              <w:pStyle w:val="Tabletext"/>
              <w:rPr>
                <w:sz w:val="18"/>
                <w:szCs w:val="18"/>
                <w:lang w:val="ru-RU"/>
              </w:rPr>
            </w:pPr>
            <w:r w:rsidRPr="008B3F38">
              <w:rPr>
                <w:sz w:val="18"/>
                <w:szCs w:val="18"/>
                <w:lang w:val="ru-RU"/>
              </w:rPr>
              <w:t>МСЭ рекомендует закрыть данную рекомендацию.</w:t>
            </w:r>
          </w:p>
        </w:tc>
        <w:tc>
          <w:tcPr>
            <w:tcW w:w="1139" w:type="pct"/>
            <w:gridSpan w:val="2"/>
            <w:shd w:val="clear" w:color="auto" w:fill="auto"/>
          </w:tcPr>
          <w:p w14:paraId="20CC74A5" w14:textId="639C0E3E" w:rsidR="00E006EF" w:rsidRPr="008B3F38" w:rsidRDefault="00E006EF" w:rsidP="00025DC3">
            <w:pPr>
              <w:pStyle w:val="Tabletext"/>
              <w:rPr>
                <w:sz w:val="18"/>
                <w:szCs w:val="18"/>
                <w:lang w:val="ru-RU"/>
              </w:rPr>
            </w:pPr>
            <w:r w:rsidRPr="008B3F38">
              <w:rPr>
                <w:sz w:val="18"/>
                <w:szCs w:val="18"/>
                <w:lang w:val="ru-RU"/>
              </w:rPr>
              <w:t>Последний ответ принят к сведению и признан обоснованным. Как</w:t>
            </w:r>
            <w:r w:rsidR="00F63F65" w:rsidRPr="008B3F38">
              <w:rPr>
                <w:sz w:val="18"/>
                <w:szCs w:val="18"/>
                <w:lang w:val="ru-RU"/>
              </w:rPr>
              <w:t> </w:t>
            </w:r>
            <w:r w:rsidRPr="008B3F38">
              <w:rPr>
                <w:sz w:val="18"/>
                <w:szCs w:val="18"/>
                <w:lang w:val="ru-RU"/>
              </w:rPr>
              <w:t xml:space="preserve">отмечалось в </w:t>
            </w:r>
            <w:r w:rsidR="0008402A" w:rsidRPr="008B3F38">
              <w:rPr>
                <w:sz w:val="18"/>
                <w:szCs w:val="18"/>
                <w:lang w:val="ru-RU"/>
              </w:rPr>
              <w:t>Части </w:t>
            </w:r>
            <w:r w:rsidRPr="008B3F38">
              <w:rPr>
                <w:sz w:val="18"/>
                <w:szCs w:val="18"/>
                <w:lang w:val="ru-RU"/>
              </w:rPr>
              <w:t>2 настоящего отчета, мы рассмотрели общие механизмы, используемые руководством для обеспечения гарантий в отношении своей ИТ</w:t>
            </w:r>
            <w:r w:rsidR="0008402A" w:rsidRPr="008B3F38">
              <w:rPr>
                <w:rFonts w:ascii="Cambria Math" w:hAnsi="Cambria Math"/>
                <w:sz w:val="18"/>
                <w:szCs w:val="18"/>
                <w:lang w:val="ru-RU"/>
              </w:rPr>
              <w:t>‑</w:t>
            </w:r>
            <w:r w:rsidRPr="008B3F38">
              <w:rPr>
                <w:sz w:val="18"/>
                <w:szCs w:val="18"/>
                <w:lang w:val="ru-RU"/>
              </w:rPr>
              <w:t>среды, и подготовили соответствующие новые рекомендации, представленные в настоящем отчете.</w:t>
            </w:r>
          </w:p>
        </w:tc>
        <w:tc>
          <w:tcPr>
            <w:tcW w:w="440" w:type="pct"/>
            <w:shd w:val="clear" w:color="auto" w:fill="auto"/>
          </w:tcPr>
          <w:p w14:paraId="5EA3AC9D" w14:textId="77777777" w:rsidR="00E006EF" w:rsidRPr="008B3F38" w:rsidRDefault="00E006EF" w:rsidP="00025DC3">
            <w:pPr>
              <w:pStyle w:val="Tabletext"/>
              <w:ind w:right="-57"/>
              <w:rPr>
                <w:sz w:val="18"/>
                <w:szCs w:val="18"/>
                <w:lang w:val="ru-RU"/>
              </w:rPr>
            </w:pPr>
            <w:r w:rsidRPr="008B3F38">
              <w:rPr>
                <w:sz w:val="18"/>
                <w:szCs w:val="18"/>
                <w:lang w:val="ru-RU"/>
              </w:rPr>
              <w:t>Закрыта.</w:t>
            </w:r>
          </w:p>
        </w:tc>
      </w:tr>
      <w:tr w:rsidR="00E006EF" w:rsidRPr="008B3F38" w14:paraId="7A704B9D" w14:textId="77777777" w:rsidTr="008A2FDE">
        <w:trPr>
          <w:jc w:val="center"/>
        </w:trPr>
        <w:tc>
          <w:tcPr>
            <w:tcW w:w="353" w:type="pct"/>
            <w:shd w:val="clear" w:color="auto" w:fill="auto"/>
          </w:tcPr>
          <w:p w14:paraId="5A4ADF32" w14:textId="77777777" w:rsidR="00E006EF" w:rsidRPr="008B3F38" w:rsidRDefault="00E006EF" w:rsidP="00025DC3">
            <w:pPr>
              <w:pStyle w:val="Tabletext"/>
              <w:rPr>
                <w:sz w:val="18"/>
                <w:szCs w:val="18"/>
                <w:lang w:val="ru-RU"/>
              </w:rPr>
            </w:pPr>
            <w:r w:rsidRPr="008B3F38">
              <w:rPr>
                <w:sz w:val="18"/>
                <w:szCs w:val="18"/>
                <w:lang w:val="ru-RU"/>
              </w:rPr>
              <w:t>2021 г.</w:t>
            </w:r>
            <w:r w:rsidRPr="008B3F38">
              <w:rPr>
                <w:sz w:val="18"/>
                <w:szCs w:val="18"/>
                <w:lang w:val="ru-RU"/>
              </w:rPr>
              <w:br/>
              <w:t>РЕК46</w:t>
            </w:r>
          </w:p>
        </w:tc>
        <w:tc>
          <w:tcPr>
            <w:tcW w:w="1410" w:type="pct"/>
            <w:gridSpan w:val="2"/>
            <w:shd w:val="clear" w:color="auto" w:fill="auto"/>
          </w:tcPr>
          <w:p w14:paraId="0561644C" w14:textId="6547BAE7" w:rsidR="00E006EF" w:rsidRPr="008B3F38" w:rsidRDefault="00E006EF" w:rsidP="00025DC3">
            <w:pPr>
              <w:pStyle w:val="Tabletext"/>
              <w:rPr>
                <w:sz w:val="18"/>
                <w:szCs w:val="18"/>
                <w:lang w:val="ru-RU"/>
              </w:rPr>
            </w:pPr>
            <w:r w:rsidRPr="008B3F38">
              <w:rPr>
                <w:sz w:val="18"/>
                <w:szCs w:val="18"/>
                <w:lang w:val="ru-RU"/>
              </w:rPr>
              <w:t>МСЭ следует укрепить безопасность базы данных SAP ERP (010), установив следующие параметры в соответствии с передовым</w:t>
            </w:r>
            <w:r w:rsidR="00F63F65" w:rsidRPr="008B3F38">
              <w:rPr>
                <w:sz w:val="18"/>
                <w:szCs w:val="18"/>
                <w:lang w:val="ru-RU"/>
              </w:rPr>
              <w:t> </w:t>
            </w:r>
            <w:r w:rsidRPr="008B3F38">
              <w:rPr>
                <w:sz w:val="18"/>
                <w:szCs w:val="18"/>
                <w:lang w:val="ru-RU"/>
              </w:rPr>
              <w:t>опытом:</w:t>
            </w:r>
          </w:p>
          <w:p w14:paraId="04517701" w14:textId="6A7BA5A7" w:rsidR="00E006EF" w:rsidRPr="008B3F38" w:rsidRDefault="00E006EF" w:rsidP="00025DC3">
            <w:pPr>
              <w:pStyle w:val="Tabletext"/>
              <w:ind w:left="284" w:hanging="284"/>
              <w:rPr>
                <w:sz w:val="18"/>
                <w:szCs w:val="18"/>
                <w:lang w:val="ru-RU"/>
              </w:rPr>
            </w:pPr>
            <w:r w:rsidRPr="008B3F38">
              <w:rPr>
                <w:sz w:val="18"/>
                <w:szCs w:val="18"/>
                <w:lang w:val="ru-RU"/>
              </w:rPr>
              <w:t>1</w:t>
            </w:r>
            <w:r w:rsidR="0008402A" w:rsidRPr="008B3F38">
              <w:rPr>
                <w:sz w:val="18"/>
                <w:szCs w:val="18"/>
                <w:lang w:val="ru-RU"/>
              </w:rPr>
              <w:t>)</w:t>
            </w:r>
            <w:r w:rsidRPr="008B3F38">
              <w:rPr>
                <w:sz w:val="18"/>
                <w:szCs w:val="18"/>
                <w:lang w:val="ru-RU"/>
              </w:rPr>
              <w:tab/>
              <w:t>минимальная длина пароля (BP: 8);</w:t>
            </w:r>
          </w:p>
          <w:p w14:paraId="444F081A" w14:textId="4B63D338" w:rsidR="00E006EF" w:rsidRPr="008B3F38" w:rsidRDefault="00E006EF" w:rsidP="00025DC3">
            <w:pPr>
              <w:pStyle w:val="Tabletext"/>
              <w:ind w:left="284" w:hanging="284"/>
              <w:rPr>
                <w:sz w:val="18"/>
                <w:szCs w:val="18"/>
                <w:lang w:val="ru-RU"/>
              </w:rPr>
            </w:pPr>
            <w:r w:rsidRPr="008B3F38">
              <w:rPr>
                <w:sz w:val="18"/>
                <w:szCs w:val="18"/>
                <w:lang w:val="ru-RU"/>
              </w:rPr>
              <w:t>2</w:t>
            </w:r>
            <w:r w:rsidR="0008402A" w:rsidRPr="008B3F38">
              <w:rPr>
                <w:sz w:val="18"/>
                <w:szCs w:val="18"/>
                <w:lang w:val="ru-RU"/>
              </w:rPr>
              <w:t>)</w:t>
            </w:r>
            <w:r w:rsidRPr="008B3F38">
              <w:rPr>
                <w:sz w:val="18"/>
                <w:szCs w:val="18"/>
                <w:lang w:val="ru-RU"/>
              </w:rPr>
              <w:tab/>
              <w:t>Пороговое значение блокировки учетной записи (BP: 3</w:t>
            </w:r>
            <w:r w:rsidR="00F63F65" w:rsidRPr="008B3F38">
              <w:rPr>
                <w:sz w:val="18"/>
                <w:szCs w:val="18"/>
                <w:lang w:val="ru-RU"/>
              </w:rPr>
              <w:sym w:font="Symbol" w:char="F02D"/>
            </w:r>
            <w:r w:rsidRPr="008B3F38">
              <w:rPr>
                <w:sz w:val="18"/>
                <w:szCs w:val="18"/>
                <w:lang w:val="ru-RU"/>
              </w:rPr>
              <w:t>5 попыток входа);</w:t>
            </w:r>
          </w:p>
          <w:p w14:paraId="26F6A3C4" w14:textId="1A10244F" w:rsidR="00E006EF" w:rsidRPr="008B3F38" w:rsidRDefault="00E006EF" w:rsidP="00025DC3">
            <w:pPr>
              <w:pStyle w:val="Tabletext"/>
              <w:ind w:left="284" w:hanging="284"/>
              <w:rPr>
                <w:sz w:val="18"/>
                <w:szCs w:val="18"/>
                <w:lang w:val="ru-RU"/>
              </w:rPr>
            </w:pPr>
            <w:r w:rsidRPr="008B3F38">
              <w:rPr>
                <w:sz w:val="18"/>
                <w:szCs w:val="18"/>
                <w:lang w:val="ru-RU"/>
              </w:rPr>
              <w:t>3</w:t>
            </w:r>
            <w:r w:rsidR="0008402A" w:rsidRPr="008B3F38">
              <w:rPr>
                <w:sz w:val="18"/>
                <w:szCs w:val="18"/>
                <w:lang w:val="ru-RU"/>
              </w:rPr>
              <w:t>)</w:t>
            </w:r>
            <w:r w:rsidRPr="008B3F38">
              <w:rPr>
                <w:sz w:val="18"/>
                <w:szCs w:val="18"/>
                <w:lang w:val="ru-RU"/>
              </w:rPr>
              <w:tab/>
              <w:t>Пароль должен соответствовать требованиям в отношении сложности (BP:</w:t>
            </w:r>
            <w:r w:rsidR="0008402A" w:rsidRPr="008B3F38">
              <w:rPr>
                <w:sz w:val="18"/>
                <w:szCs w:val="18"/>
                <w:lang w:val="ru-RU"/>
              </w:rPr>
              <w:t> </w:t>
            </w:r>
            <w:r w:rsidRPr="008B3F38">
              <w:rPr>
                <w:sz w:val="18"/>
                <w:szCs w:val="18"/>
                <w:lang w:val="ru-RU"/>
              </w:rPr>
              <w:t>включить).</w:t>
            </w:r>
          </w:p>
        </w:tc>
        <w:tc>
          <w:tcPr>
            <w:tcW w:w="1658" w:type="pct"/>
            <w:shd w:val="clear" w:color="auto" w:fill="auto"/>
          </w:tcPr>
          <w:p w14:paraId="5EF55345" w14:textId="77777777" w:rsidR="00E006EF" w:rsidRPr="008B3F38" w:rsidRDefault="00E006EF" w:rsidP="00025DC3">
            <w:pPr>
              <w:pStyle w:val="Tabletext"/>
              <w:rPr>
                <w:sz w:val="18"/>
                <w:szCs w:val="18"/>
                <w:lang w:val="ru-RU"/>
              </w:rPr>
            </w:pPr>
            <w:r w:rsidRPr="008B3F38">
              <w:rPr>
                <w:sz w:val="18"/>
                <w:szCs w:val="18"/>
                <w:lang w:val="ru-RU"/>
              </w:rPr>
              <w:t>Обновленная информация по состоянию на январь 2025 года: В соответствии с этой рекомендацией в системе SAP (ERP) установлены следующие параметры:</w:t>
            </w:r>
          </w:p>
          <w:p w14:paraId="04885955" w14:textId="77777777" w:rsidR="00E006EF" w:rsidRPr="007D30B5" w:rsidRDefault="00E006EF" w:rsidP="00025DC3">
            <w:pPr>
              <w:pStyle w:val="Tabletext"/>
              <w:rPr>
                <w:sz w:val="18"/>
                <w:szCs w:val="18"/>
              </w:rPr>
            </w:pPr>
            <w:r w:rsidRPr="007D30B5">
              <w:rPr>
                <w:sz w:val="18"/>
                <w:szCs w:val="18"/>
              </w:rPr>
              <w:t>–</w:t>
            </w:r>
            <w:r w:rsidRPr="007D30B5">
              <w:rPr>
                <w:sz w:val="18"/>
                <w:szCs w:val="18"/>
              </w:rPr>
              <w:tab/>
              <w:t>login/min_password_lng = 8</w:t>
            </w:r>
          </w:p>
          <w:p w14:paraId="7DD7CE7E" w14:textId="77777777" w:rsidR="00E006EF" w:rsidRPr="007D30B5" w:rsidRDefault="00E006EF" w:rsidP="00025DC3">
            <w:pPr>
              <w:pStyle w:val="Tabletext"/>
              <w:rPr>
                <w:sz w:val="18"/>
                <w:szCs w:val="18"/>
              </w:rPr>
            </w:pPr>
            <w:r w:rsidRPr="007D30B5">
              <w:rPr>
                <w:sz w:val="18"/>
                <w:szCs w:val="18"/>
              </w:rPr>
              <w:t>–</w:t>
            </w:r>
            <w:r w:rsidRPr="007D30B5">
              <w:rPr>
                <w:sz w:val="18"/>
                <w:szCs w:val="18"/>
              </w:rPr>
              <w:tab/>
              <w:t>login/min_password_upper/lower case = 1</w:t>
            </w:r>
          </w:p>
          <w:p w14:paraId="5B19B5F4" w14:textId="77777777" w:rsidR="00E006EF" w:rsidRPr="007D30B5" w:rsidRDefault="00E006EF" w:rsidP="00025DC3">
            <w:pPr>
              <w:pStyle w:val="Tabletext"/>
              <w:rPr>
                <w:sz w:val="18"/>
                <w:szCs w:val="18"/>
              </w:rPr>
            </w:pPr>
            <w:r w:rsidRPr="007D30B5">
              <w:rPr>
                <w:sz w:val="18"/>
                <w:szCs w:val="18"/>
              </w:rPr>
              <w:t>–</w:t>
            </w:r>
            <w:r w:rsidRPr="007D30B5">
              <w:rPr>
                <w:sz w:val="18"/>
                <w:szCs w:val="18"/>
              </w:rPr>
              <w:tab/>
              <w:t>login/min_password_diff = 2</w:t>
            </w:r>
          </w:p>
          <w:p w14:paraId="046626FD" w14:textId="77777777" w:rsidR="00E006EF" w:rsidRPr="007D30B5" w:rsidRDefault="00E006EF" w:rsidP="00025DC3">
            <w:pPr>
              <w:pStyle w:val="Tabletext"/>
              <w:rPr>
                <w:sz w:val="18"/>
                <w:szCs w:val="18"/>
              </w:rPr>
            </w:pPr>
            <w:r w:rsidRPr="007D30B5">
              <w:rPr>
                <w:sz w:val="18"/>
                <w:szCs w:val="18"/>
              </w:rPr>
              <w:t>–</w:t>
            </w:r>
            <w:r w:rsidRPr="007D30B5">
              <w:rPr>
                <w:sz w:val="18"/>
                <w:szCs w:val="18"/>
              </w:rPr>
              <w:tab/>
              <w:t>login/min_password_digits = 1</w:t>
            </w:r>
          </w:p>
          <w:p w14:paraId="5DF2671D" w14:textId="77777777" w:rsidR="00E006EF" w:rsidRPr="007D30B5" w:rsidRDefault="00E006EF" w:rsidP="00025DC3">
            <w:pPr>
              <w:pStyle w:val="Tabletext"/>
              <w:rPr>
                <w:sz w:val="18"/>
                <w:szCs w:val="18"/>
              </w:rPr>
            </w:pPr>
            <w:r w:rsidRPr="007D30B5">
              <w:rPr>
                <w:sz w:val="18"/>
                <w:szCs w:val="18"/>
              </w:rPr>
              <w:t>–</w:t>
            </w:r>
            <w:r w:rsidRPr="007D30B5">
              <w:rPr>
                <w:sz w:val="18"/>
                <w:szCs w:val="18"/>
              </w:rPr>
              <w:tab/>
              <w:t>login/min_password_letters = 1</w:t>
            </w:r>
          </w:p>
          <w:p w14:paraId="376AAE02" w14:textId="77777777" w:rsidR="00E006EF" w:rsidRPr="007D30B5" w:rsidRDefault="00E006EF" w:rsidP="00025DC3">
            <w:pPr>
              <w:pStyle w:val="Tabletext"/>
              <w:rPr>
                <w:sz w:val="18"/>
                <w:szCs w:val="18"/>
              </w:rPr>
            </w:pPr>
            <w:r w:rsidRPr="007D30B5">
              <w:rPr>
                <w:sz w:val="18"/>
                <w:szCs w:val="18"/>
              </w:rPr>
              <w:t>–</w:t>
            </w:r>
            <w:r w:rsidRPr="007D30B5">
              <w:rPr>
                <w:sz w:val="18"/>
                <w:szCs w:val="18"/>
              </w:rPr>
              <w:tab/>
              <w:t>login/min_password_specials = 1</w:t>
            </w:r>
          </w:p>
          <w:p w14:paraId="12A260D7" w14:textId="77777777" w:rsidR="00E006EF" w:rsidRPr="007D30B5" w:rsidRDefault="00E006EF" w:rsidP="00025DC3">
            <w:pPr>
              <w:pStyle w:val="Tabletext"/>
              <w:rPr>
                <w:sz w:val="18"/>
                <w:szCs w:val="18"/>
              </w:rPr>
            </w:pPr>
            <w:r w:rsidRPr="007D30B5">
              <w:rPr>
                <w:sz w:val="18"/>
                <w:szCs w:val="18"/>
              </w:rPr>
              <w:t>–</w:t>
            </w:r>
            <w:r w:rsidRPr="007D30B5">
              <w:rPr>
                <w:sz w:val="18"/>
                <w:szCs w:val="18"/>
              </w:rPr>
              <w:tab/>
              <w:t>login/fails_to_user_lock = 5</w:t>
            </w:r>
          </w:p>
          <w:p w14:paraId="7A69D0F9" w14:textId="77777777" w:rsidR="00E006EF" w:rsidRPr="007D30B5" w:rsidRDefault="00E006EF" w:rsidP="00025DC3">
            <w:pPr>
              <w:pStyle w:val="Tabletext"/>
              <w:rPr>
                <w:sz w:val="18"/>
                <w:szCs w:val="18"/>
              </w:rPr>
            </w:pPr>
            <w:r w:rsidRPr="007D30B5">
              <w:rPr>
                <w:sz w:val="18"/>
                <w:szCs w:val="18"/>
              </w:rPr>
              <w:t>–</w:t>
            </w:r>
            <w:r w:rsidRPr="007D30B5">
              <w:rPr>
                <w:sz w:val="18"/>
                <w:szCs w:val="18"/>
              </w:rPr>
              <w:tab/>
              <w:t>login/password_max_idle_initial = 13</w:t>
            </w:r>
          </w:p>
          <w:p w14:paraId="4882DB7D" w14:textId="77777777" w:rsidR="00E006EF" w:rsidRPr="008B3F38" w:rsidRDefault="00E006EF" w:rsidP="00025DC3">
            <w:pPr>
              <w:pStyle w:val="Tabletext"/>
              <w:rPr>
                <w:sz w:val="18"/>
                <w:szCs w:val="18"/>
                <w:lang w:val="ru-RU"/>
              </w:rPr>
            </w:pPr>
            <w:r w:rsidRPr="008B3F38">
              <w:rPr>
                <w:sz w:val="18"/>
                <w:szCs w:val="18"/>
                <w:lang w:val="ru-RU"/>
              </w:rPr>
              <w:t>–</w:t>
            </w:r>
            <w:r w:rsidRPr="008B3F38">
              <w:rPr>
                <w:sz w:val="18"/>
                <w:szCs w:val="18"/>
                <w:lang w:val="ru-RU"/>
              </w:rPr>
              <w:tab/>
              <w:t>login/password_max_idle_productive = 90</w:t>
            </w:r>
          </w:p>
          <w:p w14:paraId="5F2B2E23" w14:textId="77777777" w:rsidR="00E006EF" w:rsidRPr="008B3F38" w:rsidRDefault="00E006EF" w:rsidP="00025DC3">
            <w:pPr>
              <w:pStyle w:val="Tabletext"/>
              <w:rPr>
                <w:sz w:val="18"/>
                <w:szCs w:val="18"/>
                <w:lang w:val="ru-RU"/>
              </w:rPr>
            </w:pPr>
            <w:r w:rsidRPr="008B3F38">
              <w:rPr>
                <w:sz w:val="18"/>
                <w:szCs w:val="18"/>
                <w:lang w:val="ru-RU"/>
              </w:rPr>
              <w:t>ISD считает, что данная рекомендация выполнена.</w:t>
            </w:r>
          </w:p>
        </w:tc>
        <w:tc>
          <w:tcPr>
            <w:tcW w:w="1139" w:type="pct"/>
            <w:gridSpan w:val="2"/>
            <w:shd w:val="clear" w:color="auto" w:fill="auto"/>
          </w:tcPr>
          <w:p w14:paraId="1695EBDB" w14:textId="77777777" w:rsidR="00E006EF" w:rsidRPr="008B3F38" w:rsidRDefault="00E006EF" w:rsidP="00025DC3">
            <w:pPr>
              <w:pStyle w:val="Tabletext"/>
              <w:rPr>
                <w:sz w:val="18"/>
                <w:szCs w:val="18"/>
                <w:lang w:val="ru-RU"/>
              </w:rPr>
            </w:pPr>
            <w:r w:rsidRPr="008B3F38">
              <w:rPr>
                <w:sz w:val="18"/>
                <w:szCs w:val="18"/>
                <w:lang w:val="ru-RU"/>
              </w:rPr>
              <w:t>Последний ответ принят к сведению и признан обоснованным. Рекомендация закрыта.</w:t>
            </w:r>
          </w:p>
        </w:tc>
        <w:tc>
          <w:tcPr>
            <w:tcW w:w="440" w:type="pct"/>
            <w:shd w:val="clear" w:color="auto" w:fill="auto"/>
          </w:tcPr>
          <w:p w14:paraId="1085DCB2" w14:textId="77777777" w:rsidR="00E006EF" w:rsidRPr="008B3F38" w:rsidRDefault="00E006EF" w:rsidP="00025DC3">
            <w:pPr>
              <w:pStyle w:val="Tabletext"/>
              <w:ind w:right="-57"/>
              <w:rPr>
                <w:sz w:val="18"/>
                <w:szCs w:val="18"/>
                <w:lang w:val="ru-RU"/>
              </w:rPr>
            </w:pPr>
            <w:r w:rsidRPr="008B3F38">
              <w:rPr>
                <w:sz w:val="18"/>
                <w:szCs w:val="18"/>
                <w:lang w:val="ru-RU"/>
              </w:rPr>
              <w:t>Закрыта.</w:t>
            </w:r>
          </w:p>
        </w:tc>
      </w:tr>
      <w:tr w:rsidR="00E006EF" w:rsidRPr="008B3F38" w14:paraId="1D9E10CE" w14:textId="77777777" w:rsidTr="008A2FDE">
        <w:trPr>
          <w:jc w:val="center"/>
        </w:trPr>
        <w:tc>
          <w:tcPr>
            <w:tcW w:w="353" w:type="pct"/>
            <w:shd w:val="clear" w:color="auto" w:fill="auto"/>
          </w:tcPr>
          <w:p w14:paraId="4111B3A8" w14:textId="77777777" w:rsidR="00E006EF" w:rsidRPr="008B3F38" w:rsidRDefault="00E006EF" w:rsidP="00025DC3">
            <w:pPr>
              <w:pStyle w:val="Tabletext"/>
              <w:rPr>
                <w:sz w:val="18"/>
                <w:szCs w:val="18"/>
                <w:lang w:val="ru-RU"/>
              </w:rPr>
            </w:pPr>
            <w:r w:rsidRPr="008B3F38">
              <w:rPr>
                <w:sz w:val="18"/>
                <w:szCs w:val="18"/>
                <w:lang w:val="ru-RU"/>
              </w:rPr>
              <w:t>2021 г.</w:t>
            </w:r>
            <w:r w:rsidRPr="008B3F38">
              <w:rPr>
                <w:sz w:val="18"/>
                <w:szCs w:val="18"/>
                <w:lang w:val="ru-RU"/>
              </w:rPr>
              <w:br/>
              <w:t>РЕК47</w:t>
            </w:r>
          </w:p>
        </w:tc>
        <w:tc>
          <w:tcPr>
            <w:tcW w:w="1410" w:type="pct"/>
            <w:gridSpan w:val="2"/>
            <w:shd w:val="clear" w:color="auto" w:fill="auto"/>
          </w:tcPr>
          <w:p w14:paraId="5F2603FA" w14:textId="77777777" w:rsidR="00E006EF" w:rsidRPr="008B3F38" w:rsidRDefault="00E006EF" w:rsidP="00025DC3">
            <w:pPr>
              <w:pStyle w:val="Tabletext"/>
              <w:rPr>
                <w:sz w:val="18"/>
                <w:szCs w:val="18"/>
                <w:lang w:val="ru-RU"/>
              </w:rPr>
            </w:pPr>
            <w:r w:rsidRPr="008B3F38">
              <w:rPr>
                <w:sz w:val="18"/>
                <w:szCs w:val="18"/>
                <w:lang w:val="ru-RU"/>
              </w:rPr>
              <w:t>Проводить документально подтвержденный анализ прав доступа по меньшей мере один раз в год для всех имеющихся пользователей базы данных SAP ERP (010).</w:t>
            </w:r>
          </w:p>
        </w:tc>
        <w:tc>
          <w:tcPr>
            <w:tcW w:w="1658" w:type="pct"/>
            <w:shd w:val="clear" w:color="auto" w:fill="auto"/>
          </w:tcPr>
          <w:p w14:paraId="507386C1" w14:textId="77777777" w:rsidR="00E006EF" w:rsidRPr="008B3F38" w:rsidRDefault="00E006EF" w:rsidP="00025DC3">
            <w:pPr>
              <w:pStyle w:val="Tabletext"/>
              <w:rPr>
                <w:sz w:val="18"/>
                <w:szCs w:val="18"/>
                <w:lang w:val="ru-RU"/>
              </w:rPr>
            </w:pPr>
            <w:r w:rsidRPr="008B3F38">
              <w:rPr>
                <w:sz w:val="18"/>
                <w:szCs w:val="18"/>
                <w:lang w:val="ru-RU"/>
              </w:rPr>
              <w:t xml:space="preserve">Обновленная информация по состоянию на май 2025 года: Совершенствование процесса осуществляется на постоянной основе. В 2023 году были привлечены внешние эксперты для проведения очередного тщательного всестороннего анализа системы ERP, </w:t>
            </w:r>
            <w:r w:rsidRPr="008B3F38">
              <w:rPr>
                <w:sz w:val="18"/>
                <w:szCs w:val="18"/>
                <w:lang w:val="ru-RU"/>
              </w:rPr>
              <w:lastRenderedPageBreak/>
              <w:t>включая права доступа. Следующий подобный анализ запланирован на 2025 год.</w:t>
            </w:r>
          </w:p>
          <w:p w14:paraId="7B057A65" w14:textId="77777777" w:rsidR="00E006EF" w:rsidRPr="008B3F38" w:rsidRDefault="00E006EF" w:rsidP="00025DC3">
            <w:pPr>
              <w:pStyle w:val="Tabletext"/>
              <w:rPr>
                <w:sz w:val="18"/>
                <w:szCs w:val="18"/>
                <w:lang w:val="ru-RU"/>
              </w:rPr>
            </w:pPr>
            <w:r w:rsidRPr="008B3F38">
              <w:rPr>
                <w:sz w:val="18"/>
                <w:szCs w:val="18"/>
                <w:lang w:val="ru-RU"/>
              </w:rPr>
              <w:t>МСЭ рекомендует закрыть данную рекомендацию.</w:t>
            </w:r>
          </w:p>
        </w:tc>
        <w:tc>
          <w:tcPr>
            <w:tcW w:w="1139" w:type="pct"/>
            <w:gridSpan w:val="2"/>
            <w:shd w:val="clear" w:color="auto" w:fill="auto"/>
          </w:tcPr>
          <w:p w14:paraId="1C355E31" w14:textId="57AB1423" w:rsidR="00E006EF" w:rsidRPr="008B3F38" w:rsidRDefault="00E006EF" w:rsidP="00025DC3">
            <w:pPr>
              <w:pStyle w:val="Tabletext"/>
              <w:rPr>
                <w:sz w:val="18"/>
                <w:szCs w:val="18"/>
                <w:lang w:val="ru-RU"/>
              </w:rPr>
            </w:pPr>
            <w:r w:rsidRPr="008B3F38">
              <w:rPr>
                <w:sz w:val="18"/>
                <w:szCs w:val="18"/>
                <w:lang w:val="ru-RU"/>
              </w:rPr>
              <w:lastRenderedPageBreak/>
              <w:t xml:space="preserve">Последний ответ принят к сведению и признан обоснованным. Как отмечалось в </w:t>
            </w:r>
            <w:r w:rsidR="0008402A" w:rsidRPr="008B3F38">
              <w:rPr>
                <w:sz w:val="18"/>
                <w:szCs w:val="18"/>
                <w:lang w:val="ru-RU"/>
              </w:rPr>
              <w:t>Части </w:t>
            </w:r>
            <w:r w:rsidRPr="008B3F38">
              <w:rPr>
                <w:sz w:val="18"/>
                <w:szCs w:val="18"/>
                <w:lang w:val="ru-RU"/>
              </w:rPr>
              <w:t xml:space="preserve">2 настоящего отчета, мы рассмотрели общие механизмы, используемые </w:t>
            </w:r>
            <w:r w:rsidRPr="008B3F38">
              <w:rPr>
                <w:sz w:val="18"/>
                <w:szCs w:val="18"/>
                <w:lang w:val="ru-RU"/>
              </w:rPr>
              <w:lastRenderedPageBreak/>
              <w:t>руководством для обеспечения гарантий в отношении своей ИТ</w:t>
            </w:r>
            <w:r w:rsidR="0008402A" w:rsidRPr="008B3F38">
              <w:rPr>
                <w:rFonts w:ascii="Cambria Math" w:hAnsi="Cambria Math"/>
                <w:sz w:val="18"/>
                <w:szCs w:val="18"/>
                <w:lang w:val="ru-RU"/>
              </w:rPr>
              <w:t>‑</w:t>
            </w:r>
            <w:r w:rsidRPr="008B3F38">
              <w:rPr>
                <w:sz w:val="18"/>
                <w:szCs w:val="18"/>
                <w:lang w:val="ru-RU"/>
              </w:rPr>
              <w:t>среды, и подготовили соответствующие новые рекомендации, представленные в настоящем отчете.</w:t>
            </w:r>
          </w:p>
        </w:tc>
        <w:tc>
          <w:tcPr>
            <w:tcW w:w="440" w:type="pct"/>
            <w:shd w:val="clear" w:color="auto" w:fill="auto"/>
          </w:tcPr>
          <w:p w14:paraId="466B4E0D" w14:textId="77777777" w:rsidR="00E006EF" w:rsidRPr="008B3F38" w:rsidRDefault="00E006EF" w:rsidP="00025DC3">
            <w:pPr>
              <w:pStyle w:val="Tabletext"/>
              <w:ind w:right="-57"/>
              <w:rPr>
                <w:sz w:val="18"/>
                <w:szCs w:val="18"/>
                <w:lang w:val="ru-RU"/>
              </w:rPr>
            </w:pPr>
            <w:r w:rsidRPr="008B3F38">
              <w:rPr>
                <w:sz w:val="18"/>
                <w:szCs w:val="18"/>
                <w:lang w:val="ru-RU"/>
              </w:rPr>
              <w:lastRenderedPageBreak/>
              <w:t>Закрыта.</w:t>
            </w:r>
          </w:p>
        </w:tc>
      </w:tr>
      <w:tr w:rsidR="00E006EF" w:rsidRPr="008B3F38" w14:paraId="6F105C71" w14:textId="77777777" w:rsidTr="008A2FDE">
        <w:trPr>
          <w:jc w:val="center"/>
        </w:trPr>
        <w:tc>
          <w:tcPr>
            <w:tcW w:w="353" w:type="pct"/>
            <w:shd w:val="clear" w:color="auto" w:fill="auto"/>
          </w:tcPr>
          <w:p w14:paraId="53F77EA2" w14:textId="77777777" w:rsidR="00E006EF" w:rsidRPr="008B3F38" w:rsidRDefault="00E006EF" w:rsidP="00025DC3">
            <w:pPr>
              <w:pStyle w:val="Tabletext"/>
              <w:rPr>
                <w:sz w:val="18"/>
                <w:szCs w:val="18"/>
                <w:lang w:val="ru-RU"/>
              </w:rPr>
            </w:pPr>
            <w:r w:rsidRPr="008B3F38">
              <w:rPr>
                <w:sz w:val="18"/>
                <w:szCs w:val="18"/>
                <w:lang w:val="ru-RU"/>
              </w:rPr>
              <w:t>2021 г.</w:t>
            </w:r>
            <w:r w:rsidRPr="008B3F38">
              <w:rPr>
                <w:sz w:val="18"/>
                <w:szCs w:val="18"/>
                <w:lang w:val="ru-RU"/>
              </w:rPr>
              <w:br/>
              <w:t>РЕК48</w:t>
            </w:r>
          </w:p>
        </w:tc>
        <w:tc>
          <w:tcPr>
            <w:tcW w:w="1410" w:type="pct"/>
            <w:gridSpan w:val="2"/>
            <w:shd w:val="clear" w:color="auto" w:fill="auto"/>
          </w:tcPr>
          <w:p w14:paraId="58C1F7D9" w14:textId="77777777" w:rsidR="00E006EF" w:rsidRPr="008B3F38" w:rsidRDefault="00E006EF" w:rsidP="00025DC3">
            <w:pPr>
              <w:pStyle w:val="Tabletext"/>
              <w:rPr>
                <w:sz w:val="18"/>
                <w:szCs w:val="18"/>
                <w:lang w:val="ru-RU"/>
              </w:rPr>
            </w:pPr>
            <w:r w:rsidRPr="008B3F38">
              <w:rPr>
                <w:sz w:val="18"/>
                <w:szCs w:val="18"/>
                <w:lang w:val="ru-RU"/>
              </w:rPr>
              <w:t>Следует надлежащим образом хранить всю документацию, относящуюся к потоку данных об авторизации доступа к центру обработки данных (MO7).</w:t>
            </w:r>
          </w:p>
        </w:tc>
        <w:tc>
          <w:tcPr>
            <w:tcW w:w="1658" w:type="pct"/>
            <w:shd w:val="clear" w:color="auto" w:fill="auto"/>
          </w:tcPr>
          <w:p w14:paraId="244E285C" w14:textId="77777777" w:rsidR="00E006EF" w:rsidRPr="008B3F38" w:rsidRDefault="00E006EF" w:rsidP="00025DC3">
            <w:pPr>
              <w:pStyle w:val="Tabletext"/>
              <w:rPr>
                <w:sz w:val="18"/>
                <w:szCs w:val="18"/>
                <w:lang w:val="ru-RU"/>
              </w:rPr>
            </w:pPr>
            <w:r w:rsidRPr="008B3F38">
              <w:rPr>
                <w:sz w:val="18"/>
                <w:szCs w:val="18"/>
                <w:lang w:val="ru-RU"/>
              </w:rPr>
              <w:t>Обновленная информация по состоянию на май 2025 года: Создан портал SOP, осуществляется контроль прав доступа.</w:t>
            </w:r>
          </w:p>
          <w:p w14:paraId="656F13CE" w14:textId="77777777" w:rsidR="00E006EF" w:rsidRPr="008B3F38" w:rsidRDefault="00E006EF" w:rsidP="00025DC3">
            <w:pPr>
              <w:pStyle w:val="Tabletext"/>
              <w:rPr>
                <w:sz w:val="18"/>
                <w:szCs w:val="18"/>
                <w:lang w:val="ru-RU"/>
              </w:rPr>
            </w:pPr>
            <w:r w:rsidRPr="008B3F38">
              <w:rPr>
                <w:sz w:val="18"/>
                <w:szCs w:val="18"/>
                <w:lang w:val="ru-RU"/>
              </w:rPr>
              <w:t>МСЭ рекомендует закрыть данную рекомендацию.</w:t>
            </w:r>
          </w:p>
        </w:tc>
        <w:tc>
          <w:tcPr>
            <w:tcW w:w="1139" w:type="pct"/>
            <w:gridSpan w:val="2"/>
            <w:shd w:val="clear" w:color="auto" w:fill="auto"/>
          </w:tcPr>
          <w:p w14:paraId="7157C37D" w14:textId="6B43A0F1" w:rsidR="00E006EF" w:rsidRPr="008B3F38" w:rsidRDefault="00E006EF" w:rsidP="00025DC3">
            <w:pPr>
              <w:pStyle w:val="Tabletext"/>
              <w:rPr>
                <w:sz w:val="18"/>
                <w:szCs w:val="18"/>
                <w:lang w:val="ru-RU"/>
              </w:rPr>
            </w:pPr>
            <w:r w:rsidRPr="008B3F38">
              <w:rPr>
                <w:sz w:val="18"/>
                <w:szCs w:val="18"/>
                <w:lang w:val="ru-RU"/>
              </w:rPr>
              <w:t>Последний ответ принят к сведению и признан обоснованным. Как</w:t>
            </w:r>
            <w:r w:rsidR="00F63F65" w:rsidRPr="008B3F38">
              <w:rPr>
                <w:sz w:val="18"/>
                <w:szCs w:val="18"/>
                <w:lang w:val="ru-RU"/>
              </w:rPr>
              <w:t> </w:t>
            </w:r>
            <w:r w:rsidRPr="008B3F38">
              <w:rPr>
                <w:sz w:val="18"/>
                <w:szCs w:val="18"/>
                <w:lang w:val="ru-RU"/>
              </w:rPr>
              <w:t xml:space="preserve">отмечалось в </w:t>
            </w:r>
            <w:r w:rsidR="0008402A" w:rsidRPr="008B3F38">
              <w:rPr>
                <w:sz w:val="18"/>
                <w:szCs w:val="18"/>
                <w:lang w:val="ru-RU"/>
              </w:rPr>
              <w:t>Части </w:t>
            </w:r>
            <w:r w:rsidRPr="008B3F38">
              <w:rPr>
                <w:sz w:val="18"/>
                <w:szCs w:val="18"/>
                <w:lang w:val="ru-RU"/>
              </w:rPr>
              <w:t>2 настоящего отчета, мы рассмотрели общие механизмы, используемые руководством для обеспечения гарантий в отношении своей ИТ</w:t>
            </w:r>
            <w:r w:rsidR="007E5FDA" w:rsidRPr="008B3F38">
              <w:rPr>
                <w:rFonts w:ascii="Cambria Math" w:hAnsi="Cambria Math"/>
                <w:sz w:val="18"/>
                <w:szCs w:val="18"/>
                <w:lang w:val="ru-RU"/>
              </w:rPr>
              <w:t>‑</w:t>
            </w:r>
            <w:r w:rsidRPr="008B3F38">
              <w:rPr>
                <w:sz w:val="18"/>
                <w:szCs w:val="18"/>
                <w:lang w:val="ru-RU"/>
              </w:rPr>
              <w:t>среды, и подготовили соответствующие новые рекомендации, представленные в настоящем отчете.</w:t>
            </w:r>
          </w:p>
        </w:tc>
        <w:tc>
          <w:tcPr>
            <w:tcW w:w="440" w:type="pct"/>
            <w:shd w:val="clear" w:color="auto" w:fill="auto"/>
          </w:tcPr>
          <w:p w14:paraId="4EF383B3" w14:textId="77777777" w:rsidR="00E006EF" w:rsidRPr="008B3F38" w:rsidRDefault="00E006EF" w:rsidP="00025DC3">
            <w:pPr>
              <w:pStyle w:val="Tabletext"/>
              <w:ind w:right="-57"/>
              <w:rPr>
                <w:sz w:val="18"/>
                <w:szCs w:val="18"/>
                <w:lang w:val="ru-RU"/>
              </w:rPr>
            </w:pPr>
            <w:r w:rsidRPr="008B3F38">
              <w:rPr>
                <w:sz w:val="18"/>
                <w:szCs w:val="18"/>
                <w:lang w:val="ru-RU"/>
              </w:rPr>
              <w:t>Закрыта.</w:t>
            </w:r>
          </w:p>
        </w:tc>
      </w:tr>
      <w:tr w:rsidR="00E006EF" w:rsidRPr="008B3F38" w14:paraId="4E8E6877" w14:textId="77777777" w:rsidTr="008A2FDE">
        <w:trPr>
          <w:jc w:val="center"/>
        </w:trPr>
        <w:tc>
          <w:tcPr>
            <w:tcW w:w="5000" w:type="pct"/>
            <w:gridSpan w:val="7"/>
            <w:shd w:val="clear" w:color="auto" w:fill="auto"/>
          </w:tcPr>
          <w:p w14:paraId="61B742E6" w14:textId="77777777" w:rsidR="00E006EF" w:rsidRPr="008B3F38" w:rsidRDefault="00E006EF" w:rsidP="00025DC3">
            <w:pPr>
              <w:pStyle w:val="Tabletext"/>
              <w:spacing w:before="80" w:after="80"/>
              <w:rPr>
                <w:sz w:val="18"/>
                <w:szCs w:val="18"/>
                <w:lang w:val="ru-RU"/>
              </w:rPr>
            </w:pPr>
          </w:p>
        </w:tc>
      </w:tr>
      <w:tr w:rsidR="00E006EF" w:rsidRPr="008B3F38" w14:paraId="430EB080" w14:textId="77777777" w:rsidTr="008A2FDE">
        <w:trPr>
          <w:jc w:val="center"/>
        </w:trPr>
        <w:tc>
          <w:tcPr>
            <w:tcW w:w="353" w:type="pct"/>
            <w:shd w:val="clear" w:color="auto" w:fill="auto"/>
          </w:tcPr>
          <w:p w14:paraId="484A812F" w14:textId="77777777" w:rsidR="00E006EF" w:rsidRPr="008B3F38" w:rsidRDefault="00E006EF" w:rsidP="00025DC3">
            <w:pPr>
              <w:pStyle w:val="Tabletext"/>
              <w:rPr>
                <w:sz w:val="18"/>
                <w:szCs w:val="18"/>
                <w:lang w:val="ru-RU"/>
              </w:rPr>
            </w:pPr>
            <w:r w:rsidRPr="008B3F38">
              <w:rPr>
                <w:sz w:val="18"/>
                <w:szCs w:val="18"/>
                <w:lang w:val="ru-RU"/>
              </w:rPr>
              <w:t>РЕК 1/2020</w:t>
            </w:r>
          </w:p>
        </w:tc>
        <w:tc>
          <w:tcPr>
            <w:tcW w:w="1410" w:type="pct"/>
            <w:gridSpan w:val="2"/>
            <w:shd w:val="clear" w:color="auto" w:fill="auto"/>
          </w:tcPr>
          <w:p w14:paraId="6D4ACDC0" w14:textId="6C2AE920" w:rsidR="00E006EF" w:rsidRPr="008B3F38" w:rsidRDefault="00E006EF" w:rsidP="00025DC3">
            <w:pPr>
              <w:pStyle w:val="Tabletext"/>
              <w:ind w:left="284" w:hanging="284"/>
              <w:rPr>
                <w:sz w:val="18"/>
                <w:szCs w:val="18"/>
                <w:lang w:val="ru-RU"/>
              </w:rPr>
            </w:pPr>
            <w:r w:rsidRPr="008B3F38">
              <w:rPr>
                <w:sz w:val="18"/>
                <w:szCs w:val="18"/>
                <w:lang w:val="ru-RU"/>
              </w:rPr>
              <w:t>a)</w:t>
            </w:r>
            <w:r w:rsidRPr="008B3F38">
              <w:rPr>
                <w:sz w:val="18"/>
                <w:szCs w:val="18"/>
                <w:lang w:val="ru-RU"/>
              </w:rPr>
              <w:tab/>
              <w:t>Отделу закупок следует тщательно контролировать закупки с низкой стоимостью, не допуская их использования для уклонения от проведения конкурсных</w:t>
            </w:r>
            <w:r w:rsidR="00F63F65" w:rsidRPr="008B3F38">
              <w:rPr>
                <w:sz w:val="18"/>
                <w:szCs w:val="18"/>
                <w:lang w:val="ru-RU"/>
              </w:rPr>
              <w:t> </w:t>
            </w:r>
            <w:r w:rsidRPr="008B3F38">
              <w:rPr>
                <w:sz w:val="18"/>
                <w:szCs w:val="18"/>
                <w:lang w:val="ru-RU"/>
              </w:rPr>
              <w:t>процедур.</w:t>
            </w:r>
          </w:p>
          <w:p w14:paraId="69C42B3E" w14:textId="77777777" w:rsidR="00E006EF" w:rsidRPr="008B3F38" w:rsidRDefault="00E006EF" w:rsidP="00025DC3">
            <w:pPr>
              <w:pStyle w:val="Tabletext"/>
              <w:ind w:left="284" w:hanging="284"/>
              <w:rPr>
                <w:sz w:val="18"/>
                <w:szCs w:val="18"/>
                <w:lang w:val="ru-RU"/>
              </w:rPr>
            </w:pPr>
            <w:r w:rsidRPr="008B3F38">
              <w:rPr>
                <w:sz w:val="18"/>
                <w:szCs w:val="18"/>
                <w:lang w:val="ru-RU"/>
              </w:rPr>
              <w:t>b)</w:t>
            </w:r>
            <w:r w:rsidRPr="008B3F38">
              <w:rPr>
                <w:sz w:val="18"/>
                <w:szCs w:val="18"/>
                <w:lang w:val="ru-RU"/>
              </w:rPr>
              <w:tab/>
              <w:t>В том случае, если в результате этого контроля будут установлены такие злоупотребления, мы рекомендуем руководству рассмотреть возможность полного исключения "закупок с низкой стоимостью", в том числе путем включения новых руководящих указаний в Руководство по закупкам или снижения пороговых значений (5 тыс. и 20 тыс. [швейцарских франков]), ниже которых Руководство по закупкам допускает безальтернативную закупку у единственного поставщика.</w:t>
            </w:r>
          </w:p>
        </w:tc>
        <w:tc>
          <w:tcPr>
            <w:tcW w:w="1658" w:type="pct"/>
            <w:shd w:val="clear" w:color="auto" w:fill="auto"/>
          </w:tcPr>
          <w:p w14:paraId="25BBEA54" w14:textId="77777777" w:rsidR="00E006EF" w:rsidRPr="008B3F38" w:rsidRDefault="00E006EF" w:rsidP="00025DC3">
            <w:pPr>
              <w:pStyle w:val="Tabletext"/>
              <w:rPr>
                <w:sz w:val="18"/>
                <w:szCs w:val="18"/>
                <w:lang w:val="ru-RU"/>
              </w:rPr>
            </w:pPr>
            <w:r w:rsidRPr="008B3F38">
              <w:rPr>
                <w:sz w:val="18"/>
                <w:szCs w:val="18"/>
                <w:lang w:val="ru-RU"/>
              </w:rPr>
              <w:t>Данная рекомендация была выполнена 4 февраля 2022 года в рамках системы ERP и включена в пересмотренную версию Руководства по закупкам 2022 года.</w:t>
            </w:r>
          </w:p>
          <w:p w14:paraId="35195535" w14:textId="77777777" w:rsidR="00E006EF" w:rsidRPr="008B3F38" w:rsidRDefault="00E006EF" w:rsidP="00025DC3">
            <w:pPr>
              <w:pStyle w:val="Tabletext"/>
              <w:rPr>
                <w:sz w:val="18"/>
                <w:szCs w:val="18"/>
                <w:lang w:val="ru-RU"/>
              </w:rPr>
            </w:pPr>
            <w:r w:rsidRPr="008B3F38">
              <w:rPr>
                <w:sz w:val="18"/>
                <w:szCs w:val="18"/>
                <w:lang w:val="ru-RU"/>
              </w:rPr>
              <w:t>МСЭ рекомендует закрыть данную рекомендацию.</w:t>
            </w:r>
          </w:p>
        </w:tc>
        <w:tc>
          <w:tcPr>
            <w:tcW w:w="1139" w:type="pct"/>
            <w:gridSpan w:val="2"/>
            <w:shd w:val="clear" w:color="auto" w:fill="auto"/>
          </w:tcPr>
          <w:p w14:paraId="27E6B10A" w14:textId="77777777" w:rsidR="00E006EF" w:rsidRPr="008B3F38" w:rsidRDefault="00E006EF" w:rsidP="00025DC3">
            <w:pPr>
              <w:pStyle w:val="Tabletext"/>
              <w:rPr>
                <w:sz w:val="18"/>
                <w:szCs w:val="18"/>
                <w:lang w:val="ru-RU"/>
              </w:rPr>
            </w:pPr>
            <w:r w:rsidRPr="008B3F38">
              <w:rPr>
                <w:sz w:val="18"/>
                <w:szCs w:val="18"/>
                <w:lang w:val="ru-RU"/>
              </w:rPr>
              <w:t>Последний ответ принят к сведению и признан обоснованным. Рекомендация закрыта.</w:t>
            </w:r>
          </w:p>
        </w:tc>
        <w:tc>
          <w:tcPr>
            <w:tcW w:w="440" w:type="pct"/>
            <w:shd w:val="clear" w:color="auto" w:fill="auto"/>
          </w:tcPr>
          <w:p w14:paraId="58229DDB" w14:textId="77777777" w:rsidR="00E006EF" w:rsidRPr="008B3F38" w:rsidRDefault="00E006EF" w:rsidP="00025DC3">
            <w:pPr>
              <w:pStyle w:val="Tabletext"/>
              <w:ind w:right="-57"/>
              <w:rPr>
                <w:sz w:val="18"/>
                <w:szCs w:val="18"/>
                <w:lang w:val="ru-RU"/>
              </w:rPr>
            </w:pPr>
            <w:r w:rsidRPr="008B3F38">
              <w:rPr>
                <w:sz w:val="18"/>
                <w:szCs w:val="18"/>
                <w:lang w:val="ru-RU"/>
              </w:rPr>
              <w:t>Закрыта.</w:t>
            </w:r>
          </w:p>
        </w:tc>
      </w:tr>
      <w:tr w:rsidR="00E006EF" w:rsidRPr="008B3F38" w14:paraId="2463EB4A" w14:textId="77777777" w:rsidTr="008A2FDE">
        <w:trPr>
          <w:jc w:val="center"/>
        </w:trPr>
        <w:tc>
          <w:tcPr>
            <w:tcW w:w="353" w:type="pct"/>
            <w:shd w:val="clear" w:color="auto" w:fill="auto"/>
          </w:tcPr>
          <w:p w14:paraId="075BFCA6" w14:textId="22A29C9A" w:rsidR="00E006EF" w:rsidRPr="008B3F38" w:rsidRDefault="00E006EF" w:rsidP="00025DC3">
            <w:pPr>
              <w:pStyle w:val="Tabletext"/>
              <w:rPr>
                <w:sz w:val="18"/>
                <w:szCs w:val="18"/>
                <w:lang w:val="ru-RU"/>
              </w:rPr>
            </w:pPr>
            <w:r w:rsidRPr="008B3F38">
              <w:rPr>
                <w:sz w:val="18"/>
                <w:szCs w:val="18"/>
                <w:lang w:val="ru-RU"/>
              </w:rPr>
              <w:t>РЕК</w:t>
            </w:r>
            <w:r w:rsidR="00F63F65" w:rsidRPr="008B3F38">
              <w:rPr>
                <w:sz w:val="18"/>
                <w:szCs w:val="18"/>
                <w:lang w:val="ru-RU"/>
              </w:rPr>
              <w:br/>
            </w:r>
            <w:r w:rsidRPr="008B3F38">
              <w:rPr>
                <w:sz w:val="18"/>
                <w:szCs w:val="18"/>
                <w:lang w:val="ru-RU"/>
              </w:rPr>
              <w:t>3/2020</w:t>
            </w:r>
          </w:p>
        </w:tc>
        <w:tc>
          <w:tcPr>
            <w:tcW w:w="1410" w:type="pct"/>
            <w:gridSpan w:val="2"/>
            <w:shd w:val="clear" w:color="auto" w:fill="auto"/>
          </w:tcPr>
          <w:p w14:paraId="6EF8270C" w14:textId="77777777" w:rsidR="00E006EF" w:rsidRPr="008B3F38" w:rsidRDefault="00E006EF" w:rsidP="00025DC3">
            <w:pPr>
              <w:pStyle w:val="Tabletext"/>
              <w:rPr>
                <w:sz w:val="18"/>
                <w:szCs w:val="18"/>
                <w:lang w:val="ru-RU"/>
              </w:rPr>
            </w:pPr>
            <w:r w:rsidRPr="008B3F38">
              <w:rPr>
                <w:sz w:val="18"/>
                <w:szCs w:val="18"/>
                <w:lang w:val="ru-RU"/>
              </w:rPr>
              <w:t xml:space="preserve">Отделу закупок следует разработать соответствующие процедуры (или другие специальные процедуры) для закупок с низкой стоимостью (статья 6.7.1) и закупок с очень </w:t>
            </w:r>
            <w:r w:rsidRPr="008B3F38">
              <w:rPr>
                <w:sz w:val="18"/>
                <w:szCs w:val="18"/>
                <w:lang w:val="ru-RU"/>
              </w:rPr>
              <w:lastRenderedPageBreak/>
              <w:t>низкой стоимостью (статья 6.7.5) или внести поправки в Руководство по закупкам, если такие процедуры не требуются или могут быть упразднены в результате принятия новых руководящих указаний, направленных на исключение возможности "прямого заключения контракта" с единственным поставщиком.</w:t>
            </w:r>
          </w:p>
        </w:tc>
        <w:tc>
          <w:tcPr>
            <w:tcW w:w="1658" w:type="pct"/>
            <w:shd w:val="clear" w:color="auto" w:fill="auto"/>
          </w:tcPr>
          <w:p w14:paraId="40FEE0C9" w14:textId="77777777" w:rsidR="00E006EF" w:rsidRPr="008B3F38" w:rsidRDefault="00E006EF" w:rsidP="00025DC3">
            <w:pPr>
              <w:pStyle w:val="Tabletext"/>
              <w:rPr>
                <w:sz w:val="18"/>
                <w:szCs w:val="18"/>
                <w:lang w:val="ru-RU"/>
              </w:rPr>
            </w:pPr>
            <w:r w:rsidRPr="008B3F38">
              <w:rPr>
                <w:sz w:val="18"/>
                <w:szCs w:val="18"/>
                <w:lang w:val="ru-RU"/>
              </w:rPr>
              <w:lastRenderedPageBreak/>
              <w:t xml:space="preserve">Обновленная информация по состоянию на июнь 2022 года: Пересмотренный вариант Руководства по закупкам был разработан, рассмотрен Комитетом по контрактам и направлен на рассмотрение в </w:t>
            </w:r>
            <w:r w:rsidRPr="008B3F38">
              <w:rPr>
                <w:sz w:val="18"/>
                <w:szCs w:val="18"/>
                <w:lang w:val="ru-RU"/>
              </w:rPr>
              <w:lastRenderedPageBreak/>
              <w:t>Подразделение по правовым вопросам. Окончательная версия будет направлена обратно в Комитет по контрактам для окончательного рассмотрения.</w:t>
            </w:r>
          </w:p>
          <w:p w14:paraId="0D024861" w14:textId="77777777" w:rsidR="00E006EF" w:rsidRPr="008B3F38" w:rsidRDefault="00E006EF" w:rsidP="00025DC3">
            <w:pPr>
              <w:pStyle w:val="Tabletext"/>
              <w:rPr>
                <w:sz w:val="18"/>
                <w:szCs w:val="18"/>
                <w:lang w:val="ru-RU"/>
              </w:rPr>
            </w:pPr>
            <w:r w:rsidRPr="008B3F38">
              <w:rPr>
                <w:sz w:val="18"/>
                <w:szCs w:val="18"/>
                <w:lang w:val="ru-RU"/>
              </w:rPr>
              <w:t>МСЭ рекомендует закрыть данную рекомендацию.</w:t>
            </w:r>
          </w:p>
        </w:tc>
        <w:tc>
          <w:tcPr>
            <w:tcW w:w="1139" w:type="pct"/>
            <w:gridSpan w:val="2"/>
            <w:shd w:val="clear" w:color="auto" w:fill="auto"/>
          </w:tcPr>
          <w:p w14:paraId="2B9F5E0C" w14:textId="77777777" w:rsidR="00E006EF" w:rsidRPr="008B3F38" w:rsidRDefault="00E006EF" w:rsidP="00025DC3">
            <w:pPr>
              <w:pStyle w:val="Tabletext"/>
              <w:rPr>
                <w:sz w:val="18"/>
                <w:szCs w:val="18"/>
                <w:highlight w:val="yellow"/>
                <w:lang w:val="ru-RU"/>
              </w:rPr>
            </w:pPr>
            <w:r w:rsidRPr="008B3F38">
              <w:rPr>
                <w:sz w:val="18"/>
                <w:szCs w:val="18"/>
                <w:lang w:val="ru-RU"/>
              </w:rPr>
              <w:lastRenderedPageBreak/>
              <w:t>Последний ответ принят к сведению и признан обоснованным. Рекомендация закрыта.</w:t>
            </w:r>
          </w:p>
        </w:tc>
        <w:tc>
          <w:tcPr>
            <w:tcW w:w="440" w:type="pct"/>
            <w:shd w:val="clear" w:color="auto" w:fill="auto"/>
          </w:tcPr>
          <w:p w14:paraId="1BE7BDAA" w14:textId="77777777" w:rsidR="00E006EF" w:rsidRPr="008B3F38" w:rsidRDefault="00E006EF" w:rsidP="00025DC3">
            <w:pPr>
              <w:pStyle w:val="Tabletext"/>
              <w:ind w:right="-57"/>
              <w:rPr>
                <w:sz w:val="18"/>
                <w:szCs w:val="18"/>
                <w:highlight w:val="yellow"/>
                <w:lang w:val="ru-RU"/>
              </w:rPr>
            </w:pPr>
            <w:r w:rsidRPr="008B3F38">
              <w:rPr>
                <w:sz w:val="18"/>
                <w:szCs w:val="18"/>
                <w:lang w:val="ru-RU"/>
              </w:rPr>
              <w:t>Закрыта.</w:t>
            </w:r>
          </w:p>
        </w:tc>
      </w:tr>
      <w:tr w:rsidR="00E006EF" w:rsidRPr="008B3F38" w14:paraId="0A6B5D5A" w14:textId="77777777" w:rsidTr="008A2FDE">
        <w:trPr>
          <w:jc w:val="center"/>
        </w:trPr>
        <w:tc>
          <w:tcPr>
            <w:tcW w:w="353" w:type="pct"/>
            <w:shd w:val="clear" w:color="auto" w:fill="auto"/>
          </w:tcPr>
          <w:p w14:paraId="2B704943" w14:textId="39A8F0D8" w:rsidR="00E006EF" w:rsidRPr="008B3F38" w:rsidRDefault="00E006EF" w:rsidP="00025DC3">
            <w:pPr>
              <w:pStyle w:val="Tabletext"/>
              <w:rPr>
                <w:sz w:val="18"/>
                <w:szCs w:val="18"/>
                <w:lang w:val="ru-RU"/>
              </w:rPr>
            </w:pPr>
            <w:r w:rsidRPr="008B3F38">
              <w:rPr>
                <w:sz w:val="18"/>
                <w:szCs w:val="18"/>
                <w:lang w:val="ru-RU"/>
              </w:rPr>
              <w:t>РЕК</w:t>
            </w:r>
            <w:r w:rsidR="00F63F65" w:rsidRPr="008B3F38">
              <w:rPr>
                <w:sz w:val="18"/>
                <w:szCs w:val="18"/>
                <w:lang w:val="ru-RU"/>
              </w:rPr>
              <w:br/>
            </w:r>
            <w:r w:rsidRPr="008B3F38">
              <w:rPr>
                <w:sz w:val="18"/>
                <w:szCs w:val="18"/>
                <w:lang w:val="ru-RU"/>
              </w:rPr>
              <w:t>5/2020</w:t>
            </w:r>
          </w:p>
        </w:tc>
        <w:tc>
          <w:tcPr>
            <w:tcW w:w="1410" w:type="pct"/>
            <w:gridSpan w:val="2"/>
            <w:shd w:val="clear" w:color="auto" w:fill="auto"/>
          </w:tcPr>
          <w:p w14:paraId="0DB753C1" w14:textId="77777777" w:rsidR="00E006EF" w:rsidRPr="008B3F38" w:rsidRDefault="00E006EF" w:rsidP="00025DC3">
            <w:pPr>
              <w:pStyle w:val="Tabletext"/>
              <w:rPr>
                <w:sz w:val="18"/>
                <w:szCs w:val="18"/>
                <w:lang w:val="ru-RU"/>
              </w:rPr>
            </w:pPr>
            <w:r w:rsidRPr="008B3F38">
              <w:rPr>
                <w:sz w:val="18"/>
                <w:szCs w:val="18"/>
                <w:lang w:val="ru-RU"/>
              </w:rPr>
              <w:t>Внедрить систему "двух конвертов" во все процедуры закупок во избежание любого влияния цены на оценку полученных предложений, за исключением очень простых процедур (критерий "прошел/не прошел") и/или закупок с низкой стоимостью.</w:t>
            </w:r>
          </w:p>
        </w:tc>
        <w:tc>
          <w:tcPr>
            <w:tcW w:w="1658" w:type="pct"/>
            <w:shd w:val="clear" w:color="auto" w:fill="auto"/>
          </w:tcPr>
          <w:p w14:paraId="4D14C05F" w14:textId="77777777" w:rsidR="00E006EF" w:rsidRPr="008B3F38" w:rsidRDefault="00E006EF" w:rsidP="00025DC3">
            <w:pPr>
              <w:pStyle w:val="Tabletext"/>
              <w:rPr>
                <w:sz w:val="18"/>
                <w:szCs w:val="18"/>
                <w:lang w:val="ru-RU"/>
              </w:rPr>
            </w:pPr>
            <w:r w:rsidRPr="008B3F38">
              <w:rPr>
                <w:sz w:val="18"/>
                <w:szCs w:val="18"/>
                <w:lang w:val="ru-RU"/>
              </w:rPr>
              <w:t>Обновленная информация по состоянию на июнь 2022 года: Комментарий МСЭ остается без изменений. Методы запроса предложений (RFQ, ITB и RFP) являются общепринятыми и широко применяются и используются организациями системы ООН. Внедрение системы "двух конвертов" во все процедуры закупок будет противоречить Руководству МСЭ по закупкам и процедурам закупок ООН.</w:t>
            </w:r>
          </w:p>
          <w:p w14:paraId="3024CB43" w14:textId="77777777" w:rsidR="00E006EF" w:rsidRPr="008B3F38" w:rsidRDefault="00E006EF" w:rsidP="00025DC3">
            <w:pPr>
              <w:pStyle w:val="Tabletext"/>
              <w:rPr>
                <w:sz w:val="18"/>
                <w:szCs w:val="18"/>
                <w:lang w:val="ru-RU"/>
              </w:rPr>
            </w:pPr>
            <w:r w:rsidRPr="008B3F38">
              <w:rPr>
                <w:sz w:val="18"/>
                <w:szCs w:val="18"/>
                <w:lang w:val="ru-RU"/>
              </w:rPr>
              <w:t>МСЭ рекомендует закрыть данную рекомендацию.</w:t>
            </w:r>
          </w:p>
        </w:tc>
        <w:tc>
          <w:tcPr>
            <w:tcW w:w="1139" w:type="pct"/>
            <w:gridSpan w:val="2"/>
            <w:shd w:val="clear" w:color="auto" w:fill="auto"/>
          </w:tcPr>
          <w:p w14:paraId="0E969F83" w14:textId="77777777" w:rsidR="00E006EF" w:rsidRPr="008B3F38" w:rsidRDefault="00E006EF" w:rsidP="00025DC3">
            <w:pPr>
              <w:pStyle w:val="Tabletext"/>
              <w:rPr>
                <w:sz w:val="18"/>
                <w:szCs w:val="18"/>
                <w:lang w:val="ru-RU"/>
              </w:rPr>
            </w:pPr>
            <w:r w:rsidRPr="008B3F38">
              <w:rPr>
                <w:sz w:val="18"/>
                <w:szCs w:val="18"/>
                <w:lang w:val="ru-RU"/>
              </w:rPr>
              <w:t>Последний ответ принят к сведению и признан обоснованным. Рекомендация закрыта.</w:t>
            </w:r>
          </w:p>
        </w:tc>
        <w:tc>
          <w:tcPr>
            <w:tcW w:w="440" w:type="pct"/>
            <w:shd w:val="clear" w:color="auto" w:fill="auto"/>
          </w:tcPr>
          <w:p w14:paraId="437213B8" w14:textId="77777777" w:rsidR="00E006EF" w:rsidRPr="008B3F38" w:rsidRDefault="00E006EF" w:rsidP="00025DC3">
            <w:pPr>
              <w:pStyle w:val="Tabletext"/>
              <w:ind w:right="-57"/>
              <w:rPr>
                <w:sz w:val="18"/>
                <w:szCs w:val="18"/>
                <w:lang w:val="ru-RU"/>
              </w:rPr>
            </w:pPr>
            <w:r w:rsidRPr="008B3F38">
              <w:rPr>
                <w:sz w:val="18"/>
                <w:szCs w:val="18"/>
                <w:lang w:val="ru-RU"/>
              </w:rPr>
              <w:t>Закрыта.</w:t>
            </w:r>
          </w:p>
        </w:tc>
      </w:tr>
      <w:tr w:rsidR="00E006EF" w:rsidRPr="008B3F38" w14:paraId="19CCD968" w14:textId="77777777" w:rsidTr="008A2FDE">
        <w:trPr>
          <w:jc w:val="center"/>
        </w:trPr>
        <w:tc>
          <w:tcPr>
            <w:tcW w:w="353" w:type="pct"/>
            <w:shd w:val="clear" w:color="auto" w:fill="auto"/>
          </w:tcPr>
          <w:p w14:paraId="2CEDD02C" w14:textId="30F81E23" w:rsidR="00E006EF" w:rsidRPr="008B3F38" w:rsidRDefault="00E006EF" w:rsidP="00025DC3">
            <w:pPr>
              <w:pStyle w:val="Tabletext"/>
              <w:rPr>
                <w:sz w:val="18"/>
                <w:szCs w:val="18"/>
                <w:lang w:val="ru-RU"/>
              </w:rPr>
            </w:pPr>
            <w:r w:rsidRPr="008B3F38">
              <w:rPr>
                <w:sz w:val="18"/>
                <w:szCs w:val="18"/>
                <w:lang w:val="ru-RU"/>
              </w:rPr>
              <w:t>РЕК</w:t>
            </w:r>
            <w:r w:rsidR="00F63F65" w:rsidRPr="008B3F38">
              <w:rPr>
                <w:sz w:val="18"/>
                <w:szCs w:val="18"/>
                <w:lang w:val="ru-RU"/>
              </w:rPr>
              <w:br/>
            </w:r>
            <w:r w:rsidRPr="008B3F38">
              <w:rPr>
                <w:sz w:val="18"/>
                <w:szCs w:val="18"/>
                <w:lang w:val="ru-RU"/>
              </w:rPr>
              <w:t>7/2020</w:t>
            </w:r>
          </w:p>
        </w:tc>
        <w:tc>
          <w:tcPr>
            <w:tcW w:w="1410" w:type="pct"/>
            <w:gridSpan w:val="2"/>
            <w:shd w:val="clear" w:color="auto" w:fill="auto"/>
          </w:tcPr>
          <w:p w14:paraId="3A58002D" w14:textId="27819456" w:rsidR="00E006EF" w:rsidRPr="008B3F38" w:rsidRDefault="00E006EF" w:rsidP="00025DC3">
            <w:pPr>
              <w:pStyle w:val="Tabletext"/>
              <w:rPr>
                <w:sz w:val="18"/>
                <w:szCs w:val="18"/>
                <w:lang w:val="ru-RU"/>
              </w:rPr>
            </w:pPr>
            <w:r w:rsidRPr="008B3F38">
              <w:rPr>
                <w:sz w:val="18"/>
                <w:szCs w:val="18"/>
                <w:lang w:val="ru-RU"/>
              </w:rPr>
              <w:t>Ускорить процесс оцифровки личных дел с помощью всеобъемлющей и эффективной системы электронной документации по персоналу, поддерживаемой надежными системами резервного копирования и аварийного восстановления в сочетании с эффективной и действенной классификацией и архивированием исходной документации на</w:t>
            </w:r>
            <w:r w:rsidR="00F63F65" w:rsidRPr="008B3F38">
              <w:rPr>
                <w:sz w:val="18"/>
                <w:szCs w:val="18"/>
                <w:lang w:val="ru-RU"/>
              </w:rPr>
              <w:t> </w:t>
            </w:r>
            <w:r w:rsidRPr="008B3F38">
              <w:rPr>
                <w:sz w:val="18"/>
                <w:szCs w:val="18"/>
                <w:lang w:val="ru-RU"/>
              </w:rPr>
              <w:t>бумаге.</w:t>
            </w:r>
          </w:p>
        </w:tc>
        <w:tc>
          <w:tcPr>
            <w:tcW w:w="1658" w:type="pct"/>
            <w:shd w:val="clear" w:color="auto" w:fill="auto"/>
          </w:tcPr>
          <w:p w14:paraId="5D0B902B" w14:textId="77777777" w:rsidR="00E006EF" w:rsidRPr="008B3F38" w:rsidRDefault="00E006EF" w:rsidP="00025DC3">
            <w:pPr>
              <w:pStyle w:val="Tabletext"/>
              <w:rPr>
                <w:sz w:val="18"/>
                <w:szCs w:val="18"/>
                <w:lang w:val="ru-RU"/>
              </w:rPr>
            </w:pPr>
            <w:r w:rsidRPr="008B3F38">
              <w:rPr>
                <w:sz w:val="18"/>
                <w:szCs w:val="18"/>
                <w:lang w:val="ru-RU"/>
              </w:rPr>
              <w:t>Обновленная информация по состоянию на июнь 2022 года: МСЭ создал систему электронной документации во внутренней сети МСЭ с использованием технологии SharePoint. На данном этапе проводится работа по выявлению всей информации, находящейся на разных дисках и относящейся к разным подразделениям, занимающимся кадровыми вопросами, с целью ее переноса в эту общую систему документации. Система уже подключена к SAP, и в нее в автоматическом режиме поступает информация обо всех кадровых решениях.</w:t>
            </w:r>
          </w:p>
          <w:p w14:paraId="1FA6A8F3" w14:textId="77777777" w:rsidR="00E006EF" w:rsidRPr="008B3F38" w:rsidRDefault="00E006EF" w:rsidP="00025DC3">
            <w:pPr>
              <w:pStyle w:val="Tabletext"/>
              <w:rPr>
                <w:sz w:val="18"/>
                <w:szCs w:val="18"/>
                <w:lang w:val="ru-RU"/>
              </w:rPr>
            </w:pPr>
            <w:r w:rsidRPr="008B3F38">
              <w:rPr>
                <w:sz w:val="18"/>
                <w:szCs w:val="18"/>
                <w:lang w:val="ru-RU"/>
              </w:rPr>
              <w:t>МСЭ считает, что данная рекомендация находится в процессе выполнения.</w:t>
            </w:r>
          </w:p>
        </w:tc>
        <w:tc>
          <w:tcPr>
            <w:tcW w:w="1139" w:type="pct"/>
            <w:gridSpan w:val="2"/>
            <w:shd w:val="clear" w:color="auto" w:fill="auto"/>
          </w:tcPr>
          <w:p w14:paraId="57AC3842" w14:textId="77777777" w:rsidR="00E006EF" w:rsidRPr="008B3F38" w:rsidRDefault="00E006EF" w:rsidP="00025DC3">
            <w:pPr>
              <w:pStyle w:val="Tabletext"/>
              <w:rPr>
                <w:sz w:val="18"/>
                <w:szCs w:val="18"/>
                <w:highlight w:val="yellow"/>
                <w:lang w:val="ru-RU"/>
              </w:rPr>
            </w:pPr>
            <w:r w:rsidRPr="008B3F38">
              <w:rPr>
                <w:sz w:val="18"/>
                <w:szCs w:val="18"/>
                <w:lang w:val="ru-RU"/>
              </w:rPr>
              <w:t>Последний ответ принят к сведению.</w:t>
            </w:r>
          </w:p>
        </w:tc>
        <w:tc>
          <w:tcPr>
            <w:tcW w:w="440" w:type="pct"/>
            <w:shd w:val="clear" w:color="auto" w:fill="auto"/>
          </w:tcPr>
          <w:p w14:paraId="04F72ED8" w14:textId="77777777" w:rsidR="00E006EF" w:rsidRPr="008B3F38" w:rsidRDefault="00E006EF" w:rsidP="00025DC3">
            <w:pPr>
              <w:pStyle w:val="Tabletext"/>
              <w:ind w:right="-57"/>
              <w:rPr>
                <w:sz w:val="18"/>
                <w:szCs w:val="18"/>
                <w:highlight w:val="yellow"/>
                <w:lang w:val="ru-RU"/>
              </w:rPr>
            </w:pPr>
            <w:r w:rsidRPr="008B3F38">
              <w:rPr>
                <w:sz w:val="18"/>
                <w:szCs w:val="18"/>
                <w:lang w:val="ru-RU"/>
              </w:rPr>
              <w:t>Выполняется.</w:t>
            </w:r>
          </w:p>
        </w:tc>
      </w:tr>
      <w:tr w:rsidR="00E006EF" w:rsidRPr="008B3F38" w14:paraId="6FC6C09C" w14:textId="77777777" w:rsidTr="008A2FDE">
        <w:trPr>
          <w:jc w:val="center"/>
        </w:trPr>
        <w:tc>
          <w:tcPr>
            <w:tcW w:w="353" w:type="pct"/>
            <w:shd w:val="clear" w:color="auto" w:fill="auto"/>
          </w:tcPr>
          <w:p w14:paraId="0CDF9469" w14:textId="14CA53A8" w:rsidR="00E006EF" w:rsidRPr="008B3F38" w:rsidRDefault="00E006EF" w:rsidP="00025DC3">
            <w:pPr>
              <w:pStyle w:val="Tabletext"/>
              <w:rPr>
                <w:sz w:val="18"/>
                <w:szCs w:val="18"/>
                <w:lang w:val="ru-RU"/>
              </w:rPr>
            </w:pPr>
            <w:r w:rsidRPr="008B3F38">
              <w:rPr>
                <w:sz w:val="18"/>
                <w:szCs w:val="18"/>
                <w:lang w:val="ru-RU"/>
              </w:rPr>
              <w:t>РЕК</w:t>
            </w:r>
            <w:r w:rsidR="00F63F65" w:rsidRPr="008B3F38">
              <w:rPr>
                <w:sz w:val="18"/>
                <w:szCs w:val="18"/>
                <w:lang w:val="ru-RU"/>
              </w:rPr>
              <w:br/>
            </w:r>
            <w:r w:rsidRPr="008B3F38">
              <w:rPr>
                <w:sz w:val="18"/>
                <w:szCs w:val="18"/>
                <w:lang w:val="ru-RU"/>
              </w:rPr>
              <w:t>8/2020</w:t>
            </w:r>
          </w:p>
        </w:tc>
        <w:tc>
          <w:tcPr>
            <w:tcW w:w="1410" w:type="pct"/>
            <w:gridSpan w:val="2"/>
            <w:shd w:val="clear" w:color="auto" w:fill="auto"/>
          </w:tcPr>
          <w:p w14:paraId="784D3291" w14:textId="31246223" w:rsidR="00E006EF" w:rsidRPr="008B3F38" w:rsidRDefault="00E006EF" w:rsidP="00025DC3">
            <w:pPr>
              <w:pStyle w:val="Tabletext"/>
              <w:ind w:left="284" w:hanging="284"/>
              <w:rPr>
                <w:sz w:val="18"/>
                <w:szCs w:val="18"/>
                <w:lang w:val="ru-RU"/>
              </w:rPr>
            </w:pPr>
            <w:r w:rsidRPr="008B3F38">
              <w:rPr>
                <w:sz w:val="18"/>
                <w:szCs w:val="18"/>
                <w:lang w:val="ru-RU"/>
              </w:rPr>
              <w:t>a)</w:t>
            </w:r>
            <w:r w:rsidRPr="008B3F38">
              <w:rPr>
                <w:sz w:val="18"/>
                <w:szCs w:val="18"/>
                <w:lang w:val="ru-RU"/>
              </w:rPr>
              <w:tab/>
              <w:t>Повысить эффективность и действенность процесса применения дисциплинарных взысканий путем установления санкций, позволяющих защитить МСЭ от рисков, связанных с мошенническими действиями персонала, особенно в тех случаях, когда они влекут за собой финансовые потери.</w:t>
            </w:r>
          </w:p>
          <w:p w14:paraId="4499EE3F" w14:textId="62B5B072" w:rsidR="00E006EF" w:rsidRPr="008B3F38" w:rsidRDefault="00E006EF" w:rsidP="00025DC3">
            <w:pPr>
              <w:pStyle w:val="Tabletext"/>
              <w:ind w:left="284" w:hanging="284"/>
              <w:rPr>
                <w:sz w:val="18"/>
                <w:szCs w:val="18"/>
                <w:lang w:val="ru-RU"/>
              </w:rPr>
            </w:pPr>
            <w:r w:rsidRPr="008B3F38">
              <w:rPr>
                <w:sz w:val="18"/>
                <w:szCs w:val="18"/>
                <w:lang w:val="ru-RU"/>
              </w:rPr>
              <w:t>b)</w:t>
            </w:r>
            <w:r w:rsidRPr="008B3F38">
              <w:rPr>
                <w:sz w:val="18"/>
                <w:szCs w:val="18"/>
                <w:lang w:val="ru-RU"/>
              </w:rPr>
              <w:tab/>
              <w:t xml:space="preserve">Повысить способность Союза реагировать на мошенническое поведение сотрудников, в частности изучить возможность судебного </w:t>
            </w:r>
            <w:r w:rsidRPr="008B3F38">
              <w:rPr>
                <w:sz w:val="18"/>
                <w:szCs w:val="18"/>
                <w:lang w:val="ru-RU"/>
              </w:rPr>
              <w:lastRenderedPageBreak/>
              <w:t>преследования сотрудников, признанных виновными, после их увольнения, не только в целях возмещения убытков, но и для их включения во все существующие общие базы данных ООН, в которых содержится информация о лицах, прямо или косвенно причастных к возникновению финансовых</w:t>
            </w:r>
            <w:r w:rsidR="00F63F65" w:rsidRPr="008B3F38">
              <w:rPr>
                <w:sz w:val="18"/>
                <w:szCs w:val="18"/>
                <w:lang w:val="ru-RU"/>
              </w:rPr>
              <w:t> </w:t>
            </w:r>
            <w:r w:rsidRPr="008B3F38">
              <w:rPr>
                <w:sz w:val="18"/>
                <w:szCs w:val="18"/>
                <w:lang w:val="ru-RU"/>
              </w:rPr>
              <w:t>потерь.</w:t>
            </w:r>
          </w:p>
        </w:tc>
        <w:tc>
          <w:tcPr>
            <w:tcW w:w="1658" w:type="pct"/>
            <w:shd w:val="clear" w:color="auto" w:fill="auto"/>
          </w:tcPr>
          <w:p w14:paraId="6055AD3E" w14:textId="77777777" w:rsidR="00E006EF" w:rsidRPr="008B3F38" w:rsidRDefault="00E006EF" w:rsidP="00025DC3">
            <w:pPr>
              <w:pStyle w:val="Tabletext"/>
              <w:rPr>
                <w:sz w:val="18"/>
                <w:szCs w:val="18"/>
                <w:lang w:val="ru-RU"/>
              </w:rPr>
            </w:pPr>
            <w:r w:rsidRPr="008B3F38">
              <w:rPr>
                <w:sz w:val="18"/>
                <w:szCs w:val="18"/>
                <w:lang w:val="ru-RU"/>
              </w:rPr>
              <w:lastRenderedPageBreak/>
              <w:t>Обновленная информация по состоянию на июнь 2022 года: МСЭ предлагает полностью пересмотреть процесс применения дисциплинарных взысканий с учетом всех рекомендаций Внешних аудиторов. МСЭ присоединился к системе ClearCheck Организации Объединенных Наций и внес одно дело в базу данных.</w:t>
            </w:r>
          </w:p>
          <w:p w14:paraId="51E412DE" w14:textId="77777777" w:rsidR="00E006EF" w:rsidRPr="008B3F38" w:rsidRDefault="00E006EF" w:rsidP="00025DC3">
            <w:pPr>
              <w:pStyle w:val="Tabletext"/>
              <w:rPr>
                <w:sz w:val="18"/>
                <w:szCs w:val="18"/>
                <w:lang w:val="ru-RU"/>
              </w:rPr>
            </w:pPr>
            <w:r w:rsidRPr="008B3F38">
              <w:rPr>
                <w:sz w:val="18"/>
                <w:szCs w:val="18"/>
                <w:lang w:val="ru-RU"/>
              </w:rPr>
              <w:t>МСЭ считает, что данная рекомендация находится в процессе выполнения.</w:t>
            </w:r>
          </w:p>
        </w:tc>
        <w:tc>
          <w:tcPr>
            <w:tcW w:w="1139" w:type="pct"/>
            <w:gridSpan w:val="2"/>
            <w:shd w:val="clear" w:color="auto" w:fill="auto"/>
          </w:tcPr>
          <w:p w14:paraId="35B4A557" w14:textId="77777777" w:rsidR="00E006EF" w:rsidRPr="008B3F38" w:rsidRDefault="00E006EF" w:rsidP="00025DC3">
            <w:pPr>
              <w:pStyle w:val="Tabletext"/>
              <w:rPr>
                <w:sz w:val="18"/>
                <w:szCs w:val="18"/>
                <w:highlight w:val="yellow"/>
                <w:lang w:val="ru-RU"/>
              </w:rPr>
            </w:pPr>
            <w:r w:rsidRPr="008B3F38">
              <w:rPr>
                <w:sz w:val="18"/>
                <w:szCs w:val="18"/>
                <w:lang w:val="ru-RU"/>
              </w:rPr>
              <w:t>Последний ответ принят к сведению.</w:t>
            </w:r>
          </w:p>
        </w:tc>
        <w:tc>
          <w:tcPr>
            <w:tcW w:w="440" w:type="pct"/>
            <w:shd w:val="clear" w:color="auto" w:fill="auto"/>
          </w:tcPr>
          <w:p w14:paraId="6E37DA83" w14:textId="77777777" w:rsidR="00E006EF" w:rsidRPr="008B3F38" w:rsidRDefault="00E006EF" w:rsidP="00025DC3">
            <w:pPr>
              <w:pStyle w:val="Tabletext"/>
              <w:ind w:right="-57"/>
              <w:rPr>
                <w:sz w:val="18"/>
                <w:szCs w:val="18"/>
                <w:highlight w:val="yellow"/>
                <w:lang w:val="ru-RU"/>
              </w:rPr>
            </w:pPr>
            <w:r w:rsidRPr="008B3F38">
              <w:rPr>
                <w:sz w:val="18"/>
                <w:szCs w:val="18"/>
                <w:lang w:val="ru-RU"/>
              </w:rPr>
              <w:t>Выполняется.</w:t>
            </w:r>
          </w:p>
        </w:tc>
      </w:tr>
      <w:tr w:rsidR="00E006EF" w:rsidRPr="008B3F38" w14:paraId="1C9DBFCD" w14:textId="77777777" w:rsidTr="008A2FDE">
        <w:trPr>
          <w:jc w:val="center"/>
        </w:trPr>
        <w:tc>
          <w:tcPr>
            <w:tcW w:w="353" w:type="pct"/>
            <w:shd w:val="clear" w:color="auto" w:fill="auto"/>
          </w:tcPr>
          <w:p w14:paraId="185BB233" w14:textId="3D0F8E60" w:rsidR="00E006EF" w:rsidRPr="008B3F38" w:rsidRDefault="00E006EF" w:rsidP="00025DC3">
            <w:pPr>
              <w:pStyle w:val="Tabletext"/>
              <w:rPr>
                <w:sz w:val="18"/>
                <w:szCs w:val="18"/>
                <w:lang w:val="ru-RU"/>
              </w:rPr>
            </w:pPr>
            <w:r w:rsidRPr="008B3F38">
              <w:rPr>
                <w:sz w:val="18"/>
                <w:szCs w:val="18"/>
                <w:lang w:val="ru-RU"/>
              </w:rPr>
              <w:t>РЕК</w:t>
            </w:r>
            <w:r w:rsidR="00F63F65" w:rsidRPr="008B3F38">
              <w:rPr>
                <w:sz w:val="18"/>
                <w:szCs w:val="18"/>
                <w:lang w:val="ru-RU"/>
              </w:rPr>
              <w:br/>
            </w:r>
            <w:r w:rsidRPr="008B3F38">
              <w:rPr>
                <w:sz w:val="18"/>
                <w:szCs w:val="18"/>
                <w:lang w:val="ru-RU"/>
              </w:rPr>
              <w:t>5/2019</w:t>
            </w:r>
          </w:p>
        </w:tc>
        <w:tc>
          <w:tcPr>
            <w:tcW w:w="1410" w:type="pct"/>
            <w:gridSpan w:val="2"/>
            <w:shd w:val="clear" w:color="auto" w:fill="auto"/>
          </w:tcPr>
          <w:p w14:paraId="10D00C6C" w14:textId="77777777" w:rsidR="00E006EF" w:rsidRPr="008B3F38" w:rsidRDefault="00E006EF" w:rsidP="00025DC3">
            <w:pPr>
              <w:pStyle w:val="Tabletext"/>
              <w:rPr>
                <w:sz w:val="18"/>
                <w:szCs w:val="18"/>
                <w:lang w:val="ru-RU"/>
              </w:rPr>
            </w:pPr>
            <w:r w:rsidRPr="008B3F38">
              <w:rPr>
                <w:sz w:val="18"/>
                <w:szCs w:val="18"/>
                <w:lang w:val="ru-RU"/>
              </w:rPr>
              <w:t>Рассмотреть вопрос об ускорении реализации проекта по созданию системы электронной документации, а также о разработке и внедрении реальной системы управления информацией, в том числе путем инвестирования средств во внешние службы.</w:t>
            </w:r>
          </w:p>
        </w:tc>
        <w:tc>
          <w:tcPr>
            <w:tcW w:w="1658" w:type="pct"/>
            <w:shd w:val="clear" w:color="auto" w:fill="auto"/>
          </w:tcPr>
          <w:p w14:paraId="18794010" w14:textId="77777777" w:rsidR="00E006EF" w:rsidRPr="008B3F38" w:rsidRDefault="00E006EF" w:rsidP="00025DC3">
            <w:pPr>
              <w:pStyle w:val="Tabletext"/>
              <w:rPr>
                <w:sz w:val="18"/>
                <w:szCs w:val="18"/>
                <w:lang w:val="ru-RU"/>
              </w:rPr>
            </w:pPr>
            <w:r w:rsidRPr="008B3F38">
              <w:rPr>
                <w:sz w:val="18"/>
                <w:szCs w:val="18"/>
                <w:lang w:val="ru-RU"/>
              </w:rPr>
              <w:t>Обновленная информация по состоянию на июнь 2022 года: МСЭ создал систему электронной документации во внутренней сети МСЭ с использованием технологии SharePoint. На данном этапе проводится работа по выявлению всей информации, находящейся на разных дисках и относящейся к разным подразделениям, занимающимся кадровыми вопросами, с целью ее переноса в эту общую систему документации. Система уже подключена к SAP, и в нее в автоматическом режиме поступает информация обо всех кадровых решениях.</w:t>
            </w:r>
          </w:p>
          <w:p w14:paraId="7E9B5B75" w14:textId="77777777" w:rsidR="00E006EF" w:rsidRPr="008B3F38" w:rsidRDefault="00E006EF" w:rsidP="00025DC3">
            <w:pPr>
              <w:pStyle w:val="Tabletext"/>
              <w:rPr>
                <w:sz w:val="18"/>
                <w:szCs w:val="18"/>
                <w:lang w:val="ru-RU"/>
              </w:rPr>
            </w:pPr>
            <w:r w:rsidRPr="008B3F38">
              <w:rPr>
                <w:sz w:val="18"/>
                <w:szCs w:val="18"/>
                <w:lang w:val="ru-RU"/>
              </w:rPr>
              <w:t>МСЭ считает, что данная рекомендация находится в процессе выполнения.</w:t>
            </w:r>
          </w:p>
        </w:tc>
        <w:tc>
          <w:tcPr>
            <w:tcW w:w="1139" w:type="pct"/>
            <w:gridSpan w:val="2"/>
            <w:shd w:val="clear" w:color="auto" w:fill="auto"/>
          </w:tcPr>
          <w:p w14:paraId="291099CE" w14:textId="77777777" w:rsidR="00E006EF" w:rsidRPr="008B3F38" w:rsidRDefault="00E006EF" w:rsidP="00025DC3">
            <w:pPr>
              <w:pStyle w:val="Tabletext"/>
              <w:rPr>
                <w:sz w:val="18"/>
                <w:szCs w:val="18"/>
                <w:lang w:val="ru-RU"/>
              </w:rPr>
            </w:pPr>
            <w:r w:rsidRPr="008B3F38">
              <w:rPr>
                <w:sz w:val="18"/>
                <w:szCs w:val="18"/>
                <w:lang w:val="ru-RU"/>
              </w:rPr>
              <w:t>Последний ответ принят к сведению.</w:t>
            </w:r>
          </w:p>
        </w:tc>
        <w:tc>
          <w:tcPr>
            <w:tcW w:w="440" w:type="pct"/>
            <w:shd w:val="clear" w:color="auto" w:fill="auto"/>
          </w:tcPr>
          <w:p w14:paraId="7CE948E0" w14:textId="77777777" w:rsidR="00E006EF" w:rsidRPr="008B3F38" w:rsidRDefault="00E006EF" w:rsidP="00025DC3">
            <w:pPr>
              <w:pStyle w:val="Tabletext"/>
              <w:ind w:right="-57"/>
              <w:rPr>
                <w:sz w:val="18"/>
                <w:szCs w:val="18"/>
                <w:lang w:val="ru-RU"/>
              </w:rPr>
            </w:pPr>
            <w:r w:rsidRPr="008B3F38">
              <w:rPr>
                <w:sz w:val="18"/>
                <w:szCs w:val="18"/>
                <w:lang w:val="ru-RU"/>
              </w:rPr>
              <w:t>Выполняется.</w:t>
            </w:r>
          </w:p>
        </w:tc>
      </w:tr>
      <w:tr w:rsidR="00E006EF" w:rsidRPr="008B3F38" w14:paraId="416827FD" w14:textId="77777777" w:rsidTr="008A2FDE">
        <w:trPr>
          <w:jc w:val="center"/>
        </w:trPr>
        <w:tc>
          <w:tcPr>
            <w:tcW w:w="353" w:type="pct"/>
            <w:shd w:val="clear" w:color="auto" w:fill="auto"/>
          </w:tcPr>
          <w:p w14:paraId="59F39ABE" w14:textId="08A3F3BD" w:rsidR="00E006EF" w:rsidRPr="008B3F38" w:rsidRDefault="00E006EF" w:rsidP="00025DC3">
            <w:pPr>
              <w:pStyle w:val="Tabletext"/>
              <w:rPr>
                <w:sz w:val="18"/>
                <w:szCs w:val="18"/>
                <w:lang w:val="ru-RU"/>
              </w:rPr>
            </w:pPr>
            <w:r w:rsidRPr="008B3F38">
              <w:rPr>
                <w:sz w:val="18"/>
                <w:szCs w:val="18"/>
                <w:lang w:val="ru-RU"/>
              </w:rPr>
              <w:t>РЕК</w:t>
            </w:r>
            <w:r w:rsidR="00F63F65" w:rsidRPr="008B3F38">
              <w:rPr>
                <w:sz w:val="18"/>
                <w:szCs w:val="18"/>
                <w:lang w:val="ru-RU"/>
              </w:rPr>
              <w:br/>
            </w:r>
            <w:r w:rsidRPr="008B3F38">
              <w:rPr>
                <w:sz w:val="18"/>
                <w:szCs w:val="18"/>
                <w:lang w:val="ru-RU"/>
              </w:rPr>
              <w:t>6/2019</w:t>
            </w:r>
          </w:p>
        </w:tc>
        <w:tc>
          <w:tcPr>
            <w:tcW w:w="1410" w:type="pct"/>
            <w:gridSpan w:val="2"/>
            <w:shd w:val="clear" w:color="auto" w:fill="auto"/>
          </w:tcPr>
          <w:p w14:paraId="71845040" w14:textId="6F3EF115" w:rsidR="00E006EF" w:rsidRPr="008B3F38" w:rsidRDefault="00E006EF" w:rsidP="00025DC3">
            <w:pPr>
              <w:pStyle w:val="Tabletext"/>
              <w:rPr>
                <w:sz w:val="18"/>
                <w:szCs w:val="18"/>
                <w:lang w:val="ru-RU"/>
              </w:rPr>
            </w:pPr>
            <w:r w:rsidRPr="008B3F38">
              <w:rPr>
                <w:sz w:val="18"/>
                <w:szCs w:val="18"/>
                <w:lang w:val="ru-RU"/>
              </w:rPr>
              <w:t>Придать импульс претворению в жизнь новой стратегической системы посредством разработки оперативных планов и установления сроков их выполнения.</w:t>
            </w:r>
          </w:p>
        </w:tc>
        <w:tc>
          <w:tcPr>
            <w:tcW w:w="1658" w:type="pct"/>
            <w:shd w:val="clear" w:color="auto" w:fill="auto"/>
          </w:tcPr>
          <w:p w14:paraId="7C07904C" w14:textId="18D5CF45" w:rsidR="00E006EF" w:rsidRPr="008B3F38" w:rsidRDefault="00E006EF" w:rsidP="00025DC3">
            <w:pPr>
              <w:pStyle w:val="Tabletext"/>
              <w:rPr>
                <w:sz w:val="18"/>
                <w:szCs w:val="18"/>
                <w:lang w:val="ru-RU"/>
              </w:rPr>
            </w:pPr>
            <w:r w:rsidRPr="008B3F38">
              <w:rPr>
                <w:sz w:val="18"/>
                <w:szCs w:val="18"/>
                <w:lang w:val="ru-RU"/>
              </w:rPr>
              <w:t>Обновленная информация по состоянию на октябрь 2021 года: Отчет о выполнении Стратегического плана в области людских ресурсов был успешно представлен Совету 2021 года в Документе </w:t>
            </w:r>
            <w:hyperlink r:id="rId27" w:history="1">
              <w:r w:rsidRPr="008B3F38">
                <w:rPr>
                  <w:rStyle w:val="Hyperlink"/>
                  <w:sz w:val="18"/>
                  <w:szCs w:val="18"/>
                  <w:lang w:val="ru-RU"/>
                </w:rPr>
                <w:t>C21/54</w:t>
              </w:r>
            </w:hyperlink>
            <w:r w:rsidRPr="008B3F38">
              <w:rPr>
                <w:sz w:val="18"/>
                <w:szCs w:val="18"/>
                <w:lang w:val="ru-RU"/>
              </w:rPr>
              <w:t xml:space="preserve"> "Отчет о ходе выполнения Стратегического плана в области людских ресурсов и Резолюции 48 (Пересм. Дубай, 2018 г.)" в июне 2021 года.</w:t>
            </w:r>
          </w:p>
          <w:p w14:paraId="4937A6EC" w14:textId="77777777" w:rsidR="00E006EF" w:rsidRPr="008B3F38" w:rsidRDefault="00E006EF" w:rsidP="00025DC3">
            <w:pPr>
              <w:pStyle w:val="Tabletext"/>
              <w:rPr>
                <w:sz w:val="18"/>
                <w:szCs w:val="18"/>
                <w:lang w:val="ru-RU"/>
              </w:rPr>
            </w:pPr>
            <w:r w:rsidRPr="008B3F38">
              <w:rPr>
                <w:sz w:val="18"/>
                <w:szCs w:val="18"/>
                <w:lang w:val="ru-RU"/>
              </w:rPr>
              <w:t>Обновленная информация по состоянию на июнь 2022 года: Отчет о ходе выполнения Стратегического плана в области людских ресурсов был представлен Совету, который состоялся в марте 2022 года.</w:t>
            </w:r>
          </w:p>
          <w:p w14:paraId="770B9A8D" w14:textId="77777777" w:rsidR="00E006EF" w:rsidRPr="008B3F38" w:rsidRDefault="00E006EF" w:rsidP="00025DC3">
            <w:pPr>
              <w:pStyle w:val="Tabletext"/>
              <w:rPr>
                <w:sz w:val="18"/>
                <w:szCs w:val="18"/>
                <w:lang w:val="ru-RU"/>
              </w:rPr>
            </w:pPr>
            <w:r w:rsidRPr="008B3F38">
              <w:rPr>
                <w:sz w:val="18"/>
                <w:szCs w:val="18"/>
                <w:lang w:val="ru-RU"/>
              </w:rPr>
              <w:t>МСЭ рекомендует закрыть данную рекомендацию.</w:t>
            </w:r>
          </w:p>
        </w:tc>
        <w:tc>
          <w:tcPr>
            <w:tcW w:w="1139" w:type="pct"/>
            <w:gridSpan w:val="2"/>
            <w:shd w:val="clear" w:color="auto" w:fill="auto"/>
          </w:tcPr>
          <w:p w14:paraId="133505DE" w14:textId="77777777" w:rsidR="00E006EF" w:rsidRPr="008B3F38" w:rsidRDefault="00E006EF" w:rsidP="00025DC3">
            <w:pPr>
              <w:pStyle w:val="Tabletext"/>
              <w:rPr>
                <w:sz w:val="18"/>
                <w:szCs w:val="18"/>
                <w:lang w:val="ru-RU"/>
              </w:rPr>
            </w:pPr>
            <w:r w:rsidRPr="008B3F38">
              <w:rPr>
                <w:sz w:val="18"/>
                <w:szCs w:val="18"/>
                <w:lang w:val="ru-RU"/>
              </w:rPr>
              <w:t>Последний ответ принят к сведению и признан обоснованным. Рекомендация закрыта.</w:t>
            </w:r>
          </w:p>
        </w:tc>
        <w:tc>
          <w:tcPr>
            <w:tcW w:w="440" w:type="pct"/>
            <w:shd w:val="clear" w:color="auto" w:fill="auto"/>
          </w:tcPr>
          <w:p w14:paraId="742EC5D3" w14:textId="77777777" w:rsidR="00E006EF" w:rsidRPr="008B3F38" w:rsidRDefault="00E006EF" w:rsidP="00025DC3">
            <w:pPr>
              <w:pStyle w:val="Tabletext"/>
              <w:ind w:right="-57"/>
              <w:rPr>
                <w:sz w:val="18"/>
                <w:szCs w:val="18"/>
                <w:lang w:val="ru-RU"/>
              </w:rPr>
            </w:pPr>
            <w:r w:rsidRPr="008B3F38">
              <w:rPr>
                <w:sz w:val="18"/>
                <w:szCs w:val="18"/>
                <w:lang w:val="ru-RU"/>
              </w:rPr>
              <w:t>Закрыта.</w:t>
            </w:r>
          </w:p>
        </w:tc>
      </w:tr>
      <w:tr w:rsidR="00E006EF" w:rsidRPr="008B3F38" w14:paraId="08307C12" w14:textId="77777777" w:rsidTr="008A2FDE">
        <w:trPr>
          <w:jc w:val="center"/>
        </w:trPr>
        <w:tc>
          <w:tcPr>
            <w:tcW w:w="353" w:type="pct"/>
            <w:shd w:val="clear" w:color="auto" w:fill="auto"/>
          </w:tcPr>
          <w:p w14:paraId="5C80200B" w14:textId="18264421" w:rsidR="00E006EF" w:rsidRPr="008B3F38" w:rsidRDefault="00E006EF" w:rsidP="00025DC3">
            <w:pPr>
              <w:pStyle w:val="Tabletext"/>
              <w:rPr>
                <w:sz w:val="18"/>
                <w:szCs w:val="18"/>
                <w:lang w:val="ru-RU"/>
              </w:rPr>
            </w:pPr>
            <w:r w:rsidRPr="008B3F38">
              <w:rPr>
                <w:sz w:val="18"/>
                <w:szCs w:val="18"/>
                <w:lang w:val="ru-RU"/>
              </w:rPr>
              <w:t>РЕК</w:t>
            </w:r>
            <w:r w:rsidR="00F63F65" w:rsidRPr="008B3F38">
              <w:rPr>
                <w:sz w:val="18"/>
                <w:szCs w:val="18"/>
                <w:lang w:val="ru-RU"/>
              </w:rPr>
              <w:br/>
            </w:r>
            <w:r w:rsidRPr="008B3F38">
              <w:rPr>
                <w:sz w:val="18"/>
                <w:szCs w:val="18"/>
                <w:lang w:val="ru-RU"/>
              </w:rPr>
              <w:t>13/2018</w:t>
            </w:r>
          </w:p>
        </w:tc>
        <w:tc>
          <w:tcPr>
            <w:tcW w:w="1410" w:type="pct"/>
            <w:gridSpan w:val="2"/>
            <w:shd w:val="clear" w:color="auto" w:fill="auto"/>
          </w:tcPr>
          <w:p w14:paraId="3A5A315E" w14:textId="77777777" w:rsidR="00E006EF" w:rsidRPr="008B3F38" w:rsidRDefault="00E006EF" w:rsidP="00025DC3">
            <w:pPr>
              <w:pStyle w:val="Tabletext"/>
              <w:rPr>
                <w:sz w:val="18"/>
                <w:szCs w:val="18"/>
                <w:lang w:val="ru-RU"/>
              </w:rPr>
            </w:pPr>
            <w:r w:rsidRPr="008B3F38">
              <w:rPr>
                <w:sz w:val="18"/>
                <w:szCs w:val="18"/>
                <w:lang w:val="ru-RU"/>
              </w:rPr>
              <w:t>Руководству следует разработать конкретный и подробный список расходов, которые могут быть разрешены или отклонены директорами региональных отделений.</w:t>
            </w:r>
          </w:p>
        </w:tc>
        <w:tc>
          <w:tcPr>
            <w:tcW w:w="1658" w:type="pct"/>
            <w:shd w:val="clear" w:color="auto" w:fill="auto"/>
          </w:tcPr>
          <w:p w14:paraId="3124C827" w14:textId="2B2A1297" w:rsidR="00E006EF" w:rsidRPr="008B3F38" w:rsidRDefault="00E006EF" w:rsidP="00025DC3">
            <w:pPr>
              <w:pStyle w:val="Tabletext"/>
              <w:rPr>
                <w:sz w:val="18"/>
                <w:szCs w:val="18"/>
                <w:lang w:val="ru-RU"/>
              </w:rPr>
            </w:pPr>
            <w:r w:rsidRPr="008B3F38">
              <w:rPr>
                <w:sz w:val="18"/>
                <w:szCs w:val="18"/>
                <w:lang w:val="ru-RU"/>
              </w:rPr>
              <w:t>Обновленная информация по состоянию на июнь 2022 года: Данная рекомендация считается</w:t>
            </w:r>
            <w:r w:rsidR="00F63F65" w:rsidRPr="008B3F38">
              <w:rPr>
                <w:sz w:val="18"/>
                <w:szCs w:val="18"/>
                <w:lang w:val="ru-RU"/>
              </w:rPr>
              <w:t> </w:t>
            </w:r>
            <w:r w:rsidRPr="008B3F38">
              <w:rPr>
                <w:sz w:val="18"/>
                <w:szCs w:val="18"/>
                <w:lang w:val="ru-RU"/>
              </w:rPr>
              <w:t>выполненной.</w:t>
            </w:r>
          </w:p>
          <w:p w14:paraId="6B1F544F" w14:textId="2D1D824A" w:rsidR="00E006EF" w:rsidRPr="008B3F38" w:rsidRDefault="00E006EF" w:rsidP="00025DC3">
            <w:pPr>
              <w:pStyle w:val="Tabletext"/>
              <w:rPr>
                <w:sz w:val="18"/>
                <w:szCs w:val="18"/>
                <w:lang w:val="ru-RU"/>
              </w:rPr>
            </w:pPr>
            <w:r w:rsidRPr="008B3F38">
              <w:rPr>
                <w:sz w:val="18"/>
                <w:szCs w:val="18"/>
                <w:lang w:val="ru-RU"/>
              </w:rPr>
              <w:t xml:space="preserve">Перечень разрешенных расходов включен в руководящие указания по мелким суммам наличных средств, которые были разосланы коллегам из </w:t>
            </w:r>
            <w:r w:rsidRPr="008B3F38">
              <w:rPr>
                <w:sz w:val="18"/>
                <w:szCs w:val="18"/>
                <w:lang w:val="ru-RU"/>
              </w:rPr>
              <w:lastRenderedPageBreak/>
              <w:t>региональных и зональных отделений. Любое</w:t>
            </w:r>
            <w:r w:rsidR="004F55FD">
              <w:rPr>
                <w:sz w:val="18"/>
                <w:szCs w:val="18"/>
                <w:lang w:val="ru-RU"/>
              </w:rPr>
              <w:t> </w:t>
            </w:r>
            <w:r w:rsidRPr="008B3F38">
              <w:rPr>
                <w:sz w:val="18"/>
                <w:szCs w:val="18"/>
                <w:lang w:val="ru-RU"/>
              </w:rPr>
              <w:t>исключение направляется в FRMD для предварительного</w:t>
            </w:r>
            <w:r w:rsidR="00F63F65" w:rsidRPr="008B3F38">
              <w:rPr>
                <w:sz w:val="18"/>
                <w:szCs w:val="18"/>
                <w:lang w:val="ru-RU"/>
              </w:rPr>
              <w:t> </w:t>
            </w:r>
            <w:r w:rsidRPr="008B3F38">
              <w:rPr>
                <w:sz w:val="18"/>
                <w:szCs w:val="18"/>
                <w:lang w:val="ru-RU"/>
              </w:rPr>
              <w:t>утверждения.</w:t>
            </w:r>
          </w:p>
          <w:p w14:paraId="2BF25A3B" w14:textId="77777777" w:rsidR="00E006EF" w:rsidRPr="008B3F38" w:rsidRDefault="00E006EF" w:rsidP="00025DC3">
            <w:pPr>
              <w:pStyle w:val="Tabletext"/>
              <w:rPr>
                <w:sz w:val="18"/>
                <w:szCs w:val="18"/>
                <w:lang w:val="ru-RU"/>
              </w:rPr>
            </w:pPr>
            <w:r w:rsidRPr="008B3F38">
              <w:rPr>
                <w:sz w:val="18"/>
                <w:szCs w:val="18"/>
                <w:lang w:val="ru-RU"/>
              </w:rPr>
              <w:t>МСЭ рекомендует закрыть данную рекомендацию.</w:t>
            </w:r>
          </w:p>
        </w:tc>
        <w:tc>
          <w:tcPr>
            <w:tcW w:w="1139" w:type="pct"/>
            <w:gridSpan w:val="2"/>
            <w:shd w:val="clear" w:color="auto" w:fill="auto"/>
          </w:tcPr>
          <w:p w14:paraId="0B7C42E8" w14:textId="77777777" w:rsidR="00E006EF" w:rsidRPr="008B3F38" w:rsidRDefault="00E006EF" w:rsidP="00025DC3">
            <w:pPr>
              <w:pStyle w:val="Tabletext"/>
              <w:rPr>
                <w:sz w:val="18"/>
                <w:szCs w:val="18"/>
                <w:lang w:val="ru-RU"/>
              </w:rPr>
            </w:pPr>
            <w:r w:rsidRPr="008B3F38">
              <w:rPr>
                <w:sz w:val="18"/>
                <w:szCs w:val="18"/>
                <w:lang w:val="ru-RU"/>
              </w:rPr>
              <w:lastRenderedPageBreak/>
              <w:t>Последний ответ принят к сведению и признан обоснованным. Рекомендация закрыта.</w:t>
            </w:r>
          </w:p>
        </w:tc>
        <w:tc>
          <w:tcPr>
            <w:tcW w:w="440" w:type="pct"/>
            <w:shd w:val="clear" w:color="auto" w:fill="auto"/>
          </w:tcPr>
          <w:p w14:paraId="391F7DF9" w14:textId="77777777" w:rsidR="00E006EF" w:rsidRPr="008B3F38" w:rsidRDefault="00E006EF" w:rsidP="00025DC3">
            <w:pPr>
              <w:pStyle w:val="Tabletext"/>
              <w:ind w:right="-57"/>
              <w:rPr>
                <w:sz w:val="18"/>
                <w:szCs w:val="18"/>
                <w:lang w:val="ru-RU"/>
              </w:rPr>
            </w:pPr>
            <w:r w:rsidRPr="008B3F38">
              <w:rPr>
                <w:sz w:val="18"/>
                <w:szCs w:val="18"/>
                <w:lang w:val="ru-RU"/>
              </w:rPr>
              <w:t>Закрыта.</w:t>
            </w:r>
          </w:p>
        </w:tc>
      </w:tr>
      <w:tr w:rsidR="00E006EF" w:rsidRPr="008B3F38" w14:paraId="69D32296" w14:textId="77777777" w:rsidTr="008A2FDE">
        <w:trPr>
          <w:jc w:val="center"/>
        </w:trPr>
        <w:tc>
          <w:tcPr>
            <w:tcW w:w="353" w:type="pct"/>
            <w:shd w:val="clear" w:color="auto" w:fill="auto"/>
          </w:tcPr>
          <w:p w14:paraId="79271570" w14:textId="05F08DC4" w:rsidR="00E006EF" w:rsidRPr="008B3F38" w:rsidRDefault="00E006EF" w:rsidP="00025DC3">
            <w:pPr>
              <w:pStyle w:val="Tabletext"/>
              <w:rPr>
                <w:sz w:val="18"/>
                <w:szCs w:val="18"/>
                <w:lang w:val="ru-RU"/>
              </w:rPr>
            </w:pPr>
            <w:r w:rsidRPr="008B3F38">
              <w:rPr>
                <w:sz w:val="18"/>
                <w:szCs w:val="18"/>
                <w:lang w:val="ru-RU"/>
              </w:rPr>
              <w:t>РЕК</w:t>
            </w:r>
            <w:r w:rsidR="00F63F65" w:rsidRPr="008B3F38">
              <w:rPr>
                <w:sz w:val="18"/>
                <w:szCs w:val="18"/>
                <w:lang w:val="ru-RU"/>
              </w:rPr>
              <w:br/>
            </w:r>
            <w:r w:rsidRPr="008B3F38">
              <w:rPr>
                <w:sz w:val="18"/>
                <w:szCs w:val="18"/>
                <w:lang w:val="ru-RU"/>
              </w:rPr>
              <w:t>15/2018</w:t>
            </w:r>
          </w:p>
        </w:tc>
        <w:tc>
          <w:tcPr>
            <w:tcW w:w="1410" w:type="pct"/>
            <w:gridSpan w:val="2"/>
            <w:shd w:val="clear" w:color="auto" w:fill="auto"/>
          </w:tcPr>
          <w:p w14:paraId="6B6E5D3A" w14:textId="0D2FDCF5" w:rsidR="00E006EF" w:rsidRPr="008B3F38" w:rsidRDefault="00E006EF" w:rsidP="00025DC3">
            <w:pPr>
              <w:pStyle w:val="Tabletext"/>
              <w:rPr>
                <w:sz w:val="18"/>
                <w:szCs w:val="18"/>
                <w:lang w:val="ru-RU"/>
              </w:rPr>
            </w:pPr>
            <w:r w:rsidRPr="008B3F38">
              <w:rPr>
                <w:sz w:val="18"/>
                <w:szCs w:val="18"/>
                <w:lang w:val="ru-RU"/>
              </w:rPr>
              <w:t>Создать систему эффективного программного и технического контроля с использованием точных, надежных и последовательных показателей эффективности для оценки того, насколько рассматриваемая служебная командировка является необходимой для МСЭ, с возможностью создания независимого подразделения/органа, который будет также оценивать, насколько эффективной была данная командировка с точки зрения выполнения поставленных задач.</w:t>
            </w:r>
          </w:p>
        </w:tc>
        <w:tc>
          <w:tcPr>
            <w:tcW w:w="1658" w:type="pct"/>
            <w:shd w:val="clear" w:color="auto" w:fill="auto"/>
          </w:tcPr>
          <w:p w14:paraId="03FB5783" w14:textId="77777777" w:rsidR="00E006EF" w:rsidRPr="008B3F38" w:rsidRDefault="00E006EF" w:rsidP="00025DC3">
            <w:pPr>
              <w:pStyle w:val="Tabletext"/>
              <w:rPr>
                <w:sz w:val="18"/>
                <w:szCs w:val="18"/>
                <w:lang w:val="ru-RU"/>
              </w:rPr>
            </w:pPr>
            <w:r w:rsidRPr="008B3F38">
              <w:rPr>
                <w:sz w:val="18"/>
                <w:szCs w:val="18"/>
                <w:lang w:val="ru-RU"/>
              </w:rPr>
              <w:t>Обновленная информация по состоянию на июнь 2022 года: Были определены командировки для поддержки ОП 2022 года в рамках системы планирования ОП, но четкие планы до сих пор не составлены из-за значительной неопределенности, связанной с пандемией Covid-19.</w:t>
            </w:r>
          </w:p>
          <w:p w14:paraId="5C58DD2F" w14:textId="28413928" w:rsidR="00E006EF" w:rsidRPr="008B3F38" w:rsidRDefault="00E006EF" w:rsidP="00025DC3">
            <w:pPr>
              <w:pStyle w:val="Tabletext"/>
              <w:rPr>
                <w:sz w:val="18"/>
                <w:szCs w:val="18"/>
                <w:lang w:val="ru-RU"/>
              </w:rPr>
            </w:pPr>
            <w:r w:rsidRPr="008B3F38">
              <w:rPr>
                <w:sz w:val="18"/>
                <w:szCs w:val="18"/>
                <w:lang w:val="ru-RU"/>
              </w:rPr>
              <w:t>Обновленная информация по состоянию на май 2025 года: Утвержденная форма запроса на командировку обязательна для получения электронного разрешения на поездку. В конце 2024 года введена новая процедура, согласно которой все поездки утверждаются Исполнительным комитетом по вопросам управления (MEC), который, в частности, оценивает функции персонала, пункт назначения и обоснованность</w:t>
            </w:r>
            <w:r w:rsidR="00F63F65" w:rsidRPr="008B3F38">
              <w:rPr>
                <w:sz w:val="18"/>
                <w:szCs w:val="18"/>
                <w:lang w:val="ru-RU"/>
              </w:rPr>
              <w:t> </w:t>
            </w:r>
            <w:r w:rsidRPr="008B3F38">
              <w:rPr>
                <w:sz w:val="18"/>
                <w:szCs w:val="18"/>
                <w:lang w:val="ru-RU"/>
              </w:rPr>
              <w:t>поездки.</w:t>
            </w:r>
          </w:p>
          <w:p w14:paraId="582A2E70" w14:textId="77777777" w:rsidR="00E006EF" w:rsidRPr="008B3F38" w:rsidRDefault="00E006EF" w:rsidP="00025DC3">
            <w:pPr>
              <w:pStyle w:val="Tabletext"/>
              <w:rPr>
                <w:sz w:val="18"/>
                <w:szCs w:val="18"/>
                <w:lang w:val="ru-RU"/>
              </w:rPr>
            </w:pPr>
            <w:r w:rsidRPr="008B3F38">
              <w:rPr>
                <w:sz w:val="18"/>
                <w:szCs w:val="18"/>
                <w:lang w:val="ru-RU"/>
              </w:rPr>
              <w:t>МСЭ рекомендует закрыть данную рекомендацию.</w:t>
            </w:r>
          </w:p>
        </w:tc>
        <w:tc>
          <w:tcPr>
            <w:tcW w:w="1139" w:type="pct"/>
            <w:gridSpan w:val="2"/>
            <w:shd w:val="clear" w:color="auto" w:fill="auto"/>
          </w:tcPr>
          <w:p w14:paraId="65445AC6" w14:textId="77777777" w:rsidR="00E006EF" w:rsidRPr="008B3F38" w:rsidRDefault="00E006EF" w:rsidP="00025DC3">
            <w:pPr>
              <w:pStyle w:val="Tabletext"/>
              <w:rPr>
                <w:sz w:val="18"/>
                <w:szCs w:val="18"/>
                <w:lang w:val="ru-RU"/>
              </w:rPr>
            </w:pPr>
            <w:r w:rsidRPr="008B3F38">
              <w:rPr>
                <w:sz w:val="18"/>
                <w:szCs w:val="18"/>
                <w:lang w:val="ru-RU"/>
              </w:rPr>
              <w:t>Последний ответ принят к сведению и признан обоснованным. Рекомендация закрыта.</w:t>
            </w:r>
          </w:p>
        </w:tc>
        <w:tc>
          <w:tcPr>
            <w:tcW w:w="440" w:type="pct"/>
            <w:shd w:val="clear" w:color="auto" w:fill="auto"/>
          </w:tcPr>
          <w:p w14:paraId="0A5B40D7" w14:textId="77777777" w:rsidR="00E006EF" w:rsidRPr="008B3F38" w:rsidRDefault="00E006EF" w:rsidP="00025DC3">
            <w:pPr>
              <w:pStyle w:val="Tabletext"/>
              <w:ind w:right="-57"/>
              <w:rPr>
                <w:sz w:val="18"/>
                <w:szCs w:val="18"/>
                <w:lang w:val="ru-RU"/>
              </w:rPr>
            </w:pPr>
            <w:r w:rsidRPr="008B3F38">
              <w:rPr>
                <w:sz w:val="18"/>
                <w:szCs w:val="18"/>
                <w:lang w:val="ru-RU"/>
              </w:rPr>
              <w:t>Закрыта.</w:t>
            </w:r>
          </w:p>
        </w:tc>
      </w:tr>
      <w:tr w:rsidR="00E006EF" w:rsidRPr="008B3F38" w14:paraId="1780A546" w14:textId="77777777" w:rsidTr="008A2FDE">
        <w:trPr>
          <w:jc w:val="center"/>
        </w:trPr>
        <w:tc>
          <w:tcPr>
            <w:tcW w:w="353" w:type="pct"/>
            <w:shd w:val="clear" w:color="auto" w:fill="auto"/>
          </w:tcPr>
          <w:p w14:paraId="0FF822FC" w14:textId="73FFD3D3" w:rsidR="00E006EF" w:rsidRPr="008B3F38" w:rsidRDefault="00E006EF" w:rsidP="00025DC3">
            <w:pPr>
              <w:pStyle w:val="Tabletext"/>
              <w:rPr>
                <w:sz w:val="18"/>
                <w:szCs w:val="18"/>
                <w:lang w:val="ru-RU"/>
              </w:rPr>
            </w:pPr>
            <w:r w:rsidRPr="008B3F38">
              <w:rPr>
                <w:sz w:val="18"/>
                <w:szCs w:val="18"/>
                <w:lang w:val="ru-RU"/>
              </w:rPr>
              <w:t>РЕК</w:t>
            </w:r>
            <w:r w:rsidR="00F63F65" w:rsidRPr="008B3F38">
              <w:rPr>
                <w:sz w:val="18"/>
                <w:szCs w:val="18"/>
                <w:lang w:val="ru-RU"/>
              </w:rPr>
              <w:br/>
            </w:r>
            <w:r w:rsidRPr="008B3F38">
              <w:rPr>
                <w:sz w:val="18"/>
                <w:szCs w:val="18"/>
                <w:lang w:val="ru-RU"/>
              </w:rPr>
              <w:t>16/2018</w:t>
            </w:r>
          </w:p>
        </w:tc>
        <w:tc>
          <w:tcPr>
            <w:tcW w:w="1410" w:type="pct"/>
            <w:gridSpan w:val="2"/>
            <w:shd w:val="clear" w:color="auto" w:fill="auto"/>
          </w:tcPr>
          <w:p w14:paraId="3D62E52E" w14:textId="77777777" w:rsidR="00E006EF" w:rsidRPr="008B3F38" w:rsidRDefault="00E006EF" w:rsidP="00025DC3">
            <w:pPr>
              <w:pStyle w:val="Tabletext"/>
              <w:rPr>
                <w:sz w:val="18"/>
                <w:szCs w:val="18"/>
                <w:lang w:val="ru-RU"/>
              </w:rPr>
            </w:pPr>
            <w:r w:rsidRPr="008B3F38">
              <w:rPr>
                <w:sz w:val="18"/>
                <w:szCs w:val="18"/>
                <w:lang w:val="ru-RU"/>
              </w:rPr>
              <w:t>Во избежание возможных конфликтов интересов директорам региональных отделений и штаб-квартир следует тщательно все обдумывать, прежде чем направлять сотрудников в служебные командировки в страны их постоянного проживания, и в то же время должным образом отслеживать все служебные поездки.</w:t>
            </w:r>
          </w:p>
        </w:tc>
        <w:tc>
          <w:tcPr>
            <w:tcW w:w="1658" w:type="pct"/>
            <w:shd w:val="clear" w:color="auto" w:fill="auto"/>
          </w:tcPr>
          <w:p w14:paraId="15FEE211" w14:textId="77777777" w:rsidR="00E006EF" w:rsidRPr="008B3F38" w:rsidRDefault="00E006EF" w:rsidP="00025DC3">
            <w:pPr>
              <w:pStyle w:val="Tabletext"/>
              <w:rPr>
                <w:sz w:val="18"/>
                <w:szCs w:val="18"/>
                <w:lang w:val="ru-RU"/>
              </w:rPr>
            </w:pPr>
            <w:r w:rsidRPr="008B3F38">
              <w:rPr>
                <w:sz w:val="18"/>
                <w:szCs w:val="18"/>
                <w:lang w:val="ru-RU"/>
              </w:rPr>
              <w:t>Обновленная информация по состоянию на июнь 2022 года: Это неизбежно, учитывая небольшую численность персонала БРЭ в региональных отделениях и специализацию работы, выполняемой персоналом, что иногда требует от них поездок по странам постоянного проживания. Директора региональных отделений были проинформированы об этой проблеме, и были проведены проверки, чтобы убедиться в том, что поездки являются обоснованными и что соответствующие сотрудники осведомлены о своей обязанности сохранять беспристрастность при поездках на родину. DDR периодически осуществляет выборочные проверки процесса организации таких поездок на этапе утверждения, связываясь напрямую с директорами региональных отделений, чтобы убедиться в том, что поездка действительно необходима, и проводя беседы с соответствующими работниками, чтобы удостовериться в том, что они осведомлены о своих обязанностях.</w:t>
            </w:r>
          </w:p>
          <w:p w14:paraId="6E335D2C" w14:textId="437CC576" w:rsidR="00E006EF" w:rsidRPr="008B3F38" w:rsidRDefault="00E006EF" w:rsidP="00025DC3">
            <w:pPr>
              <w:pStyle w:val="Tabletext"/>
              <w:rPr>
                <w:sz w:val="18"/>
                <w:szCs w:val="18"/>
                <w:lang w:val="ru-RU"/>
              </w:rPr>
            </w:pPr>
            <w:r w:rsidRPr="008B3F38">
              <w:rPr>
                <w:sz w:val="18"/>
                <w:szCs w:val="18"/>
                <w:lang w:val="ru-RU"/>
              </w:rPr>
              <w:lastRenderedPageBreak/>
              <w:t>Обновленная информация по состоянию на 2025 год: В</w:t>
            </w:r>
            <w:r w:rsidR="0008402A" w:rsidRPr="008B3F38">
              <w:rPr>
                <w:sz w:val="18"/>
                <w:szCs w:val="18"/>
                <w:lang w:val="ru-RU"/>
              </w:rPr>
              <w:t> </w:t>
            </w:r>
            <w:r w:rsidRPr="008B3F38">
              <w:rPr>
                <w:sz w:val="18"/>
                <w:szCs w:val="18"/>
                <w:lang w:val="ru-RU"/>
              </w:rPr>
              <w:t>конце 2024 года введена новая процедура, согласно которой все поездки утверждаются Исполнительным комитетом по вопросам управления (MEC), который, в частности, оценивает функции персонала, пункт назначения и обоснованность поездки. В ходе этого процесса утверждения должное внимание уделяется возможным конфликтам интересов, в том числе в случаях, когда сотрудники направляются в командировку в страну своего происхождения.</w:t>
            </w:r>
          </w:p>
          <w:p w14:paraId="438A4743" w14:textId="77777777" w:rsidR="00E006EF" w:rsidRPr="008B3F38" w:rsidRDefault="00E006EF" w:rsidP="00025DC3">
            <w:pPr>
              <w:pStyle w:val="Tabletext"/>
              <w:rPr>
                <w:sz w:val="18"/>
                <w:szCs w:val="18"/>
                <w:lang w:val="ru-RU"/>
              </w:rPr>
            </w:pPr>
            <w:r w:rsidRPr="008B3F38">
              <w:rPr>
                <w:sz w:val="18"/>
                <w:szCs w:val="18"/>
                <w:lang w:val="ru-RU"/>
              </w:rPr>
              <w:t>МСЭ рекомендует закрыть данную рекомендацию.</w:t>
            </w:r>
          </w:p>
        </w:tc>
        <w:tc>
          <w:tcPr>
            <w:tcW w:w="1139" w:type="pct"/>
            <w:gridSpan w:val="2"/>
            <w:shd w:val="clear" w:color="auto" w:fill="auto"/>
          </w:tcPr>
          <w:p w14:paraId="2ADCACEF" w14:textId="77777777" w:rsidR="00E006EF" w:rsidRPr="008B3F38" w:rsidRDefault="00E006EF" w:rsidP="00025DC3">
            <w:pPr>
              <w:pStyle w:val="Tabletext"/>
              <w:rPr>
                <w:sz w:val="18"/>
                <w:szCs w:val="18"/>
                <w:lang w:val="ru-RU"/>
              </w:rPr>
            </w:pPr>
            <w:r w:rsidRPr="008B3F38">
              <w:rPr>
                <w:sz w:val="18"/>
                <w:szCs w:val="18"/>
                <w:lang w:val="ru-RU"/>
              </w:rPr>
              <w:lastRenderedPageBreak/>
              <w:t>Последний ответ принят к сведению и признан обоснованным. Рекомендация закрыта.</w:t>
            </w:r>
          </w:p>
        </w:tc>
        <w:tc>
          <w:tcPr>
            <w:tcW w:w="440" w:type="pct"/>
            <w:shd w:val="clear" w:color="auto" w:fill="auto"/>
          </w:tcPr>
          <w:p w14:paraId="6EE30D43" w14:textId="77777777" w:rsidR="00E006EF" w:rsidRPr="008B3F38" w:rsidRDefault="00E006EF" w:rsidP="00025DC3">
            <w:pPr>
              <w:pStyle w:val="Tabletext"/>
              <w:ind w:right="-57"/>
              <w:rPr>
                <w:sz w:val="18"/>
                <w:szCs w:val="18"/>
                <w:lang w:val="ru-RU"/>
              </w:rPr>
            </w:pPr>
            <w:r w:rsidRPr="008B3F38">
              <w:rPr>
                <w:sz w:val="18"/>
                <w:szCs w:val="18"/>
                <w:lang w:val="ru-RU"/>
              </w:rPr>
              <w:t>Закрыта.</w:t>
            </w:r>
          </w:p>
        </w:tc>
      </w:tr>
      <w:tr w:rsidR="00E006EF" w:rsidRPr="008B3F38" w14:paraId="683B8FED" w14:textId="77777777" w:rsidTr="008A2FDE">
        <w:trPr>
          <w:jc w:val="center"/>
        </w:trPr>
        <w:tc>
          <w:tcPr>
            <w:tcW w:w="353" w:type="pct"/>
            <w:shd w:val="clear" w:color="auto" w:fill="auto"/>
          </w:tcPr>
          <w:p w14:paraId="6EE4780D" w14:textId="7385F1AB" w:rsidR="00E006EF" w:rsidRPr="008B3F38" w:rsidRDefault="00E006EF" w:rsidP="00025DC3">
            <w:pPr>
              <w:pStyle w:val="Tabletext"/>
              <w:rPr>
                <w:sz w:val="18"/>
                <w:szCs w:val="18"/>
                <w:lang w:val="ru-RU"/>
              </w:rPr>
            </w:pPr>
            <w:r w:rsidRPr="008B3F38">
              <w:rPr>
                <w:sz w:val="18"/>
                <w:szCs w:val="18"/>
                <w:lang w:val="ru-RU"/>
              </w:rPr>
              <w:t>РЕК</w:t>
            </w:r>
            <w:r w:rsidR="00F63F65" w:rsidRPr="008B3F38">
              <w:rPr>
                <w:sz w:val="18"/>
                <w:szCs w:val="18"/>
                <w:lang w:val="ru-RU"/>
              </w:rPr>
              <w:br/>
            </w:r>
            <w:r w:rsidRPr="008B3F38">
              <w:rPr>
                <w:sz w:val="18"/>
                <w:szCs w:val="18"/>
                <w:lang w:val="ru-RU"/>
              </w:rPr>
              <w:t>17/2018</w:t>
            </w:r>
          </w:p>
        </w:tc>
        <w:tc>
          <w:tcPr>
            <w:tcW w:w="1410" w:type="pct"/>
            <w:gridSpan w:val="2"/>
            <w:shd w:val="clear" w:color="auto" w:fill="auto"/>
          </w:tcPr>
          <w:p w14:paraId="4DDE7D4A" w14:textId="77777777" w:rsidR="00E006EF" w:rsidRPr="008B3F38" w:rsidRDefault="00E006EF" w:rsidP="00025DC3">
            <w:pPr>
              <w:pStyle w:val="Tabletext"/>
              <w:rPr>
                <w:sz w:val="18"/>
                <w:szCs w:val="18"/>
                <w:lang w:val="ru-RU"/>
              </w:rPr>
            </w:pPr>
            <w:r w:rsidRPr="008B3F38">
              <w:rPr>
                <w:sz w:val="18"/>
                <w:szCs w:val="18"/>
                <w:lang w:val="ru-RU"/>
              </w:rPr>
              <w:t>Руководству следует безотлагательно повысить уровень внутреннего контроля над ЛР, в частности в том, что касается привлечения консультантов, через систему, предусматривающую мониторинг их деятельности с помощью ключевых показателей эффективности и принятие конкретных оперативных справочников, руководящих указаний и контрольных перечней, которые могут помочь оценить необходимость привлечения консультантов и, ex-post, результаты их деятельности.</w:t>
            </w:r>
          </w:p>
        </w:tc>
        <w:tc>
          <w:tcPr>
            <w:tcW w:w="1658" w:type="pct"/>
            <w:shd w:val="clear" w:color="auto" w:fill="auto"/>
          </w:tcPr>
          <w:p w14:paraId="6B794F61" w14:textId="77777777" w:rsidR="00E006EF" w:rsidRPr="008B3F38" w:rsidRDefault="00E006EF" w:rsidP="00025DC3">
            <w:pPr>
              <w:pStyle w:val="Tabletext"/>
              <w:rPr>
                <w:sz w:val="18"/>
                <w:szCs w:val="18"/>
                <w:lang w:val="ru-RU"/>
              </w:rPr>
            </w:pPr>
            <w:r w:rsidRPr="008B3F38">
              <w:rPr>
                <w:sz w:val="18"/>
                <w:szCs w:val="18"/>
                <w:lang w:val="ru-RU"/>
              </w:rPr>
              <w:t>Обновленная информация по состоянию на июнь 2022 года:</w:t>
            </w:r>
          </w:p>
          <w:p w14:paraId="27E731BA" w14:textId="77777777" w:rsidR="00E006EF" w:rsidRPr="008B3F38" w:rsidRDefault="00E006EF" w:rsidP="00025DC3">
            <w:pPr>
              <w:pStyle w:val="Tabletext"/>
              <w:rPr>
                <w:sz w:val="18"/>
                <w:szCs w:val="18"/>
                <w:lang w:val="ru-RU"/>
              </w:rPr>
            </w:pPr>
            <w:r w:rsidRPr="008B3F38">
              <w:rPr>
                <w:sz w:val="18"/>
                <w:szCs w:val="18"/>
                <w:lang w:val="ru-RU"/>
              </w:rPr>
              <w:t>Данная рекомендация считается выполненной.</w:t>
            </w:r>
          </w:p>
          <w:p w14:paraId="6B6B7F37" w14:textId="77777777" w:rsidR="00E006EF" w:rsidRPr="008B3F38" w:rsidRDefault="00E006EF" w:rsidP="00025DC3">
            <w:pPr>
              <w:pStyle w:val="Tabletext"/>
              <w:rPr>
                <w:sz w:val="18"/>
                <w:szCs w:val="18"/>
                <w:lang w:val="ru-RU"/>
              </w:rPr>
            </w:pPr>
            <w:r w:rsidRPr="008B3F38">
              <w:rPr>
                <w:sz w:val="18"/>
                <w:szCs w:val="18"/>
                <w:lang w:val="ru-RU"/>
              </w:rPr>
              <w:t>XSR – система найма экспертов по SSA и оплаты путевых расходов – начала работу только в июле 2022 года.</w:t>
            </w:r>
          </w:p>
        </w:tc>
        <w:tc>
          <w:tcPr>
            <w:tcW w:w="1139" w:type="pct"/>
            <w:gridSpan w:val="2"/>
            <w:shd w:val="clear" w:color="auto" w:fill="auto"/>
          </w:tcPr>
          <w:p w14:paraId="15FC483C" w14:textId="77777777" w:rsidR="00E006EF" w:rsidRPr="008B3F38" w:rsidRDefault="00E006EF" w:rsidP="00025DC3">
            <w:pPr>
              <w:pStyle w:val="Tabletext"/>
              <w:rPr>
                <w:sz w:val="18"/>
                <w:szCs w:val="18"/>
                <w:lang w:val="ru-RU"/>
              </w:rPr>
            </w:pPr>
            <w:r w:rsidRPr="008B3F38">
              <w:rPr>
                <w:sz w:val="18"/>
                <w:szCs w:val="18"/>
                <w:lang w:val="ru-RU"/>
              </w:rPr>
              <w:t>Последний ответ принят к сведению и признан обоснованным. Рекомендация закрыта.</w:t>
            </w:r>
          </w:p>
        </w:tc>
        <w:tc>
          <w:tcPr>
            <w:tcW w:w="440" w:type="pct"/>
            <w:shd w:val="clear" w:color="auto" w:fill="auto"/>
          </w:tcPr>
          <w:p w14:paraId="0A6BE4F7" w14:textId="77777777" w:rsidR="00E006EF" w:rsidRPr="008B3F38" w:rsidRDefault="00E006EF" w:rsidP="00025DC3">
            <w:pPr>
              <w:pStyle w:val="Tabletext"/>
              <w:ind w:right="-57"/>
              <w:rPr>
                <w:sz w:val="18"/>
                <w:szCs w:val="18"/>
                <w:lang w:val="ru-RU"/>
              </w:rPr>
            </w:pPr>
            <w:r w:rsidRPr="008B3F38">
              <w:rPr>
                <w:sz w:val="18"/>
                <w:szCs w:val="18"/>
                <w:lang w:val="ru-RU"/>
              </w:rPr>
              <w:t>Закрыта.</w:t>
            </w:r>
          </w:p>
        </w:tc>
      </w:tr>
      <w:tr w:rsidR="00E006EF" w:rsidRPr="007D30B5" w14:paraId="2B3A099A" w14:textId="77777777" w:rsidTr="008A2FDE">
        <w:trPr>
          <w:jc w:val="center"/>
        </w:trPr>
        <w:tc>
          <w:tcPr>
            <w:tcW w:w="5000" w:type="pct"/>
            <w:gridSpan w:val="7"/>
            <w:shd w:val="clear" w:color="auto" w:fill="auto"/>
          </w:tcPr>
          <w:p w14:paraId="500D59C7" w14:textId="627D2F1E" w:rsidR="00E006EF" w:rsidRPr="008B3F38" w:rsidRDefault="00E006EF" w:rsidP="00025DC3">
            <w:pPr>
              <w:pStyle w:val="Tabletitle"/>
              <w:keepNext w:val="0"/>
              <w:spacing w:before="120"/>
              <w:jc w:val="left"/>
              <w:rPr>
                <w:bCs/>
                <w:sz w:val="20"/>
                <w:lang w:val="ru-RU"/>
              </w:rPr>
            </w:pPr>
            <w:r w:rsidRPr="008B3F38">
              <w:rPr>
                <w:bCs/>
                <w:sz w:val="20"/>
                <w:lang w:val="ru-RU"/>
              </w:rPr>
              <w:t>Специальный отчет о деятельности Регионального отделения для Северной и Южной Америки</w:t>
            </w:r>
            <w:r w:rsidRPr="008B3F38">
              <w:rPr>
                <w:b w:val="0"/>
                <w:sz w:val="20"/>
                <w:lang w:val="ru-RU"/>
              </w:rPr>
              <w:t>:</w:t>
            </w:r>
          </w:p>
        </w:tc>
      </w:tr>
      <w:tr w:rsidR="00E006EF" w:rsidRPr="007D30B5" w14:paraId="0ED9F62B" w14:textId="77777777" w:rsidTr="008A2FDE">
        <w:trPr>
          <w:jc w:val="center"/>
        </w:trPr>
        <w:tc>
          <w:tcPr>
            <w:tcW w:w="353" w:type="pct"/>
            <w:shd w:val="clear" w:color="auto" w:fill="auto"/>
          </w:tcPr>
          <w:p w14:paraId="6C8F1868" w14:textId="77777777" w:rsidR="00E006EF" w:rsidRPr="008B3F38" w:rsidRDefault="00E006EF" w:rsidP="00025DC3">
            <w:pPr>
              <w:pStyle w:val="Tablehead"/>
              <w:keepNext w:val="0"/>
              <w:rPr>
                <w:sz w:val="18"/>
                <w:szCs w:val="18"/>
                <w:lang w:val="ru-RU"/>
              </w:rPr>
            </w:pPr>
            <w:r w:rsidRPr="008B3F38">
              <w:rPr>
                <w:sz w:val="18"/>
                <w:szCs w:val="18"/>
                <w:lang w:val="ru-RU"/>
              </w:rPr>
              <w:t>Номер</w:t>
            </w:r>
          </w:p>
        </w:tc>
        <w:tc>
          <w:tcPr>
            <w:tcW w:w="1410" w:type="pct"/>
            <w:gridSpan w:val="2"/>
            <w:shd w:val="clear" w:color="auto" w:fill="auto"/>
          </w:tcPr>
          <w:p w14:paraId="48A84837" w14:textId="77777777" w:rsidR="00E006EF" w:rsidRPr="008B3F38" w:rsidRDefault="00E006EF" w:rsidP="00025DC3">
            <w:pPr>
              <w:pStyle w:val="Tablehead"/>
              <w:keepNext w:val="0"/>
              <w:rPr>
                <w:sz w:val="18"/>
                <w:szCs w:val="18"/>
                <w:lang w:val="ru-RU"/>
              </w:rPr>
            </w:pPr>
            <w:r w:rsidRPr="008B3F38">
              <w:rPr>
                <w:sz w:val="18"/>
                <w:szCs w:val="18"/>
                <w:lang w:val="ru-RU"/>
              </w:rPr>
              <w:t>Рекомендация</w:t>
            </w:r>
          </w:p>
        </w:tc>
        <w:tc>
          <w:tcPr>
            <w:tcW w:w="1658" w:type="pct"/>
            <w:shd w:val="clear" w:color="auto" w:fill="auto"/>
          </w:tcPr>
          <w:p w14:paraId="7AE73853" w14:textId="77777777" w:rsidR="00E006EF" w:rsidRPr="008B3F38" w:rsidRDefault="00E006EF" w:rsidP="00025DC3">
            <w:pPr>
              <w:pStyle w:val="Tablehead"/>
              <w:keepNext w:val="0"/>
              <w:rPr>
                <w:sz w:val="18"/>
                <w:szCs w:val="18"/>
                <w:lang w:val="ru-RU"/>
              </w:rPr>
            </w:pPr>
            <w:r w:rsidRPr="008B3F38">
              <w:rPr>
                <w:sz w:val="18"/>
                <w:szCs w:val="18"/>
                <w:lang w:val="ru-RU"/>
              </w:rPr>
              <w:t>Ответ руководства от 12 июня 2023 года</w:t>
            </w:r>
          </w:p>
        </w:tc>
        <w:tc>
          <w:tcPr>
            <w:tcW w:w="1139" w:type="pct"/>
            <w:gridSpan w:val="2"/>
            <w:shd w:val="clear" w:color="auto" w:fill="auto"/>
          </w:tcPr>
          <w:p w14:paraId="1368B9E6" w14:textId="77777777" w:rsidR="00E006EF" w:rsidRPr="008B3F38" w:rsidRDefault="00E006EF" w:rsidP="00025DC3">
            <w:pPr>
              <w:pStyle w:val="Tablehead"/>
              <w:keepNext w:val="0"/>
              <w:rPr>
                <w:sz w:val="18"/>
                <w:szCs w:val="18"/>
                <w:lang w:val="ru-RU"/>
              </w:rPr>
            </w:pPr>
          </w:p>
        </w:tc>
        <w:tc>
          <w:tcPr>
            <w:tcW w:w="440" w:type="pct"/>
            <w:shd w:val="clear" w:color="auto" w:fill="auto"/>
          </w:tcPr>
          <w:p w14:paraId="33B055D7" w14:textId="77777777" w:rsidR="00E006EF" w:rsidRPr="008B3F38" w:rsidRDefault="00E006EF" w:rsidP="00025DC3">
            <w:pPr>
              <w:pStyle w:val="Tablehead"/>
              <w:keepNext w:val="0"/>
              <w:ind w:right="-57"/>
              <w:rPr>
                <w:sz w:val="18"/>
                <w:szCs w:val="18"/>
                <w:lang w:val="ru-RU"/>
              </w:rPr>
            </w:pPr>
          </w:p>
        </w:tc>
      </w:tr>
      <w:tr w:rsidR="00E006EF" w:rsidRPr="008B3F38" w14:paraId="649DDD27" w14:textId="77777777" w:rsidTr="008A2FDE">
        <w:trPr>
          <w:jc w:val="center"/>
        </w:trPr>
        <w:tc>
          <w:tcPr>
            <w:tcW w:w="353" w:type="pct"/>
            <w:shd w:val="clear" w:color="auto" w:fill="auto"/>
          </w:tcPr>
          <w:p w14:paraId="5AC59A06" w14:textId="77777777" w:rsidR="00E006EF" w:rsidRPr="008B3F38" w:rsidRDefault="00E006EF" w:rsidP="00025DC3">
            <w:pPr>
              <w:pStyle w:val="Tabletext"/>
              <w:rPr>
                <w:sz w:val="18"/>
                <w:szCs w:val="18"/>
                <w:lang w:val="ru-RU"/>
              </w:rPr>
            </w:pPr>
            <w:r w:rsidRPr="008B3F38">
              <w:rPr>
                <w:sz w:val="18"/>
                <w:szCs w:val="18"/>
                <w:lang w:val="ru-RU"/>
              </w:rPr>
              <w:t>РЕК1</w:t>
            </w:r>
          </w:p>
        </w:tc>
        <w:tc>
          <w:tcPr>
            <w:tcW w:w="1410" w:type="pct"/>
            <w:gridSpan w:val="2"/>
            <w:shd w:val="clear" w:color="auto" w:fill="auto"/>
          </w:tcPr>
          <w:p w14:paraId="69B2C02E" w14:textId="77777777" w:rsidR="00E006EF" w:rsidRPr="008B3F38" w:rsidRDefault="00E006EF" w:rsidP="00025DC3">
            <w:pPr>
              <w:pStyle w:val="Tabletext"/>
              <w:rPr>
                <w:sz w:val="18"/>
                <w:szCs w:val="18"/>
                <w:lang w:val="ru-RU"/>
              </w:rPr>
            </w:pPr>
            <w:r w:rsidRPr="008B3F38">
              <w:rPr>
                <w:sz w:val="18"/>
                <w:szCs w:val="18"/>
                <w:lang w:val="ru-RU"/>
              </w:rPr>
              <w:t>Присутствие МСЭ в здании, предоставляемом ANATEL на безвозмездной основе, должно быть четко обозначено как присутствие учреждения, не связанного с этой государственной структурой, в целях обеспечения беспристрастности представительств учреждения системы Организации Объединенных Наций.</w:t>
            </w:r>
          </w:p>
        </w:tc>
        <w:tc>
          <w:tcPr>
            <w:tcW w:w="1658" w:type="pct"/>
            <w:shd w:val="clear" w:color="auto" w:fill="auto"/>
          </w:tcPr>
          <w:p w14:paraId="0983830D" w14:textId="77777777" w:rsidR="00E006EF" w:rsidRPr="008B3F38" w:rsidRDefault="00E006EF" w:rsidP="00025DC3">
            <w:pPr>
              <w:pStyle w:val="Tabletext"/>
              <w:rPr>
                <w:sz w:val="18"/>
                <w:szCs w:val="18"/>
                <w:lang w:val="ru-RU"/>
              </w:rPr>
            </w:pPr>
            <w:r w:rsidRPr="008B3F38">
              <w:rPr>
                <w:sz w:val="18"/>
                <w:szCs w:val="18"/>
                <w:lang w:val="ru-RU"/>
              </w:rPr>
              <w:t>МСЭ обратился с просьбой установить наружные вывески, которые будут указывать на присутствие МСЭ в здании ANATEL.</w:t>
            </w:r>
          </w:p>
          <w:p w14:paraId="15473123" w14:textId="77777777" w:rsidR="00E006EF" w:rsidRPr="008B3F38" w:rsidRDefault="00E006EF" w:rsidP="00025DC3">
            <w:pPr>
              <w:pStyle w:val="Tabletext"/>
              <w:rPr>
                <w:sz w:val="18"/>
                <w:szCs w:val="18"/>
                <w:lang w:val="ru-RU"/>
              </w:rPr>
            </w:pPr>
            <w:r w:rsidRPr="008B3F38">
              <w:rPr>
                <w:sz w:val="18"/>
                <w:szCs w:val="18"/>
                <w:lang w:val="ru-RU"/>
              </w:rPr>
              <w:t>Что касается обозначения присутствия МСЭ внутри здания, МСЭ проводит обсуждения с представителями ANATEL. Обсуждения ведутся в контексте выводов миссии МСЭ по обеспечению устойчивости, которая была проведена с 10 по 12 мая 2023 года.</w:t>
            </w:r>
          </w:p>
          <w:p w14:paraId="6734D405" w14:textId="1ABCCBBC" w:rsidR="00E006EF" w:rsidRPr="008B3F38" w:rsidRDefault="00E006EF" w:rsidP="00025DC3">
            <w:pPr>
              <w:pStyle w:val="Tabletext"/>
              <w:rPr>
                <w:sz w:val="18"/>
                <w:szCs w:val="18"/>
                <w:lang w:val="ru-RU"/>
              </w:rPr>
            </w:pPr>
            <w:r w:rsidRPr="008B3F38">
              <w:rPr>
                <w:sz w:val="18"/>
                <w:szCs w:val="18"/>
                <w:lang w:val="ru-RU"/>
              </w:rPr>
              <w:t xml:space="preserve">Обновленная информация по состоянию на май 2025 года: На видном месте размещена вывеска, указывающая на присутствие МСЭ в здании. Кроме того, в 2023 году Отдел безопасности, охраны и устойчивости </w:t>
            </w:r>
            <w:r w:rsidRPr="008B3F38">
              <w:rPr>
                <w:sz w:val="18"/>
                <w:szCs w:val="18"/>
                <w:lang w:val="ru-RU"/>
              </w:rPr>
              <w:lastRenderedPageBreak/>
              <w:t>(SSRD) провел миссию по аудиту безопасности (SAM) и оценку непрерывности деятельности (BC) Регионального отделения для Северной и Южной Америки. Рекомендации, содержащиеся в отчетах по итогам проведения обоих мероприятий, находятся в процессе выполнения. В отчете SAM отмечается, что "Региональное отделение МСЭ находится на десятом этаже (из десяти). На этот этаж можно подняться с помощью четырех лифтов, расположенных в центре, а также пятого лифта. Из четырех основных лифтов персонал попадает в офис через дверь, оборудованную считывателем HID". В отчете также подчеркивается, что в дальнейшем обособленность помещений МСЭ в здании ANATEL будет обеспечиваться за счет установки оборудования Ubiquiti (системы контроля доступа и камеры, в том числе в серверных комнатах); процесс установки должен быть завершен в ходе командировки, которая должна состояться 2–4 июня 2025 года (командировка уже организована и согласована). Это то же самое оборудование для обеспечения безопасности, которое уже установлено в большинстве отделений МСЭ за пределами Женевы и которое контролируется из штаб-квартиры, что позволяет не только идентифицировать помещения МСЭ в качестве отдельных объектов, но и фактически обеспечивать их</w:t>
            </w:r>
            <w:r w:rsidR="008F27F4" w:rsidRPr="008B3F38">
              <w:rPr>
                <w:sz w:val="18"/>
                <w:szCs w:val="18"/>
                <w:lang w:val="ru-RU"/>
              </w:rPr>
              <w:t> </w:t>
            </w:r>
            <w:r w:rsidRPr="008B3F38">
              <w:rPr>
                <w:sz w:val="18"/>
                <w:szCs w:val="18"/>
                <w:lang w:val="ru-RU"/>
              </w:rPr>
              <w:t>безопасность.</w:t>
            </w:r>
          </w:p>
          <w:p w14:paraId="70B6A884" w14:textId="5FB65DE9" w:rsidR="00E006EF" w:rsidRPr="008B3F38" w:rsidRDefault="00E006EF" w:rsidP="00025DC3">
            <w:pPr>
              <w:pStyle w:val="Tabletext"/>
              <w:rPr>
                <w:sz w:val="18"/>
                <w:szCs w:val="18"/>
                <w:lang w:val="ru-RU"/>
              </w:rPr>
            </w:pPr>
            <w:r w:rsidRPr="008B3F38">
              <w:rPr>
                <w:sz w:val="18"/>
                <w:szCs w:val="18"/>
                <w:lang w:val="ru-RU"/>
              </w:rPr>
              <w:t>МСЭ рекомендует продолжить выполнение данной</w:t>
            </w:r>
            <w:r w:rsidR="008F27F4" w:rsidRPr="008B3F38">
              <w:rPr>
                <w:sz w:val="18"/>
                <w:szCs w:val="18"/>
                <w:lang w:val="ru-RU"/>
              </w:rPr>
              <w:t> </w:t>
            </w:r>
            <w:r w:rsidRPr="008B3F38">
              <w:rPr>
                <w:sz w:val="18"/>
                <w:szCs w:val="18"/>
                <w:lang w:val="ru-RU"/>
              </w:rPr>
              <w:t>рекомендации.</w:t>
            </w:r>
          </w:p>
        </w:tc>
        <w:tc>
          <w:tcPr>
            <w:tcW w:w="1139" w:type="pct"/>
            <w:gridSpan w:val="2"/>
            <w:shd w:val="clear" w:color="auto" w:fill="auto"/>
          </w:tcPr>
          <w:p w14:paraId="2A6BD4F4" w14:textId="77777777" w:rsidR="00E006EF" w:rsidRPr="008B3F38" w:rsidRDefault="00E006EF" w:rsidP="00025DC3">
            <w:pPr>
              <w:pStyle w:val="Tabletext"/>
              <w:rPr>
                <w:sz w:val="18"/>
                <w:szCs w:val="18"/>
                <w:lang w:val="ru-RU"/>
              </w:rPr>
            </w:pPr>
            <w:r w:rsidRPr="008B3F38">
              <w:rPr>
                <w:sz w:val="18"/>
                <w:szCs w:val="18"/>
                <w:lang w:val="ru-RU"/>
              </w:rPr>
              <w:lastRenderedPageBreak/>
              <w:t>Последний ответ принят к сведению.</w:t>
            </w:r>
          </w:p>
        </w:tc>
        <w:tc>
          <w:tcPr>
            <w:tcW w:w="440" w:type="pct"/>
            <w:shd w:val="clear" w:color="auto" w:fill="auto"/>
          </w:tcPr>
          <w:p w14:paraId="05D55801" w14:textId="77777777" w:rsidR="00E006EF" w:rsidRPr="008B3F38" w:rsidRDefault="00E006EF" w:rsidP="00025DC3">
            <w:pPr>
              <w:pStyle w:val="Tabletext"/>
              <w:ind w:right="-57"/>
              <w:rPr>
                <w:sz w:val="18"/>
                <w:szCs w:val="18"/>
                <w:lang w:val="ru-RU"/>
              </w:rPr>
            </w:pPr>
            <w:r w:rsidRPr="008B3F38">
              <w:rPr>
                <w:sz w:val="18"/>
                <w:szCs w:val="18"/>
                <w:lang w:val="ru-RU"/>
              </w:rPr>
              <w:t>Выполняется.</w:t>
            </w:r>
          </w:p>
        </w:tc>
      </w:tr>
      <w:tr w:rsidR="00E006EF" w:rsidRPr="008B3F38" w14:paraId="72345EB8" w14:textId="77777777" w:rsidTr="008A2FDE">
        <w:trPr>
          <w:jc w:val="center"/>
        </w:trPr>
        <w:tc>
          <w:tcPr>
            <w:tcW w:w="353" w:type="pct"/>
            <w:shd w:val="clear" w:color="auto" w:fill="auto"/>
          </w:tcPr>
          <w:p w14:paraId="173A0340" w14:textId="77777777" w:rsidR="00E006EF" w:rsidRPr="008B3F38" w:rsidRDefault="00E006EF" w:rsidP="00025DC3">
            <w:pPr>
              <w:pStyle w:val="Tabletext"/>
              <w:rPr>
                <w:sz w:val="18"/>
                <w:szCs w:val="18"/>
                <w:lang w:val="ru-RU"/>
              </w:rPr>
            </w:pPr>
            <w:r w:rsidRPr="008B3F38">
              <w:rPr>
                <w:sz w:val="18"/>
                <w:szCs w:val="18"/>
                <w:lang w:val="ru-RU"/>
              </w:rPr>
              <w:t>РЕК2</w:t>
            </w:r>
          </w:p>
        </w:tc>
        <w:tc>
          <w:tcPr>
            <w:tcW w:w="1410" w:type="pct"/>
            <w:gridSpan w:val="2"/>
            <w:shd w:val="clear" w:color="auto" w:fill="auto"/>
          </w:tcPr>
          <w:p w14:paraId="279B7F2D" w14:textId="77777777" w:rsidR="00E006EF" w:rsidRPr="008B3F38" w:rsidRDefault="00E006EF" w:rsidP="00025DC3">
            <w:pPr>
              <w:pStyle w:val="Tabletext"/>
              <w:rPr>
                <w:sz w:val="18"/>
                <w:szCs w:val="18"/>
                <w:lang w:val="ru-RU"/>
              </w:rPr>
            </w:pPr>
            <w:r w:rsidRPr="008B3F38">
              <w:rPr>
                <w:sz w:val="18"/>
                <w:szCs w:val="18"/>
                <w:lang w:val="ru-RU"/>
              </w:rPr>
              <w:t>Принять меры, дающие Региональному отделению возможность эффективно управлять своими помещениями и правом доступа и позволяющие получать информацию о том, кто входил в его помещения и имел доступ в офис, даже если речь идет о сотрудниках или уполномоченных лицах.</w:t>
            </w:r>
          </w:p>
        </w:tc>
        <w:tc>
          <w:tcPr>
            <w:tcW w:w="1658" w:type="pct"/>
            <w:shd w:val="clear" w:color="auto" w:fill="auto"/>
          </w:tcPr>
          <w:p w14:paraId="136A9B6C" w14:textId="723D9785" w:rsidR="00E006EF" w:rsidRPr="008B3F38" w:rsidRDefault="00E006EF" w:rsidP="00025DC3">
            <w:pPr>
              <w:pStyle w:val="Tabletext"/>
              <w:rPr>
                <w:sz w:val="18"/>
                <w:szCs w:val="18"/>
                <w:lang w:val="ru-RU"/>
              </w:rPr>
            </w:pPr>
            <w:r w:rsidRPr="008B3F38">
              <w:rPr>
                <w:sz w:val="18"/>
                <w:szCs w:val="18"/>
                <w:lang w:val="ru-RU"/>
              </w:rPr>
              <w:t>С 10 по 12 мая 2023 года была проведена миссия МСЭ по обеспечению устойчивости, включающая комплексную проверку безопасности бразильского отделения.</w:t>
            </w:r>
          </w:p>
          <w:p w14:paraId="7BD928F1" w14:textId="77777777" w:rsidR="00E006EF" w:rsidRPr="008B3F38" w:rsidRDefault="00E006EF" w:rsidP="00025DC3">
            <w:pPr>
              <w:pStyle w:val="Tabletext"/>
              <w:rPr>
                <w:sz w:val="18"/>
                <w:szCs w:val="18"/>
                <w:lang w:val="ru-RU"/>
              </w:rPr>
            </w:pPr>
            <w:r w:rsidRPr="008B3F38">
              <w:rPr>
                <w:sz w:val="18"/>
                <w:szCs w:val="18"/>
                <w:lang w:val="ru-RU"/>
              </w:rPr>
              <w:t>Рекомендации, представленные по итогам этой миссии, будут учитываться при выполнении данной рекомендации в координации с представителями ANATEL и в соответствии с внутренними правилами местного правительства.</w:t>
            </w:r>
          </w:p>
          <w:p w14:paraId="550493EB" w14:textId="77777777" w:rsidR="00E006EF" w:rsidRPr="008B3F38" w:rsidRDefault="00E006EF" w:rsidP="00025DC3">
            <w:pPr>
              <w:pStyle w:val="Tabletext"/>
              <w:rPr>
                <w:sz w:val="18"/>
                <w:szCs w:val="18"/>
                <w:lang w:val="ru-RU"/>
              </w:rPr>
            </w:pPr>
            <w:r w:rsidRPr="008B3F38">
              <w:rPr>
                <w:sz w:val="18"/>
                <w:szCs w:val="18"/>
                <w:lang w:val="ru-RU"/>
              </w:rPr>
              <w:t xml:space="preserve">Обновленная информация по состоянию на май 2025 года: В 2023 году Отдел безопасности, охраны и устойчивости (SSRD) провел миссию по аудиту безопасности (SAM) и оценку непрерывности </w:t>
            </w:r>
            <w:r w:rsidRPr="008B3F38">
              <w:rPr>
                <w:sz w:val="18"/>
                <w:szCs w:val="18"/>
                <w:lang w:val="ru-RU"/>
              </w:rPr>
              <w:lastRenderedPageBreak/>
              <w:t>деятельности (BC) Регионального отделения для Северной и Южной Америки. Что касается вопросов безопасности, в отчете SAM отмечается, что "Региональное отделение МСЭ находится на десятом этаже (из десяти). На этот этаж можно подняться с помощью четырех лифтов, расположенных в центре, а также пятого лифта. Из четырех основных лифтов персонал попадает в офис через дверь, оборудованную считывателем HID". Данная система будет модернизирована за счет установки оборудования Ubiquiti (системы контроля доступа и камеры, в том числе в серверных комнатах); процесс установки должен быть завершен в ходе командировки, которая должна состояться 2–4 июня 2025 года (командировка уже организована и согласована). Это те же системы и оборудование для обеспечения безопасности, которые установлены в большинстве отделений МСЭ за пределами Женевы и которые поддерживаются и обслуживаются из штаб-квартиры.</w:t>
            </w:r>
          </w:p>
          <w:p w14:paraId="2BAB8DA4" w14:textId="77777777" w:rsidR="00E006EF" w:rsidRPr="008B3F38" w:rsidRDefault="00E006EF" w:rsidP="00025DC3">
            <w:pPr>
              <w:pStyle w:val="Tabletext"/>
              <w:rPr>
                <w:sz w:val="18"/>
                <w:szCs w:val="18"/>
                <w:lang w:val="ru-RU"/>
              </w:rPr>
            </w:pPr>
            <w:r w:rsidRPr="008B3F38">
              <w:rPr>
                <w:sz w:val="18"/>
                <w:szCs w:val="18"/>
                <w:lang w:val="ru-RU"/>
              </w:rPr>
              <w:t>МСЭ рекомендует закрыть данную рекомендацию.</w:t>
            </w:r>
          </w:p>
        </w:tc>
        <w:tc>
          <w:tcPr>
            <w:tcW w:w="1139" w:type="pct"/>
            <w:gridSpan w:val="2"/>
            <w:shd w:val="clear" w:color="auto" w:fill="auto"/>
          </w:tcPr>
          <w:p w14:paraId="6F659C4D" w14:textId="77777777" w:rsidR="00E006EF" w:rsidRPr="008B3F38" w:rsidRDefault="00E006EF" w:rsidP="00025DC3">
            <w:pPr>
              <w:pStyle w:val="Tabletext"/>
              <w:rPr>
                <w:sz w:val="18"/>
                <w:szCs w:val="18"/>
                <w:lang w:val="ru-RU"/>
              </w:rPr>
            </w:pPr>
            <w:r w:rsidRPr="008B3F38">
              <w:rPr>
                <w:sz w:val="18"/>
                <w:szCs w:val="18"/>
                <w:lang w:val="ru-RU"/>
              </w:rPr>
              <w:lastRenderedPageBreak/>
              <w:t>Последний ответ принят к сведению. Мы подтвердим результаты запланированной на следующий год миссии и рассчитываем закрыть данную рекомендацию.</w:t>
            </w:r>
          </w:p>
        </w:tc>
        <w:tc>
          <w:tcPr>
            <w:tcW w:w="440" w:type="pct"/>
            <w:shd w:val="clear" w:color="auto" w:fill="auto"/>
          </w:tcPr>
          <w:p w14:paraId="282A1A01" w14:textId="77777777" w:rsidR="00E006EF" w:rsidRPr="008B3F38" w:rsidRDefault="00E006EF" w:rsidP="00025DC3">
            <w:pPr>
              <w:pStyle w:val="Tabletext"/>
              <w:ind w:right="-57"/>
              <w:rPr>
                <w:sz w:val="18"/>
                <w:szCs w:val="18"/>
                <w:lang w:val="ru-RU"/>
              </w:rPr>
            </w:pPr>
            <w:r w:rsidRPr="008B3F38">
              <w:rPr>
                <w:sz w:val="18"/>
                <w:szCs w:val="18"/>
                <w:lang w:val="ru-RU"/>
              </w:rPr>
              <w:t>Выполняется.</w:t>
            </w:r>
          </w:p>
        </w:tc>
      </w:tr>
      <w:tr w:rsidR="00E006EF" w:rsidRPr="008B3F38" w14:paraId="30F51DF6" w14:textId="77777777" w:rsidTr="008A2FDE">
        <w:trPr>
          <w:jc w:val="center"/>
        </w:trPr>
        <w:tc>
          <w:tcPr>
            <w:tcW w:w="353" w:type="pct"/>
            <w:shd w:val="clear" w:color="auto" w:fill="auto"/>
          </w:tcPr>
          <w:p w14:paraId="5E22A830" w14:textId="77777777" w:rsidR="00E006EF" w:rsidRPr="008B3F38" w:rsidRDefault="00E006EF" w:rsidP="00025DC3">
            <w:pPr>
              <w:pStyle w:val="Tabletext"/>
              <w:rPr>
                <w:sz w:val="18"/>
                <w:szCs w:val="18"/>
                <w:lang w:val="ru-RU"/>
              </w:rPr>
            </w:pPr>
            <w:r w:rsidRPr="008B3F38">
              <w:rPr>
                <w:sz w:val="18"/>
                <w:szCs w:val="18"/>
                <w:lang w:val="ru-RU"/>
              </w:rPr>
              <w:t>РЕК3</w:t>
            </w:r>
          </w:p>
        </w:tc>
        <w:tc>
          <w:tcPr>
            <w:tcW w:w="1410" w:type="pct"/>
            <w:gridSpan w:val="2"/>
            <w:shd w:val="clear" w:color="auto" w:fill="auto"/>
          </w:tcPr>
          <w:p w14:paraId="729B1047" w14:textId="77777777" w:rsidR="00E006EF" w:rsidRPr="008B3F38" w:rsidRDefault="00E006EF" w:rsidP="00025DC3">
            <w:pPr>
              <w:pStyle w:val="Tabletext"/>
              <w:rPr>
                <w:sz w:val="18"/>
                <w:szCs w:val="18"/>
                <w:lang w:val="ru-RU"/>
              </w:rPr>
            </w:pPr>
            <w:r w:rsidRPr="008B3F38">
              <w:rPr>
                <w:sz w:val="18"/>
                <w:szCs w:val="18"/>
                <w:lang w:val="ru-RU"/>
              </w:rPr>
              <w:t>Пересмотреть соглашение с принимающей страной, подробно описав в нем имущество и средства, предоставляемые МСЭ, включая прозрачное описание прав и обязанностей МСЭ по контролю и сохранению этого имущества, например в том, что касается расходов на ремонт и замену.</w:t>
            </w:r>
          </w:p>
        </w:tc>
        <w:tc>
          <w:tcPr>
            <w:tcW w:w="1658" w:type="pct"/>
            <w:shd w:val="clear" w:color="auto" w:fill="auto"/>
          </w:tcPr>
          <w:p w14:paraId="41CC61A3" w14:textId="77777777" w:rsidR="00E006EF" w:rsidRPr="008B3F38" w:rsidRDefault="00E006EF" w:rsidP="00025DC3">
            <w:pPr>
              <w:pStyle w:val="Tabletext"/>
              <w:rPr>
                <w:sz w:val="18"/>
                <w:szCs w:val="18"/>
                <w:lang w:val="ru-RU"/>
              </w:rPr>
            </w:pPr>
            <w:r w:rsidRPr="008B3F38">
              <w:rPr>
                <w:sz w:val="18"/>
                <w:szCs w:val="18"/>
                <w:lang w:val="ru-RU"/>
              </w:rPr>
              <w:t>Обновленная информация по состоянию на май 2025 года: Как уже было отмечено в замечаниях к рекомендации, после ее рассмотрения мы вновь заявляем, что пересмотр условий соглашения с принимающей страной может оказаться губительным, особенно в свете поднятых в рекомендации вопросов, с учетом налаженных рабочих отношений между МСЭ и принимающей страной.</w:t>
            </w:r>
          </w:p>
          <w:p w14:paraId="58CA8F24" w14:textId="77777777" w:rsidR="00E006EF" w:rsidRPr="008B3F38" w:rsidRDefault="00E006EF" w:rsidP="00025DC3">
            <w:pPr>
              <w:pStyle w:val="Tabletext"/>
              <w:rPr>
                <w:sz w:val="18"/>
                <w:szCs w:val="18"/>
                <w:lang w:val="ru-RU"/>
              </w:rPr>
            </w:pPr>
            <w:r w:rsidRPr="008B3F38">
              <w:rPr>
                <w:sz w:val="18"/>
                <w:szCs w:val="18"/>
                <w:lang w:val="ru-RU"/>
              </w:rPr>
              <w:t>МСЭ рекомендует закрыть данную рекомендацию.</w:t>
            </w:r>
          </w:p>
        </w:tc>
        <w:tc>
          <w:tcPr>
            <w:tcW w:w="1139" w:type="pct"/>
            <w:gridSpan w:val="2"/>
            <w:shd w:val="clear" w:color="auto" w:fill="auto"/>
          </w:tcPr>
          <w:p w14:paraId="6DE24B9D" w14:textId="77777777" w:rsidR="00E006EF" w:rsidRPr="008B3F38" w:rsidRDefault="00E006EF" w:rsidP="00025DC3">
            <w:pPr>
              <w:pStyle w:val="Tabletext"/>
              <w:rPr>
                <w:sz w:val="18"/>
                <w:szCs w:val="18"/>
                <w:lang w:val="ru-RU"/>
              </w:rPr>
            </w:pPr>
            <w:r w:rsidRPr="008B3F38">
              <w:rPr>
                <w:sz w:val="18"/>
                <w:szCs w:val="18"/>
                <w:lang w:val="ru-RU"/>
              </w:rPr>
              <w:t>Последний ответ принят к сведению и признан обоснованным. Рекомендация закрыта.</w:t>
            </w:r>
          </w:p>
        </w:tc>
        <w:tc>
          <w:tcPr>
            <w:tcW w:w="440" w:type="pct"/>
            <w:shd w:val="clear" w:color="auto" w:fill="auto"/>
          </w:tcPr>
          <w:p w14:paraId="1D7BC9B0" w14:textId="77777777" w:rsidR="00E006EF" w:rsidRPr="008B3F38" w:rsidRDefault="00E006EF" w:rsidP="00025DC3">
            <w:pPr>
              <w:pStyle w:val="Tabletext"/>
              <w:ind w:right="-57"/>
              <w:rPr>
                <w:sz w:val="18"/>
                <w:szCs w:val="18"/>
                <w:lang w:val="ru-RU"/>
              </w:rPr>
            </w:pPr>
            <w:r w:rsidRPr="008B3F38">
              <w:rPr>
                <w:sz w:val="18"/>
                <w:szCs w:val="18"/>
                <w:lang w:val="ru-RU"/>
              </w:rPr>
              <w:t>Закрыта.</w:t>
            </w:r>
          </w:p>
        </w:tc>
      </w:tr>
      <w:tr w:rsidR="00E006EF" w:rsidRPr="008B3F38" w14:paraId="627CFC20" w14:textId="77777777" w:rsidTr="008A2FDE">
        <w:trPr>
          <w:jc w:val="center"/>
        </w:trPr>
        <w:tc>
          <w:tcPr>
            <w:tcW w:w="353" w:type="pct"/>
            <w:shd w:val="clear" w:color="auto" w:fill="auto"/>
          </w:tcPr>
          <w:p w14:paraId="468B229C" w14:textId="77777777" w:rsidR="00E006EF" w:rsidRPr="008B3F38" w:rsidRDefault="00E006EF" w:rsidP="00025DC3">
            <w:pPr>
              <w:pStyle w:val="Tabletext"/>
              <w:rPr>
                <w:sz w:val="18"/>
                <w:szCs w:val="18"/>
                <w:lang w:val="ru-RU"/>
              </w:rPr>
            </w:pPr>
            <w:r w:rsidRPr="008B3F38">
              <w:rPr>
                <w:sz w:val="18"/>
                <w:szCs w:val="18"/>
                <w:lang w:val="ru-RU"/>
              </w:rPr>
              <w:t>РЕК7</w:t>
            </w:r>
          </w:p>
        </w:tc>
        <w:tc>
          <w:tcPr>
            <w:tcW w:w="1410" w:type="pct"/>
            <w:gridSpan w:val="2"/>
            <w:shd w:val="clear" w:color="auto" w:fill="auto"/>
          </w:tcPr>
          <w:p w14:paraId="62BB9602" w14:textId="3FEACE64" w:rsidR="00E006EF" w:rsidRPr="008B3F38" w:rsidRDefault="00E006EF" w:rsidP="00025DC3">
            <w:pPr>
              <w:pStyle w:val="Tabletext"/>
              <w:rPr>
                <w:sz w:val="18"/>
                <w:szCs w:val="18"/>
                <w:lang w:val="ru-RU"/>
              </w:rPr>
            </w:pPr>
            <w:r w:rsidRPr="008B3F38">
              <w:rPr>
                <w:sz w:val="18"/>
                <w:szCs w:val="18"/>
                <w:lang w:val="ru-RU"/>
              </w:rPr>
              <w:t>Штаб-квартире и местному отделению следует провести соответствующую оценку риска несанкционированного доступа, а МСЭ принять надлежащие меры к тому, чтобы обеспечить полный контроль (включая надежный физический контроль) над своими серверами в региональной штаб-квартире.</w:t>
            </w:r>
          </w:p>
        </w:tc>
        <w:tc>
          <w:tcPr>
            <w:tcW w:w="1658" w:type="pct"/>
            <w:shd w:val="clear" w:color="auto" w:fill="auto"/>
          </w:tcPr>
          <w:p w14:paraId="5176B4AD" w14:textId="77777777" w:rsidR="00E006EF" w:rsidRPr="008B3F38" w:rsidRDefault="00E006EF" w:rsidP="00025DC3">
            <w:pPr>
              <w:pStyle w:val="Tabletext"/>
              <w:rPr>
                <w:sz w:val="18"/>
                <w:szCs w:val="18"/>
                <w:lang w:val="ru-RU"/>
              </w:rPr>
            </w:pPr>
            <w:r w:rsidRPr="008B3F38">
              <w:rPr>
                <w:sz w:val="18"/>
                <w:szCs w:val="18"/>
                <w:lang w:val="ru-RU"/>
              </w:rPr>
              <w:t>Данная рекомендация будет рассмотрена в ходе запланированного обзора всех систем ИС региональных и зональных отделений, который должен начаться в 2023 году и продолжиться в 2024 году в зависимости от наличия бюджетных средств.</w:t>
            </w:r>
          </w:p>
          <w:p w14:paraId="51FE248B" w14:textId="4F0FDA31" w:rsidR="00E006EF" w:rsidRPr="008B3F38" w:rsidRDefault="00E006EF" w:rsidP="00025DC3">
            <w:pPr>
              <w:pStyle w:val="Tabletext"/>
              <w:rPr>
                <w:sz w:val="18"/>
                <w:szCs w:val="18"/>
                <w:lang w:val="ru-RU"/>
              </w:rPr>
            </w:pPr>
            <w:r w:rsidRPr="008B3F38">
              <w:rPr>
                <w:sz w:val="18"/>
                <w:szCs w:val="18"/>
                <w:lang w:val="ru-RU"/>
              </w:rPr>
              <w:t xml:space="preserve">Обновленная информация по состоянию на май 2025 года: В 2023 году Отдел безопасности, охраны и устойчивости (SSRD) провел миссию по аудиту безопасности (SAM) и оценку непрерывности деятельности (BC) Регионального отделения для </w:t>
            </w:r>
            <w:r w:rsidRPr="008B3F38">
              <w:rPr>
                <w:sz w:val="18"/>
                <w:szCs w:val="18"/>
                <w:lang w:val="ru-RU"/>
              </w:rPr>
              <w:lastRenderedPageBreak/>
              <w:t>Северной и Южной Америки. В отчете SAM была дана оценка служебных помещений. В соответствии с SAM система мониторинга и контроля доступа должна быть модернизирована за счет установки оборудования Ubiquiti (системы контроля доступа и камеры, в том числе в серверных комнатах); процесс установки должен быть завершен в ходе командировки, которая должна состояться 2–4 июня 2025 года (командировка уже организована и согласована). Это то же оборудование для обеспечения безопасности, которое уже установлено в большинстве отделений МСЭ за пределами Женевы и которое контролируется из штаб-квартиры, что позволяет не только идентифицировать помещения МСЭ в качестве отдельных объектов, но и фактически обеспечивать их безопасность. Основываясь на результатах оценки рисков, Отдел информационной безопасности в 2025 году проведет оценку эффективности функционирования системы Ubiquiti в Бразилиа в рамках текущей глобальной оценки систем ИТ и других систем в региональных и зональных</w:t>
            </w:r>
            <w:r w:rsidR="008F27F4" w:rsidRPr="008B3F38">
              <w:rPr>
                <w:sz w:val="18"/>
                <w:szCs w:val="18"/>
                <w:lang w:val="ru-RU"/>
              </w:rPr>
              <w:t> </w:t>
            </w:r>
            <w:r w:rsidRPr="008B3F38">
              <w:rPr>
                <w:sz w:val="18"/>
                <w:szCs w:val="18"/>
                <w:lang w:val="ru-RU"/>
              </w:rPr>
              <w:t>отделениях.</w:t>
            </w:r>
          </w:p>
          <w:p w14:paraId="1DCCBE37" w14:textId="77777777" w:rsidR="00E006EF" w:rsidRPr="008B3F38" w:rsidRDefault="00E006EF" w:rsidP="00025DC3">
            <w:pPr>
              <w:pStyle w:val="Tabletext"/>
              <w:rPr>
                <w:sz w:val="18"/>
                <w:szCs w:val="18"/>
                <w:lang w:val="ru-RU"/>
              </w:rPr>
            </w:pPr>
            <w:r w:rsidRPr="008B3F38">
              <w:rPr>
                <w:sz w:val="18"/>
                <w:szCs w:val="18"/>
                <w:lang w:val="ru-RU"/>
              </w:rPr>
              <w:t>МСЭ рекомендует закрыть данную рекомендацию.</w:t>
            </w:r>
          </w:p>
        </w:tc>
        <w:tc>
          <w:tcPr>
            <w:tcW w:w="1139" w:type="pct"/>
            <w:gridSpan w:val="2"/>
            <w:shd w:val="clear" w:color="auto" w:fill="auto"/>
          </w:tcPr>
          <w:p w14:paraId="52AA1607" w14:textId="77777777" w:rsidR="00E006EF" w:rsidRPr="008B3F38" w:rsidRDefault="00E006EF" w:rsidP="00025DC3">
            <w:pPr>
              <w:pStyle w:val="Tabletext"/>
              <w:rPr>
                <w:sz w:val="18"/>
                <w:szCs w:val="18"/>
                <w:lang w:val="ru-RU"/>
              </w:rPr>
            </w:pPr>
            <w:r w:rsidRPr="008B3F38">
              <w:rPr>
                <w:sz w:val="18"/>
                <w:szCs w:val="18"/>
                <w:lang w:val="ru-RU"/>
              </w:rPr>
              <w:lastRenderedPageBreak/>
              <w:t>Последний ответ принят к сведению. Мы подтвердим результаты запланированной на следующий год миссии и рассчитываем закрыть данную рекомендацию.</w:t>
            </w:r>
          </w:p>
        </w:tc>
        <w:tc>
          <w:tcPr>
            <w:tcW w:w="440" w:type="pct"/>
            <w:shd w:val="clear" w:color="auto" w:fill="auto"/>
          </w:tcPr>
          <w:p w14:paraId="621BE069" w14:textId="77777777" w:rsidR="00E006EF" w:rsidRPr="008B3F38" w:rsidRDefault="00E006EF" w:rsidP="00025DC3">
            <w:pPr>
              <w:pStyle w:val="Tabletext"/>
              <w:ind w:right="-57"/>
              <w:rPr>
                <w:sz w:val="18"/>
                <w:szCs w:val="18"/>
                <w:lang w:val="ru-RU"/>
              </w:rPr>
            </w:pPr>
            <w:r w:rsidRPr="008B3F38">
              <w:rPr>
                <w:sz w:val="18"/>
                <w:szCs w:val="18"/>
                <w:lang w:val="ru-RU"/>
              </w:rPr>
              <w:t>Выполняется.</w:t>
            </w:r>
          </w:p>
        </w:tc>
      </w:tr>
      <w:tr w:rsidR="00E006EF" w:rsidRPr="008B3F38" w14:paraId="26C1FE9A" w14:textId="77777777" w:rsidTr="008A2FDE">
        <w:trPr>
          <w:jc w:val="center"/>
        </w:trPr>
        <w:tc>
          <w:tcPr>
            <w:tcW w:w="353" w:type="pct"/>
            <w:shd w:val="clear" w:color="auto" w:fill="auto"/>
          </w:tcPr>
          <w:p w14:paraId="6FE14B9D" w14:textId="77777777" w:rsidR="00E006EF" w:rsidRPr="008B3F38" w:rsidRDefault="00E006EF" w:rsidP="00025DC3">
            <w:pPr>
              <w:pStyle w:val="Tabletext"/>
              <w:rPr>
                <w:sz w:val="18"/>
                <w:szCs w:val="18"/>
                <w:lang w:val="ru-RU"/>
              </w:rPr>
            </w:pPr>
            <w:r w:rsidRPr="008B3F38">
              <w:rPr>
                <w:sz w:val="18"/>
                <w:szCs w:val="18"/>
                <w:lang w:val="ru-RU"/>
              </w:rPr>
              <w:t>РЕК8</w:t>
            </w:r>
          </w:p>
        </w:tc>
        <w:tc>
          <w:tcPr>
            <w:tcW w:w="1410" w:type="pct"/>
            <w:gridSpan w:val="2"/>
            <w:shd w:val="clear" w:color="auto" w:fill="auto"/>
          </w:tcPr>
          <w:p w14:paraId="311EA6C5" w14:textId="77777777" w:rsidR="00E006EF" w:rsidRPr="008B3F38" w:rsidRDefault="00E006EF" w:rsidP="00025DC3">
            <w:pPr>
              <w:pStyle w:val="Tabletext"/>
              <w:rPr>
                <w:sz w:val="18"/>
                <w:szCs w:val="18"/>
                <w:lang w:val="ru-RU"/>
              </w:rPr>
            </w:pPr>
            <w:r w:rsidRPr="008B3F38">
              <w:rPr>
                <w:sz w:val="18"/>
                <w:szCs w:val="18"/>
                <w:lang w:val="ru-RU"/>
              </w:rPr>
              <w:t>Руководству МСЭ следует усилить контроль за местными соглашениями и контрактами, обеспечивая соблюдение правил закупок МСЭ и общепринятых норм добросовестной практики.</w:t>
            </w:r>
          </w:p>
        </w:tc>
        <w:tc>
          <w:tcPr>
            <w:tcW w:w="1658" w:type="pct"/>
            <w:shd w:val="clear" w:color="auto" w:fill="auto"/>
          </w:tcPr>
          <w:p w14:paraId="7FF09A38" w14:textId="2E327061" w:rsidR="00E006EF" w:rsidRPr="008B3F38" w:rsidRDefault="00E006EF" w:rsidP="00025DC3">
            <w:pPr>
              <w:pStyle w:val="Tabletext"/>
              <w:rPr>
                <w:sz w:val="18"/>
                <w:szCs w:val="18"/>
                <w:lang w:val="ru-RU"/>
              </w:rPr>
            </w:pPr>
            <w:r w:rsidRPr="008B3F38">
              <w:rPr>
                <w:sz w:val="18"/>
                <w:szCs w:val="18"/>
                <w:lang w:val="ru-RU"/>
              </w:rPr>
              <w:t>К 30 сентября 2023 года будет проведена комплексная оценка всех местных контрактов на оказание услуг в соответствии с Руководством МСЭ по закупкам.</w:t>
            </w:r>
          </w:p>
          <w:p w14:paraId="4C59618F" w14:textId="77777777" w:rsidR="00E006EF" w:rsidRPr="008B3F38" w:rsidRDefault="00E006EF" w:rsidP="00025DC3">
            <w:pPr>
              <w:pStyle w:val="Tabletext"/>
              <w:rPr>
                <w:sz w:val="18"/>
                <w:szCs w:val="18"/>
                <w:lang w:val="ru-RU"/>
              </w:rPr>
            </w:pPr>
            <w:r w:rsidRPr="008B3F38">
              <w:rPr>
                <w:sz w:val="18"/>
                <w:szCs w:val="18"/>
                <w:lang w:val="ru-RU"/>
              </w:rPr>
              <w:t>Обновленная информация по состоянию на декабрь 2023 года: К 30 сентября 2023 года была проведена комплексная оценка всех местных контрактов на оказание услуг в соответствии с Руководством МСЭ по закупкам. Завершена оценка контрактов на оказание услуг, связанных со штаб-квартирой. Продолжается оценка местных контрактов на оказание услуг в рамках региональных отделений.</w:t>
            </w:r>
          </w:p>
          <w:p w14:paraId="1C0097AC" w14:textId="1F4B8228" w:rsidR="00E006EF" w:rsidRPr="008B3F38" w:rsidRDefault="00E006EF" w:rsidP="00025DC3">
            <w:pPr>
              <w:pStyle w:val="Tabletext"/>
              <w:rPr>
                <w:sz w:val="18"/>
                <w:szCs w:val="18"/>
                <w:lang w:val="ru-RU"/>
              </w:rPr>
            </w:pPr>
            <w:r w:rsidRPr="008B3F38">
              <w:rPr>
                <w:sz w:val="18"/>
                <w:szCs w:val="18"/>
                <w:lang w:val="ru-RU"/>
              </w:rPr>
              <w:t>(Электронное письмо Зорана Чикича, бывшего руководителя отдела закупок, от 13 декабря 2023 г</w:t>
            </w:r>
            <w:r w:rsidR="004D7A3D" w:rsidRPr="008B3F38">
              <w:rPr>
                <w:sz w:val="18"/>
                <w:szCs w:val="18"/>
                <w:lang w:val="ru-RU"/>
              </w:rPr>
              <w:t>.</w:t>
            </w:r>
            <w:r w:rsidRPr="008B3F38">
              <w:rPr>
                <w:sz w:val="18"/>
                <w:szCs w:val="18"/>
                <w:lang w:val="ru-RU"/>
              </w:rPr>
              <w:t xml:space="preserve">) </w:t>
            </w:r>
          </w:p>
          <w:p w14:paraId="5DC76A77" w14:textId="77777777" w:rsidR="00E006EF" w:rsidRPr="008B3F38" w:rsidRDefault="00E006EF" w:rsidP="00025DC3">
            <w:pPr>
              <w:pStyle w:val="Tabletext"/>
              <w:rPr>
                <w:sz w:val="18"/>
                <w:szCs w:val="18"/>
                <w:lang w:val="ru-RU"/>
              </w:rPr>
            </w:pPr>
            <w:r w:rsidRPr="008B3F38">
              <w:rPr>
                <w:sz w:val="18"/>
                <w:szCs w:val="18"/>
                <w:lang w:val="ru-RU"/>
              </w:rPr>
              <w:t xml:space="preserve">МСЭ рекомендует закрыть данную рекомендацию. </w:t>
            </w:r>
          </w:p>
        </w:tc>
        <w:tc>
          <w:tcPr>
            <w:tcW w:w="1139" w:type="pct"/>
            <w:gridSpan w:val="2"/>
            <w:shd w:val="clear" w:color="auto" w:fill="auto"/>
          </w:tcPr>
          <w:p w14:paraId="464C2DEC" w14:textId="77777777" w:rsidR="00E006EF" w:rsidRPr="008B3F38" w:rsidRDefault="00E006EF" w:rsidP="00025DC3">
            <w:pPr>
              <w:pStyle w:val="Tabletext"/>
              <w:rPr>
                <w:sz w:val="18"/>
                <w:szCs w:val="18"/>
                <w:highlight w:val="yellow"/>
                <w:lang w:val="ru-RU"/>
              </w:rPr>
            </w:pPr>
            <w:r w:rsidRPr="008B3F38">
              <w:rPr>
                <w:sz w:val="18"/>
                <w:szCs w:val="18"/>
                <w:lang w:val="ru-RU"/>
              </w:rPr>
              <w:t>Последний ответ принят к сведению и признан обоснованным. Рекомендация закрыта.</w:t>
            </w:r>
          </w:p>
        </w:tc>
        <w:tc>
          <w:tcPr>
            <w:tcW w:w="440" w:type="pct"/>
            <w:shd w:val="clear" w:color="auto" w:fill="auto"/>
          </w:tcPr>
          <w:p w14:paraId="738A96A4" w14:textId="77777777" w:rsidR="00E006EF" w:rsidRPr="008B3F38" w:rsidRDefault="00E006EF" w:rsidP="00025DC3">
            <w:pPr>
              <w:pStyle w:val="Tabletext"/>
              <w:ind w:right="-57"/>
              <w:rPr>
                <w:sz w:val="18"/>
                <w:szCs w:val="18"/>
                <w:lang w:val="ru-RU"/>
              </w:rPr>
            </w:pPr>
            <w:r w:rsidRPr="008B3F38">
              <w:rPr>
                <w:sz w:val="18"/>
                <w:szCs w:val="18"/>
                <w:lang w:val="ru-RU"/>
              </w:rPr>
              <w:t>Закрыта.</w:t>
            </w:r>
          </w:p>
        </w:tc>
      </w:tr>
      <w:tr w:rsidR="00E006EF" w:rsidRPr="008B3F38" w14:paraId="7937F110" w14:textId="77777777" w:rsidTr="008A2FDE">
        <w:trPr>
          <w:jc w:val="center"/>
        </w:trPr>
        <w:tc>
          <w:tcPr>
            <w:tcW w:w="353" w:type="pct"/>
            <w:shd w:val="clear" w:color="auto" w:fill="auto"/>
          </w:tcPr>
          <w:p w14:paraId="7B511882" w14:textId="77777777" w:rsidR="00E006EF" w:rsidRPr="008B3F38" w:rsidRDefault="00E006EF" w:rsidP="00025DC3">
            <w:pPr>
              <w:pStyle w:val="Tabletext"/>
              <w:rPr>
                <w:sz w:val="18"/>
                <w:szCs w:val="18"/>
                <w:lang w:val="ru-RU"/>
              </w:rPr>
            </w:pPr>
            <w:r w:rsidRPr="008B3F38">
              <w:rPr>
                <w:sz w:val="18"/>
                <w:szCs w:val="18"/>
                <w:lang w:val="ru-RU"/>
              </w:rPr>
              <w:t>РЕК9</w:t>
            </w:r>
          </w:p>
        </w:tc>
        <w:tc>
          <w:tcPr>
            <w:tcW w:w="1410" w:type="pct"/>
            <w:gridSpan w:val="2"/>
            <w:shd w:val="clear" w:color="auto" w:fill="auto"/>
          </w:tcPr>
          <w:p w14:paraId="712626C3" w14:textId="2ADDA852" w:rsidR="00E006EF" w:rsidRPr="008B3F38" w:rsidRDefault="00E006EF" w:rsidP="00025DC3">
            <w:pPr>
              <w:pStyle w:val="Tabletext"/>
              <w:rPr>
                <w:sz w:val="18"/>
                <w:szCs w:val="18"/>
                <w:lang w:val="ru-RU"/>
              </w:rPr>
            </w:pPr>
            <w:r w:rsidRPr="008B3F38">
              <w:rPr>
                <w:sz w:val="18"/>
                <w:szCs w:val="18"/>
                <w:lang w:val="ru-RU"/>
              </w:rPr>
              <w:t xml:space="preserve">Отделу закупок следует организовать эффективный контроль всех местных контрактов, в частности в отношении сумм, </w:t>
            </w:r>
            <w:r w:rsidRPr="008B3F38">
              <w:rPr>
                <w:sz w:val="18"/>
                <w:szCs w:val="18"/>
                <w:lang w:val="ru-RU"/>
              </w:rPr>
              <w:lastRenderedPageBreak/>
              <w:t>согласованных и распределенных по разным соглашениям с одними и теми</w:t>
            </w:r>
            <w:r w:rsidR="008F27F4" w:rsidRPr="008B3F38">
              <w:rPr>
                <w:sz w:val="18"/>
                <w:szCs w:val="18"/>
                <w:lang w:val="ru-RU"/>
              </w:rPr>
              <w:t> </w:t>
            </w:r>
            <w:r w:rsidRPr="008B3F38">
              <w:rPr>
                <w:sz w:val="18"/>
                <w:szCs w:val="18"/>
                <w:lang w:val="ru-RU"/>
              </w:rPr>
              <w:t>же</w:t>
            </w:r>
            <w:r w:rsidR="008F27F4" w:rsidRPr="008B3F38">
              <w:rPr>
                <w:sz w:val="18"/>
                <w:szCs w:val="18"/>
                <w:lang w:val="ru-RU"/>
              </w:rPr>
              <w:t> </w:t>
            </w:r>
            <w:r w:rsidRPr="008B3F38">
              <w:rPr>
                <w:sz w:val="18"/>
                <w:szCs w:val="18"/>
                <w:lang w:val="ru-RU"/>
              </w:rPr>
              <w:t>поставщиками.</w:t>
            </w:r>
          </w:p>
        </w:tc>
        <w:tc>
          <w:tcPr>
            <w:tcW w:w="1658" w:type="pct"/>
            <w:shd w:val="clear" w:color="auto" w:fill="auto"/>
          </w:tcPr>
          <w:p w14:paraId="5FAA0AA3" w14:textId="77777777" w:rsidR="00E006EF" w:rsidRPr="008B3F38" w:rsidRDefault="00E006EF" w:rsidP="00025DC3">
            <w:pPr>
              <w:pStyle w:val="Tabletext"/>
              <w:rPr>
                <w:sz w:val="18"/>
                <w:szCs w:val="18"/>
                <w:lang w:val="ru-RU"/>
              </w:rPr>
            </w:pPr>
            <w:r w:rsidRPr="008B3F38">
              <w:rPr>
                <w:sz w:val="18"/>
                <w:szCs w:val="18"/>
                <w:lang w:val="ru-RU"/>
              </w:rPr>
              <w:lastRenderedPageBreak/>
              <w:t xml:space="preserve">Обновленная информация по состоянию на май 2025 года: МСЭ подтверждает наличие аудиторских запросов, касающихся мониторинга местных контрактов, </w:t>
            </w:r>
            <w:r w:rsidRPr="008B3F38">
              <w:rPr>
                <w:sz w:val="18"/>
                <w:szCs w:val="18"/>
                <w:lang w:val="ru-RU"/>
              </w:rPr>
              <w:lastRenderedPageBreak/>
              <w:t>в частности рисков, связанных с суммами, согласованными и распределенными по нескольким соглашениям с одним и тем же поставщиком.</w:t>
            </w:r>
          </w:p>
          <w:p w14:paraId="1966FC8A" w14:textId="77777777" w:rsidR="00E006EF" w:rsidRPr="008B3F38" w:rsidRDefault="00E006EF" w:rsidP="00025DC3">
            <w:pPr>
              <w:pStyle w:val="Tabletext"/>
              <w:rPr>
                <w:sz w:val="18"/>
                <w:szCs w:val="18"/>
                <w:lang w:val="ru-RU"/>
              </w:rPr>
            </w:pPr>
            <w:r w:rsidRPr="008B3F38">
              <w:rPr>
                <w:sz w:val="18"/>
                <w:szCs w:val="18"/>
                <w:lang w:val="ru-RU"/>
              </w:rPr>
              <w:t>В текущей оценке хода выполнения этой Рекомендации могут быть расхождения, однако МСЭ намерен усовершенствовать процедуры в рамках подготовки обзора по итогам года. В рамках ежегодного процесса представления сопроводительных писем директорам Региональных отделений будут систематически предоставляться соответствующие данные для выявления случаев наличия нескольких источников финансирования для одного поставщика. Это позволит им оценить связанные с этим риски и убедиться в наличии адекватных средств контроля для смягчения потенциальных проблем, связанных с разделением контрактов или дублированием обязательств.</w:t>
            </w:r>
          </w:p>
          <w:p w14:paraId="1EF2EE23" w14:textId="148F11EE" w:rsidR="00E006EF" w:rsidRPr="008B3F38" w:rsidRDefault="00E006EF" w:rsidP="00025DC3">
            <w:pPr>
              <w:pStyle w:val="Tabletext"/>
              <w:rPr>
                <w:sz w:val="18"/>
                <w:szCs w:val="18"/>
                <w:lang w:val="ru-RU"/>
              </w:rPr>
            </w:pPr>
            <w:r w:rsidRPr="008B3F38">
              <w:rPr>
                <w:sz w:val="18"/>
                <w:szCs w:val="18"/>
                <w:lang w:val="ru-RU"/>
              </w:rPr>
              <w:t>МСЭ считает, что данная рекомендация находится в процессе выполнения.</w:t>
            </w:r>
          </w:p>
        </w:tc>
        <w:tc>
          <w:tcPr>
            <w:tcW w:w="1139" w:type="pct"/>
            <w:gridSpan w:val="2"/>
            <w:shd w:val="clear" w:color="auto" w:fill="auto"/>
          </w:tcPr>
          <w:p w14:paraId="68A66A70" w14:textId="77777777" w:rsidR="00E006EF" w:rsidRPr="008B3F38" w:rsidRDefault="00E006EF" w:rsidP="00025DC3">
            <w:pPr>
              <w:pStyle w:val="Tabletext"/>
              <w:rPr>
                <w:sz w:val="18"/>
                <w:szCs w:val="18"/>
                <w:highlight w:val="yellow"/>
                <w:lang w:val="ru-RU"/>
              </w:rPr>
            </w:pPr>
            <w:r w:rsidRPr="008B3F38">
              <w:rPr>
                <w:sz w:val="18"/>
                <w:szCs w:val="18"/>
                <w:lang w:val="ru-RU"/>
              </w:rPr>
              <w:lastRenderedPageBreak/>
              <w:t>Последний ответ принят к сведению.</w:t>
            </w:r>
          </w:p>
        </w:tc>
        <w:tc>
          <w:tcPr>
            <w:tcW w:w="440" w:type="pct"/>
            <w:shd w:val="clear" w:color="auto" w:fill="auto"/>
          </w:tcPr>
          <w:p w14:paraId="534E2D98" w14:textId="77777777" w:rsidR="00E006EF" w:rsidRPr="008B3F38" w:rsidRDefault="00E006EF" w:rsidP="00025DC3">
            <w:pPr>
              <w:pStyle w:val="Tabletext"/>
              <w:ind w:right="-57"/>
              <w:rPr>
                <w:sz w:val="18"/>
                <w:szCs w:val="18"/>
                <w:highlight w:val="yellow"/>
                <w:lang w:val="ru-RU"/>
              </w:rPr>
            </w:pPr>
            <w:r w:rsidRPr="008B3F38">
              <w:rPr>
                <w:sz w:val="18"/>
                <w:szCs w:val="18"/>
                <w:lang w:val="ru-RU"/>
              </w:rPr>
              <w:t>Выполняется.</w:t>
            </w:r>
          </w:p>
        </w:tc>
      </w:tr>
      <w:tr w:rsidR="00E006EF" w:rsidRPr="008B3F38" w14:paraId="32BA4265" w14:textId="77777777" w:rsidTr="008A2FDE">
        <w:trPr>
          <w:jc w:val="center"/>
        </w:trPr>
        <w:tc>
          <w:tcPr>
            <w:tcW w:w="353" w:type="pct"/>
            <w:shd w:val="clear" w:color="auto" w:fill="auto"/>
          </w:tcPr>
          <w:p w14:paraId="7227F2A3" w14:textId="77777777" w:rsidR="00E006EF" w:rsidRPr="008B3F38" w:rsidRDefault="00E006EF" w:rsidP="00025DC3">
            <w:pPr>
              <w:pStyle w:val="Tabletext"/>
              <w:rPr>
                <w:sz w:val="18"/>
                <w:szCs w:val="18"/>
                <w:lang w:val="ru-RU"/>
              </w:rPr>
            </w:pPr>
            <w:r w:rsidRPr="008B3F38">
              <w:rPr>
                <w:sz w:val="18"/>
                <w:szCs w:val="18"/>
                <w:lang w:val="ru-RU"/>
              </w:rPr>
              <w:t>РЕК10</w:t>
            </w:r>
          </w:p>
        </w:tc>
        <w:tc>
          <w:tcPr>
            <w:tcW w:w="1410" w:type="pct"/>
            <w:gridSpan w:val="2"/>
            <w:shd w:val="clear" w:color="auto" w:fill="auto"/>
          </w:tcPr>
          <w:p w14:paraId="019452ED" w14:textId="77777777" w:rsidR="00E006EF" w:rsidRPr="008B3F38" w:rsidRDefault="00E006EF" w:rsidP="00025DC3">
            <w:pPr>
              <w:pStyle w:val="Tabletext"/>
              <w:rPr>
                <w:sz w:val="18"/>
                <w:szCs w:val="18"/>
                <w:lang w:val="ru-RU"/>
              </w:rPr>
            </w:pPr>
            <w:r w:rsidRPr="008B3F38">
              <w:rPr>
                <w:sz w:val="18"/>
                <w:szCs w:val="18"/>
                <w:lang w:val="ru-RU"/>
              </w:rPr>
              <w:t>Обеспечить, чтобы любые соглашения, подписываемые на местах, имели силу только при наличии двух подписей, например сотрудника Регионального отделения и представителя штаб-квартиры.</w:t>
            </w:r>
          </w:p>
        </w:tc>
        <w:tc>
          <w:tcPr>
            <w:tcW w:w="1658" w:type="pct"/>
            <w:shd w:val="clear" w:color="auto" w:fill="auto"/>
          </w:tcPr>
          <w:p w14:paraId="323DFD61" w14:textId="1F3ACACA" w:rsidR="00E006EF" w:rsidRPr="008B3F38" w:rsidRDefault="00E006EF" w:rsidP="00025DC3">
            <w:pPr>
              <w:pStyle w:val="Tabletext"/>
              <w:rPr>
                <w:sz w:val="18"/>
                <w:szCs w:val="18"/>
                <w:lang w:val="ru-RU"/>
              </w:rPr>
            </w:pPr>
            <w:r w:rsidRPr="008B3F38">
              <w:rPr>
                <w:sz w:val="18"/>
                <w:szCs w:val="18"/>
                <w:lang w:val="ru-RU"/>
              </w:rPr>
              <w:t>Данная рекомендация тщательно рассматривается в рамках выполнения рекомендаций обзора регионального присутствия, выполненного компанией PWC, в отношении делегирования полномочий. Решение</w:t>
            </w:r>
            <w:r w:rsidR="008F27F4" w:rsidRPr="008B3F38">
              <w:rPr>
                <w:sz w:val="18"/>
                <w:szCs w:val="18"/>
                <w:lang w:val="ru-RU"/>
              </w:rPr>
              <w:t> </w:t>
            </w:r>
            <w:r w:rsidRPr="008B3F38">
              <w:rPr>
                <w:sz w:val="18"/>
                <w:szCs w:val="18"/>
                <w:lang w:val="ru-RU"/>
              </w:rPr>
              <w:t>о внедрении такого процесса должно быть принято к 31 декабря 2023 года.</w:t>
            </w:r>
          </w:p>
          <w:p w14:paraId="0F2E3D52" w14:textId="0F18A611" w:rsidR="00E006EF" w:rsidRPr="008B3F38" w:rsidRDefault="00E006EF" w:rsidP="00025DC3">
            <w:pPr>
              <w:pStyle w:val="Tabletext"/>
              <w:rPr>
                <w:sz w:val="18"/>
                <w:szCs w:val="18"/>
                <w:lang w:val="ru-RU"/>
              </w:rPr>
            </w:pPr>
            <w:r w:rsidRPr="008B3F38">
              <w:rPr>
                <w:sz w:val="18"/>
                <w:szCs w:val="18"/>
                <w:lang w:val="ru-RU"/>
              </w:rPr>
              <w:t>Обновленная информация по состоянию на май</w:t>
            </w:r>
            <w:r w:rsidR="008F27F4" w:rsidRPr="008B3F38">
              <w:rPr>
                <w:sz w:val="18"/>
                <w:szCs w:val="18"/>
                <w:lang w:val="ru-RU"/>
              </w:rPr>
              <w:t> </w:t>
            </w:r>
            <w:r w:rsidRPr="008B3F38">
              <w:rPr>
                <w:sz w:val="18"/>
                <w:szCs w:val="18"/>
                <w:lang w:val="ru-RU"/>
              </w:rPr>
              <w:t>2025 года: Разработана и внедрена система делегирования полномочий (DoA) по оперативным вопросам, относящимся к компетенции БРЭ. Соглашения, имеющие финансовые последствия, регулируются и утверждаются соответствующими должностными лицами штаб-квартиры на основании соответствующих положений Финансового регламента и Финансовых правил и связанных с ними служебных приказов, как и, по мере необходимости, оказание помощи в конкретных</w:t>
            </w:r>
            <w:r w:rsidR="008F27F4" w:rsidRPr="008B3F38">
              <w:rPr>
                <w:sz w:val="18"/>
                <w:szCs w:val="18"/>
                <w:lang w:val="ru-RU"/>
              </w:rPr>
              <w:t> </w:t>
            </w:r>
            <w:r w:rsidRPr="008B3F38">
              <w:rPr>
                <w:sz w:val="18"/>
                <w:szCs w:val="18"/>
                <w:lang w:val="ru-RU"/>
              </w:rPr>
              <w:t>вопросах.</w:t>
            </w:r>
          </w:p>
          <w:p w14:paraId="7BF331EA" w14:textId="77777777" w:rsidR="00E006EF" w:rsidRPr="008B3F38" w:rsidRDefault="00E006EF" w:rsidP="00025DC3">
            <w:pPr>
              <w:pStyle w:val="Tabletext"/>
              <w:rPr>
                <w:sz w:val="18"/>
                <w:szCs w:val="18"/>
                <w:lang w:val="ru-RU"/>
              </w:rPr>
            </w:pPr>
            <w:r w:rsidRPr="008B3F38">
              <w:rPr>
                <w:sz w:val="18"/>
                <w:szCs w:val="18"/>
                <w:lang w:val="ru-RU"/>
              </w:rPr>
              <w:t>МСЭ считает, что данная рекомендация находится в процессе выполнения.</w:t>
            </w:r>
          </w:p>
        </w:tc>
        <w:tc>
          <w:tcPr>
            <w:tcW w:w="1139" w:type="pct"/>
            <w:gridSpan w:val="2"/>
            <w:shd w:val="clear" w:color="auto" w:fill="auto"/>
          </w:tcPr>
          <w:p w14:paraId="3BCECC44" w14:textId="77777777" w:rsidR="00E006EF" w:rsidRPr="008B3F38" w:rsidRDefault="00E006EF" w:rsidP="00025DC3">
            <w:pPr>
              <w:pStyle w:val="Tabletext"/>
              <w:rPr>
                <w:sz w:val="18"/>
                <w:szCs w:val="18"/>
                <w:lang w:val="ru-RU"/>
              </w:rPr>
            </w:pPr>
            <w:r w:rsidRPr="008B3F38">
              <w:rPr>
                <w:sz w:val="18"/>
                <w:szCs w:val="18"/>
                <w:lang w:val="ru-RU"/>
              </w:rPr>
              <w:t>Последний ответ принят к сведению.</w:t>
            </w:r>
          </w:p>
        </w:tc>
        <w:tc>
          <w:tcPr>
            <w:tcW w:w="440" w:type="pct"/>
            <w:shd w:val="clear" w:color="auto" w:fill="auto"/>
          </w:tcPr>
          <w:p w14:paraId="077F1E4E" w14:textId="77777777" w:rsidR="00E006EF" w:rsidRPr="008B3F38" w:rsidRDefault="00E006EF" w:rsidP="00025DC3">
            <w:pPr>
              <w:pStyle w:val="Tabletext"/>
              <w:ind w:right="-57"/>
              <w:rPr>
                <w:sz w:val="18"/>
                <w:szCs w:val="18"/>
                <w:lang w:val="ru-RU"/>
              </w:rPr>
            </w:pPr>
            <w:r w:rsidRPr="008B3F38">
              <w:rPr>
                <w:sz w:val="18"/>
                <w:szCs w:val="18"/>
                <w:lang w:val="ru-RU"/>
              </w:rPr>
              <w:t>Выполняется.</w:t>
            </w:r>
          </w:p>
        </w:tc>
      </w:tr>
      <w:tr w:rsidR="00E006EF" w:rsidRPr="008B3F38" w14:paraId="70DDD253" w14:textId="77777777" w:rsidTr="008A2FDE">
        <w:trPr>
          <w:jc w:val="center"/>
        </w:trPr>
        <w:tc>
          <w:tcPr>
            <w:tcW w:w="353" w:type="pct"/>
            <w:shd w:val="clear" w:color="auto" w:fill="auto"/>
          </w:tcPr>
          <w:p w14:paraId="2E91EF0A" w14:textId="77777777" w:rsidR="00E006EF" w:rsidRPr="008B3F38" w:rsidRDefault="00E006EF" w:rsidP="00025DC3">
            <w:pPr>
              <w:pStyle w:val="Tabletext"/>
              <w:rPr>
                <w:sz w:val="18"/>
                <w:szCs w:val="18"/>
                <w:lang w:val="ru-RU"/>
              </w:rPr>
            </w:pPr>
            <w:r w:rsidRPr="008B3F38">
              <w:rPr>
                <w:sz w:val="18"/>
                <w:szCs w:val="18"/>
                <w:lang w:val="ru-RU"/>
              </w:rPr>
              <w:lastRenderedPageBreak/>
              <w:t>РЕК11</w:t>
            </w:r>
          </w:p>
        </w:tc>
        <w:tc>
          <w:tcPr>
            <w:tcW w:w="1410" w:type="pct"/>
            <w:gridSpan w:val="2"/>
            <w:shd w:val="clear" w:color="auto" w:fill="auto"/>
          </w:tcPr>
          <w:p w14:paraId="42E5DFC7" w14:textId="3FA79FDC" w:rsidR="005D672E" w:rsidRPr="008B3F38" w:rsidRDefault="00E006EF" w:rsidP="00025DC3">
            <w:pPr>
              <w:pStyle w:val="Tabletext"/>
              <w:ind w:left="284" w:hanging="284"/>
              <w:rPr>
                <w:sz w:val="18"/>
                <w:szCs w:val="18"/>
                <w:lang w:val="ru-RU"/>
              </w:rPr>
            </w:pPr>
            <w:r w:rsidRPr="008B3F38">
              <w:rPr>
                <w:sz w:val="18"/>
                <w:szCs w:val="18"/>
                <w:lang w:val="ru-RU"/>
              </w:rPr>
              <w:t>i)</w:t>
            </w:r>
            <w:r w:rsidR="005D672E" w:rsidRPr="008B3F38">
              <w:rPr>
                <w:sz w:val="18"/>
                <w:szCs w:val="18"/>
                <w:lang w:val="ru-RU"/>
              </w:rPr>
              <w:tab/>
            </w:r>
            <w:r w:rsidRPr="008B3F38">
              <w:rPr>
                <w:sz w:val="18"/>
                <w:szCs w:val="18"/>
                <w:lang w:val="ru-RU"/>
              </w:rPr>
              <w:t>Начиная с самого раннего этапа составления отчета на местном языке, привлекать юридический отдел МСЭ;</w:t>
            </w:r>
          </w:p>
          <w:p w14:paraId="2F8C1E03" w14:textId="2366936E" w:rsidR="00E006EF" w:rsidRPr="008B3F38" w:rsidRDefault="00E006EF" w:rsidP="00025DC3">
            <w:pPr>
              <w:pStyle w:val="Tabletext"/>
              <w:ind w:left="284" w:hanging="284"/>
              <w:rPr>
                <w:sz w:val="18"/>
                <w:szCs w:val="18"/>
                <w:lang w:val="ru-RU"/>
              </w:rPr>
            </w:pPr>
            <w:r w:rsidRPr="008B3F38">
              <w:rPr>
                <w:sz w:val="18"/>
                <w:szCs w:val="18"/>
                <w:lang w:val="ru-RU"/>
              </w:rPr>
              <w:t>ii)</w:t>
            </w:r>
            <w:r w:rsidR="005D672E" w:rsidRPr="008B3F38">
              <w:rPr>
                <w:sz w:val="18"/>
                <w:szCs w:val="18"/>
                <w:lang w:val="ru-RU"/>
              </w:rPr>
              <w:tab/>
            </w:r>
            <w:r w:rsidRPr="008B3F38">
              <w:rPr>
                <w:sz w:val="18"/>
                <w:szCs w:val="18"/>
                <w:lang w:val="ru-RU"/>
              </w:rPr>
              <w:t>обращаться за помощью по юридическим вопросам в отделения ООН в Государствах</w:t>
            </w:r>
            <w:r w:rsidR="008F27F4" w:rsidRPr="008B3F38">
              <w:rPr>
                <w:sz w:val="18"/>
                <w:szCs w:val="18"/>
                <w:lang w:val="ru-RU"/>
              </w:rPr>
              <w:t>­</w:t>
            </w:r>
            <w:r w:rsidRPr="008B3F38">
              <w:rPr>
                <w:sz w:val="18"/>
                <w:szCs w:val="18"/>
                <w:lang w:val="ru-RU"/>
              </w:rPr>
              <w:t>Членах; например, известно, что в Бразилиа имеется отделение ООН с постоянным персоналом, и мы полагаем, что МСЭ может обращаться к нему за помощью.</w:t>
            </w:r>
          </w:p>
        </w:tc>
        <w:tc>
          <w:tcPr>
            <w:tcW w:w="1658" w:type="pct"/>
            <w:shd w:val="clear" w:color="auto" w:fill="auto"/>
          </w:tcPr>
          <w:p w14:paraId="2D682897" w14:textId="7D2993B3" w:rsidR="00E006EF" w:rsidRPr="008B3F38" w:rsidRDefault="00E006EF" w:rsidP="00025DC3">
            <w:pPr>
              <w:pStyle w:val="Tabletext"/>
              <w:rPr>
                <w:sz w:val="18"/>
                <w:szCs w:val="18"/>
                <w:lang w:val="ru-RU"/>
              </w:rPr>
            </w:pPr>
            <w:r w:rsidRPr="008B3F38">
              <w:rPr>
                <w:sz w:val="18"/>
                <w:szCs w:val="18"/>
                <w:lang w:val="ru-RU"/>
              </w:rPr>
              <w:t>Данная рекомендация тщательно рассматривается в рамках выполнения рекомендаций обзора регионального присутствия, выполненного компанией PWC, в отношении делегирования полномочий. Решение</w:t>
            </w:r>
            <w:r w:rsidR="008F27F4" w:rsidRPr="008B3F38">
              <w:rPr>
                <w:sz w:val="18"/>
                <w:szCs w:val="18"/>
                <w:lang w:val="ru-RU"/>
              </w:rPr>
              <w:t> </w:t>
            </w:r>
            <w:r w:rsidRPr="008B3F38">
              <w:rPr>
                <w:sz w:val="18"/>
                <w:szCs w:val="18"/>
                <w:lang w:val="ru-RU"/>
              </w:rPr>
              <w:t>о внедрении такого процесса должно быть принято к 31 декабря 2023 года</w:t>
            </w:r>
          </w:p>
          <w:p w14:paraId="0FE9F7FC" w14:textId="77777777" w:rsidR="00E006EF" w:rsidRPr="008B3F38" w:rsidRDefault="00E006EF" w:rsidP="00025DC3">
            <w:pPr>
              <w:pStyle w:val="Tabletext"/>
              <w:rPr>
                <w:sz w:val="18"/>
                <w:szCs w:val="18"/>
                <w:lang w:val="ru-RU"/>
              </w:rPr>
            </w:pPr>
            <w:r w:rsidRPr="008B3F38">
              <w:rPr>
                <w:sz w:val="18"/>
                <w:szCs w:val="18"/>
                <w:lang w:val="ru-RU"/>
              </w:rPr>
              <w:t>Обновленная информация по состоянию на май 2025 года: Разработана и внедрена система делегирования полномочий (DoA) по оперативным вопросам, относящимся к компетенции БРЭ. В настоящее время почти для всех контрактов, включая контракты на небольшие суммы, запрашивается мнение/утверждение соответствующих служб штаб-квартиры.</w:t>
            </w:r>
          </w:p>
          <w:p w14:paraId="1DDB2AD5" w14:textId="77777777" w:rsidR="00E006EF" w:rsidRPr="008B3F38" w:rsidRDefault="00E006EF" w:rsidP="00025DC3">
            <w:pPr>
              <w:pStyle w:val="Tabletext"/>
              <w:rPr>
                <w:sz w:val="18"/>
                <w:szCs w:val="18"/>
                <w:lang w:val="ru-RU"/>
              </w:rPr>
            </w:pPr>
            <w:r w:rsidRPr="008B3F38">
              <w:rPr>
                <w:sz w:val="18"/>
                <w:szCs w:val="18"/>
                <w:lang w:val="ru-RU"/>
              </w:rPr>
              <w:t>МСЭ считает, что данная рекомендация находится в процессе выполнения.</w:t>
            </w:r>
          </w:p>
        </w:tc>
        <w:tc>
          <w:tcPr>
            <w:tcW w:w="1139" w:type="pct"/>
            <w:gridSpan w:val="2"/>
            <w:shd w:val="clear" w:color="auto" w:fill="auto"/>
          </w:tcPr>
          <w:p w14:paraId="7C06EE43" w14:textId="77777777" w:rsidR="00E006EF" w:rsidRPr="008B3F38" w:rsidRDefault="00E006EF" w:rsidP="00025DC3">
            <w:pPr>
              <w:pStyle w:val="Tabletext"/>
              <w:rPr>
                <w:sz w:val="18"/>
                <w:szCs w:val="18"/>
                <w:lang w:val="ru-RU"/>
              </w:rPr>
            </w:pPr>
            <w:r w:rsidRPr="008B3F38">
              <w:rPr>
                <w:sz w:val="18"/>
                <w:szCs w:val="18"/>
                <w:lang w:val="ru-RU"/>
              </w:rPr>
              <w:t>Последний ответ принят к сведению.</w:t>
            </w:r>
          </w:p>
        </w:tc>
        <w:tc>
          <w:tcPr>
            <w:tcW w:w="440" w:type="pct"/>
            <w:shd w:val="clear" w:color="auto" w:fill="auto"/>
          </w:tcPr>
          <w:p w14:paraId="30EF8C15" w14:textId="77777777" w:rsidR="00E006EF" w:rsidRPr="008B3F38" w:rsidRDefault="00E006EF" w:rsidP="00025DC3">
            <w:pPr>
              <w:pStyle w:val="Tabletext"/>
              <w:ind w:right="-57"/>
              <w:rPr>
                <w:sz w:val="18"/>
                <w:szCs w:val="18"/>
                <w:lang w:val="ru-RU"/>
              </w:rPr>
            </w:pPr>
            <w:r w:rsidRPr="008B3F38">
              <w:rPr>
                <w:sz w:val="18"/>
                <w:szCs w:val="18"/>
                <w:lang w:val="ru-RU"/>
              </w:rPr>
              <w:t>Выполняется.</w:t>
            </w:r>
          </w:p>
        </w:tc>
      </w:tr>
      <w:tr w:rsidR="00E006EF" w:rsidRPr="008B3F38" w14:paraId="0449A017" w14:textId="77777777" w:rsidTr="008A2FDE">
        <w:trPr>
          <w:jc w:val="center"/>
        </w:trPr>
        <w:tc>
          <w:tcPr>
            <w:tcW w:w="353" w:type="pct"/>
            <w:shd w:val="clear" w:color="auto" w:fill="auto"/>
          </w:tcPr>
          <w:p w14:paraId="08DAAC0C" w14:textId="77777777" w:rsidR="00E006EF" w:rsidRPr="008B3F38" w:rsidRDefault="00E006EF" w:rsidP="00025DC3">
            <w:pPr>
              <w:pStyle w:val="Tabletext"/>
              <w:rPr>
                <w:sz w:val="18"/>
                <w:szCs w:val="18"/>
                <w:lang w:val="ru-RU"/>
              </w:rPr>
            </w:pPr>
            <w:r w:rsidRPr="008B3F38">
              <w:rPr>
                <w:sz w:val="18"/>
                <w:szCs w:val="18"/>
                <w:lang w:val="ru-RU"/>
              </w:rPr>
              <w:t>РЕК14</w:t>
            </w:r>
          </w:p>
        </w:tc>
        <w:tc>
          <w:tcPr>
            <w:tcW w:w="1410" w:type="pct"/>
            <w:gridSpan w:val="2"/>
            <w:shd w:val="clear" w:color="auto" w:fill="auto"/>
          </w:tcPr>
          <w:p w14:paraId="4806FF6E" w14:textId="77777777" w:rsidR="00E006EF" w:rsidRPr="008B3F38" w:rsidRDefault="00E006EF" w:rsidP="00025DC3">
            <w:pPr>
              <w:pStyle w:val="Tabletext"/>
              <w:rPr>
                <w:sz w:val="18"/>
                <w:szCs w:val="18"/>
                <w:lang w:val="ru-RU"/>
              </w:rPr>
            </w:pPr>
            <w:r w:rsidRPr="008B3F38">
              <w:rPr>
                <w:sz w:val="18"/>
                <w:szCs w:val="18"/>
                <w:lang w:val="ru-RU"/>
              </w:rPr>
              <w:t>Усилить внутренний контроль за телеработой, например, с помощью ИТ-инструментов.</w:t>
            </w:r>
          </w:p>
        </w:tc>
        <w:tc>
          <w:tcPr>
            <w:tcW w:w="1658" w:type="pct"/>
            <w:shd w:val="clear" w:color="auto" w:fill="auto"/>
          </w:tcPr>
          <w:p w14:paraId="4F820C35" w14:textId="77777777" w:rsidR="00E006EF" w:rsidRPr="008B3F38" w:rsidRDefault="00E006EF" w:rsidP="00025DC3">
            <w:pPr>
              <w:pStyle w:val="Tabletext"/>
              <w:rPr>
                <w:sz w:val="18"/>
                <w:szCs w:val="18"/>
                <w:lang w:val="ru-RU"/>
              </w:rPr>
            </w:pPr>
            <w:r w:rsidRPr="008B3F38">
              <w:rPr>
                <w:sz w:val="18"/>
                <w:szCs w:val="18"/>
                <w:lang w:val="ru-RU"/>
              </w:rPr>
              <w:t>В соответствии с принципами защиты персональных данных и неприкосновенности частной жизни, принятыми Комитетом высокого уровня ООН по вопросам управления (КВУУ) на его 36-м заседании 11 октября 2018 года, МСЭ издал служебный приказ № 20/10, касающийся системы контроля физического доступа в помещениях штаб-квартиры МСЭ, который предусматривает, что "система контроля доступа не предназначена и не используется для профилирования или мониторинга присутствия отдельных сотрудников, делегатов или посетителей". Хотя служебный приказ был издан в отношении работы штаб-квартиры, принцип действует для всех сотрудников, делегатов и посетителей МСЭ по всему миру.</w:t>
            </w:r>
          </w:p>
          <w:p w14:paraId="4B1B20A6" w14:textId="3F143EE0" w:rsidR="00E006EF" w:rsidRPr="008B3F38" w:rsidRDefault="00E006EF" w:rsidP="00025DC3">
            <w:pPr>
              <w:pStyle w:val="Tabletext"/>
              <w:rPr>
                <w:sz w:val="18"/>
                <w:szCs w:val="18"/>
                <w:lang w:val="ru-RU"/>
              </w:rPr>
            </w:pPr>
            <w:r w:rsidRPr="008B3F38">
              <w:rPr>
                <w:sz w:val="18"/>
                <w:szCs w:val="18"/>
                <w:lang w:val="ru-RU"/>
              </w:rPr>
              <w:t>Директорам региональных отделений и представителям зональных отделений поручено обеспечивать присутствие сотрудников на рабочем месте в соответствии с автоматизированным реестром удаленной работы, разработанным для МСЭ.</w:t>
            </w:r>
          </w:p>
          <w:p w14:paraId="7143641E" w14:textId="3C583D32" w:rsidR="00E006EF" w:rsidRPr="008B3F38" w:rsidRDefault="00E006EF" w:rsidP="00025DC3">
            <w:pPr>
              <w:pStyle w:val="Tabletext"/>
              <w:rPr>
                <w:sz w:val="18"/>
                <w:szCs w:val="18"/>
                <w:lang w:val="ru-RU"/>
              </w:rPr>
            </w:pPr>
            <w:r w:rsidRPr="008B3F38">
              <w:rPr>
                <w:sz w:val="18"/>
                <w:szCs w:val="18"/>
                <w:lang w:val="ru-RU"/>
              </w:rPr>
              <w:t>Обновленная информация по состоянию на сентябрь 2024 года: С 2023 года действует договоренность об</w:t>
            </w:r>
            <w:r w:rsidR="005D672E" w:rsidRPr="008B3F38">
              <w:rPr>
                <w:sz w:val="18"/>
                <w:szCs w:val="18"/>
                <w:lang w:val="ru-RU"/>
              </w:rPr>
              <w:t> </w:t>
            </w:r>
            <w:r w:rsidRPr="008B3F38">
              <w:rPr>
                <w:sz w:val="18"/>
                <w:szCs w:val="18"/>
                <w:lang w:val="ru-RU"/>
              </w:rPr>
              <w:t xml:space="preserve">организации телеработы с использованием специального приложения ERP (SAP) для направления запроса о телеработе, которое позволяет регистрировать </w:t>
            </w:r>
            <w:r w:rsidRPr="008B3F38">
              <w:rPr>
                <w:sz w:val="18"/>
                <w:szCs w:val="18"/>
                <w:lang w:val="ru-RU"/>
              </w:rPr>
              <w:lastRenderedPageBreak/>
              <w:t>и вести журнал учета дней удаленной работы для каждого сотрудника. Напоминание об этой договоренности было опубликовано в январе 2024 года вместе с подробным соответствующим документом с часто задаваемыми вопросами.</w:t>
            </w:r>
            <w:r w:rsidR="008F27F4" w:rsidRPr="008B3F38">
              <w:rPr>
                <w:sz w:val="18"/>
                <w:szCs w:val="18"/>
                <w:lang w:val="ru-RU"/>
              </w:rPr>
              <w:t xml:space="preserve"> </w:t>
            </w:r>
            <w:r w:rsidRPr="008B3F38">
              <w:rPr>
                <w:sz w:val="18"/>
                <w:szCs w:val="18"/>
                <w:lang w:val="ru-RU"/>
              </w:rPr>
              <w:t>Основные рамки управленческого надзора в области удаленной работы в штаб-квартире и отделениях за пределами Женевы регулируются, прежде всего, служебным приказом 20/10 о контроле доступа (упоминается в комментариях) и принятым впоследствии служебным приказом 23/14 "Политика МСЭ в области защиты данных и конфиденциальности" (декабрь</w:t>
            </w:r>
            <w:r w:rsidR="008F27F4" w:rsidRPr="008B3F38">
              <w:rPr>
                <w:sz w:val="18"/>
                <w:szCs w:val="18"/>
                <w:lang w:val="ru-RU"/>
              </w:rPr>
              <w:t> </w:t>
            </w:r>
            <w:r w:rsidRPr="008B3F38">
              <w:rPr>
                <w:sz w:val="18"/>
                <w:szCs w:val="18"/>
                <w:lang w:val="ru-RU"/>
              </w:rPr>
              <w:t>2023 г</w:t>
            </w:r>
            <w:r w:rsidR="004D7A3D" w:rsidRPr="008B3F38">
              <w:rPr>
                <w:sz w:val="18"/>
                <w:szCs w:val="18"/>
                <w:lang w:val="ru-RU"/>
              </w:rPr>
              <w:t>.</w:t>
            </w:r>
            <w:r w:rsidRPr="008B3F38">
              <w:rPr>
                <w:sz w:val="18"/>
                <w:szCs w:val="18"/>
                <w:lang w:val="ru-RU"/>
              </w:rPr>
              <w:t>); в случаях предполагаемых нарушений договоренности используется служебный приказ 24/09 "Принятие Устава по надзору МСЭ и разъяснения относительно приема и предварительной оценки жалоб на неправомерные действия (сентябрь 2024 г</w:t>
            </w:r>
            <w:r w:rsidR="004D7A3D" w:rsidRPr="008B3F38">
              <w:rPr>
                <w:sz w:val="18"/>
                <w:szCs w:val="18"/>
                <w:lang w:val="ru-RU"/>
              </w:rPr>
              <w:t>.</w:t>
            </w:r>
            <w:r w:rsidRPr="008B3F38">
              <w:rPr>
                <w:sz w:val="18"/>
                <w:szCs w:val="18"/>
                <w:lang w:val="ru-RU"/>
              </w:rPr>
              <w:t>).</w:t>
            </w:r>
          </w:p>
          <w:p w14:paraId="4164CDA2" w14:textId="77777777" w:rsidR="00E006EF" w:rsidRPr="008B3F38" w:rsidRDefault="00E006EF" w:rsidP="00025DC3">
            <w:pPr>
              <w:pStyle w:val="Tabletext"/>
              <w:rPr>
                <w:sz w:val="18"/>
                <w:szCs w:val="18"/>
                <w:lang w:val="ru-RU"/>
              </w:rPr>
            </w:pPr>
            <w:r w:rsidRPr="008B3F38">
              <w:rPr>
                <w:sz w:val="18"/>
                <w:szCs w:val="18"/>
                <w:lang w:val="ru-RU"/>
              </w:rPr>
              <w:t>МСЭ рекомендует закрыть данную рекомендацию.</w:t>
            </w:r>
          </w:p>
        </w:tc>
        <w:tc>
          <w:tcPr>
            <w:tcW w:w="1139" w:type="pct"/>
            <w:gridSpan w:val="2"/>
            <w:shd w:val="clear" w:color="auto" w:fill="auto"/>
          </w:tcPr>
          <w:p w14:paraId="533187B5" w14:textId="77777777" w:rsidR="00E006EF" w:rsidRPr="008B3F38" w:rsidRDefault="00E006EF" w:rsidP="00025DC3">
            <w:pPr>
              <w:pStyle w:val="Tabletext"/>
              <w:rPr>
                <w:sz w:val="18"/>
                <w:szCs w:val="18"/>
                <w:highlight w:val="yellow"/>
                <w:lang w:val="ru-RU"/>
              </w:rPr>
            </w:pPr>
            <w:r w:rsidRPr="008B3F38">
              <w:rPr>
                <w:sz w:val="18"/>
                <w:szCs w:val="18"/>
                <w:lang w:val="ru-RU"/>
              </w:rPr>
              <w:lastRenderedPageBreak/>
              <w:t>Последний ответ принят к сведению и признан обоснованным. Рекомендация закрыта.</w:t>
            </w:r>
          </w:p>
        </w:tc>
        <w:tc>
          <w:tcPr>
            <w:tcW w:w="440" w:type="pct"/>
            <w:shd w:val="clear" w:color="auto" w:fill="auto"/>
          </w:tcPr>
          <w:p w14:paraId="2E300C03" w14:textId="77777777" w:rsidR="00E006EF" w:rsidRPr="008B3F38" w:rsidRDefault="00E006EF" w:rsidP="00025DC3">
            <w:pPr>
              <w:pStyle w:val="Tabletext"/>
              <w:ind w:right="-57"/>
              <w:rPr>
                <w:sz w:val="18"/>
                <w:szCs w:val="18"/>
                <w:lang w:val="ru-RU"/>
              </w:rPr>
            </w:pPr>
            <w:r w:rsidRPr="008B3F38">
              <w:rPr>
                <w:sz w:val="18"/>
                <w:szCs w:val="18"/>
                <w:lang w:val="ru-RU"/>
              </w:rPr>
              <w:t>Закрыта.</w:t>
            </w:r>
          </w:p>
        </w:tc>
      </w:tr>
      <w:tr w:rsidR="00E006EF" w:rsidRPr="008B3F38" w14:paraId="261494B3" w14:textId="77777777" w:rsidTr="008A2FDE">
        <w:trPr>
          <w:jc w:val="center"/>
        </w:trPr>
        <w:tc>
          <w:tcPr>
            <w:tcW w:w="353" w:type="pct"/>
            <w:shd w:val="clear" w:color="auto" w:fill="auto"/>
          </w:tcPr>
          <w:p w14:paraId="178F5365" w14:textId="77777777" w:rsidR="00E006EF" w:rsidRPr="008B3F38" w:rsidRDefault="00E006EF" w:rsidP="00025DC3">
            <w:pPr>
              <w:pStyle w:val="Tabletext"/>
              <w:rPr>
                <w:sz w:val="18"/>
                <w:szCs w:val="18"/>
                <w:lang w:val="ru-RU"/>
              </w:rPr>
            </w:pPr>
            <w:r w:rsidRPr="008B3F38">
              <w:rPr>
                <w:sz w:val="18"/>
                <w:szCs w:val="18"/>
                <w:lang w:val="ru-RU"/>
              </w:rPr>
              <w:t>РЕК17</w:t>
            </w:r>
          </w:p>
        </w:tc>
        <w:tc>
          <w:tcPr>
            <w:tcW w:w="1410" w:type="pct"/>
            <w:gridSpan w:val="2"/>
            <w:shd w:val="clear" w:color="auto" w:fill="auto"/>
          </w:tcPr>
          <w:p w14:paraId="707F16A4" w14:textId="77777777" w:rsidR="00E006EF" w:rsidRPr="008B3F38" w:rsidRDefault="00E006EF" w:rsidP="00025DC3">
            <w:pPr>
              <w:pStyle w:val="Tabletext"/>
              <w:rPr>
                <w:sz w:val="18"/>
                <w:szCs w:val="18"/>
                <w:lang w:val="ru-RU"/>
              </w:rPr>
            </w:pPr>
            <w:r w:rsidRPr="008B3F38">
              <w:rPr>
                <w:sz w:val="18"/>
                <w:szCs w:val="18"/>
                <w:lang w:val="ru-RU"/>
              </w:rPr>
              <w:t>Ввести политику ротации, которая предусматривает создание четкой нормативно-правовой базы в отношении регионального присутствия, требующей, чтобы сотрудники категории P (специалисты) и директора сменялись через короткие промежутки времени, что соответствует передовому международному опыту.</w:t>
            </w:r>
          </w:p>
        </w:tc>
        <w:tc>
          <w:tcPr>
            <w:tcW w:w="1658" w:type="pct"/>
            <w:shd w:val="clear" w:color="auto" w:fill="auto"/>
          </w:tcPr>
          <w:p w14:paraId="56948052" w14:textId="3FF77FEB" w:rsidR="00E006EF" w:rsidRPr="008B3F38" w:rsidRDefault="00E006EF" w:rsidP="00025DC3">
            <w:pPr>
              <w:pStyle w:val="Tabletext"/>
              <w:rPr>
                <w:sz w:val="18"/>
                <w:szCs w:val="18"/>
                <w:lang w:val="ru-RU"/>
              </w:rPr>
            </w:pPr>
            <w:r w:rsidRPr="008B3F38">
              <w:rPr>
                <w:sz w:val="18"/>
                <w:szCs w:val="18"/>
                <w:lang w:val="ru-RU"/>
              </w:rPr>
              <w:t>Данная рекомендация рассматривается в рамках инициатив по трансформации МСЭ.</w:t>
            </w:r>
          </w:p>
          <w:p w14:paraId="1A0BB59D" w14:textId="7DF1CAA1" w:rsidR="00E006EF" w:rsidRPr="008B3F38" w:rsidRDefault="00E006EF" w:rsidP="00025DC3">
            <w:pPr>
              <w:pStyle w:val="Tabletext"/>
              <w:rPr>
                <w:sz w:val="18"/>
                <w:szCs w:val="18"/>
                <w:lang w:val="ru-RU"/>
              </w:rPr>
            </w:pPr>
            <w:r w:rsidRPr="008B3F38">
              <w:rPr>
                <w:sz w:val="18"/>
                <w:szCs w:val="18"/>
                <w:lang w:val="ru-RU"/>
              </w:rPr>
              <w:t>Обновленная информация по состоянию на май 2025 года: Это проект в рамках программы проводников перемен, который должен быть реализован в 2025 году под руководством HRMD. Он рассматривается в увязке с Рекомендацией 18, а также с Рекомендацией 14/2021, касающейся финансовой отчетности, относящейся к служебному приказу 20/14 "Политика в отношении</w:t>
            </w:r>
            <w:r w:rsidR="008F27F4" w:rsidRPr="008B3F38">
              <w:rPr>
                <w:sz w:val="18"/>
                <w:szCs w:val="18"/>
                <w:lang w:val="ru-RU"/>
              </w:rPr>
              <w:t> </w:t>
            </w:r>
            <w:r w:rsidRPr="008B3F38">
              <w:rPr>
                <w:sz w:val="18"/>
                <w:szCs w:val="18"/>
                <w:lang w:val="ru-RU"/>
              </w:rPr>
              <w:t>мобильности".</w:t>
            </w:r>
          </w:p>
          <w:p w14:paraId="4E430A1F" w14:textId="77777777" w:rsidR="00E006EF" w:rsidRPr="008B3F38" w:rsidRDefault="00E006EF" w:rsidP="00025DC3">
            <w:pPr>
              <w:pStyle w:val="Tabletext"/>
              <w:rPr>
                <w:sz w:val="18"/>
                <w:szCs w:val="18"/>
                <w:lang w:val="ru-RU"/>
              </w:rPr>
            </w:pPr>
            <w:r w:rsidRPr="008B3F38">
              <w:rPr>
                <w:sz w:val="18"/>
                <w:szCs w:val="18"/>
                <w:lang w:val="ru-RU"/>
              </w:rPr>
              <w:t>МСЭ считает, что данная рекомендация находится в процессе выполнения.</w:t>
            </w:r>
          </w:p>
        </w:tc>
        <w:tc>
          <w:tcPr>
            <w:tcW w:w="1139" w:type="pct"/>
            <w:gridSpan w:val="2"/>
            <w:shd w:val="clear" w:color="auto" w:fill="auto"/>
          </w:tcPr>
          <w:p w14:paraId="7CE8290A" w14:textId="77777777" w:rsidR="00E006EF" w:rsidRPr="008B3F38" w:rsidRDefault="00E006EF" w:rsidP="00025DC3">
            <w:pPr>
              <w:pStyle w:val="Tabletext"/>
              <w:rPr>
                <w:sz w:val="18"/>
                <w:szCs w:val="18"/>
                <w:lang w:val="ru-RU"/>
              </w:rPr>
            </w:pPr>
            <w:r w:rsidRPr="008B3F38">
              <w:rPr>
                <w:sz w:val="18"/>
                <w:szCs w:val="18"/>
                <w:lang w:val="ru-RU"/>
              </w:rPr>
              <w:t>Последний ответ принят к сведению.</w:t>
            </w:r>
          </w:p>
        </w:tc>
        <w:tc>
          <w:tcPr>
            <w:tcW w:w="440" w:type="pct"/>
            <w:shd w:val="clear" w:color="auto" w:fill="auto"/>
          </w:tcPr>
          <w:p w14:paraId="717B6668" w14:textId="77777777" w:rsidR="00E006EF" w:rsidRPr="008B3F38" w:rsidRDefault="00E006EF" w:rsidP="00025DC3">
            <w:pPr>
              <w:pStyle w:val="Tabletext"/>
              <w:ind w:right="-57"/>
              <w:rPr>
                <w:sz w:val="18"/>
                <w:szCs w:val="18"/>
                <w:lang w:val="ru-RU"/>
              </w:rPr>
            </w:pPr>
            <w:r w:rsidRPr="008B3F38">
              <w:rPr>
                <w:sz w:val="18"/>
                <w:szCs w:val="18"/>
                <w:lang w:val="ru-RU"/>
              </w:rPr>
              <w:t>Выполняется.</w:t>
            </w:r>
          </w:p>
        </w:tc>
      </w:tr>
      <w:tr w:rsidR="00E006EF" w:rsidRPr="008B3F38" w14:paraId="4A6C3A4B" w14:textId="77777777" w:rsidTr="008A2FDE">
        <w:trPr>
          <w:jc w:val="center"/>
        </w:trPr>
        <w:tc>
          <w:tcPr>
            <w:tcW w:w="353" w:type="pct"/>
            <w:shd w:val="clear" w:color="auto" w:fill="auto"/>
          </w:tcPr>
          <w:p w14:paraId="7E9966AC" w14:textId="77777777" w:rsidR="00E006EF" w:rsidRPr="008B3F38" w:rsidRDefault="00E006EF" w:rsidP="00025DC3">
            <w:pPr>
              <w:pStyle w:val="Tabletext"/>
              <w:rPr>
                <w:sz w:val="18"/>
                <w:szCs w:val="18"/>
                <w:lang w:val="ru-RU"/>
              </w:rPr>
            </w:pPr>
            <w:r w:rsidRPr="008B3F38">
              <w:rPr>
                <w:sz w:val="18"/>
                <w:szCs w:val="18"/>
                <w:lang w:val="ru-RU"/>
              </w:rPr>
              <w:t>РЕК18</w:t>
            </w:r>
          </w:p>
        </w:tc>
        <w:tc>
          <w:tcPr>
            <w:tcW w:w="1410" w:type="pct"/>
            <w:gridSpan w:val="2"/>
            <w:shd w:val="clear" w:color="auto" w:fill="auto"/>
          </w:tcPr>
          <w:p w14:paraId="27B5A245" w14:textId="5A854D56" w:rsidR="005D672E" w:rsidRPr="008B3F38" w:rsidRDefault="00E006EF" w:rsidP="00025DC3">
            <w:pPr>
              <w:pStyle w:val="Tabletext"/>
              <w:rPr>
                <w:sz w:val="18"/>
                <w:szCs w:val="18"/>
                <w:lang w:val="ru-RU"/>
              </w:rPr>
            </w:pPr>
            <w:r w:rsidRPr="008B3F38">
              <w:rPr>
                <w:sz w:val="18"/>
                <w:szCs w:val="18"/>
                <w:lang w:val="ru-RU"/>
              </w:rPr>
              <w:t>Организовать эффективную ротацию сотрудников, с тем чтобы исключить</w:t>
            </w:r>
            <w:r w:rsidR="008F27F4" w:rsidRPr="008B3F38">
              <w:rPr>
                <w:sz w:val="18"/>
                <w:szCs w:val="18"/>
                <w:lang w:val="ru-RU"/>
              </w:rPr>
              <w:t> </w:t>
            </w:r>
            <w:r w:rsidRPr="008B3F38">
              <w:rPr>
                <w:sz w:val="18"/>
                <w:szCs w:val="18"/>
                <w:lang w:val="ru-RU"/>
              </w:rPr>
              <w:t>возможность:</w:t>
            </w:r>
          </w:p>
          <w:p w14:paraId="3F0195FE" w14:textId="3DF05BA1" w:rsidR="005D672E" w:rsidRPr="008B3F38" w:rsidRDefault="00E006EF" w:rsidP="00025DC3">
            <w:pPr>
              <w:pStyle w:val="Tabletext"/>
              <w:ind w:left="284" w:hanging="284"/>
              <w:rPr>
                <w:sz w:val="18"/>
                <w:szCs w:val="18"/>
                <w:lang w:val="ru-RU"/>
              </w:rPr>
            </w:pPr>
            <w:r w:rsidRPr="008B3F38">
              <w:rPr>
                <w:sz w:val="18"/>
                <w:szCs w:val="18"/>
                <w:lang w:val="ru-RU"/>
              </w:rPr>
              <w:t>i)</w:t>
            </w:r>
            <w:r w:rsidR="005D672E" w:rsidRPr="008B3F38">
              <w:rPr>
                <w:sz w:val="18"/>
                <w:szCs w:val="18"/>
                <w:lang w:val="ru-RU"/>
              </w:rPr>
              <w:tab/>
            </w:r>
            <w:r w:rsidRPr="008B3F38">
              <w:rPr>
                <w:sz w:val="18"/>
                <w:szCs w:val="18"/>
                <w:lang w:val="ru-RU"/>
              </w:rPr>
              <w:t xml:space="preserve">конфликтов интересов в том случае, если консультанты (работающие по SSA) и сотрудники категорий P и D работают в тех регионах и/или Государствах-Членах, гражданами которых они являются, или в случае имевших место прежних отношений </w:t>
            </w:r>
            <w:r w:rsidRPr="008B3F38">
              <w:rPr>
                <w:sz w:val="18"/>
                <w:szCs w:val="18"/>
                <w:lang w:val="ru-RU"/>
              </w:rPr>
              <w:lastRenderedPageBreak/>
              <w:t>с донорами (знакомство, общее прежнее место работы и т. д.);</w:t>
            </w:r>
          </w:p>
          <w:p w14:paraId="7C5177D8" w14:textId="77777777" w:rsidR="005D672E" w:rsidRPr="008B3F38" w:rsidRDefault="00E006EF" w:rsidP="00025DC3">
            <w:pPr>
              <w:pStyle w:val="Tabletext"/>
              <w:ind w:left="284" w:hanging="284"/>
              <w:rPr>
                <w:sz w:val="18"/>
                <w:szCs w:val="18"/>
                <w:lang w:val="ru-RU"/>
              </w:rPr>
            </w:pPr>
            <w:r w:rsidRPr="008B3F38">
              <w:rPr>
                <w:sz w:val="18"/>
                <w:szCs w:val="18"/>
                <w:lang w:val="ru-RU"/>
              </w:rPr>
              <w:t>ii)</w:t>
            </w:r>
            <w:r w:rsidR="005D672E" w:rsidRPr="008B3F38">
              <w:rPr>
                <w:sz w:val="18"/>
                <w:szCs w:val="18"/>
                <w:lang w:val="ru-RU"/>
              </w:rPr>
              <w:tab/>
            </w:r>
            <w:r w:rsidRPr="008B3F38">
              <w:rPr>
                <w:sz w:val="18"/>
                <w:szCs w:val="18"/>
                <w:lang w:val="ru-RU"/>
              </w:rPr>
              <w:t>того, что они занимают какую-то должность в этом географическом районе, что может повлиять на техническое предпочтение определенной технологии;</w:t>
            </w:r>
          </w:p>
          <w:p w14:paraId="5E04D7E8" w14:textId="48F80714" w:rsidR="00E006EF" w:rsidRPr="008B3F38" w:rsidRDefault="00E006EF" w:rsidP="00025DC3">
            <w:pPr>
              <w:pStyle w:val="Tabletext"/>
              <w:ind w:left="284" w:hanging="284"/>
              <w:rPr>
                <w:sz w:val="18"/>
                <w:szCs w:val="18"/>
                <w:lang w:val="ru-RU"/>
              </w:rPr>
            </w:pPr>
            <w:r w:rsidRPr="008B3F38">
              <w:rPr>
                <w:sz w:val="18"/>
                <w:szCs w:val="18"/>
                <w:lang w:val="ru-RU"/>
              </w:rPr>
              <w:t>iii)</w:t>
            </w:r>
            <w:r w:rsidR="005D672E" w:rsidRPr="008B3F38">
              <w:rPr>
                <w:sz w:val="18"/>
                <w:szCs w:val="18"/>
                <w:lang w:val="ru-RU"/>
              </w:rPr>
              <w:tab/>
            </w:r>
            <w:r w:rsidRPr="008B3F38">
              <w:rPr>
                <w:sz w:val="18"/>
                <w:szCs w:val="18"/>
                <w:lang w:val="ru-RU"/>
              </w:rPr>
              <w:t>того, что они являются представителями МСЭ в своей стране.</w:t>
            </w:r>
          </w:p>
        </w:tc>
        <w:tc>
          <w:tcPr>
            <w:tcW w:w="1658" w:type="pct"/>
            <w:shd w:val="clear" w:color="auto" w:fill="auto"/>
          </w:tcPr>
          <w:p w14:paraId="7ADBD032" w14:textId="77777777" w:rsidR="00E006EF" w:rsidRPr="008B3F38" w:rsidRDefault="00E006EF" w:rsidP="00025DC3">
            <w:pPr>
              <w:pStyle w:val="Tabletext"/>
              <w:rPr>
                <w:sz w:val="18"/>
                <w:szCs w:val="18"/>
                <w:lang w:val="ru-RU"/>
              </w:rPr>
            </w:pPr>
            <w:r w:rsidRPr="008B3F38">
              <w:rPr>
                <w:sz w:val="18"/>
                <w:szCs w:val="18"/>
                <w:lang w:val="ru-RU"/>
              </w:rPr>
              <w:lastRenderedPageBreak/>
              <w:t>Данная рекомендация рассматривается в рамках инициатив по трансформации МСЭ.</w:t>
            </w:r>
          </w:p>
          <w:p w14:paraId="5DCF041A" w14:textId="3541F212" w:rsidR="00E006EF" w:rsidRPr="008B3F38" w:rsidRDefault="00E006EF" w:rsidP="00025DC3">
            <w:pPr>
              <w:pStyle w:val="Tabletext"/>
              <w:rPr>
                <w:sz w:val="18"/>
                <w:szCs w:val="18"/>
                <w:lang w:val="ru-RU"/>
              </w:rPr>
            </w:pPr>
            <w:r w:rsidRPr="008B3F38">
              <w:rPr>
                <w:sz w:val="18"/>
                <w:szCs w:val="18"/>
                <w:lang w:val="ru-RU"/>
              </w:rPr>
              <w:t>Обновленная информация по состоянию на май 2025 года: Данная рекомендация и предыдущая Рекомендация 17 по вопросу ротации рассматриваются в увязке с соответствующей Рекомендацией 14/2021, касающейся финансовой отчетности, относящейся к служебному приказу 20/14 "Политика в отношении</w:t>
            </w:r>
            <w:r w:rsidR="008F27F4" w:rsidRPr="008B3F38">
              <w:rPr>
                <w:sz w:val="18"/>
                <w:szCs w:val="18"/>
                <w:lang w:val="ru-RU"/>
              </w:rPr>
              <w:t> </w:t>
            </w:r>
            <w:r w:rsidRPr="008B3F38">
              <w:rPr>
                <w:sz w:val="18"/>
                <w:szCs w:val="18"/>
                <w:lang w:val="ru-RU"/>
              </w:rPr>
              <w:t>мобильности".</w:t>
            </w:r>
          </w:p>
          <w:p w14:paraId="69DD2FB0" w14:textId="77777777" w:rsidR="00E006EF" w:rsidRPr="008B3F38" w:rsidRDefault="00E006EF" w:rsidP="00025DC3">
            <w:pPr>
              <w:pStyle w:val="Tabletext"/>
              <w:rPr>
                <w:sz w:val="18"/>
                <w:szCs w:val="18"/>
                <w:lang w:val="ru-RU"/>
              </w:rPr>
            </w:pPr>
            <w:r w:rsidRPr="008B3F38">
              <w:rPr>
                <w:sz w:val="18"/>
                <w:szCs w:val="18"/>
                <w:lang w:val="ru-RU"/>
              </w:rPr>
              <w:lastRenderedPageBreak/>
              <w:t>МСЭ считает, что данная рекомендация находится в процессе выполнения.</w:t>
            </w:r>
          </w:p>
        </w:tc>
        <w:tc>
          <w:tcPr>
            <w:tcW w:w="1139" w:type="pct"/>
            <w:gridSpan w:val="2"/>
            <w:shd w:val="clear" w:color="auto" w:fill="auto"/>
          </w:tcPr>
          <w:p w14:paraId="657B4F66" w14:textId="77777777" w:rsidR="00E006EF" w:rsidRPr="008B3F38" w:rsidRDefault="00E006EF" w:rsidP="00025DC3">
            <w:pPr>
              <w:pStyle w:val="Tabletext"/>
              <w:rPr>
                <w:sz w:val="18"/>
                <w:szCs w:val="18"/>
                <w:lang w:val="ru-RU"/>
              </w:rPr>
            </w:pPr>
            <w:r w:rsidRPr="008B3F38">
              <w:rPr>
                <w:sz w:val="18"/>
                <w:szCs w:val="18"/>
                <w:lang w:val="ru-RU"/>
              </w:rPr>
              <w:lastRenderedPageBreak/>
              <w:t>Последний ответ принят к сведению.</w:t>
            </w:r>
          </w:p>
        </w:tc>
        <w:tc>
          <w:tcPr>
            <w:tcW w:w="440" w:type="pct"/>
            <w:shd w:val="clear" w:color="auto" w:fill="auto"/>
          </w:tcPr>
          <w:p w14:paraId="46A1DB70" w14:textId="77777777" w:rsidR="00E006EF" w:rsidRPr="008B3F38" w:rsidRDefault="00E006EF" w:rsidP="00025DC3">
            <w:pPr>
              <w:pStyle w:val="Tabletext"/>
              <w:ind w:right="-57"/>
              <w:rPr>
                <w:sz w:val="18"/>
                <w:szCs w:val="18"/>
                <w:lang w:val="ru-RU"/>
              </w:rPr>
            </w:pPr>
            <w:r w:rsidRPr="008B3F38">
              <w:rPr>
                <w:sz w:val="18"/>
                <w:szCs w:val="18"/>
                <w:lang w:val="ru-RU"/>
              </w:rPr>
              <w:t>Выполняется.</w:t>
            </w:r>
          </w:p>
        </w:tc>
      </w:tr>
      <w:tr w:rsidR="00E006EF" w:rsidRPr="008B3F38" w14:paraId="3943D8AC" w14:textId="77777777" w:rsidTr="008A2FDE">
        <w:trPr>
          <w:jc w:val="center"/>
        </w:trPr>
        <w:tc>
          <w:tcPr>
            <w:tcW w:w="353" w:type="pct"/>
            <w:shd w:val="clear" w:color="auto" w:fill="auto"/>
          </w:tcPr>
          <w:p w14:paraId="35052A96" w14:textId="77777777" w:rsidR="00E006EF" w:rsidRPr="008B3F38" w:rsidRDefault="00E006EF" w:rsidP="00025DC3">
            <w:pPr>
              <w:pStyle w:val="Tabletext"/>
              <w:rPr>
                <w:sz w:val="18"/>
                <w:szCs w:val="18"/>
                <w:lang w:val="ru-RU"/>
              </w:rPr>
            </w:pPr>
            <w:r w:rsidRPr="008B3F38">
              <w:rPr>
                <w:sz w:val="18"/>
                <w:szCs w:val="18"/>
                <w:lang w:val="ru-RU"/>
              </w:rPr>
              <w:t>РЕК19</w:t>
            </w:r>
          </w:p>
        </w:tc>
        <w:tc>
          <w:tcPr>
            <w:tcW w:w="1410" w:type="pct"/>
            <w:gridSpan w:val="2"/>
            <w:shd w:val="clear" w:color="auto" w:fill="auto"/>
          </w:tcPr>
          <w:p w14:paraId="223F8014" w14:textId="77777777" w:rsidR="00E006EF" w:rsidRPr="008B3F38" w:rsidRDefault="00E006EF" w:rsidP="00025DC3">
            <w:pPr>
              <w:pStyle w:val="Tabletext"/>
              <w:rPr>
                <w:sz w:val="18"/>
                <w:szCs w:val="18"/>
                <w:lang w:val="ru-RU"/>
              </w:rPr>
            </w:pPr>
            <w:r w:rsidRPr="008B3F38">
              <w:rPr>
                <w:sz w:val="18"/>
                <w:szCs w:val="18"/>
                <w:lang w:val="ru-RU"/>
              </w:rPr>
              <w:t>Усовершенствовать систему SAP или найти решение, позволяющее извлекать актуальную информацию по заказам на поставку таким образом, чтобы штаб-квартира могла приступить к эффективному контролю расходов на региональном уровне.</w:t>
            </w:r>
          </w:p>
        </w:tc>
        <w:tc>
          <w:tcPr>
            <w:tcW w:w="1658" w:type="pct"/>
            <w:shd w:val="clear" w:color="auto" w:fill="auto"/>
          </w:tcPr>
          <w:p w14:paraId="792152F5" w14:textId="6E347111" w:rsidR="00E006EF" w:rsidRPr="008B3F38" w:rsidRDefault="00E006EF" w:rsidP="00025DC3">
            <w:pPr>
              <w:pStyle w:val="Tabletext"/>
              <w:rPr>
                <w:sz w:val="18"/>
                <w:szCs w:val="18"/>
                <w:lang w:val="ru-RU"/>
              </w:rPr>
            </w:pPr>
            <w:r w:rsidRPr="008B3F38">
              <w:rPr>
                <w:sz w:val="18"/>
                <w:szCs w:val="18"/>
                <w:lang w:val="ru-RU"/>
              </w:rPr>
              <w:t>Обновление системы SAP осуществляется в рамках общей инициативы по трансформации МСЭ.</w:t>
            </w:r>
          </w:p>
          <w:p w14:paraId="0E787D17" w14:textId="10AE6BF5" w:rsidR="00E006EF" w:rsidRPr="008B3F38" w:rsidRDefault="00E006EF" w:rsidP="00025DC3">
            <w:pPr>
              <w:pStyle w:val="Tabletext"/>
              <w:rPr>
                <w:sz w:val="18"/>
                <w:szCs w:val="18"/>
                <w:lang w:val="ru-RU"/>
              </w:rPr>
            </w:pPr>
            <w:r w:rsidRPr="008B3F38">
              <w:rPr>
                <w:sz w:val="18"/>
                <w:szCs w:val="18"/>
                <w:lang w:val="ru-RU"/>
              </w:rPr>
              <w:t>Обновленная информация по состоянию на сентябрь 2024 года: FRMD разработал обновляемую в SAP информационную панель по расходам МСЭ, которая также позволяет отслеживать заказы на поставку на уровне РО и ЗО. Эта информационная панель была представлена CWC-FHR 12 октября 2023 года (веб</w:t>
            </w:r>
            <w:r w:rsidR="004D7A3D" w:rsidRPr="008B3F38">
              <w:rPr>
                <w:rFonts w:ascii="Cambria Math" w:hAnsi="Cambria Math"/>
                <w:sz w:val="18"/>
                <w:szCs w:val="18"/>
                <w:lang w:val="ru-RU"/>
              </w:rPr>
              <w:t>‑</w:t>
            </w:r>
            <w:r w:rsidRPr="008B3F38">
              <w:rPr>
                <w:sz w:val="18"/>
                <w:szCs w:val="18"/>
                <w:lang w:val="ru-RU"/>
              </w:rPr>
              <w:t>трансляция, начинающаяся в 14</w:t>
            </w:r>
            <w:r w:rsidR="008F27F4" w:rsidRPr="008B3F38">
              <w:rPr>
                <w:sz w:val="18"/>
                <w:szCs w:val="18"/>
                <w:lang w:val="ru-RU"/>
              </w:rPr>
              <w:t> час. </w:t>
            </w:r>
            <w:r w:rsidRPr="008B3F38">
              <w:rPr>
                <w:sz w:val="18"/>
                <w:szCs w:val="18"/>
                <w:lang w:val="ru-RU"/>
              </w:rPr>
              <w:t>30</w:t>
            </w:r>
            <w:r w:rsidR="008F27F4" w:rsidRPr="008B3F38">
              <w:rPr>
                <w:sz w:val="18"/>
                <w:szCs w:val="18"/>
                <w:lang w:val="ru-RU"/>
              </w:rPr>
              <w:t> мин.</w:t>
            </w:r>
            <w:r w:rsidRPr="008B3F38">
              <w:rPr>
                <w:sz w:val="18"/>
                <w:szCs w:val="18"/>
                <w:lang w:val="ru-RU"/>
              </w:rPr>
              <w:t>). Существует множество других отчетов по бизнес-аналитике, и совместно с ISD могут быть разработаны дополнительные заказные отчеты, но соответствующие инициативы должны исходить от бизнес-подразделений. Кроме того, в октябре 2023 года ISD по итогам совместной работы с FRMD внедрил в систему SAP функции автоматического трехстороннего</w:t>
            </w:r>
            <w:r w:rsidR="008F27F4" w:rsidRPr="008B3F38">
              <w:rPr>
                <w:sz w:val="18"/>
                <w:szCs w:val="18"/>
                <w:lang w:val="ru-RU"/>
              </w:rPr>
              <w:t> </w:t>
            </w:r>
            <w:r w:rsidRPr="008B3F38">
              <w:rPr>
                <w:sz w:val="18"/>
                <w:szCs w:val="18"/>
                <w:lang w:val="ru-RU"/>
              </w:rPr>
              <w:t>сопоставления.</w:t>
            </w:r>
          </w:p>
          <w:p w14:paraId="3F63870A" w14:textId="77777777" w:rsidR="00E006EF" w:rsidRPr="008B3F38" w:rsidRDefault="00E006EF" w:rsidP="00025DC3">
            <w:pPr>
              <w:pStyle w:val="Tabletext"/>
              <w:rPr>
                <w:sz w:val="18"/>
                <w:szCs w:val="18"/>
                <w:lang w:val="ru-RU"/>
              </w:rPr>
            </w:pPr>
            <w:r w:rsidRPr="008B3F38">
              <w:rPr>
                <w:sz w:val="18"/>
                <w:szCs w:val="18"/>
                <w:lang w:val="ru-RU"/>
              </w:rPr>
              <w:t>МСЭ рекомендует закрыть данную рекомендацию.</w:t>
            </w:r>
          </w:p>
        </w:tc>
        <w:tc>
          <w:tcPr>
            <w:tcW w:w="1139" w:type="pct"/>
            <w:gridSpan w:val="2"/>
            <w:shd w:val="clear" w:color="auto" w:fill="auto"/>
          </w:tcPr>
          <w:p w14:paraId="68406080" w14:textId="65CB921D" w:rsidR="00E006EF" w:rsidRPr="008B3F38" w:rsidRDefault="00E006EF" w:rsidP="00025DC3">
            <w:pPr>
              <w:pStyle w:val="Tabletext"/>
              <w:rPr>
                <w:sz w:val="18"/>
                <w:szCs w:val="18"/>
                <w:lang w:val="ru-RU"/>
              </w:rPr>
            </w:pPr>
            <w:r w:rsidRPr="008B3F38">
              <w:rPr>
                <w:sz w:val="18"/>
                <w:szCs w:val="18"/>
                <w:lang w:val="ru-RU"/>
              </w:rPr>
              <w:t>Последний ответ принят к сведению. В отчете за этот год мы отразили информацию о проверке расходов по проектам и подготовили соответствующую новую</w:t>
            </w:r>
            <w:r w:rsidR="00853517" w:rsidRPr="008B3F38">
              <w:rPr>
                <w:sz w:val="18"/>
                <w:szCs w:val="18"/>
                <w:lang w:val="ru-RU"/>
              </w:rPr>
              <w:t> </w:t>
            </w:r>
            <w:r w:rsidRPr="008B3F38">
              <w:rPr>
                <w:sz w:val="18"/>
                <w:szCs w:val="18"/>
                <w:lang w:val="ru-RU"/>
              </w:rPr>
              <w:t>рекомендацию.</w:t>
            </w:r>
          </w:p>
        </w:tc>
        <w:tc>
          <w:tcPr>
            <w:tcW w:w="440" w:type="pct"/>
            <w:shd w:val="clear" w:color="auto" w:fill="auto"/>
          </w:tcPr>
          <w:p w14:paraId="08C2EE7D" w14:textId="77777777" w:rsidR="00E006EF" w:rsidRPr="008B3F38" w:rsidRDefault="00E006EF" w:rsidP="00025DC3">
            <w:pPr>
              <w:pStyle w:val="Tabletext"/>
              <w:ind w:right="-57"/>
              <w:rPr>
                <w:sz w:val="18"/>
                <w:szCs w:val="18"/>
                <w:lang w:val="ru-RU"/>
              </w:rPr>
            </w:pPr>
            <w:r w:rsidRPr="008B3F38">
              <w:rPr>
                <w:sz w:val="18"/>
                <w:szCs w:val="18"/>
                <w:lang w:val="ru-RU"/>
              </w:rPr>
              <w:t>Закрыта.</w:t>
            </w:r>
          </w:p>
        </w:tc>
      </w:tr>
      <w:tr w:rsidR="00E006EF" w:rsidRPr="007D30B5" w14:paraId="69A66DED" w14:textId="77777777" w:rsidTr="008A2FDE">
        <w:trPr>
          <w:jc w:val="center"/>
        </w:trPr>
        <w:tc>
          <w:tcPr>
            <w:tcW w:w="5000" w:type="pct"/>
            <w:gridSpan w:val="7"/>
            <w:shd w:val="clear" w:color="auto" w:fill="auto"/>
          </w:tcPr>
          <w:p w14:paraId="7ADC1F37" w14:textId="77777777" w:rsidR="00E006EF" w:rsidRPr="008B3F38" w:rsidRDefault="00E006EF" w:rsidP="00025DC3">
            <w:pPr>
              <w:pStyle w:val="Tabletitle"/>
              <w:keepNext w:val="0"/>
              <w:spacing w:before="120"/>
              <w:jc w:val="left"/>
              <w:rPr>
                <w:sz w:val="20"/>
                <w:lang w:val="ru-RU"/>
              </w:rPr>
            </w:pPr>
            <w:r w:rsidRPr="008B3F38">
              <w:rPr>
                <w:sz w:val="20"/>
                <w:lang w:val="ru-RU"/>
              </w:rPr>
              <w:t xml:space="preserve">Специальный отчет </w:t>
            </w:r>
            <w:r w:rsidRPr="008B3F38">
              <w:rPr>
                <w:b w:val="0"/>
                <w:bCs/>
                <w:sz w:val="20"/>
                <w:lang w:val="ru-RU"/>
              </w:rPr>
              <w:t>"</w:t>
            </w:r>
            <w:r w:rsidRPr="008B3F38">
              <w:rPr>
                <w:sz w:val="20"/>
                <w:lang w:val="ru-RU"/>
              </w:rPr>
              <w:t>Рассмотрение случая мошенничества в МСЭ</w:t>
            </w:r>
            <w:r w:rsidRPr="008B3F38">
              <w:rPr>
                <w:b w:val="0"/>
                <w:bCs/>
                <w:sz w:val="20"/>
                <w:lang w:val="ru-RU"/>
              </w:rPr>
              <w:t>"</w:t>
            </w:r>
          </w:p>
        </w:tc>
      </w:tr>
      <w:tr w:rsidR="00E006EF" w:rsidRPr="008B3F38" w14:paraId="586E73F4" w14:textId="77777777" w:rsidTr="008A2FDE">
        <w:trPr>
          <w:jc w:val="center"/>
        </w:trPr>
        <w:tc>
          <w:tcPr>
            <w:tcW w:w="353" w:type="pct"/>
            <w:shd w:val="clear" w:color="auto" w:fill="auto"/>
          </w:tcPr>
          <w:p w14:paraId="30D3FB22" w14:textId="77777777" w:rsidR="00E006EF" w:rsidRPr="008B3F38" w:rsidRDefault="00E006EF" w:rsidP="00025DC3">
            <w:pPr>
              <w:pStyle w:val="Tablehead"/>
              <w:keepNext w:val="0"/>
              <w:rPr>
                <w:sz w:val="18"/>
                <w:szCs w:val="18"/>
                <w:lang w:val="ru-RU"/>
              </w:rPr>
            </w:pPr>
            <w:r w:rsidRPr="008B3F38">
              <w:rPr>
                <w:sz w:val="18"/>
                <w:szCs w:val="18"/>
                <w:lang w:val="ru-RU"/>
              </w:rPr>
              <w:t>Номер</w:t>
            </w:r>
          </w:p>
        </w:tc>
        <w:tc>
          <w:tcPr>
            <w:tcW w:w="1410" w:type="pct"/>
            <w:gridSpan w:val="2"/>
            <w:shd w:val="clear" w:color="auto" w:fill="auto"/>
          </w:tcPr>
          <w:p w14:paraId="4F561F9E" w14:textId="77777777" w:rsidR="00E006EF" w:rsidRPr="008B3F38" w:rsidRDefault="00E006EF" w:rsidP="00025DC3">
            <w:pPr>
              <w:pStyle w:val="Tablehead"/>
              <w:keepNext w:val="0"/>
              <w:rPr>
                <w:sz w:val="18"/>
                <w:szCs w:val="18"/>
                <w:lang w:val="ru-RU"/>
              </w:rPr>
            </w:pPr>
            <w:r w:rsidRPr="008B3F38">
              <w:rPr>
                <w:sz w:val="18"/>
                <w:szCs w:val="18"/>
                <w:lang w:val="ru-RU"/>
              </w:rPr>
              <w:t>Рекомендация</w:t>
            </w:r>
          </w:p>
        </w:tc>
        <w:tc>
          <w:tcPr>
            <w:tcW w:w="1658" w:type="pct"/>
            <w:shd w:val="clear" w:color="auto" w:fill="auto"/>
          </w:tcPr>
          <w:p w14:paraId="3607C930" w14:textId="77777777" w:rsidR="00E006EF" w:rsidRPr="008B3F38" w:rsidRDefault="00E006EF" w:rsidP="00025DC3">
            <w:pPr>
              <w:pStyle w:val="Tablehead"/>
              <w:keepNext w:val="0"/>
              <w:rPr>
                <w:sz w:val="18"/>
                <w:szCs w:val="18"/>
                <w:lang w:val="ru-RU"/>
              </w:rPr>
            </w:pPr>
            <w:r w:rsidRPr="008B3F38">
              <w:rPr>
                <w:sz w:val="18"/>
                <w:szCs w:val="18"/>
                <w:lang w:val="ru-RU"/>
              </w:rPr>
              <w:t>Ответ руководства</w:t>
            </w:r>
          </w:p>
        </w:tc>
        <w:tc>
          <w:tcPr>
            <w:tcW w:w="1139" w:type="pct"/>
            <w:gridSpan w:val="2"/>
            <w:shd w:val="clear" w:color="auto" w:fill="auto"/>
          </w:tcPr>
          <w:p w14:paraId="63BE19A4" w14:textId="77777777" w:rsidR="00E006EF" w:rsidRPr="008B3F38" w:rsidRDefault="00E006EF" w:rsidP="00025DC3">
            <w:pPr>
              <w:pStyle w:val="Tablehead"/>
              <w:keepNext w:val="0"/>
              <w:rPr>
                <w:sz w:val="18"/>
                <w:szCs w:val="18"/>
                <w:lang w:val="ru-RU"/>
              </w:rPr>
            </w:pPr>
            <w:r w:rsidRPr="008B3F38">
              <w:rPr>
                <w:sz w:val="18"/>
                <w:szCs w:val="18"/>
                <w:lang w:val="ru-RU"/>
              </w:rPr>
              <w:t>Замечания Внешнего аудитора</w:t>
            </w:r>
          </w:p>
        </w:tc>
        <w:tc>
          <w:tcPr>
            <w:tcW w:w="440" w:type="pct"/>
            <w:shd w:val="clear" w:color="auto" w:fill="auto"/>
          </w:tcPr>
          <w:p w14:paraId="0EEA954D" w14:textId="77777777" w:rsidR="00E006EF" w:rsidRPr="008B3F38" w:rsidRDefault="00E006EF" w:rsidP="00025DC3">
            <w:pPr>
              <w:pStyle w:val="Tablehead"/>
              <w:keepNext w:val="0"/>
              <w:ind w:right="-57"/>
              <w:rPr>
                <w:sz w:val="18"/>
                <w:szCs w:val="18"/>
                <w:lang w:val="ru-RU"/>
              </w:rPr>
            </w:pPr>
          </w:p>
        </w:tc>
      </w:tr>
      <w:tr w:rsidR="00E006EF" w:rsidRPr="008B3F38" w14:paraId="2C8C3C9E" w14:textId="77777777" w:rsidTr="008A2FDE">
        <w:trPr>
          <w:jc w:val="center"/>
        </w:trPr>
        <w:tc>
          <w:tcPr>
            <w:tcW w:w="353" w:type="pct"/>
            <w:shd w:val="clear" w:color="auto" w:fill="auto"/>
          </w:tcPr>
          <w:p w14:paraId="20632E56" w14:textId="77777777" w:rsidR="00E006EF" w:rsidRPr="008B3F38" w:rsidRDefault="00E006EF" w:rsidP="00025DC3">
            <w:pPr>
              <w:pStyle w:val="Tabletext"/>
              <w:rPr>
                <w:sz w:val="18"/>
                <w:szCs w:val="18"/>
                <w:lang w:val="ru-RU"/>
              </w:rPr>
            </w:pPr>
            <w:r w:rsidRPr="008B3F38">
              <w:rPr>
                <w:sz w:val="18"/>
                <w:szCs w:val="18"/>
                <w:lang w:val="ru-RU"/>
              </w:rPr>
              <w:t>РЕК1</w:t>
            </w:r>
          </w:p>
        </w:tc>
        <w:tc>
          <w:tcPr>
            <w:tcW w:w="1410" w:type="pct"/>
            <w:gridSpan w:val="2"/>
            <w:shd w:val="clear" w:color="auto" w:fill="auto"/>
          </w:tcPr>
          <w:p w14:paraId="17F552CA" w14:textId="77777777" w:rsidR="00E006EF" w:rsidRPr="008B3F38" w:rsidRDefault="00E006EF" w:rsidP="00025DC3">
            <w:pPr>
              <w:pStyle w:val="Tabletext"/>
              <w:rPr>
                <w:sz w:val="18"/>
                <w:szCs w:val="18"/>
                <w:lang w:val="ru-RU"/>
              </w:rPr>
            </w:pPr>
            <w:r w:rsidRPr="008B3F38">
              <w:rPr>
                <w:sz w:val="18"/>
                <w:szCs w:val="18"/>
                <w:lang w:val="ru-RU"/>
              </w:rPr>
              <w:t>Руководству следует подробно определить все временные и процедурные меры, необходимые для предотвращения какой бы то ни было утечки информации, и обеспечить своевременное реагирование на случаи предполагаемого мошенничества, с тем чтобы избежать возможного сокрытия доказательств, отмывания денег, ненадлежащих платежей подозрительным поставщикам и т. д.</w:t>
            </w:r>
          </w:p>
        </w:tc>
        <w:tc>
          <w:tcPr>
            <w:tcW w:w="1658" w:type="pct"/>
            <w:shd w:val="clear" w:color="auto" w:fill="auto"/>
          </w:tcPr>
          <w:p w14:paraId="3975D60A" w14:textId="77777777" w:rsidR="00E006EF" w:rsidRPr="008B3F38" w:rsidRDefault="00E006EF" w:rsidP="00025DC3">
            <w:pPr>
              <w:pStyle w:val="Tabletext"/>
              <w:rPr>
                <w:sz w:val="18"/>
                <w:szCs w:val="18"/>
                <w:lang w:val="ru-RU"/>
              </w:rPr>
            </w:pPr>
            <w:r w:rsidRPr="008B3F38">
              <w:rPr>
                <w:sz w:val="18"/>
                <w:szCs w:val="18"/>
                <w:lang w:val="ru-RU"/>
              </w:rPr>
              <w:t>МСЭ принимает к сведению Рекомендацию 1, которая за прошедшее время была выполнена путем включения указанных аспектов в обнародованные руководящие указания МСЭ по проведению расследований.</w:t>
            </w:r>
          </w:p>
          <w:p w14:paraId="78A1227C" w14:textId="19119149" w:rsidR="00E006EF" w:rsidRPr="008B3F38" w:rsidRDefault="00E006EF" w:rsidP="00025DC3">
            <w:pPr>
              <w:pStyle w:val="Tabletext"/>
              <w:rPr>
                <w:sz w:val="18"/>
                <w:szCs w:val="18"/>
                <w:lang w:val="ru-RU"/>
              </w:rPr>
            </w:pPr>
            <w:r w:rsidRPr="008B3F38">
              <w:rPr>
                <w:sz w:val="18"/>
                <w:szCs w:val="18"/>
                <w:lang w:val="ru-RU"/>
              </w:rPr>
              <w:t>Обновленная информация по состоянию на май 2025 года: Рекомендация выполнена посредством издания служебного приказа 19/10 "Руководящие указания МСЭ по проведению расследований". В</w:t>
            </w:r>
            <w:r w:rsidR="004D7A3D" w:rsidRPr="008B3F38">
              <w:rPr>
                <w:sz w:val="18"/>
                <w:szCs w:val="18"/>
                <w:lang w:val="ru-RU"/>
              </w:rPr>
              <w:t> </w:t>
            </w:r>
            <w:r w:rsidRPr="008B3F38">
              <w:rPr>
                <w:sz w:val="18"/>
                <w:szCs w:val="18"/>
                <w:lang w:val="ru-RU"/>
              </w:rPr>
              <w:t xml:space="preserve">настоящее время эти руководящие указания </w:t>
            </w:r>
            <w:r w:rsidRPr="008B3F38">
              <w:rPr>
                <w:sz w:val="18"/>
                <w:szCs w:val="18"/>
                <w:lang w:val="ru-RU"/>
              </w:rPr>
              <w:lastRenderedPageBreak/>
              <w:t>пересматриваются для согласования с новым Уставом по надзору, введенным в действие согласно служебному приказу 24/09 "Принятие Устава по надзору МСЭ и разъяснения относительно приема и предварительной оценки жалоб на неправомерные действия" (сентябрь</w:t>
            </w:r>
            <w:r w:rsidR="00AE76FD" w:rsidRPr="008B3F38">
              <w:rPr>
                <w:sz w:val="18"/>
                <w:szCs w:val="18"/>
                <w:lang w:val="ru-RU"/>
              </w:rPr>
              <w:t> </w:t>
            </w:r>
            <w:r w:rsidRPr="008B3F38">
              <w:rPr>
                <w:sz w:val="18"/>
                <w:szCs w:val="18"/>
                <w:lang w:val="ru-RU"/>
              </w:rPr>
              <w:t>2024 г</w:t>
            </w:r>
            <w:r w:rsidR="004D7A3D" w:rsidRPr="008B3F38">
              <w:rPr>
                <w:sz w:val="18"/>
                <w:szCs w:val="18"/>
                <w:lang w:val="ru-RU"/>
              </w:rPr>
              <w:t>.</w:t>
            </w:r>
            <w:r w:rsidRPr="008B3F38">
              <w:rPr>
                <w:sz w:val="18"/>
                <w:szCs w:val="18"/>
                <w:lang w:val="ru-RU"/>
              </w:rPr>
              <w:t>).</w:t>
            </w:r>
          </w:p>
          <w:p w14:paraId="58B4DB9E" w14:textId="77777777" w:rsidR="00E006EF" w:rsidRPr="008B3F38" w:rsidRDefault="00E006EF" w:rsidP="00025DC3">
            <w:pPr>
              <w:pStyle w:val="Tabletext"/>
              <w:rPr>
                <w:sz w:val="18"/>
                <w:szCs w:val="18"/>
                <w:lang w:val="ru-RU"/>
              </w:rPr>
            </w:pPr>
            <w:r w:rsidRPr="008B3F38">
              <w:rPr>
                <w:sz w:val="18"/>
                <w:szCs w:val="18"/>
                <w:lang w:val="ru-RU"/>
              </w:rPr>
              <w:t>МСЭ рекомендует закрыть данную рекомендацию.</w:t>
            </w:r>
          </w:p>
        </w:tc>
        <w:tc>
          <w:tcPr>
            <w:tcW w:w="1139" w:type="pct"/>
            <w:gridSpan w:val="2"/>
            <w:shd w:val="clear" w:color="auto" w:fill="auto"/>
          </w:tcPr>
          <w:p w14:paraId="2D5A1DE2" w14:textId="77777777" w:rsidR="00E006EF" w:rsidRPr="008B3F38" w:rsidRDefault="00E006EF" w:rsidP="00025DC3">
            <w:pPr>
              <w:pStyle w:val="Tabletext"/>
              <w:rPr>
                <w:sz w:val="18"/>
                <w:szCs w:val="18"/>
                <w:lang w:val="ru-RU"/>
              </w:rPr>
            </w:pPr>
            <w:r w:rsidRPr="008B3F38">
              <w:rPr>
                <w:sz w:val="18"/>
                <w:szCs w:val="18"/>
                <w:lang w:val="ru-RU"/>
              </w:rPr>
              <w:lastRenderedPageBreak/>
              <w:t>Закрыта Государственной счетной палатой Италии в ее заключительном отчете (Приложение 5: Документ </w:t>
            </w:r>
            <w:hyperlink r:id="rId28" w:history="1">
              <w:r w:rsidRPr="008B3F38">
                <w:rPr>
                  <w:rStyle w:val="Hyperlink"/>
                  <w:sz w:val="18"/>
                  <w:szCs w:val="18"/>
                  <w:lang w:val="ru-RU"/>
                </w:rPr>
                <w:t>C22/101</w:t>
              </w:r>
            </w:hyperlink>
            <w:r w:rsidRPr="008B3F38">
              <w:rPr>
                <w:sz w:val="18"/>
                <w:szCs w:val="18"/>
                <w:lang w:val="ru-RU"/>
              </w:rPr>
              <w:t>).</w:t>
            </w:r>
          </w:p>
        </w:tc>
        <w:tc>
          <w:tcPr>
            <w:tcW w:w="440" w:type="pct"/>
            <w:shd w:val="clear" w:color="auto" w:fill="auto"/>
          </w:tcPr>
          <w:p w14:paraId="753926A3" w14:textId="77777777" w:rsidR="00E006EF" w:rsidRPr="008B3F38" w:rsidRDefault="00E006EF" w:rsidP="00025DC3">
            <w:pPr>
              <w:pStyle w:val="Tabletext"/>
              <w:ind w:right="-57"/>
              <w:rPr>
                <w:sz w:val="18"/>
                <w:szCs w:val="18"/>
                <w:lang w:val="ru-RU"/>
              </w:rPr>
            </w:pPr>
            <w:r w:rsidRPr="008B3F38">
              <w:rPr>
                <w:sz w:val="18"/>
                <w:szCs w:val="18"/>
                <w:lang w:val="ru-RU"/>
              </w:rPr>
              <w:t>Закрыта.</w:t>
            </w:r>
          </w:p>
        </w:tc>
      </w:tr>
      <w:tr w:rsidR="00E006EF" w:rsidRPr="008B3F38" w14:paraId="0EABC58D" w14:textId="77777777" w:rsidTr="008A2FDE">
        <w:trPr>
          <w:jc w:val="center"/>
        </w:trPr>
        <w:tc>
          <w:tcPr>
            <w:tcW w:w="353" w:type="pct"/>
            <w:shd w:val="clear" w:color="auto" w:fill="auto"/>
          </w:tcPr>
          <w:p w14:paraId="1AFE478D" w14:textId="77777777" w:rsidR="00E006EF" w:rsidRPr="008B3F38" w:rsidRDefault="00E006EF" w:rsidP="00025DC3">
            <w:pPr>
              <w:pStyle w:val="Tabletext"/>
              <w:rPr>
                <w:sz w:val="18"/>
                <w:szCs w:val="18"/>
                <w:lang w:val="ru-RU"/>
              </w:rPr>
            </w:pPr>
            <w:r w:rsidRPr="008B3F38">
              <w:rPr>
                <w:sz w:val="18"/>
                <w:szCs w:val="18"/>
                <w:lang w:val="ru-RU"/>
              </w:rPr>
              <w:t>РЕК2</w:t>
            </w:r>
          </w:p>
        </w:tc>
        <w:tc>
          <w:tcPr>
            <w:tcW w:w="1410" w:type="pct"/>
            <w:gridSpan w:val="2"/>
            <w:shd w:val="clear" w:color="auto" w:fill="auto"/>
          </w:tcPr>
          <w:p w14:paraId="280BB102" w14:textId="77777777" w:rsidR="00E006EF" w:rsidRPr="008B3F38" w:rsidRDefault="00E006EF" w:rsidP="00025DC3">
            <w:pPr>
              <w:pStyle w:val="Tabletext"/>
              <w:rPr>
                <w:sz w:val="18"/>
                <w:szCs w:val="18"/>
                <w:lang w:val="ru-RU"/>
              </w:rPr>
            </w:pPr>
            <w:r w:rsidRPr="008B3F38">
              <w:rPr>
                <w:sz w:val="18"/>
                <w:szCs w:val="18"/>
                <w:lang w:val="ru-RU"/>
              </w:rPr>
              <w:t>Руководству следует принять всеобъемлющие и подробно описанные процедуры и/или контрольные перечни, которые четко определяют, какие шаги надлежит выполнять для осуществления процесса, и запрещают любые контакты с предполагаемым мошенником (такие как телефонные звонки, электронные письма), которые могут затруднить последующий сбор доказательств.</w:t>
            </w:r>
          </w:p>
        </w:tc>
        <w:tc>
          <w:tcPr>
            <w:tcW w:w="1658" w:type="pct"/>
            <w:shd w:val="clear" w:color="auto" w:fill="auto"/>
          </w:tcPr>
          <w:p w14:paraId="639269D3" w14:textId="77777777" w:rsidR="00E006EF" w:rsidRPr="008B3F38" w:rsidRDefault="00E006EF" w:rsidP="00025DC3">
            <w:pPr>
              <w:pStyle w:val="Tabletext"/>
              <w:rPr>
                <w:sz w:val="18"/>
                <w:szCs w:val="18"/>
                <w:lang w:val="ru-RU"/>
              </w:rPr>
            </w:pPr>
            <w:r w:rsidRPr="008B3F38">
              <w:rPr>
                <w:sz w:val="18"/>
                <w:szCs w:val="18"/>
                <w:lang w:val="ru-RU"/>
              </w:rPr>
              <w:t>МСЭ принимает к сведению Рекомендацию 2, которая за прошедшее время была выполнена путем включения указанных аспектов в обнародованные руководящие указания МСЭ по проведению расследований.</w:t>
            </w:r>
          </w:p>
          <w:p w14:paraId="02F2A42A" w14:textId="57B76102" w:rsidR="00E006EF" w:rsidRPr="008B3F38" w:rsidRDefault="00E006EF" w:rsidP="00025DC3">
            <w:pPr>
              <w:pStyle w:val="Tabletext"/>
              <w:rPr>
                <w:sz w:val="18"/>
                <w:szCs w:val="18"/>
                <w:lang w:val="ru-RU"/>
              </w:rPr>
            </w:pPr>
            <w:r w:rsidRPr="008B3F38">
              <w:rPr>
                <w:sz w:val="18"/>
                <w:szCs w:val="18"/>
                <w:lang w:val="ru-RU"/>
              </w:rPr>
              <w:t>Обновленная информация по состоянию на июнь 2022 года: Данные аспекты уже включены в руководящие указания МСЭ по проведению</w:t>
            </w:r>
            <w:r w:rsidR="00AE76FD" w:rsidRPr="008B3F38">
              <w:rPr>
                <w:sz w:val="18"/>
                <w:szCs w:val="18"/>
                <w:lang w:val="ru-RU"/>
              </w:rPr>
              <w:t> </w:t>
            </w:r>
            <w:r w:rsidRPr="008B3F38">
              <w:rPr>
                <w:sz w:val="18"/>
                <w:szCs w:val="18"/>
                <w:lang w:val="ru-RU"/>
              </w:rPr>
              <w:t>расследований.</w:t>
            </w:r>
          </w:p>
          <w:p w14:paraId="319090F0" w14:textId="6FA46663" w:rsidR="00E006EF" w:rsidRPr="008B3F38" w:rsidRDefault="00E006EF" w:rsidP="00025DC3">
            <w:pPr>
              <w:pStyle w:val="Tabletext"/>
              <w:rPr>
                <w:sz w:val="18"/>
                <w:szCs w:val="18"/>
                <w:lang w:val="ru-RU"/>
              </w:rPr>
            </w:pPr>
            <w:r w:rsidRPr="008B3F38">
              <w:rPr>
                <w:sz w:val="18"/>
                <w:szCs w:val="18"/>
                <w:lang w:val="ru-RU"/>
              </w:rPr>
              <w:t>Обновленная информация по состоянию на май 2025 года: Рекомендация выполнена посредством издания служебного приказа 19/10 "Руководящие указания МСЭ по проведению расследований". В</w:t>
            </w:r>
            <w:r w:rsidR="004D7A3D" w:rsidRPr="008B3F38">
              <w:rPr>
                <w:sz w:val="18"/>
                <w:szCs w:val="18"/>
                <w:lang w:val="ru-RU"/>
              </w:rPr>
              <w:t> </w:t>
            </w:r>
            <w:r w:rsidRPr="008B3F38">
              <w:rPr>
                <w:sz w:val="18"/>
                <w:szCs w:val="18"/>
                <w:lang w:val="ru-RU"/>
              </w:rPr>
              <w:t>настоящее время эти руководящие указания пересматриваются для согласования с новым Уставом по надзору, введенным в действие согласно служебному приказу 24/09 "Принятие Устава по надзору МСЭ и разъяснения относительно приема и предварительной оценки жалоб на неправомерные действия" (сентябрь</w:t>
            </w:r>
            <w:r w:rsidR="00FB3A80" w:rsidRPr="008B3F38">
              <w:rPr>
                <w:sz w:val="18"/>
                <w:szCs w:val="18"/>
                <w:lang w:val="ru-RU"/>
              </w:rPr>
              <w:t> </w:t>
            </w:r>
            <w:r w:rsidRPr="008B3F38">
              <w:rPr>
                <w:sz w:val="18"/>
                <w:szCs w:val="18"/>
                <w:lang w:val="ru-RU"/>
              </w:rPr>
              <w:t>2024 г</w:t>
            </w:r>
            <w:r w:rsidR="004D7A3D" w:rsidRPr="008B3F38">
              <w:rPr>
                <w:sz w:val="18"/>
                <w:szCs w:val="18"/>
                <w:lang w:val="ru-RU"/>
              </w:rPr>
              <w:t>.</w:t>
            </w:r>
            <w:r w:rsidRPr="008B3F38">
              <w:rPr>
                <w:sz w:val="18"/>
                <w:szCs w:val="18"/>
                <w:lang w:val="ru-RU"/>
              </w:rPr>
              <w:t>).</w:t>
            </w:r>
          </w:p>
          <w:p w14:paraId="12150B14" w14:textId="77777777" w:rsidR="00E006EF" w:rsidRPr="008B3F38" w:rsidRDefault="00E006EF" w:rsidP="00025DC3">
            <w:pPr>
              <w:pStyle w:val="Tabletext"/>
              <w:rPr>
                <w:sz w:val="18"/>
                <w:szCs w:val="18"/>
                <w:lang w:val="ru-RU"/>
              </w:rPr>
            </w:pPr>
            <w:r w:rsidRPr="008B3F38">
              <w:rPr>
                <w:sz w:val="18"/>
                <w:szCs w:val="18"/>
                <w:lang w:val="ru-RU"/>
              </w:rPr>
              <w:t>Что касается профессионального потенциала в области проведения расследований, в 2020 году для обеспечения надлежащего обращения с доказательствами Совет утвердил должность руководителя Подразделения по расследованиям уровня P5. Новый руководитель приступил к работе в МСЭ в январе 2022 года. Функция проведения расследований также включена в новый Устав по надзору, а Подразделение по надзору возглавляет опытный специалист по расследованиям.</w:t>
            </w:r>
          </w:p>
          <w:p w14:paraId="4C56B81C" w14:textId="77777777" w:rsidR="00E006EF" w:rsidRPr="008B3F38" w:rsidRDefault="00E006EF" w:rsidP="00025DC3">
            <w:pPr>
              <w:pStyle w:val="Tabletext"/>
              <w:rPr>
                <w:sz w:val="18"/>
                <w:szCs w:val="18"/>
                <w:lang w:val="ru-RU"/>
              </w:rPr>
            </w:pPr>
            <w:r w:rsidRPr="008B3F38">
              <w:rPr>
                <w:sz w:val="18"/>
                <w:szCs w:val="18"/>
                <w:lang w:val="ru-RU"/>
              </w:rPr>
              <w:t>МСЭ рекомендует закрыть данную рекомендацию.</w:t>
            </w:r>
          </w:p>
        </w:tc>
        <w:tc>
          <w:tcPr>
            <w:tcW w:w="1139" w:type="pct"/>
            <w:gridSpan w:val="2"/>
            <w:shd w:val="clear" w:color="auto" w:fill="auto"/>
          </w:tcPr>
          <w:p w14:paraId="35E1ECB4" w14:textId="77777777" w:rsidR="00E006EF" w:rsidRPr="008B3F38" w:rsidRDefault="00E006EF" w:rsidP="00025DC3">
            <w:pPr>
              <w:pStyle w:val="Tabletext"/>
              <w:rPr>
                <w:sz w:val="18"/>
                <w:szCs w:val="18"/>
                <w:lang w:val="ru-RU"/>
              </w:rPr>
            </w:pPr>
            <w:r w:rsidRPr="008B3F38">
              <w:rPr>
                <w:sz w:val="18"/>
                <w:szCs w:val="18"/>
                <w:lang w:val="ru-RU"/>
              </w:rPr>
              <w:t>Закрыта Государственной счетной палатой Италии в ее заключительном отчете (Приложение 5: Документ </w:t>
            </w:r>
            <w:hyperlink r:id="rId29" w:history="1">
              <w:r w:rsidRPr="008B3F38">
                <w:rPr>
                  <w:rStyle w:val="Hyperlink"/>
                  <w:sz w:val="18"/>
                  <w:szCs w:val="18"/>
                  <w:lang w:val="ru-RU"/>
                </w:rPr>
                <w:t>C22/101</w:t>
              </w:r>
            </w:hyperlink>
            <w:r w:rsidRPr="008B3F38">
              <w:rPr>
                <w:sz w:val="18"/>
                <w:szCs w:val="18"/>
                <w:lang w:val="ru-RU"/>
              </w:rPr>
              <w:t>).</w:t>
            </w:r>
          </w:p>
        </w:tc>
        <w:tc>
          <w:tcPr>
            <w:tcW w:w="440" w:type="pct"/>
            <w:shd w:val="clear" w:color="auto" w:fill="auto"/>
          </w:tcPr>
          <w:p w14:paraId="374289C3" w14:textId="77777777" w:rsidR="00E006EF" w:rsidRPr="008B3F38" w:rsidRDefault="00E006EF" w:rsidP="00025DC3">
            <w:pPr>
              <w:pStyle w:val="Tabletext"/>
              <w:ind w:right="-57"/>
              <w:rPr>
                <w:sz w:val="18"/>
                <w:szCs w:val="18"/>
                <w:lang w:val="ru-RU"/>
              </w:rPr>
            </w:pPr>
            <w:r w:rsidRPr="008B3F38">
              <w:rPr>
                <w:sz w:val="18"/>
                <w:szCs w:val="18"/>
                <w:lang w:val="ru-RU"/>
              </w:rPr>
              <w:t>Закрыта.</w:t>
            </w:r>
          </w:p>
        </w:tc>
      </w:tr>
      <w:tr w:rsidR="00E006EF" w:rsidRPr="008B3F38" w14:paraId="5C66F0A8" w14:textId="77777777" w:rsidTr="008A2FDE">
        <w:trPr>
          <w:jc w:val="center"/>
        </w:trPr>
        <w:tc>
          <w:tcPr>
            <w:tcW w:w="353" w:type="pct"/>
            <w:shd w:val="clear" w:color="auto" w:fill="auto"/>
          </w:tcPr>
          <w:p w14:paraId="6EC65F2D" w14:textId="77777777" w:rsidR="00E006EF" w:rsidRPr="008B3F38" w:rsidRDefault="00E006EF" w:rsidP="00025DC3">
            <w:pPr>
              <w:pStyle w:val="Tabletext"/>
              <w:rPr>
                <w:sz w:val="18"/>
                <w:szCs w:val="18"/>
                <w:lang w:val="ru-RU"/>
              </w:rPr>
            </w:pPr>
            <w:r w:rsidRPr="008B3F38">
              <w:rPr>
                <w:sz w:val="18"/>
                <w:szCs w:val="18"/>
                <w:lang w:val="ru-RU"/>
              </w:rPr>
              <w:t>РЕК3</w:t>
            </w:r>
          </w:p>
        </w:tc>
        <w:tc>
          <w:tcPr>
            <w:tcW w:w="1410" w:type="pct"/>
            <w:gridSpan w:val="2"/>
            <w:shd w:val="clear" w:color="auto" w:fill="auto"/>
          </w:tcPr>
          <w:p w14:paraId="4B3E40F3" w14:textId="77777777" w:rsidR="00E006EF" w:rsidRPr="008B3F38" w:rsidRDefault="00E006EF" w:rsidP="00025DC3">
            <w:pPr>
              <w:pStyle w:val="Tabletext"/>
              <w:rPr>
                <w:sz w:val="18"/>
                <w:szCs w:val="18"/>
                <w:lang w:val="ru-RU"/>
              </w:rPr>
            </w:pPr>
            <w:r w:rsidRPr="008B3F38">
              <w:rPr>
                <w:sz w:val="18"/>
                <w:szCs w:val="18"/>
                <w:lang w:val="ru-RU"/>
              </w:rPr>
              <w:t xml:space="preserve">Включить также в новые процедуры, в соответствии с правовой основой МСЭ и ООН, конкретное указание, четко предписывающее </w:t>
            </w:r>
            <w:r w:rsidRPr="008B3F38">
              <w:rPr>
                <w:sz w:val="18"/>
                <w:szCs w:val="18"/>
                <w:lang w:val="ru-RU"/>
              </w:rPr>
              <w:lastRenderedPageBreak/>
              <w:t>специалистам по проведению расследований, каким образом прекратить − в случае признания фактов или наличия достаточных признаков, указывающих на высокую вероятность мошенничества, − дальнейшие выплаты, которые могут привести к существенным финансовым потерям для организации, до завершения процесса.</w:t>
            </w:r>
          </w:p>
        </w:tc>
        <w:tc>
          <w:tcPr>
            <w:tcW w:w="1658" w:type="pct"/>
            <w:shd w:val="clear" w:color="auto" w:fill="auto"/>
          </w:tcPr>
          <w:p w14:paraId="2E4E9101" w14:textId="3647E387" w:rsidR="00E006EF" w:rsidRPr="008B3F38" w:rsidRDefault="00E006EF" w:rsidP="00025DC3">
            <w:pPr>
              <w:pStyle w:val="Tabletext"/>
              <w:rPr>
                <w:sz w:val="18"/>
                <w:szCs w:val="18"/>
                <w:lang w:val="ru-RU"/>
              </w:rPr>
            </w:pPr>
            <w:r w:rsidRPr="008B3F38">
              <w:rPr>
                <w:sz w:val="18"/>
                <w:szCs w:val="18"/>
                <w:lang w:val="ru-RU"/>
              </w:rPr>
              <w:lastRenderedPageBreak/>
              <w:t xml:space="preserve">Обновленная информация по состоянию на май 2025 года: Рекомендация выполнена посредством издания служебного приказа 19/10 "Руководящие </w:t>
            </w:r>
            <w:r w:rsidRPr="008B3F38">
              <w:rPr>
                <w:sz w:val="18"/>
                <w:szCs w:val="18"/>
                <w:lang w:val="ru-RU"/>
              </w:rPr>
              <w:lastRenderedPageBreak/>
              <w:t>указания МСЭ по проведению расследований". Данные</w:t>
            </w:r>
            <w:r w:rsidR="00FB3A80" w:rsidRPr="008B3F38">
              <w:rPr>
                <w:sz w:val="18"/>
                <w:szCs w:val="18"/>
                <w:lang w:val="ru-RU"/>
              </w:rPr>
              <w:t> </w:t>
            </w:r>
            <w:r w:rsidRPr="008B3F38">
              <w:rPr>
                <w:sz w:val="18"/>
                <w:szCs w:val="18"/>
                <w:lang w:val="ru-RU"/>
              </w:rPr>
              <w:t>руководящие указания, включающие такие меры, как возможное временное отстранение от исполнения обязанностей лица, в отношении которого проводится расследование, дополнительно пересматриваются с целью приведениях из в соответствие с новым Уставом по надзору, введенным в действие согласно служебному приказу 24/09 "Принятие Устава по надзору МСЭ и разъяснения относительно приема и предварительной оценки жалоб на неправомерные действия" (сентябрь 2024 г</w:t>
            </w:r>
            <w:r w:rsidR="004D7A3D" w:rsidRPr="008B3F38">
              <w:rPr>
                <w:sz w:val="18"/>
                <w:szCs w:val="18"/>
                <w:lang w:val="ru-RU"/>
              </w:rPr>
              <w:t>.</w:t>
            </w:r>
            <w:r w:rsidRPr="008B3F38">
              <w:rPr>
                <w:sz w:val="18"/>
                <w:szCs w:val="18"/>
                <w:lang w:val="ru-RU"/>
              </w:rPr>
              <w:t>). Пересмотренные руководящие указания также предусматривают такие дополнительные временные меры, как перевод сотрудников на другие должности.</w:t>
            </w:r>
          </w:p>
          <w:p w14:paraId="171DAE54" w14:textId="77777777" w:rsidR="00E006EF" w:rsidRPr="008B3F38" w:rsidRDefault="00E006EF" w:rsidP="00025DC3">
            <w:pPr>
              <w:pStyle w:val="Tabletext"/>
              <w:rPr>
                <w:sz w:val="18"/>
                <w:szCs w:val="18"/>
                <w:lang w:val="ru-RU"/>
              </w:rPr>
            </w:pPr>
            <w:r w:rsidRPr="008B3F38">
              <w:rPr>
                <w:sz w:val="18"/>
                <w:szCs w:val="18"/>
                <w:lang w:val="ru-RU"/>
              </w:rPr>
              <w:t xml:space="preserve">МСЭ рекомендует закрыть данную рекомендацию. </w:t>
            </w:r>
          </w:p>
        </w:tc>
        <w:tc>
          <w:tcPr>
            <w:tcW w:w="1139" w:type="pct"/>
            <w:gridSpan w:val="2"/>
            <w:shd w:val="clear" w:color="auto" w:fill="auto"/>
          </w:tcPr>
          <w:p w14:paraId="68B5939F" w14:textId="77777777" w:rsidR="00E006EF" w:rsidRPr="008B3F38" w:rsidRDefault="00E006EF" w:rsidP="00025DC3">
            <w:pPr>
              <w:pStyle w:val="Tabletext"/>
              <w:rPr>
                <w:sz w:val="18"/>
                <w:szCs w:val="18"/>
                <w:lang w:val="ru-RU"/>
              </w:rPr>
            </w:pPr>
            <w:r w:rsidRPr="008B3F38">
              <w:rPr>
                <w:sz w:val="18"/>
                <w:szCs w:val="18"/>
                <w:lang w:val="ru-RU"/>
              </w:rPr>
              <w:lastRenderedPageBreak/>
              <w:t>Последний ответ принят к сведению и признан обоснованным. Рекомендация закрыта.</w:t>
            </w:r>
          </w:p>
        </w:tc>
        <w:tc>
          <w:tcPr>
            <w:tcW w:w="440" w:type="pct"/>
            <w:shd w:val="clear" w:color="auto" w:fill="auto"/>
          </w:tcPr>
          <w:p w14:paraId="18ED2311" w14:textId="77777777" w:rsidR="00E006EF" w:rsidRPr="008B3F38" w:rsidRDefault="00E006EF" w:rsidP="00025DC3">
            <w:pPr>
              <w:pStyle w:val="Tabletext"/>
              <w:ind w:right="-57"/>
              <w:rPr>
                <w:sz w:val="18"/>
                <w:szCs w:val="18"/>
                <w:lang w:val="ru-RU"/>
              </w:rPr>
            </w:pPr>
            <w:r w:rsidRPr="008B3F38">
              <w:rPr>
                <w:sz w:val="18"/>
                <w:szCs w:val="18"/>
                <w:lang w:val="ru-RU"/>
              </w:rPr>
              <w:t>Закрыта.</w:t>
            </w:r>
          </w:p>
        </w:tc>
      </w:tr>
      <w:tr w:rsidR="00E006EF" w:rsidRPr="008B3F38" w14:paraId="7AA9C656" w14:textId="77777777" w:rsidTr="008A2FDE">
        <w:trPr>
          <w:jc w:val="center"/>
        </w:trPr>
        <w:tc>
          <w:tcPr>
            <w:tcW w:w="353" w:type="pct"/>
            <w:shd w:val="clear" w:color="auto" w:fill="auto"/>
          </w:tcPr>
          <w:p w14:paraId="742B40AF" w14:textId="77777777" w:rsidR="00E006EF" w:rsidRPr="008B3F38" w:rsidRDefault="00E006EF" w:rsidP="00025DC3">
            <w:pPr>
              <w:pStyle w:val="Tabletext"/>
              <w:rPr>
                <w:sz w:val="18"/>
                <w:szCs w:val="18"/>
                <w:lang w:val="ru-RU"/>
              </w:rPr>
            </w:pPr>
            <w:r w:rsidRPr="008B3F38">
              <w:rPr>
                <w:sz w:val="18"/>
                <w:szCs w:val="18"/>
                <w:lang w:val="ru-RU"/>
              </w:rPr>
              <w:t>РЕК4</w:t>
            </w:r>
          </w:p>
        </w:tc>
        <w:tc>
          <w:tcPr>
            <w:tcW w:w="1410" w:type="pct"/>
            <w:gridSpan w:val="2"/>
            <w:shd w:val="clear" w:color="auto" w:fill="auto"/>
          </w:tcPr>
          <w:p w14:paraId="3A5D69BE" w14:textId="77777777" w:rsidR="00E006EF" w:rsidRPr="008B3F38" w:rsidRDefault="00E006EF" w:rsidP="00025DC3">
            <w:pPr>
              <w:pStyle w:val="Tabletext"/>
              <w:rPr>
                <w:sz w:val="18"/>
                <w:szCs w:val="18"/>
                <w:lang w:val="ru-RU"/>
              </w:rPr>
            </w:pPr>
            <w:r w:rsidRPr="008B3F38">
              <w:rPr>
                <w:sz w:val="18"/>
                <w:szCs w:val="18"/>
                <w:lang w:val="ru-RU"/>
              </w:rPr>
              <w:t>В рамках новых процедур, направленных на борьбу с мошенничеством, следует рассмотреть необходимость налаживания более тесной связи и координации между всеми департаментами, которые способны принять меры для сведения к минимуму репутационного риска и убытков от мошенничества, а также предотвратить дальнейшие финансовые потери Организации.</w:t>
            </w:r>
          </w:p>
        </w:tc>
        <w:tc>
          <w:tcPr>
            <w:tcW w:w="1658" w:type="pct"/>
            <w:shd w:val="clear" w:color="auto" w:fill="auto"/>
          </w:tcPr>
          <w:p w14:paraId="2CAE74B8" w14:textId="77777777" w:rsidR="00E006EF" w:rsidRPr="008B3F38" w:rsidRDefault="00E006EF" w:rsidP="00025DC3">
            <w:pPr>
              <w:pStyle w:val="Tabletext"/>
              <w:rPr>
                <w:sz w:val="18"/>
                <w:szCs w:val="18"/>
                <w:lang w:val="ru-RU"/>
              </w:rPr>
            </w:pPr>
            <w:r w:rsidRPr="008B3F38">
              <w:rPr>
                <w:sz w:val="18"/>
                <w:szCs w:val="18"/>
                <w:lang w:val="ru-RU"/>
              </w:rPr>
              <w:t>Руководство МСЭ принимает Рекомендацию 4.</w:t>
            </w:r>
          </w:p>
          <w:p w14:paraId="3BC07064" w14:textId="77777777" w:rsidR="00E006EF" w:rsidRPr="008B3F38" w:rsidRDefault="00E006EF" w:rsidP="00025DC3">
            <w:pPr>
              <w:pStyle w:val="Tabletext"/>
              <w:rPr>
                <w:sz w:val="18"/>
                <w:szCs w:val="18"/>
                <w:lang w:val="ru-RU"/>
              </w:rPr>
            </w:pPr>
            <w:r w:rsidRPr="008B3F38">
              <w:rPr>
                <w:sz w:val="18"/>
                <w:szCs w:val="18"/>
                <w:lang w:val="ru-RU"/>
              </w:rPr>
              <w:t>При пересмотре руководящих указаний МСЭ по проведению расследований вопросы связи и координации между службами, участвующими в процессе расследования, будут включены в единую рамочную структуру, предусматривающую конкретные сроки и процедуры.</w:t>
            </w:r>
          </w:p>
          <w:p w14:paraId="60A472FC" w14:textId="73E3BB84" w:rsidR="00E006EF" w:rsidRPr="008B3F38" w:rsidRDefault="00E006EF" w:rsidP="00025DC3">
            <w:pPr>
              <w:pStyle w:val="Tabletext"/>
              <w:rPr>
                <w:sz w:val="18"/>
                <w:szCs w:val="18"/>
                <w:lang w:val="ru-RU"/>
              </w:rPr>
            </w:pPr>
            <w:r w:rsidRPr="008B3F38">
              <w:rPr>
                <w:sz w:val="18"/>
                <w:szCs w:val="18"/>
                <w:lang w:val="ru-RU"/>
              </w:rPr>
              <w:t>Обновленная информация по состоянию на май 2025 года: В рамках собраний Комитета управления и РКГ осуществляется выявление рисков и обсуждаются вопросы связи и координации в целях сведения к минимуму репутационных рисков и убытков от</w:t>
            </w:r>
            <w:r w:rsidR="00FB3A80" w:rsidRPr="008B3F38">
              <w:rPr>
                <w:sz w:val="18"/>
                <w:szCs w:val="18"/>
                <w:lang w:val="ru-RU"/>
              </w:rPr>
              <w:t> </w:t>
            </w:r>
            <w:r w:rsidRPr="008B3F38">
              <w:rPr>
                <w:sz w:val="18"/>
                <w:szCs w:val="18"/>
                <w:lang w:val="ru-RU"/>
              </w:rPr>
              <w:t>мошенничества.</w:t>
            </w:r>
          </w:p>
          <w:p w14:paraId="1FDC1267" w14:textId="4CA7EAD9" w:rsidR="00E006EF" w:rsidRPr="008B3F38" w:rsidRDefault="00E006EF" w:rsidP="00025DC3">
            <w:pPr>
              <w:pStyle w:val="Tabletext"/>
              <w:rPr>
                <w:sz w:val="18"/>
                <w:szCs w:val="18"/>
                <w:lang w:val="ru-RU"/>
              </w:rPr>
            </w:pPr>
            <w:r w:rsidRPr="008B3F38">
              <w:rPr>
                <w:sz w:val="18"/>
                <w:szCs w:val="18"/>
                <w:lang w:val="ru-RU"/>
              </w:rPr>
              <w:t>МСЭ рекомендует продолжить выполнение данной</w:t>
            </w:r>
            <w:r w:rsidR="00FB3A80" w:rsidRPr="008B3F38">
              <w:rPr>
                <w:sz w:val="18"/>
                <w:szCs w:val="18"/>
                <w:lang w:val="ru-RU"/>
              </w:rPr>
              <w:t> </w:t>
            </w:r>
            <w:r w:rsidRPr="008B3F38">
              <w:rPr>
                <w:sz w:val="18"/>
                <w:szCs w:val="18"/>
                <w:lang w:val="ru-RU"/>
              </w:rPr>
              <w:t>рекомендации.</w:t>
            </w:r>
          </w:p>
        </w:tc>
        <w:tc>
          <w:tcPr>
            <w:tcW w:w="1139" w:type="pct"/>
            <w:gridSpan w:val="2"/>
            <w:shd w:val="clear" w:color="auto" w:fill="auto"/>
          </w:tcPr>
          <w:p w14:paraId="58BABFA0" w14:textId="47AADD35" w:rsidR="00E006EF" w:rsidRPr="008B3F38" w:rsidRDefault="00E006EF" w:rsidP="00025DC3">
            <w:pPr>
              <w:pStyle w:val="Tabletext"/>
              <w:rPr>
                <w:sz w:val="18"/>
                <w:szCs w:val="18"/>
                <w:lang w:val="ru-RU"/>
              </w:rPr>
            </w:pPr>
            <w:r w:rsidRPr="008B3F38">
              <w:rPr>
                <w:sz w:val="18"/>
                <w:szCs w:val="18"/>
                <w:lang w:val="ru-RU"/>
              </w:rPr>
              <w:t>Последний ответ принят к сведению; он соответствует нашим наблюдениям в том, что касается необходимости повышения эффективности системы контроля; после того как эта система станет более зрелой, необходимо обеспечить более тесную увязку трех линий защиты с процессом оценки риска мошенничества.</w:t>
            </w:r>
          </w:p>
        </w:tc>
        <w:tc>
          <w:tcPr>
            <w:tcW w:w="440" w:type="pct"/>
            <w:shd w:val="clear" w:color="auto" w:fill="auto"/>
          </w:tcPr>
          <w:p w14:paraId="0F563E89" w14:textId="77777777" w:rsidR="00E006EF" w:rsidRPr="008B3F38" w:rsidRDefault="00E006EF" w:rsidP="00025DC3">
            <w:pPr>
              <w:pStyle w:val="Tabletext"/>
              <w:ind w:right="-57"/>
              <w:rPr>
                <w:sz w:val="18"/>
                <w:szCs w:val="18"/>
                <w:lang w:val="ru-RU"/>
              </w:rPr>
            </w:pPr>
            <w:r w:rsidRPr="008B3F38">
              <w:rPr>
                <w:sz w:val="18"/>
                <w:szCs w:val="18"/>
                <w:lang w:val="ru-RU"/>
              </w:rPr>
              <w:t>Выполняется.</w:t>
            </w:r>
          </w:p>
        </w:tc>
      </w:tr>
      <w:tr w:rsidR="00E006EF" w:rsidRPr="008B3F38" w14:paraId="44D979ED" w14:textId="77777777" w:rsidTr="008A2FDE">
        <w:trPr>
          <w:jc w:val="center"/>
        </w:trPr>
        <w:tc>
          <w:tcPr>
            <w:tcW w:w="353" w:type="pct"/>
            <w:shd w:val="clear" w:color="auto" w:fill="auto"/>
          </w:tcPr>
          <w:p w14:paraId="5E2AD6C3" w14:textId="77777777" w:rsidR="00E006EF" w:rsidRPr="008B3F38" w:rsidRDefault="00E006EF" w:rsidP="00025DC3">
            <w:pPr>
              <w:pStyle w:val="Tabletext"/>
              <w:rPr>
                <w:sz w:val="18"/>
                <w:szCs w:val="18"/>
                <w:lang w:val="ru-RU"/>
              </w:rPr>
            </w:pPr>
            <w:r w:rsidRPr="008B3F38">
              <w:rPr>
                <w:sz w:val="18"/>
                <w:szCs w:val="18"/>
                <w:lang w:val="ru-RU"/>
              </w:rPr>
              <w:t>РЕК5</w:t>
            </w:r>
          </w:p>
        </w:tc>
        <w:tc>
          <w:tcPr>
            <w:tcW w:w="1410" w:type="pct"/>
            <w:gridSpan w:val="2"/>
            <w:shd w:val="clear" w:color="auto" w:fill="auto"/>
          </w:tcPr>
          <w:p w14:paraId="2C7DEB0E" w14:textId="77777777" w:rsidR="00E006EF" w:rsidRPr="008B3F38" w:rsidRDefault="00E006EF" w:rsidP="00025DC3">
            <w:pPr>
              <w:pStyle w:val="Tabletext"/>
              <w:rPr>
                <w:sz w:val="18"/>
                <w:szCs w:val="18"/>
                <w:lang w:val="ru-RU"/>
              </w:rPr>
            </w:pPr>
            <w:r w:rsidRPr="008B3F38">
              <w:rPr>
                <w:sz w:val="18"/>
                <w:szCs w:val="18"/>
                <w:lang w:val="ru-RU"/>
              </w:rPr>
              <w:t>Руководству следует также рассмотреть вопрос о привлечении внешних независимых экспертов по электросвязи, которые, в соответствии с Рекомендациями 1 и 2 нашего Специального отчета об оценке эффективности работы региональных отделений, могли бы оказать помощь в следующем:</w:t>
            </w:r>
          </w:p>
          <w:p w14:paraId="75AF475B" w14:textId="68205754" w:rsidR="00E006EF" w:rsidRPr="008B3F38" w:rsidRDefault="00E006EF" w:rsidP="00025DC3">
            <w:pPr>
              <w:pStyle w:val="Tabletext"/>
              <w:ind w:left="284" w:hanging="284"/>
              <w:rPr>
                <w:sz w:val="18"/>
                <w:szCs w:val="18"/>
                <w:lang w:val="ru-RU"/>
              </w:rPr>
            </w:pPr>
            <w:r w:rsidRPr="008B3F38">
              <w:rPr>
                <w:sz w:val="18"/>
                <w:szCs w:val="18"/>
                <w:lang w:val="ru-RU"/>
              </w:rPr>
              <w:lastRenderedPageBreak/>
              <w:t>i</w:t>
            </w:r>
            <w:r w:rsidR="004D7A3D" w:rsidRPr="008B3F38">
              <w:rPr>
                <w:sz w:val="18"/>
                <w:szCs w:val="18"/>
                <w:lang w:val="ru-RU"/>
              </w:rPr>
              <w:t>)</w:t>
            </w:r>
            <w:r w:rsidRPr="008B3F38">
              <w:rPr>
                <w:sz w:val="18"/>
                <w:szCs w:val="18"/>
                <w:lang w:val="ru-RU"/>
              </w:rPr>
              <w:tab/>
              <w:t>определении конкретных и измеримых задач для штаб-квартиры и региональных отделений БРЭ;</w:t>
            </w:r>
          </w:p>
          <w:p w14:paraId="60517501" w14:textId="3BC32ECC" w:rsidR="00E006EF" w:rsidRPr="008B3F38" w:rsidRDefault="00E006EF" w:rsidP="00025DC3">
            <w:pPr>
              <w:pStyle w:val="Tabletext"/>
              <w:ind w:left="284" w:hanging="284"/>
              <w:rPr>
                <w:sz w:val="18"/>
                <w:szCs w:val="18"/>
                <w:lang w:val="ru-RU"/>
              </w:rPr>
            </w:pPr>
            <w:r w:rsidRPr="008B3F38">
              <w:rPr>
                <w:sz w:val="18"/>
                <w:szCs w:val="18"/>
                <w:lang w:val="ru-RU"/>
              </w:rPr>
              <w:t>ii</w:t>
            </w:r>
            <w:r w:rsidR="004D7A3D" w:rsidRPr="008B3F38">
              <w:rPr>
                <w:sz w:val="18"/>
                <w:szCs w:val="18"/>
                <w:lang w:val="ru-RU"/>
              </w:rPr>
              <w:t>)</w:t>
            </w:r>
            <w:r w:rsidRPr="008B3F38">
              <w:rPr>
                <w:sz w:val="18"/>
                <w:szCs w:val="18"/>
                <w:lang w:val="ru-RU"/>
              </w:rPr>
              <w:tab/>
              <w:t>установлении основных эффективных мер контроля и надежных KPI, охватывающих весь диапазон видов деятельности, проводимой на местном уровне, от технической помощи до управления финансами, служебных командировок и привлечения внештатных сотрудников.</w:t>
            </w:r>
          </w:p>
        </w:tc>
        <w:tc>
          <w:tcPr>
            <w:tcW w:w="1658" w:type="pct"/>
            <w:shd w:val="clear" w:color="auto" w:fill="auto"/>
          </w:tcPr>
          <w:p w14:paraId="30028673" w14:textId="77777777" w:rsidR="00E006EF" w:rsidRPr="008B3F38" w:rsidRDefault="00E006EF" w:rsidP="00025DC3">
            <w:pPr>
              <w:pStyle w:val="Tabletext"/>
              <w:rPr>
                <w:sz w:val="18"/>
                <w:szCs w:val="18"/>
                <w:lang w:val="ru-RU"/>
              </w:rPr>
            </w:pPr>
            <w:r w:rsidRPr="008B3F38">
              <w:rPr>
                <w:sz w:val="18"/>
                <w:szCs w:val="18"/>
                <w:lang w:val="ru-RU"/>
              </w:rPr>
              <w:lastRenderedPageBreak/>
              <w:t>Обновленная информация по состоянию на май 2025 года: Совет 2019 года утвердил Решения 613 и 616, в соответствии с которыми Генеральному секретарю было поручено привлечь внешних экспертов для проведения обзора регионального присутствия МСЭ и судебно-бухгалтерской экспертизы МСЭ. Эти два задания были поручены компании PwC, которая опубликовала свои отчеты в 2020 и 2021 годах соответственно. Как показано в Документе </w:t>
            </w:r>
            <w:hyperlink r:id="rId30" w:history="1">
              <w:r w:rsidRPr="008B3F38">
                <w:rPr>
                  <w:rStyle w:val="Hyperlink"/>
                  <w:sz w:val="18"/>
                  <w:szCs w:val="18"/>
                  <w:lang w:val="ru-RU"/>
                </w:rPr>
                <w:t>C20/74</w:t>
              </w:r>
            </w:hyperlink>
            <w:r w:rsidRPr="008B3F38">
              <w:rPr>
                <w:sz w:val="18"/>
                <w:szCs w:val="18"/>
                <w:lang w:val="ru-RU"/>
              </w:rPr>
              <w:t xml:space="preserve">, в ходе обзора PwC были </w:t>
            </w:r>
            <w:r w:rsidRPr="008B3F38">
              <w:rPr>
                <w:sz w:val="18"/>
                <w:szCs w:val="18"/>
                <w:lang w:val="ru-RU"/>
              </w:rPr>
              <w:lastRenderedPageBreak/>
              <w:t>поставлены конкретные и измеримые задачи для штаб-квартиры и РО БРЭ, а также предложен ряд ключевых эффективных мер контроля и надежных KPI для деятельности РО. Были приняты комплексные меры для выполнения рекомендаций, содержащихся в обзоре регионального присутствия PwC; информацию о ходе выполнения конкретных задач можно отслеживать на информационной панели регионального присутствия.</w:t>
            </w:r>
          </w:p>
          <w:p w14:paraId="6BECB082" w14:textId="5621C21B" w:rsidR="00E006EF" w:rsidRPr="008B3F38" w:rsidRDefault="00E006EF" w:rsidP="00025DC3">
            <w:pPr>
              <w:pStyle w:val="Tabletext"/>
              <w:rPr>
                <w:sz w:val="18"/>
                <w:szCs w:val="18"/>
                <w:lang w:val="ru-RU"/>
              </w:rPr>
            </w:pPr>
            <w:r w:rsidRPr="008B3F38">
              <w:rPr>
                <w:sz w:val="18"/>
                <w:szCs w:val="18"/>
                <w:lang w:val="ru-RU"/>
              </w:rPr>
              <w:t>МСЭ рекомендует продолжить выполнение данной</w:t>
            </w:r>
            <w:r w:rsidR="0033112B" w:rsidRPr="008B3F38">
              <w:rPr>
                <w:sz w:val="18"/>
                <w:szCs w:val="18"/>
                <w:lang w:val="ru-RU"/>
              </w:rPr>
              <w:t> </w:t>
            </w:r>
            <w:r w:rsidRPr="008B3F38">
              <w:rPr>
                <w:sz w:val="18"/>
                <w:szCs w:val="18"/>
                <w:lang w:val="ru-RU"/>
              </w:rPr>
              <w:t>рекомендации.</w:t>
            </w:r>
          </w:p>
        </w:tc>
        <w:tc>
          <w:tcPr>
            <w:tcW w:w="1139" w:type="pct"/>
            <w:gridSpan w:val="2"/>
            <w:shd w:val="clear" w:color="auto" w:fill="auto"/>
          </w:tcPr>
          <w:p w14:paraId="723C570C" w14:textId="77777777" w:rsidR="00E006EF" w:rsidRPr="008B3F38" w:rsidRDefault="00E006EF" w:rsidP="00025DC3">
            <w:pPr>
              <w:pStyle w:val="Tabletext"/>
              <w:rPr>
                <w:sz w:val="18"/>
                <w:szCs w:val="18"/>
                <w:lang w:val="ru-RU"/>
              </w:rPr>
            </w:pPr>
            <w:r w:rsidRPr="008B3F38">
              <w:rPr>
                <w:sz w:val="18"/>
                <w:szCs w:val="18"/>
                <w:lang w:val="ru-RU"/>
              </w:rPr>
              <w:lastRenderedPageBreak/>
              <w:t>Последний ответ и тот факт, что руководство считает, что выполнение данной рекомендации все еще продолжается, приняты к сведению и признаны обоснованными. Рекомендация закрыта.</w:t>
            </w:r>
          </w:p>
        </w:tc>
        <w:tc>
          <w:tcPr>
            <w:tcW w:w="440" w:type="pct"/>
            <w:shd w:val="clear" w:color="auto" w:fill="auto"/>
          </w:tcPr>
          <w:p w14:paraId="0FE44FE3" w14:textId="77777777" w:rsidR="00E006EF" w:rsidRPr="008B3F38" w:rsidRDefault="00E006EF" w:rsidP="00025DC3">
            <w:pPr>
              <w:pStyle w:val="Tabletext"/>
              <w:ind w:right="-57"/>
              <w:rPr>
                <w:sz w:val="18"/>
                <w:szCs w:val="18"/>
                <w:lang w:val="ru-RU"/>
              </w:rPr>
            </w:pPr>
            <w:r w:rsidRPr="008B3F38">
              <w:rPr>
                <w:sz w:val="18"/>
                <w:szCs w:val="18"/>
                <w:lang w:val="ru-RU"/>
              </w:rPr>
              <w:t>Выполняется.</w:t>
            </w:r>
          </w:p>
        </w:tc>
      </w:tr>
      <w:tr w:rsidR="00E006EF" w:rsidRPr="008B3F38" w14:paraId="643203D6" w14:textId="77777777" w:rsidTr="008A2FDE">
        <w:trPr>
          <w:jc w:val="center"/>
        </w:trPr>
        <w:tc>
          <w:tcPr>
            <w:tcW w:w="353" w:type="pct"/>
            <w:shd w:val="clear" w:color="auto" w:fill="auto"/>
          </w:tcPr>
          <w:p w14:paraId="6627575B" w14:textId="77777777" w:rsidR="00E006EF" w:rsidRPr="008B3F38" w:rsidRDefault="00E006EF" w:rsidP="00025DC3">
            <w:pPr>
              <w:pStyle w:val="Tabletext"/>
              <w:rPr>
                <w:sz w:val="18"/>
                <w:szCs w:val="18"/>
                <w:lang w:val="ru-RU"/>
              </w:rPr>
            </w:pPr>
            <w:r w:rsidRPr="008B3F38">
              <w:rPr>
                <w:sz w:val="18"/>
                <w:szCs w:val="18"/>
                <w:lang w:val="ru-RU"/>
              </w:rPr>
              <w:t>РЕК6</w:t>
            </w:r>
          </w:p>
        </w:tc>
        <w:tc>
          <w:tcPr>
            <w:tcW w:w="1410" w:type="pct"/>
            <w:gridSpan w:val="2"/>
            <w:shd w:val="clear" w:color="auto" w:fill="auto"/>
          </w:tcPr>
          <w:p w14:paraId="0E4F2B3C" w14:textId="4EB71D31" w:rsidR="00E006EF" w:rsidRPr="008B3F38" w:rsidRDefault="00E006EF" w:rsidP="00025DC3">
            <w:pPr>
              <w:pStyle w:val="Tabletext"/>
              <w:rPr>
                <w:sz w:val="18"/>
                <w:szCs w:val="18"/>
                <w:lang w:val="ru-RU"/>
              </w:rPr>
            </w:pPr>
            <w:r w:rsidRPr="008B3F38">
              <w:rPr>
                <w:sz w:val="18"/>
                <w:szCs w:val="18"/>
                <w:lang w:val="ru-RU"/>
              </w:rPr>
              <w:t>Руководству следует повысить уровень внутреннего контроля в региональных и зональных отделениях, с тем чтобы предотвратить другие случаи мошенничества, подобные тому, который был выявлен, и обеспечить оперативное выполнение оставшихся рекомендаций, представленных нами и Внутренним аудитором.</w:t>
            </w:r>
          </w:p>
        </w:tc>
        <w:tc>
          <w:tcPr>
            <w:tcW w:w="1658" w:type="pct"/>
            <w:shd w:val="clear" w:color="auto" w:fill="auto"/>
          </w:tcPr>
          <w:p w14:paraId="0E3A42DD" w14:textId="77777777" w:rsidR="00E006EF" w:rsidRPr="008B3F38" w:rsidRDefault="00E006EF" w:rsidP="00025DC3">
            <w:pPr>
              <w:pStyle w:val="Tabletext"/>
              <w:rPr>
                <w:sz w:val="18"/>
                <w:szCs w:val="18"/>
                <w:lang w:val="ru-RU"/>
              </w:rPr>
            </w:pPr>
            <w:r w:rsidRPr="008B3F38">
              <w:rPr>
                <w:sz w:val="18"/>
                <w:szCs w:val="18"/>
                <w:lang w:val="ru-RU"/>
              </w:rPr>
              <w:t>МСЭ принимает к сведению Рекомендацию 6 и будет стремиться обеспечить оперативное выполнение невыполненных рекомендаций аудиторов. Кроме того, Секретариат также обеспечит включение в документ по итогам исследования по вопросу регионального присутствия (в соответствии с Резолюцией 25 (Пересм.)), которое должно завершиться к началу Совета 2020 года, результатов комплексной оценки рисков и усиленной системы контроля.</w:t>
            </w:r>
          </w:p>
          <w:p w14:paraId="6C23D640" w14:textId="77777777" w:rsidR="00E006EF" w:rsidRPr="008B3F38" w:rsidRDefault="00E006EF" w:rsidP="00025DC3">
            <w:pPr>
              <w:pStyle w:val="Tabletext"/>
              <w:rPr>
                <w:sz w:val="18"/>
                <w:szCs w:val="18"/>
                <w:lang w:val="ru-RU"/>
              </w:rPr>
            </w:pPr>
            <w:r w:rsidRPr="008B3F38">
              <w:rPr>
                <w:sz w:val="18"/>
                <w:szCs w:val="18"/>
                <w:lang w:val="ru-RU"/>
              </w:rPr>
              <w:t>Обновленная информация по состоянию на июнь 2022 года: Внедренная система внутреннего контроля применяется ко всему БРЭ в целом, включая региональные отделения. БРЭ должно обеспечить, чтобы директора региональных отделений были осведомлены обо всех требованиях, касающихся региональных и зональных отделений, и выполняли их.</w:t>
            </w:r>
          </w:p>
          <w:p w14:paraId="35DF3768" w14:textId="10914708" w:rsidR="00E006EF" w:rsidRPr="008B3F38" w:rsidRDefault="00E006EF" w:rsidP="00025DC3">
            <w:pPr>
              <w:pStyle w:val="Tabletext"/>
              <w:rPr>
                <w:sz w:val="18"/>
                <w:szCs w:val="18"/>
                <w:lang w:val="ru-RU"/>
              </w:rPr>
            </w:pPr>
            <w:r w:rsidRPr="008B3F38">
              <w:rPr>
                <w:sz w:val="18"/>
                <w:szCs w:val="18"/>
                <w:lang w:val="ru-RU"/>
              </w:rPr>
              <w:t>Обновленная информация по состоянию на май 2025 года: Рабочая группа по внутреннему контролю, созданная в 2019 году, возглавила разработку инструмента отслеживания и информационной панели МСЭ по вопросам соблюдения, которые предназначены для систематизации всех рекомендаций надзорных органов, управления ими и отслеживания хода их</w:t>
            </w:r>
            <w:r w:rsidR="002F050F" w:rsidRPr="008B3F38">
              <w:rPr>
                <w:sz w:val="18"/>
                <w:szCs w:val="18"/>
                <w:lang w:val="ru-RU"/>
              </w:rPr>
              <w:t> </w:t>
            </w:r>
            <w:r w:rsidRPr="008B3F38">
              <w:rPr>
                <w:sz w:val="18"/>
                <w:szCs w:val="18"/>
                <w:lang w:val="ru-RU"/>
              </w:rPr>
              <w:t>выполнения.</w:t>
            </w:r>
          </w:p>
          <w:p w14:paraId="4F5D68D2" w14:textId="77777777" w:rsidR="00E006EF" w:rsidRPr="008B3F38" w:rsidRDefault="00E006EF" w:rsidP="00025DC3">
            <w:pPr>
              <w:pStyle w:val="Tabletext"/>
              <w:rPr>
                <w:sz w:val="18"/>
                <w:szCs w:val="18"/>
                <w:lang w:val="ru-RU"/>
              </w:rPr>
            </w:pPr>
            <w:r w:rsidRPr="008B3F38">
              <w:rPr>
                <w:sz w:val="18"/>
                <w:szCs w:val="18"/>
                <w:lang w:val="ru-RU"/>
              </w:rPr>
              <w:t>МСЭ рекомендует закрыть данную рекомендацию.</w:t>
            </w:r>
          </w:p>
        </w:tc>
        <w:tc>
          <w:tcPr>
            <w:tcW w:w="1139" w:type="pct"/>
            <w:gridSpan w:val="2"/>
            <w:shd w:val="clear" w:color="auto" w:fill="auto"/>
          </w:tcPr>
          <w:p w14:paraId="4D8B2A89" w14:textId="136F7990" w:rsidR="00E006EF" w:rsidRPr="008B3F38" w:rsidRDefault="00E006EF" w:rsidP="00025DC3">
            <w:pPr>
              <w:pStyle w:val="Tabletext"/>
              <w:rPr>
                <w:sz w:val="18"/>
                <w:szCs w:val="18"/>
                <w:lang w:val="ru-RU"/>
              </w:rPr>
            </w:pPr>
            <w:r w:rsidRPr="008B3F38">
              <w:rPr>
                <w:sz w:val="18"/>
                <w:szCs w:val="18"/>
                <w:lang w:val="ru-RU"/>
              </w:rPr>
              <w:t xml:space="preserve">Последний ответ принят к сведению. Как отмечается в </w:t>
            </w:r>
            <w:r w:rsidR="007E5FDA" w:rsidRPr="008B3F38">
              <w:rPr>
                <w:sz w:val="18"/>
                <w:szCs w:val="18"/>
                <w:lang w:val="ru-RU"/>
              </w:rPr>
              <w:t>Части </w:t>
            </w:r>
            <w:r w:rsidRPr="008B3F38">
              <w:rPr>
                <w:sz w:val="18"/>
                <w:szCs w:val="18"/>
                <w:lang w:val="ru-RU"/>
              </w:rPr>
              <w:t>4 настоящего отчета, несмотря на наличие информационной панели МСЭ по вопросам соблюдения, МСЭ необходимо также систематизировать процесс контроля за выполнением всех невыполненных рекомендаций. Данная рекомендация признана устаревшей и закрыта.</w:t>
            </w:r>
          </w:p>
        </w:tc>
        <w:tc>
          <w:tcPr>
            <w:tcW w:w="440" w:type="pct"/>
            <w:shd w:val="clear" w:color="auto" w:fill="auto"/>
          </w:tcPr>
          <w:p w14:paraId="6EEBB956" w14:textId="77777777" w:rsidR="00E006EF" w:rsidRPr="008B3F38" w:rsidRDefault="00E006EF" w:rsidP="00025DC3">
            <w:pPr>
              <w:pStyle w:val="Tabletext"/>
              <w:ind w:right="-57"/>
              <w:rPr>
                <w:sz w:val="18"/>
                <w:szCs w:val="18"/>
                <w:lang w:val="ru-RU"/>
              </w:rPr>
            </w:pPr>
            <w:r w:rsidRPr="008B3F38">
              <w:rPr>
                <w:sz w:val="18"/>
                <w:szCs w:val="18"/>
                <w:lang w:val="ru-RU"/>
              </w:rPr>
              <w:t>Закрыта.</w:t>
            </w:r>
          </w:p>
        </w:tc>
      </w:tr>
      <w:tr w:rsidR="00E006EF" w:rsidRPr="008B3F38" w14:paraId="71545995" w14:textId="77777777" w:rsidTr="008A2FDE">
        <w:trPr>
          <w:jc w:val="center"/>
        </w:trPr>
        <w:tc>
          <w:tcPr>
            <w:tcW w:w="353" w:type="pct"/>
            <w:shd w:val="clear" w:color="auto" w:fill="auto"/>
          </w:tcPr>
          <w:p w14:paraId="6DCA22A6" w14:textId="77777777" w:rsidR="00E006EF" w:rsidRPr="008B3F38" w:rsidRDefault="00E006EF" w:rsidP="00025DC3">
            <w:pPr>
              <w:pStyle w:val="Tabletext"/>
              <w:rPr>
                <w:sz w:val="18"/>
                <w:szCs w:val="18"/>
                <w:lang w:val="ru-RU"/>
              </w:rPr>
            </w:pPr>
            <w:r w:rsidRPr="008B3F38">
              <w:rPr>
                <w:sz w:val="18"/>
                <w:szCs w:val="18"/>
                <w:lang w:val="ru-RU"/>
              </w:rPr>
              <w:t>РЕК7</w:t>
            </w:r>
          </w:p>
        </w:tc>
        <w:tc>
          <w:tcPr>
            <w:tcW w:w="1410" w:type="pct"/>
            <w:gridSpan w:val="2"/>
            <w:shd w:val="clear" w:color="auto" w:fill="auto"/>
          </w:tcPr>
          <w:p w14:paraId="70F62845" w14:textId="3B3D2755" w:rsidR="004D7A3D" w:rsidRPr="008B3F38" w:rsidRDefault="00E006EF" w:rsidP="00025DC3">
            <w:pPr>
              <w:pStyle w:val="Tabletext"/>
              <w:ind w:left="284" w:hanging="284"/>
              <w:rPr>
                <w:sz w:val="18"/>
                <w:szCs w:val="18"/>
                <w:lang w:val="ru-RU"/>
              </w:rPr>
            </w:pPr>
            <w:r w:rsidRPr="008B3F38">
              <w:rPr>
                <w:sz w:val="18"/>
                <w:szCs w:val="18"/>
                <w:lang w:val="ru-RU"/>
              </w:rPr>
              <w:t>i)</w:t>
            </w:r>
            <w:r w:rsidR="004D7A3D" w:rsidRPr="008B3F38">
              <w:rPr>
                <w:sz w:val="18"/>
                <w:szCs w:val="18"/>
                <w:lang w:val="ru-RU"/>
              </w:rPr>
              <w:tab/>
            </w:r>
            <w:r w:rsidRPr="008B3F38">
              <w:rPr>
                <w:sz w:val="18"/>
                <w:szCs w:val="18"/>
                <w:lang w:val="ru-RU"/>
              </w:rPr>
              <w:t xml:space="preserve">Начать проведение внутренней оценки риска возникновения подобных случаев мошенничества на региональном уровне, особенно в том, что касается закупок, </w:t>
            </w:r>
            <w:r w:rsidRPr="008B3F38">
              <w:rPr>
                <w:sz w:val="18"/>
                <w:szCs w:val="18"/>
                <w:lang w:val="ru-RU"/>
              </w:rPr>
              <w:lastRenderedPageBreak/>
              <w:t>служебных поездок, управления денежными средствами и людскими ресурсами, включая взаимодействие между региональными отделениями и штаб</w:t>
            </w:r>
            <w:r w:rsidR="004D7A3D" w:rsidRPr="008B3F38">
              <w:rPr>
                <w:rFonts w:ascii="Cambria Math" w:hAnsi="Cambria Math"/>
                <w:sz w:val="18"/>
                <w:szCs w:val="18"/>
                <w:lang w:val="ru-RU"/>
              </w:rPr>
              <w:t>‑</w:t>
            </w:r>
            <w:r w:rsidRPr="008B3F38">
              <w:rPr>
                <w:sz w:val="18"/>
                <w:szCs w:val="18"/>
                <w:lang w:val="ru-RU"/>
              </w:rPr>
              <w:t>квартирой; и одновременно</w:t>
            </w:r>
          </w:p>
          <w:p w14:paraId="7EA02872" w14:textId="7DEAFEC8" w:rsidR="00E006EF" w:rsidRPr="008B3F38" w:rsidRDefault="00E006EF" w:rsidP="00025DC3">
            <w:pPr>
              <w:pStyle w:val="Tabletext"/>
              <w:ind w:left="284" w:hanging="284"/>
              <w:rPr>
                <w:sz w:val="18"/>
                <w:szCs w:val="18"/>
                <w:lang w:val="ru-RU"/>
              </w:rPr>
            </w:pPr>
            <w:r w:rsidRPr="008B3F38">
              <w:rPr>
                <w:sz w:val="18"/>
                <w:szCs w:val="18"/>
                <w:lang w:val="ru-RU"/>
              </w:rPr>
              <w:t>ii)</w:t>
            </w:r>
            <w:r w:rsidR="004D7A3D" w:rsidRPr="008B3F38">
              <w:rPr>
                <w:sz w:val="18"/>
                <w:szCs w:val="18"/>
                <w:lang w:val="ru-RU"/>
              </w:rPr>
              <w:tab/>
            </w:r>
            <w:r w:rsidRPr="008B3F38">
              <w:rPr>
                <w:sz w:val="18"/>
                <w:szCs w:val="18"/>
                <w:lang w:val="ru-RU"/>
              </w:rPr>
              <w:t>повысить уровень и эффективность внутренних санкций, чего также требуют международные стандарты.</w:t>
            </w:r>
          </w:p>
        </w:tc>
        <w:tc>
          <w:tcPr>
            <w:tcW w:w="1658" w:type="pct"/>
            <w:shd w:val="clear" w:color="auto" w:fill="auto"/>
          </w:tcPr>
          <w:p w14:paraId="613C9E37" w14:textId="1EB35E86" w:rsidR="00E006EF" w:rsidRPr="008B3F38" w:rsidRDefault="00E006EF" w:rsidP="00025DC3">
            <w:pPr>
              <w:pStyle w:val="Tabletext"/>
              <w:rPr>
                <w:sz w:val="18"/>
                <w:szCs w:val="18"/>
                <w:lang w:val="ru-RU"/>
              </w:rPr>
            </w:pPr>
            <w:r w:rsidRPr="008B3F38">
              <w:rPr>
                <w:sz w:val="18"/>
                <w:szCs w:val="18"/>
                <w:lang w:val="ru-RU"/>
              </w:rPr>
              <w:lastRenderedPageBreak/>
              <w:t xml:space="preserve">Обновленная информация по состоянию на май 2025 года: В плане Подразделения по надзору на 2025 год предусмотрено проведение внешними экспертами корпоративной оценки риска мошенничества </w:t>
            </w:r>
            <w:r w:rsidRPr="008B3F38">
              <w:rPr>
                <w:sz w:val="18"/>
                <w:szCs w:val="18"/>
                <w:lang w:val="ru-RU"/>
              </w:rPr>
              <w:lastRenderedPageBreak/>
              <w:t>(предыдущая такая оценка была проведена в 2017 г</w:t>
            </w:r>
            <w:r w:rsidR="004D7A3D" w:rsidRPr="008B3F38">
              <w:rPr>
                <w:sz w:val="18"/>
                <w:szCs w:val="18"/>
                <w:lang w:val="ru-RU"/>
              </w:rPr>
              <w:t>.</w:t>
            </w:r>
            <w:r w:rsidRPr="008B3F38">
              <w:rPr>
                <w:sz w:val="18"/>
                <w:szCs w:val="18"/>
                <w:lang w:val="ru-RU"/>
              </w:rPr>
              <w:t>). В</w:t>
            </w:r>
            <w:r w:rsidR="004D7A3D" w:rsidRPr="008B3F38">
              <w:rPr>
                <w:sz w:val="18"/>
                <w:szCs w:val="18"/>
                <w:lang w:val="ru-RU"/>
              </w:rPr>
              <w:t> </w:t>
            </w:r>
            <w:r w:rsidRPr="008B3F38">
              <w:rPr>
                <w:sz w:val="18"/>
                <w:szCs w:val="18"/>
                <w:lang w:val="ru-RU"/>
              </w:rPr>
              <w:t>промежутках между этими оценками сотрудниками третьей линии рассматривается возможность проведения регулярных оценок риска мошенничества на второй линии, основное внимание в ходе которых будет уделяться конкретным функциональным областям (например, закупкам). Проведение внутренних дисциплинарных разбирательств и применение санкций происходит в соответствии с Положениями о персонале и Правилами о персонале, а также с учетом применяемого прецедентного права Административного трибунала Международной организации труда.</w:t>
            </w:r>
          </w:p>
          <w:p w14:paraId="6D8E871C" w14:textId="77777777" w:rsidR="00E006EF" w:rsidRPr="008B3F38" w:rsidRDefault="00E006EF" w:rsidP="00025DC3">
            <w:pPr>
              <w:pStyle w:val="Tabletext"/>
              <w:rPr>
                <w:sz w:val="18"/>
                <w:szCs w:val="18"/>
                <w:lang w:val="ru-RU"/>
              </w:rPr>
            </w:pPr>
            <w:r w:rsidRPr="008B3F38">
              <w:rPr>
                <w:sz w:val="18"/>
                <w:szCs w:val="18"/>
                <w:lang w:val="ru-RU"/>
              </w:rPr>
              <w:t>МСЭ рекомендует закрыть данную рекомендацию.</w:t>
            </w:r>
          </w:p>
        </w:tc>
        <w:tc>
          <w:tcPr>
            <w:tcW w:w="1139" w:type="pct"/>
            <w:gridSpan w:val="2"/>
            <w:shd w:val="clear" w:color="auto" w:fill="auto"/>
          </w:tcPr>
          <w:p w14:paraId="0FE222EE" w14:textId="312D2913" w:rsidR="00E006EF" w:rsidRPr="008B3F38" w:rsidRDefault="00E006EF" w:rsidP="00025DC3">
            <w:pPr>
              <w:pStyle w:val="Tabletext"/>
              <w:rPr>
                <w:sz w:val="18"/>
                <w:szCs w:val="18"/>
                <w:lang w:val="ru-RU"/>
              </w:rPr>
            </w:pPr>
            <w:r w:rsidRPr="008B3F38">
              <w:rPr>
                <w:sz w:val="18"/>
                <w:szCs w:val="18"/>
                <w:lang w:val="ru-RU"/>
              </w:rPr>
              <w:lastRenderedPageBreak/>
              <w:t xml:space="preserve">Последний ответ принят к сведению. В нашем Отчете за 2023 год (РЕК1) мы рекомендовали МСЭ провести системную оценку подверженности </w:t>
            </w:r>
            <w:r w:rsidRPr="008B3F38">
              <w:rPr>
                <w:sz w:val="18"/>
                <w:szCs w:val="18"/>
                <w:lang w:val="ru-RU"/>
              </w:rPr>
              <w:lastRenderedPageBreak/>
              <w:t>рискам мошенничества. Настоящая</w:t>
            </w:r>
            <w:r w:rsidR="004F55FD">
              <w:rPr>
                <w:sz w:val="18"/>
                <w:szCs w:val="18"/>
                <w:lang w:val="ru-RU"/>
              </w:rPr>
              <w:t> </w:t>
            </w:r>
            <w:r w:rsidRPr="008B3F38">
              <w:rPr>
                <w:sz w:val="18"/>
                <w:szCs w:val="18"/>
                <w:lang w:val="ru-RU"/>
              </w:rPr>
              <w:t>рекомендация была закрыта на основании нашей устаревшей</w:t>
            </w:r>
            <w:r w:rsidR="002F050F" w:rsidRPr="008B3F38">
              <w:rPr>
                <w:sz w:val="18"/>
                <w:szCs w:val="18"/>
                <w:lang w:val="ru-RU"/>
              </w:rPr>
              <w:t> </w:t>
            </w:r>
            <w:r w:rsidRPr="008B3F38">
              <w:rPr>
                <w:sz w:val="18"/>
                <w:szCs w:val="18"/>
                <w:lang w:val="ru-RU"/>
              </w:rPr>
              <w:t>рекомендации.</w:t>
            </w:r>
          </w:p>
        </w:tc>
        <w:tc>
          <w:tcPr>
            <w:tcW w:w="440" w:type="pct"/>
            <w:shd w:val="clear" w:color="auto" w:fill="auto"/>
          </w:tcPr>
          <w:p w14:paraId="7162AB59" w14:textId="77777777" w:rsidR="00E006EF" w:rsidRPr="008B3F38" w:rsidRDefault="00E006EF" w:rsidP="00025DC3">
            <w:pPr>
              <w:pStyle w:val="Tabletext"/>
              <w:ind w:right="-57"/>
              <w:rPr>
                <w:sz w:val="18"/>
                <w:szCs w:val="18"/>
                <w:lang w:val="ru-RU"/>
              </w:rPr>
            </w:pPr>
            <w:r w:rsidRPr="008B3F38">
              <w:rPr>
                <w:sz w:val="18"/>
                <w:szCs w:val="18"/>
                <w:lang w:val="ru-RU"/>
              </w:rPr>
              <w:lastRenderedPageBreak/>
              <w:t>Закрыта.</w:t>
            </w:r>
          </w:p>
        </w:tc>
      </w:tr>
      <w:tr w:rsidR="00E006EF" w:rsidRPr="008B3F38" w14:paraId="1B509BC3" w14:textId="77777777" w:rsidTr="008A2FDE">
        <w:trPr>
          <w:jc w:val="center"/>
        </w:trPr>
        <w:tc>
          <w:tcPr>
            <w:tcW w:w="353" w:type="pct"/>
            <w:shd w:val="clear" w:color="auto" w:fill="auto"/>
          </w:tcPr>
          <w:p w14:paraId="4BFDAAD4" w14:textId="77777777" w:rsidR="00E006EF" w:rsidRPr="008B3F38" w:rsidRDefault="00E006EF" w:rsidP="00025DC3">
            <w:pPr>
              <w:pStyle w:val="Tabletext"/>
              <w:rPr>
                <w:sz w:val="18"/>
                <w:szCs w:val="18"/>
                <w:lang w:val="ru-RU"/>
              </w:rPr>
            </w:pPr>
            <w:r w:rsidRPr="008B3F38">
              <w:rPr>
                <w:sz w:val="18"/>
                <w:szCs w:val="18"/>
                <w:lang w:val="ru-RU"/>
              </w:rPr>
              <w:t>РЕК8</w:t>
            </w:r>
          </w:p>
        </w:tc>
        <w:tc>
          <w:tcPr>
            <w:tcW w:w="1410" w:type="pct"/>
            <w:gridSpan w:val="2"/>
            <w:shd w:val="clear" w:color="auto" w:fill="auto"/>
          </w:tcPr>
          <w:p w14:paraId="5D8F710A" w14:textId="3E992D28" w:rsidR="00E006EF" w:rsidRPr="008B3F38" w:rsidRDefault="00E006EF" w:rsidP="00025DC3">
            <w:pPr>
              <w:pStyle w:val="Tabletext"/>
              <w:rPr>
                <w:sz w:val="18"/>
                <w:szCs w:val="18"/>
                <w:lang w:val="ru-RU"/>
              </w:rPr>
            </w:pPr>
            <w:r w:rsidRPr="008B3F38">
              <w:rPr>
                <w:sz w:val="18"/>
                <w:szCs w:val="18"/>
                <w:lang w:val="ru-RU"/>
              </w:rPr>
              <w:t>Ввести в рамках предстоящей процедуры расследования в целях противодействия мошенничеству специальные положения, предусматривающие также изъятие всех рабочих документов сотрудника, причастного к мошенничеству, и лишение его/ее возможности доступа в помещения МСЭ.</w:t>
            </w:r>
          </w:p>
        </w:tc>
        <w:tc>
          <w:tcPr>
            <w:tcW w:w="1658" w:type="pct"/>
            <w:shd w:val="clear" w:color="auto" w:fill="auto"/>
          </w:tcPr>
          <w:p w14:paraId="62F0674B" w14:textId="0DA8EDDE" w:rsidR="00E006EF" w:rsidRPr="008B3F38" w:rsidRDefault="00E006EF" w:rsidP="00025DC3">
            <w:pPr>
              <w:pStyle w:val="Tabletext"/>
              <w:rPr>
                <w:sz w:val="18"/>
                <w:szCs w:val="18"/>
                <w:lang w:val="ru-RU"/>
              </w:rPr>
            </w:pPr>
            <w:r w:rsidRPr="008B3F38">
              <w:rPr>
                <w:sz w:val="18"/>
                <w:szCs w:val="18"/>
                <w:lang w:val="ru-RU"/>
              </w:rPr>
              <w:t>МСЭ принимает к сведению Рекомендацию 8, которая за прошедшее время была выполнена путем включения указанных аспектов в обнародованные руководящие указания МСЭ по проведению расследований</w:t>
            </w:r>
            <w:r w:rsidR="002F050F" w:rsidRPr="008B3F38">
              <w:rPr>
                <w:sz w:val="18"/>
                <w:szCs w:val="18"/>
                <w:lang w:val="ru-RU"/>
              </w:rPr>
              <w:t>.</w:t>
            </w:r>
          </w:p>
          <w:p w14:paraId="3BB7A035" w14:textId="10BFAF58" w:rsidR="00E006EF" w:rsidRPr="008B3F38" w:rsidRDefault="00E006EF" w:rsidP="00025DC3">
            <w:pPr>
              <w:pStyle w:val="Tabletext"/>
              <w:rPr>
                <w:sz w:val="18"/>
                <w:szCs w:val="18"/>
                <w:lang w:val="ru-RU"/>
              </w:rPr>
            </w:pPr>
            <w:r w:rsidRPr="008B3F38">
              <w:rPr>
                <w:sz w:val="18"/>
                <w:szCs w:val="18"/>
                <w:lang w:val="ru-RU"/>
              </w:rPr>
              <w:t>Обновленная информация по состоянию на май 2025 года: Рекомендация выполнена посредством издания служебного приказа 19/10 "Руководящие указания МСЭ по проведению расследований". В</w:t>
            </w:r>
            <w:r w:rsidR="004D7A3D" w:rsidRPr="008B3F38">
              <w:rPr>
                <w:sz w:val="18"/>
                <w:szCs w:val="18"/>
                <w:lang w:val="ru-RU"/>
              </w:rPr>
              <w:t> </w:t>
            </w:r>
            <w:r w:rsidRPr="008B3F38">
              <w:rPr>
                <w:sz w:val="18"/>
                <w:szCs w:val="18"/>
                <w:lang w:val="ru-RU"/>
              </w:rPr>
              <w:t>настоящее время эти руководящие указания пересматриваются для согласования с новым Уставом по надзору, введенным в действие согласно служебному приказу 24/09 "Принятие Устава по надзору МСЭ и разъяснения относительно приема и предварительной оценки жалоб на неправомерные действия" (сентябрь</w:t>
            </w:r>
            <w:r w:rsidR="002F050F" w:rsidRPr="008B3F38">
              <w:rPr>
                <w:sz w:val="18"/>
                <w:szCs w:val="18"/>
                <w:lang w:val="ru-RU"/>
              </w:rPr>
              <w:t> </w:t>
            </w:r>
            <w:r w:rsidRPr="008B3F38">
              <w:rPr>
                <w:sz w:val="18"/>
                <w:szCs w:val="18"/>
                <w:lang w:val="ru-RU"/>
              </w:rPr>
              <w:t>2024 г</w:t>
            </w:r>
            <w:r w:rsidR="004D7A3D" w:rsidRPr="008B3F38">
              <w:rPr>
                <w:sz w:val="18"/>
                <w:szCs w:val="18"/>
                <w:lang w:val="ru-RU"/>
              </w:rPr>
              <w:t>.</w:t>
            </w:r>
            <w:r w:rsidRPr="008B3F38">
              <w:rPr>
                <w:sz w:val="18"/>
                <w:szCs w:val="18"/>
                <w:lang w:val="ru-RU"/>
              </w:rPr>
              <w:t>). Новый Устав по надзору также включает функцию расследования, а Подразделение по надзору возглавляет опытный специалист по расследованиям (должность D1), который отвечает за обеспечение надлежащего изъятия доказательств и сохранение их целостности, а также координирует свои действия, например, с коллегами, занимающимися вопросами обеспечения физической и информационной безопасности МСЭ, для содействия в ограничении доступа к документам и электронным данным и обеспечении их сохранности.</w:t>
            </w:r>
          </w:p>
          <w:p w14:paraId="0E89E3AE" w14:textId="77777777" w:rsidR="00E006EF" w:rsidRPr="008B3F38" w:rsidRDefault="00E006EF" w:rsidP="00025DC3">
            <w:pPr>
              <w:pStyle w:val="Tabletext"/>
              <w:rPr>
                <w:sz w:val="18"/>
                <w:szCs w:val="18"/>
                <w:lang w:val="ru-RU"/>
              </w:rPr>
            </w:pPr>
            <w:r w:rsidRPr="008B3F38">
              <w:rPr>
                <w:sz w:val="18"/>
                <w:szCs w:val="18"/>
                <w:lang w:val="ru-RU"/>
              </w:rPr>
              <w:t>МСЭ рекомендует закрыть данную рекомендацию.</w:t>
            </w:r>
          </w:p>
        </w:tc>
        <w:tc>
          <w:tcPr>
            <w:tcW w:w="1139" w:type="pct"/>
            <w:gridSpan w:val="2"/>
            <w:shd w:val="clear" w:color="auto" w:fill="auto"/>
          </w:tcPr>
          <w:p w14:paraId="5AF03631" w14:textId="77777777" w:rsidR="00E006EF" w:rsidRPr="008B3F38" w:rsidRDefault="00E006EF" w:rsidP="00025DC3">
            <w:pPr>
              <w:pStyle w:val="Tabletext"/>
              <w:rPr>
                <w:sz w:val="18"/>
                <w:szCs w:val="18"/>
                <w:lang w:val="ru-RU"/>
              </w:rPr>
            </w:pPr>
            <w:r w:rsidRPr="008B3F38">
              <w:rPr>
                <w:sz w:val="18"/>
                <w:szCs w:val="18"/>
                <w:lang w:val="ru-RU"/>
              </w:rPr>
              <w:t>Закрыта Государственной счетной палатой Италии в ее заключительном отчете (Приложение 5: Документ </w:t>
            </w:r>
            <w:hyperlink r:id="rId31" w:history="1">
              <w:r w:rsidRPr="008B3F38">
                <w:rPr>
                  <w:rStyle w:val="Hyperlink"/>
                  <w:sz w:val="18"/>
                  <w:szCs w:val="18"/>
                  <w:lang w:val="ru-RU"/>
                </w:rPr>
                <w:t>C22/101</w:t>
              </w:r>
            </w:hyperlink>
            <w:r w:rsidRPr="008B3F38">
              <w:rPr>
                <w:sz w:val="18"/>
                <w:szCs w:val="18"/>
                <w:lang w:val="ru-RU"/>
              </w:rPr>
              <w:t>).</w:t>
            </w:r>
          </w:p>
          <w:p w14:paraId="4C5BE78B" w14:textId="77777777" w:rsidR="00E006EF" w:rsidRPr="008B3F38" w:rsidRDefault="00E006EF" w:rsidP="00025DC3">
            <w:pPr>
              <w:pStyle w:val="Tabletext"/>
              <w:rPr>
                <w:sz w:val="18"/>
                <w:szCs w:val="18"/>
                <w:lang w:val="ru-RU"/>
              </w:rPr>
            </w:pPr>
            <w:r w:rsidRPr="008B3F38">
              <w:rPr>
                <w:sz w:val="18"/>
                <w:szCs w:val="18"/>
                <w:lang w:val="ru-RU"/>
              </w:rPr>
              <w:t>Мы принимаем к сведению информацию о том, что в руководящие указания вносятся изменения, и мы в надлежащем порядке рассмотрим эти изменения и оценим их эффективность, после того как они вступят в силу.</w:t>
            </w:r>
          </w:p>
        </w:tc>
        <w:tc>
          <w:tcPr>
            <w:tcW w:w="440" w:type="pct"/>
            <w:shd w:val="clear" w:color="auto" w:fill="auto"/>
          </w:tcPr>
          <w:p w14:paraId="7CCE8EFE" w14:textId="77777777" w:rsidR="00E006EF" w:rsidRPr="008B3F38" w:rsidRDefault="00E006EF" w:rsidP="00025DC3">
            <w:pPr>
              <w:pStyle w:val="Tabletext"/>
              <w:ind w:right="-57"/>
              <w:rPr>
                <w:sz w:val="18"/>
                <w:szCs w:val="18"/>
                <w:lang w:val="ru-RU"/>
              </w:rPr>
            </w:pPr>
            <w:r w:rsidRPr="008B3F38">
              <w:rPr>
                <w:sz w:val="18"/>
                <w:szCs w:val="18"/>
                <w:lang w:val="ru-RU"/>
              </w:rPr>
              <w:t>Закрыта.</w:t>
            </w:r>
          </w:p>
        </w:tc>
      </w:tr>
      <w:tr w:rsidR="00E006EF" w:rsidRPr="008B3F38" w14:paraId="3DFA6614" w14:textId="77777777" w:rsidTr="008A2FDE">
        <w:trPr>
          <w:jc w:val="center"/>
        </w:trPr>
        <w:tc>
          <w:tcPr>
            <w:tcW w:w="353" w:type="pct"/>
            <w:shd w:val="clear" w:color="auto" w:fill="auto"/>
          </w:tcPr>
          <w:p w14:paraId="7E745A7B" w14:textId="77777777" w:rsidR="00E006EF" w:rsidRPr="008B3F38" w:rsidRDefault="00E006EF" w:rsidP="00025DC3">
            <w:pPr>
              <w:pStyle w:val="Tabletext"/>
              <w:rPr>
                <w:sz w:val="18"/>
                <w:szCs w:val="18"/>
                <w:lang w:val="ru-RU"/>
              </w:rPr>
            </w:pPr>
            <w:r w:rsidRPr="008B3F38">
              <w:rPr>
                <w:sz w:val="18"/>
                <w:szCs w:val="18"/>
                <w:lang w:val="ru-RU"/>
              </w:rPr>
              <w:lastRenderedPageBreak/>
              <w:t>РЕК9</w:t>
            </w:r>
          </w:p>
        </w:tc>
        <w:tc>
          <w:tcPr>
            <w:tcW w:w="1410" w:type="pct"/>
            <w:gridSpan w:val="2"/>
            <w:shd w:val="clear" w:color="auto" w:fill="auto"/>
          </w:tcPr>
          <w:p w14:paraId="50C02E4C" w14:textId="24B67D44" w:rsidR="00E006EF" w:rsidRPr="008B3F38" w:rsidRDefault="00E006EF" w:rsidP="00025DC3">
            <w:pPr>
              <w:pStyle w:val="Tabletext"/>
              <w:rPr>
                <w:sz w:val="18"/>
                <w:szCs w:val="18"/>
                <w:lang w:val="ru-RU"/>
              </w:rPr>
            </w:pPr>
            <w:r w:rsidRPr="008B3F38">
              <w:rPr>
                <w:sz w:val="18"/>
                <w:szCs w:val="18"/>
                <w:lang w:val="ru-RU"/>
              </w:rPr>
              <w:t>Руководству следует провести дополнительное расследование по вопросу о том, имели ли место другие ненадлежащие выплаты по статьям расхода.</w:t>
            </w:r>
          </w:p>
        </w:tc>
        <w:tc>
          <w:tcPr>
            <w:tcW w:w="1658" w:type="pct"/>
            <w:shd w:val="clear" w:color="auto" w:fill="auto"/>
          </w:tcPr>
          <w:p w14:paraId="77BCFF22" w14:textId="2A9F5A6F" w:rsidR="00E006EF" w:rsidRPr="008B3F38" w:rsidRDefault="00E006EF" w:rsidP="00025DC3">
            <w:pPr>
              <w:pStyle w:val="Tabletext"/>
              <w:rPr>
                <w:sz w:val="18"/>
                <w:szCs w:val="18"/>
                <w:lang w:val="ru-RU"/>
              </w:rPr>
            </w:pPr>
            <w:r w:rsidRPr="008B3F38">
              <w:rPr>
                <w:sz w:val="18"/>
                <w:szCs w:val="18"/>
                <w:lang w:val="ru-RU"/>
              </w:rPr>
              <w:t>Обновленная информация по состоянию на май 2025 года: Судебно-бухгалтерская экспертиза, проведенная компанией PwC в соответствии с Решением 613 Совета, включала различные проверки, связанные с "подозрительными транзакциями" (прямо</w:t>
            </w:r>
            <w:r w:rsidR="002F050F" w:rsidRPr="008B3F38">
              <w:rPr>
                <w:sz w:val="18"/>
                <w:szCs w:val="18"/>
                <w:lang w:val="ru-RU"/>
              </w:rPr>
              <w:t> </w:t>
            </w:r>
            <w:r w:rsidRPr="008B3F38">
              <w:rPr>
                <w:sz w:val="18"/>
                <w:szCs w:val="18"/>
                <w:lang w:val="ru-RU"/>
              </w:rPr>
              <w:t>указанными в их круге ведения), что подробно описано в отчете компании. Кроме того, по просьбе тогдашнего Внешнего аудитора МСЭ провел количественную оценку, результаты которой были доведены до сведения Генерального секретаря в марте 2022 года.</w:t>
            </w:r>
          </w:p>
          <w:p w14:paraId="2894C047" w14:textId="77777777" w:rsidR="00E006EF" w:rsidRPr="008B3F38" w:rsidRDefault="00E006EF" w:rsidP="00025DC3">
            <w:pPr>
              <w:pStyle w:val="Tabletext"/>
              <w:rPr>
                <w:sz w:val="18"/>
                <w:szCs w:val="18"/>
                <w:lang w:val="ru-RU"/>
              </w:rPr>
            </w:pPr>
            <w:r w:rsidRPr="008B3F38">
              <w:rPr>
                <w:sz w:val="18"/>
                <w:szCs w:val="18"/>
                <w:lang w:val="ru-RU"/>
              </w:rPr>
              <w:t>МСЭ рекомендует закрыть данную рекомендацию.</w:t>
            </w:r>
          </w:p>
        </w:tc>
        <w:tc>
          <w:tcPr>
            <w:tcW w:w="1139" w:type="pct"/>
            <w:gridSpan w:val="2"/>
            <w:shd w:val="clear" w:color="auto" w:fill="auto"/>
          </w:tcPr>
          <w:p w14:paraId="6DA12042" w14:textId="3E5D1E47" w:rsidR="00E006EF" w:rsidRPr="008B3F38" w:rsidRDefault="00E006EF" w:rsidP="00025DC3">
            <w:pPr>
              <w:pStyle w:val="Tabletext"/>
              <w:rPr>
                <w:sz w:val="18"/>
                <w:szCs w:val="18"/>
                <w:lang w:val="ru-RU"/>
              </w:rPr>
            </w:pPr>
            <w:r w:rsidRPr="008B3F38">
              <w:rPr>
                <w:sz w:val="18"/>
                <w:szCs w:val="18"/>
                <w:lang w:val="ru-RU"/>
              </w:rPr>
              <w:t>Мы принимаем к сведению ответ руководства и факт принятия мер в ответ за замечания наших предшественников.</w:t>
            </w:r>
          </w:p>
        </w:tc>
        <w:tc>
          <w:tcPr>
            <w:tcW w:w="440" w:type="pct"/>
            <w:shd w:val="clear" w:color="auto" w:fill="auto"/>
          </w:tcPr>
          <w:p w14:paraId="595F7438" w14:textId="77777777" w:rsidR="00E006EF" w:rsidRPr="008B3F38" w:rsidRDefault="00E006EF" w:rsidP="00025DC3">
            <w:pPr>
              <w:pStyle w:val="Tabletext"/>
              <w:ind w:right="-57"/>
              <w:rPr>
                <w:sz w:val="18"/>
                <w:szCs w:val="18"/>
                <w:lang w:val="ru-RU"/>
              </w:rPr>
            </w:pPr>
            <w:r w:rsidRPr="008B3F38">
              <w:rPr>
                <w:sz w:val="18"/>
                <w:szCs w:val="18"/>
                <w:lang w:val="ru-RU"/>
              </w:rPr>
              <w:t>Закрыта.</w:t>
            </w:r>
          </w:p>
        </w:tc>
      </w:tr>
      <w:tr w:rsidR="00E006EF" w:rsidRPr="008B3F38" w14:paraId="74E1E969" w14:textId="77777777" w:rsidTr="008A2FDE">
        <w:trPr>
          <w:jc w:val="center"/>
        </w:trPr>
        <w:tc>
          <w:tcPr>
            <w:tcW w:w="353" w:type="pct"/>
            <w:shd w:val="clear" w:color="auto" w:fill="auto"/>
          </w:tcPr>
          <w:p w14:paraId="4A2AF005" w14:textId="77777777" w:rsidR="00E006EF" w:rsidRPr="008B3F38" w:rsidRDefault="00E006EF" w:rsidP="00025DC3">
            <w:pPr>
              <w:pStyle w:val="Tabletext"/>
              <w:rPr>
                <w:sz w:val="18"/>
                <w:szCs w:val="18"/>
                <w:lang w:val="ru-RU"/>
              </w:rPr>
            </w:pPr>
            <w:r w:rsidRPr="008B3F38">
              <w:rPr>
                <w:sz w:val="18"/>
                <w:szCs w:val="18"/>
                <w:lang w:val="ru-RU"/>
              </w:rPr>
              <w:t>РЕК10</w:t>
            </w:r>
          </w:p>
        </w:tc>
        <w:tc>
          <w:tcPr>
            <w:tcW w:w="1410" w:type="pct"/>
            <w:gridSpan w:val="2"/>
            <w:shd w:val="clear" w:color="auto" w:fill="auto"/>
          </w:tcPr>
          <w:p w14:paraId="6C46D917" w14:textId="77777777" w:rsidR="00E006EF" w:rsidRPr="008B3F38" w:rsidRDefault="00E006EF" w:rsidP="00025DC3">
            <w:pPr>
              <w:pStyle w:val="Tabletext"/>
              <w:rPr>
                <w:sz w:val="18"/>
                <w:szCs w:val="18"/>
                <w:lang w:val="ru-RU"/>
              </w:rPr>
            </w:pPr>
            <w:r w:rsidRPr="008B3F38">
              <w:rPr>
                <w:sz w:val="18"/>
                <w:szCs w:val="18"/>
                <w:lang w:val="ru-RU"/>
              </w:rPr>
              <w:t>Руководству следует безотлагательно провести дополнительное расследование причин, по которым механизм иерархического контроля оказался столь неэффективен в выявлении мошеннических действий, которые осуществлялись на протяжении нескольких лет. В частности, руководству следует оценить, насколько подобающим было поведение руководителей сотрудника с точки зрения норм должной осмотрительности и управленческих навыков, которые требуются от должностных лиц подобного уровня, и провести расследование по вопросу о том, были ли вовлечены в мошенничество другие люди.</w:t>
            </w:r>
          </w:p>
        </w:tc>
        <w:tc>
          <w:tcPr>
            <w:tcW w:w="1658" w:type="pct"/>
            <w:shd w:val="clear" w:color="auto" w:fill="auto"/>
          </w:tcPr>
          <w:p w14:paraId="7503290F" w14:textId="55078AC2" w:rsidR="00E006EF" w:rsidRPr="008B3F38" w:rsidRDefault="00E006EF" w:rsidP="00025DC3">
            <w:pPr>
              <w:pStyle w:val="Tabletext"/>
              <w:rPr>
                <w:sz w:val="18"/>
                <w:szCs w:val="18"/>
                <w:lang w:val="ru-RU"/>
              </w:rPr>
            </w:pPr>
            <w:r w:rsidRPr="008B3F38">
              <w:rPr>
                <w:sz w:val="18"/>
                <w:szCs w:val="18"/>
                <w:lang w:val="ru-RU"/>
              </w:rPr>
              <w:t>Обновленная информация по состоянию на май</w:t>
            </w:r>
            <w:r w:rsidR="002F050F" w:rsidRPr="008B3F38">
              <w:rPr>
                <w:sz w:val="18"/>
                <w:szCs w:val="18"/>
                <w:lang w:val="ru-RU"/>
              </w:rPr>
              <w:t> </w:t>
            </w:r>
            <w:r w:rsidRPr="008B3F38">
              <w:rPr>
                <w:sz w:val="18"/>
                <w:szCs w:val="18"/>
                <w:lang w:val="ru-RU"/>
              </w:rPr>
              <w:t>2025</w:t>
            </w:r>
            <w:r w:rsidR="004D7A3D" w:rsidRPr="008B3F38">
              <w:rPr>
                <w:sz w:val="18"/>
                <w:szCs w:val="18"/>
                <w:lang w:val="ru-RU"/>
              </w:rPr>
              <w:t> </w:t>
            </w:r>
            <w:r w:rsidRPr="008B3F38">
              <w:rPr>
                <w:sz w:val="18"/>
                <w:szCs w:val="18"/>
                <w:lang w:val="ru-RU"/>
              </w:rPr>
              <w:t>года: В январе 2020 года внешний специалист по расследованиям, нанятый МСЭ, провел расследование, основное внимание в рамках которого было уделено, в частности, 1) выявлению любых системных или индивидуальных недостатков; и/или 2)</w:t>
            </w:r>
            <w:r w:rsidR="002F050F" w:rsidRPr="008B3F38">
              <w:rPr>
                <w:sz w:val="18"/>
                <w:szCs w:val="18"/>
                <w:lang w:val="ru-RU"/>
              </w:rPr>
              <w:t> </w:t>
            </w:r>
            <w:r w:rsidRPr="008B3F38">
              <w:rPr>
                <w:sz w:val="18"/>
                <w:szCs w:val="18"/>
                <w:lang w:val="ru-RU"/>
              </w:rPr>
              <w:t>возможному халатному исполнению руководством своих обязанностей по надзору и контролю за деятельностью Отделения в Бангкоке в связи с делом о мошенничестве. Что касается слабых мест в системе контроля, то этот вопрос был одним из основных в ходе судебно-бухгалтерской экспертизы PwC. Дело было официально передано в правоохранительные органы Таиланда, которые отвечают за расследование уголовного дела в отношении бывшего местного сотрудника и инициирование судебного преследования или мер по взысканию ущерба, если это необходимо.</w:t>
            </w:r>
          </w:p>
          <w:p w14:paraId="154B1F42" w14:textId="77777777" w:rsidR="00E006EF" w:rsidRPr="008B3F38" w:rsidRDefault="00E006EF" w:rsidP="00025DC3">
            <w:pPr>
              <w:pStyle w:val="Tabletext"/>
              <w:rPr>
                <w:sz w:val="18"/>
                <w:szCs w:val="18"/>
                <w:lang w:val="ru-RU"/>
              </w:rPr>
            </w:pPr>
            <w:r w:rsidRPr="008B3F38">
              <w:rPr>
                <w:sz w:val="18"/>
                <w:szCs w:val="18"/>
                <w:lang w:val="ru-RU"/>
              </w:rPr>
              <w:t>Наряду с этим МСЭ осуществляет постоянный контроль за выполнением рекомендаций внутреннего аудита для обеспечения эффективности процесса совершенствования системы контроля и намерен применять полученные знания при осуществлении более широкой деятельности на местах, а также использовать этот случай для внедрения похода к планированию, основанному на оценке рисков, в рамках механизмов внутреннего надзора и аудита МСЭ.</w:t>
            </w:r>
          </w:p>
          <w:p w14:paraId="7DFAF5B9" w14:textId="77777777" w:rsidR="00E006EF" w:rsidRPr="008B3F38" w:rsidRDefault="00E006EF" w:rsidP="00025DC3">
            <w:pPr>
              <w:pStyle w:val="Tabletext"/>
              <w:rPr>
                <w:sz w:val="18"/>
                <w:szCs w:val="18"/>
                <w:lang w:val="ru-RU"/>
              </w:rPr>
            </w:pPr>
            <w:r w:rsidRPr="008B3F38">
              <w:rPr>
                <w:sz w:val="18"/>
                <w:szCs w:val="18"/>
                <w:lang w:val="ru-RU"/>
              </w:rPr>
              <w:t>МСЭ рекомендует закрыть данную рекомендацию.</w:t>
            </w:r>
          </w:p>
        </w:tc>
        <w:tc>
          <w:tcPr>
            <w:tcW w:w="1139" w:type="pct"/>
            <w:gridSpan w:val="2"/>
            <w:shd w:val="clear" w:color="auto" w:fill="auto"/>
          </w:tcPr>
          <w:p w14:paraId="1FB1B6BD" w14:textId="77777777" w:rsidR="00E006EF" w:rsidRPr="008B3F38" w:rsidRDefault="00E006EF" w:rsidP="00025DC3">
            <w:pPr>
              <w:pStyle w:val="Tabletext"/>
              <w:rPr>
                <w:sz w:val="18"/>
                <w:szCs w:val="18"/>
                <w:lang w:val="ru-RU"/>
              </w:rPr>
            </w:pPr>
            <w:r w:rsidRPr="008B3F38">
              <w:rPr>
                <w:sz w:val="18"/>
                <w:szCs w:val="18"/>
                <w:lang w:val="ru-RU"/>
              </w:rPr>
              <w:t>Последний ответ принят к сведению и признан обоснованным. Рекомендация закрыта.</w:t>
            </w:r>
          </w:p>
        </w:tc>
        <w:tc>
          <w:tcPr>
            <w:tcW w:w="440" w:type="pct"/>
            <w:shd w:val="clear" w:color="auto" w:fill="auto"/>
          </w:tcPr>
          <w:p w14:paraId="7FBC464D" w14:textId="77777777" w:rsidR="00E006EF" w:rsidRPr="008B3F38" w:rsidRDefault="00E006EF" w:rsidP="00025DC3">
            <w:pPr>
              <w:pStyle w:val="Tabletext"/>
              <w:ind w:right="-57"/>
              <w:rPr>
                <w:sz w:val="18"/>
                <w:szCs w:val="18"/>
                <w:lang w:val="ru-RU"/>
              </w:rPr>
            </w:pPr>
            <w:r w:rsidRPr="008B3F38">
              <w:rPr>
                <w:sz w:val="18"/>
                <w:szCs w:val="18"/>
                <w:lang w:val="ru-RU"/>
              </w:rPr>
              <w:t>Закрыта.</w:t>
            </w:r>
          </w:p>
        </w:tc>
      </w:tr>
      <w:tr w:rsidR="00E006EF" w:rsidRPr="008B3F38" w14:paraId="25ECF46D" w14:textId="77777777" w:rsidTr="008A2FDE">
        <w:trPr>
          <w:jc w:val="center"/>
        </w:trPr>
        <w:tc>
          <w:tcPr>
            <w:tcW w:w="353" w:type="pct"/>
            <w:shd w:val="clear" w:color="auto" w:fill="auto"/>
          </w:tcPr>
          <w:p w14:paraId="19C461A6" w14:textId="77777777" w:rsidR="00E006EF" w:rsidRPr="008B3F38" w:rsidRDefault="00E006EF" w:rsidP="00025DC3">
            <w:pPr>
              <w:pStyle w:val="Tabletext"/>
              <w:rPr>
                <w:sz w:val="18"/>
                <w:szCs w:val="18"/>
                <w:lang w:val="ru-RU"/>
              </w:rPr>
            </w:pPr>
            <w:r w:rsidRPr="008B3F38">
              <w:rPr>
                <w:sz w:val="18"/>
                <w:szCs w:val="18"/>
                <w:lang w:val="ru-RU"/>
              </w:rPr>
              <w:lastRenderedPageBreak/>
              <w:t>РЕК11</w:t>
            </w:r>
          </w:p>
        </w:tc>
        <w:tc>
          <w:tcPr>
            <w:tcW w:w="1410" w:type="pct"/>
            <w:gridSpan w:val="2"/>
            <w:shd w:val="clear" w:color="auto" w:fill="auto"/>
          </w:tcPr>
          <w:p w14:paraId="1DE2E490" w14:textId="7F118999" w:rsidR="00E006EF" w:rsidRPr="008B3F38" w:rsidRDefault="00E006EF" w:rsidP="00025DC3">
            <w:pPr>
              <w:pStyle w:val="Tabletext"/>
              <w:rPr>
                <w:sz w:val="18"/>
                <w:szCs w:val="18"/>
                <w:lang w:val="ru-RU"/>
              </w:rPr>
            </w:pPr>
            <w:r w:rsidRPr="008B3F38">
              <w:rPr>
                <w:sz w:val="18"/>
                <w:szCs w:val="18"/>
                <w:lang w:val="ru-RU"/>
              </w:rPr>
              <w:t>Руководству следует незамедлительно рассмотреть возможность поручить специализированному "эксперту в области расследований", обладающему независимостью от руководства МСЭ, провести более тщательный анализ. Так, например, могло бы быть целесообразно обратиться в Управление служб внутреннего надзора ООН (УСВН), для того чтобы выяснить, может ли оно напрямую принять участие либо оказать содействие МСЭ в подборе наиболее подходящего специалиста по проведению</w:t>
            </w:r>
            <w:r w:rsidR="002F050F" w:rsidRPr="008B3F38">
              <w:rPr>
                <w:sz w:val="18"/>
                <w:szCs w:val="18"/>
                <w:lang w:val="ru-RU"/>
              </w:rPr>
              <w:t> </w:t>
            </w:r>
            <w:r w:rsidRPr="008B3F38">
              <w:rPr>
                <w:sz w:val="18"/>
                <w:szCs w:val="18"/>
                <w:lang w:val="ru-RU"/>
              </w:rPr>
              <w:t>расследований.</w:t>
            </w:r>
          </w:p>
        </w:tc>
        <w:tc>
          <w:tcPr>
            <w:tcW w:w="1658" w:type="pct"/>
            <w:shd w:val="clear" w:color="auto" w:fill="auto"/>
          </w:tcPr>
          <w:p w14:paraId="24673830" w14:textId="5ED8B927" w:rsidR="00E006EF" w:rsidRPr="008B3F38" w:rsidRDefault="00E006EF" w:rsidP="00025DC3">
            <w:pPr>
              <w:pStyle w:val="Tabletext"/>
              <w:rPr>
                <w:sz w:val="18"/>
                <w:szCs w:val="18"/>
                <w:lang w:val="ru-RU"/>
              </w:rPr>
            </w:pPr>
            <w:r w:rsidRPr="008B3F38">
              <w:rPr>
                <w:sz w:val="18"/>
                <w:szCs w:val="18"/>
                <w:lang w:val="ru-RU"/>
              </w:rPr>
              <w:t>Обновленная информация по состоянию на май 2025 года: В январе 2020 года МСЭ нанял внешнего специалиста по расследованиям для проведения расследования. Углубленная судебно-бухгалтерская экспертиза, проведенная компанией PwC, также включала, в соответствии с кругом ведения PwC, компонент расследования ("При выявлении случаев мошенничества должны быть выпущены отдельные отчеты о расследованиях по каждому случаю").</w:t>
            </w:r>
          </w:p>
          <w:p w14:paraId="26E3550B" w14:textId="3B43EFB3" w:rsidR="00E006EF" w:rsidRPr="008B3F38" w:rsidRDefault="00E006EF" w:rsidP="00025DC3">
            <w:pPr>
              <w:pStyle w:val="Tabletext"/>
              <w:rPr>
                <w:sz w:val="18"/>
                <w:szCs w:val="18"/>
                <w:lang w:val="ru-RU"/>
              </w:rPr>
            </w:pPr>
            <w:r w:rsidRPr="008B3F38">
              <w:rPr>
                <w:sz w:val="18"/>
                <w:szCs w:val="18"/>
                <w:lang w:val="ru-RU"/>
              </w:rPr>
              <w:t>Новая система надзора МСЭ охватывает эти вопросы. Мы</w:t>
            </w:r>
            <w:r w:rsidR="00426DF2" w:rsidRPr="008B3F38">
              <w:rPr>
                <w:sz w:val="18"/>
                <w:szCs w:val="18"/>
                <w:lang w:val="ru-RU"/>
              </w:rPr>
              <w:t> </w:t>
            </w:r>
            <w:r w:rsidRPr="008B3F38">
              <w:rPr>
                <w:sz w:val="18"/>
                <w:szCs w:val="18"/>
                <w:lang w:val="ru-RU"/>
              </w:rPr>
              <w:t>продолжаем изучать возможности дополнения потенциала УСВН; однако МСЭ считает, что эти вопросы уже решены в рамках новой системы.</w:t>
            </w:r>
          </w:p>
          <w:p w14:paraId="7A424509" w14:textId="77777777" w:rsidR="00E006EF" w:rsidRPr="008B3F38" w:rsidRDefault="00E006EF" w:rsidP="00025DC3">
            <w:pPr>
              <w:pStyle w:val="Tabletext"/>
              <w:rPr>
                <w:sz w:val="18"/>
                <w:szCs w:val="18"/>
                <w:lang w:val="ru-RU"/>
              </w:rPr>
            </w:pPr>
            <w:r w:rsidRPr="008B3F38">
              <w:rPr>
                <w:sz w:val="18"/>
                <w:szCs w:val="18"/>
                <w:lang w:val="ru-RU"/>
              </w:rPr>
              <w:t>Выполнена.</w:t>
            </w:r>
          </w:p>
        </w:tc>
        <w:tc>
          <w:tcPr>
            <w:tcW w:w="1139" w:type="pct"/>
            <w:gridSpan w:val="2"/>
            <w:shd w:val="clear" w:color="auto" w:fill="auto"/>
          </w:tcPr>
          <w:p w14:paraId="5B5F5365" w14:textId="77777777" w:rsidR="00E006EF" w:rsidRPr="008B3F38" w:rsidRDefault="00E006EF" w:rsidP="00025DC3">
            <w:pPr>
              <w:pStyle w:val="Tabletext"/>
              <w:rPr>
                <w:sz w:val="18"/>
                <w:szCs w:val="18"/>
                <w:lang w:val="ru-RU"/>
              </w:rPr>
            </w:pPr>
            <w:r w:rsidRPr="008B3F38">
              <w:rPr>
                <w:sz w:val="18"/>
                <w:szCs w:val="18"/>
                <w:lang w:val="ru-RU"/>
              </w:rPr>
              <w:t>Последний ответ принят к сведению и признан обоснованным. Рекомендация закрыта.</w:t>
            </w:r>
          </w:p>
        </w:tc>
        <w:tc>
          <w:tcPr>
            <w:tcW w:w="440" w:type="pct"/>
            <w:shd w:val="clear" w:color="auto" w:fill="auto"/>
          </w:tcPr>
          <w:p w14:paraId="730F1D89" w14:textId="77777777" w:rsidR="00E006EF" w:rsidRPr="008B3F38" w:rsidRDefault="00E006EF" w:rsidP="00025DC3">
            <w:pPr>
              <w:pStyle w:val="Tabletext"/>
              <w:ind w:right="-57"/>
              <w:rPr>
                <w:sz w:val="18"/>
                <w:szCs w:val="18"/>
                <w:lang w:val="ru-RU"/>
              </w:rPr>
            </w:pPr>
            <w:r w:rsidRPr="008B3F38">
              <w:rPr>
                <w:sz w:val="18"/>
                <w:szCs w:val="18"/>
                <w:lang w:val="ru-RU"/>
              </w:rPr>
              <w:t>Закрыта.</w:t>
            </w:r>
          </w:p>
        </w:tc>
      </w:tr>
      <w:tr w:rsidR="00E006EF" w:rsidRPr="008B3F38" w14:paraId="2FE2E1E6" w14:textId="77777777" w:rsidTr="008A2FDE">
        <w:trPr>
          <w:jc w:val="center"/>
        </w:trPr>
        <w:tc>
          <w:tcPr>
            <w:tcW w:w="353" w:type="pct"/>
            <w:shd w:val="clear" w:color="auto" w:fill="auto"/>
          </w:tcPr>
          <w:p w14:paraId="0E69C38E" w14:textId="77777777" w:rsidR="00E006EF" w:rsidRPr="008B3F38" w:rsidRDefault="00E006EF" w:rsidP="00025DC3">
            <w:pPr>
              <w:pStyle w:val="Tabletext"/>
              <w:rPr>
                <w:sz w:val="18"/>
                <w:szCs w:val="18"/>
                <w:lang w:val="ru-RU"/>
              </w:rPr>
            </w:pPr>
            <w:r w:rsidRPr="008B3F38">
              <w:rPr>
                <w:sz w:val="18"/>
                <w:szCs w:val="18"/>
                <w:lang w:val="ru-RU"/>
              </w:rPr>
              <w:t>РЕК12</w:t>
            </w:r>
          </w:p>
        </w:tc>
        <w:tc>
          <w:tcPr>
            <w:tcW w:w="1410" w:type="pct"/>
            <w:gridSpan w:val="2"/>
            <w:shd w:val="clear" w:color="auto" w:fill="auto"/>
          </w:tcPr>
          <w:p w14:paraId="0A7FDCC8" w14:textId="77777777" w:rsidR="00E006EF" w:rsidRPr="008B3F38" w:rsidRDefault="00E006EF" w:rsidP="00025DC3">
            <w:pPr>
              <w:pStyle w:val="Tabletext"/>
              <w:rPr>
                <w:sz w:val="18"/>
                <w:szCs w:val="18"/>
                <w:lang w:val="ru-RU"/>
              </w:rPr>
            </w:pPr>
            <w:r w:rsidRPr="008B3F38">
              <w:rPr>
                <w:sz w:val="18"/>
                <w:szCs w:val="18"/>
                <w:lang w:val="ru-RU"/>
              </w:rPr>
              <w:t>Руководству при пересмотре политики в области противодействия мошенничеству следует рассмотреть возможность скорейшего установления контактов с соответствующим Государством-Членом/донором в целях минимизации финансовых потерь и создания механизма предупреждения дальнейших рисков мошенничества в будущем.</w:t>
            </w:r>
          </w:p>
        </w:tc>
        <w:tc>
          <w:tcPr>
            <w:tcW w:w="1658" w:type="pct"/>
            <w:shd w:val="clear" w:color="auto" w:fill="auto"/>
          </w:tcPr>
          <w:p w14:paraId="66458EFD" w14:textId="5C1762C2" w:rsidR="00E006EF" w:rsidRPr="008B3F38" w:rsidRDefault="00E006EF" w:rsidP="00025DC3">
            <w:pPr>
              <w:pStyle w:val="Tabletext"/>
              <w:rPr>
                <w:sz w:val="18"/>
                <w:szCs w:val="18"/>
                <w:lang w:val="ru-RU"/>
              </w:rPr>
            </w:pPr>
            <w:r w:rsidRPr="008B3F38">
              <w:rPr>
                <w:sz w:val="18"/>
                <w:szCs w:val="18"/>
                <w:lang w:val="ru-RU"/>
              </w:rPr>
              <w:t>МСЭ принимает к сведению Рекомендацию 12. С</w:t>
            </w:r>
            <w:r w:rsidR="004D7A3D" w:rsidRPr="008B3F38">
              <w:rPr>
                <w:sz w:val="18"/>
                <w:szCs w:val="18"/>
                <w:lang w:val="ru-RU"/>
              </w:rPr>
              <w:t> </w:t>
            </w:r>
            <w:r w:rsidRPr="008B3F38">
              <w:rPr>
                <w:sz w:val="18"/>
                <w:szCs w:val="18"/>
                <w:lang w:val="ru-RU"/>
              </w:rPr>
              <w:t>1 апреля 2019 года все вновь подписанные соглашения и соглашения о сотрудничестве, а также проектные документы содержат пункт, предусматривающий, что Стороны должны консультироваться друг с другом по любым вопросам, которые могут возникнуть в связи с мошенническими и коррупционными действиями или конфликтами интересов в отношении проекта. Это</w:t>
            </w:r>
            <w:r w:rsidR="002F050F" w:rsidRPr="008B3F38">
              <w:rPr>
                <w:sz w:val="18"/>
                <w:szCs w:val="18"/>
                <w:lang w:val="ru-RU"/>
              </w:rPr>
              <w:t> </w:t>
            </w:r>
            <w:r w:rsidRPr="008B3F38">
              <w:rPr>
                <w:sz w:val="18"/>
                <w:szCs w:val="18"/>
                <w:lang w:val="ru-RU"/>
              </w:rPr>
              <w:t>позволяет оперативно устанавливать контакт с Государством-Членом и/или донором при соблюдении конфиденциальности и надлежащей правовой процедуры в отношении данного вопроса и отдельных</w:t>
            </w:r>
            <w:r w:rsidR="008A2FDE" w:rsidRPr="008B3F38">
              <w:rPr>
                <w:sz w:val="18"/>
                <w:szCs w:val="18"/>
                <w:lang w:val="ru-RU"/>
              </w:rPr>
              <w:t> </w:t>
            </w:r>
            <w:r w:rsidRPr="008B3F38">
              <w:rPr>
                <w:sz w:val="18"/>
                <w:szCs w:val="18"/>
                <w:lang w:val="ru-RU"/>
              </w:rPr>
              <w:t>лиц.</w:t>
            </w:r>
          </w:p>
          <w:p w14:paraId="158B71CE" w14:textId="28415784" w:rsidR="00E006EF" w:rsidRPr="008B3F38" w:rsidRDefault="00E006EF" w:rsidP="00025DC3">
            <w:pPr>
              <w:pStyle w:val="Tabletext"/>
              <w:rPr>
                <w:sz w:val="18"/>
                <w:szCs w:val="18"/>
                <w:lang w:val="ru-RU"/>
              </w:rPr>
            </w:pPr>
            <w:r w:rsidRPr="008B3F38">
              <w:rPr>
                <w:sz w:val="18"/>
                <w:szCs w:val="18"/>
                <w:lang w:val="ru-RU"/>
              </w:rPr>
              <w:t>Обновленная информация по состоянию на май 2025 года: В соответствии с предложениями Государств-Членов и рекомендациями надзорных органов, а также признанным передовым опытом, в соглашения по проектам были включены новые пункты, касающиеся мошеннической деятельности, а в рамках соглашений о</w:t>
            </w:r>
            <w:r w:rsidR="004D7A3D" w:rsidRPr="008B3F38">
              <w:rPr>
                <w:sz w:val="18"/>
                <w:szCs w:val="18"/>
                <w:lang w:val="ru-RU"/>
              </w:rPr>
              <w:t> </w:t>
            </w:r>
            <w:r w:rsidRPr="008B3F38">
              <w:rPr>
                <w:sz w:val="18"/>
                <w:szCs w:val="18"/>
                <w:lang w:val="ru-RU"/>
              </w:rPr>
              <w:t>сотрудничестве было предусмотрено оказание помощи донорами/Государствами-Членами по этим вопросам.</w:t>
            </w:r>
          </w:p>
          <w:p w14:paraId="2199A2E9" w14:textId="77777777" w:rsidR="00E006EF" w:rsidRPr="008B3F38" w:rsidRDefault="00E006EF" w:rsidP="00025DC3">
            <w:pPr>
              <w:pStyle w:val="Tabletext"/>
              <w:rPr>
                <w:sz w:val="18"/>
                <w:szCs w:val="18"/>
                <w:lang w:val="ru-RU"/>
              </w:rPr>
            </w:pPr>
            <w:r w:rsidRPr="008B3F38">
              <w:rPr>
                <w:sz w:val="18"/>
                <w:szCs w:val="18"/>
                <w:lang w:val="ru-RU"/>
              </w:rPr>
              <w:t>МСЭ рекомендует закрыть данную рекомендацию.</w:t>
            </w:r>
          </w:p>
        </w:tc>
        <w:tc>
          <w:tcPr>
            <w:tcW w:w="1139" w:type="pct"/>
            <w:gridSpan w:val="2"/>
            <w:shd w:val="clear" w:color="auto" w:fill="auto"/>
          </w:tcPr>
          <w:p w14:paraId="1E0B8B87" w14:textId="77777777" w:rsidR="00E006EF" w:rsidRPr="008B3F38" w:rsidRDefault="00E006EF" w:rsidP="00025DC3">
            <w:pPr>
              <w:pStyle w:val="Tabletext"/>
              <w:rPr>
                <w:sz w:val="18"/>
                <w:szCs w:val="18"/>
                <w:lang w:val="ru-RU"/>
              </w:rPr>
            </w:pPr>
            <w:r w:rsidRPr="008B3F38">
              <w:rPr>
                <w:sz w:val="18"/>
                <w:szCs w:val="18"/>
                <w:lang w:val="ru-RU"/>
              </w:rPr>
              <w:t>Закрыта Государственной счетной палатой Италии в ее заключительном отчете (Приложение 5: Документ </w:t>
            </w:r>
            <w:hyperlink r:id="rId32" w:history="1">
              <w:r w:rsidRPr="008B3F38">
                <w:rPr>
                  <w:rStyle w:val="Hyperlink"/>
                  <w:sz w:val="18"/>
                  <w:szCs w:val="18"/>
                  <w:lang w:val="ru-RU"/>
                </w:rPr>
                <w:t>C22/101</w:t>
              </w:r>
            </w:hyperlink>
            <w:r w:rsidRPr="008B3F38">
              <w:rPr>
                <w:sz w:val="18"/>
                <w:szCs w:val="18"/>
                <w:lang w:val="ru-RU"/>
              </w:rPr>
              <w:t>).</w:t>
            </w:r>
          </w:p>
        </w:tc>
        <w:tc>
          <w:tcPr>
            <w:tcW w:w="440" w:type="pct"/>
            <w:shd w:val="clear" w:color="auto" w:fill="auto"/>
          </w:tcPr>
          <w:p w14:paraId="3BF48D70" w14:textId="77777777" w:rsidR="00E006EF" w:rsidRPr="008B3F38" w:rsidRDefault="00E006EF" w:rsidP="00025DC3">
            <w:pPr>
              <w:pStyle w:val="Tabletext"/>
              <w:ind w:right="-57"/>
              <w:rPr>
                <w:sz w:val="18"/>
                <w:szCs w:val="18"/>
                <w:lang w:val="ru-RU"/>
              </w:rPr>
            </w:pPr>
            <w:r w:rsidRPr="008B3F38">
              <w:rPr>
                <w:sz w:val="18"/>
                <w:szCs w:val="18"/>
                <w:lang w:val="ru-RU"/>
              </w:rPr>
              <w:t>Закрыта.</w:t>
            </w:r>
          </w:p>
        </w:tc>
      </w:tr>
      <w:tr w:rsidR="00426DF2" w:rsidRPr="008B3F38" w14:paraId="29752AD0" w14:textId="77777777" w:rsidTr="008A2FDE">
        <w:trPr>
          <w:jc w:val="center"/>
        </w:trPr>
        <w:tc>
          <w:tcPr>
            <w:tcW w:w="353" w:type="pct"/>
            <w:shd w:val="clear" w:color="auto" w:fill="auto"/>
          </w:tcPr>
          <w:p w14:paraId="1DF5446A" w14:textId="77777777" w:rsidR="00426DF2" w:rsidRPr="008B3F38" w:rsidRDefault="00426DF2" w:rsidP="00025DC3">
            <w:pPr>
              <w:pStyle w:val="Tabletext"/>
              <w:rPr>
                <w:sz w:val="18"/>
                <w:szCs w:val="18"/>
                <w:lang w:val="ru-RU"/>
              </w:rPr>
            </w:pPr>
            <w:r w:rsidRPr="008B3F38">
              <w:rPr>
                <w:sz w:val="18"/>
                <w:szCs w:val="18"/>
                <w:lang w:val="ru-RU"/>
              </w:rPr>
              <w:t>РЕК13</w:t>
            </w:r>
          </w:p>
        </w:tc>
        <w:tc>
          <w:tcPr>
            <w:tcW w:w="1410" w:type="pct"/>
            <w:gridSpan w:val="2"/>
            <w:shd w:val="clear" w:color="auto" w:fill="auto"/>
          </w:tcPr>
          <w:p w14:paraId="654E64CE" w14:textId="3DE478B0" w:rsidR="00426DF2" w:rsidRPr="008B3F38" w:rsidRDefault="00426DF2" w:rsidP="00025DC3">
            <w:pPr>
              <w:pStyle w:val="Tabletext"/>
              <w:rPr>
                <w:sz w:val="18"/>
                <w:szCs w:val="18"/>
                <w:lang w:val="ru-RU"/>
              </w:rPr>
            </w:pPr>
            <w:r w:rsidRPr="008B3F38">
              <w:rPr>
                <w:sz w:val="18"/>
                <w:szCs w:val="18"/>
                <w:lang w:val="ru-RU"/>
              </w:rPr>
              <w:t xml:space="preserve">Рекомендуется принять последовательную политику в отношении задействования внутренних экспертов, по крайней мере в </w:t>
            </w:r>
            <w:r w:rsidRPr="008B3F38">
              <w:rPr>
                <w:sz w:val="18"/>
                <w:szCs w:val="18"/>
                <w:lang w:val="ru-RU"/>
              </w:rPr>
              <w:lastRenderedPageBreak/>
              <w:t>рамках одного и того же региона, предполагающую ретроспективную оценку работы, выполненной внутренними</w:t>
            </w:r>
            <w:r w:rsidR="009700E6" w:rsidRPr="008B3F38">
              <w:rPr>
                <w:sz w:val="18"/>
                <w:szCs w:val="18"/>
                <w:lang w:val="ru-RU"/>
              </w:rPr>
              <w:t> </w:t>
            </w:r>
            <w:r w:rsidRPr="008B3F38">
              <w:rPr>
                <w:sz w:val="18"/>
                <w:szCs w:val="18"/>
                <w:lang w:val="ru-RU"/>
              </w:rPr>
              <w:t xml:space="preserve">специалистами. </w:t>
            </w:r>
          </w:p>
        </w:tc>
        <w:tc>
          <w:tcPr>
            <w:tcW w:w="1658" w:type="pct"/>
            <w:shd w:val="clear" w:color="auto" w:fill="auto"/>
          </w:tcPr>
          <w:p w14:paraId="0B7E2BEC" w14:textId="6AEB1438" w:rsidR="00426DF2" w:rsidRPr="008B3F38" w:rsidRDefault="00426DF2" w:rsidP="00025DC3">
            <w:pPr>
              <w:pStyle w:val="Tabletext"/>
              <w:rPr>
                <w:sz w:val="18"/>
                <w:szCs w:val="18"/>
                <w:lang w:val="ru-RU"/>
              </w:rPr>
            </w:pPr>
            <w:r w:rsidRPr="008B3F38">
              <w:rPr>
                <w:sz w:val="18"/>
                <w:szCs w:val="18"/>
                <w:lang w:val="ru-RU"/>
              </w:rPr>
              <w:lastRenderedPageBreak/>
              <w:t xml:space="preserve">Обновленная информация на май 2025 г.: Были введены меры контроля, такие как SOP в области платежей по SSA, призванные обеспечить своевременное закрытие </w:t>
            </w:r>
            <w:r w:rsidRPr="008B3F38">
              <w:rPr>
                <w:sz w:val="18"/>
                <w:szCs w:val="18"/>
                <w:lang w:val="ru-RU"/>
              </w:rPr>
              <w:lastRenderedPageBreak/>
              <w:t>контрактов, которые предполагают подтверждение достижения результатов работы руководителями. С августа 2024 года HRMD/SAS требует, чтобы все руководители, осуществляющие набор персонала, подтверждали выполнение всех результатов работы, перечисленных в круге ведения, до осуществления полной и окончательной оплаты. С января 2025 года подтверждения необходимо загружать в SAP. Кроме того, пересматривается действующая политика в отношении SSA, которая будет опубликована во втором квартале 2025 г. Помимо усовершенствования рабочих процессов в сфере управления SSA, пересмотренная политика по SSA предполагает пересмотр вознаграждений SSA и, в частности, более четкие руководящие принципы в отношении использования и ограничения контрактов на оказание консультационных услуг (например, только один контракт с МСЭ на одно лицо одновременно). Сразу по завершении пересмотра политики будет проведена трансформация всех соответствующих систем и процессов.</w:t>
            </w:r>
          </w:p>
          <w:p w14:paraId="0267C498" w14:textId="77777777" w:rsidR="00426DF2" w:rsidRPr="008B3F38" w:rsidRDefault="00426DF2" w:rsidP="00025DC3">
            <w:pPr>
              <w:pStyle w:val="Tabletext"/>
              <w:rPr>
                <w:sz w:val="18"/>
                <w:szCs w:val="18"/>
                <w:lang w:val="ru-RU"/>
              </w:rPr>
            </w:pPr>
            <w:r w:rsidRPr="008B3F38">
              <w:rPr>
                <w:sz w:val="18"/>
                <w:szCs w:val="18"/>
                <w:lang w:val="ru-RU"/>
              </w:rPr>
              <w:t>МСЭ рекомендует закрыть эту рекомендацию.</w:t>
            </w:r>
          </w:p>
        </w:tc>
        <w:tc>
          <w:tcPr>
            <w:tcW w:w="1137" w:type="pct"/>
            <w:shd w:val="clear" w:color="auto" w:fill="auto"/>
          </w:tcPr>
          <w:p w14:paraId="61EDB61C" w14:textId="183E747E" w:rsidR="00426DF2" w:rsidRPr="008B3F38" w:rsidRDefault="00426DF2" w:rsidP="00025DC3">
            <w:pPr>
              <w:pStyle w:val="Tabletext"/>
              <w:rPr>
                <w:sz w:val="18"/>
                <w:szCs w:val="18"/>
                <w:lang w:val="ru-RU"/>
              </w:rPr>
            </w:pPr>
            <w:r w:rsidRPr="008B3F38">
              <w:rPr>
                <w:sz w:val="18"/>
                <w:szCs w:val="18"/>
                <w:lang w:val="ru-RU"/>
              </w:rPr>
              <w:lastRenderedPageBreak/>
              <w:t xml:space="preserve">Последний ответ принят к сведению и признан обоснованным; при этом отмечается, что предпринимаются </w:t>
            </w:r>
            <w:r w:rsidRPr="008B3F38">
              <w:rPr>
                <w:sz w:val="18"/>
                <w:szCs w:val="18"/>
                <w:lang w:val="ru-RU"/>
              </w:rPr>
              <w:lastRenderedPageBreak/>
              <w:t>некоторые завершающие действия по обновлению политики. Рекомендация</w:t>
            </w:r>
            <w:r w:rsidR="009700E6" w:rsidRPr="008B3F38">
              <w:rPr>
                <w:sz w:val="18"/>
                <w:szCs w:val="18"/>
                <w:lang w:val="ru-RU"/>
              </w:rPr>
              <w:t> </w:t>
            </w:r>
            <w:r w:rsidRPr="008B3F38">
              <w:rPr>
                <w:sz w:val="18"/>
                <w:szCs w:val="18"/>
                <w:lang w:val="ru-RU"/>
              </w:rPr>
              <w:t>закрыта.</w:t>
            </w:r>
          </w:p>
        </w:tc>
        <w:tc>
          <w:tcPr>
            <w:tcW w:w="442" w:type="pct"/>
            <w:gridSpan w:val="2"/>
            <w:shd w:val="clear" w:color="auto" w:fill="auto"/>
          </w:tcPr>
          <w:p w14:paraId="77704788" w14:textId="77777777" w:rsidR="00426DF2" w:rsidRPr="008B3F38" w:rsidRDefault="00426DF2" w:rsidP="00025DC3">
            <w:pPr>
              <w:pStyle w:val="Tabletext"/>
              <w:ind w:right="-57"/>
              <w:rPr>
                <w:sz w:val="18"/>
                <w:szCs w:val="18"/>
                <w:lang w:val="ru-RU"/>
              </w:rPr>
            </w:pPr>
            <w:r w:rsidRPr="008B3F38">
              <w:rPr>
                <w:sz w:val="18"/>
                <w:szCs w:val="18"/>
                <w:lang w:val="ru-RU"/>
              </w:rPr>
              <w:lastRenderedPageBreak/>
              <w:t>Закрыта.</w:t>
            </w:r>
          </w:p>
        </w:tc>
      </w:tr>
      <w:tr w:rsidR="00426DF2" w:rsidRPr="008B3F38" w14:paraId="24ED845B" w14:textId="77777777" w:rsidTr="008A2FDE">
        <w:trPr>
          <w:jc w:val="center"/>
        </w:trPr>
        <w:tc>
          <w:tcPr>
            <w:tcW w:w="353" w:type="pct"/>
            <w:shd w:val="clear" w:color="auto" w:fill="auto"/>
          </w:tcPr>
          <w:p w14:paraId="0EF83187" w14:textId="77777777" w:rsidR="00426DF2" w:rsidRPr="008B3F38" w:rsidRDefault="00426DF2" w:rsidP="00025DC3">
            <w:pPr>
              <w:pStyle w:val="Tabletext"/>
              <w:rPr>
                <w:sz w:val="18"/>
                <w:szCs w:val="18"/>
                <w:lang w:val="ru-RU"/>
              </w:rPr>
            </w:pPr>
            <w:r w:rsidRPr="008B3F38">
              <w:rPr>
                <w:sz w:val="18"/>
                <w:szCs w:val="18"/>
                <w:lang w:val="ru-RU"/>
              </w:rPr>
              <w:t>РЕК14</w:t>
            </w:r>
          </w:p>
        </w:tc>
        <w:tc>
          <w:tcPr>
            <w:tcW w:w="1410" w:type="pct"/>
            <w:gridSpan w:val="2"/>
            <w:shd w:val="clear" w:color="auto" w:fill="auto"/>
          </w:tcPr>
          <w:p w14:paraId="6290B1DA" w14:textId="77777777" w:rsidR="00426DF2" w:rsidRPr="008B3F38" w:rsidRDefault="00426DF2" w:rsidP="00025DC3">
            <w:pPr>
              <w:pStyle w:val="Tabletext"/>
              <w:rPr>
                <w:sz w:val="18"/>
                <w:szCs w:val="18"/>
                <w:lang w:val="ru-RU"/>
              </w:rPr>
            </w:pPr>
            <w:r w:rsidRPr="008B3F38">
              <w:rPr>
                <w:sz w:val="18"/>
                <w:szCs w:val="18"/>
                <w:lang w:val="ru-RU"/>
              </w:rPr>
              <w:t>Рекомендуется ввести предварительную проверку экспертов реестра, за которую будет отвечать ограниченный круг лиц, а также периодическую повторную оценку. Кроме того, следует рассмотреть вопрос об оценке качества выполняемых работ, причем проведение такой оценки ни при каких обстоятельствах не следует поручать тем лицам, которые принимали участие в процессе отбора.</w:t>
            </w:r>
          </w:p>
        </w:tc>
        <w:tc>
          <w:tcPr>
            <w:tcW w:w="1658" w:type="pct"/>
            <w:shd w:val="clear" w:color="auto" w:fill="auto"/>
          </w:tcPr>
          <w:p w14:paraId="6403DFAB" w14:textId="77777777" w:rsidR="00426DF2" w:rsidRPr="008B3F38" w:rsidRDefault="00426DF2" w:rsidP="00025DC3">
            <w:pPr>
              <w:pStyle w:val="Tabletext"/>
              <w:rPr>
                <w:sz w:val="18"/>
                <w:szCs w:val="18"/>
                <w:lang w:val="ru-RU"/>
              </w:rPr>
            </w:pPr>
            <w:r w:rsidRPr="008B3F38">
              <w:rPr>
                <w:sz w:val="18"/>
                <w:szCs w:val="18"/>
                <w:lang w:val="ru-RU"/>
              </w:rPr>
              <w:t xml:space="preserve">Обновленная информация на май 2025 г.: Осуществлена "очистка" имеющегося реестра, упомянутого в первоначальном замечании, включая различные проверки документов об образовании и рекомендаций; БРЭ также упорядочило и оптимизировало процесс найма на основе SSA, повысив контроль за конфликтом интересов. В части аттестации сотрудников в 2024 году было произведено дополнительное укрепление системы контроля, при этом все руководители, осуществляющие набор персонала, должны были подтверждать выполнение всех результатов работы, перечисленных в круге ведения, до осуществления полной и окончательной оплаты. С января 2025 года подтверждения необходимо загружать в SAP. Одновременно было разработано новое руководство по конфликтам интересов для SSA, применимое ко всем лицам, имеющим контракты SSA, для содействия обязательному заявлению и мониторингу фактических или потенциальных конфликтов. Обязательная </w:t>
            </w:r>
            <w:r w:rsidRPr="008B3F38">
              <w:rPr>
                <w:sz w:val="18"/>
                <w:szCs w:val="18"/>
                <w:lang w:val="ru-RU"/>
              </w:rPr>
              <w:lastRenderedPageBreak/>
              <w:t>декларация подается в онлайновой форме, а ее копии автоматически направляются в Управление по вопросам этики и HRMD.</w:t>
            </w:r>
          </w:p>
          <w:p w14:paraId="03A89D68" w14:textId="77777777" w:rsidR="00426DF2" w:rsidRPr="008B3F38" w:rsidRDefault="00426DF2" w:rsidP="00025DC3">
            <w:pPr>
              <w:pStyle w:val="Tabletext"/>
              <w:rPr>
                <w:sz w:val="18"/>
                <w:szCs w:val="18"/>
                <w:lang w:val="ru-RU"/>
              </w:rPr>
            </w:pPr>
            <w:r w:rsidRPr="008B3F38">
              <w:rPr>
                <w:sz w:val="18"/>
                <w:szCs w:val="18"/>
                <w:lang w:val="ru-RU"/>
              </w:rPr>
              <w:t xml:space="preserve">МСЭ рекомендует закрыть эту рекомендацию. </w:t>
            </w:r>
          </w:p>
        </w:tc>
        <w:tc>
          <w:tcPr>
            <w:tcW w:w="1137" w:type="pct"/>
            <w:shd w:val="clear" w:color="auto" w:fill="auto"/>
          </w:tcPr>
          <w:p w14:paraId="76AB630A" w14:textId="7DCAFD85" w:rsidR="00426DF2" w:rsidRPr="008B3F38" w:rsidRDefault="00426DF2" w:rsidP="00025DC3">
            <w:pPr>
              <w:pStyle w:val="Tabletext"/>
              <w:rPr>
                <w:sz w:val="18"/>
                <w:szCs w:val="18"/>
                <w:lang w:val="ru-RU"/>
              </w:rPr>
            </w:pPr>
            <w:r w:rsidRPr="008B3F38">
              <w:rPr>
                <w:sz w:val="18"/>
                <w:szCs w:val="18"/>
                <w:lang w:val="ru-RU"/>
              </w:rPr>
              <w:lastRenderedPageBreak/>
              <w:t>Последний ответ принят к сведению и признан обоснованным; при этом отмечается, что предпринимаются некоторые завершающие действия по обновлению политики. Рекомендация</w:t>
            </w:r>
            <w:r w:rsidR="00EE2030" w:rsidRPr="008B3F38">
              <w:rPr>
                <w:sz w:val="18"/>
                <w:szCs w:val="18"/>
                <w:lang w:val="ru-RU"/>
              </w:rPr>
              <w:t> </w:t>
            </w:r>
            <w:r w:rsidRPr="008B3F38">
              <w:rPr>
                <w:sz w:val="18"/>
                <w:szCs w:val="18"/>
                <w:lang w:val="ru-RU"/>
              </w:rPr>
              <w:t xml:space="preserve">закрыта. </w:t>
            </w:r>
          </w:p>
        </w:tc>
        <w:tc>
          <w:tcPr>
            <w:tcW w:w="442" w:type="pct"/>
            <w:gridSpan w:val="2"/>
            <w:shd w:val="clear" w:color="auto" w:fill="auto"/>
          </w:tcPr>
          <w:p w14:paraId="280362AE" w14:textId="77777777" w:rsidR="00426DF2" w:rsidRPr="008B3F38" w:rsidRDefault="00426DF2" w:rsidP="00025DC3">
            <w:pPr>
              <w:pStyle w:val="Tabletext"/>
              <w:ind w:right="-57"/>
              <w:rPr>
                <w:sz w:val="18"/>
                <w:szCs w:val="18"/>
                <w:lang w:val="ru-RU"/>
              </w:rPr>
            </w:pPr>
            <w:r w:rsidRPr="008B3F38">
              <w:rPr>
                <w:sz w:val="18"/>
                <w:szCs w:val="18"/>
                <w:lang w:val="ru-RU"/>
              </w:rPr>
              <w:t>Закрыта.</w:t>
            </w:r>
          </w:p>
        </w:tc>
      </w:tr>
      <w:tr w:rsidR="00426DF2" w:rsidRPr="008B3F38" w14:paraId="3B64F33E" w14:textId="77777777" w:rsidTr="008A2FDE">
        <w:trPr>
          <w:jc w:val="center"/>
        </w:trPr>
        <w:tc>
          <w:tcPr>
            <w:tcW w:w="353" w:type="pct"/>
            <w:shd w:val="clear" w:color="auto" w:fill="auto"/>
          </w:tcPr>
          <w:p w14:paraId="46FB540D" w14:textId="77777777" w:rsidR="00426DF2" w:rsidRPr="008B3F38" w:rsidRDefault="00426DF2" w:rsidP="00025DC3">
            <w:pPr>
              <w:pStyle w:val="Tabletext"/>
              <w:rPr>
                <w:sz w:val="18"/>
                <w:szCs w:val="18"/>
                <w:lang w:val="ru-RU"/>
              </w:rPr>
            </w:pPr>
            <w:r w:rsidRPr="008B3F38">
              <w:rPr>
                <w:sz w:val="18"/>
                <w:szCs w:val="18"/>
                <w:lang w:val="ru-RU"/>
              </w:rPr>
              <w:t>РЕК15</w:t>
            </w:r>
          </w:p>
        </w:tc>
        <w:tc>
          <w:tcPr>
            <w:tcW w:w="1410" w:type="pct"/>
            <w:gridSpan w:val="2"/>
            <w:shd w:val="clear" w:color="auto" w:fill="auto"/>
          </w:tcPr>
          <w:p w14:paraId="32D44B05" w14:textId="3B72B3A3" w:rsidR="00426DF2" w:rsidRPr="008B3F38" w:rsidRDefault="00426DF2" w:rsidP="00025DC3">
            <w:pPr>
              <w:pStyle w:val="Tabletext"/>
              <w:rPr>
                <w:sz w:val="18"/>
                <w:szCs w:val="18"/>
                <w:lang w:val="ru-RU"/>
              </w:rPr>
            </w:pPr>
            <w:r w:rsidRPr="008B3F38">
              <w:rPr>
                <w:sz w:val="18"/>
                <w:szCs w:val="18"/>
                <w:lang w:val="ru-RU"/>
              </w:rPr>
              <w:t>Рекомендуется осуществлять периодическую ротацию руководителей проектов. Во избежание возникновения конфликтов интересов МСЭ мог бы также рассмотреть вопрос о недопущении того, чтобы руководители проектов имели гражданство соответствующей страны-бенефициара (это</w:t>
            </w:r>
            <w:r w:rsidR="00EE2030" w:rsidRPr="008B3F38">
              <w:rPr>
                <w:sz w:val="18"/>
                <w:szCs w:val="18"/>
                <w:lang w:val="ru-RU"/>
              </w:rPr>
              <w:t> </w:t>
            </w:r>
            <w:r w:rsidRPr="008B3F38">
              <w:rPr>
                <w:sz w:val="18"/>
                <w:szCs w:val="18"/>
                <w:lang w:val="ru-RU"/>
              </w:rPr>
              <w:t>может быть страна, где они работали до того, как начали работать в МСЭ).</w:t>
            </w:r>
          </w:p>
        </w:tc>
        <w:tc>
          <w:tcPr>
            <w:tcW w:w="1658" w:type="pct"/>
            <w:shd w:val="clear" w:color="auto" w:fill="auto"/>
          </w:tcPr>
          <w:p w14:paraId="154EBF8F" w14:textId="65F21C6E" w:rsidR="00426DF2" w:rsidRPr="008B3F38" w:rsidRDefault="00426DF2" w:rsidP="00025DC3">
            <w:pPr>
              <w:pStyle w:val="Tabletext"/>
              <w:rPr>
                <w:sz w:val="18"/>
                <w:szCs w:val="18"/>
                <w:lang w:val="ru-RU"/>
              </w:rPr>
            </w:pPr>
            <w:r w:rsidRPr="008B3F38">
              <w:rPr>
                <w:sz w:val="18"/>
                <w:szCs w:val="18"/>
                <w:lang w:val="ru-RU"/>
              </w:rPr>
              <w:t>Обновленная информация на май 2025 года: Введено в 2020 году служебным приказом 20/14, в котором была представлена структура мобильности, предусматривающая краткосрочные назначения. Рассматривается вопрос дополнительного усовершенствования в целях выполнения последующих рекомендаций Внешних аудиторов, которые были представлены в 2021 и 2022 годах, а именно Рек. 14/2021 (FS) и Рек. 17-18/2022 (Спец. отчет Внешнего аудитора о</w:t>
            </w:r>
            <w:r w:rsidR="00585EEA" w:rsidRPr="008B3F38">
              <w:rPr>
                <w:sz w:val="18"/>
                <w:szCs w:val="18"/>
                <w:lang w:val="ru-RU"/>
              </w:rPr>
              <w:t> </w:t>
            </w:r>
            <w:r w:rsidRPr="008B3F38">
              <w:rPr>
                <w:sz w:val="18"/>
                <w:szCs w:val="18"/>
                <w:lang w:val="ru-RU"/>
              </w:rPr>
              <w:t>деятельности Регионального отделения для Северной и Южной Америки). В рамках инициативы по трансформации рассматривается вопрос о внедрении более всеобъемлющей структуры мобильности. От этого будет зависеть, сможем ли мы в полной мере выполнить данную рекомендацию. МСЭ будет отслеживать и пытаться устранить проблему, связанную с работой сотрудников категории специалистов в стране их гражданства (родной стране), на уровне процесса набора</w:t>
            </w:r>
            <w:r w:rsidR="00EE2030" w:rsidRPr="008B3F38">
              <w:rPr>
                <w:sz w:val="18"/>
                <w:szCs w:val="18"/>
                <w:lang w:val="ru-RU"/>
              </w:rPr>
              <w:t> </w:t>
            </w:r>
            <w:r w:rsidRPr="008B3F38">
              <w:rPr>
                <w:sz w:val="18"/>
                <w:szCs w:val="18"/>
                <w:lang w:val="ru-RU"/>
              </w:rPr>
              <w:t>персонала.</w:t>
            </w:r>
          </w:p>
          <w:p w14:paraId="09178208" w14:textId="77777777" w:rsidR="00426DF2" w:rsidRPr="008B3F38" w:rsidRDefault="00426DF2" w:rsidP="00025DC3">
            <w:pPr>
              <w:pStyle w:val="Tabletext"/>
              <w:rPr>
                <w:sz w:val="18"/>
                <w:szCs w:val="18"/>
                <w:lang w:val="ru-RU"/>
              </w:rPr>
            </w:pPr>
            <w:r w:rsidRPr="008B3F38">
              <w:rPr>
                <w:sz w:val="18"/>
                <w:szCs w:val="18"/>
                <w:lang w:val="ru-RU"/>
              </w:rPr>
              <w:t>МСЭ рекомендует закрыть эту рекомендацию.</w:t>
            </w:r>
          </w:p>
        </w:tc>
        <w:tc>
          <w:tcPr>
            <w:tcW w:w="1137" w:type="pct"/>
            <w:shd w:val="clear" w:color="auto" w:fill="auto"/>
          </w:tcPr>
          <w:p w14:paraId="65E41F68" w14:textId="02D2A67C" w:rsidR="00426DF2" w:rsidRPr="008B3F38" w:rsidRDefault="00426DF2" w:rsidP="00025DC3">
            <w:pPr>
              <w:pStyle w:val="Tabletext"/>
              <w:rPr>
                <w:sz w:val="18"/>
                <w:szCs w:val="18"/>
                <w:lang w:val="ru-RU"/>
              </w:rPr>
            </w:pPr>
            <w:r w:rsidRPr="008B3F38">
              <w:rPr>
                <w:sz w:val="18"/>
                <w:szCs w:val="18"/>
                <w:lang w:val="ru-RU"/>
              </w:rPr>
              <w:t>Последний ответ принят к сведению. Учитывая, что соответствующие рекомендации, касающиеся мобильности, продолжают выполняться, данная рекомендация</w:t>
            </w:r>
            <w:r w:rsidR="00EE2030" w:rsidRPr="008B3F38">
              <w:rPr>
                <w:sz w:val="18"/>
                <w:szCs w:val="18"/>
                <w:lang w:val="ru-RU"/>
              </w:rPr>
              <w:t> </w:t>
            </w:r>
            <w:r w:rsidRPr="008B3F38">
              <w:rPr>
                <w:sz w:val="18"/>
                <w:szCs w:val="18"/>
                <w:lang w:val="ru-RU"/>
              </w:rPr>
              <w:t>закрывается.</w:t>
            </w:r>
          </w:p>
        </w:tc>
        <w:tc>
          <w:tcPr>
            <w:tcW w:w="442" w:type="pct"/>
            <w:gridSpan w:val="2"/>
            <w:shd w:val="clear" w:color="auto" w:fill="auto"/>
          </w:tcPr>
          <w:p w14:paraId="7B95C2F4" w14:textId="77777777" w:rsidR="00426DF2" w:rsidRPr="008B3F38" w:rsidRDefault="00426DF2" w:rsidP="00025DC3">
            <w:pPr>
              <w:pStyle w:val="Tabletext"/>
              <w:ind w:right="-57"/>
              <w:rPr>
                <w:sz w:val="18"/>
                <w:szCs w:val="18"/>
                <w:lang w:val="ru-RU"/>
              </w:rPr>
            </w:pPr>
            <w:r w:rsidRPr="008B3F38">
              <w:rPr>
                <w:sz w:val="18"/>
                <w:szCs w:val="18"/>
                <w:lang w:val="ru-RU"/>
              </w:rPr>
              <w:t>Закрыта.</w:t>
            </w:r>
          </w:p>
        </w:tc>
      </w:tr>
      <w:tr w:rsidR="00426DF2" w:rsidRPr="008B3F38" w14:paraId="3EB84664" w14:textId="77777777" w:rsidTr="008A2FDE">
        <w:trPr>
          <w:jc w:val="center"/>
        </w:trPr>
        <w:tc>
          <w:tcPr>
            <w:tcW w:w="353" w:type="pct"/>
            <w:shd w:val="clear" w:color="auto" w:fill="auto"/>
          </w:tcPr>
          <w:p w14:paraId="2AD45AE1" w14:textId="77777777" w:rsidR="00426DF2" w:rsidRPr="008B3F38" w:rsidRDefault="00426DF2" w:rsidP="00025DC3">
            <w:pPr>
              <w:pStyle w:val="Tabletext"/>
              <w:rPr>
                <w:sz w:val="18"/>
                <w:szCs w:val="18"/>
                <w:lang w:val="ru-RU"/>
              </w:rPr>
            </w:pPr>
            <w:r w:rsidRPr="008B3F38">
              <w:rPr>
                <w:sz w:val="18"/>
                <w:szCs w:val="18"/>
                <w:lang w:val="ru-RU"/>
              </w:rPr>
              <w:t>РЕК16</w:t>
            </w:r>
          </w:p>
        </w:tc>
        <w:tc>
          <w:tcPr>
            <w:tcW w:w="1410" w:type="pct"/>
            <w:gridSpan w:val="2"/>
            <w:shd w:val="clear" w:color="auto" w:fill="auto"/>
          </w:tcPr>
          <w:p w14:paraId="2FAF3CE9" w14:textId="77777777" w:rsidR="00426DF2" w:rsidRPr="008B3F38" w:rsidRDefault="00426DF2" w:rsidP="00025DC3">
            <w:pPr>
              <w:pStyle w:val="Tabletext"/>
              <w:rPr>
                <w:sz w:val="18"/>
                <w:szCs w:val="18"/>
                <w:lang w:val="ru-RU"/>
              </w:rPr>
            </w:pPr>
            <w:r w:rsidRPr="008B3F38">
              <w:rPr>
                <w:sz w:val="18"/>
                <w:szCs w:val="18"/>
                <w:lang w:val="ru-RU"/>
              </w:rPr>
              <w:t>Рекомендуется пересмотреть роль директоров региональных отделений в надзоре за осуществлением проектов и инициатив и в управлении финансовыми ресурсами на местном уровне.</w:t>
            </w:r>
          </w:p>
        </w:tc>
        <w:tc>
          <w:tcPr>
            <w:tcW w:w="1658" w:type="pct"/>
            <w:shd w:val="clear" w:color="auto" w:fill="auto"/>
          </w:tcPr>
          <w:p w14:paraId="70C081F2" w14:textId="77777777" w:rsidR="00426DF2" w:rsidRPr="008B3F38" w:rsidRDefault="00426DF2" w:rsidP="00025DC3">
            <w:pPr>
              <w:pStyle w:val="Tabletext"/>
              <w:rPr>
                <w:sz w:val="18"/>
                <w:szCs w:val="18"/>
                <w:lang w:val="ru-RU"/>
              </w:rPr>
            </w:pPr>
            <w:r w:rsidRPr="008B3F38">
              <w:rPr>
                <w:sz w:val="18"/>
                <w:szCs w:val="18"/>
                <w:lang w:val="ru-RU"/>
              </w:rPr>
              <w:t>Обновленная информация на май 2025 г.: В начале срока действия своего мандата в соответствии с представленным в соседнем тексте первоначальным замечанием Генеральный секретарь обеспечила пересмотр должностных инструкций директоров региональных отделений в целях совершенствования надзора и подотчетности со стороны руководства, а также средств внутреннего контроля.</w:t>
            </w:r>
          </w:p>
          <w:p w14:paraId="24460FCF" w14:textId="6B662F01" w:rsidR="00426DF2" w:rsidRPr="008B3F38" w:rsidRDefault="00426DF2" w:rsidP="00025DC3">
            <w:pPr>
              <w:pStyle w:val="Tabletext"/>
              <w:rPr>
                <w:sz w:val="18"/>
                <w:szCs w:val="18"/>
                <w:lang w:val="ru-RU"/>
              </w:rPr>
            </w:pPr>
            <w:r w:rsidRPr="008B3F38">
              <w:rPr>
                <w:sz w:val="18"/>
                <w:szCs w:val="18"/>
                <w:lang w:val="ru-RU"/>
              </w:rPr>
              <w:t>Была также была более четко определена роль директоров региональных отделений в отношении управления проектами благодаря принятию на уровне БРЭ Руководства по управлению проектами.</w:t>
            </w:r>
          </w:p>
          <w:p w14:paraId="2ED94B72" w14:textId="77777777" w:rsidR="00426DF2" w:rsidRPr="008B3F38" w:rsidRDefault="00426DF2" w:rsidP="00025DC3">
            <w:pPr>
              <w:pStyle w:val="Tabletext"/>
              <w:rPr>
                <w:sz w:val="18"/>
                <w:szCs w:val="18"/>
                <w:lang w:val="ru-RU"/>
              </w:rPr>
            </w:pPr>
            <w:r w:rsidRPr="008B3F38">
              <w:rPr>
                <w:sz w:val="18"/>
                <w:szCs w:val="18"/>
                <w:lang w:val="ru-RU"/>
              </w:rPr>
              <w:t xml:space="preserve">В частности, были пересмотрены должностные инструкции директоров региональных отделений для регионов АТР и АФР, и впоследствии в них был включен </w:t>
            </w:r>
            <w:r w:rsidRPr="008B3F38">
              <w:rPr>
                <w:sz w:val="18"/>
                <w:szCs w:val="18"/>
                <w:lang w:val="ru-RU"/>
              </w:rPr>
              <w:lastRenderedPageBreak/>
              <w:t>следующий текст: "Руководство созданием концепции, разработкой и осуществлением проектов, направленных на поддержку региональной программы работы и региональных инициатив; обеспечение четкой формулировки всех проектов, распределение ролей и обязанностей, четкое определение конечных результатов и сроков; а также работа с правительствами, учреждениями-донорами, региональными и международными организациями и частным сектором в целях сотрудничества и поддержки этих проектов".</w:t>
            </w:r>
          </w:p>
          <w:p w14:paraId="613026AF" w14:textId="77777777" w:rsidR="00426DF2" w:rsidRPr="008B3F38" w:rsidRDefault="00426DF2" w:rsidP="00025DC3">
            <w:pPr>
              <w:pStyle w:val="Tabletext"/>
              <w:rPr>
                <w:sz w:val="18"/>
                <w:szCs w:val="18"/>
                <w:lang w:val="ru-RU"/>
              </w:rPr>
            </w:pPr>
            <w:r w:rsidRPr="008B3F38">
              <w:rPr>
                <w:sz w:val="18"/>
                <w:szCs w:val="18"/>
                <w:lang w:val="ru-RU"/>
              </w:rPr>
              <w:t>МСЭ рекомендует закрыть эту рекомендацию.</w:t>
            </w:r>
          </w:p>
        </w:tc>
        <w:tc>
          <w:tcPr>
            <w:tcW w:w="1137" w:type="pct"/>
            <w:shd w:val="clear" w:color="auto" w:fill="auto"/>
          </w:tcPr>
          <w:p w14:paraId="0F48F25A" w14:textId="05536569" w:rsidR="00426DF2" w:rsidRPr="008B3F38" w:rsidRDefault="00426DF2" w:rsidP="00025DC3">
            <w:pPr>
              <w:pStyle w:val="Tabletext"/>
              <w:rPr>
                <w:sz w:val="18"/>
                <w:szCs w:val="18"/>
                <w:lang w:val="ru-RU"/>
              </w:rPr>
            </w:pPr>
            <w:r w:rsidRPr="008B3F38">
              <w:rPr>
                <w:sz w:val="18"/>
                <w:szCs w:val="18"/>
                <w:lang w:val="ru-RU"/>
              </w:rPr>
              <w:lastRenderedPageBreak/>
              <w:t>Последний ответ принят к сведению. В первой и второй частях настоящего отчета мы представили соответствующие наблюдения и рекомендации, касающиеся делегирования полномочий и управления проектами. В связи с этим данная Рекомендация заменяется</w:t>
            </w:r>
            <w:r w:rsidR="006E4D5F" w:rsidRPr="008B3F38">
              <w:rPr>
                <w:sz w:val="18"/>
                <w:szCs w:val="18"/>
                <w:lang w:val="ru-RU"/>
              </w:rPr>
              <w:t> </w:t>
            </w:r>
            <w:r w:rsidRPr="008B3F38">
              <w:rPr>
                <w:sz w:val="18"/>
                <w:szCs w:val="18"/>
                <w:lang w:val="ru-RU"/>
              </w:rPr>
              <w:t>и</w:t>
            </w:r>
            <w:r w:rsidR="006E4D5F" w:rsidRPr="008B3F38">
              <w:rPr>
                <w:sz w:val="18"/>
                <w:szCs w:val="18"/>
                <w:lang w:val="ru-RU"/>
              </w:rPr>
              <w:t> </w:t>
            </w:r>
            <w:r w:rsidRPr="008B3F38">
              <w:rPr>
                <w:sz w:val="18"/>
                <w:szCs w:val="18"/>
                <w:lang w:val="ru-RU"/>
              </w:rPr>
              <w:t>закрывается.</w:t>
            </w:r>
          </w:p>
        </w:tc>
        <w:tc>
          <w:tcPr>
            <w:tcW w:w="442" w:type="pct"/>
            <w:gridSpan w:val="2"/>
            <w:shd w:val="clear" w:color="auto" w:fill="auto"/>
          </w:tcPr>
          <w:p w14:paraId="7C8613F3" w14:textId="77777777" w:rsidR="00426DF2" w:rsidRPr="008B3F38" w:rsidRDefault="00426DF2" w:rsidP="00025DC3">
            <w:pPr>
              <w:pStyle w:val="Tabletext"/>
              <w:ind w:right="-57"/>
              <w:rPr>
                <w:sz w:val="18"/>
                <w:szCs w:val="18"/>
                <w:lang w:val="ru-RU"/>
              </w:rPr>
            </w:pPr>
            <w:r w:rsidRPr="008B3F38">
              <w:rPr>
                <w:sz w:val="18"/>
                <w:szCs w:val="18"/>
                <w:lang w:val="ru-RU"/>
              </w:rPr>
              <w:t>Закрыта.</w:t>
            </w:r>
          </w:p>
        </w:tc>
      </w:tr>
      <w:tr w:rsidR="00426DF2" w:rsidRPr="007D30B5" w14:paraId="19C6FD81" w14:textId="77777777" w:rsidTr="008A2FDE">
        <w:trPr>
          <w:jc w:val="center"/>
        </w:trPr>
        <w:tc>
          <w:tcPr>
            <w:tcW w:w="5000" w:type="pct"/>
            <w:gridSpan w:val="7"/>
            <w:shd w:val="clear" w:color="auto" w:fill="auto"/>
          </w:tcPr>
          <w:p w14:paraId="3E714092" w14:textId="7EFCE6D3" w:rsidR="00426DF2" w:rsidRPr="008B3F38" w:rsidRDefault="00426DF2" w:rsidP="00025DC3">
            <w:pPr>
              <w:pStyle w:val="Tablehead"/>
              <w:keepNext w:val="0"/>
              <w:spacing w:before="120" w:after="120"/>
              <w:jc w:val="left"/>
              <w:rPr>
                <w:lang w:val="ru-RU"/>
              </w:rPr>
            </w:pPr>
            <w:r w:rsidRPr="008B3F38">
              <w:rPr>
                <w:lang w:val="ru-RU"/>
              </w:rPr>
              <w:t xml:space="preserve">Специальный отчет </w:t>
            </w:r>
            <w:r w:rsidRPr="008B3F38">
              <w:rPr>
                <w:b w:val="0"/>
                <w:bCs/>
                <w:lang w:val="ru-RU"/>
              </w:rPr>
              <w:t>"</w:t>
            </w:r>
            <w:r w:rsidRPr="008B3F38">
              <w:rPr>
                <w:lang w:val="ru-RU"/>
              </w:rPr>
              <w:t>Укрепление регионального присутствия</w:t>
            </w:r>
            <w:r w:rsidRPr="008B3F38">
              <w:rPr>
                <w:b w:val="0"/>
                <w:bCs/>
                <w:lang w:val="ru-RU"/>
              </w:rPr>
              <w:t>"</w:t>
            </w:r>
          </w:p>
        </w:tc>
      </w:tr>
      <w:tr w:rsidR="00426DF2" w:rsidRPr="008B3F38" w14:paraId="46AB1522" w14:textId="77777777" w:rsidTr="008A2FDE">
        <w:trPr>
          <w:jc w:val="center"/>
        </w:trPr>
        <w:tc>
          <w:tcPr>
            <w:tcW w:w="353" w:type="pct"/>
            <w:shd w:val="clear" w:color="auto" w:fill="auto"/>
          </w:tcPr>
          <w:p w14:paraId="01F7F6E3" w14:textId="77777777" w:rsidR="00426DF2" w:rsidRPr="008B3F38" w:rsidRDefault="00426DF2" w:rsidP="00025DC3">
            <w:pPr>
              <w:pStyle w:val="Tabletext"/>
              <w:rPr>
                <w:sz w:val="18"/>
                <w:szCs w:val="18"/>
                <w:lang w:val="ru-RU"/>
              </w:rPr>
            </w:pPr>
            <w:r w:rsidRPr="008B3F38">
              <w:rPr>
                <w:sz w:val="18"/>
                <w:szCs w:val="18"/>
                <w:lang w:val="ru-RU"/>
              </w:rPr>
              <w:t>РЕК1</w:t>
            </w:r>
          </w:p>
        </w:tc>
        <w:tc>
          <w:tcPr>
            <w:tcW w:w="1410" w:type="pct"/>
            <w:gridSpan w:val="2"/>
            <w:shd w:val="clear" w:color="auto" w:fill="auto"/>
          </w:tcPr>
          <w:p w14:paraId="20C71EB6" w14:textId="77777777" w:rsidR="00426DF2" w:rsidRPr="008B3F38" w:rsidRDefault="00426DF2" w:rsidP="00025DC3">
            <w:pPr>
              <w:pStyle w:val="Tabletext"/>
              <w:rPr>
                <w:sz w:val="18"/>
                <w:szCs w:val="18"/>
                <w:lang w:val="ru-RU"/>
              </w:rPr>
            </w:pPr>
            <w:r w:rsidRPr="008B3F38">
              <w:rPr>
                <w:sz w:val="18"/>
                <w:szCs w:val="18"/>
                <w:lang w:val="ru-RU"/>
              </w:rPr>
              <w:t>Руководству рекомендуется подготовить специальный внутренний документ, в котором задача укрепления регионального присутствия, поставленная в Резолюции 25 ПК, четко разбивалась бы на измеримые задачи для отделений на местах, сопровождаемые точными и согласованными KPI.</w:t>
            </w:r>
          </w:p>
        </w:tc>
        <w:tc>
          <w:tcPr>
            <w:tcW w:w="1658" w:type="pct"/>
            <w:shd w:val="clear" w:color="auto" w:fill="auto"/>
          </w:tcPr>
          <w:p w14:paraId="11F1E119" w14:textId="60EC4267" w:rsidR="00426DF2" w:rsidRPr="008B3F38" w:rsidRDefault="00426DF2" w:rsidP="00025DC3">
            <w:pPr>
              <w:pStyle w:val="Tabletext"/>
              <w:rPr>
                <w:sz w:val="18"/>
                <w:szCs w:val="18"/>
                <w:lang w:val="ru-RU"/>
              </w:rPr>
            </w:pPr>
            <w:r w:rsidRPr="008B3F38">
              <w:rPr>
                <w:sz w:val="18"/>
                <w:szCs w:val="18"/>
                <w:lang w:val="ru-RU"/>
              </w:rPr>
              <w:t>Обновленная информация на май 2025 г.: Проблема сохраняется ввиду необходимости выполнения рекомендации на уровне Стратегического плана (СП). Действующий СП завершится в 2027 году, и работа над СП на 2028</w:t>
            </w:r>
            <w:r w:rsidR="00175E21" w:rsidRPr="008B3F38">
              <w:rPr>
                <w:sz w:val="18"/>
                <w:szCs w:val="18"/>
                <w:lang w:val="ru-RU"/>
              </w:rPr>
              <w:t>−</w:t>
            </w:r>
            <w:r w:rsidRPr="008B3F38">
              <w:rPr>
                <w:sz w:val="18"/>
                <w:szCs w:val="18"/>
                <w:lang w:val="ru-RU"/>
              </w:rPr>
              <w:t>2031 годы ведется с учетом необходимости совершенствования управления, ориентированного на результаты, и каскадирования целей через региональное присутствие МСЭ.</w:t>
            </w:r>
          </w:p>
          <w:p w14:paraId="07553050" w14:textId="77777777" w:rsidR="00426DF2" w:rsidRPr="008B3F38" w:rsidRDefault="00426DF2" w:rsidP="00025DC3">
            <w:pPr>
              <w:pStyle w:val="Tabletext"/>
              <w:rPr>
                <w:sz w:val="18"/>
                <w:szCs w:val="18"/>
                <w:lang w:val="ru-RU"/>
              </w:rPr>
            </w:pPr>
            <w:r w:rsidRPr="008B3F38">
              <w:rPr>
                <w:sz w:val="18"/>
                <w:szCs w:val="18"/>
                <w:lang w:val="ru-RU"/>
              </w:rPr>
              <w:t>Данная рекомендация, о которой представлялся отчет Совету 2020 года (</w:t>
            </w:r>
            <w:hyperlink r:id="rId33" w:history="1">
              <w:r w:rsidRPr="008B3F38">
                <w:rPr>
                  <w:rStyle w:val="Hyperlink"/>
                  <w:sz w:val="18"/>
                  <w:szCs w:val="18"/>
                  <w:lang w:val="ru-RU"/>
                </w:rPr>
                <w:t>C20/74</w:t>
              </w:r>
            </w:hyperlink>
            <w:r w:rsidRPr="008B3F38">
              <w:rPr>
                <w:sz w:val="18"/>
                <w:szCs w:val="18"/>
                <w:lang w:val="ru-RU"/>
              </w:rPr>
              <w:t>), находится в процессе выполнения (представлялась вместе с примечанием: "для рассмотрения в контексте основанного на результатах подхода к планированию программы, который был внедрен в сентябре 2019 года".</w:t>
            </w:r>
          </w:p>
          <w:p w14:paraId="6A2B1153" w14:textId="3589F7DF" w:rsidR="00426DF2" w:rsidRPr="008B3F38" w:rsidRDefault="00426DF2" w:rsidP="00025DC3">
            <w:pPr>
              <w:pStyle w:val="Tabletext"/>
              <w:rPr>
                <w:sz w:val="18"/>
                <w:szCs w:val="18"/>
                <w:lang w:val="ru-RU"/>
              </w:rPr>
            </w:pPr>
            <w:r w:rsidRPr="008B3F38">
              <w:rPr>
                <w:sz w:val="18"/>
                <w:szCs w:val="18"/>
                <w:lang w:val="ru-RU"/>
              </w:rPr>
              <w:t>МСЭ считает, что эта рекомендация находится в процессе</w:t>
            </w:r>
            <w:r w:rsidR="006E4D5F" w:rsidRPr="008B3F38">
              <w:rPr>
                <w:sz w:val="18"/>
                <w:szCs w:val="18"/>
                <w:lang w:val="ru-RU"/>
              </w:rPr>
              <w:t> </w:t>
            </w:r>
            <w:r w:rsidRPr="008B3F38">
              <w:rPr>
                <w:sz w:val="18"/>
                <w:szCs w:val="18"/>
                <w:lang w:val="ru-RU"/>
              </w:rPr>
              <w:t>выполнения.</w:t>
            </w:r>
          </w:p>
        </w:tc>
        <w:tc>
          <w:tcPr>
            <w:tcW w:w="1137" w:type="pct"/>
            <w:shd w:val="clear" w:color="auto" w:fill="auto"/>
          </w:tcPr>
          <w:p w14:paraId="11449A10" w14:textId="77777777" w:rsidR="00426DF2" w:rsidRPr="008B3F38" w:rsidRDefault="00426DF2" w:rsidP="00025DC3">
            <w:pPr>
              <w:pStyle w:val="Tabletext"/>
              <w:rPr>
                <w:sz w:val="18"/>
                <w:szCs w:val="18"/>
                <w:lang w:val="ru-RU"/>
              </w:rPr>
            </w:pPr>
            <w:r w:rsidRPr="008B3F38">
              <w:rPr>
                <w:sz w:val="18"/>
                <w:szCs w:val="18"/>
                <w:lang w:val="ru-RU"/>
              </w:rPr>
              <w:t>Последний ответ принят к сведению. Освещенные здесь вопросы соответствуют нашим наблюдениям, сделанным в этом году и изложенным в третьей части настоящего отчета.</w:t>
            </w:r>
          </w:p>
        </w:tc>
        <w:tc>
          <w:tcPr>
            <w:tcW w:w="442" w:type="pct"/>
            <w:gridSpan w:val="2"/>
            <w:shd w:val="clear" w:color="auto" w:fill="auto"/>
          </w:tcPr>
          <w:p w14:paraId="0FD7036D" w14:textId="77777777" w:rsidR="00426DF2" w:rsidRPr="008B3F38" w:rsidRDefault="00426DF2" w:rsidP="00025DC3">
            <w:pPr>
              <w:pStyle w:val="Tabletext"/>
              <w:ind w:right="-57"/>
              <w:rPr>
                <w:sz w:val="18"/>
                <w:szCs w:val="18"/>
                <w:lang w:val="ru-RU"/>
              </w:rPr>
            </w:pPr>
            <w:r w:rsidRPr="008B3F38">
              <w:rPr>
                <w:sz w:val="18"/>
                <w:szCs w:val="18"/>
                <w:lang w:val="ru-RU"/>
              </w:rPr>
              <w:t>Выполняется.</w:t>
            </w:r>
          </w:p>
        </w:tc>
      </w:tr>
      <w:tr w:rsidR="00426DF2" w:rsidRPr="008B3F38" w14:paraId="5159E9E4" w14:textId="77777777" w:rsidTr="008A2FDE">
        <w:trPr>
          <w:jc w:val="center"/>
        </w:trPr>
        <w:tc>
          <w:tcPr>
            <w:tcW w:w="353" w:type="pct"/>
            <w:shd w:val="clear" w:color="auto" w:fill="auto"/>
          </w:tcPr>
          <w:p w14:paraId="2C569D75" w14:textId="77777777" w:rsidR="00426DF2" w:rsidRPr="008B3F38" w:rsidRDefault="00426DF2" w:rsidP="00025DC3">
            <w:pPr>
              <w:pStyle w:val="Tabletext"/>
              <w:rPr>
                <w:sz w:val="18"/>
                <w:szCs w:val="18"/>
                <w:lang w:val="ru-RU"/>
              </w:rPr>
            </w:pPr>
            <w:r w:rsidRPr="008B3F38">
              <w:rPr>
                <w:sz w:val="18"/>
                <w:szCs w:val="18"/>
                <w:lang w:val="ru-RU"/>
              </w:rPr>
              <w:t>РЕК2</w:t>
            </w:r>
          </w:p>
        </w:tc>
        <w:tc>
          <w:tcPr>
            <w:tcW w:w="1410" w:type="pct"/>
            <w:gridSpan w:val="2"/>
            <w:shd w:val="clear" w:color="auto" w:fill="auto"/>
          </w:tcPr>
          <w:p w14:paraId="11E35EC2" w14:textId="77777777" w:rsidR="00426DF2" w:rsidRPr="008B3F38" w:rsidRDefault="00426DF2" w:rsidP="00025DC3">
            <w:pPr>
              <w:pStyle w:val="Tabletext"/>
              <w:rPr>
                <w:sz w:val="18"/>
                <w:szCs w:val="18"/>
                <w:lang w:val="ru-RU"/>
              </w:rPr>
            </w:pPr>
            <w:r w:rsidRPr="008B3F38">
              <w:rPr>
                <w:sz w:val="18"/>
                <w:szCs w:val="18"/>
                <w:lang w:val="ru-RU"/>
              </w:rPr>
              <w:t>Рекомендуется обеспечить четкую увязку в каскадной последовательности целей Планов действий и Оперативных планов с конкретными целями, вытекающими из Рез. 25 ПК, для представления соответствующего отчета Совету.</w:t>
            </w:r>
          </w:p>
        </w:tc>
        <w:tc>
          <w:tcPr>
            <w:tcW w:w="1658" w:type="pct"/>
            <w:shd w:val="clear" w:color="auto" w:fill="auto"/>
          </w:tcPr>
          <w:p w14:paraId="5AB6F65E" w14:textId="0031DA5B" w:rsidR="00426DF2" w:rsidRPr="008B3F38" w:rsidRDefault="00426DF2" w:rsidP="00025DC3">
            <w:pPr>
              <w:pStyle w:val="Tabletext"/>
              <w:rPr>
                <w:sz w:val="18"/>
                <w:szCs w:val="18"/>
                <w:lang w:val="ru-RU"/>
              </w:rPr>
            </w:pPr>
            <w:r w:rsidRPr="008B3F38">
              <w:rPr>
                <w:sz w:val="18"/>
                <w:szCs w:val="18"/>
                <w:lang w:val="ru-RU"/>
              </w:rPr>
              <w:t>Обновленная информация на май 2025 г.: Проблема сохраняется ввиду необходимости выполнения рекомендации на уровне Стратегического плана (СП). Действующий СП завершится в 2027 году, и работа над СП на 2028</w:t>
            </w:r>
            <w:r w:rsidR="008A2FDE" w:rsidRPr="008B3F38">
              <w:rPr>
                <w:sz w:val="18"/>
                <w:szCs w:val="18"/>
                <w:lang w:val="ru-RU"/>
              </w:rPr>
              <w:t>−</w:t>
            </w:r>
            <w:r w:rsidRPr="008B3F38">
              <w:rPr>
                <w:sz w:val="18"/>
                <w:szCs w:val="18"/>
                <w:lang w:val="ru-RU"/>
              </w:rPr>
              <w:t>2031 годы ведется с учетом необходимости совершенствования управления, ориентированного на результаты, и каскадирования целей через региональное присутствие МСЭ.</w:t>
            </w:r>
          </w:p>
          <w:p w14:paraId="38164F56" w14:textId="77777777" w:rsidR="00426DF2" w:rsidRPr="008B3F38" w:rsidRDefault="00426DF2" w:rsidP="00025DC3">
            <w:pPr>
              <w:pStyle w:val="Tabletext"/>
              <w:rPr>
                <w:sz w:val="18"/>
                <w:szCs w:val="18"/>
                <w:lang w:val="ru-RU"/>
              </w:rPr>
            </w:pPr>
            <w:r w:rsidRPr="008B3F38">
              <w:rPr>
                <w:sz w:val="18"/>
                <w:szCs w:val="18"/>
                <w:lang w:val="ru-RU"/>
              </w:rPr>
              <w:t>Данная рекомендация, о которой представлялся отчет Совету 2020 года (</w:t>
            </w:r>
            <w:hyperlink r:id="rId34" w:history="1">
              <w:r w:rsidRPr="008B3F38">
                <w:rPr>
                  <w:rStyle w:val="Hyperlink"/>
                  <w:sz w:val="18"/>
                  <w:szCs w:val="18"/>
                  <w:lang w:val="ru-RU"/>
                </w:rPr>
                <w:t>C20/74</w:t>
              </w:r>
            </w:hyperlink>
            <w:r w:rsidRPr="008B3F38">
              <w:rPr>
                <w:sz w:val="18"/>
                <w:szCs w:val="18"/>
                <w:lang w:val="ru-RU"/>
              </w:rPr>
              <w:t xml:space="preserve">), находится в процессе </w:t>
            </w:r>
            <w:r w:rsidRPr="008B3F38">
              <w:rPr>
                <w:sz w:val="18"/>
                <w:szCs w:val="18"/>
                <w:lang w:val="ru-RU"/>
              </w:rPr>
              <w:lastRenderedPageBreak/>
              <w:t>выполнения (представлена вместе с примечанием: "для рассмотрения в контексте основанного на результатах подхода к планированию программы, который был внедрен в сентябре 2019 года".</w:t>
            </w:r>
          </w:p>
          <w:p w14:paraId="4AEE7241" w14:textId="06634424" w:rsidR="00426DF2" w:rsidRPr="008B3F38" w:rsidRDefault="00426DF2" w:rsidP="00025DC3">
            <w:pPr>
              <w:pStyle w:val="Tabletext"/>
              <w:rPr>
                <w:sz w:val="18"/>
                <w:szCs w:val="18"/>
                <w:lang w:val="ru-RU"/>
              </w:rPr>
            </w:pPr>
            <w:r w:rsidRPr="008B3F38">
              <w:rPr>
                <w:sz w:val="18"/>
                <w:szCs w:val="18"/>
                <w:lang w:val="ru-RU"/>
              </w:rPr>
              <w:t>МСЭ считает, что эта рекомендация находится в процессе</w:t>
            </w:r>
            <w:r w:rsidR="006E4D5F" w:rsidRPr="008B3F38">
              <w:rPr>
                <w:sz w:val="18"/>
                <w:szCs w:val="18"/>
                <w:lang w:val="ru-RU"/>
              </w:rPr>
              <w:t> </w:t>
            </w:r>
            <w:r w:rsidRPr="008B3F38">
              <w:rPr>
                <w:sz w:val="18"/>
                <w:szCs w:val="18"/>
                <w:lang w:val="ru-RU"/>
              </w:rPr>
              <w:t>выполнения.</w:t>
            </w:r>
          </w:p>
        </w:tc>
        <w:tc>
          <w:tcPr>
            <w:tcW w:w="1137" w:type="pct"/>
            <w:shd w:val="clear" w:color="auto" w:fill="auto"/>
          </w:tcPr>
          <w:p w14:paraId="38A2038D" w14:textId="77777777" w:rsidR="00426DF2" w:rsidRPr="008B3F38" w:rsidRDefault="00426DF2" w:rsidP="00025DC3">
            <w:pPr>
              <w:pStyle w:val="Tabletext"/>
              <w:rPr>
                <w:sz w:val="18"/>
                <w:szCs w:val="18"/>
                <w:lang w:val="ru-RU"/>
              </w:rPr>
            </w:pPr>
            <w:r w:rsidRPr="008B3F38">
              <w:rPr>
                <w:sz w:val="18"/>
                <w:szCs w:val="18"/>
                <w:lang w:val="ru-RU"/>
              </w:rPr>
              <w:lastRenderedPageBreak/>
              <w:t>Последний ответ принят к сведению. Освещенные здесь вопросы соответствуют нашим наблюдениям, сделанным в этом году и изложенным в третьей части настоящего отчета.</w:t>
            </w:r>
          </w:p>
        </w:tc>
        <w:tc>
          <w:tcPr>
            <w:tcW w:w="442" w:type="pct"/>
            <w:gridSpan w:val="2"/>
            <w:shd w:val="clear" w:color="auto" w:fill="auto"/>
          </w:tcPr>
          <w:p w14:paraId="3A6F0D31" w14:textId="77777777" w:rsidR="00426DF2" w:rsidRPr="008B3F38" w:rsidRDefault="00426DF2" w:rsidP="00025DC3">
            <w:pPr>
              <w:pStyle w:val="Tabletext"/>
              <w:ind w:right="-57"/>
              <w:rPr>
                <w:sz w:val="18"/>
                <w:szCs w:val="18"/>
                <w:lang w:val="ru-RU"/>
              </w:rPr>
            </w:pPr>
            <w:r w:rsidRPr="008B3F38">
              <w:rPr>
                <w:sz w:val="18"/>
                <w:szCs w:val="18"/>
                <w:lang w:val="ru-RU"/>
              </w:rPr>
              <w:t>Выполняется.</w:t>
            </w:r>
          </w:p>
        </w:tc>
      </w:tr>
      <w:tr w:rsidR="00426DF2" w:rsidRPr="008B3F38" w14:paraId="13DD2EF9" w14:textId="77777777" w:rsidTr="008A2FDE">
        <w:trPr>
          <w:jc w:val="center"/>
        </w:trPr>
        <w:tc>
          <w:tcPr>
            <w:tcW w:w="353" w:type="pct"/>
            <w:shd w:val="clear" w:color="auto" w:fill="auto"/>
          </w:tcPr>
          <w:p w14:paraId="016EA88C" w14:textId="77777777" w:rsidR="00426DF2" w:rsidRPr="008B3F38" w:rsidRDefault="00426DF2" w:rsidP="00025DC3">
            <w:pPr>
              <w:pStyle w:val="Tabletext"/>
              <w:rPr>
                <w:sz w:val="18"/>
                <w:szCs w:val="18"/>
                <w:lang w:val="ru-RU"/>
              </w:rPr>
            </w:pPr>
            <w:r w:rsidRPr="008B3F38">
              <w:rPr>
                <w:sz w:val="18"/>
                <w:szCs w:val="18"/>
                <w:lang w:val="ru-RU"/>
              </w:rPr>
              <w:t>РЕК3</w:t>
            </w:r>
          </w:p>
        </w:tc>
        <w:tc>
          <w:tcPr>
            <w:tcW w:w="1410" w:type="pct"/>
            <w:gridSpan w:val="2"/>
            <w:shd w:val="clear" w:color="auto" w:fill="auto"/>
          </w:tcPr>
          <w:p w14:paraId="0D44B8BC" w14:textId="792225D3" w:rsidR="00426DF2" w:rsidRPr="008B3F38" w:rsidRDefault="00426DF2" w:rsidP="00025DC3">
            <w:pPr>
              <w:pStyle w:val="Tabletext"/>
              <w:rPr>
                <w:sz w:val="18"/>
                <w:szCs w:val="18"/>
                <w:lang w:val="ru-RU"/>
              </w:rPr>
            </w:pPr>
            <w:r w:rsidRPr="008B3F38">
              <w:rPr>
                <w:sz w:val="18"/>
                <w:szCs w:val="18"/>
                <w:lang w:val="ru-RU"/>
              </w:rPr>
              <w:t>Рекомендуется изучить возможности укрепления координации в отношении регионального присутствия между Секторами.</w:t>
            </w:r>
          </w:p>
        </w:tc>
        <w:tc>
          <w:tcPr>
            <w:tcW w:w="1658" w:type="pct"/>
            <w:shd w:val="clear" w:color="auto" w:fill="auto"/>
          </w:tcPr>
          <w:p w14:paraId="206FCEC7" w14:textId="77777777" w:rsidR="00426DF2" w:rsidRPr="008B3F38" w:rsidRDefault="00426DF2" w:rsidP="00025DC3">
            <w:pPr>
              <w:pStyle w:val="Tabletext"/>
              <w:rPr>
                <w:sz w:val="18"/>
                <w:szCs w:val="18"/>
                <w:lang w:val="ru-RU"/>
              </w:rPr>
            </w:pPr>
            <w:r w:rsidRPr="008B3F38">
              <w:rPr>
                <w:sz w:val="18"/>
                <w:szCs w:val="18"/>
                <w:lang w:val="ru-RU"/>
              </w:rPr>
              <w:t>Как и в случае выше, МСЭ считает, что эта рекомендация находится в процессе выполнения.</w:t>
            </w:r>
          </w:p>
        </w:tc>
        <w:tc>
          <w:tcPr>
            <w:tcW w:w="1137" w:type="pct"/>
            <w:shd w:val="clear" w:color="auto" w:fill="auto"/>
          </w:tcPr>
          <w:p w14:paraId="7C5C7C66" w14:textId="77777777" w:rsidR="00426DF2" w:rsidRPr="008B3F38" w:rsidRDefault="00426DF2" w:rsidP="00025DC3">
            <w:pPr>
              <w:pStyle w:val="Tabletext"/>
              <w:rPr>
                <w:sz w:val="18"/>
                <w:szCs w:val="18"/>
                <w:lang w:val="ru-RU"/>
              </w:rPr>
            </w:pPr>
            <w:r w:rsidRPr="008B3F38">
              <w:rPr>
                <w:sz w:val="18"/>
                <w:szCs w:val="18"/>
                <w:lang w:val="ru-RU"/>
              </w:rPr>
              <w:t>Последний ответ принят к сведению. Освещенные здесь вопросы соответствуют нашим наблюдениям, сделанным в этом году и изложенным в третьей части настоящего отчета.</w:t>
            </w:r>
          </w:p>
        </w:tc>
        <w:tc>
          <w:tcPr>
            <w:tcW w:w="442" w:type="pct"/>
            <w:gridSpan w:val="2"/>
            <w:shd w:val="clear" w:color="auto" w:fill="auto"/>
          </w:tcPr>
          <w:p w14:paraId="031D3DEC" w14:textId="77777777" w:rsidR="00426DF2" w:rsidRPr="008B3F38" w:rsidRDefault="00426DF2" w:rsidP="00025DC3">
            <w:pPr>
              <w:pStyle w:val="Tabletext"/>
              <w:ind w:right="-57"/>
              <w:rPr>
                <w:sz w:val="18"/>
                <w:szCs w:val="18"/>
                <w:lang w:val="ru-RU"/>
              </w:rPr>
            </w:pPr>
            <w:r w:rsidRPr="008B3F38">
              <w:rPr>
                <w:sz w:val="18"/>
                <w:szCs w:val="18"/>
                <w:lang w:val="ru-RU"/>
              </w:rPr>
              <w:t>Выполняется.</w:t>
            </w:r>
          </w:p>
        </w:tc>
      </w:tr>
      <w:tr w:rsidR="00426DF2" w:rsidRPr="008B3F38" w14:paraId="587F87A5" w14:textId="77777777" w:rsidTr="008A2FDE">
        <w:trPr>
          <w:jc w:val="center"/>
        </w:trPr>
        <w:tc>
          <w:tcPr>
            <w:tcW w:w="353" w:type="pct"/>
            <w:shd w:val="clear" w:color="auto" w:fill="auto"/>
          </w:tcPr>
          <w:p w14:paraId="275FCEB1" w14:textId="77777777" w:rsidR="00426DF2" w:rsidRPr="008B3F38" w:rsidRDefault="00426DF2" w:rsidP="00025DC3">
            <w:pPr>
              <w:pStyle w:val="Tabletext"/>
              <w:rPr>
                <w:sz w:val="18"/>
                <w:szCs w:val="18"/>
                <w:lang w:val="ru-RU"/>
              </w:rPr>
            </w:pPr>
            <w:r w:rsidRPr="008B3F38">
              <w:rPr>
                <w:sz w:val="18"/>
                <w:szCs w:val="18"/>
                <w:lang w:val="ru-RU"/>
              </w:rPr>
              <w:t>РЕК4</w:t>
            </w:r>
          </w:p>
        </w:tc>
        <w:tc>
          <w:tcPr>
            <w:tcW w:w="1410" w:type="pct"/>
            <w:gridSpan w:val="2"/>
            <w:shd w:val="clear" w:color="auto" w:fill="auto"/>
          </w:tcPr>
          <w:p w14:paraId="21892AAE" w14:textId="77777777" w:rsidR="00426DF2" w:rsidRPr="008B3F38" w:rsidRDefault="00426DF2" w:rsidP="00025DC3">
            <w:pPr>
              <w:pStyle w:val="Tabletext"/>
              <w:rPr>
                <w:sz w:val="18"/>
                <w:szCs w:val="18"/>
                <w:lang w:val="ru-RU"/>
              </w:rPr>
            </w:pPr>
            <w:r w:rsidRPr="008B3F38">
              <w:rPr>
                <w:sz w:val="18"/>
                <w:szCs w:val="18"/>
                <w:lang w:val="ru-RU"/>
              </w:rPr>
              <w:t>Руководству рекомендуется подготовить комплексную схему процессов, чтобы функции, задачи и деятельность РО были понятны всем сотрудникам. В то же время сотрудникам региональных отделений необходимо иметь общее представление о задачах, вспомогательных задачах и соответствующих KPI, связанных с этой схемой, с тем чтобы вести мониторинг обеспечения регионального присутствия и принимать согласованные меры по смягчению сопутствующих рисков.</w:t>
            </w:r>
          </w:p>
        </w:tc>
        <w:tc>
          <w:tcPr>
            <w:tcW w:w="1658" w:type="pct"/>
            <w:shd w:val="clear" w:color="auto" w:fill="auto"/>
          </w:tcPr>
          <w:p w14:paraId="2637088A" w14:textId="7924EF13" w:rsidR="00426DF2" w:rsidRPr="008B3F38" w:rsidRDefault="00426DF2" w:rsidP="00025DC3">
            <w:pPr>
              <w:pStyle w:val="Tabletext"/>
              <w:rPr>
                <w:sz w:val="18"/>
                <w:szCs w:val="18"/>
                <w:lang w:val="ru-RU"/>
              </w:rPr>
            </w:pPr>
            <w:r w:rsidRPr="008B3F38">
              <w:rPr>
                <w:sz w:val="18"/>
                <w:szCs w:val="18"/>
                <w:lang w:val="ru-RU"/>
              </w:rPr>
              <w:t>Обновленная информация на май 2025 г.: Выявленная проблема (обеспечение понимания всеми сотрудниками МСЭ роли регионального присутствия) будет тщательно проанализирована в контексте нового Стратегического плана на 2028–2031 годы. Рек. 4/2018 тематически связана с Рекомендацией 3.2 PwC "Создание усовершенствованной модели предоставления услуг"/3.2.1 "Содействие переходу сотрудников категории D на региональном уровне/3.2.2 "Консолидация глобальной координации через региональные отделы".</w:t>
            </w:r>
          </w:p>
          <w:p w14:paraId="284F59DF" w14:textId="532C384B" w:rsidR="00426DF2" w:rsidRPr="008B3F38" w:rsidRDefault="00426DF2" w:rsidP="00025DC3">
            <w:pPr>
              <w:pStyle w:val="Tabletext"/>
              <w:rPr>
                <w:sz w:val="18"/>
                <w:szCs w:val="18"/>
                <w:lang w:val="ru-RU"/>
              </w:rPr>
            </w:pPr>
            <w:r w:rsidRPr="008B3F38">
              <w:rPr>
                <w:sz w:val="18"/>
                <w:szCs w:val="18"/>
                <w:lang w:val="ru-RU"/>
              </w:rPr>
              <w:t>МСЭ считает, что эта рекомендация находится в процессе</w:t>
            </w:r>
            <w:r w:rsidR="004F55FD">
              <w:rPr>
                <w:sz w:val="18"/>
                <w:szCs w:val="18"/>
                <w:lang w:val="ru-RU"/>
              </w:rPr>
              <w:t> </w:t>
            </w:r>
            <w:r w:rsidRPr="008B3F38">
              <w:rPr>
                <w:sz w:val="18"/>
                <w:szCs w:val="18"/>
                <w:lang w:val="ru-RU"/>
              </w:rPr>
              <w:t>выполнения.</w:t>
            </w:r>
          </w:p>
        </w:tc>
        <w:tc>
          <w:tcPr>
            <w:tcW w:w="1137" w:type="pct"/>
            <w:shd w:val="clear" w:color="auto" w:fill="auto"/>
          </w:tcPr>
          <w:p w14:paraId="07377B49" w14:textId="77777777" w:rsidR="00426DF2" w:rsidRPr="008B3F38" w:rsidRDefault="00426DF2" w:rsidP="00025DC3">
            <w:pPr>
              <w:pStyle w:val="Tabletext"/>
              <w:rPr>
                <w:sz w:val="18"/>
                <w:szCs w:val="18"/>
                <w:lang w:val="ru-RU"/>
              </w:rPr>
            </w:pPr>
            <w:r w:rsidRPr="008B3F38">
              <w:rPr>
                <w:sz w:val="18"/>
                <w:szCs w:val="18"/>
                <w:lang w:val="ru-RU"/>
              </w:rPr>
              <w:t>Последний ответ принят к сведению.</w:t>
            </w:r>
          </w:p>
        </w:tc>
        <w:tc>
          <w:tcPr>
            <w:tcW w:w="442" w:type="pct"/>
            <w:gridSpan w:val="2"/>
            <w:shd w:val="clear" w:color="auto" w:fill="auto"/>
          </w:tcPr>
          <w:p w14:paraId="768146A1" w14:textId="77777777" w:rsidR="00426DF2" w:rsidRPr="008B3F38" w:rsidRDefault="00426DF2" w:rsidP="00025DC3">
            <w:pPr>
              <w:pStyle w:val="Tabletext"/>
              <w:ind w:right="-57"/>
              <w:rPr>
                <w:sz w:val="18"/>
                <w:szCs w:val="18"/>
                <w:lang w:val="ru-RU"/>
              </w:rPr>
            </w:pPr>
            <w:r w:rsidRPr="008B3F38">
              <w:rPr>
                <w:sz w:val="18"/>
                <w:szCs w:val="18"/>
                <w:lang w:val="ru-RU"/>
              </w:rPr>
              <w:t>Выполняется.</w:t>
            </w:r>
          </w:p>
        </w:tc>
      </w:tr>
      <w:tr w:rsidR="00426DF2" w:rsidRPr="008B3F38" w14:paraId="198F1283" w14:textId="77777777" w:rsidTr="008A2FDE">
        <w:trPr>
          <w:jc w:val="center"/>
        </w:trPr>
        <w:tc>
          <w:tcPr>
            <w:tcW w:w="353" w:type="pct"/>
            <w:shd w:val="clear" w:color="auto" w:fill="auto"/>
          </w:tcPr>
          <w:p w14:paraId="2F83BA35" w14:textId="77777777" w:rsidR="00426DF2" w:rsidRPr="008B3F38" w:rsidRDefault="00426DF2" w:rsidP="00025DC3">
            <w:pPr>
              <w:pStyle w:val="Tabletext"/>
              <w:rPr>
                <w:sz w:val="18"/>
                <w:szCs w:val="18"/>
                <w:lang w:val="ru-RU"/>
              </w:rPr>
            </w:pPr>
            <w:r w:rsidRPr="008B3F38">
              <w:rPr>
                <w:sz w:val="18"/>
                <w:szCs w:val="18"/>
                <w:lang w:val="ru-RU"/>
              </w:rPr>
              <w:t>РЕК5</w:t>
            </w:r>
          </w:p>
        </w:tc>
        <w:tc>
          <w:tcPr>
            <w:tcW w:w="1410" w:type="pct"/>
            <w:gridSpan w:val="2"/>
            <w:shd w:val="clear" w:color="auto" w:fill="auto"/>
          </w:tcPr>
          <w:p w14:paraId="6B8B40FE" w14:textId="77777777" w:rsidR="00426DF2" w:rsidRPr="008B3F38" w:rsidRDefault="00426DF2" w:rsidP="00025DC3">
            <w:pPr>
              <w:pStyle w:val="Tabletext"/>
              <w:rPr>
                <w:sz w:val="18"/>
                <w:szCs w:val="18"/>
                <w:lang w:val="ru-RU"/>
              </w:rPr>
            </w:pPr>
            <w:r w:rsidRPr="008B3F38">
              <w:rPr>
                <w:sz w:val="18"/>
                <w:szCs w:val="18"/>
                <w:lang w:val="ru-RU"/>
              </w:rPr>
              <w:t>Рекомендуется провести среднесрочную и/или ретроспективную оценку эффективности и результативности выполнения задач, определенных на уровне ВКРЭ, с тем чтобы повысить значимость этого процесса. Аналогично, можно было бы рассмотреть возможность проведения комплексной среднесрочной и/или ретроспективной оценки выполнения задачи укрепления регионального присутствия в соответствии с Рез. 25 ПК.</w:t>
            </w:r>
          </w:p>
        </w:tc>
        <w:tc>
          <w:tcPr>
            <w:tcW w:w="1658" w:type="pct"/>
            <w:shd w:val="clear" w:color="auto" w:fill="auto"/>
          </w:tcPr>
          <w:p w14:paraId="584943E3" w14:textId="6EB27157" w:rsidR="00426DF2" w:rsidRPr="008B3F38" w:rsidRDefault="00426DF2" w:rsidP="00025DC3">
            <w:pPr>
              <w:pStyle w:val="Tabletext"/>
              <w:rPr>
                <w:sz w:val="18"/>
                <w:szCs w:val="18"/>
                <w:lang w:val="ru-RU"/>
              </w:rPr>
            </w:pPr>
            <w:r w:rsidRPr="008B3F38">
              <w:rPr>
                <w:sz w:val="18"/>
                <w:szCs w:val="18"/>
                <w:lang w:val="ru-RU"/>
              </w:rPr>
              <w:t>Обновленная информация на май 2025 г.: После публикации отчета PwC о региональном присутствии в 2020 году (</w:t>
            </w:r>
            <w:hyperlink r:id="rId35" w:history="1">
              <w:r w:rsidRPr="008B3F38">
                <w:rPr>
                  <w:rStyle w:val="Hyperlink"/>
                  <w:sz w:val="18"/>
                  <w:szCs w:val="18"/>
                  <w:lang w:val="ru-RU"/>
                </w:rPr>
                <w:t>C20/74</w:t>
              </w:r>
            </w:hyperlink>
            <w:r w:rsidRPr="008B3F38">
              <w:rPr>
                <w:sz w:val="18"/>
                <w:szCs w:val="18"/>
                <w:lang w:val="ru-RU"/>
              </w:rPr>
              <w:t>) Совету были представлены отчеты об</w:t>
            </w:r>
            <w:r w:rsidR="00175E21" w:rsidRPr="008B3F38">
              <w:rPr>
                <w:sz w:val="18"/>
                <w:szCs w:val="18"/>
                <w:lang w:val="ru-RU"/>
              </w:rPr>
              <w:t> </w:t>
            </w:r>
            <w:r w:rsidRPr="008B3F38">
              <w:rPr>
                <w:sz w:val="18"/>
                <w:szCs w:val="18"/>
                <w:lang w:val="ru-RU"/>
              </w:rPr>
              <w:t xml:space="preserve">укреплении регионального присутствия (например, </w:t>
            </w:r>
            <w:hyperlink r:id="rId36" w:history="1">
              <w:r w:rsidRPr="008B3F38">
                <w:rPr>
                  <w:rStyle w:val="Hyperlink"/>
                  <w:sz w:val="18"/>
                  <w:szCs w:val="18"/>
                  <w:lang w:val="ru-RU"/>
                </w:rPr>
                <w:t>C22/25</w:t>
              </w:r>
            </w:hyperlink>
            <w:r w:rsidRPr="008B3F38">
              <w:rPr>
                <w:sz w:val="18"/>
                <w:szCs w:val="18"/>
                <w:lang w:val="ru-RU"/>
              </w:rPr>
              <w:t xml:space="preserve">) в соответствии с Резолюцией 25 с подробным описанием отчета PwC и последующих действий. Кроме того, на своей сессии 2021 года Совет принял рекомендацию РГС-ФЛР по региональному присутствию МСЭ, согласно которой секретариат создаст на веб-сайте информационную панель, посвященную ходу выполнения плана работы, для ознакомления Членов МСЭ. С информационной панелью можно ознакомиться на веб-сайте МСЭ в разделе Совета на странице, посвященной региональному присутствию: </w:t>
            </w:r>
            <w:hyperlink r:id="rId37" w:history="1">
              <w:r w:rsidR="00585EEA" w:rsidRPr="008B3F38">
                <w:rPr>
                  <w:rStyle w:val="Hyperlink"/>
                  <w:sz w:val="18"/>
                  <w:szCs w:val="18"/>
                  <w:lang w:val="ru-RU"/>
                </w:rPr>
                <w:t>https://www.itu.int/en/council/ties/Pages/regional-presence-dashboard.aspx</w:t>
              </w:r>
            </w:hyperlink>
            <w:r w:rsidRPr="008B3F38">
              <w:rPr>
                <w:sz w:val="18"/>
                <w:szCs w:val="18"/>
                <w:lang w:val="ru-RU"/>
              </w:rPr>
              <w:t>.</w:t>
            </w:r>
          </w:p>
          <w:p w14:paraId="0DBE3FCC" w14:textId="032B6D84" w:rsidR="00426DF2" w:rsidRPr="008B3F38" w:rsidRDefault="00426DF2" w:rsidP="00025DC3">
            <w:pPr>
              <w:pStyle w:val="Tabletext"/>
              <w:rPr>
                <w:sz w:val="18"/>
                <w:szCs w:val="18"/>
                <w:lang w:val="ru-RU"/>
              </w:rPr>
            </w:pPr>
            <w:r w:rsidRPr="008B3F38">
              <w:rPr>
                <w:sz w:val="18"/>
                <w:szCs w:val="18"/>
                <w:lang w:val="ru-RU"/>
              </w:rPr>
              <w:t>МСЭ рекомендует закрыть эту рекомендацию.</w:t>
            </w:r>
          </w:p>
        </w:tc>
        <w:tc>
          <w:tcPr>
            <w:tcW w:w="1137" w:type="pct"/>
            <w:shd w:val="clear" w:color="auto" w:fill="auto"/>
          </w:tcPr>
          <w:p w14:paraId="56A230E7" w14:textId="2E11FD34" w:rsidR="00426DF2" w:rsidRPr="008B3F38" w:rsidRDefault="00426DF2" w:rsidP="00025DC3">
            <w:pPr>
              <w:pStyle w:val="Tabletext"/>
              <w:rPr>
                <w:sz w:val="18"/>
                <w:szCs w:val="18"/>
                <w:lang w:val="ru-RU"/>
              </w:rPr>
            </w:pPr>
            <w:r w:rsidRPr="008B3F38">
              <w:rPr>
                <w:sz w:val="18"/>
                <w:szCs w:val="18"/>
                <w:lang w:val="ru-RU"/>
              </w:rPr>
              <w:lastRenderedPageBreak/>
              <w:t>Последний ответ принят к сведению. Как отмечалось во второй части настоящего отчета, функция оценки в рамках Подразделения по надзору пока еще не обеспечена ресурсами, а систематическая оценка эффективности МСЭ не проводится. Тем не менее, поскольку основные положения рекомендации были выполнены, мы считаем рекомендацию закрытой.</w:t>
            </w:r>
          </w:p>
        </w:tc>
        <w:tc>
          <w:tcPr>
            <w:tcW w:w="442" w:type="pct"/>
            <w:gridSpan w:val="2"/>
            <w:shd w:val="clear" w:color="auto" w:fill="auto"/>
          </w:tcPr>
          <w:p w14:paraId="273AE5D0" w14:textId="77777777" w:rsidR="00426DF2" w:rsidRPr="008B3F38" w:rsidRDefault="00426DF2" w:rsidP="00025DC3">
            <w:pPr>
              <w:pStyle w:val="Tabletext"/>
              <w:ind w:right="-57"/>
              <w:rPr>
                <w:sz w:val="18"/>
                <w:szCs w:val="18"/>
                <w:lang w:val="ru-RU"/>
              </w:rPr>
            </w:pPr>
            <w:r w:rsidRPr="008B3F38">
              <w:rPr>
                <w:sz w:val="18"/>
                <w:szCs w:val="18"/>
                <w:lang w:val="ru-RU"/>
              </w:rPr>
              <w:t>Закрыта.</w:t>
            </w:r>
          </w:p>
        </w:tc>
      </w:tr>
      <w:tr w:rsidR="00426DF2" w:rsidRPr="008B3F38" w14:paraId="64A4DEB0" w14:textId="77777777" w:rsidTr="008A2FDE">
        <w:trPr>
          <w:jc w:val="center"/>
        </w:trPr>
        <w:tc>
          <w:tcPr>
            <w:tcW w:w="353" w:type="pct"/>
            <w:shd w:val="clear" w:color="auto" w:fill="auto"/>
          </w:tcPr>
          <w:p w14:paraId="20C5FD0A" w14:textId="77777777" w:rsidR="00426DF2" w:rsidRPr="008B3F38" w:rsidRDefault="00426DF2" w:rsidP="00025DC3">
            <w:pPr>
              <w:pStyle w:val="Tabletext"/>
              <w:rPr>
                <w:sz w:val="18"/>
                <w:szCs w:val="18"/>
                <w:lang w:val="ru-RU"/>
              </w:rPr>
            </w:pPr>
            <w:r w:rsidRPr="008B3F38">
              <w:rPr>
                <w:sz w:val="18"/>
                <w:szCs w:val="18"/>
                <w:lang w:val="ru-RU"/>
              </w:rPr>
              <w:t>РЕК6</w:t>
            </w:r>
          </w:p>
        </w:tc>
        <w:tc>
          <w:tcPr>
            <w:tcW w:w="1410" w:type="pct"/>
            <w:gridSpan w:val="2"/>
            <w:shd w:val="clear" w:color="auto" w:fill="auto"/>
          </w:tcPr>
          <w:p w14:paraId="66892D1E" w14:textId="34150837" w:rsidR="00426DF2" w:rsidRPr="008B3F38" w:rsidRDefault="00426DF2" w:rsidP="00025DC3">
            <w:pPr>
              <w:pStyle w:val="Tabletext"/>
              <w:rPr>
                <w:sz w:val="18"/>
                <w:szCs w:val="18"/>
                <w:lang w:val="ru-RU"/>
              </w:rPr>
            </w:pPr>
            <w:r w:rsidRPr="008B3F38">
              <w:rPr>
                <w:sz w:val="18"/>
                <w:szCs w:val="18"/>
                <w:lang w:val="ru-RU"/>
              </w:rPr>
              <w:t>Рекомендуется предоставить руководящие указания относительно того, как определять приоритеты на основе объективных критериев. Эти критерии должны также быть согласованы между всеми РО во всем мире и учитывать при этом характерные различия между регионами.</w:t>
            </w:r>
          </w:p>
        </w:tc>
        <w:tc>
          <w:tcPr>
            <w:tcW w:w="1658" w:type="pct"/>
            <w:shd w:val="clear" w:color="auto" w:fill="auto"/>
          </w:tcPr>
          <w:p w14:paraId="3794B27D" w14:textId="25E906B8" w:rsidR="00426DF2" w:rsidRPr="008B3F38" w:rsidRDefault="00426DF2" w:rsidP="00025DC3">
            <w:pPr>
              <w:pStyle w:val="Tabletext"/>
              <w:rPr>
                <w:sz w:val="18"/>
                <w:szCs w:val="18"/>
                <w:lang w:val="ru-RU"/>
              </w:rPr>
            </w:pPr>
            <w:r w:rsidRPr="008B3F38">
              <w:rPr>
                <w:sz w:val="18"/>
                <w:szCs w:val="18"/>
                <w:lang w:val="ru-RU"/>
              </w:rPr>
              <w:t>Обновленная информация на май 2025 г.: Проблема сохраняется ввиду необходимости выполнения рекомендации на уровне Стратегического плана (СП). Действующий СП завершится в 2027 году, и работа над СП на 2028</w:t>
            </w:r>
            <w:r w:rsidR="008A2FDE" w:rsidRPr="008B3F38">
              <w:rPr>
                <w:sz w:val="18"/>
                <w:szCs w:val="18"/>
                <w:lang w:val="ru-RU"/>
              </w:rPr>
              <w:t>−</w:t>
            </w:r>
            <w:r w:rsidRPr="008B3F38">
              <w:rPr>
                <w:sz w:val="18"/>
                <w:szCs w:val="18"/>
                <w:lang w:val="ru-RU"/>
              </w:rPr>
              <w:t>2031 годы ведется с учетом необходимости совершенствования управления, ориентированного на результаты, и каскадирования целей через региональное присутствие МСЭ.</w:t>
            </w:r>
          </w:p>
          <w:p w14:paraId="5E90300A" w14:textId="3B8A19CA" w:rsidR="00426DF2" w:rsidRPr="008B3F38" w:rsidRDefault="00426DF2" w:rsidP="00025DC3">
            <w:pPr>
              <w:pStyle w:val="Tabletext"/>
              <w:rPr>
                <w:sz w:val="18"/>
                <w:szCs w:val="18"/>
                <w:lang w:val="ru-RU"/>
              </w:rPr>
            </w:pPr>
            <w:r w:rsidRPr="008B3F38">
              <w:rPr>
                <w:sz w:val="18"/>
                <w:szCs w:val="18"/>
                <w:lang w:val="ru-RU"/>
              </w:rPr>
              <w:t>МСЭ считает, что эта рекомендация находится в процессе</w:t>
            </w:r>
            <w:r w:rsidR="00E70268" w:rsidRPr="008B3F38">
              <w:rPr>
                <w:sz w:val="18"/>
                <w:szCs w:val="18"/>
                <w:lang w:val="ru-RU"/>
              </w:rPr>
              <w:t> </w:t>
            </w:r>
            <w:r w:rsidRPr="008B3F38">
              <w:rPr>
                <w:sz w:val="18"/>
                <w:szCs w:val="18"/>
                <w:lang w:val="ru-RU"/>
              </w:rPr>
              <w:t>выполнения.</w:t>
            </w:r>
          </w:p>
        </w:tc>
        <w:tc>
          <w:tcPr>
            <w:tcW w:w="1137" w:type="pct"/>
            <w:shd w:val="clear" w:color="auto" w:fill="auto"/>
          </w:tcPr>
          <w:p w14:paraId="5C8FC62C" w14:textId="77777777" w:rsidR="00426DF2" w:rsidRPr="008B3F38" w:rsidRDefault="00426DF2" w:rsidP="00025DC3">
            <w:pPr>
              <w:pStyle w:val="Tabletext"/>
              <w:rPr>
                <w:sz w:val="18"/>
                <w:szCs w:val="18"/>
                <w:lang w:val="ru-RU"/>
              </w:rPr>
            </w:pPr>
            <w:r w:rsidRPr="008B3F38">
              <w:rPr>
                <w:sz w:val="18"/>
                <w:szCs w:val="18"/>
                <w:lang w:val="ru-RU"/>
              </w:rPr>
              <w:t>Последний ответ принят к сведению. Освещенные здесь вопросы соответствуют нашим наблюдениям, сделанным в этом году и изложенным в третьей части настоящего отчета.</w:t>
            </w:r>
          </w:p>
        </w:tc>
        <w:tc>
          <w:tcPr>
            <w:tcW w:w="442" w:type="pct"/>
            <w:gridSpan w:val="2"/>
            <w:shd w:val="clear" w:color="auto" w:fill="auto"/>
          </w:tcPr>
          <w:p w14:paraId="12B27E53" w14:textId="77777777" w:rsidR="00426DF2" w:rsidRPr="008B3F38" w:rsidRDefault="00426DF2" w:rsidP="00025DC3">
            <w:pPr>
              <w:pStyle w:val="Tabletext"/>
              <w:ind w:right="-57"/>
              <w:rPr>
                <w:sz w:val="18"/>
                <w:szCs w:val="18"/>
                <w:lang w:val="ru-RU"/>
              </w:rPr>
            </w:pPr>
            <w:r w:rsidRPr="008B3F38">
              <w:rPr>
                <w:sz w:val="18"/>
                <w:szCs w:val="18"/>
                <w:lang w:val="ru-RU"/>
              </w:rPr>
              <w:t>Выполняется.</w:t>
            </w:r>
          </w:p>
        </w:tc>
      </w:tr>
      <w:tr w:rsidR="00426DF2" w:rsidRPr="008B3F38" w14:paraId="65B2229E" w14:textId="77777777" w:rsidTr="008A2FDE">
        <w:trPr>
          <w:jc w:val="center"/>
        </w:trPr>
        <w:tc>
          <w:tcPr>
            <w:tcW w:w="353" w:type="pct"/>
            <w:shd w:val="clear" w:color="auto" w:fill="auto"/>
          </w:tcPr>
          <w:p w14:paraId="23FFEA0B" w14:textId="77777777" w:rsidR="00426DF2" w:rsidRPr="008B3F38" w:rsidRDefault="00426DF2" w:rsidP="00025DC3">
            <w:pPr>
              <w:pStyle w:val="Tabletext"/>
              <w:rPr>
                <w:sz w:val="18"/>
                <w:szCs w:val="18"/>
                <w:lang w:val="ru-RU"/>
              </w:rPr>
            </w:pPr>
            <w:r w:rsidRPr="008B3F38">
              <w:rPr>
                <w:sz w:val="18"/>
                <w:szCs w:val="18"/>
                <w:lang w:val="ru-RU"/>
              </w:rPr>
              <w:t>РЕК7</w:t>
            </w:r>
          </w:p>
        </w:tc>
        <w:tc>
          <w:tcPr>
            <w:tcW w:w="1410" w:type="pct"/>
            <w:gridSpan w:val="2"/>
            <w:shd w:val="clear" w:color="auto" w:fill="auto"/>
          </w:tcPr>
          <w:p w14:paraId="5C33B299" w14:textId="3C0C3B57" w:rsidR="00175E21" w:rsidRPr="008B3F38" w:rsidRDefault="00426DF2" w:rsidP="00025DC3">
            <w:pPr>
              <w:pStyle w:val="Tabletext"/>
              <w:rPr>
                <w:sz w:val="18"/>
                <w:szCs w:val="18"/>
                <w:lang w:val="ru-RU"/>
              </w:rPr>
            </w:pPr>
            <w:r w:rsidRPr="008B3F38">
              <w:rPr>
                <w:sz w:val="18"/>
                <w:szCs w:val="18"/>
                <w:lang w:val="ru-RU"/>
              </w:rPr>
              <w:t>МСЭ следует усилить свою роль в оценке проектов в целях:</w:t>
            </w:r>
          </w:p>
          <w:p w14:paraId="79D5C025" w14:textId="03FAE473" w:rsidR="00175E21" w:rsidRPr="008B3F38" w:rsidRDefault="00426DF2" w:rsidP="00025DC3">
            <w:pPr>
              <w:pStyle w:val="Tabletext"/>
              <w:ind w:left="284" w:hanging="284"/>
              <w:rPr>
                <w:sz w:val="18"/>
                <w:szCs w:val="18"/>
                <w:lang w:val="ru-RU"/>
              </w:rPr>
            </w:pPr>
            <w:r w:rsidRPr="008B3F38">
              <w:rPr>
                <w:sz w:val="18"/>
                <w:szCs w:val="18"/>
                <w:lang w:val="ru-RU"/>
              </w:rPr>
              <w:t>1)</w:t>
            </w:r>
            <w:r w:rsidR="00175E21" w:rsidRPr="008B3F38">
              <w:rPr>
                <w:sz w:val="18"/>
                <w:szCs w:val="18"/>
                <w:lang w:val="ru-RU"/>
              </w:rPr>
              <w:tab/>
            </w:r>
            <w:r w:rsidRPr="008B3F38">
              <w:rPr>
                <w:sz w:val="18"/>
                <w:szCs w:val="18"/>
                <w:lang w:val="ru-RU"/>
              </w:rPr>
              <w:t>предотвращения риска негативных последствий для его репутации из-за нефункционирующих проектов;</w:t>
            </w:r>
          </w:p>
          <w:p w14:paraId="75F2FB8C" w14:textId="3C4D5418" w:rsidR="00175E21" w:rsidRPr="008B3F38" w:rsidRDefault="00426DF2" w:rsidP="00025DC3">
            <w:pPr>
              <w:pStyle w:val="Tabletext"/>
              <w:ind w:left="284" w:hanging="284"/>
              <w:rPr>
                <w:sz w:val="18"/>
                <w:szCs w:val="18"/>
                <w:lang w:val="ru-RU"/>
              </w:rPr>
            </w:pPr>
            <w:r w:rsidRPr="008B3F38">
              <w:rPr>
                <w:sz w:val="18"/>
                <w:szCs w:val="18"/>
                <w:lang w:val="ru-RU"/>
              </w:rPr>
              <w:t>2)</w:t>
            </w:r>
            <w:r w:rsidR="00175E21" w:rsidRPr="008B3F38">
              <w:rPr>
                <w:sz w:val="18"/>
                <w:szCs w:val="18"/>
                <w:lang w:val="ru-RU"/>
              </w:rPr>
              <w:tab/>
            </w:r>
            <w:r w:rsidRPr="008B3F38">
              <w:rPr>
                <w:sz w:val="18"/>
                <w:szCs w:val="18"/>
                <w:lang w:val="ru-RU"/>
              </w:rPr>
              <w:t>получения общей картины влияния своей работы</w:t>
            </w:r>
            <w:r w:rsidR="00175E21" w:rsidRPr="008B3F38">
              <w:rPr>
                <w:sz w:val="18"/>
                <w:szCs w:val="18"/>
                <w:lang w:val="ru-RU"/>
              </w:rPr>
              <w:t>;</w:t>
            </w:r>
            <w:r w:rsidRPr="008B3F38">
              <w:rPr>
                <w:sz w:val="18"/>
                <w:szCs w:val="18"/>
                <w:lang w:val="ru-RU"/>
              </w:rPr>
              <w:t xml:space="preserve"> и</w:t>
            </w:r>
          </w:p>
          <w:p w14:paraId="2BC27540" w14:textId="009DCC5E" w:rsidR="00426DF2" w:rsidRPr="008B3F38" w:rsidRDefault="00426DF2" w:rsidP="00025DC3">
            <w:pPr>
              <w:pStyle w:val="Tabletext"/>
              <w:ind w:left="284" w:hanging="284"/>
              <w:rPr>
                <w:sz w:val="18"/>
                <w:szCs w:val="18"/>
                <w:lang w:val="ru-RU"/>
              </w:rPr>
            </w:pPr>
            <w:r w:rsidRPr="008B3F38">
              <w:rPr>
                <w:sz w:val="18"/>
                <w:szCs w:val="18"/>
                <w:lang w:val="ru-RU"/>
              </w:rPr>
              <w:t>3)</w:t>
            </w:r>
            <w:r w:rsidR="00175E21" w:rsidRPr="008B3F38">
              <w:rPr>
                <w:sz w:val="18"/>
                <w:szCs w:val="18"/>
                <w:lang w:val="ru-RU"/>
              </w:rPr>
              <w:tab/>
            </w:r>
            <w:r w:rsidRPr="008B3F38">
              <w:rPr>
                <w:sz w:val="18"/>
                <w:szCs w:val="18"/>
                <w:lang w:val="ru-RU"/>
              </w:rPr>
              <w:t>определения любых возможных корректирующих действий в отношении реализации проектов. Это предполагает необходимость убедить своих партнеров выделять конкретные средства в каждом проекте для финансирования его оценки. В</w:t>
            </w:r>
            <w:r w:rsidR="00E70268" w:rsidRPr="008B3F38">
              <w:rPr>
                <w:sz w:val="18"/>
                <w:szCs w:val="18"/>
                <w:lang w:val="ru-RU"/>
              </w:rPr>
              <w:t> </w:t>
            </w:r>
            <w:r w:rsidRPr="008B3F38">
              <w:rPr>
                <w:sz w:val="18"/>
                <w:szCs w:val="18"/>
                <w:lang w:val="ru-RU"/>
              </w:rPr>
              <w:t>отношении менее значимых проектов, если осуществление оценки считается экономически нецелесообразным, руководству тем не менее следует проводить ограниченный анализ эффективности проекта.</w:t>
            </w:r>
          </w:p>
        </w:tc>
        <w:tc>
          <w:tcPr>
            <w:tcW w:w="1658" w:type="pct"/>
            <w:shd w:val="clear" w:color="auto" w:fill="auto"/>
          </w:tcPr>
          <w:p w14:paraId="5E18D624" w14:textId="1C0C0A40" w:rsidR="00426DF2" w:rsidRPr="008B3F38" w:rsidRDefault="00426DF2" w:rsidP="00025DC3">
            <w:pPr>
              <w:pStyle w:val="Tabletext"/>
              <w:rPr>
                <w:sz w:val="18"/>
                <w:szCs w:val="18"/>
                <w:lang w:val="ru-RU"/>
              </w:rPr>
            </w:pPr>
            <w:r w:rsidRPr="008B3F38">
              <w:rPr>
                <w:sz w:val="18"/>
                <w:szCs w:val="18"/>
                <w:lang w:val="ru-RU"/>
              </w:rPr>
              <w:t>МСЭ принял к сведению Рекомендацию 7. МСЭ</w:t>
            </w:r>
            <w:r w:rsidR="00E70268" w:rsidRPr="008B3F38">
              <w:rPr>
                <w:sz w:val="18"/>
                <w:szCs w:val="18"/>
                <w:lang w:val="ru-RU"/>
              </w:rPr>
              <w:t> </w:t>
            </w:r>
            <w:r w:rsidRPr="008B3F38">
              <w:rPr>
                <w:sz w:val="18"/>
                <w:szCs w:val="18"/>
                <w:lang w:val="ru-RU"/>
              </w:rPr>
              <w:t>продолжит изучать возможности партнеров для выделения конкретных средств в каждом проекте на цели финансирования оценки этих проектов.</w:t>
            </w:r>
          </w:p>
          <w:p w14:paraId="79DBFE43" w14:textId="01782038" w:rsidR="00426DF2" w:rsidRPr="008B3F38" w:rsidRDefault="00426DF2" w:rsidP="00025DC3">
            <w:pPr>
              <w:pStyle w:val="Tabletext"/>
              <w:rPr>
                <w:sz w:val="18"/>
                <w:szCs w:val="18"/>
                <w:lang w:val="ru-RU"/>
              </w:rPr>
            </w:pPr>
            <w:r w:rsidRPr="008B3F38">
              <w:rPr>
                <w:sz w:val="18"/>
                <w:szCs w:val="18"/>
                <w:lang w:val="ru-RU"/>
              </w:rPr>
              <w:t>Обновленная информация на октябрь 2020 г.: Обновленная информация на октябрь 2020 г.: Как</w:t>
            </w:r>
            <w:r w:rsidR="00E70268" w:rsidRPr="008B3F38">
              <w:rPr>
                <w:sz w:val="18"/>
                <w:szCs w:val="18"/>
                <w:lang w:val="ru-RU"/>
              </w:rPr>
              <w:t> </w:t>
            </w:r>
            <w:r w:rsidRPr="008B3F38">
              <w:rPr>
                <w:sz w:val="18"/>
                <w:szCs w:val="18"/>
                <w:lang w:val="ru-RU"/>
              </w:rPr>
              <w:t xml:space="preserve">значится в Документе S20-CL-C-0074!!PDF-E.pdf (Документ </w:t>
            </w:r>
            <w:hyperlink r:id="rId38" w:history="1">
              <w:r w:rsidRPr="008B3F38">
                <w:rPr>
                  <w:rStyle w:val="Hyperlink"/>
                  <w:sz w:val="18"/>
                  <w:szCs w:val="18"/>
                  <w:lang w:val="ru-RU"/>
                </w:rPr>
                <w:t>C20/74</w:t>
              </w:r>
            </w:hyperlink>
            <w:r w:rsidRPr="008B3F38">
              <w:rPr>
                <w:sz w:val="18"/>
                <w:szCs w:val="18"/>
                <w:lang w:val="ru-RU"/>
              </w:rPr>
              <w:t xml:space="preserve"> от 5 октября 2020 г.), эта рекомендация находится в процессе выполнения. Мы</w:t>
            </w:r>
            <w:r w:rsidR="00E70268" w:rsidRPr="008B3F38">
              <w:rPr>
                <w:sz w:val="18"/>
                <w:szCs w:val="18"/>
                <w:lang w:val="ru-RU"/>
              </w:rPr>
              <w:t> </w:t>
            </w:r>
            <w:r w:rsidRPr="008B3F38">
              <w:rPr>
                <w:sz w:val="18"/>
                <w:szCs w:val="18"/>
                <w:lang w:val="ru-RU"/>
              </w:rPr>
              <w:t>отмечаем, что эта рекомендация требует двух действий: усиления мониторинга проектов в ходе их осуществления и мониторинга воздействия после их</w:t>
            </w:r>
            <w:r w:rsidR="00E70268" w:rsidRPr="008B3F38">
              <w:rPr>
                <w:sz w:val="18"/>
                <w:szCs w:val="18"/>
                <w:lang w:val="ru-RU"/>
              </w:rPr>
              <w:t> </w:t>
            </w:r>
            <w:r w:rsidRPr="008B3F38">
              <w:rPr>
                <w:sz w:val="18"/>
                <w:szCs w:val="18"/>
                <w:lang w:val="ru-RU"/>
              </w:rPr>
              <w:t>реализации.</w:t>
            </w:r>
          </w:p>
          <w:p w14:paraId="7E171B38" w14:textId="5CC6C29F" w:rsidR="00175E21" w:rsidRPr="008B3F38" w:rsidRDefault="00426DF2" w:rsidP="00025DC3">
            <w:pPr>
              <w:pStyle w:val="Tabletext"/>
              <w:rPr>
                <w:sz w:val="18"/>
                <w:szCs w:val="18"/>
                <w:lang w:val="ru-RU"/>
              </w:rPr>
            </w:pPr>
            <w:r w:rsidRPr="008B3F38">
              <w:rPr>
                <w:sz w:val="18"/>
                <w:szCs w:val="18"/>
                <w:lang w:val="ru-RU"/>
              </w:rPr>
              <w:t>Обновленная информация на май 2025 г.: В Уставе внутреннего надзора МСЭ установлена функция оценки, ведется процесс подбора на должность специалиста по оценке категории P4 (уже объявлено о конкурсе). Работа</w:t>
            </w:r>
            <w:r w:rsidR="00E70268" w:rsidRPr="008B3F38">
              <w:rPr>
                <w:sz w:val="18"/>
                <w:szCs w:val="18"/>
                <w:lang w:val="ru-RU"/>
              </w:rPr>
              <w:t> </w:t>
            </w:r>
            <w:r w:rsidRPr="008B3F38">
              <w:rPr>
                <w:sz w:val="18"/>
                <w:szCs w:val="18"/>
                <w:lang w:val="ru-RU"/>
              </w:rPr>
              <w:t>в рамках функции оценки заключается в</w:t>
            </w:r>
            <w:r w:rsidR="00E70268" w:rsidRPr="008B3F38">
              <w:rPr>
                <w:sz w:val="18"/>
                <w:szCs w:val="18"/>
                <w:lang w:val="ru-RU"/>
              </w:rPr>
              <w:t> </w:t>
            </w:r>
            <w:r w:rsidRPr="008B3F38">
              <w:rPr>
                <w:sz w:val="18"/>
                <w:szCs w:val="18"/>
                <w:lang w:val="ru-RU"/>
              </w:rPr>
              <w:t>следующем:</w:t>
            </w:r>
          </w:p>
          <w:p w14:paraId="5AD5D069" w14:textId="77777777" w:rsidR="00175E21" w:rsidRPr="008B3F38" w:rsidRDefault="00426DF2" w:rsidP="00025DC3">
            <w:pPr>
              <w:pStyle w:val="Tabletext"/>
              <w:ind w:left="284" w:hanging="284"/>
              <w:rPr>
                <w:sz w:val="18"/>
                <w:szCs w:val="18"/>
                <w:lang w:val="ru-RU"/>
              </w:rPr>
            </w:pPr>
            <w:r w:rsidRPr="008B3F38">
              <w:rPr>
                <w:sz w:val="18"/>
                <w:szCs w:val="18"/>
                <w:lang w:val="ru-RU"/>
              </w:rPr>
              <w:t>а)</w:t>
            </w:r>
            <w:r w:rsidR="00175E21" w:rsidRPr="008B3F38">
              <w:rPr>
                <w:sz w:val="18"/>
                <w:szCs w:val="18"/>
                <w:lang w:val="ru-RU"/>
              </w:rPr>
              <w:tab/>
            </w:r>
            <w:r w:rsidRPr="008B3F38">
              <w:rPr>
                <w:sz w:val="18"/>
                <w:szCs w:val="18"/>
                <w:lang w:val="ru-RU"/>
              </w:rPr>
              <w:t>разработка, подготовка и проведение программных и тематических оценок по сквозным темам;</w:t>
            </w:r>
          </w:p>
          <w:p w14:paraId="1BB971DE" w14:textId="50252D38" w:rsidR="00175E21" w:rsidRPr="008B3F38" w:rsidRDefault="00426DF2" w:rsidP="00025DC3">
            <w:pPr>
              <w:pStyle w:val="Tabletext"/>
              <w:ind w:left="284" w:hanging="284"/>
              <w:rPr>
                <w:sz w:val="18"/>
                <w:szCs w:val="18"/>
                <w:lang w:val="ru-RU"/>
              </w:rPr>
            </w:pPr>
            <w:r w:rsidRPr="008B3F38">
              <w:rPr>
                <w:sz w:val="18"/>
                <w:szCs w:val="18"/>
                <w:lang w:val="ru-RU"/>
              </w:rPr>
              <w:t>b)</w:t>
            </w:r>
            <w:r w:rsidR="00175E21" w:rsidRPr="008B3F38">
              <w:rPr>
                <w:sz w:val="18"/>
                <w:szCs w:val="18"/>
                <w:lang w:val="ru-RU"/>
              </w:rPr>
              <w:tab/>
            </w:r>
            <w:r w:rsidRPr="008B3F38">
              <w:rPr>
                <w:sz w:val="18"/>
                <w:szCs w:val="18"/>
                <w:lang w:val="ru-RU"/>
              </w:rPr>
              <w:t xml:space="preserve">выполнение функций руководителя по оценке для внешних оценок, проводимых по конкретным проектам/программам по запросу доноров, сотрудничающих организаций и т. д. Это включает, в частности, оказание поддержки руководителям </w:t>
            </w:r>
            <w:r w:rsidRPr="008B3F38">
              <w:rPr>
                <w:sz w:val="18"/>
                <w:szCs w:val="18"/>
                <w:lang w:val="ru-RU"/>
              </w:rPr>
              <w:lastRenderedPageBreak/>
              <w:t>проектов/программ в расширении возможностей проведения оценки путем правильного использования концепции преобразований, а также разработку круга ведения для внешних специалистов по оценке;</w:t>
            </w:r>
          </w:p>
          <w:p w14:paraId="3C26C5DF" w14:textId="77777777" w:rsidR="00175E21" w:rsidRPr="008B3F38" w:rsidRDefault="00426DF2" w:rsidP="00025DC3">
            <w:pPr>
              <w:pStyle w:val="Tabletext"/>
              <w:ind w:left="284" w:hanging="284"/>
              <w:rPr>
                <w:sz w:val="18"/>
                <w:szCs w:val="18"/>
                <w:lang w:val="ru-RU"/>
              </w:rPr>
            </w:pPr>
            <w:r w:rsidRPr="008B3F38">
              <w:rPr>
                <w:sz w:val="18"/>
                <w:szCs w:val="18"/>
                <w:lang w:val="ru-RU"/>
              </w:rPr>
              <w:t>с)</w:t>
            </w:r>
            <w:r w:rsidR="00175E21" w:rsidRPr="008B3F38">
              <w:rPr>
                <w:sz w:val="18"/>
                <w:szCs w:val="18"/>
                <w:lang w:val="ru-RU"/>
              </w:rPr>
              <w:tab/>
            </w:r>
            <w:r w:rsidRPr="008B3F38">
              <w:rPr>
                <w:sz w:val="18"/>
                <w:szCs w:val="18"/>
                <w:lang w:val="ru-RU"/>
              </w:rPr>
              <w:t xml:space="preserve">выработка рекомендаций по профилактическим или коррективным мерам, сформулированным на основе результатов оценки ПН; </w:t>
            </w:r>
          </w:p>
          <w:p w14:paraId="591B39A6" w14:textId="3D44A6EB" w:rsidR="00175E21" w:rsidRPr="008B3F38" w:rsidRDefault="00426DF2" w:rsidP="00025DC3">
            <w:pPr>
              <w:pStyle w:val="Tabletext"/>
              <w:ind w:left="284" w:hanging="284"/>
              <w:rPr>
                <w:sz w:val="18"/>
                <w:szCs w:val="18"/>
                <w:lang w:val="ru-RU"/>
              </w:rPr>
            </w:pPr>
            <w:r w:rsidRPr="008B3F38">
              <w:rPr>
                <w:sz w:val="18"/>
                <w:szCs w:val="18"/>
                <w:lang w:val="ru-RU"/>
              </w:rPr>
              <w:t>d)</w:t>
            </w:r>
            <w:r w:rsidR="00175E21" w:rsidRPr="008B3F38">
              <w:rPr>
                <w:sz w:val="18"/>
                <w:szCs w:val="18"/>
                <w:lang w:val="ru-RU"/>
              </w:rPr>
              <w:tab/>
            </w:r>
            <w:r w:rsidRPr="008B3F38">
              <w:rPr>
                <w:sz w:val="18"/>
                <w:szCs w:val="18"/>
                <w:lang w:val="ru-RU"/>
              </w:rPr>
              <w:t>контроль за выполнением рекомендаций по оценке, подготовленных ПН для руководителей;</w:t>
            </w:r>
          </w:p>
          <w:p w14:paraId="4049A542" w14:textId="0DC45C97" w:rsidR="00175E21" w:rsidRPr="008B3F38" w:rsidRDefault="00426DF2" w:rsidP="00025DC3">
            <w:pPr>
              <w:pStyle w:val="Tabletext"/>
              <w:ind w:left="284" w:hanging="284"/>
              <w:rPr>
                <w:sz w:val="18"/>
                <w:szCs w:val="18"/>
                <w:lang w:val="ru-RU"/>
              </w:rPr>
            </w:pPr>
            <w:r w:rsidRPr="008B3F38">
              <w:rPr>
                <w:sz w:val="18"/>
                <w:szCs w:val="18"/>
                <w:lang w:val="ru-RU"/>
              </w:rPr>
              <w:t>e)</w:t>
            </w:r>
            <w:r w:rsidR="00175E21" w:rsidRPr="008B3F38">
              <w:rPr>
                <w:sz w:val="18"/>
                <w:szCs w:val="18"/>
                <w:lang w:val="ru-RU"/>
              </w:rPr>
              <w:tab/>
            </w:r>
            <w:r w:rsidRPr="008B3F38">
              <w:rPr>
                <w:sz w:val="18"/>
                <w:szCs w:val="18"/>
                <w:lang w:val="ru-RU"/>
              </w:rPr>
              <w:t>разработка и обзор нормативных методик оценки, повышающих качество и актуальность функции оценки в МСЭ;</w:t>
            </w:r>
          </w:p>
          <w:p w14:paraId="097A63FD" w14:textId="4120D0D1" w:rsidR="00175E21" w:rsidRPr="008B3F38" w:rsidRDefault="00426DF2" w:rsidP="00025DC3">
            <w:pPr>
              <w:pStyle w:val="Tabletext"/>
              <w:ind w:left="284" w:hanging="284"/>
              <w:rPr>
                <w:sz w:val="18"/>
                <w:szCs w:val="18"/>
                <w:lang w:val="ru-RU"/>
              </w:rPr>
            </w:pPr>
            <w:r w:rsidRPr="008B3F38">
              <w:rPr>
                <w:sz w:val="18"/>
                <w:szCs w:val="18"/>
                <w:lang w:val="ru-RU"/>
              </w:rPr>
              <w:t>f)</w:t>
            </w:r>
            <w:r w:rsidR="00175E21" w:rsidRPr="008B3F38">
              <w:rPr>
                <w:sz w:val="18"/>
                <w:szCs w:val="18"/>
                <w:lang w:val="ru-RU"/>
              </w:rPr>
              <w:tab/>
            </w:r>
            <w:r w:rsidRPr="008B3F38">
              <w:rPr>
                <w:sz w:val="18"/>
                <w:szCs w:val="18"/>
                <w:lang w:val="ru-RU"/>
              </w:rPr>
              <w:t>обеспечение руководящих указаний, технической поддержки и подготовки персонала МСЭ, участвующего в деятельности по мониторингу и оценке в рамках всей Организации;</w:t>
            </w:r>
          </w:p>
          <w:p w14:paraId="28265118" w14:textId="22F7B21A" w:rsidR="00175E21" w:rsidRPr="008B3F38" w:rsidRDefault="00426DF2" w:rsidP="00025DC3">
            <w:pPr>
              <w:pStyle w:val="Tabletext"/>
              <w:ind w:left="284" w:hanging="284"/>
              <w:rPr>
                <w:sz w:val="18"/>
                <w:szCs w:val="18"/>
                <w:lang w:val="ru-RU"/>
              </w:rPr>
            </w:pPr>
            <w:r w:rsidRPr="008B3F38">
              <w:rPr>
                <w:sz w:val="18"/>
                <w:szCs w:val="18"/>
                <w:lang w:val="ru-RU"/>
              </w:rPr>
              <w:t>g)</w:t>
            </w:r>
            <w:r w:rsidR="00175E21" w:rsidRPr="008B3F38">
              <w:rPr>
                <w:sz w:val="18"/>
                <w:szCs w:val="18"/>
                <w:lang w:val="ru-RU"/>
              </w:rPr>
              <w:tab/>
            </w:r>
            <w:r w:rsidRPr="008B3F38">
              <w:rPr>
                <w:sz w:val="18"/>
                <w:szCs w:val="18"/>
                <w:lang w:val="ru-RU"/>
              </w:rPr>
              <w:t>проведение оценки того, насколько проекты, программы, планы и цели выполняются и способствуют достижению устойчивых результатов; и</w:t>
            </w:r>
          </w:p>
          <w:p w14:paraId="3B6FFB75" w14:textId="13785090" w:rsidR="00175E21" w:rsidRPr="008B3F38" w:rsidRDefault="00426DF2" w:rsidP="00025DC3">
            <w:pPr>
              <w:pStyle w:val="Tabletext"/>
              <w:ind w:left="284" w:hanging="284"/>
              <w:rPr>
                <w:sz w:val="18"/>
                <w:szCs w:val="18"/>
                <w:lang w:val="ru-RU"/>
              </w:rPr>
            </w:pPr>
            <w:r w:rsidRPr="008B3F38">
              <w:rPr>
                <w:sz w:val="18"/>
                <w:szCs w:val="18"/>
                <w:lang w:val="ru-RU"/>
              </w:rPr>
              <w:t>h)</w:t>
            </w:r>
            <w:r w:rsidR="00175E21" w:rsidRPr="008B3F38">
              <w:rPr>
                <w:sz w:val="18"/>
                <w:szCs w:val="18"/>
                <w:lang w:val="ru-RU"/>
              </w:rPr>
              <w:tab/>
            </w:r>
            <w:r w:rsidRPr="008B3F38">
              <w:rPr>
                <w:sz w:val="18"/>
                <w:szCs w:val="18"/>
                <w:lang w:val="ru-RU"/>
              </w:rPr>
              <w:t>содействие формированию культуры принятия решений на основе фактических данных и, как следствие, укрепление систем и практики мониторинга и оценки.</w:t>
            </w:r>
          </w:p>
          <w:p w14:paraId="07B652B8" w14:textId="63E0A03C" w:rsidR="00426DF2" w:rsidRPr="008B3F38" w:rsidRDefault="00426DF2" w:rsidP="00025DC3">
            <w:pPr>
              <w:pStyle w:val="Tabletext"/>
              <w:rPr>
                <w:sz w:val="18"/>
                <w:szCs w:val="18"/>
                <w:lang w:val="ru-RU"/>
              </w:rPr>
            </w:pPr>
            <w:r w:rsidRPr="008B3F38">
              <w:rPr>
                <w:sz w:val="18"/>
                <w:szCs w:val="18"/>
                <w:lang w:val="ru-RU"/>
              </w:rPr>
              <w:t>Кроме того, в Руководстве по управлению проектами, принятом на уровне БРЭ, разъясняются функции и обязанности, связанные с процессом оценки проектов.</w:t>
            </w:r>
          </w:p>
          <w:p w14:paraId="7890126A" w14:textId="58CC9C45" w:rsidR="00426DF2" w:rsidRPr="008B3F38" w:rsidRDefault="00426DF2" w:rsidP="00025DC3">
            <w:pPr>
              <w:pStyle w:val="Tabletext"/>
              <w:rPr>
                <w:sz w:val="18"/>
                <w:szCs w:val="18"/>
                <w:lang w:val="ru-RU"/>
              </w:rPr>
            </w:pPr>
            <w:r w:rsidRPr="008B3F38">
              <w:rPr>
                <w:sz w:val="18"/>
                <w:szCs w:val="18"/>
                <w:lang w:val="ru-RU"/>
              </w:rPr>
              <w:t>МСЭ считает, что эта рекомендация находится в процессе</w:t>
            </w:r>
            <w:r w:rsidR="00E70268" w:rsidRPr="008B3F38">
              <w:rPr>
                <w:sz w:val="18"/>
                <w:szCs w:val="18"/>
                <w:lang w:val="ru-RU"/>
              </w:rPr>
              <w:t> </w:t>
            </w:r>
            <w:r w:rsidRPr="008B3F38">
              <w:rPr>
                <w:sz w:val="18"/>
                <w:szCs w:val="18"/>
                <w:lang w:val="ru-RU"/>
              </w:rPr>
              <w:t>выполнения.</w:t>
            </w:r>
          </w:p>
        </w:tc>
        <w:tc>
          <w:tcPr>
            <w:tcW w:w="1137" w:type="pct"/>
            <w:shd w:val="clear" w:color="auto" w:fill="auto"/>
          </w:tcPr>
          <w:p w14:paraId="4A1F67D7" w14:textId="77777777" w:rsidR="00426DF2" w:rsidRPr="008B3F38" w:rsidRDefault="00426DF2" w:rsidP="00025DC3">
            <w:pPr>
              <w:pStyle w:val="Tabletext"/>
              <w:rPr>
                <w:sz w:val="18"/>
                <w:szCs w:val="18"/>
                <w:lang w:val="ru-RU"/>
              </w:rPr>
            </w:pPr>
            <w:r w:rsidRPr="008B3F38">
              <w:rPr>
                <w:sz w:val="18"/>
                <w:szCs w:val="18"/>
                <w:lang w:val="ru-RU"/>
              </w:rPr>
              <w:lastRenderedPageBreak/>
              <w:t>Последний ответ принят к сведению. Как отмечалось во второй части настоящего отчета, функция оценки в рамках Подразделения по надзору пока еще не обеспечена ресурсами. Данная рекомендация еще выполняется.</w:t>
            </w:r>
          </w:p>
        </w:tc>
        <w:tc>
          <w:tcPr>
            <w:tcW w:w="442" w:type="pct"/>
            <w:gridSpan w:val="2"/>
            <w:shd w:val="clear" w:color="auto" w:fill="auto"/>
          </w:tcPr>
          <w:p w14:paraId="31DF7C59" w14:textId="77777777" w:rsidR="00426DF2" w:rsidRPr="008B3F38" w:rsidRDefault="00426DF2" w:rsidP="00025DC3">
            <w:pPr>
              <w:pStyle w:val="Tabletext"/>
              <w:ind w:right="-57"/>
              <w:rPr>
                <w:sz w:val="18"/>
                <w:szCs w:val="18"/>
                <w:lang w:val="ru-RU"/>
              </w:rPr>
            </w:pPr>
            <w:r w:rsidRPr="008B3F38">
              <w:rPr>
                <w:sz w:val="18"/>
                <w:szCs w:val="18"/>
                <w:lang w:val="ru-RU"/>
              </w:rPr>
              <w:t>Выполняется.</w:t>
            </w:r>
          </w:p>
        </w:tc>
      </w:tr>
      <w:tr w:rsidR="00426DF2" w:rsidRPr="008B3F38" w14:paraId="583F5A3C" w14:textId="77777777" w:rsidTr="008A2FDE">
        <w:trPr>
          <w:jc w:val="center"/>
        </w:trPr>
        <w:tc>
          <w:tcPr>
            <w:tcW w:w="353" w:type="pct"/>
            <w:shd w:val="clear" w:color="auto" w:fill="auto"/>
          </w:tcPr>
          <w:p w14:paraId="7DE701C1" w14:textId="77777777" w:rsidR="00426DF2" w:rsidRPr="008B3F38" w:rsidRDefault="00426DF2" w:rsidP="00025DC3">
            <w:pPr>
              <w:pStyle w:val="Tabletext"/>
              <w:rPr>
                <w:sz w:val="18"/>
                <w:szCs w:val="18"/>
                <w:lang w:val="ru-RU"/>
              </w:rPr>
            </w:pPr>
            <w:r w:rsidRPr="008B3F38">
              <w:rPr>
                <w:sz w:val="18"/>
                <w:szCs w:val="18"/>
                <w:lang w:val="ru-RU"/>
              </w:rPr>
              <w:t>РЕК8</w:t>
            </w:r>
          </w:p>
        </w:tc>
        <w:tc>
          <w:tcPr>
            <w:tcW w:w="1410" w:type="pct"/>
            <w:gridSpan w:val="2"/>
            <w:shd w:val="clear" w:color="auto" w:fill="auto"/>
          </w:tcPr>
          <w:p w14:paraId="223B3AB5" w14:textId="433BEEF8" w:rsidR="00426DF2" w:rsidRPr="008B3F38" w:rsidRDefault="00426DF2" w:rsidP="00025DC3">
            <w:pPr>
              <w:pStyle w:val="Tabletext"/>
              <w:rPr>
                <w:sz w:val="18"/>
                <w:szCs w:val="18"/>
                <w:lang w:val="ru-RU"/>
              </w:rPr>
            </w:pPr>
            <w:r w:rsidRPr="008B3F38">
              <w:rPr>
                <w:sz w:val="18"/>
                <w:szCs w:val="18"/>
                <w:lang w:val="ru-RU"/>
              </w:rPr>
              <w:t>Следует создать инструмент для комплексного анализа рисков, который должен быть увязан с задачами, изложенными в Рез. 25 ПК. Он</w:t>
            </w:r>
            <w:r w:rsidR="00175E21" w:rsidRPr="008B3F38">
              <w:rPr>
                <w:sz w:val="18"/>
                <w:szCs w:val="18"/>
                <w:lang w:val="ru-RU"/>
              </w:rPr>
              <w:t> </w:t>
            </w:r>
            <w:r w:rsidRPr="008B3F38">
              <w:rPr>
                <w:sz w:val="18"/>
                <w:szCs w:val="18"/>
                <w:lang w:val="ru-RU"/>
              </w:rPr>
              <w:t>должен быть доступен для совместного пользования в штаб-квартире и РО.</w:t>
            </w:r>
          </w:p>
        </w:tc>
        <w:tc>
          <w:tcPr>
            <w:tcW w:w="1658" w:type="pct"/>
            <w:shd w:val="clear" w:color="auto" w:fill="auto"/>
          </w:tcPr>
          <w:p w14:paraId="5547F351" w14:textId="77777777" w:rsidR="00426DF2" w:rsidRPr="008B3F38" w:rsidRDefault="00426DF2" w:rsidP="00025DC3">
            <w:pPr>
              <w:pStyle w:val="Tabletext"/>
              <w:rPr>
                <w:sz w:val="18"/>
                <w:szCs w:val="18"/>
                <w:lang w:val="ru-RU"/>
              </w:rPr>
            </w:pPr>
            <w:r w:rsidRPr="008B3F38">
              <w:rPr>
                <w:sz w:val="18"/>
                <w:szCs w:val="18"/>
                <w:lang w:val="ru-RU"/>
              </w:rPr>
              <w:t>Обновленная информация на май 2025 г.: специальный инструмент оценки рисков (PRJ) в настоящее время имеется для всех проектов на уровне БРЭ.</w:t>
            </w:r>
          </w:p>
          <w:p w14:paraId="444E41CB" w14:textId="12490288" w:rsidR="00426DF2" w:rsidRPr="008B3F38" w:rsidRDefault="00426DF2" w:rsidP="00025DC3">
            <w:pPr>
              <w:pStyle w:val="Tabletext"/>
              <w:rPr>
                <w:sz w:val="18"/>
                <w:szCs w:val="18"/>
                <w:lang w:val="ru-RU"/>
              </w:rPr>
            </w:pPr>
            <w:r w:rsidRPr="008B3F38">
              <w:rPr>
                <w:sz w:val="18"/>
                <w:szCs w:val="18"/>
                <w:lang w:val="ru-RU"/>
              </w:rPr>
              <w:t>МСЭ рекомендует продолжить выполнение этой</w:t>
            </w:r>
            <w:r w:rsidR="00E70268" w:rsidRPr="008B3F38">
              <w:rPr>
                <w:sz w:val="18"/>
                <w:szCs w:val="18"/>
                <w:lang w:val="ru-RU"/>
              </w:rPr>
              <w:t> </w:t>
            </w:r>
            <w:r w:rsidRPr="008B3F38">
              <w:rPr>
                <w:sz w:val="18"/>
                <w:szCs w:val="18"/>
                <w:lang w:val="ru-RU"/>
              </w:rPr>
              <w:t>рекомендации.</w:t>
            </w:r>
          </w:p>
        </w:tc>
        <w:tc>
          <w:tcPr>
            <w:tcW w:w="1137" w:type="pct"/>
            <w:shd w:val="clear" w:color="auto" w:fill="auto"/>
          </w:tcPr>
          <w:p w14:paraId="093EDAA5" w14:textId="77777777" w:rsidR="00426DF2" w:rsidRPr="008B3F38" w:rsidRDefault="00426DF2" w:rsidP="00025DC3">
            <w:pPr>
              <w:pStyle w:val="Tabletext"/>
              <w:rPr>
                <w:sz w:val="18"/>
                <w:szCs w:val="18"/>
                <w:lang w:val="ru-RU"/>
              </w:rPr>
            </w:pPr>
            <w:r w:rsidRPr="008B3F38">
              <w:rPr>
                <w:sz w:val="18"/>
                <w:szCs w:val="18"/>
                <w:lang w:val="ru-RU"/>
              </w:rPr>
              <w:t>Последний ответ принят к сведению. По нашему мнению, принятые меры не отвечают этой рекомендации и, как было отмечено во второй части настоящего отчета, управление рисками остается неэффективным; поэтому мы рекомендовали проанализировать эффективность существующих механизмов управления рисками.</w:t>
            </w:r>
          </w:p>
        </w:tc>
        <w:tc>
          <w:tcPr>
            <w:tcW w:w="442" w:type="pct"/>
            <w:gridSpan w:val="2"/>
            <w:shd w:val="clear" w:color="auto" w:fill="auto"/>
          </w:tcPr>
          <w:p w14:paraId="4B56B3DF" w14:textId="77777777" w:rsidR="00426DF2" w:rsidRPr="008B3F38" w:rsidRDefault="00426DF2" w:rsidP="00025DC3">
            <w:pPr>
              <w:pStyle w:val="Tabletext"/>
              <w:ind w:right="-57"/>
              <w:rPr>
                <w:sz w:val="18"/>
                <w:szCs w:val="18"/>
                <w:lang w:val="ru-RU"/>
              </w:rPr>
            </w:pPr>
            <w:r w:rsidRPr="008B3F38">
              <w:rPr>
                <w:sz w:val="18"/>
                <w:szCs w:val="18"/>
                <w:lang w:val="ru-RU"/>
              </w:rPr>
              <w:t>Выполняется.</w:t>
            </w:r>
          </w:p>
        </w:tc>
      </w:tr>
      <w:tr w:rsidR="00426DF2" w:rsidRPr="008B3F38" w14:paraId="755FC9CD" w14:textId="77777777" w:rsidTr="008A2FDE">
        <w:trPr>
          <w:jc w:val="center"/>
        </w:trPr>
        <w:tc>
          <w:tcPr>
            <w:tcW w:w="353" w:type="pct"/>
            <w:shd w:val="clear" w:color="auto" w:fill="auto"/>
          </w:tcPr>
          <w:p w14:paraId="1175A30A" w14:textId="77777777" w:rsidR="00426DF2" w:rsidRPr="008B3F38" w:rsidRDefault="00426DF2" w:rsidP="00025DC3">
            <w:pPr>
              <w:pStyle w:val="Tabletext"/>
              <w:rPr>
                <w:sz w:val="18"/>
                <w:szCs w:val="18"/>
                <w:lang w:val="ru-RU"/>
              </w:rPr>
            </w:pPr>
            <w:r w:rsidRPr="008B3F38">
              <w:rPr>
                <w:sz w:val="18"/>
                <w:szCs w:val="18"/>
                <w:lang w:val="ru-RU"/>
              </w:rPr>
              <w:lastRenderedPageBreak/>
              <w:t>РЕК9</w:t>
            </w:r>
          </w:p>
        </w:tc>
        <w:tc>
          <w:tcPr>
            <w:tcW w:w="1410" w:type="pct"/>
            <w:gridSpan w:val="2"/>
            <w:shd w:val="clear" w:color="auto" w:fill="auto"/>
          </w:tcPr>
          <w:p w14:paraId="68FC780B" w14:textId="15F2CA77" w:rsidR="00426DF2" w:rsidRPr="008B3F38" w:rsidRDefault="00426DF2" w:rsidP="00025DC3">
            <w:pPr>
              <w:pStyle w:val="Tabletext"/>
              <w:rPr>
                <w:sz w:val="18"/>
                <w:szCs w:val="18"/>
                <w:lang w:val="ru-RU"/>
              </w:rPr>
            </w:pPr>
            <w:r w:rsidRPr="008B3F38">
              <w:rPr>
                <w:sz w:val="18"/>
                <w:szCs w:val="18"/>
                <w:lang w:val="ru-RU"/>
              </w:rPr>
              <w:t>IAU следует осуществлять контроль за выполнением своих рекомендаций и считать их "закрытыми" только в том случае, если этому имеются достаточные доказательства.</w:t>
            </w:r>
          </w:p>
        </w:tc>
        <w:tc>
          <w:tcPr>
            <w:tcW w:w="1658" w:type="pct"/>
            <w:shd w:val="clear" w:color="auto" w:fill="auto"/>
          </w:tcPr>
          <w:p w14:paraId="38962DCA" w14:textId="77777777" w:rsidR="00426DF2" w:rsidRPr="008B3F38" w:rsidRDefault="00426DF2" w:rsidP="00025DC3">
            <w:pPr>
              <w:pStyle w:val="Tabletext"/>
              <w:rPr>
                <w:sz w:val="18"/>
                <w:szCs w:val="18"/>
                <w:lang w:val="ru-RU"/>
              </w:rPr>
            </w:pPr>
            <w:r w:rsidRPr="008B3F38">
              <w:rPr>
                <w:sz w:val="18"/>
                <w:szCs w:val="18"/>
                <w:lang w:val="ru-RU"/>
              </w:rPr>
              <w:t>Рекомендация 9 должным образом принимается к сведению, и рекомендации IAU не будут закрыты, если соответствующие руководители не предоставят надлежащее доказательство их выполнения, также учитывая эффективность затрат и приоритеты, когда остаточный риск частичного невыполнения рекомендаций IAU крайне мал.</w:t>
            </w:r>
          </w:p>
          <w:p w14:paraId="74677885" w14:textId="77777777" w:rsidR="00426DF2" w:rsidRPr="008B3F38" w:rsidRDefault="00426DF2" w:rsidP="00025DC3">
            <w:pPr>
              <w:pStyle w:val="Tabletext"/>
              <w:rPr>
                <w:sz w:val="18"/>
                <w:szCs w:val="18"/>
                <w:lang w:val="ru-RU"/>
              </w:rPr>
            </w:pPr>
            <w:r w:rsidRPr="008B3F38">
              <w:rPr>
                <w:sz w:val="18"/>
                <w:szCs w:val="18"/>
                <w:lang w:val="ru-RU"/>
              </w:rPr>
              <w:t>Обновленная информация на май 2025 г.: Подразделение внутреннего аудита периодически отслеживает ход выполнения рекомендаций в соответствии с глобальными стандартами IIA и передовой практикой. В течение 2025 года планируется провести внешний обзор обеспечения качества внутреннего аудита.</w:t>
            </w:r>
          </w:p>
          <w:p w14:paraId="408773DD" w14:textId="1E4DED68" w:rsidR="00426DF2" w:rsidRPr="008B3F38" w:rsidRDefault="00426DF2" w:rsidP="00025DC3">
            <w:pPr>
              <w:pStyle w:val="Tabletext"/>
              <w:rPr>
                <w:sz w:val="18"/>
                <w:szCs w:val="18"/>
                <w:lang w:val="ru-RU"/>
              </w:rPr>
            </w:pPr>
            <w:r w:rsidRPr="008B3F38">
              <w:rPr>
                <w:sz w:val="18"/>
                <w:szCs w:val="18"/>
                <w:lang w:val="ru-RU"/>
              </w:rPr>
              <w:t>МСЭ рекомендовал закрыть эту рекомендацию.</w:t>
            </w:r>
          </w:p>
        </w:tc>
        <w:tc>
          <w:tcPr>
            <w:tcW w:w="1137" w:type="pct"/>
            <w:shd w:val="clear" w:color="auto" w:fill="auto"/>
          </w:tcPr>
          <w:p w14:paraId="2774AE58" w14:textId="2E996EC5" w:rsidR="00426DF2" w:rsidRPr="008B3F38" w:rsidRDefault="00426DF2" w:rsidP="00025DC3">
            <w:pPr>
              <w:pStyle w:val="Tabletext"/>
              <w:rPr>
                <w:sz w:val="18"/>
                <w:szCs w:val="18"/>
                <w:lang w:val="ru-RU"/>
              </w:rPr>
            </w:pPr>
            <w:r w:rsidRPr="008B3F38">
              <w:rPr>
                <w:sz w:val="18"/>
                <w:szCs w:val="18"/>
                <w:lang w:val="ru-RU"/>
              </w:rPr>
              <w:t xml:space="preserve">Закрыта Государственной счетной палатой Италии в ее заключительном отчете (Приложение 3: </w:t>
            </w:r>
            <w:hyperlink r:id="rId39" w:history="1">
              <w:r w:rsidRPr="008B3F38">
                <w:rPr>
                  <w:rStyle w:val="Hyperlink"/>
                  <w:sz w:val="18"/>
                  <w:szCs w:val="18"/>
                  <w:lang w:val="ru-RU"/>
                </w:rPr>
                <w:t>C22/101</w:t>
              </w:r>
            </w:hyperlink>
            <w:r w:rsidRPr="008B3F38">
              <w:rPr>
                <w:sz w:val="18"/>
                <w:szCs w:val="18"/>
                <w:lang w:val="ru-RU"/>
              </w:rPr>
              <w:t>).</w:t>
            </w:r>
          </w:p>
          <w:p w14:paraId="42511D44" w14:textId="77777777" w:rsidR="00426DF2" w:rsidRPr="008B3F38" w:rsidRDefault="00426DF2" w:rsidP="00025DC3">
            <w:pPr>
              <w:pStyle w:val="Tabletext"/>
              <w:rPr>
                <w:sz w:val="18"/>
                <w:szCs w:val="18"/>
                <w:lang w:val="ru-RU"/>
              </w:rPr>
            </w:pPr>
            <w:r w:rsidRPr="008B3F38">
              <w:rPr>
                <w:sz w:val="18"/>
                <w:szCs w:val="18"/>
                <w:lang w:val="ru-RU"/>
              </w:rPr>
              <w:t>МСЭ следует проанализировать результаты недавно проведенной работы и то, как он участвует в подготовке информационной панели и отчитывается об этих результатах через IMAC.</w:t>
            </w:r>
          </w:p>
        </w:tc>
        <w:tc>
          <w:tcPr>
            <w:tcW w:w="442" w:type="pct"/>
            <w:gridSpan w:val="2"/>
            <w:shd w:val="clear" w:color="auto" w:fill="auto"/>
          </w:tcPr>
          <w:p w14:paraId="3CDC957E" w14:textId="77777777" w:rsidR="00426DF2" w:rsidRPr="008B3F38" w:rsidRDefault="00426DF2" w:rsidP="00025DC3">
            <w:pPr>
              <w:pStyle w:val="Tabletext"/>
              <w:ind w:right="-57"/>
              <w:rPr>
                <w:sz w:val="18"/>
                <w:szCs w:val="18"/>
                <w:lang w:val="ru-RU"/>
              </w:rPr>
            </w:pPr>
            <w:r w:rsidRPr="008B3F38">
              <w:rPr>
                <w:sz w:val="18"/>
                <w:szCs w:val="18"/>
                <w:lang w:val="ru-RU"/>
              </w:rPr>
              <w:t>Закрыта.</w:t>
            </w:r>
          </w:p>
        </w:tc>
      </w:tr>
      <w:tr w:rsidR="00426DF2" w:rsidRPr="008B3F38" w14:paraId="16971BA5" w14:textId="77777777" w:rsidTr="008A2FDE">
        <w:trPr>
          <w:jc w:val="center"/>
        </w:trPr>
        <w:tc>
          <w:tcPr>
            <w:tcW w:w="353" w:type="pct"/>
            <w:shd w:val="clear" w:color="auto" w:fill="auto"/>
          </w:tcPr>
          <w:p w14:paraId="76CDC52A" w14:textId="77777777" w:rsidR="00426DF2" w:rsidRPr="008B3F38" w:rsidRDefault="00426DF2" w:rsidP="00025DC3">
            <w:pPr>
              <w:pStyle w:val="Tabletext"/>
              <w:rPr>
                <w:sz w:val="18"/>
                <w:szCs w:val="18"/>
                <w:lang w:val="ru-RU"/>
              </w:rPr>
            </w:pPr>
            <w:r w:rsidRPr="008B3F38">
              <w:rPr>
                <w:sz w:val="18"/>
                <w:szCs w:val="18"/>
                <w:lang w:val="ru-RU"/>
              </w:rPr>
              <w:t>РЕК10</w:t>
            </w:r>
          </w:p>
        </w:tc>
        <w:tc>
          <w:tcPr>
            <w:tcW w:w="1410" w:type="pct"/>
            <w:gridSpan w:val="2"/>
            <w:shd w:val="clear" w:color="auto" w:fill="auto"/>
          </w:tcPr>
          <w:p w14:paraId="4F11DAA9" w14:textId="77777777" w:rsidR="00426DF2" w:rsidRPr="008B3F38" w:rsidRDefault="00426DF2" w:rsidP="00025DC3">
            <w:pPr>
              <w:pStyle w:val="Tabletext"/>
              <w:rPr>
                <w:sz w:val="18"/>
                <w:szCs w:val="18"/>
                <w:lang w:val="ru-RU"/>
              </w:rPr>
            </w:pPr>
            <w:r w:rsidRPr="008B3F38">
              <w:rPr>
                <w:sz w:val="18"/>
                <w:szCs w:val="18"/>
                <w:lang w:val="ru-RU"/>
              </w:rPr>
              <w:t>Рекомендуется активизировать усилия, чтобы заключить Соглашение с принимающей страной и тем самым защитить роль и интересы МСЭ.</w:t>
            </w:r>
          </w:p>
        </w:tc>
        <w:tc>
          <w:tcPr>
            <w:tcW w:w="1658" w:type="pct"/>
            <w:shd w:val="clear" w:color="auto" w:fill="auto"/>
          </w:tcPr>
          <w:p w14:paraId="7AFE6FB7" w14:textId="004AB643" w:rsidR="00426DF2" w:rsidRPr="008B3F38" w:rsidRDefault="00426DF2" w:rsidP="00025DC3">
            <w:pPr>
              <w:pStyle w:val="Tabletext"/>
              <w:rPr>
                <w:sz w:val="18"/>
                <w:szCs w:val="18"/>
                <w:lang w:val="ru-RU"/>
              </w:rPr>
            </w:pPr>
            <w:r w:rsidRPr="008B3F38">
              <w:rPr>
                <w:sz w:val="18"/>
                <w:szCs w:val="18"/>
                <w:lang w:val="ru-RU"/>
              </w:rPr>
              <w:t>Обновленная информация на май 2025 года: Зональное отделение МСЭ в Сантьяго-де-Чили в настоящее время размещено в помещениях одного из учреждений ООН, и мы опираемся на существующие договоренности с правительством. Была проведена работа по заключению</w:t>
            </w:r>
            <w:r w:rsidR="00175E21" w:rsidRPr="008B3F38">
              <w:rPr>
                <w:sz w:val="18"/>
                <w:szCs w:val="18"/>
                <w:lang w:val="ru-RU"/>
              </w:rPr>
              <w:t> </w:t>
            </w:r>
            <w:r w:rsidRPr="008B3F38">
              <w:rPr>
                <w:sz w:val="18"/>
                <w:szCs w:val="18"/>
                <w:lang w:val="ru-RU"/>
              </w:rPr>
              <w:t>СПС.</w:t>
            </w:r>
          </w:p>
          <w:p w14:paraId="0E10B605" w14:textId="32FA8070" w:rsidR="00426DF2" w:rsidRPr="008B3F38" w:rsidRDefault="00426DF2" w:rsidP="00025DC3">
            <w:pPr>
              <w:pStyle w:val="Tabletext"/>
              <w:rPr>
                <w:sz w:val="18"/>
                <w:szCs w:val="18"/>
                <w:lang w:val="ru-RU"/>
              </w:rPr>
            </w:pPr>
            <w:r w:rsidRPr="008B3F38">
              <w:rPr>
                <w:sz w:val="18"/>
                <w:szCs w:val="18"/>
                <w:lang w:val="ru-RU"/>
              </w:rPr>
              <w:t>МСЭ считает, что эта рекомендация находится в процессе</w:t>
            </w:r>
            <w:r w:rsidR="00E70268" w:rsidRPr="008B3F38">
              <w:rPr>
                <w:sz w:val="18"/>
                <w:szCs w:val="18"/>
                <w:lang w:val="ru-RU"/>
              </w:rPr>
              <w:t> </w:t>
            </w:r>
            <w:r w:rsidRPr="008B3F38">
              <w:rPr>
                <w:sz w:val="18"/>
                <w:szCs w:val="18"/>
                <w:lang w:val="ru-RU"/>
              </w:rPr>
              <w:t>выполнения.</w:t>
            </w:r>
          </w:p>
        </w:tc>
        <w:tc>
          <w:tcPr>
            <w:tcW w:w="1137" w:type="pct"/>
            <w:shd w:val="clear" w:color="auto" w:fill="auto"/>
          </w:tcPr>
          <w:p w14:paraId="32239F15" w14:textId="4F1E08C0" w:rsidR="00426DF2" w:rsidRPr="008B3F38" w:rsidRDefault="00426DF2" w:rsidP="00025DC3">
            <w:pPr>
              <w:pStyle w:val="Tabletext"/>
              <w:rPr>
                <w:sz w:val="18"/>
                <w:szCs w:val="18"/>
                <w:lang w:val="ru-RU"/>
              </w:rPr>
            </w:pPr>
            <w:r w:rsidRPr="008B3F38">
              <w:rPr>
                <w:sz w:val="18"/>
                <w:szCs w:val="18"/>
                <w:lang w:val="ru-RU"/>
              </w:rPr>
              <w:t>Последний ответ принят к сведению.</w:t>
            </w:r>
          </w:p>
        </w:tc>
        <w:tc>
          <w:tcPr>
            <w:tcW w:w="442" w:type="pct"/>
            <w:gridSpan w:val="2"/>
            <w:shd w:val="clear" w:color="auto" w:fill="auto"/>
          </w:tcPr>
          <w:p w14:paraId="1B9AA420" w14:textId="77777777" w:rsidR="00426DF2" w:rsidRPr="008B3F38" w:rsidRDefault="00426DF2" w:rsidP="00025DC3">
            <w:pPr>
              <w:pStyle w:val="Tabletext"/>
              <w:ind w:right="-57"/>
              <w:rPr>
                <w:sz w:val="18"/>
                <w:szCs w:val="18"/>
                <w:lang w:val="ru-RU"/>
              </w:rPr>
            </w:pPr>
            <w:r w:rsidRPr="008B3F38">
              <w:rPr>
                <w:sz w:val="18"/>
                <w:szCs w:val="18"/>
                <w:lang w:val="ru-RU"/>
              </w:rPr>
              <w:t>Выполняется.</w:t>
            </w:r>
          </w:p>
        </w:tc>
      </w:tr>
      <w:tr w:rsidR="00426DF2" w:rsidRPr="008B3F38" w14:paraId="6185AC74" w14:textId="77777777" w:rsidTr="008A2FDE">
        <w:trPr>
          <w:jc w:val="center"/>
        </w:trPr>
        <w:tc>
          <w:tcPr>
            <w:tcW w:w="353" w:type="pct"/>
            <w:shd w:val="clear" w:color="auto" w:fill="auto"/>
          </w:tcPr>
          <w:p w14:paraId="3E0C4F60" w14:textId="77777777" w:rsidR="00426DF2" w:rsidRPr="008B3F38" w:rsidRDefault="00426DF2" w:rsidP="00025DC3">
            <w:pPr>
              <w:pStyle w:val="Tabletext"/>
              <w:rPr>
                <w:sz w:val="18"/>
                <w:szCs w:val="18"/>
                <w:lang w:val="ru-RU"/>
              </w:rPr>
            </w:pPr>
            <w:r w:rsidRPr="008B3F38">
              <w:rPr>
                <w:sz w:val="18"/>
                <w:szCs w:val="18"/>
                <w:lang w:val="ru-RU"/>
              </w:rPr>
              <w:t>РЕК11</w:t>
            </w:r>
          </w:p>
        </w:tc>
        <w:tc>
          <w:tcPr>
            <w:tcW w:w="1410" w:type="pct"/>
            <w:gridSpan w:val="2"/>
            <w:shd w:val="clear" w:color="auto" w:fill="auto"/>
          </w:tcPr>
          <w:p w14:paraId="794DE5D2" w14:textId="77777777" w:rsidR="00426DF2" w:rsidRPr="008B3F38" w:rsidRDefault="00426DF2" w:rsidP="00025DC3">
            <w:pPr>
              <w:pStyle w:val="Tabletext"/>
              <w:rPr>
                <w:sz w:val="18"/>
                <w:szCs w:val="18"/>
                <w:lang w:val="ru-RU"/>
              </w:rPr>
            </w:pPr>
            <w:r w:rsidRPr="008B3F38">
              <w:rPr>
                <w:sz w:val="18"/>
                <w:szCs w:val="18"/>
                <w:lang w:val="ru-RU"/>
              </w:rPr>
              <w:t>Рекомендуется подготовить документ с кратким описанием всех делегирований полномочий, как внутренних (кто и какие документы должен подписывать), так и внешних (право подписи, например, для осуществления движения средств по счетам в банке и совершения банковских операций по интернету с соответствующими сферами ответственности).</w:t>
            </w:r>
          </w:p>
        </w:tc>
        <w:tc>
          <w:tcPr>
            <w:tcW w:w="1658" w:type="pct"/>
            <w:shd w:val="clear" w:color="auto" w:fill="auto"/>
          </w:tcPr>
          <w:p w14:paraId="3C76A239" w14:textId="29523AD8" w:rsidR="00426DF2" w:rsidRPr="008B3F38" w:rsidRDefault="00426DF2" w:rsidP="00025DC3">
            <w:pPr>
              <w:pStyle w:val="Tabletext"/>
              <w:rPr>
                <w:sz w:val="18"/>
                <w:szCs w:val="18"/>
                <w:lang w:val="ru-RU"/>
              </w:rPr>
            </w:pPr>
            <w:r w:rsidRPr="008B3F38">
              <w:rPr>
                <w:sz w:val="18"/>
                <w:szCs w:val="18"/>
                <w:lang w:val="ru-RU"/>
              </w:rPr>
              <w:t>МСЭ принял к сведению Рекомендацию 11. Что касается осуществления движения средств по банковским счетам, то такой документ уже существует и обновляется всякий раз, когда происходит перемещение персонала. Также</w:t>
            </w:r>
            <w:r w:rsidR="001132F4" w:rsidRPr="008B3F38">
              <w:rPr>
                <w:sz w:val="18"/>
                <w:szCs w:val="18"/>
                <w:lang w:val="ru-RU"/>
              </w:rPr>
              <w:t> </w:t>
            </w:r>
            <w:r w:rsidRPr="008B3F38">
              <w:rPr>
                <w:sz w:val="18"/>
                <w:szCs w:val="18"/>
                <w:lang w:val="ru-RU"/>
              </w:rPr>
              <w:t>осуществляется координация с банками для обеспечения выполнения ими указаний штаб-квартиры. Будет осуществлена внутренняя координация для создания краткого документа, касающегося делегирования</w:t>
            </w:r>
            <w:r w:rsidR="001132F4" w:rsidRPr="008B3F38">
              <w:rPr>
                <w:sz w:val="18"/>
                <w:szCs w:val="18"/>
                <w:lang w:val="ru-RU"/>
              </w:rPr>
              <w:t> </w:t>
            </w:r>
            <w:r w:rsidRPr="008B3F38">
              <w:rPr>
                <w:sz w:val="18"/>
                <w:szCs w:val="18"/>
                <w:lang w:val="ru-RU"/>
              </w:rPr>
              <w:t>полномочий.</w:t>
            </w:r>
          </w:p>
          <w:p w14:paraId="2E3A4524" w14:textId="0EAEEEA2" w:rsidR="00426DF2" w:rsidRPr="008B3F38" w:rsidRDefault="00426DF2" w:rsidP="00025DC3">
            <w:pPr>
              <w:pStyle w:val="Tabletext"/>
              <w:rPr>
                <w:sz w:val="18"/>
                <w:szCs w:val="18"/>
                <w:lang w:val="ru-RU"/>
              </w:rPr>
            </w:pPr>
            <w:r w:rsidRPr="008B3F38">
              <w:rPr>
                <w:sz w:val="18"/>
                <w:szCs w:val="18"/>
                <w:lang w:val="ru-RU"/>
              </w:rPr>
              <w:t xml:space="preserve">Обновленная информация на май 2025 г.: Служебный приказ </w:t>
            </w:r>
            <w:r w:rsidR="00175E21" w:rsidRPr="008B3F38">
              <w:rPr>
                <w:sz w:val="18"/>
                <w:szCs w:val="18"/>
                <w:lang w:val="ru-RU"/>
              </w:rPr>
              <w:t>№ </w:t>
            </w:r>
            <w:r w:rsidRPr="008B3F38">
              <w:rPr>
                <w:sz w:val="18"/>
                <w:szCs w:val="18"/>
                <w:lang w:val="ru-RU"/>
              </w:rPr>
              <w:t xml:space="preserve">22/18 "Новая модель и система подотчетности" устанавливает принципы, правила, меры политики, процедуры и практику, регулирующие новую систему подотчетности в Международном союзе электросвязи, как она описана в прилагаемой Системе подотчетности МСЭ. Подразделение внутреннего аудита </w:t>
            </w:r>
            <w:r w:rsidRPr="008B3F38">
              <w:rPr>
                <w:sz w:val="18"/>
                <w:szCs w:val="18"/>
                <w:lang w:val="ru-RU"/>
              </w:rPr>
              <w:lastRenderedPageBreak/>
              <w:t>планирует провести проверку Системы подотчетности в течение 2025 года. В настоящее время МСЭ разрабатывает всеобъемлющую систему делегирования</w:t>
            </w:r>
            <w:r w:rsidR="001132F4" w:rsidRPr="008B3F38">
              <w:rPr>
                <w:sz w:val="18"/>
                <w:szCs w:val="18"/>
                <w:lang w:val="ru-RU"/>
              </w:rPr>
              <w:t> </w:t>
            </w:r>
            <w:r w:rsidRPr="008B3F38">
              <w:rPr>
                <w:sz w:val="18"/>
                <w:szCs w:val="18"/>
                <w:lang w:val="ru-RU"/>
              </w:rPr>
              <w:t>полномочий.</w:t>
            </w:r>
          </w:p>
          <w:p w14:paraId="0C7B4727" w14:textId="77777777" w:rsidR="00426DF2" w:rsidRPr="008B3F38" w:rsidRDefault="00426DF2" w:rsidP="00025DC3">
            <w:pPr>
              <w:pStyle w:val="Tabletext"/>
              <w:rPr>
                <w:sz w:val="18"/>
                <w:szCs w:val="18"/>
                <w:lang w:val="ru-RU"/>
              </w:rPr>
            </w:pPr>
            <w:r w:rsidRPr="008B3F38">
              <w:rPr>
                <w:sz w:val="18"/>
                <w:szCs w:val="18"/>
                <w:lang w:val="ru-RU"/>
              </w:rPr>
              <w:t>МСЭ рекомендовал закрыть эту рекомендацию.</w:t>
            </w:r>
          </w:p>
        </w:tc>
        <w:tc>
          <w:tcPr>
            <w:tcW w:w="1137" w:type="pct"/>
            <w:shd w:val="clear" w:color="auto" w:fill="auto"/>
          </w:tcPr>
          <w:p w14:paraId="70656B2C" w14:textId="6805781E" w:rsidR="00426DF2" w:rsidRPr="008B3F38" w:rsidRDefault="00426DF2" w:rsidP="00025DC3">
            <w:pPr>
              <w:pStyle w:val="Tabletext"/>
              <w:rPr>
                <w:sz w:val="18"/>
                <w:szCs w:val="18"/>
                <w:lang w:val="ru-RU"/>
              </w:rPr>
            </w:pPr>
            <w:r w:rsidRPr="008B3F38">
              <w:rPr>
                <w:sz w:val="18"/>
                <w:szCs w:val="18"/>
                <w:lang w:val="ru-RU"/>
              </w:rPr>
              <w:lastRenderedPageBreak/>
              <w:t xml:space="preserve">Не заявлена Государственной счетной палатой Италии в ее заключительном отчете как невыполненная (Приложение 3: </w:t>
            </w:r>
            <w:hyperlink r:id="rId40" w:history="1">
              <w:r w:rsidRPr="008B3F38">
                <w:rPr>
                  <w:rStyle w:val="Hyperlink"/>
                  <w:sz w:val="18"/>
                  <w:szCs w:val="18"/>
                  <w:lang w:val="ru-RU"/>
                </w:rPr>
                <w:t>C22/101</w:t>
              </w:r>
            </w:hyperlink>
            <w:r w:rsidRPr="008B3F38">
              <w:rPr>
                <w:sz w:val="18"/>
                <w:szCs w:val="18"/>
                <w:lang w:val="ru-RU"/>
              </w:rPr>
              <w:t>).</w:t>
            </w:r>
          </w:p>
          <w:p w14:paraId="7DCD662D" w14:textId="77777777" w:rsidR="00426DF2" w:rsidRPr="008B3F38" w:rsidRDefault="00426DF2" w:rsidP="00025DC3">
            <w:pPr>
              <w:pStyle w:val="Tabletext"/>
              <w:rPr>
                <w:sz w:val="18"/>
                <w:szCs w:val="18"/>
                <w:lang w:val="ru-RU"/>
              </w:rPr>
            </w:pPr>
            <w:r w:rsidRPr="008B3F38">
              <w:rPr>
                <w:sz w:val="18"/>
                <w:szCs w:val="18"/>
                <w:lang w:val="ru-RU"/>
              </w:rPr>
              <w:t>Мы согласны с тем, что данная рекомендация закрывается; осуществление делегирования полномочий будет отслеживаться по линии других рекомендаций.</w:t>
            </w:r>
          </w:p>
        </w:tc>
        <w:tc>
          <w:tcPr>
            <w:tcW w:w="442" w:type="pct"/>
            <w:gridSpan w:val="2"/>
            <w:shd w:val="clear" w:color="auto" w:fill="auto"/>
          </w:tcPr>
          <w:p w14:paraId="4BD5BB77" w14:textId="77777777" w:rsidR="00426DF2" w:rsidRPr="008B3F38" w:rsidRDefault="00426DF2" w:rsidP="00025DC3">
            <w:pPr>
              <w:pStyle w:val="Tabletext"/>
              <w:ind w:right="-57"/>
              <w:rPr>
                <w:sz w:val="18"/>
                <w:szCs w:val="18"/>
                <w:lang w:val="ru-RU"/>
              </w:rPr>
            </w:pPr>
            <w:r w:rsidRPr="008B3F38">
              <w:rPr>
                <w:sz w:val="18"/>
                <w:szCs w:val="18"/>
                <w:lang w:val="ru-RU"/>
              </w:rPr>
              <w:t>Закрыта.</w:t>
            </w:r>
          </w:p>
        </w:tc>
      </w:tr>
      <w:tr w:rsidR="00426DF2" w:rsidRPr="008B3F38" w14:paraId="67EF2F26" w14:textId="77777777" w:rsidTr="008A2FDE">
        <w:trPr>
          <w:jc w:val="center"/>
        </w:trPr>
        <w:tc>
          <w:tcPr>
            <w:tcW w:w="353" w:type="pct"/>
            <w:shd w:val="clear" w:color="auto" w:fill="auto"/>
          </w:tcPr>
          <w:p w14:paraId="6035D161" w14:textId="77777777" w:rsidR="00426DF2" w:rsidRPr="008B3F38" w:rsidRDefault="00426DF2" w:rsidP="00025DC3">
            <w:pPr>
              <w:pStyle w:val="Tabletext"/>
              <w:rPr>
                <w:sz w:val="18"/>
                <w:szCs w:val="18"/>
                <w:lang w:val="ru-RU"/>
              </w:rPr>
            </w:pPr>
            <w:r w:rsidRPr="008B3F38">
              <w:rPr>
                <w:sz w:val="18"/>
                <w:szCs w:val="18"/>
                <w:lang w:val="ru-RU"/>
              </w:rPr>
              <w:t>РЕК12</w:t>
            </w:r>
          </w:p>
        </w:tc>
        <w:tc>
          <w:tcPr>
            <w:tcW w:w="1410" w:type="pct"/>
            <w:gridSpan w:val="2"/>
            <w:shd w:val="clear" w:color="auto" w:fill="auto"/>
          </w:tcPr>
          <w:p w14:paraId="4946BF5F" w14:textId="77777777" w:rsidR="00175E21" w:rsidRPr="008B3F38" w:rsidRDefault="00426DF2" w:rsidP="00025DC3">
            <w:pPr>
              <w:pStyle w:val="Tabletext"/>
              <w:rPr>
                <w:sz w:val="18"/>
                <w:szCs w:val="18"/>
                <w:lang w:val="ru-RU"/>
              </w:rPr>
            </w:pPr>
            <w:r w:rsidRPr="008B3F38">
              <w:rPr>
                <w:sz w:val="18"/>
                <w:szCs w:val="18"/>
                <w:lang w:val="ru-RU"/>
              </w:rPr>
              <w:t>Рекомендуется</w:t>
            </w:r>
            <w:r w:rsidR="00175E21" w:rsidRPr="008B3F38">
              <w:rPr>
                <w:sz w:val="18"/>
                <w:szCs w:val="18"/>
                <w:lang w:val="ru-RU"/>
              </w:rPr>
              <w:t>:</w:t>
            </w:r>
          </w:p>
          <w:p w14:paraId="0BAE5E04" w14:textId="4AD98C5A" w:rsidR="00426DF2" w:rsidRPr="008B3F38" w:rsidRDefault="00426DF2" w:rsidP="00025DC3">
            <w:pPr>
              <w:pStyle w:val="Tabletext"/>
              <w:ind w:left="284" w:hanging="284"/>
              <w:rPr>
                <w:sz w:val="18"/>
                <w:szCs w:val="18"/>
                <w:lang w:val="ru-RU"/>
              </w:rPr>
            </w:pPr>
            <w:r w:rsidRPr="008B3F38">
              <w:rPr>
                <w:sz w:val="18"/>
                <w:szCs w:val="18"/>
                <w:lang w:val="ru-RU"/>
              </w:rPr>
              <w:t>a)</w:t>
            </w:r>
            <w:r w:rsidR="00175E21" w:rsidRPr="008B3F38">
              <w:rPr>
                <w:sz w:val="18"/>
                <w:szCs w:val="18"/>
                <w:lang w:val="ru-RU"/>
              </w:rPr>
              <w:tab/>
            </w:r>
            <w:r w:rsidRPr="008B3F38">
              <w:rPr>
                <w:sz w:val="18"/>
                <w:szCs w:val="18"/>
                <w:lang w:val="ru-RU"/>
              </w:rPr>
              <w:t>принять стандартную форму отчета для регистрации в ней любых исключений за подписью старшего должностного лица, утвердившего соответствующее исключение. Может быть создан также реестр исключений для осуществления эффективного мониторинга штаб-квартирой (такой подход можно также распространить на области, не относящиеся к управлению мелкими суммами наличных средств);</w:t>
            </w:r>
          </w:p>
          <w:p w14:paraId="3B5988E2" w14:textId="1BBF6906" w:rsidR="00426DF2" w:rsidRPr="008B3F38" w:rsidRDefault="00426DF2" w:rsidP="00025DC3">
            <w:pPr>
              <w:pStyle w:val="Tabletext"/>
              <w:ind w:left="284" w:hanging="284"/>
              <w:rPr>
                <w:sz w:val="18"/>
                <w:szCs w:val="18"/>
                <w:lang w:val="ru-RU"/>
              </w:rPr>
            </w:pPr>
            <w:r w:rsidRPr="008B3F38">
              <w:rPr>
                <w:sz w:val="18"/>
                <w:szCs w:val="18"/>
                <w:lang w:val="ru-RU"/>
              </w:rPr>
              <w:t>b)</w:t>
            </w:r>
            <w:r w:rsidR="00175E21" w:rsidRPr="008B3F38">
              <w:rPr>
                <w:sz w:val="18"/>
                <w:szCs w:val="18"/>
                <w:lang w:val="ru-RU"/>
              </w:rPr>
              <w:tab/>
            </w:r>
            <w:r w:rsidRPr="008B3F38">
              <w:rPr>
                <w:sz w:val="18"/>
                <w:szCs w:val="18"/>
                <w:lang w:val="ru-RU"/>
              </w:rPr>
              <w:t>чтобы Директор регионального отделения ежемесячно получал отчеты о расходовании мелких сумм наличных средств от всех ЗО (на данный момент ЗО направляют свои отчеты только напрямую в штаб-квартиру), чтобы иметь возможность периодического анализа документации, ее утверждения и последующего направления этих отчетов в штаб-квартиру. Исходя из этой же логики, внезапные проверки путем анализа документации могут также проводиться штаб-квартирой в РО в месте проживания его Директора (см. нашу рекомендацию, касающуюся банковских операций). Кроме того, мы рекомендуем принять в штаб</w:t>
            </w:r>
            <w:r w:rsidR="00175E21" w:rsidRPr="008B3F38">
              <w:rPr>
                <w:rFonts w:ascii="Cambria Math" w:hAnsi="Cambria Math"/>
                <w:sz w:val="18"/>
                <w:szCs w:val="18"/>
                <w:lang w:val="ru-RU"/>
              </w:rPr>
              <w:t>‑</w:t>
            </w:r>
            <w:r w:rsidRPr="008B3F38">
              <w:rPr>
                <w:sz w:val="18"/>
                <w:szCs w:val="18"/>
                <w:lang w:val="ru-RU"/>
              </w:rPr>
              <w:t>квартире специальную процедуру и шаблон, которые должны использоваться всеми Директорами РО;</w:t>
            </w:r>
          </w:p>
          <w:p w14:paraId="74E5203D" w14:textId="0BB43064" w:rsidR="00426DF2" w:rsidRPr="008B3F38" w:rsidRDefault="00426DF2" w:rsidP="00025DC3">
            <w:pPr>
              <w:pStyle w:val="Tabletext"/>
              <w:ind w:left="284" w:hanging="284"/>
              <w:rPr>
                <w:sz w:val="18"/>
                <w:szCs w:val="18"/>
                <w:lang w:val="ru-RU"/>
              </w:rPr>
            </w:pPr>
            <w:r w:rsidRPr="008B3F38">
              <w:rPr>
                <w:sz w:val="18"/>
                <w:szCs w:val="18"/>
                <w:lang w:val="ru-RU"/>
              </w:rPr>
              <w:t>c)</w:t>
            </w:r>
            <w:r w:rsidR="00175E21" w:rsidRPr="008B3F38">
              <w:rPr>
                <w:sz w:val="18"/>
                <w:szCs w:val="18"/>
                <w:lang w:val="ru-RU"/>
              </w:rPr>
              <w:tab/>
            </w:r>
            <w:r w:rsidRPr="008B3F38">
              <w:rPr>
                <w:sz w:val="18"/>
                <w:szCs w:val="18"/>
                <w:lang w:val="ru-RU"/>
              </w:rPr>
              <w:t>ввести шаблон для каждого запроса на покупку с указанием "инициирующего агента", а также лица, санкционировавшего конкретную закупку, например Директора РО и/или руководителя ЗО.</w:t>
            </w:r>
          </w:p>
        </w:tc>
        <w:tc>
          <w:tcPr>
            <w:tcW w:w="1658" w:type="pct"/>
            <w:shd w:val="clear" w:color="auto" w:fill="auto"/>
          </w:tcPr>
          <w:p w14:paraId="1512B1B5" w14:textId="5070F2F0" w:rsidR="00426DF2" w:rsidRPr="008B3F38" w:rsidRDefault="00426DF2" w:rsidP="00025DC3">
            <w:pPr>
              <w:pStyle w:val="Tabletext"/>
              <w:rPr>
                <w:sz w:val="18"/>
                <w:szCs w:val="18"/>
                <w:lang w:val="ru-RU"/>
              </w:rPr>
            </w:pPr>
            <w:r w:rsidRPr="008B3F38">
              <w:rPr>
                <w:sz w:val="18"/>
                <w:szCs w:val="18"/>
                <w:lang w:val="ru-RU"/>
              </w:rPr>
              <w:t>Обновленная информация на май 2025 г.: В настоящее время существует ежемесячный отчет по денежным средствам и банкам для всех РО и ЗО, который контролируется директорами РО и FRMD. FRMD также принял новые SOP, чтобы обеспечить рациональное использование мелких сумм наличных средств. Кроме</w:t>
            </w:r>
            <w:r w:rsidR="00CE3F85" w:rsidRPr="008B3F38">
              <w:rPr>
                <w:sz w:val="18"/>
                <w:szCs w:val="18"/>
                <w:lang w:val="ru-RU"/>
              </w:rPr>
              <w:t> </w:t>
            </w:r>
            <w:r w:rsidRPr="008B3F38">
              <w:rPr>
                <w:sz w:val="18"/>
                <w:szCs w:val="18"/>
                <w:lang w:val="ru-RU"/>
              </w:rPr>
              <w:t>того, как было отмечено в представленном Совету 2020 года отчете (</w:t>
            </w:r>
            <w:hyperlink r:id="rId41" w:history="1">
              <w:r w:rsidRPr="008B3F38">
                <w:rPr>
                  <w:rStyle w:val="Hyperlink"/>
                  <w:sz w:val="18"/>
                  <w:szCs w:val="18"/>
                  <w:lang w:val="ru-RU"/>
                </w:rPr>
                <w:t>C20/75</w:t>
              </w:r>
            </w:hyperlink>
            <w:r w:rsidRPr="008B3F38">
              <w:rPr>
                <w:sz w:val="18"/>
                <w:szCs w:val="18"/>
                <w:lang w:val="ru-RU"/>
              </w:rPr>
              <w:t>), согласно оценке совместно с Рек. 14/2017 эта рекомендация была сочтена PwC "выполненной, со ссылкой: "Рабочая группа по внутреннему контролю подтвердила, что Руководящие указания МСЭ по использованию представительских надбавок и использованию мелких наличных средств применяются (по состоянию на 4 февраля 2020 г</w:t>
            </w:r>
            <w:r w:rsidR="00175E21" w:rsidRPr="008B3F38">
              <w:rPr>
                <w:sz w:val="18"/>
                <w:szCs w:val="18"/>
                <w:lang w:val="ru-RU"/>
              </w:rPr>
              <w:t>.</w:t>
            </w:r>
            <w:r w:rsidRPr="008B3F38">
              <w:rPr>
                <w:sz w:val="18"/>
                <w:szCs w:val="18"/>
                <w:lang w:val="ru-RU"/>
              </w:rPr>
              <w:t>)".</w:t>
            </w:r>
          </w:p>
          <w:p w14:paraId="093835D0" w14:textId="1AB11132" w:rsidR="00426DF2" w:rsidRPr="008B3F38" w:rsidRDefault="00426DF2" w:rsidP="00025DC3">
            <w:pPr>
              <w:pStyle w:val="Tabletext"/>
              <w:rPr>
                <w:sz w:val="18"/>
                <w:szCs w:val="18"/>
                <w:lang w:val="ru-RU"/>
              </w:rPr>
            </w:pPr>
            <w:r w:rsidRPr="008B3F38">
              <w:rPr>
                <w:sz w:val="18"/>
                <w:szCs w:val="18"/>
                <w:lang w:val="ru-RU"/>
              </w:rPr>
              <w:t>МСЭ рекомендует закрыть эту рекомендацию.</w:t>
            </w:r>
          </w:p>
        </w:tc>
        <w:tc>
          <w:tcPr>
            <w:tcW w:w="1137" w:type="pct"/>
            <w:shd w:val="clear" w:color="auto" w:fill="auto"/>
          </w:tcPr>
          <w:p w14:paraId="4C7523DC" w14:textId="77777777" w:rsidR="00426DF2" w:rsidRPr="008B3F38" w:rsidRDefault="00426DF2" w:rsidP="00025DC3">
            <w:pPr>
              <w:pStyle w:val="Tabletext"/>
              <w:rPr>
                <w:sz w:val="18"/>
                <w:szCs w:val="18"/>
                <w:lang w:val="ru-RU"/>
              </w:rPr>
            </w:pPr>
            <w:r w:rsidRPr="008B3F38">
              <w:rPr>
                <w:sz w:val="18"/>
                <w:szCs w:val="18"/>
                <w:lang w:val="ru-RU"/>
              </w:rPr>
              <w:t>Последний ответ принят к сведению и признан обоснованным. Рекомендация закрыта. Хотя данная конкретная рекомендация касалась мелких наличных денег, как указано в первой части настоящего отчета, наглядность совершения операций для персонала региональных отделений была недостаточной, поэтому мы вынесли новую рекомендацию по этому вопросу.</w:t>
            </w:r>
          </w:p>
        </w:tc>
        <w:tc>
          <w:tcPr>
            <w:tcW w:w="442" w:type="pct"/>
            <w:gridSpan w:val="2"/>
            <w:shd w:val="clear" w:color="auto" w:fill="auto"/>
          </w:tcPr>
          <w:p w14:paraId="44ED8AB6" w14:textId="77777777" w:rsidR="00426DF2" w:rsidRPr="008B3F38" w:rsidRDefault="00426DF2" w:rsidP="00025DC3">
            <w:pPr>
              <w:pStyle w:val="Tabletext"/>
              <w:ind w:right="-57"/>
              <w:rPr>
                <w:sz w:val="18"/>
                <w:szCs w:val="18"/>
                <w:lang w:val="ru-RU"/>
              </w:rPr>
            </w:pPr>
            <w:r w:rsidRPr="008B3F38">
              <w:rPr>
                <w:sz w:val="18"/>
                <w:szCs w:val="18"/>
                <w:lang w:val="ru-RU"/>
              </w:rPr>
              <w:t>Закрыта.</w:t>
            </w:r>
          </w:p>
        </w:tc>
      </w:tr>
      <w:tr w:rsidR="00426DF2" w:rsidRPr="008B3F38" w14:paraId="774C889F" w14:textId="77777777" w:rsidTr="008A2FDE">
        <w:trPr>
          <w:jc w:val="center"/>
        </w:trPr>
        <w:tc>
          <w:tcPr>
            <w:tcW w:w="353" w:type="pct"/>
            <w:shd w:val="clear" w:color="auto" w:fill="auto"/>
          </w:tcPr>
          <w:p w14:paraId="5DF0A623" w14:textId="77777777" w:rsidR="00426DF2" w:rsidRPr="008B3F38" w:rsidRDefault="00426DF2" w:rsidP="00025DC3">
            <w:pPr>
              <w:pStyle w:val="Tabletext"/>
              <w:rPr>
                <w:sz w:val="18"/>
                <w:szCs w:val="18"/>
                <w:lang w:val="ru-RU"/>
              </w:rPr>
            </w:pPr>
            <w:r w:rsidRPr="008B3F38">
              <w:rPr>
                <w:sz w:val="18"/>
                <w:szCs w:val="18"/>
                <w:lang w:val="ru-RU"/>
              </w:rPr>
              <w:lastRenderedPageBreak/>
              <w:t>РЕК13</w:t>
            </w:r>
          </w:p>
        </w:tc>
        <w:tc>
          <w:tcPr>
            <w:tcW w:w="1410" w:type="pct"/>
            <w:gridSpan w:val="2"/>
            <w:shd w:val="clear" w:color="auto" w:fill="auto"/>
          </w:tcPr>
          <w:p w14:paraId="742264AE" w14:textId="77777777" w:rsidR="00426DF2" w:rsidRPr="008B3F38" w:rsidRDefault="00426DF2" w:rsidP="00025DC3">
            <w:pPr>
              <w:pStyle w:val="Tabletext"/>
              <w:rPr>
                <w:sz w:val="18"/>
                <w:szCs w:val="18"/>
                <w:lang w:val="ru-RU"/>
              </w:rPr>
            </w:pPr>
            <w:r w:rsidRPr="008B3F38">
              <w:rPr>
                <w:sz w:val="18"/>
                <w:szCs w:val="18"/>
                <w:lang w:val="ru-RU"/>
              </w:rPr>
              <w:t>Рекомендуется ввести строгую процедуру для всех РО, в соответствии с которой Директор РО должен обеспечить наличие третьей подписи при совершении банковских операций даже в тех случаях, когда соответствующая операция осуществляется на уровне зонального отделения. Таким образом, на Директора РО может быть возложена ответственность за совершение всех банковских операций. По нашему мнению, необходим также пересмотр процедуры работы с ПРООН, чтобы избежать использования личных счетов сотрудников при совершении каких-либо операций МСЭ.</w:t>
            </w:r>
          </w:p>
        </w:tc>
        <w:tc>
          <w:tcPr>
            <w:tcW w:w="1658" w:type="pct"/>
            <w:shd w:val="clear" w:color="auto" w:fill="auto"/>
          </w:tcPr>
          <w:p w14:paraId="667D4A7D" w14:textId="52F71AEC" w:rsidR="00426DF2" w:rsidRPr="008B3F38" w:rsidRDefault="00426DF2" w:rsidP="00025DC3">
            <w:pPr>
              <w:pStyle w:val="Tabletext"/>
              <w:rPr>
                <w:sz w:val="18"/>
                <w:szCs w:val="18"/>
                <w:lang w:val="ru-RU"/>
              </w:rPr>
            </w:pPr>
            <w:r w:rsidRPr="008B3F38">
              <w:rPr>
                <w:sz w:val="18"/>
                <w:szCs w:val="18"/>
                <w:lang w:val="ru-RU"/>
              </w:rPr>
              <w:t>МСЭ принял к сведению Рекомендацию 13. Вместе с тем МСЭ хотел бы обратить внимание на трудности с реализацией этой рекомендации ввиду ограниченной численности персонала и загруженности директоров региональных отделений. Требование получения третьей подписи для совершения всех банковских операций, несомненно, замедлит процесс и негативным образом отразится на эффективности деятельности отделений на</w:t>
            </w:r>
            <w:r w:rsidR="00CE3F85" w:rsidRPr="008B3F38">
              <w:rPr>
                <w:sz w:val="18"/>
                <w:szCs w:val="18"/>
                <w:lang w:val="ru-RU"/>
              </w:rPr>
              <w:t> </w:t>
            </w:r>
            <w:r w:rsidRPr="008B3F38">
              <w:rPr>
                <w:sz w:val="18"/>
                <w:szCs w:val="18"/>
                <w:lang w:val="ru-RU"/>
              </w:rPr>
              <w:t>местах.</w:t>
            </w:r>
          </w:p>
          <w:p w14:paraId="6F9F912C" w14:textId="77777777" w:rsidR="00426DF2" w:rsidRPr="008B3F38" w:rsidRDefault="00426DF2" w:rsidP="00025DC3">
            <w:pPr>
              <w:pStyle w:val="Tabletext"/>
              <w:rPr>
                <w:sz w:val="18"/>
                <w:szCs w:val="18"/>
                <w:lang w:val="ru-RU"/>
              </w:rPr>
            </w:pPr>
            <w:r w:rsidRPr="008B3F38">
              <w:rPr>
                <w:sz w:val="18"/>
                <w:szCs w:val="18"/>
                <w:lang w:val="ru-RU"/>
              </w:rPr>
              <w:t>Обновленная информация на май 2025 г.: Региональные отделения имеют доступ только к довольно небольшим суммам денег, которые регулируются правилами использования мелких сумм наличных средств. Затраты и усилия на выполнение этой рекомендации будут несопоставимы с уровнем риска. МСЭ вновь проанализирует свою политику в отношении местных расчетов.</w:t>
            </w:r>
          </w:p>
          <w:p w14:paraId="5791372D" w14:textId="6B57A372" w:rsidR="00426DF2" w:rsidRPr="008B3F38" w:rsidRDefault="00426DF2" w:rsidP="00025DC3">
            <w:pPr>
              <w:pStyle w:val="Tabletext"/>
              <w:rPr>
                <w:sz w:val="18"/>
                <w:szCs w:val="18"/>
                <w:lang w:val="ru-RU"/>
              </w:rPr>
            </w:pPr>
            <w:r w:rsidRPr="008B3F38">
              <w:rPr>
                <w:sz w:val="18"/>
                <w:szCs w:val="18"/>
                <w:lang w:val="ru-RU"/>
              </w:rPr>
              <w:t>МСЭ рекомендовал закрыть эту рекомендацию.</w:t>
            </w:r>
          </w:p>
        </w:tc>
        <w:tc>
          <w:tcPr>
            <w:tcW w:w="1137" w:type="pct"/>
            <w:shd w:val="clear" w:color="auto" w:fill="auto"/>
          </w:tcPr>
          <w:p w14:paraId="5858F602" w14:textId="1E2E253F" w:rsidR="00426DF2" w:rsidRPr="008B3F38" w:rsidRDefault="00426DF2" w:rsidP="00025DC3">
            <w:pPr>
              <w:pStyle w:val="Tabletext"/>
              <w:rPr>
                <w:sz w:val="18"/>
                <w:szCs w:val="18"/>
                <w:lang w:val="ru-RU"/>
              </w:rPr>
            </w:pPr>
            <w:r w:rsidRPr="008B3F38">
              <w:rPr>
                <w:sz w:val="18"/>
                <w:szCs w:val="18"/>
                <w:lang w:val="ru-RU"/>
              </w:rPr>
              <w:t xml:space="preserve">Не заявлена Государственной счетной палатой Италии в ее заключительном отчете как невыполненная (Приложение 3: </w:t>
            </w:r>
            <w:hyperlink r:id="rId42" w:history="1">
              <w:r w:rsidRPr="008B3F38">
                <w:rPr>
                  <w:rStyle w:val="Hyperlink"/>
                  <w:sz w:val="18"/>
                  <w:szCs w:val="18"/>
                  <w:lang w:val="ru-RU"/>
                </w:rPr>
                <w:t>C22/101</w:t>
              </w:r>
            </w:hyperlink>
            <w:r w:rsidRPr="008B3F38">
              <w:rPr>
                <w:sz w:val="18"/>
                <w:szCs w:val="18"/>
                <w:lang w:val="ru-RU"/>
              </w:rPr>
              <w:t>). Принимая</w:t>
            </w:r>
            <w:r w:rsidR="00CE3F85" w:rsidRPr="008B3F38">
              <w:rPr>
                <w:sz w:val="18"/>
                <w:szCs w:val="18"/>
                <w:lang w:val="ru-RU"/>
              </w:rPr>
              <w:t> </w:t>
            </w:r>
            <w:r w:rsidRPr="008B3F38">
              <w:rPr>
                <w:sz w:val="18"/>
                <w:szCs w:val="18"/>
                <w:lang w:val="ru-RU"/>
              </w:rPr>
              <w:t>во внимание обновленную информацию руководства, мы удовлетворены тем, что эта рекомендация закрыта.</w:t>
            </w:r>
          </w:p>
        </w:tc>
        <w:tc>
          <w:tcPr>
            <w:tcW w:w="442" w:type="pct"/>
            <w:gridSpan w:val="2"/>
            <w:shd w:val="clear" w:color="auto" w:fill="auto"/>
          </w:tcPr>
          <w:p w14:paraId="67E27FC5" w14:textId="77777777" w:rsidR="00426DF2" w:rsidRPr="008B3F38" w:rsidRDefault="00426DF2" w:rsidP="00025DC3">
            <w:pPr>
              <w:pStyle w:val="Tabletext"/>
              <w:ind w:right="-57"/>
              <w:rPr>
                <w:sz w:val="18"/>
                <w:szCs w:val="18"/>
                <w:lang w:val="ru-RU"/>
              </w:rPr>
            </w:pPr>
            <w:r w:rsidRPr="008B3F38">
              <w:rPr>
                <w:sz w:val="18"/>
                <w:szCs w:val="18"/>
                <w:lang w:val="ru-RU"/>
              </w:rPr>
              <w:t>Закрыта.</w:t>
            </w:r>
          </w:p>
        </w:tc>
      </w:tr>
      <w:tr w:rsidR="00426DF2" w:rsidRPr="008B3F38" w14:paraId="39F04B76" w14:textId="77777777" w:rsidTr="008A2FDE">
        <w:trPr>
          <w:jc w:val="center"/>
        </w:trPr>
        <w:tc>
          <w:tcPr>
            <w:tcW w:w="353" w:type="pct"/>
            <w:shd w:val="clear" w:color="auto" w:fill="auto"/>
          </w:tcPr>
          <w:p w14:paraId="4E2236B8" w14:textId="77777777" w:rsidR="00426DF2" w:rsidRPr="008B3F38" w:rsidRDefault="00426DF2" w:rsidP="00025DC3">
            <w:pPr>
              <w:pStyle w:val="Tabletext"/>
              <w:rPr>
                <w:sz w:val="18"/>
                <w:szCs w:val="18"/>
                <w:lang w:val="ru-RU"/>
              </w:rPr>
            </w:pPr>
            <w:r w:rsidRPr="008B3F38">
              <w:rPr>
                <w:sz w:val="18"/>
                <w:szCs w:val="18"/>
                <w:lang w:val="ru-RU"/>
              </w:rPr>
              <w:t>РЕК14</w:t>
            </w:r>
          </w:p>
        </w:tc>
        <w:tc>
          <w:tcPr>
            <w:tcW w:w="1410" w:type="pct"/>
            <w:gridSpan w:val="2"/>
            <w:shd w:val="clear" w:color="auto" w:fill="auto"/>
          </w:tcPr>
          <w:p w14:paraId="119A0D89" w14:textId="1C264A25" w:rsidR="00426DF2" w:rsidRPr="008B3F38" w:rsidRDefault="00426DF2" w:rsidP="00025DC3">
            <w:pPr>
              <w:pStyle w:val="Tabletext"/>
              <w:rPr>
                <w:sz w:val="18"/>
                <w:szCs w:val="18"/>
                <w:lang w:val="ru-RU"/>
              </w:rPr>
            </w:pPr>
            <w:r w:rsidRPr="008B3F38">
              <w:rPr>
                <w:sz w:val="18"/>
                <w:szCs w:val="18"/>
                <w:lang w:val="ru-RU"/>
              </w:rPr>
              <w:t>Руководству следует повысить точность ведения регистра основных средств, в частности, в отношении учета основных средств и предметов, реализованных после их списания.</w:t>
            </w:r>
          </w:p>
        </w:tc>
        <w:tc>
          <w:tcPr>
            <w:tcW w:w="1658" w:type="pct"/>
            <w:shd w:val="clear" w:color="auto" w:fill="auto"/>
          </w:tcPr>
          <w:p w14:paraId="5E05E855" w14:textId="03F73F7E" w:rsidR="00426DF2" w:rsidRPr="008B3F38" w:rsidRDefault="00426DF2" w:rsidP="00025DC3">
            <w:pPr>
              <w:pStyle w:val="Tabletext"/>
              <w:rPr>
                <w:sz w:val="18"/>
                <w:szCs w:val="18"/>
                <w:lang w:val="ru-RU"/>
              </w:rPr>
            </w:pPr>
            <w:r w:rsidRPr="008B3F38">
              <w:rPr>
                <w:sz w:val="18"/>
                <w:szCs w:val="18"/>
                <w:lang w:val="ru-RU"/>
              </w:rPr>
              <w:t>Обновленная информация на май 2025 г.: Как указано в отчете Совету 2020 года (</w:t>
            </w:r>
            <w:hyperlink r:id="rId43" w:history="1">
              <w:r w:rsidRPr="008B3F38">
                <w:rPr>
                  <w:rStyle w:val="Hyperlink"/>
                  <w:sz w:val="18"/>
                  <w:szCs w:val="18"/>
                  <w:lang w:val="ru-RU"/>
                </w:rPr>
                <w:t>C20/74</w:t>
              </w:r>
            </w:hyperlink>
            <w:r w:rsidRPr="008B3F38">
              <w:rPr>
                <w:sz w:val="18"/>
                <w:szCs w:val="18"/>
                <w:lang w:val="ru-RU"/>
              </w:rPr>
              <w:t>), "в 2019 году было внедрено новое программное обеспечение, а в региональные отделения поступили новые сканеры для инвентаризации. Для содействия этому процессу было разработано руководство, а также решены остававшиеся неурегулированными вопросы"; PwC сочла эту рекомендацию выполненной.</w:t>
            </w:r>
          </w:p>
          <w:p w14:paraId="23AEDB20" w14:textId="3F4B7447" w:rsidR="00426DF2" w:rsidRPr="008B3F38" w:rsidRDefault="00426DF2" w:rsidP="00025DC3">
            <w:pPr>
              <w:pStyle w:val="Tabletext"/>
              <w:rPr>
                <w:sz w:val="18"/>
                <w:szCs w:val="18"/>
                <w:lang w:val="ru-RU"/>
              </w:rPr>
            </w:pPr>
            <w:r w:rsidRPr="008B3F38">
              <w:rPr>
                <w:sz w:val="18"/>
                <w:szCs w:val="18"/>
                <w:lang w:val="ru-RU"/>
              </w:rPr>
              <w:t>МСЭ рекомендует закрыть эту рекомендацию.</w:t>
            </w:r>
          </w:p>
        </w:tc>
        <w:tc>
          <w:tcPr>
            <w:tcW w:w="1137" w:type="pct"/>
            <w:shd w:val="clear" w:color="auto" w:fill="auto"/>
          </w:tcPr>
          <w:p w14:paraId="061910BA" w14:textId="77777777" w:rsidR="00426DF2" w:rsidRPr="008B3F38" w:rsidRDefault="00426DF2" w:rsidP="00025DC3">
            <w:pPr>
              <w:pStyle w:val="Tabletext"/>
              <w:rPr>
                <w:sz w:val="18"/>
                <w:szCs w:val="18"/>
                <w:lang w:val="ru-RU"/>
              </w:rPr>
            </w:pPr>
            <w:r w:rsidRPr="008B3F38">
              <w:rPr>
                <w:sz w:val="18"/>
                <w:szCs w:val="18"/>
                <w:lang w:val="ru-RU"/>
              </w:rPr>
              <w:t>Последний ответ принят к сведению и признан обоснованным.</w:t>
            </w:r>
          </w:p>
        </w:tc>
        <w:tc>
          <w:tcPr>
            <w:tcW w:w="442" w:type="pct"/>
            <w:gridSpan w:val="2"/>
            <w:shd w:val="clear" w:color="auto" w:fill="auto"/>
          </w:tcPr>
          <w:p w14:paraId="0AA36898" w14:textId="77777777" w:rsidR="00426DF2" w:rsidRPr="008B3F38" w:rsidRDefault="00426DF2" w:rsidP="00025DC3">
            <w:pPr>
              <w:pStyle w:val="Tabletext"/>
              <w:ind w:right="-57"/>
              <w:rPr>
                <w:sz w:val="18"/>
                <w:szCs w:val="18"/>
                <w:lang w:val="ru-RU"/>
              </w:rPr>
            </w:pPr>
            <w:r w:rsidRPr="008B3F38">
              <w:rPr>
                <w:sz w:val="18"/>
                <w:szCs w:val="18"/>
                <w:lang w:val="ru-RU"/>
              </w:rPr>
              <w:t>Закрыта.</w:t>
            </w:r>
          </w:p>
        </w:tc>
      </w:tr>
      <w:tr w:rsidR="00426DF2" w:rsidRPr="008B3F38" w14:paraId="356A3A1B" w14:textId="77777777" w:rsidTr="008A2FDE">
        <w:trPr>
          <w:jc w:val="center"/>
        </w:trPr>
        <w:tc>
          <w:tcPr>
            <w:tcW w:w="353" w:type="pct"/>
            <w:shd w:val="clear" w:color="auto" w:fill="auto"/>
          </w:tcPr>
          <w:p w14:paraId="528BC934" w14:textId="77777777" w:rsidR="00426DF2" w:rsidRPr="008B3F38" w:rsidRDefault="00426DF2" w:rsidP="00025DC3">
            <w:pPr>
              <w:pStyle w:val="Tabletext"/>
              <w:rPr>
                <w:sz w:val="18"/>
                <w:szCs w:val="18"/>
                <w:lang w:val="ru-RU"/>
              </w:rPr>
            </w:pPr>
            <w:r w:rsidRPr="008B3F38">
              <w:rPr>
                <w:sz w:val="18"/>
                <w:szCs w:val="18"/>
                <w:lang w:val="ru-RU"/>
              </w:rPr>
              <w:t>РЕК15</w:t>
            </w:r>
          </w:p>
        </w:tc>
        <w:tc>
          <w:tcPr>
            <w:tcW w:w="1410" w:type="pct"/>
            <w:gridSpan w:val="2"/>
            <w:shd w:val="clear" w:color="auto" w:fill="auto"/>
          </w:tcPr>
          <w:p w14:paraId="57B2B9D7" w14:textId="63094AEB" w:rsidR="00426DF2" w:rsidRPr="008B3F38" w:rsidRDefault="00426DF2" w:rsidP="00025DC3">
            <w:pPr>
              <w:pStyle w:val="Tabletext"/>
              <w:rPr>
                <w:sz w:val="18"/>
                <w:szCs w:val="18"/>
                <w:lang w:val="ru-RU"/>
              </w:rPr>
            </w:pPr>
            <w:r w:rsidRPr="008B3F38">
              <w:rPr>
                <w:sz w:val="18"/>
                <w:szCs w:val="18"/>
                <w:lang w:val="ru-RU"/>
              </w:rPr>
              <w:t>Поскольку Базовые правила устарели, мы рекомендуем МСЭ принять новую инструкцию по закупкам, охватывающую как средства регулярного бюджета, так и внебюджетные</w:t>
            </w:r>
            <w:r w:rsidR="00CE3F85" w:rsidRPr="008B3F38">
              <w:rPr>
                <w:sz w:val="18"/>
                <w:szCs w:val="18"/>
                <w:lang w:val="ru-RU"/>
              </w:rPr>
              <w:t> </w:t>
            </w:r>
            <w:r w:rsidRPr="008B3F38">
              <w:rPr>
                <w:sz w:val="18"/>
                <w:szCs w:val="18"/>
                <w:lang w:val="ru-RU"/>
              </w:rPr>
              <w:t>средства.</w:t>
            </w:r>
          </w:p>
        </w:tc>
        <w:tc>
          <w:tcPr>
            <w:tcW w:w="1658" w:type="pct"/>
            <w:shd w:val="clear" w:color="auto" w:fill="auto"/>
          </w:tcPr>
          <w:p w14:paraId="7E9040CC" w14:textId="77777777" w:rsidR="00426DF2" w:rsidRPr="008B3F38" w:rsidRDefault="00426DF2" w:rsidP="00025DC3">
            <w:pPr>
              <w:pStyle w:val="Tabletext"/>
              <w:rPr>
                <w:sz w:val="18"/>
                <w:szCs w:val="18"/>
                <w:lang w:val="ru-RU"/>
              </w:rPr>
            </w:pPr>
            <w:r w:rsidRPr="008B3F38">
              <w:rPr>
                <w:sz w:val="18"/>
                <w:szCs w:val="18"/>
                <w:lang w:val="ru-RU"/>
              </w:rPr>
              <w:t>МСЭ согласен с Рекомендацией 15 и подтверждает, что готовящееся к изданию руководство по закупкам в принципе будет применимо также к закупкам товаров и услуг за счет внебюджетных средств.</w:t>
            </w:r>
          </w:p>
          <w:p w14:paraId="7F12CE30" w14:textId="29DFBE21" w:rsidR="00426DF2" w:rsidRPr="008B3F38" w:rsidRDefault="00426DF2" w:rsidP="00025DC3">
            <w:pPr>
              <w:pStyle w:val="Tabletext"/>
              <w:rPr>
                <w:sz w:val="18"/>
                <w:szCs w:val="18"/>
                <w:lang w:val="ru-RU"/>
              </w:rPr>
            </w:pPr>
            <w:r w:rsidRPr="008B3F38">
              <w:rPr>
                <w:sz w:val="18"/>
                <w:szCs w:val="18"/>
                <w:lang w:val="ru-RU"/>
              </w:rPr>
              <w:t>Обновленная информация на май 2025 г.: Выполнение Рек. 15 отслеживалось на Информационной панели по вопросам соблюдения в рамках Рек. 18/2021 (Фин.</w:t>
            </w:r>
            <w:r w:rsidR="00175E21" w:rsidRPr="008B3F38">
              <w:rPr>
                <w:sz w:val="18"/>
                <w:szCs w:val="18"/>
                <w:lang w:val="ru-RU"/>
              </w:rPr>
              <w:t> </w:t>
            </w:r>
            <w:r w:rsidRPr="008B3F38">
              <w:rPr>
                <w:sz w:val="18"/>
                <w:szCs w:val="18"/>
                <w:lang w:val="ru-RU"/>
              </w:rPr>
              <w:t xml:space="preserve">отчетность), где "руководству рекомендовалось принять незамедлительные меры для выполнения открытых рекомендаций Внутреннего аудитора и Внешнего аудитора, касающихся региональной деятельности, уделяя особое внимание закупкам". </w:t>
            </w:r>
            <w:r w:rsidRPr="008B3F38">
              <w:rPr>
                <w:sz w:val="18"/>
                <w:szCs w:val="18"/>
                <w:lang w:val="ru-RU"/>
              </w:rPr>
              <w:lastRenderedPageBreak/>
              <w:t>Поскольку данная рекомендация по сути предполагает выполнение других рекомендаций, вынесенных Внешним аудитором, Рекомендация 18/2018 была разбита на подразделы, чтобы отразить эти другие</w:t>
            </w:r>
            <w:r w:rsidR="00CE3F85" w:rsidRPr="008B3F38">
              <w:rPr>
                <w:sz w:val="18"/>
                <w:szCs w:val="18"/>
                <w:lang w:val="ru-RU"/>
              </w:rPr>
              <w:t> </w:t>
            </w:r>
            <w:r w:rsidRPr="008B3F38">
              <w:rPr>
                <w:sz w:val="18"/>
                <w:szCs w:val="18"/>
                <w:lang w:val="ru-RU"/>
              </w:rPr>
              <w:t>рекомендации.</w:t>
            </w:r>
          </w:p>
          <w:p w14:paraId="0F7CFFDA" w14:textId="77777777" w:rsidR="00426DF2" w:rsidRPr="008B3F38" w:rsidRDefault="00426DF2" w:rsidP="00025DC3">
            <w:pPr>
              <w:pStyle w:val="Tabletext"/>
              <w:rPr>
                <w:sz w:val="18"/>
                <w:szCs w:val="18"/>
                <w:lang w:val="ru-RU"/>
              </w:rPr>
            </w:pPr>
            <w:r w:rsidRPr="008B3F38">
              <w:rPr>
                <w:sz w:val="18"/>
                <w:szCs w:val="18"/>
                <w:lang w:val="ru-RU"/>
              </w:rPr>
              <w:t>Соответствующим образом, осуществление Рек. 15/2018 (Спец. отчет о региональном присутствии) отслеживалось на Информационной панели по вопросам соблюдения в рамках Рек. 18/2018-5 (Фин. отчетность); она была признана выполненной и "урегулированной". Как указывалось в отчете Совету 2020 года (</w:t>
            </w:r>
            <w:hyperlink r:id="rId44" w:history="1">
              <w:r w:rsidRPr="008B3F38">
                <w:rPr>
                  <w:rStyle w:val="Hyperlink"/>
                  <w:sz w:val="18"/>
                  <w:szCs w:val="18"/>
                  <w:lang w:val="ru-RU"/>
                </w:rPr>
                <w:t>C20/75</w:t>
              </w:r>
            </w:hyperlink>
            <w:r w:rsidRPr="008B3F38">
              <w:rPr>
                <w:sz w:val="18"/>
                <w:szCs w:val="18"/>
                <w:lang w:val="ru-RU"/>
              </w:rPr>
              <w:t>), PwC сочла ее "выполненной путем введения нового руководства по закупкам", изданного в 2022 году служебным приказом 22/13.</w:t>
            </w:r>
          </w:p>
          <w:p w14:paraId="496FFDC6" w14:textId="77777777" w:rsidR="00426DF2" w:rsidRPr="008B3F38" w:rsidRDefault="00426DF2" w:rsidP="00025DC3">
            <w:pPr>
              <w:pStyle w:val="Tabletext"/>
              <w:rPr>
                <w:sz w:val="18"/>
                <w:szCs w:val="18"/>
                <w:lang w:val="ru-RU"/>
              </w:rPr>
            </w:pPr>
            <w:r w:rsidRPr="008B3F38">
              <w:rPr>
                <w:sz w:val="18"/>
                <w:szCs w:val="18"/>
                <w:lang w:val="ru-RU"/>
              </w:rPr>
              <w:t>МСЭ рекомендовал закрыть эту рекомендацию.</w:t>
            </w:r>
          </w:p>
        </w:tc>
        <w:tc>
          <w:tcPr>
            <w:tcW w:w="1137" w:type="pct"/>
            <w:shd w:val="clear" w:color="auto" w:fill="auto"/>
          </w:tcPr>
          <w:p w14:paraId="68677BE1" w14:textId="768BFA1A" w:rsidR="00426DF2" w:rsidRPr="008B3F38" w:rsidRDefault="00426DF2" w:rsidP="00025DC3">
            <w:pPr>
              <w:pStyle w:val="Tabletext"/>
              <w:rPr>
                <w:sz w:val="18"/>
                <w:szCs w:val="18"/>
                <w:lang w:val="ru-RU"/>
              </w:rPr>
            </w:pPr>
            <w:r w:rsidRPr="008B3F38">
              <w:rPr>
                <w:sz w:val="18"/>
                <w:szCs w:val="18"/>
                <w:lang w:val="ru-RU"/>
              </w:rPr>
              <w:lastRenderedPageBreak/>
              <w:t xml:space="preserve">Не заявлена Государственной счетной палатой Италии в ее заключительном отчете как невыполненная (Приложение 3: </w:t>
            </w:r>
            <w:hyperlink r:id="rId45" w:history="1">
              <w:r w:rsidRPr="008B3F38">
                <w:rPr>
                  <w:rStyle w:val="Hyperlink"/>
                  <w:sz w:val="18"/>
                  <w:szCs w:val="18"/>
                  <w:lang w:val="ru-RU"/>
                </w:rPr>
                <w:t>C22/101</w:t>
              </w:r>
            </w:hyperlink>
            <w:r w:rsidRPr="008B3F38">
              <w:rPr>
                <w:sz w:val="18"/>
                <w:szCs w:val="18"/>
                <w:lang w:val="ru-RU"/>
              </w:rPr>
              <w:t>).</w:t>
            </w:r>
          </w:p>
          <w:p w14:paraId="0BEF596B" w14:textId="7306A463" w:rsidR="00426DF2" w:rsidRPr="008B3F38" w:rsidRDefault="00426DF2" w:rsidP="00025DC3">
            <w:pPr>
              <w:pStyle w:val="Tabletext"/>
              <w:rPr>
                <w:sz w:val="18"/>
                <w:szCs w:val="18"/>
                <w:lang w:val="ru-RU"/>
              </w:rPr>
            </w:pPr>
            <w:r w:rsidRPr="008B3F38">
              <w:rPr>
                <w:sz w:val="18"/>
                <w:szCs w:val="18"/>
                <w:lang w:val="ru-RU"/>
              </w:rPr>
              <w:t>Принимая во внимание обновленную информацию руководства, мы удовлетворены тем, что эта рекомендация закрыта.</w:t>
            </w:r>
          </w:p>
        </w:tc>
        <w:tc>
          <w:tcPr>
            <w:tcW w:w="442" w:type="pct"/>
            <w:gridSpan w:val="2"/>
            <w:shd w:val="clear" w:color="auto" w:fill="auto"/>
          </w:tcPr>
          <w:p w14:paraId="784620EE" w14:textId="77777777" w:rsidR="00426DF2" w:rsidRPr="008B3F38" w:rsidRDefault="00426DF2" w:rsidP="00025DC3">
            <w:pPr>
              <w:pStyle w:val="Tabletext"/>
              <w:ind w:right="-57"/>
              <w:rPr>
                <w:sz w:val="18"/>
                <w:szCs w:val="18"/>
                <w:lang w:val="ru-RU"/>
              </w:rPr>
            </w:pPr>
            <w:r w:rsidRPr="008B3F38">
              <w:rPr>
                <w:sz w:val="18"/>
                <w:szCs w:val="18"/>
                <w:lang w:val="ru-RU"/>
              </w:rPr>
              <w:t>Закрыта.</w:t>
            </w:r>
          </w:p>
        </w:tc>
      </w:tr>
      <w:tr w:rsidR="00426DF2" w:rsidRPr="008B3F38" w14:paraId="21D66350" w14:textId="77777777" w:rsidTr="008A2FDE">
        <w:trPr>
          <w:jc w:val="center"/>
        </w:trPr>
        <w:tc>
          <w:tcPr>
            <w:tcW w:w="353" w:type="pct"/>
            <w:shd w:val="clear" w:color="auto" w:fill="auto"/>
          </w:tcPr>
          <w:p w14:paraId="4743EA29" w14:textId="77777777" w:rsidR="00426DF2" w:rsidRPr="008B3F38" w:rsidRDefault="00426DF2" w:rsidP="00025DC3">
            <w:pPr>
              <w:pStyle w:val="Tabletext"/>
              <w:rPr>
                <w:sz w:val="18"/>
                <w:szCs w:val="18"/>
                <w:lang w:val="ru-RU"/>
              </w:rPr>
            </w:pPr>
            <w:r w:rsidRPr="008B3F38">
              <w:rPr>
                <w:sz w:val="18"/>
                <w:szCs w:val="18"/>
                <w:lang w:val="ru-RU"/>
              </w:rPr>
              <w:t>РЕК16</w:t>
            </w:r>
          </w:p>
        </w:tc>
        <w:tc>
          <w:tcPr>
            <w:tcW w:w="1410" w:type="pct"/>
            <w:gridSpan w:val="2"/>
            <w:shd w:val="clear" w:color="auto" w:fill="auto"/>
          </w:tcPr>
          <w:p w14:paraId="137B0442" w14:textId="61DADBAF" w:rsidR="00426DF2" w:rsidRPr="008B3F38" w:rsidRDefault="00426DF2" w:rsidP="00025DC3">
            <w:pPr>
              <w:pStyle w:val="Tabletext"/>
              <w:rPr>
                <w:sz w:val="18"/>
                <w:szCs w:val="18"/>
                <w:lang w:val="ru-RU"/>
              </w:rPr>
            </w:pPr>
            <w:r w:rsidRPr="008B3F38">
              <w:rPr>
                <w:sz w:val="18"/>
                <w:szCs w:val="18"/>
                <w:lang w:val="ru-RU"/>
              </w:rPr>
              <w:t>Рекомендуется в случае Целевых фондов установить четкие и объективные критерии отбора предложений, а результаты этого отбора прозрачным образом сообщать участникам</w:t>
            </w:r>
            <w:r w:rsidR="00CE3F85" w:rsidRPr="008B3F38">
              <w:rPr>
                <w:sz w:val="18"/>
                <w:szCs w:val="18"/>
                <w:lang w:val="ru-RU"/>
              </w:rPr>
              <w:t> </w:t>
            </w:r>
            <w:r w:rsidRPr="008B3F38">
              <w:rPr>
                <w:sz w:val="18"/>
                <w:szCs w:val="18"/>
                <w:lang w:val="ru-RU"/>
              </w:rPr>
              <w:t>торгов.</w:t>
            </w:r>
          </w:p>
        </w:tc>
        <w:tc>
          <w:tcPr>
            <w:tcW w:w="1658" w:type="pct"/>
            <w:shd w:val="clear" w:color="auto" w:fill="auto"/>
          </w:tcPr>
          <w:p w14:paraId="715F17E3" w14:textId="28FCA201" w:rsidR="00426DF2" w:rsidRPr="008B3F38" w:rsidRDefault="00426DF2" w:rsidP="00025DC3">
            <w:pPr>
              <w:pStyle w:val="Tabletext"/>
              <w:rPr>
                <w:sz w:val="18"/>
                <w:szCs w:val="18"/>
                <w:lang w:val="ru-RU"/>
              </w:rPr>
            </w:pPr>
            <w:r w:rsidRPr="008B3F38">
              <w:rPr>
                <w:sz w:val="18"/>
                <w:szCs w:val="18"/>
                <w:lang w:val="ru-RU"/>
              </w:rPr>
              <w:t>МСЭ согласен с тем, что что должны быть установлены четкие и объективные критерии для всех мероприятий по закупкам, независимо от источника финансирования, и что во всех случаях закупок необходимо следовать процедурами, предусмотренным в готовящемся к изданию руководстве по закупкам. В руководстве подчеркивается, что рекомендация о заключении контракта должна основываться на четких и объективных критериях оценки, а также методике оценки, которые должны быть установлены до того, как будет опубликована заявка на проведение тендера. Это будет означать, что правительство, получающее помощь, не сможет рекомендовать поставщика, с которым должен быть заключен контракт. Все полученные контракты стоимостью свыше 50 000 швейцарских франков предаются гласности, а поставщикам предлагается просить предоставить краткие итоги касательно оценки их предложения. Вместе с тем МСЭ не согласен сообщать причины заключения контракта с каким-либо поставщиком, так</w:t>
            </w:r>
            <w:r w:rsidR="00175E21" w:rsidRPr="008B3F38">
              <w:rPr>
                <w:sz w:val="18"/>
                <w:szCs w:val="18"/>
                <w:lang w:val="ru-RU"/>
              </w:rPr>
              <w:t xml:space="preserve"> </w:t>
            </w:r>
            <w:r w:rsidRPr="008B3F38">
              <w:rPr>
                <w:sz w:val="18"/>
                <w:szCs w:val="18"/>
                <w:lang w:val="ru-RU"/>
              </w:rPr>
              <w:t>же как и с тем, чтобы предоставлять поставщикам право обжалования своего окончательного</w:t>
            </w:r>
            <w:r w:rsidR="00CE3F85" w:rsidRPr="008B3F38">
              <w:rPr>
                <w:sz w:val="18"/>
                <w:szCs w:val="18"/>
                <w:lang w:val="ru-RU"/>
              </w:rPr>
              <w:t> </w:t>
            </w:r>
            <w:r w:rsidRPr="008B3F38">
              <w:rPr>
                <w:sz w:val="18"/>
                <w:szCs w:val="18"/>
                <w:lang w:val="ru-RU"/>
              </w:rPr>
              <w:t>решения.</w:t>
            </w:r>
          </w:p>
          <w:p w14:paraId="68245D58" w14:textId="40D9EC4B" w:rsidR="00426DF2" w:rsidRPr="008B3F38" w:rsidRDefault="00426DF2" w:rsidP="00025DC3">
            <w:pPr>
              <w:pStyle w:val="Tabletext"/>
              <w:rPr>
                <w:sz w:val="18"/>
                <w:szCs w:val="18"/>
                <w:lang w:val="ru-RU"/>
              </w:rPr>
            </w:pPr>
            <w:r w:rsidRPr="008B3F38">
              <w:rPr>
                <w:sz w:val="18"/>
                <w:szCs w:val="18"/>
                <w:lang w:val="ru-RU"/>
              </w:rPr>
              <w:t>Обновленная информация на июнь 2022 г.: Новое</w:t>
            </w:r>
            <w:r w:rsidR="00CE3F85" w:rsidRPr="008B3F38">
              <w:rPr>
                <w:sz w:val="18"/>
                <w:szCs w:val="18"/>
                <w:lang w:val="ru-RU"/>
              </w:rPr>
              <w:t> </w:t>
            </w:r>
            <w:r w:rsidRPr="008B3F38">
              <w:rPr>
                <w:sz w:val="18"/>
                <w:szCs w:val="18"/>
                <w:lang w:val="ru-RU"/>
              </w:rPr>
              <w:t xml:space="preserve">руководство по закупкам уже опубликовано и </w:t>
            </w:r>
            <w:r w:rsidRPr="008B3F38">
              <w:rPr>
                <w:sz w:val="18"/>
                <w:szCs w:val="18"/>
                <w:lang w:val="ru-RU"/>
              </w:rPr>
              <w:lastRenderedPageBreak/>
              <w:t>теперь используется всем МСЭ как справочный</w:t>
            </w:r>
            <w:r w:rsidR="00CE3F85" w:rsidRPr="008B3F38">
              <w:rPr>
                <w:sz w:val="18"/>
                <w:szCs w:val="18"/>
                <w:lang w:val="ru-RU"/>
              </w:rPr>
              <w:t> </w:t>
            </w:r>
            <w:r w:rsidRPr="008B3F38">
              <w:rPr>
                <w:sz w:val="18"/>
                <w:szCs w:val="18"/>
                <w:lang w:val="ru-RU"/>
              </w:rPr>
              <w:t>документ.</w:t>
            </w:r>
          </w:p>
          <w:p w14:paraId="561DD8CD" w14:textId="39C6F7E5" w:rsidR="00426DF2" w:rsidRPr="008B3F38" w:rsidRDefault="00426DF2" w:rsidP="00025DC3">
            <w:pPr>
              <w:pStyle w:val="Tabletext"/>
              <w:rPr>
                <w:sz w:val="18"/>
                <w:szCs w:val="18"/>
                <w:lang w:val="ru-RU"/>
              </w:rPr>
            </w:pPr>
            <w:r w:rsidRPr="008B3F38">
              <w:rPr>
                <w:sz w:val="18"/>
                <w:szCs w:val="18"/>
                <w:lang w:val="ru-RU"/>
              </w:rPr>
              <w:t>Обновленная информация на май 2025 г.: Выполнение Рек. 16 отслеживалось на Информационной панели по вопросам соблюдения в рамках Рек. 18/2021 (Фин.</w:t>
            </w:r>
            <w:r w:rsidR="00CE3F85" w:rsidRPr="008B3F38">
              <w:rPr>
                <w:sz w:val="18"/>
                <w:szCs w:val="18"/>
                <w:lang w:val="ru-RU"/>
              </w:rPr>
              <w:t> </w:t>
            </w:r>
            <w:r w:rsidRPr="008B3F38">
              <w:rPr>
                <w:sz w:val="18"/>
                <w:szCs w:val="18"/>
                <w:lang w:val="ru-RU"/>
              </w:rPr>
              <w:t>отчетность), где "руководству рекомендовалось принять незамедлительные меры для выполнения открытых рекомендаций Внутреннего аудитора и Внешнего аудитора, касающихся региональной деятельности, уделяя особое внимание закупкам". Поскольку данная рекомендация по сути предполагает выполнение других рекомендаций, вынесенных Внешним аудитором, Рекомендация 18/2018 была разбита на подразделы, чтобы отразить эти другие</w:t>
            </w:r>
            <w:r w:rsidR="00CE3F85" w:rsidRPr="008B3F38">
              <w:rPr>
                <w:sz w:val="18"/>
                <w:szCs w:val="18"/>
                <w:lang w:val="ru-RU"/>
              </w:rPr>
              <w:t> </w:t>
            </w:r>
            <w:r w:rsidRPr="008B3F38">
              <w:rPr>
                <w:sz w:val="18"/>
                <w:szCs w:val="18"/>
                <w:lang w:val="ru-RU"/>
              </w:rPr>
              <w:t>рекомендации.</w:t>
            </w:r>
          </w:p>
          <w:p w14:paraId="52131686" w14:textId="0611737D" w:rsidR="00426DF2" w:rsidRPr="008B3F38" w:rsidRDefault="00426DF2" w:rsidP="00025DC3">
            <w:pPr>
              <w:pStyle w:val="Tabletext"/>
              <w:rPr>
                <w:sz w:val="18"/>
                <w:szCs w:val="18"/>
                <w:lang w:val="ru-RU"/>
              </w:rPr>
            </w:pPr>
            <w:r w:rsidRPr="008B3F38">
              <w:rPr>
                <w:sz w:val="18"/>
                <w:szCs w:val="18"/>
                <w:lang w:val="ru-RU"/>
              </w:rPr>
              <w:t>Соответствующим образом, осуществление Рек. 16/2018 (Спец. отчет о региональном присутствии) отслеживалось на Информационной панели по вопросам соблюдения в рамках Рек. 18/2018-6 (Фин. отчетность); рекомендация была признана выполненной и "урегулированной". Как</w:t>
            </w:r>
            <w:r w:rsidR="00CE3F85" w:rsidRPr="008B3F38">
              <w:rPr>
                <w:sz w:val="18"/>
                <w:szCs w:val="18"/>
                <w:lang w:val="ru-RU"/>
              </w:rPr>
              <w:t> </w:t>
            </w:r>
            <w:r w:rsidRPr="008B3F38">
              <w:rPr>
                <w:sz w:val="18"/>
                <w:szCs w:val="18"/>
                <w:lang w:val="ru-RU"/>
              </w:rPr>
              <w:t>указывалось в отчете Совету 2020 года (</w:t>
            </w:r>
            <w:hyperlink r:id="rId46" w:history="1">
              <w:r w:rsidRPr="008B3F38">
                <w:rPr>
                  <w:rStyle w:val="Hyperlink"/>
                  <w:sz w:val="18"/>
                  <w:szCs w:val="18"/>
                  <w:lang w:val="ru-RU"/>
                </w:rPr>
                <w:t>C20/75</w:t>
              </w:r>
            </w:hyperlink>
            <w:r w:rsidRPr="008B3F38">
              <w:rPr>
                <w:sz w:val="18"/>
                <w:szCs w:val="18"/>
                <w:lang w:val="ru-RU"/>
              </w:rPr>
              <w:t>), PwC сочла ее "выполненной путем введения нового руководства по закупкам", изданного в 2022 году служебным приказом 22/13.</w:t>
            </w:r>
          </w:p>
          <w:p w14:paraId="4153FBA8" w14:textId="66882BEB" w:rsidR="00426DF2" w:rsidRPr="008B3F38" w:rsidRDefault="00426DF2" w:rsidP="00025DC3">
            <w:pPr>
              <w:pStyle w:val="Tabletext"/>
              <w:rPr>
                <w:sz w:val="18"/>
                <w:szCs w:val="18"/>
                <w:lang w:val="ru-RU"/>
              </w:rPr>
            </w:pPr>
            <w:r w:rsidRPr="008B3F38">
              <w:rPr>
                <w:sz w:val="18"/>
                <w:szCs w:val="18"/>
                <w:lang w:val="ru-RU"/>
              </w:rPr>
              <w:t>МСЭ рекомендовал закрыть эту рекомендацию.</w:t>
            </w:r>
          </w:p>
        </w:tc>
        <w:tc>
          <w:tcPr>
            <w:tcW w:w="1137" w:type="pct"/>
            <w:shd w:val="clear" w:color="auto" w:fill="auto"/>
          </w:tcPr>
          <w:p w14:paraId="4DEA21DD" w14:textId="242AB5AC" w:rsidR="00426DF2" w:rsidRPr="008B3F38" w:rsidRDefault="00426DF2" w:rsidP="00025DC3">
            <w:pPr>
              <w:pStyle w:val="Tabletext"/>
              <w:rPr>
                <w:sz w:val="18"/>
                <w:szCs w:val="18"/>
                <w:lang w:val="ru-RU"/>
              </w:rPr>
            </w:pPr>
            <w:r w:rsidRPr="008B3F38">
              <w:rPr>
                <w:sz w:val="18"/>
                <w:szCs w:val="18"/>
                <w:lang w:val="ru-RU"/>
              </w:rPr>
              <w:lastRenderedPageBreak/>
              <w:t xml:space="preserve">Закрыта Государственной счетной палатой Италии в ее заключительном отчете как невыполненная (Приложение 3: </w:t>
            </w:r>
            <w:hyperlink r:id="rId47" w:history="1">
              <w:r w:rsidRPr="008B3F38">
                <w:rPr>
                  <w:rStyle w:val="Hyperlink"/>
                  <w:sz w:val="18"/>
                  <w:szCs w:val="18"/>
                  <w:lang w:val="ru-RU"/>
                </w:rPr>
                <w:t>C22/101</w:t>
              </w:r>
            </w:hyperlink>
            <w:r w:rsidRPr="008B3F38">
              <w:rPr>
                <w:sz w:val="18"/>
                <w:szCs w:val="18"/>
                <w:lang w:val="ru-RU"/>
              </w:rPr>
              <w:t>).</w:t>
            </w:r>
          </w:p>
          <w:p w14:paraId="756F0B27" w14:textId="0838FCCA" w:rsidR="00426DF2" w:rsidRPr="008B3F38" w:rsidRDefault="00426DF2" w:rsidP="00025DC3">
            <w:pPr>
              <w:pStyle w:val="Tabletext"/>
              <w:rPr>
                <w:sz w:val="18"/>
                <w:szCs w:val="18"/>
                <w:lang w:val="ru-RU"/>
              </w:rPr>
            </w:pPr>
            <w:r w:rsidRPr="008B3F38">
              <w:rPr>
                <w:sz w:val="18"/>
                <w:szCs w:val="18"/>
                <w:lang w:val="ru-RU"/>
              </w:rPr>
              <w:t>Принимая во внимание обновленную информацию руководства, мы удовлетворены тем, что эта рекомендация закрыта.</w:t>
            </w:r>
          </w:p>
        </w:tc>
        <w:tc>
          <w:tcPr>
            <w:tcW w:w="442" w:type="pct"/>
            <w:gridSpan w:val="2"/>
            <w:shd w:val="clear" w:color="auto" w:fill="auto"/>
          </w:tcPr>
          <w:p w14:paraId="400BDAD1" w14:textId="77777777" w:rsidR="00426DF2" w:rsidRPr="008B3F38" w:rsidRDefault="00426DF2" w:rsidP="00025DC3">
            <w:pPr>
              <w:pStyle w:val="Tabletext"/>
              <w:ind w:right="-57"/>
              <w:rPr>
                <w:sz w:val="18"/>
                <w:szCs w:val="18"/>
                <w:lang w:val="ru-RU"/>
              </w:rPr>
            </w:pPr>
            <w:r w:rsidRPr="008B3F38">
              <w:rPr>
                <w:sz w:val="18"/>
                <w:szCs w:val="18"/>
                <w:lang w:val="ru-RU"/>
              </w:rPr>
              <w:t>Закрыта.</w:t>
            </w:r>
          </w:p>
        </w:tc>
      </w:tr>
      <w:tr w:rsidR="00426DF2" w:rsidRPr="008B3F38" w14:paraId="55C886AE" w14:textId="77777777" w:rsidTr="008A2FDE">
        <w:trPr>
          <w:jc w:val="center"/>
        </w:trPr>
        <w:tc>
          <w:tcPr>
            <w:tcW w:w="353" w:type="pct"/>
            <w:shd w:val="clear" w:color="auto" w:fill="auto"/>
          </w:tcPr>
          <w:p w14:paraId="38ACB04E" w14:textId="77777777" w:rsidR="00426DF2" w:rsidRPr="008B3F38" w:rsidRDefault="00426DF2" w:rsidP="00025DC3">
            <w:pPr>
              <w:pStyle w:val="Tabletext"/>
              <w:rPr>
                <w:sz w:val="18"/>
                <w:szCs w:val="18"/>
                <w:lang w:val="ru-RU"/>
              </w:rPr>
            </w:pPr>
            <w:r w:rsidRPr="008B3F38">
              <w:rPr>
                <w:sz w:val="18"/>
                <w:szCs w:val="18"/>
                <w:lang w:val="ru-RU"/>
              </w:rPr>
              <w:t>РЕК17</w:t>
            </w:r>
          </w:p>
        </w:tc>
        <w:tc>
          <w:tcPr>
            <w:tcW w:w="1410" w:type="pct"/>
            <w:gridSpan w:val="2"/>
            <w:shd w:val="clear" w:color="auto" w:fill="auto"/>
          </w:tcPr>
          <w:p w14:paraId="53F47BAC" w14:textId="3F576FA5" w:rsidR="00426DF2" w:rsidRPr="008B3F38" w:rsidRDefault="00426DF2" w:rsidP="00025DC3">
            <w:pPr>
              <w:pStyle w:val="Tabletext"/>
              <w:rPr>
                <w:sz w:val="18"/>
                <w:szCs w:val="18"/>
                <w:lang w:val="ru-RU"/>
              </w:rPr>
            </w:pPr>
            <w:r w:rsidRPr="008B3F38">
              <w:rPr>
                <w:sz w:val="18"/>
                <w:szCs w:val="18"/>
                <w:lang w:val="ru-RU"/>
              </w:rPr>
              <w:t>Рекомендуется создание Отделом закупок Группы по оценке в соответствии с Руководящими указаниями по управлению проектами, пункт c) главы 4.2.2 которых гласит, что процесс закупок товаров и услуг полностью относится к сфере ответственности Отдела</w:t>
            </w:r>
            <w:r w:rsidR="00CE3F85" w:rsidRPr="008B3F38">
              <w:rPr>
                <w:sz w:val="18"/>
                <w:szCs w:val="18"/>
                <w:lang w:val="ru-RU"/>
              </w:rPr>
              <w:t> </w:t>
            </w:r>
            <w:r w:rsidRPr="008B3F38">
              <w:rPr>
                <w:sz w:val="18"/>
                <w:szCs w:val="18"/>
                <w:lang w:val="ru-RU"/>
              </w:rPr>
              <w:t>закупок.</w:t>
            </w:r>
          </w:p>
        </w:tc>
        <w:tc>
          <w:tcPr>
            <w:tcW w:w="1658" w:type="pct"/>
            <w:shd w:val="clear" w:color="auto" w:fill="auto"/>
          </w:tcPr>
          <w:p w14:paraId="65395F6E" w14:textId="1862F612" w:rsidR="00426DF2" w:rsidRPr="008B3F38" w:rsidRDefault="00426DF2" w:rsidP="00025DC3">
            <w:pPr>
              <w:pStyle w:val="Tabletext"/>
              <w:rPr>
                <w:sz w:val="18"/>
                <w:szCs w:val="18"/>
                <w:lang w:val="ru-RU"/>
              </w:rPr>
            </w:pPr>
            <w:r w:rsidRPr="008B3F38">
              <w:rPr>
                <w:sz w:val="18"/>
                <w:szCs w:val="18"/>
                <w:lang w:val="ru-RU"/>
              </w:rPr>
              <w:t>Ответ на эту рекомендацию содержится в ответе на Рекомендацию 18, ниже.</w:t>
            </w:r>
          </w:p>
          <w:p w14:paraId="650EF904" w14:textId="4C0FE6DF" w:rsidR="00426DF2" w:rsidRPr="008B3F38" w:rsidRDefault="00426DF2" w:rsidP="00025DC3">
            <w:pPr>
              <w:pStyle w:val="Tabletext"/>
              <w:rPr>
                <w:sz w:val="18"/>
                <w:szCs w:val="18"/>
                <w:lang w:val="ru-RU"/>
              </w:rPr>
            </w:pPr>
            <w:r w:rsidRPr="008B3F38">
              <w:rPr>
                <w:sz w:val="18"/>
                <w:szCs w:val="18"/>
                <w:lang w:val="ru-RU"/>
              </w:rPr>
              <w:t>Обновленная информация на май 2025 г.: Выполнение Рек. 17/2018 (Спец. отчет о региональном присутствии) отслеживалось на Информационной панели по вопросам соблюдения в рамках Рек. 18/2018-7 (Фин. отчетность); она была признана выполненной и "урегулированной". Как указывалось в отчете Совету 2020 года (</w:t>
            </w:r>
            <w:hyperlink r:id="rId48" w:history="1">
              <w:r w:rsidRPr="008B3F38">
                <w:rPr>
                  <w:rStyle w:val="Hyperlink"/>
                  <w:sz w:val="18"/>
                  <w:szCs w:val="18"/>
                  <w:lang w:val="ru-RU"/>
                </w:rPr>
                <w:t>C20/75</w:t>
              </w:r>
            </w:hyperlink>
            <w:r w:rsidRPr="008B3F38">
              <w:rPr>
                <w:sz w:val="18"/>
                <w:szCs w:val="18"/>
                <w:lang w:val="ru-RU"/>
              </w:rPr>
              <w:t>), PwC сочла ее "выполненной путем введения нового руководства по закупкам", изданного в 2022 году служебным приказом 22/13, со ссылкой то, что "Группа по оценке" и связанный с ней процесс относятся к "сфере ответственности Отдела закупок".</w:t>
            </w:r>
          </w:p>
          <w:p w14:paraId="0A740A8A" w14:textId="77777777" w:rsidR="00426DF2" w:rsidRPr="008B3F38" w:rsidRDefault="00426DF2" w:rsidP="00025DC3">
            <w:pPr>
              <w:pStyle w:val="Tabletext"/>
              <w:rPr>
                <w:sz w:val="18"/>
                <w:szCs w:val="18"/>
                <w:lang w:val="ru-RU"/>
              </w:rPr>
            </w:pPr>
            <w:r w:rsidRPr="008B3F38">
              <w:rPr>
                <w:sz w:val="18"/>
                <w:szCs w:val="18"/>
                <w:lang w:val="ru-RU"/>
              </w:rPr>
              <w:t>МСЭ рекомендовал закрыть эту рекомендацию.</w:t>
            </w:r>
          </w:p>
        </w:tc>
        <w:tc>
          <w:tcPr>
            <w:tcW w:w="1137" w:type="pct"/>
            <w:shd w:val="clear" w:color="auto" w:fill="auto"/>
          </w:tcPr>
          <w:p w14:paraId="20C4FBD1" w14:textId="2786BDF3" w:rsidR="00426DF2" w:rsidRPr="008B3F38" w:rsidRDefault="00426DF2" w:rsidP="00025DC3">
            <w:pPr>
              <w:pStyle w:val="Tabletext"/>
              <w:rPr>
                <w:sz w:val="18"/>
                <w:szCs w:val="18"/>
                <w:lang w:val="ru-RU"/>
              </w:rPr>
            </w:pPr>
            <w:r w:rsidRPr="008B3F38">
              <w:rPr>
                <w:sz w:val="18"/>
                <w:szCs w:val="18"/>
                <w:lang w:val="ru-RU"/>
              </w:rPr>
              <w:t xml:space="preserve">Не заявлена Государственной счетной палатой Италии в ее заключительном отчете как невыполненная (Приложение 3: </w:t>
            </w:r>
            <w:hyperlink r:id="rId49" w:history="1">
              <w:r w:rsidRPr="008B3F38">
                <w:rPr>
                  <w:rStyle w:val="Hyperlink"/>
                  <w:sz w:val="18"/>
                  <w:szCs w:val="18"/>
                  <w:lang w:val="ru-RU"/>
                </w:rPr>
                <w:t>C22/101</w:t>
              </w:r>
            </w:hyperlink>
            <w:r w:rsidRPr="008B3F38">
              <w:rPr>
                <w:sz w:val="18"/>
                <w:szCs w:val="18"/>
                <w:lang w:val="ru-RU"/>
              </w:rPr>
              <w:t>).</w:t>
            </w:r>
          </w:p>
          <w:p w14:paraId="74F789BA" w14:textId="7731C999" w:rsidR="00426DF2" w:rsidRPr="008B3F38" w:rsidRDefault="00426DF2" w:rsidP="00025DC3">
            <w:pPr>
              <w:pStyle w:val="Tabletext"/>
              <w:rPr>
                <w:sz w:val="18"/>
                <w:szCs w:val="18"/>
                <w:highlight w:val="yellow"/>
                <w:lang w:val="ru-RU"/>
              </w:rPr>
            </w:pPr>
            <w:r w:rsidRPr="008B3F38">
              <w:rPr>
                <w:sz w:val="18"/>
                <w:szCs w:val="18"/>
                <w:lang w:val="ru-RU"/>
              </w:rPr>
              <w:t>Принимая во внимание обновленную информацию руководства, мы удовлетворены тем, что эта рекомендация закрыта.</w:t>
            </w:r>
          </w:p>
        </w:tc>
        <w:tc>
          <w:tcPr>
            <w:tcW w:w="442" w:type="pct"/>
            <w:gridSpan w:val="2"/>
            <w:shd w:val="clear" w:color="auto" w:fill="auto"/>
          </w:tcPr>
          <w:p w14:paraId="576B988F" w14:textId="77777777" w:rsidR="00426DF2" w:rsidRPr="008B3F38" w:rsidRDefault="00426DF2" w:rsidP="00025DC3">
            <w:pPr>
              <w:pStyle w:val="Tabletext"/>
              <w:ind w:right="-57"/>
              <w:rPr>
                <w:sz w:val="18"/>
                <w:szCs w:val="18"/>
                <w:lang w:val="ru-RU"/>
              </w:rPr>
            </w:pPr>
            <w:r w:rsidRPr="008B3F38">
              <w:rPr>
                <w:sz w:val="18"/>
                <w:szCs w:val="18"/>
                <w:lang w:val="ru-RU"/>
              </w:rPr>
              <w:t>Закрыта.</w:t>
            </w:r>
          </w:p>
        </w:tc>
      </w:tr>
      <w:tr w:rsidR="00426DF2" w:rsidRPr="008B3F38" w14:paraId="634F4CA0" w14:textId="77777777" w:rsidTr="008A2FDE">
        <w:trPr>
          <w:jc w:val="center"/>
        </w:trPr>
        <w:tc>
          <w:tcPr>
            <w:tcW w:w="353" w:type="pct"/>
            <w:shd w:val="clear" w:color="auto" w:fill="auto"/>
          </w:tcPr>
          <w:p w14:paraId="08E3AE29" w14:textId="77777777" w:rsidR="00426DF2" w:rsidRPr="008B3F38" w:rsidRDefault="00426DF2" w:rsidP="00025DC3">
            <w:pPr>
              <w:pStyle w:val="Tabletext"/>
              <w:spacing w:line="216" w:lineRule="exact"/>
              <w:rPr>
                <w:sz w:val="18"/>
                <w:szCs w:val="18"/>
                <w:lang w:val="ru-RU"/>
              </w:rPr>
            </w:pPr>
            <w:r w:rsidRPr="008B3F38">
              <w:rPr>
                <w:sz w:val="18"/>
                <w:szCs w:val="18"/>
                <w:lang w:val="ru-RU"/>
              </w:rPr>
              <w:lastRenderedPageBreak/>
              <w:t>РЕК18</w:t>
            </w:r>
          </w:p>
        </w:tc>
        <w:tc>
          <w:tcPr>
            <w:tcW w:w="1410" w:type="pct"/>
            <w:gridSpan w:val="2"/>
            <w:shd w:val="clear" w:color="auto" w:fill="auto"/>
          </w:tcPr>
          <w:p w14:paraId="219D126B" w14:textId="77777777" w:rsidR="00426DF2" w:rsidRPr="008B3F38" w:rsidRDefault="00426DF2" w:rsidP="00025DC3">
            <w:pPr>
              <w:pStyle w:val="Tabletext"/>
              <w:spacing w:line="216" w:lineRule="exact"/>
              <w:rPr>
                <w:sz w:val="18"/>
                <w:szCs w:val="18"/>
                <w:lang w:val="ru-RU"/>
              </w:rPr>
            </w:pPr>
            <w:r w:rsidRPr="008B3F38">
              <w:rPr>
                <w:sz w:val="18"/>
                <w:szCs w:val="18"/>
                <w:lang w:val="ru-RU"/>
              </w:rPr>
              <w:t>Рекомендуется, чтобы руководитель проекта не назначался в качестве члена группы по оценке и чтобы координатором группы по оценке был Отдел закупок, а не руководитель проекта.</w:t>
            </w:r>
          </w:p>
        </w:tc>
        <w:tc>
          <w:tcPr>
            <w:tcW w:w="1658" w:type="pct"/>
            <w:shd w:val="clear" w:color="auto" w:fill="auto"/>
          </w:tcPr>
          <w:p w14:paraId="21D85D34" w14:textId="5C93685A" w:rsidR="00426DF2" w:rsidRPr="008B3F38" w:rsidRDefault="00426DF2" w:rsidP="00025DC3">
            <w:pPr>
              <w:pStyle w:val="Tabletext"/>
              <w:spacing w:line="216" w:lineRule="exact"/>
              <w:rPr>
                <w:sz w:val="18"/>
                <w:szCs w:val="18"/>
                <w:lang w:val="ru-RU"/>
              </w:rPr>
            </w:pPr>
            <w:r w:rsidRPr="008B3F38">
              <w:rPr>
                <w:sz w:val="18"/>
                <w:szCs w:val="18"/>
                <w:lang w:val="ru-RU"/>
              </w:rPr>
              <w:t>МСЭ дополнительно изучит частично рекомендации 17 и</w:t>
            </w:r>
            <w:r w:rsidR="008A2FDE" w:rsidRPr="008B3F38">
              <w:rPr>
                <w:sz w:val="18"/>
                <w:szCs w:val="18"/>
                <w:lang w:val="ru-RU"/>
              </w:rPr>
              <w:t> </w:t>
            </w:r>
            <w:r w:rsidRPr="008B3F38">
              <w:rPr>
                <w:sz w:val="18"/>
                <w:szCs w:val="18"/>
                <w:lang w:val="ru-RU"/>
              </w:rPr>
              <w:t>18, поскольку необходима техническая оценка всех предложений. Руководитель проекта отвечает за все технические аспекты проекта и поэтому он/она лучше всех может оценить техническую сторону предложений, совместно с другими специалистами, которым он/она это предложит.</w:t>
            </w:r>
          </w:p>
          <w:p w14:paraId="047C4E90" w14:textId="7C0BD09F" w:rsidR="00426DF2" w:rsidRPr="008B3F38" w:rsidRDefault="00426DF2" w:rsidP="00025DC3">
            <w:pPr>
              <w:pStyle w:val="Tabletext"/>
              <w:spacing w:line="216" w:lineRule="exact"/>
              <w:rPr>
                <w:sz w:val="18"/>
                <w:szCs w:val="18"/>
                <w:lang w:val="ru-RU"/>
              </w:rPr>
            </w:pPr>
            <w:r w:rsidRPr="008B3F38">
              <w:rPr>
                <w:sz w:val="18"/>
                <w:szCs w:val="18"/>
                <w:lang w:val="ru-RU"/>
              </w:rPr>
              <w:t>Поскольку большинство проектов реализуются на местах под руководством руководителя проекта, знакомого с реальной сложившейся там ситуацией, ему/ей следует присутствовать совместно с группой по оценке в штаб</w:t>
            </w:r>
            <w:r w:rsidR="008A2FDE" w:rsidRPr="008B3F38">
              <w:rPr>
                <w:rFonts w:ascii="Cambria Math" w:hAnsi="Cambria Math"/>
                <w:sz w:val="18"/>
                <w:szCs w:val="18"/>
                <w:lang w:val="ru-RU"/>
              </w:rPr>
              <w:t>‑</w:t>
            </w:r>
            <w:r w:rsidRPr="008B3F38">
              <w:rPr>
                <w:sz w:val="18"/>
                <w:szCs w:val="18"/>
                <w:lang w:val="ru-RU"/>
              </w:rPr>
              <w:t>квартире при принятии решений о товарах, подлежащих закупке.</w:t>
            </w:r>
          </w:p>
          <w:p w14:paraId="2FDEA668" w14:textId="561A530E" w:rsidR="00426DF2" w:rsidRPr="008B3F38" w:rsidRDefault="00426DF2" w:rsidP="00025DC3">
            <w:pPr>
              <w:pStyle w:val="Tabletext"/>
              <w:spacing w:line="216" w:lineRule="exact"/>
              <w:rPr>
                <w:sz w:val="18"/>
                <w:szCs w:val="18"/>
                <w:lang w:val="ru-RU"/>
              </w:rPr>
            </w:pPr>
            <w:r w:rsidRPr="008B3F38">
              <w:rPr>
                <w:sz w:val="18"/>
                <w:szCs w:val="18"/>
                <w:lang w:val="ru-RU"/>
              </w:rPr>
              <w:t>Создание групп экспертов по оценке будет осуществляться в соответствии с процедурами, изложенными в готовящемся руководстве по закупкам. Техническую оценку будет осуществлять группа экспертов по технической оценке (TEP). За назначение членов группы отвечает запрашивающее подразделение, и эта группа должна быть создана до того, как будет объявлено о проведении тендера. По меньшей мере один член должен быть сотрудником запрашивающего Департамента и один – из структуры, не относящейся к запрашивающему Департаменту. Создание группы экспертов регулируется следующим образом. Группа</w:t>
            </w:r>
            <w:r w:rsidR="00CE3F85" w:rsidRPr="008B3F38">
              <w:rPr>
                <w:sz w:val="18"/>
                <w:szCs w:val="18"/>
                <w:lang w:val="ru-RU"/>
              </w:rPr>
              <w:t> </w:t>
            </w:r>
            <w:r w:rsidRPr="008B3F38">
              <w:rPr>
                <w:sz w:val="18"/>
                <w:szCs w:val="18"/>
                <w:lang w:val="ru-RU"/>
              </w:rPr>
              <w:t xml:space="preserve">экспертов должна состоять из группы в составе не менее трех сотрудников МСЭ, представляющих различные отделы: i) консультанты или внешние эксперты, назначенные запрашивающим подразделением, или представители получателя выгод от проекта, которые могут быть членами группы, однако без права участия в принятии решений, ii) лица, не являющиеся сотрудниками МСЭ, по численности не могут превосходить сотрудников МСЭ, iii) представитель от Отдела закупок может направлять работу группы и консультировать ее по вопросам, касающимся работы группы, iv) члены TEP должны подписать декларацию об отсутствии конфликта интересов. Коммерческая оценка должна быть осуществлена сотрудником Отдела закупок. Если потребуются специальные технические знания, то подтвердить коммерческую оценку можно предложить </w:t>
            </w:r>
            <w:r w:rsidRPr="008B3F38">
              <w:rPr>
                <w:sz w:val="18"/>
                <w:szCs w:val="18"/>
                <w:lang w:val="ru-RU"/>
              </w:rPr>
              <w:lastRenderedPageBreak/>
              <w:t>технически грамотному специалисту. При отсутствии в МСЭ штатного специалиста таким специалистом может быть представитель организации, не относящейся</w:t>
            </w:r>
            <w:r w:rsidR="00CE3F85" w:rsidRPr="008B3F38">
              <w:rPr>
                <w:sz w:val="18"/>
                <w:szCs w:val="18"/>
                <w:lang w:val="ru-RU"/>
              </w:rPr>
              <w:t> </w:t>
            </w:r>
            <w:r w:rsidRPr="008B3F38">
              <w:rPr>
                <w:sz w:val="18"/>
                <w:szCs w:val="18"/>
                <w:lang w:val="ru-RU"/>
              </w:rPr>
              <w:t>к</w:t>
            </w:r>
            <w:r w:rsidR="00CE3F85" w:rsidRPr="008B3F38">
              <w:rPr>
                <w:sz w:val="18"/>
                <w:szCs w:val="18"/>
                <w:lang w:val="ru-RU"/>
              </w:rPr>
              <w:t> </w:t>
            </w:r>
            <w:r w:rsidRPr="008B3F38">
              <w:rPr>
                <w:sz w:val="18"/>
                <w:szCs w:val="18"/>
                <w:lang w:val="ru-RU"/>
              </w:rPr>
              <w:t>Союзу.</w:t>
            </w:r>
          </w:p>
          <w:p w14:paraId="0BA2B130" w14:textId="1E5FAC11" w:rsidR="00426DF2" w:rsidRPr="008B3F38" w:rsidRDefault="00426DF2" w:rsidP="00025DC3">
            <w:pPr>
              <w:pStyle w:val="Tabletext"/>
              <w:spacing w:line="216" w:lineRule="exact"/>
              <w:rPr>
                <w:sz w:val="18"/>
                <w:szCs w:val="18"/>
                <w:lang w:val="ru-RU"/>
              </w:rPr>
            </w:pPr>
            <w:r w:rsidRPr="008B3F38">
              <w:rPr>
                <w:sz w:val="18"/>
                <w:szCs w:val="18"/>
                <w:lang w:val="ru-RU"/>
              </w:rPr>
              <w:t>Обновленная информация на май 2025 г.: Выполнение Рек. 18/2018 (Спец. отчет о региональном присутствии) отслеживалось на Информационной панели по вопросам соблюдения в рамках Рек. 18/2018-7[bis] (Фин.</w:t>
            </w:r>
            <w:r w:rsidR="00CE3F85" w:rsidRPr="008B3F38">
              <w:rPr>
                <w:sz w:val="18"/>
                <w:szCs w:val="18"/>
                <w:lang w:val="ru-RU"/>
              </w:rPr>
              <w:t> </w:t>
            </w:r>
            <w:r w:rsidRPr="008B3F38">
              <w:rPr>
                <w:sz w:val="18"/>
                <w:szCs w:val="18"/>
                <w:lang w:val="ru-RU"/>
              </w:rPr>
              <w:t>отчетность); она была признана выполненной и "урегулированной". Как указывалось в отчете Совету 2020 года (</w:t>
            </w:r>
            <w:hyperlink r:id="rId50" w:history="1">
              <w:r w:rsidRPr="008B3F38">
                <w:rPr>
                  <w:rStyle w:val="Hyperlink"/>
                  <w:sz w:val="18"/>
                  <w:szCs w:val="18"/>
                  <w:lang w:val="ru-RU"/>
                </w:rPr>
                <w:t>C20/75</w:t>
              </w:r>
            </w:hyperlink>
            <w:r w:rsidRPr="008B3F38">
              <w:rPr>
                <w:sz w:val="18"/>
                <w:szCs w:val="18"/>
                <w:lang w:val="ru-RU"/>
              </w:rPr>
              <w:t>), PwC сочла ее "выполненной путем введения нового руководства по закупкам", изданного в 2022 году служебным приказом 22/13, с примечанием, в котором содержится ссылка на то, что "координатором группы по оценке" должен быть "Отдел закупок, а не руководитель проекта".</w:t>
            </w:r>
          </w:p>
          <w:p w14:paraId="7B7423E6" w14:textId="77777777" w:rsidR="00426DF2" w:rsidRPr="008B3F38" w:rsidRDefault="00426DF2" w:rsidP="00025DC3">
            <w:pPr>
              <w:pStyle w:val="Tabletext"/>
              <w:spacing w:line="216" w:lineRule="exact"/>
              <w:rPr>
                <w:sz w:val="18"/>
                <w:szCs w:val="18"/>
                <w:lang w:val="ru-RU"/>
              </w:rPr>
            </w:pPr>
            <w:r w:rsidRPr="008B3F38">
              <w:rPr>
                <w:sz w:val="18"/>
                <w:szCs w:val="18"/>
                <w:lang w:val="ru-RU"/>
              </w:rPr>
              <w:t>МСЭ рекомендовал закрыть эту рекомендацию.</w:t>
            </w:r>
          </w:p>
        </w:tc>
        <w:tc>
          <w:tcPr>
            <w:tcW w:w="1137" w:type="pct"/>
            <w:shd w:val="clear" w:color="auto" w:fill="auto"/>
          </w:tcPr>
          <w:p w14:paraId="319227DD" w14:textId="1918CF42" w:rsidR="00426DF2" w:rsidRPr="008B3F38" w:rsidRDefault="00426DF2" w:rsidP="00025DC3">
            <w:pPr>
              <w:pStyle w:val="Tabletext"/>
              <w:spacing w:line="216" w:lineRule="exact"/>
              <w:rPr>
                <w:sz w:val="18"/>
                <w:szCs w:val="18"/>
                <w:lang w:val="ru-RU"/>
              </w:rPr>
            </w:pPr>
            <w:r w:rsidRPr="008B3F38">
              <w:rPr>
                <w:sz w:val="18"/>
                <w:szCs w:val="18"/>
                <w:lang w:val="ru-RU"/>
              </w:rPr>
              <w:lastRenderedPageBreak/>
              <w:t xml:space="preserve">Не заявлена Государственной счетной палатой Италии в ее заключительном отчете как невыполненная (Приложение 3: </w:t>
            </w:r>
            <w:hyperlink r:id="rId51" w:history="1">
              <w:r w:rsidRPr="008B3F38">
                <w:rPr>
                  <w:rStyle w:val="Hyperlink"/>
                  <w:sz w:val="18"/>
                  <w:szCs w:val="18"/>
                  <w:lang w:val="ru-RU"/>
                </w:rPr>
                <w:t>C22/101</w:t>
              </w:r>
            </w:hyperlink>
            <w:r w:rsidRPr="008B3F38">
              <w:rPr>
                <w:sz w:val="18"/>
                <w:szCs w:val="18"/>
                <w:lang w:val="ru-RU"/>
              </w:rPr>
              <w:t>).</w:t>
            </w:r>
          </w:p>
          <w:p w14:paraId="4F10261F" w14:textId="67D3CD13" w:rsidR="00426DF2" w:rsidRPr="008B3F38" w:rsidRDefault="00426DF2" w:rsidP="00025DC3">
            <w:pPr>
              <w:pStyle w:val="Tabletext"/>
              <w:spacing w:line="216" w:lineRule="exact"/>
              <w:rPr>
                <w:sz w:val="18"/>
                <w:szCs w:val="18"/>
                <w:lang w:val="ru-RU"/>
              </w:rPr>
            </w:pPr>
            <w:r w:rsidRPr="008B3F38">
              <w:rPr>
                <w:sz w:val="18"/>
                <w:szCs w:val="18"/>
                <w:lang w:val="ru-RU"/>
              </w:rPr>
              <w:t>Принимая во внимание обновленную информацию руководства, мы удовлетворены тем, что эта рекомендация закрыта.</w:t>
            </w:r>
          </w:p>
        </w:tc>
        <w:tc>
          <w:tcPr>
            <w:tcW w:w="442" w:type="pct"/>
            <w:gridSpan w:val="2"/>
            <w:shd w:val="clear" w:color="auto" w:fill="auto"/>
          </w:tcPr>
          <w:p w14:paraId="39934F20" w14:textId="77777777" w:rsidR="00426DF2" w:rsidRPr="008B3F38" w:rsidRDefault="00426DF2" w:rsidP="00025DC3">
            <w:pPr>
              <w:pStyle w:val="Tabletext"/>
              <w:spacing w:line="216" w:lineRule="exact"/>
              <w:ind w:right="-57"/>
              <w:rPr>
                <w:sz w:val="18"/>
                <w:szCs w:val="18"/>
                <w:lang w:val="ru-RU"/>
              </w:rPr>
            </w:pPr>
            <w:r w:rsidRPr="008B3F38">
              <w:rPr>
                <w:sz w:val="18"/>
                <w:szCs w:val="18"/>
                <w:lang w:val="ru-RU"/>
              </w:rPr>
              <w:t>Закрыта.</w:t>
            </w:r>
          </w:p>
        </w:tc>
      </w:tr>
      <w:tr w:rsidR="00426DF2" w:rsidRPr="008B3F38" w14:paraId="4A790C19" w14:textId="77777777" w:rsidTr="008A2FDE">
        <w:trPr>
          <w:jc w:val="center"/>
        </w:trPr>
        <w:tc>
          <w:tcPr>
            <w:tcW w:w="353" w:type="pct"/>
            <w:shd w:val="clear" w:color="auto" w:fill="auto"/>
          </w:tcPr>
          <w:p w14:paraId="743B7355" w14:textId="77777777" w:rsidR="00426DF2" w:rsidRPr="008B3F38" w:rsidRDefault="00426DF2" w:rsidP="00025DC3">
            <w:pPr>
              <w:pStyle w:val="Tabletext"/>
              <w:spacing w:line="216" w:lineRule="exact"/>
              <w:rPr>
                <w:sz w:val="18"/>
                <w:szCs w:val="18"/>
                <w:lang w:val="ru-RU"/>
              </w:rPr>
            </w:pPr>
            <w:r w:rsidRPr="008B3F38">
              <w:rPr>
                <w:sz w:val="18"/>
                <w:szCs w:val="18"/>
                <w:lang w:val="ru-RU"/>
              </w:rPr>
              <w:t>РЕК19</w:t>
            </w:r>
          </w:p>
        </w:tc>
        <w:tc>
          <w:tcPr>
            <w:tcW w:w="1410" w:type="pct"/>
            <w:gridSpan w:val="2"/>
            <w:shd w:val="clear" w:color="auto" w:fill="auto"/>
          </w:tcPr>
          <w:p w14:paraId="27C48296" w14:textId="45B2645A" w:rsidR="00426DF2" w:rsidRPr="008B3F38" w:rsidRDefault="00426DF2" w:rsidP="00025DC3">
            <w:pPr>
              <w:pStyle w:val="Tabletext"/>
              <w:spacing w:line="216" w:lineRule="exact"/>
              <w:rPr>
                <w:sz w:val="18"/>
                <w:szCs w:val="18"/>
                <w:lang w:val="ru-RU"/>
              </w:rPr>
            </w:pPr>
            <w:r w:rsidRPr="008B3F38">
              <w:rPr>
                <w:sz w:val="18"/>
                <w:szCs w:val="18"/>
                <w:lang w:val="ru-RU"/>
              </w:rPr>
              <w:t>Всем лицам, участвующим в процессе закупок, рекомендуется представлять конкретную и подробную надлежащим образом подписанную Декларацию об отсутствии конфликта интересов</w:t>
            </w:r>
            <w:r w:rsidR="00CE3F85" w:rsidRPr="008B3F38">
              <w:rPr>
                <w:sz w:val="18"/>
                <w:szCs w:val="18"/>
                <w:lang w:val="ru-RU"/>
              </w:rPr>
              <w:t> </w:t>
            </w:r>
            <w:r w:rsidRPr="008B3F38">
              <w:rPr>
                <w:sz w:val="18"/>
                <w:szCs w:val="18"/>
                <w:lang w:val="ru-RU"/>
              </w:rPr>
              <w:t>(DACI).</w:t>
            </w:r>
          </w:p>
        </w:tc>
        <w:tc>
          <w:tcPr>
            <w:tcW w:w="1658" w:type="pct"/>
            <w:shd w:val="clear" w:color="auto" w:fill="auto"/>
          </w:tcPr>
          <w:p w14:paraId="38D26DF7" w14:textId="027FC335" w:rsidR="00426DF2" w:rsidRPr="008B3F38" w:rsidRDefault="00426DF2" w:rsidP="00025DC3">
            <w:pPr>
              <w:pStyle w:val="Tabletext"/>
              <w:spacing w:line="216" w:lineRule="exact"/>
              <w:rPr>
                <w:sz w:val="18"/>
                <w:szCs w:val="18"/>
                <w:lang w:val="ru-RU"/>
              </w:rPr>
            </w:pPr>
            <w:r w:rsidRPr="008B3F38">
              <w:rPr>
                <w:sz w:val="18"/>
                <w:szCs w:val="18"/>
                <w:lang w:val="ru-RU"/>
              </w:rPr>
              <w:t>МСЭ согласен с тем, что ряд ключевых сотрудников, участвующих в процессе закупок, должен подписывать</w:t>
            </w:r>
            <w:r w:rsidR="00CE3F85" w:rsidRPr="008B3F38">
              <w:rPr>
                <w:sz w:val="18"/>
                <w:szCs w:val="18"/>
                <w:lang w:val="ru-RU"/>
              </w:rPr>
              <w:t> </w:t>
            </w:r>
            <w:r w:rsidRPr="008B3F38">
              <w:rPr>
                <w:sz w:val="18"/>
                <w:szCs w:val="18"/>
                <w:lang w:val="ru-RU"/>
              </w:rPr>
              <w:t>DACI.</w:t>
            </w:r>
          </w:p>
          <w:p w14:paraId="7BD15C6B" w14:textId="6D0776D2" w:rsidR="00426DF2" w:rsidRPr="008B3F38" w:rsidRDefault="00426DF2" w:rsidP="00025DC3">
            <w:pPr>
              <w:pStyle w:val="Tabletext"/>
              <w:spacing w:line="216" w:lineRule="exact"/>
              <w:rPr>
                <w:sz w:val="18"/>
                <w:szCs w:val="18"/>
                <w:lang w:val="ru-RU"/>
              </w:rPr>
            </w:pPr>
            <w:r w:rsidRPr="008B3F38">
              <w:rPr>
                <w:sz w:val="18"/>
                <w:szCs w:val="18"/>
                <w:lang w:val="ru-RU"/>
              </w:rPr>
              <w:t>Обновленная информация на май 2025 г.: Выполнение Рек. 19/2018 (Спец. отчет о региональном присутствии) отслеживалось на Информационной панели по вопросам соблюдения в рамках Рек. 18/2018-8 (Фин. отчетность); она была признана выполненной и "урегулированной". Как указывалось в отчете Совету 2020 года (</w:t>
            </w:r>
            <w:hyperlink r:id="rId52" w:history="1">
              <w:r w:rsidRPr="008B3F38">
                <w:rPr>
                  <w:rStyle w:val="Hyperlink"/>
                  <w:sz w:val="18"/>
                  <w:szCs w:val="18"/>
                  <w:lang w:val="ru-RU"/>
                </w:rPr>
                <w:t>C20/75</w:t>
              </w:r>
            </w:hyperlink>
            <w:r w:rsidRPr="008B3F38">
              <w:rPr>
                <w:sz w:val="18"/>
                <w:szCs w:val="18"/>
                <w:lang w:val="ru-RU"/>
              </w:rPr>
              <w:t>), PwC сочла ее "выполненной путем введения нового руководства по закупкам", изданного в 2022 году служебным приказом 22/13.</w:t>
            </w:r>
          </w:p>
          <w:p w14:paraId="29D35DD9" w14:textId="77777777" w:rsidR="00426DF2" w:rsidRPr="008B3F38" w:rsidRDefault="00426DF2" w:rsidP="00025DC3">
            <w:pPr>
              <w:pStyle w:val="Tabletext"/>
              <w:spacing w:line="216" w:lineRule="exact"/>
              <w:rPr>
                <w:sz w:val="18"/>
                <w:szCs w:val="18"/>
                <w:lang w:val="ru-RU"/>
              </w:rPr>
            </w:pPr>
            <w:r w:rsidRPr="008B3F38">
              <w:rPr>
                <w:sz w:val="18"/>
                <w:szCs w:val="18"/>
                <w:lang w:val="ru-RU"/>
              </w:rPr>
              <w:t xml:space="preserve">МСЭ рекомендовал закрыть эту рекомендацию. </w:t>
            </w:r>
          </w:p>
        </w:tc>
        <w:tc>
          <w:tcPr>
            <w:tcW w:w="1137" w:type="pct"/>
            <w:shd w:val="clear" w:color="auto" w:fill="auto"/>
          </w:tcPr>
          <w:p w14:paraId="2CC413BE" w14:textId="67C0B5EC" w:rsidR="00426DF2" w:rsidRPr="008B3F38" w:rsidRDefault="00426DF2" w:rsidP="00025DC3">
            <w:pPr>
              <w:pStyle w:val="Tabletext"/>
              <w:spacing w:line="216" w:lineRule="exact"/>
              <w:rPr>
                <w:sz w:val="18"/>
                <w:szCs w:val="18"/>
                <w:lang w:val="ru-RU"/>
              </w:rPr>
            </w:pPr>
            <w:r w:rsidRPr="008B3F38">
              <w:rPr>
                <w:sz w:val="18"/>
                <w:szCs w:val="18"/>
                <w:lang w:val="ru-RU"/>
              </w:rPr>
              <w:t xml:space="preserve">Не заявлена Государственной счетной палатой Италии в ее заключительном отчете как невыполненная (Приложение 3: </w:t>
            </w:r>
            <w:hyperlink r:id="rId53" w:history="1">
              <w:r w:rsidRPr="008B3F38">
                <w:rPr>
                  <w:rStyle w:val="Hyperlink"/>
                  <w:sz w:val="18"/>
                  <w:szCs w:val="18"/>
                  <w:lang w:val="ru-RU"/>
                </w:rPr>
                <w:t>C22/101</w:t>
              </w:r>
            </w:hyperlink>
            <w:r w:rsidRPr="008B3F38">
              <w:rPr>
                <w:sz w:val="18"/>
                <w:szCs w:val="18"/>
                <w:lang w:val="ru-RU"/>
              </w:rPr>
              <w:t>).</w:t>
            </w:r>
          </w:p>
          <w:p w14:paraId="7936258E" w14:textId="671007C8" w:rsidR="00426DF2" w:rsidRPr="008B3F38" w:rsidRDefault="00426DF2" w:rsidP="00025DC3">
            <w:pPr>
              <w:pStyle w:val="Tabletext"/>
              <w:spacing w:line="216" w:lineRule="exact"/>
              <w:rPr>
                <w:sz w:val="18"/>
                <w:szCs w:val="18"/>
                <w:lang w:val="ru-RU"/>
              </w:rPr>
            </w:pPr>
            <w:r w:rsidRPr="008B3F38">
              <w:rPr>
                <w:sz w:val="18"/>
                <w:szCs w:val="18"/>
                <w:lang w:val="ru-RU"/>
              </w:rPr>
              <w:t>Принимая во внимание обновленную информацию руководства, мы удовлетворены тем, что эта рекомендация закрыта.</w:t>
            </w:r>
          </w:p>
        </w:tc>
        <w:tc>
          <w:tcPr>
            <w:tcW w:w="442" w:type="pct"/>
            <w:gridSpan w:val="2"/>
            <w:shd w:val="clear" w:color="auto" w:fill="auto"/>
          </w:tcPr>
          <w:p w14:paraId="2D4BA801" w14:textId="77777777" w:rsidR="00426DF2" w:rsidRPr="008B3F38" w:rsidRDefault="00426DF2" w:rsidP="00025DC3">
            <w:pPr>
              <w:pStyle w:val="Tabletext"/>
              <w:spacing w:line="216" w:lineRule="exact"/>
              <w:ind w:right="-57"/>
              <w:rPr>
                <w:sz w:val="18"/>
                <w:szCs w:val="18"/>
                <w:lang w:val="ru-RU"/>
              </w:rPr>
            </w:pPr>
            <w:r w:rsidRPr="008B3F38">
              <w:rPr>
                <w:sz w:val="18"/>
                <w:szCs w:val="18"/>
                <w:lang w:val="ru-RU"/>
              </w:rPr>
              <w:t>Закрыта.</w:t>
            </w:r>
          </w:p>
        </w:tc>
      </w:tr>
      <w:tr w:rsidR="00426DF2" w:rsidRPr="008B3F38" w14:paraId="36307AE0" w14:textId="77777777" w:rsidTr="008A2FDE">
        <w:trPr>
          <w:jc w:val="center"/>
        </w:trPr>
        <w:tc>
          <w:tcPr>
            <w:tcW w:w="353" w:type="pct"/>
            <w:shd w:val="clear" w:color="auto" w:fill="auto"/>
          </w:tcPr>
          <w:p w14:paraId="20D1FDD7" w14:textId="77777777" w:rsidR="00426DF2" w:rsidRPr="008B3F38" w:rsidRDefault="00426DF2" w:rsidP="00025DC3">
            <w:pPr>
              <w:pStyle w:val="Tabletext"/>
              <w:spacing w:line="216" w:lineRule="exact"/>
              <w:rPr>
                <w:sz w:val="18"/>
                <w:szCs w:val="18"/>
                <w:lang w:val="ru-RU"/>
              </w:rPr>
            </w:pPr>
            <w:r w:rsidRPr="008B3F38">
              <w:rPr>
                <w:sz w:val="18"/>
                <w:szCs w:val="18"/>
                <w:lang w:val="ru-RU"/>
              </w:rPr>
              <w:t>РЕК20</w:t>
            </w:r>
          </w:p>
        </w:tc>
        <w:tc>
          <w:tcPr>
            <w:tcW w:w="1410" w:type="pct"/>
            <w:gridSpan w:val="2"/>
            <w:shd w:val="clear" w:color="auto" w:fill="auto"/>
          </w:tcPr>
          <w:p w14:paraId="3303E404" w14:textId="77777777" w:rsidR="00426DF2" w:rsidRPr="008B3F38" w:rsidRDefault="00426DF2" w:rsidP="00025DC3">
            <w:pPr>
              <w:pStyle w:val="Tabletext"/>
              <w:spacing w:line="216" w:lineRule="exact"/>
              <w:rPr>
                <w:sz w:val="18"/>
                <w:szCs w:val="18"/>
                <w:lang w:val="ru-RU"/>
              </w:rPr>
            </w:pPr>
            <w:r w:rsidRPr="008B3F38">
              <w:rPr>
                <w:sz w:val="18"/>
                <w:szCs w:val="18"/>
                <w:lang w:val="ru-RU"/>
              </w:rPr>
              <w:t xml:space="preserve">Рекомендуется внести в Руководящие указания по управлению проектами поправки, лучше разъясняющие роль Отдела закупок и содержащие ссылки на правила и процедуры, применимые к закупкам. </w:t>
            </w:r>
          </w:p>
        </w:tc>
        <w:tc>
          <w:tcPr>
            <w:tcW w:w="1658" w:type="pct"/>
            <w:shd w:val="clear" w:color="auto" w:fill="auto"/>
          </w:tcPr>
          <w:p w14:paraId="374F4F29" w14:textId="77777777" w:rsidR="00426DF2" w:rsidRPr="008B3F38" w:rsidRDefault="00426DF2" w:rsidP="00025DC3">
            <w:pPr>
              <w:pStyle w:val="Tabletext"/>
              <w:spacing w:line="216" w:lineRule="exact"/>
              <w:rPr>
                <w:sz w:val="18"/>
                <w:szCs w:val="18"/>
                <w:lang w:val="ru-RU"/>
              </w:rPr>
            </w:pPr>
            <w:r w:rsidRPr="008B3F38">
              <w:rPr>
                <w:sz w:val="18"/>
                <w:szCs w:val="18"/>
                <w:lang w:val="ru-RU"/>
              </w:rPr>
              <w:t>МСЭ согласен с Рекомендацией 20. Он уже приступил к начальным обсуждениям вопроса об увязке Руководящих указаний по управлению проектами с правилами и процедурами закупок.</w:t>
            </w:r>
          </w:p>
          <w:p w14:paraId="789CAC56" w14:textId="72017757" w:rsidR="00426DF2" w:rsidRPr="008B3F38" w:rsidRDefault="00426DF2" w:rsidP="00025DC3">
            <w:pPr>
              <w:pStyle w:val="Tabletext"/>
              <w:spacing w:line="216" w:lineRule="exact"/>
              <w:rPr>
                <w:sz w:val="18"/>
                <w:szCs w:val="18"/>
                <w:lang w:val="ru-RU"/>
              </w:rPr>
            </w:pPr>
            <w:r w:rsidRPr="008B3F38">
              <w:rPr>
                <w:sz w:val="18"/>
                <w:szCs w:val="18"/>
                <w:lang w:val="ru-RU"/>
              </w:rPr>
              <w:t>Обновленная информация на май 2025 г.: Выполнение Рек. 20/2018 (Спец. отчет о региональном присутствии) отслеживалось на Информационной панели по вопросам соблюдения в рамках Рек. 18/2018-9 (Фин. отчетность); она была признана выполненной и "урегулированной". Как указывалось в отчете Совету 2020 года (</w:t>
            </w:r>
            <w:hyperlink r:id="rId54" w:history="1">
              <w:r w:rsidRPr="008B3F38">
                <w:rPr>
                  <w:rStyle w:val="Hyperlink"/>
                  <w:sz w:val="18"/>
                  <w:szCs w:val="18"/>
                  <w:lang w:val="ru-RU"/>
                </w:rPr>
                <w:t>C20/75</w:t>
              </w:r>
            </w:hyperlink>
            <w:r w:rsidRPr="008B3F38">
              <w:rPr>
                <w:sz w:val="18"/>
                <w:szCs w:val="18"/>
                <w:lang w:val="ru-RU"/>
              </w:rPr>
              <w:t xml:space="preserve">), </w:t>
            </w:r>
            <w:r w:rsidRPr="008B3F38">
              <w:rPr>
                <w:sz w:val="18"/>
                <w:szCs w:val="18"/>
                <w:lang w:val="ru-RU"/>
              </w:rPr>
              <w:lastRenderedPageBreak/>
              <w:t>PwC</w:t>
            </w:r>
            <w:r w:rsidR="00855C2D" w:rsidRPr="008B3F38">
              <w:rPr>
                <w:sz w:val="18"/>
                <w:szCs w:val="18"/>
                <w:lang w:val="ru-RU"/>
              </w:rPr>
              <w:t> </w:t>
            </w:r>
            <w:r w:rsidRPr="008B3F38">
              <w:rPr>
                <w:sz w:val="18"/>
                <w:szCs w:val="18"/>
                <w:lang w:val="ru-RU"/>
              </w:rPr>
              <w:t xml:space="preserve">сочла ее "выполненной путем введения нового руководства по закупкам", изданного в 2022 году служебным приказом 22/13. В Документе S20-CL-C-0074!!PDF-E.pdf (Документ </w:t>
            </w:r>
            <w:hyperlink r:id="rId55" w:history="1">
              <w:r w:rsidRPr="008B3F38">
                <w:rPr>
                  <w:rStyle w:val="Hyperlink"/>
                  <w:sz w:val="18"/>
                  <w:szCs w:val="18"/>
                  <w:lang w:val="ru-RU"/>
                </w:rPr>
                <w:t>C20/74</w:t>
              </w:r>
            </w:hyperlink>
            <w:r w:rsidRPr="008B3F38">
              <w:rPr>
                <w:sz w:val="18"/>
                <w:szCs w:val="18"/>
                <w:lang w:val="ru-RU"/>
              </w:rPr>
              <w:t xml:space="preserve"> от 5 октября 2020 г.) значился статус "текущая". В 2019 году началась работа по всеобъемлющему обзору Руководящих указаний по управлению проектами. Первая серия учебных курсов была организована в ноябре 2019 года; по ее итогам аттестацию прошли 39 сотрудников.</w:t>
            </w:r>
          </w:p>
          <w:p w14:paraId="2D8C5448" w14:textId="77777777" w:rsidR="00426DF2" w:rsidRPr="008B3F38" w:rsidRDefault="00426DF2" w:rsidP="00025DC3">
            <w:pPr>
              <w:pStyle w:val="Tabletext"/>
              <w:spacing w:line="216" w:lineRule="exact"/>
              <w:rPr>
                <w:sz w:val="18"/>
                <w:szCs w:val="18"/>
                <w:lang w:val="ru-RU"/>
              </w:rPr>
            </w:pPr>
            <w:r w:rsidRPr="008B3F38">
              <w:rPr>
                <w:sz w:val="18"/>
                <w:szCs w:val="18"/>
                <w:lang w:val="ru-RU"/>
              </w:rPr>
              <w:t>МСЭ рекомендовал закрыть эту рекомендацию.</w:t>
            </w:r>
          </w:p>
        </w:tc>
        <w:tc>
          <w:tcPr>
            <w:tcW w:w="1137" w:type="pct"/>
            <w:shd w:val="clear" w:color="auto" w:fill="auto"/>
          </w:tcPr>
          <w:p w14:paraId="7B8A1D81" w14:textId="52663718" w:rsidR="00426DF2" w:rsidRPr="008B3F38" w:rsidRDefault="00426DF2" w:rsidP="00025DC3">
            <w:pPr>
              <w:pStyle w:val="Tabletext"/>
              <w:spacing w:line="216" w:lineRule="exact"/>
              <w:rPr>
                <w:sz w:val="18"/>
                <w:szCs w:val="18"/>
                <w:lang w:val="ru-RU"/>
              </w:rPr>
            </w:pPr>
            <w:r w:rsidRPr="008B3F38">
              <w:rPr>
                <w:sz w:val="18"/>
                <w:szCs w:val="18"/>
                <w:lang w:val="ru-RU"/>
              </w:rPr>
              <w:lastRenderedPageBreak/>
              <w:t xml:space="preserve">Не заявлена Государственной счетной палатой Италии в ее заключительном отчете как невыполненная (Приложение 3: </w:t>
            </w:r>
            <w:hyperlink r:id="rId56" w:history="1">
              <w:r w:rsidRPr="008B3F38">
                <w:rPr>
                  <w:rStyle w:val="Hyperlink"/>
                  <w:sz w:val="18"/>
                  <w:szCs w:val="18"/>
                  <w:lang w:val="ru-RU"/>
                </w:rPr>
                <w:t>C22/101</w:t>
              </w:r>
            </w:hyperlink>
            <w:r w:rsidRPr="008B3F38">
              <w:rPr>
                <w:sz w:val="18"/>
                <w:szCs w:val="18"/>
                <w:lang w:val="ru-RU"/>
              </w:rPr>
              <w:t>).</w:t>
            </w:r>
          </w:p>
          <w:p w14:paraId="7C9AC569" w14:textId="323CA9AA" w:rsidR="00426DF2" w:rsidRPr="008B3F38" w:rsidRDefault="00426DF2" w:rsidP="00025DC3">
            <w:pPr>
              <w:pStyle w:val="Tabletext"/>
              <w:spacing w:line="216" w:lineRule="exact"/>
              <w:rPr>
                <w:sz w:val="18"/>
                <w:szCs w:val="18"/>
                <w:lang w:val="ru-RU"/>
              </w:rPr>
            </w:pPr>
            <w:r w:rsidRPr="008B3F38">
              <w:rPr>
                <w:sz w:val="18"/>
                <w:szCs w:val="18"/>
                <w:lang w:val="ru-RU"/>
              </w:rPr>
              <w:t>Принимая во внимание обновленную информацию руководства, мы удовлетворены тем, что эта рекомендация закрыта.</w:t>
            </w:r>
          </w:p>
          <w:p w14:paraId="58944E8B" w14:textId="77777777" w:rsidR="00426DF2" w:rsidRPr="008B3F38" w:rsidRDefault="00426DF2" w:rsidP="00025DC3">
            <w:pPr>
              <w:pStyle w:val="Tabletext"/>
              <w:spacing w:line="216" w:lineRule="exact"/>
              <w:rPr>
                <w:sz w:val="18"/>
                <w:szCs w:val="18"/>
                <w:lang w:val="ru-RU"/>
              </w:rPr>
            </w:pPr>
          </w:p>
        </w:tc>
        <w:tc>
          <w:tcPr>
            <w:tcW w:w="442" w:type="pct"/>
            <w:gridSpan w:val="2"/>
            <w:shd w:val="clear" w:color="auto" w:fill="auto"/>
          </w:tcPr>
          <w:p w14:paraId="4C961F02" w14:textId="77777777" w:rsidR="00426DF2" w:rsidRPr="008B3F38" w:rsidRDefault="00426DF2" w:rsidP="00025DC3">
            <w:pPr>
              <w:pStyle w:val="Tabletext"/>
              <w:spacing w:line="216" w:lineRule="exact"/>
              <w:ind w:right="-57"/>
              <w:rPr>
                <w:sz w:val="18"/>
                <w:szCs w:val="18"/>
                <w:lang w:val="ru-RU"/>
              </w:rPr>
            </w:pPr>
            <w:r w:rsidRPr="008B3F38">
              <w:rPr>
                <w:sz w:val="18"/>
                <w:szCs w:val="18"/>
                <w:lang w:val="ru-RU"/>
              </w:rPr>
              <w:t>Закрыта.</w:t>
            </w:r>
          </w:p>
        </w:tc>
      </w:tr>
      <w:tr w:rsidR="00426DF2" w:rsidRPr="008B3F38" w14:paraId="268EFCD1" w14:textId="77777777" w:rsidTr="008A2FDE">
        <w:trPr>
          <w:jc w:val="center"/>
        </w:trPr>
        <w:tc>
          <w:tcPr>
            <w:tcW w:w="353" w:type="pct"/>
            <w:shd w:val="clear" w:color="auto" w:fill="auto"/>
          </w:tcPr>
          <w:p w14:paraId="7CE6B378" w14:textId="77777777" w:rsidR="00426DF2" w:rsidRPr="008B3F38" w:rsidRDefault="00426DF2" w:rsidP="00025DC3">
            <w:pPr>
              <w:pStyle w:val="Tabletext"/>
              <w:spacing w:line="216" w:lineRule="exact"/>
              <w:rPr>
                <w:sz w:val="18"/>
                <w:szCs w:val="18"/>
                <w:lang w:val="ru-RU"/>
              </w:rPr>
            </w:pPr>
            <w:r w:rsidRPr="008B3F38">
              <w:rPr>
                <w:sz w:val="18"/>
                <w:szCs w:val="18"/>
                <w:lang w:val="ru-RU"/>
              </w:rPr>
              <w:t>РЕК21</w:t>
            </w:r>
          </w:p>
        </w:tc>
        <w:tc>
          <w:tcPr>
            <w:tcW w:w="1410" w:type="pct"/>
            <w:gridSpan w:val="2"/>
            <w:shd w:val="clear" w:color="auto" w:fill="auto"/>
          </w:tcPr>
          <w:p w14:paraId="39800977" w14:textId="3D2F1C32" w:rsidR="00426DF2" w:rsidRPr="008B3F38" w:rsidRDefault="00426DF2" w:rsidP="00025DC3">
            <w:pPr>
              <w:pStyle w:val="Tabletext"/>
              <w:spacing w:line="216" w:lineRule="exact"/>
              <w:rPr>
                <w:sz w:val="18"/>
                <w:szCs w:val="18"/>
                <w:lang w:val="ru-RU"/>
              </w:rPr>
            </w:pPr>
            <w:r w:rsidRPr="008B3F38">
              <w:rPr>
                <w:sz w:val="18"/>
                <w:szCs w:val="18"/>
                <w:lang w:val="ru-RU"/>
              </w:rPr>
              <w:t>Рекомендуется организовать регулярное обучение всего персонала, участвующего в процессе закупок в региональных и зональных</w:t>
            </w:r>
            <w:r w:rsidR="00CE3F85" w:rsidRPr="008B3F38">
              <w:rPr>
                <w:sz w:val="18"/>
                <w:szCs w:val="18"/>
                <w:lang w:val="ru-RU"/>
              </w:rPr>
              <w:t> </w:t>
            </w:r>
            <w:r w:rsidRPr="008B3F38">
              <w:rPr>
                <w:sz w:val="18"/>
                <w:szCs w:val="18"/>
                <w:lang w:val="ru-RU"/>
              </w:rPr>
              <w:t>отделениях.</w:t>
            </w:r>
          </w:p>
        </w:tc>
        <w:tc>
          <w:tcPr>
            <w:tcW w:w="1658" w:type="pct"/>
            <w:shd w:val="clear" w:color="auto" w:fill="auto"/>
          </w:tcPr>
          <w:p w14:paraId="7FF7F245" w14:textId="77777777" w:rsidR="00426DF2" w:rsidRPr="008B3F38" w:rsidRDefault="00426DF2" w:rsidP="00025DC3">
            <w:pPr>
              <w:pStyle w:val="Tabletext"/>
              <w:spacing w:line="216" w:lineRule="exact"/>
              <w:rPr>
                <w:sz w:val="18"/>
                <w:szCs w:val="18"/>
                <w:lang w:val="ru-RU"/>
              </w:rPr>
            </w:pPr>
            <w:r w:rsidRPr="008B3F38">
              <w:rPr>
                <w:sz w:val="18"/>
                <w:szCs w:val="18"/>
                <w:lang w:val="ru-RU"/>
              </w:rPr>
              <w:t>МСЭ согласен с Рекомендацией 21. После опубликования готовящегося к изданию руководства по закупкам всем сотрудникам, участвующим в процессе закупок в региональных и зональных отделениях, будет предложено пройти профессиональную подготовку.</w:t>
            </w:r>
          </w:p>
          <w:p w14:paraId="66162B50" w14:textId="6E2D5A53" w:rsidR="00426DF2" w:rsidRPr="008B3F38" w:rsidRDefault="00426DF2" w:rsidP="00025DC3">
            <w:pPr>
              <w:pStyle w:val="Tabletext"/>
              <w:spacing w:line="216" w:lineRule="exact"/>
              <w:rPr>
                <w:sz w:val="18"/>
                <w:szCs w:val="18"/>
                <w:lang w:val="ru-RU"/>
              </w:rPr>
            </w:pPr>
            <w:r w:rsidRPr="008B3F38">
              <w:rPr>
                <w:sz w:val="18"/>
                <w:szCs w:val="18"/>
                <w:lang w:val="ru-RU"/>
              </w:rPr>
              <w:t xml:space="preserve">Обновленная информация на май 2025 г.: Выполнение Рек. 21/2018 (Спец. отчет о региональном присутствии) отслеживалось на Информационной панели по вопросам соблюдения в рамках Рек. 18/2018-12 (Фин. отчетность); она была признана выполненной и "урегулированной". Как указывалось в Документе </w:t>
            </w:r>
            <w:hyperlink r:id="rId57" w:history="1">
              <w:r w:rsidRPr="008B3F38">
                <w:rPr>
                  <w:rStyle w:val="Hyperlink"/>
                  <w:sz w:val="18"/>
                  <w:szCs w:val="18"/>
                  <w:lang w:val="ru-RU"/>
                </w:rPr>
                <w:t>C20/74</w:t>
              </w:r>
            </w:hyperlink>
            <w:r w:rsidRPr="008B3F38">
              <w:rPr>
                <w:sz w:val="18"/>
                <w:szCs w:val="18"/>
                <w:lang w:val="ru-RU"/>
              </w:rPr>
              <w:t xml:space="preserve"> от 5 октября 2020 года об участии PwC в вопросах регионального присутствия, рекомендация имела статус "текущей", со</w:t>
            </w:r>
            <w:r w:rsidR="008A2FDE" w:rsidRPr="008B3F38">
              <w:rPr>
                <w:sz w:val="18"/>
                <w:szCs w:val="18"/>
                <w:lang w:val="ru-RU"/>
              </w:rPr>
              <w:t> </w:t>
            </w:r>
            <w:r w:rsidRPr="008B3F38">
              <w:rPr>
                <w:sz w:val="18"/>
                <w:szCs w:val="18"/>
                <w:lang w:val="ru-RU"/>
              </w:rPr>
              <w:t>ссылкой на текст: "В ноябре 2019 года было организовано обучение для руководителей проектов в БРЭ. Обучение на региональном уровне еще не проводилось и запланировано на 2020 год".</w:t>
            </w:r>
          </w:p>
          <w:p w14:paraId="7B888BC7" w14:textId="53596DC0" w:rsidR="00426DF2" w:rsidRPr="008B3F38" w:rsidRDefault="00426DF2" w:rsidP="00025DC3">
            <w:pPr>
              <w:pStyle w:val="Tabletext"/>
              <w:spacing w:line="216" w:lineRule="exact"/>
              <w:rPr>
                <w:sz w:val="18"/>
                <w:szCs w:val="18"/>
                <w:lang w:val="ru-RU"/>
              </w:rPr>
            </w:pPr>
            <w:r w:rsidRPr="008B3F38">
              <w:rPr>
                <w:sz w:val="18"/>
                <w:szCs w:val="18"/>
                <w:lang w:val="ru-RU"/>
              </w:rPr>
              <w:t>МСЭ рекомендовал закрыть эту рекомендацию.</w:t>
            </w:r>
          </w:p>
        </w:tc>
        <w:tc>
          <w:tcPr>
            <w:tcW w:w="1137" w:type="pct"/>
            <w:shd w:val="clear" w:color="auto" w:fill="auto"/>
          </w:tcPr>
          <w:p w14:paraId="40674AD4" w14:textId="77DEED3C" w:rsidR="00426DF2" w:rsidRPr="008B3F38" w:rsidRDefault="00426DF2" w:rsidP="00025DC3">
            <w:pPr>
              <w:pStyle w:val="Tabletext"/>
              <w:spacing w:line="216" w:lineRule="exact"/>
              <w:rPr>
                <w:sz w:val="18"/>
                <w:szCs w:val="18"/>
                <w:lang w:val="ru-RU"/>
              </w:rPr>
            </w:pPr>
            <w:r w:rsidRPr="008B3F38">
              <w:rPr>
                <w:sz w:val="18"/>
                <w:szCs w:val="18"/>
                <w:lang w:val="ru-RU"/>
              </w:rPr>
              <w:t xml:space="preserve">Не заявлена Государственной счетной палатой Италии в ее заключительном отчете как невыполненная (Приложение 3: </w:t>
            </w:r>
            <w:hyperlink r:id="rId58" w:history="1">
              <w:r w:rsidRPr="008B3F38">
                <w:rPr>
                  <w:rStyle w:val="Hyperlink"/>
                  <w:sz w:val="18"/>
                  <w:szCs w:val="18"/>
                  <w:lang w:val="ru-RU"/>
                </w:rPr>
                <w:t>C22/101</w:t>
              </w:r>
            </w:hyperlink>
            <w:r w:rsidRPr="008B3F38">
              <w:rPr>
                <w:sz w:val="18"/>
                <w:szCs w:val="18"/>
                <w:lang w:val="ru-RU"/>
              </w:rPr>
              <w:t>).</w:t>
            </w:r>
          </w:p>
          <w:p w14:paraId="55AE7278" w14:textId="5C45ABDC" w:rsidR="00426DF2" w:rsidRPr="008B3F38" w:rsidRDefault="00426DF2" w:rsidP="00025DC3">
            <w:pPr>
              <w:pStyle w:val="Tabletext"/>
              <w:spacing w:line="216" w:lineRule="exact"/>
              <w:rPr>
                <w:sz w:val="18"/>
                <w:szCs w:val="18"/>
                <w:lang w:val="ru-RU"/>
              </w:rPr>
            </w:pPr>
            <w:r w:rsidRPr="008B3F38">
              <w:rPr>
                <w:sz w:val="18"/>
                <w:szCs w:val="18"/>
                <w:lang w:val="ru-RU"/>
              </w:rPr>
              <w:t>Принимая во внимание обновленную информацию руководства, мы удовлетворены тем, что эта рекомендация закрыта.</w:t>
            </w:r>
          </w:p>
        </w:tc>
        <w:tc>
          <w:tcPr>
            <w:tcW w:w="442" w:type="pct"/>
            <w:gridSpan w:val="2"/>
            <w:shd w:val="clear" w:color="auto" w:fill="auto"/>
          </w:tcPr>
          <w:p w14:paraId="206A3C10" w14:textId="77777777" w:rsidR="00426DF2" w:rsidRPr="008B3F38" w:rsidRDefault="00426DF2" w:rsidP="00025DC3">
            <w:pPr>
              <w:pStyle w:val="Tabletext"/>
              <w:spacing w:line="216" w:lineRule="exact"/>
              <w:ind w:right="-57"/>
              <w:rPr>
                <w:sz w:val="18"/>
                <w:szCs w:val="18"/>
                <w:lang w:val="ru-RU"/>
              </w:rPr>
            </w:pPr>
            <w:r w:rsidRPr="008B3F38">
              <w:rPr>
                <w:sz w:val="18"/>
                <w:szCs w:val="18"/>
                <w:lang w:val="ru-RU"/>
              </w:rPr>
              <w:t>Закрыта.</w:t>
            </w:r>
          </w:p>
        </w:tc>
      </w:tr>
      <w:tr w:rsidR="00426DF2" w:rsidRPr="008B3F38" w14:paraId="2CA4EC68" w14:textId="77777777" w:rsidTr="008A2FDE">
        <w:trPr>
          <w:jc w:val="center"/>
        </w:trPr>
        <w:tc>
          <w:tcPr>
            <w:tcW w:w="353" w:type="pct"/>
            <w:shd w:val="clear" w:color="auto" w:fill="auto"/>
          </w:tcPr>
          <w:p w14:paraId="5685B0F2" w14:textId="77777777" w:rsidR="00426DF2" w:rsidRPr="008B3F38" w:rsidRDefault="00426DF2" w:rsidP="00025DC3">
            <w:pPr>
              <w:pStyle w:val="Tabletext"/>
              <w:spacing w:line="216" w:lineRule="exact"/>
              <w:rPr>
                <w:sz w:val="18"/>
                <w:szCs w:val="18"/>
                <w:lang w:val="ru-RU"/>
              </w:rPr>
            </w:pPr>
            <w:r w:rsidRPr="008B3F38">
              <w:rPr>
                <w:sz w:val="18"/>
                <w:szCs w:val="18"/>
                <w:lang w:val="ru-RU"/>
              </w:rPr>
              <w:t>РЕК22</w:t>
            </w:r>
          </w:p>
        </w:tc>
        <w:tc>
          <w:tcPr>
            <w:tcW w:w="1410" w:type="pct"/>
            <w:gridSpan w:val="2"/>
            <w:shd w:val="clear" w:color="auto" w:fill="auto"/>
          </w:tcPr>
          <w:p w14:paraId="61E217A4" w14:textId="77777777" w:rsidR="00426DF2" w:rsidRPr="008B3F38" w:rsidRDefault="00426DF2" w:rsidP="00025DC3">
            <w:pPr>
              <w:pStyle w:val="Tabletext"/>
              <w:spacing w:line="216" w:lineRule="exact"/>
              <w:rPr>
                <w:sz w:val="18"/>
                <w:szCs w:val="18"/>
                <w:lang w:val="ru-RU"/>
              </w:rPr>
            </w:pPr>
            <w:r w:rsidRPr="008B3F38">
              <w:rPr>
                <w:sz w:val="18"/>
                <w:szCs w:val="18"/>
                <w:lang w:val="ru-RU"/>
              </w:rPr>
              <w:t>Руководству штаб-квартиры рекомендуется разработать проект стандартизированной процедуры и шаблоны для осуществления контроля за различными видами деятельности региональных отделений в связи с управлением организационно-техническим обеспечением с учетом различных потребностей каждой географической зоны.</w:t>
            </w:r>
          </w:p>
        </w:tc>
        <w:tc>
          <w:tcPr>
            <w:tcW w:w="1658" w:type="pct"/>
            <w:shd w:val="clear" w:color="auto" w:fill="auto"/>
          </w:tcPr>
          <w:p w14:paraId="39B1E5B7" w14:textId="77777777" w:rsidR="00426DF2" w:rsidRPr="008B3F38" w:rsidRDefault="00426DF2" w:rsidP="00025DC3">
            <w:pPr>
              <w:pStyle w:val="Tabletext"/>
              <w:spacing w:line="216" w:lineRule="exact"/>
              <w:rPr>
                <w:sz w:val="18"/>
                <w:szCs w:val="18"/>
                <w:highlight w:val="yellow"/>
                <w:lang w:val="ru-RU"/>
              </w:rPr>
            </w:pPr>
            <w:r w:rsidRPr="008B3F38">
              <w:rPr>
                <w:sz w:val="18"/>
                <w:szCs w:val="18"/>
                <w:lang w:val="ru-RU"/>
              </w:rPr>
              <w:t>Обновленная информация на май 2025 г.: Внедрено множество процедур, позволяющих осуществлять контроль в ключевых вопросах, таких как банковские счета, мелкие суммы наличных средств, а также управление организационно-техническим обеспечением. Руководство МСЭ считает эти средства контроля достаточными для устранения потенциальных рисков с учетом масштаба деятельности.</w:t>
            </w:r>
          </w:p>
          <w:p w14:paraId="78C66FF9" w14:textId="48EBAFA3" w:rsidR="00426DF2" w:rsidRPr="008B3F38" w:rsidRDefault="00426DF2" w:rsidP="00025DC3">
            <w:pPr>
              <w:pStyle w:val="Tabletext"/>
              <w:spacing w:line="216" w:lineRule="exact"/>
              <w:rPr>
                <w:sz w:val="18"/>
                <w:szCs w:val="18"/>
                <w:lang w:val="ru-RU"/>
              </w:rPr>
            </w:pPr>
            <w:r w:rsidRPr="008B3F38">
              <w:rPr>
                <w:sz w:val="18"/>
                <w:szCs w:val="18"/>
                <w:lang w:val="ru-RU"/>
              </w:rPr>
              <w:t>МСЭ подтверждает, что рекомендация еще выполняется. Рекомендуется закрыть рекомендацию.</w:t>
            </w:r>
          </w:p>
        </w:tc>
        <w:tc>
          <w:tcPr>
            <w:tcW w:w="1137" w:type="pct"/>
            <w:shd w:val="clear" w:color="auto" w:fill="auto"/>
          </w:tcPr>
          <w:p w14:paraId="6FC2A322" w14:textId="57201C3C" w:rsidR="00426DF2" w:rsidRPr="008B3F38" w:rsidRDefault="00426DF2" w:rsidP="00025DC3">
            <w:pPr>
              <w:pStyle w:val="Tabletext"/>
              <w:spacing w:line="216" w:lineRule="exact"/>
              <w:rPr>
                <w:sz w:val="18"/>
                <w:szCs w:val="18"/>
                <w:lang w:val="ru-RU"/>
              </w:rPr>
            </w:pPr>
            <w:r w:rsidRPr="008B3F38">
              <w:rPr>
                <w:sz w:val="18"/>
                <w:szCs w:val="18"/>
                <w:lang w:val="ru-RU"/>
              </w:rPr>
              <w:t>Последний ответ принят к сведению. Как указывается в первой и второй частях настоящего отчета, еще остаются недочеты в работе механизмов региональных отделений; поэтому мы вынесли новые рекомендации по данному вопросу. Мы заменили эту</w:t>
            </w:r>
            <w:r w:rsidR="002D5A0B">
              <w:rPr>
                <w:sz w:val="18"/>
                <w:szCs w:val="18"/>
                <w:lang w:val="ru-RU"/>
              </w:rPr>
              <w:t> </w:t>
            </w:r>
            <w:r w:rsidRPr="008B3F38">
              <w:rPr>
                <w:sz w:val="18"/>
                <w:szCs w:val="18"/>
                <w:lang w:val="ru-RU"/>
              </w:rPr>
              <w:t>рекомендацию.</w:t>
            </w:r>
          </w:p>
        </w:tc>
        <w:tc>
          <w:tcPr>
            <w:tcW w:w="442" w:type="pct"/>
            <w:gridSpan w:val="2"/>
            <w:shd w:val="clear" w:color="auto" w:fill="auto"/>
          </w:tcPr>
          <w:p w14:paraId="18F93CF9" w14:textId="77777777" w:rsidR="00426DF2" w:rsidRPr="008B3F38" w:rsidRDefault="00426DF2" w:rsidP="00025DC3">
            <w:pPr>
              <w:pStyle w:val="Tabletext"/>
              <w:spacing w:line="216" w:lineRule="exact"/>
              <w:ind w:right="-57"/>
              <w:rPr>
                <w:sz w:val="18"/>
                <w:szCs w:val="18"/>
                <w:lang w:val="ru-RU"/>
              </w:rPr>
            </w:pPr>
            <w:r w:rsidRPr="008B3F38">
              <w:rPr>
                <w:sz w:val="18"/>
                <w:szCs w:val="18"/>
                <w:lang w:val="ru-RU"/>
              </w:rPr>
              <w:t>Закрыта.</w:t>
            </w:r>
          </w:p>
        </w:tc>
      </w:tr>
    </w:tbl>
    <w:p w14:paraId="12428BAE" w14:textId="607FF6BB" w:rsidR="00426DF2" w:rsidRPr="008B3F38" w:rsidRDefault="008A2FDE" w:rsidP="008125F2">
      <w:pPr>
        <w:spacing w:before="160"/>
        <w:jc w:val="center"/>
        <w:rPr>
          <w:lang w:val="ru-RU"/>
        </w:rPr>
      </w:pPr>
      <w:r w:rsidRPr="008B3F38">
        <w:rPr>
          <w:lang w:val="ru-RU"/>
        </w:rPr>
        <w:t>______________</w:t>
      </w:r>
    </w:p>
    <w:sectPr w:rsidR="00426DF2" w:rsidRPr="008B3F38" w:rsidSect="0099071C">
      <w:footerReference w:type="default" r:id="rId59"/>
      <w:headerReference w:type="first" r:id="rId60"/>
      <w:footerReference w:type="first" r:id="rId61"/>
      <w:pgSz w:w="16834" w:h="11907" w:orient="landscape"/>
      <w:pgMar w:top="1418" w:right="1418" w:bottom="1418" w:left="1418" w:header="720" w:footer="720" w:gutter="0"/>
      <w:paperSrc w:first="15" w:other="1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7EBB9" w14:textId="77777777" w:rsidR="004E5F98" w:rsidRDefault="004E5F98">
      <w:r>
        <w:separator/>
      </w:r>
    </w:p>
  </w:endnote>
  <w:endnote w:type="continuationSeparator" w:id="0">
    <w:p w14:paraId="360BAC5B" w14:textId="77777777" w:rsidR="004E5F98" w:rsidRDefault="004E5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HelveticaNeue-Light">
    <w:altName w:val="Arial"/>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venir Nxt2 W1G Medium">
    <w:altName w:val="Calibri"/>
    <w:panose1 w:val="020B0603020202020204"/>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672F8A" w:rsidRPr="00784011" w14:paraId="59C4C6D3" w14:textId="77777777" w:rsidTr="00E31DCE">
      <w:trPr>
        <w:jc w:val="center"/>
      </w:trPr>
      <w:tc>
        <w:tcPr>
          <w:tcW w:w="1803" w:type="dxa"/>
          <w:vAlign w:val="center"/>
        </w:tcPr>
        <w:p w14:paraId="3BEB1816" w14:textId="74367526" w:rsidR="00672F8A" w:rsidRDefault="00672F8A" w:rsidP="00672F8A">
          <w:pPr>
            <w:pStyle w:val="Header"/>
            <w:jc w:val="left"/>
            <w:rPr>
              <w:noProof/>
            </w:rPr>
          </w:pPr>
        </w:p>
      </w:tc>
      <w:tc>
        <w:tcPr>
          <w:tcW w:w="8261" w:type="dxa"/>
        </w:tcPr>
        <w:p w14:paraId="4507DD62" w14:textId="717F9E4A" w:rsidR="00672F8A" w:rsidRPr="00E06FD5" w:rsidRDefault="00672F8A" w:rsidP="004E5F98">
          <w:pPr>
            <w:pStyle w:val="Header"/>
            <w:tabs>
              <w:tab w:val="left" w:pos="6742"/>
              <w:tab w:val="right" w:pos="8505"/>
              <w:tab w:val="right" w:pos="9639"/>
            </w:tabs>
            <w:jc w:val="left"/>
            <w:rPr>
              <w:rFonts w:ascii="Arial" w:hAnsi="Arial" w:cs="Arial"/>
              <w:b/>
              <w:bCs/>
              <w:szCs w:val="18"/>
            </w:rPr>
          </w:pPr>
          <w:r>
            <w:rPr>
              <w:bCs/>
            </w:rPr>
            <w:tab/>
          </w:r>
          <w:r w:rsidRPr="00623AE3">
            <w:rPr>
              <w:bCs/>
            </w:rPr>
            <w:t>C</w:t>
          </w:r>
          <w:r>
            <w:rPr>
              <w:bCs/>
            </w:rPr>
            <w:t>2</w:t>
          </w:r>
          <w:r w:rsidR="00345D2A">
            <w:rPr>
              <w:bCs/>
            </w:rPr>
            <w:t>5</w:t>
          </w:r>
          <w:r w:rsidRPr="00623AE3">
            <w:rPr>
              <w:bCs/>
            </w:rPr>
            <w:t>/</w:t>
          </w:r>
          <w:r w:rsidR="004E5F98">
            <w:rPr>
              <w:bCs/>
              <w:lang w:val="ru-RU"/>
            </w:rPr>
            <w:t>41</w:t>
          </w:r>
          <w:r w:rsidRPr="00623AE3">
            <w:rPr>
              <w:bCs/>
            </w:rPr>
            <w:t>-</w:t>
          </w:r>
          <w:r w:rsidR="00165D06">
            <w:rPr>
              <w:bCs/>
            </w:rPr>
            <w:t>R</w:t>
          </w:r>
          <w:r>
            <w:rPr>
              <w:bCs/>
            </w:rPr>
            <w:tab/>
          </w:r>
          <w:r>
            <w:fldChar w:fldCharType="begin"/>
          </w:r>
          <w:r>
            <w:instrText>PAGE</w:instrText>
          </w:r>
          <w:r>
            <w:fldChar w:fldCharType="separate"/>
          </w:r>
          <w:r>
            <w:t>1</w:t>
          </w:r>
          <w:r>
            <w:rPr>
              <w:noProof/>
            </w:rPr>
            <w:fldChar w:fldCharType="end"/>
          </w:r>
        </w:p>
      </w:tc>
    </w:tr>
  </w:tbl>
  <w:p w14:paraId="6D0C7EC4" w14:textId="77777777" w:rsidR="000E568E" w:rsidRPr="00672F8A" w:rsidRDefault="000E568E" w:rsidP="00672F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672F8A" w:rsidRPr="00784011" w14:paraId="163F5415" w14:textId="77777777" w:rsidTr="00E31DCE">
      <w:trPr>
        <w:jc w:val="center"/>
      </w:trPr>
      <w:tc>
        <w:tcPr>
          <w:tcW w:w="1803" w:type="dxa"/>
          <w:vAlign w:val="center"/>
        </w:tcPr>
        <w:p w14:paraId="1D38D8A5" w14:textId="41C70C8C" w:rsidR="00672F8A" w:rsidRDefault="00D631AA" w:rsidP="00672F8A">
          <w:pPr>
            <w:pStyle w:val="Header"/>
            <w:jc w:val="left"/>
            <w:rPr>
              <w:noProof/>
            </w:rPr>
          </w:pPr>
          <w:r w:rsidRPr="00D631AA">
            <w:rPr>
              <w:color w:val="0563C1"/>
              <w:szCs w:val="14"/>
            </w:rPr>
            <w:t>council.itu.int/2025</w:t>
          </w:r>
        </w:p>
      </w:tc>
      <w:tc>
        <w:tcPr>
          <w:tcW w:w="8261" w:type="dxa"/>
        </w:tcPr>
        <w:p w14:paraId="28DBE079" w14:textId="126F4B29" w:rsidR="00672F8A" w:rsidRPr="00E06FD5" w:rsidRDefault="00672F8A" w:rsidP="004E5F98">
          <w:pPr>
            <w:pStyle w:val="Header"/>
            <w:tabs>
              <w:tab w:val="left" w:pos="6742"/>
              <w:tab w:val="right" w:pos="8505"/>
              <w:tab w:val="right" w:pos="9639"/>
            </w:tabs>
            <w:jc w:val="left"/>
            <w:rPr>
              <w:rFonts w:ascii="Arial" w:hAnsi="Arial" w:cs="Arial"/>
              <w:b/>
              <w:bCs/>
              <w:szCs w:val="18"/>
            </w:rPr>
          </w:pPr>
          <w:r>
            <w:rPr>
              <w:bCs/>
            </w:rPr>
            <w:tab/>
          </w:r>
          <w:r w:rsidRPr="00623AE3">
            <w:rPr>
              <w:bCs/>
            </w:rPr>
            <w:t>C</w:t>
          </w:r>
          <w:r>
            <w:rPr>
              <w:bCs/>
            </w:rPr>
            <w:t>2</w:t>
          </w:r>
          <w:r w:rsidR="00345D2A">
            <w:rPr>
              <w:bCs/>
            </w:rPr>
            <w:t>5</w:t>
          </w:r>
          <w:r w:rsidRPr="00623AE3">
            <w:rPr>
              <w:bCs/>
            </w:rPr>
            <w:t>/</w:t>
          </w:r>
          <w:r w:rsidR="004E5F98">
            <w:rPr>
              <w:bCs/>
              <w:lang w:val="ru-RU"/>
            </w:rPr>
            <w:t>41</w:t>
          </w:r>
          <w:r w:rsidRPr="00623AE3">
            <w:rPr>
              <w:bCs/>
            </w:rPr>
            <w:t>-</w:t>
          </w:r>
          <w:r>
            <w:rPr>
              <w:bCs/>
            </w:rPr>
            <w:t>R</w:t>
          </w:r>
          <w:r>
            <w:rPr>
              <w:bCs/>
            </w:rPr>
            <w:tab/>
          </w:r>
          <w:r>
            <w:fldChar w:fldCharType="begin"/>
          </w:r>
          <w:r>
            <w:instrText>PAGE</w:instrText>
          </w:r>
          <w:r>
            <w:fldChar w:fldCharType="separate"/>
          </w:r>
          <w:r>
            <w:t>1</w:t>
          </w:r>
          <w:r>
            <w:rPr>
              <w:noProof/>
            </w:rPr>
            <w:fldChar w:fldCharType="end"/>
          </w:r>
        </w:p>
      </w:tc>
    </w:tr>
  </w:tbl>
  <w:p w14:paraId="1689601B" w14:textId="088A6EBD" w:rsidR="000E568E" w:rsidRPr="00672F8A" w:rsidRDefault="000E568E" w:rsidP="00672F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84E89" w:rsidRPr="00784011" w14:paraId="30DC05CF" w14:textId="77777777" w:rsidTr="00CE0D9D">
      <w:trPr>
        <w:jc w:val="center"/>
      </w:trPr>
      <w:tc>
        <w:tcPr>
          <w:tcW w:w="1803" w:type="dxa"/>
          <w:vAlign w:val="center"/>
        </w:tcPr>
        <w:p w14:paraId="26D860B2" w14:textId="77777777" w:rsidR="00E84E89" w:rsidRDefault="00E84E89" w:rsidP="00E84E89">
          <w:pPr>
            <w:pStyle w:val="Header"/>
            <w:jc w:val="left"/>
            <w:rPr>
              <w:noProof/>
            </w:rPr>
          </w:pPr>
        </w:p>
      </w:tc>
      <w:tc>
        <w:tcPr>
          <w:tcW w:w="8261" w:type="dxa"/>
        </w:tcPr>
        <w:p w14:paraId="560249F4" w14:textId="77777777" w:rsidR="00E84E89" w:rsidRPr="00E06FD5" w:rsidRDefault="00E84E89" w:rsidP="00E84E89">
          <w:pPr>
            <w:pStyle w:val="Header"/>
            <w:tabs>
              <w:tab w:val="left" w:pos="6742"/>
              <w:tab w:val="right" w:pos="8505"/>
              <w:tab w:val="right" w:pos="9639"/>
            </w:tabs>
            <w:jc w:val="left"/>
            <w:rPr>
              <w:rFonts w:ascii="Arial" w:hAnsi="Arial" w:cs="Arial"/>
              <w:b/>
              <w:bCs/>
              <w:szCs w:val="18"/>
            </w:rPr>
          </w:pPr>
          <w:r>
            <w:rPr>
              <w:bCs/>
            </w:rPr>
            <w:tab/>
          </w:r>
          <w:r w:rsidRPr="00623AE3">
            <w:rPr>
              <w:bCs/>
            </w:rPr>
            <w:t>C</w:t>
          </w:r>
          <w:r>
            <w:rPr>
              <w:bCs/>
            </w:rPr>
            <w:t>25</w:t>
          </w:r>
          <w:r w:rsidRPr="00623AE3">
            <w:rPr>
              <w:bCs/>
            </w:rPr>
            <w:t>/</w:t>
          </w:r>
          <w:r>
            <w:rPr>
              <w:bCs/>
              <w:lang w:val="ru-RU"/>
            </w:rPr>
            <w:t>41</w:t>
          </w:r>
          <w:r w:rsidRPr="00623AE3">
            <w:rPr>
              <w:bCs/>
            </w:rPr>
            <w:t>-</w:t>
          </w:r>
          <w:r>
            <w:rPr>
              <w:bCs/>
            </w:rPr>
            <w:t>R</w:t>
          </w:r>
          <w:r>
            <w:rPr>
              <w:bCs/>
            </w:rPr>
            <w:tab/>
          </w:r>
          <w:r>
            <w:fldChar w:fldCharType="begin"/>
          </w:r>
          <w:r>
            <w:instrText>PAGE</w:instrText>
          </w:r>
          <w:r>
            <w:fldChar w:fldCharType="separate"/>
          </w:r>
          <w:r>
            <w:t>1</w:t>
          </w:r>
          <w:r>
            <w:rPr>
              <w:noProof/>
            </w:rPr>
            <w:fldChar w:fldCharType="end"/>
          </w:r>
        </w:p>
      </w:tc>
    </w:tr>
  </w:tbl>
  <w:p w14:paraId="1C8A3FB1" w14:textId="77777777" w:rsidR="00E84E89" w:rsidRPr="00672F8A" w:rsidRDefault="00E84E89" w:rsidP="00672F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2231"/>
    </w:tblGrid>
    <w:tr w:rsidR="00E84E89" w:rsidRPr="00784011" w14:paraId="0DB83627" w14:textId="77777777" w:rsidTr="00E84E89">
      <w:tc>
        <w:tcPr>
          <w:tcW w:w="1803" w:type="dxa"/>
          <w:vAlign w:val="center"/>
        </w:tcPr>
        <w:p w14:paraId="7489AEA6" w14:textId="77777777" w:rsidR="00E84E89" w:rsidRDefault="00E84E89" w:rsidP="00672F8A">
          <w:pPr>
            <w:pStyle w:val="Header"/>
            <w:jc w:val="left"/>
            <w:rPr>
              <w:noProof/>
            </w:rPr>
          </w:pPr>
        </w:p>
      </w:tc>
      <w:tc>
        <w:tcPr>
          <w:tcW w:w="12231" w:type="dxa"/>
        </w:tcPr>
        <w:p w14:paraId="60FE0FFD" w14:textId="77777777" w:rsidR="00E84E89" w:rsidRPr="00E06FD5" w:rsidRDefault="00E84E89" w:rsidP="00E84E89">
          <w:pPr>
            <w:pStyle w:val="Header"/>
            <w:tabs>
              <w:tab w:val="left" w:pos="10569"/>
              <w:tab w:val="right" w:pos="11987"/>
            </w:tabs>
            <w:jc w:val="left"/>
            <w:rPr>
              <w:rFonts w:ascii="Arial" w:hAnsi="Arial" w:cs="Arial"/>
              <w:b/>
              <w:bCs/>
              <w:szCs w:val="18"/>
            </w:rPr>
          </w:pPr>
          <w:r>
            <w:rPr>
              <w:bCs/>
            </w:rPr>
            <w:tab/>
          </w:r>
          <w:r w:rsidRPr="00623AE3">
            <w:rPr>
              <w:bCs/>
            </w:rPr>
            <w:t>C</w:t>
          </w:r>
          <w:r>
            <w:rPr>
              <w:bCs/>
            </w:rPr>
            <w:t>25</w:t>
          </w:r>
          <w:r w:rsidRPr="00623AE3">
            <w:rPr>
              <w:bCs/>
            </w:rPr>
            <w:t>/</w:t>
          </w:r>
          <w:r>
            <w:rPr>
              <w:bCs/>
              <w:lang w:val="ru-RU"/>
            </w:rPr>
            <w:t>41</w:t>
          </w:r>
          <w:r w:rsidRPr="00623AE3">
            <w:rPr>
              <w:bCs/>
            </w:rPr>
            <w:t>-</w:t>
          </w:r>
          <w:r>
            <w:rPr>
              <w:bCs/>
            </w:rPr>
            <w:t>R</w:t>
          </w:r>
          <w:r>
            <w:rPr>
              <w:bCs/>
            </w:rPr>
            <w:tab/>
          </w:r>
          <w:r>
            <w:fldChar w:fldCharType="begin"/>
          </w:r>
          <w:r>
            <w:instrText>PAGE</w:instrText>
          </w:r>
          <w:r>
            <w:fldChar w:fldCharType="separate"/>
          </w:r>
          <w:r>
            <w:t>1</w:t>
          </w:r>
          <w:r>
            <w:rPr>
              <w:noProof/>
            </w:rPr>
            <w:fldChar w:fldCharType="end"/>
          </w:r>
        </w:p>
      </w:tc>
    </w:tr>
  </w:tbl>
  <w:p w14:paraId="6F023674" w14:textId="77777777" w:rsidR="00E84E89" w:rsidRPr="00672F8A" w:rsidRDefault="00E84E89" w:rsidP="00672F8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2231"/>
    </w:tblGrid>
    <w:tr w:rsidR="00E84E89" w:rsidRPr="00784011" w14:paraId="6C926571" w14:textId="77777777" w:rsidTr="00CE0D9D">
      <w:tc>
        <w:tcPr>
          <w:tcW w:w="1803" w:type="dxa"/>
          <w:vAlign w:val="center"/>
        </w:tcPr>
        <w:p w14:paraId="508C0563" w14:textId="77777777" w:rsidR="00E84E89" w:rsidRDefault="00E84E89" w:rsidP="00E84E89">
          <w:pPr>
            <w:pStyle w:val="Header"/>
            <w:jc w:val="left"/>
            <w:rPr>
              <w:noProof/>
            </w:rPr>
          </w:pPr>
        </w:p>
      </w:tc>
      <w:tc>
        <w:tcPr>
          <w:tcW w:w="12231" w:type="dxa"/>
        </w:tcPr>
        <w:p w14:paraId="26B799C2" w14:textId="77777777" w:rsidR="00E84E89" w:rsidRPr="00E06FD5" w:rsidRDefault="00E84E89" w:rsidP="00E84E89">
          <w:pPr>
            <w:pStyle w:val="Header"/>
            <w:tabs>
              <w:tab w:val="left" w:pos="10569"/>
              <w:tab w:val="right" w:pos="11987"/>
            </w:tabs>
            <w:jc w:val="left"/>
            <w:rPr>
              <w:rFonts w:ascii="Arial" w:hAnsi="Arial" w:cs="Arial"/>
              <w:b/>
              <w:bCs/>
              <w:szCs w:val="18"/>
            </w:rPr>
          </w:pPr>
          <w:r>
            <w:rPr>
              <w:bCs/>
            </w:rPr>
            <w:tab/>
          </w:r>
          <w:r w:rsidRPr="00623AE3">
            <w:rPr>
              <w:bCs/>
            </w:rPr>
            <w:t>C</w:t>
          </w:r>
          <w:r>
            <w:rPr>
              <w:bCs/>
            </w:rPr>
            <w:t>25</w:t>
          </w:r>
          <w:r w:rsidRPr="00623AE3">
            <w:rPr>
              <w:bCs/>
            </w:rPr>
            <w:t>/</w:t>
          </w:r>
          <w:r>
            <w:rPr>
              <w:bCs/>
              <w:lang w:val="ru-RU"/>
            </w:rPr>
            <w:t>41</w:t>
          </w:r>
          <w:r w:rsidRPr="00623AE3">
            <w:rPr>
              <w:bCs/>
            </w:rPr>
            <w:t>-</w:t>
          </w:r>
          <w:r>
            <w:rPr>
              <w:bCs/>
            </w:rPr>
            <w:t>R</w:t>
          </w:r>
          <w:r>
            <w:rPr>
              <w:bCs/>
            </w:rPr>
            <w:tab/>
          </w:r>
          <w:r>
            <w:fldChar w:fldCharType="begin"/>
          </w:r>
          <w:r>
            <w:instrText>PAGE</w:instrText>
          </w:r>
          <w:r>
            <w:fldChar w:fldCharType="separate"/>
          </w:r>
          <w:r>
            <w:t>1</w:t>
          </w:r>
          <w:r>
            <w:rPr>
              <w:noProof/>
            </w:rPr>
            <w:fldChar w:fldCharType="end"/>
          </w:r>
        </w:p>
      </w:tc>
    </w:tr>
  </w:tbl>
  <w:p w14:paraId="376760C7" w14:textId="77777777" w:rsidR="00E84E89" w:rsidRPr="00672F8A" w:rsidRDefault="00E84E89" w:rsidP="00672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C09EC" w14:textId="77777777" w:rsidR="004E5F98" w:rsidRDefault="004E5F98">
      <w:r>
        <w:t>____________________</w:t>
      </w:r>
    </w:p>
  </w:footnote>
  <w:footnote w:type="continuationSeparator" w:id="0">
    <w:p w14:paraId="5690C7FE" w14:textId="77777777" w:rsidR="004E5F98" w:rsidRDefault="004E5F98">
      <w:r>
        <w:continuationSeparator/>
      </w:r>
    </w:p>
  </w:footnote>
  <w:footnote w:id="1">
    <w:p w14:paraId="6396BFD9" w14:textId="77777777" w:rsidR="004E5F98" w:rsidRPr="00B5544A" w:rsidRDefault="004E5F98" w:rsidP="009E2548">
      <w:pPr>
        <w:pStyle w:val="FootnoteText"/>
        <w:tabs>
          <w:tab w:val="clear" w:pos="255"/>
          <w:tab w:val="left" w:pos="284"/>
        </w:tabs>
        <w:rPr>
          <w:lang w:val="ru-RU"/>
        </w:rPr>
      </w:pPr>
      <w:r>
        <w:rPr>
          <w:rStyle w:val="FootnoteReference"/>
          <w:lang w:val="ru-RU"/>
        </w:rPr>
        <w:footnoteRef/>
      </w:r>
      <w:r>
        <w:rPr>
          <w:lang w:val="ru-RU"/>
        </w:rPr>
        <w:tab/>
        <w:t>В издании Руководства МСЭ по управлению проектами 2020 года спонсор проекта определяется как лицо, которое несет ответственность за успех руководителя проекта и обеспечивает поддержку и руководство на протяжении всего жизненного цикла проекта. Это управляющий, вышестоящий руководитель руководителя проекта, начальник отдела (HOD) или начальник департамента (COD).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8A71E" w14:textId="66B88F7D" w:rsidR="00E84E89" w:rsidRPr="006D45E4" w:rsidRDefault="00E84E89">
    <w:pPr>
      <w:pStyle w:val="Header"/>
      <w:rPr>
        <w:lang w:val="ru-RU"/>
      </w:rPr>
    </w:pPr>
    <w:r>
      <w:rPr>
        <w:lang w:val="ru-RU"/>
      </w:rPr>
      <w:t>Отчет Внешнего аудитора по финансовой отчетности МСЭ за 2024 год</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59"/>
      <w:gridCol w:w="3661"/>
    </w:tblGrid>
    <w:tr w:rsidR="00156890" w:rsidRPr="00784011" w14:paraId="438E14E7" w14:textId="77777777" w:rsidTr="00156890">
      <w:trPr>
        <w:trHeight w:val="1104"/>
        <w:jc w:val="center"/>
      </w:trPr>
      <w:tc>
        <w:tcPr>
          <w:tcW w:w="6359" w:type="dxa"/>
          <w:vAlign w:val="center"/>
        </w:tcPr>
        <w:p w14:paraId="1B5C1088" w14:textId="77777777" w:rsidR="00156890" w:rsidRDefault="00156890" w:rsidP="00796BD3">
          <w:pPr>
            <w:pStyle w:val="Header"/>
            <w:jc w:val="left"/>
            <w:rPr>
              <w:rFonts w:ascii="Arial" w:hAnsi="Arial" w:cs="Arial"/>
              <w:b/>
              <w:bCs/>
              <w:noProof/>
              <w:color w:val="009CD6"/>
              <w:sz w:val="36"/>
              <w:szCs w:val="36"/>
            </w:rPr>
          </w:pPr>
          <w:r>
            <w:rPr>
              <w:rFonts w:ascii="Arial" w:hAnsi="Arial" w:cs="Arial"/>
              <w:b/>
              <w:bCs/>
              <w:noProof/>
              <w:color w:val="009CD6"/>
              <w:sz w:val="36"/>
              <w:szCs w:val="36"/>
            </w:rPr>
            <w:drawing>
              <wp:inline distT="0" distB="0" distL="0" distR="0" wp14:anchorId="1CC6AD3E" wp14:editId="0CF0D581">
                <wp:extent cx="3901233" cy="612000"/>
                <wp:effectExtent l="0" t="0" r="0" b="0"/>
                <wp:docPr id="1838873251" name="Picture 2" descr="A black background with blue letter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873251" name="Picture 2" descr="A black background with blue letters and numbe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901233" cy="612000"/>
                        </a:xfrm>
                        <a:prstGeom prst="rect">
                          <a:avLst/>
                        </a:prstGeom>
                      </pic:spPr>
                    </pic:pic>
                  </a:graphicData>
                </a:graphic>
              </wp:inline>
            </w:drawing>
          </w:r>
        </w:p>
      </w:tc>
      <w:tc>
        <w:tcPr>
          <w:tcW w:w="3661" w:type="dxa"/>
        </w:tcPr>
        <w:p w14:paraId="35F2ED80" w14:textId="77777777" w:rsidR="00156890" w:rsidRDefault="00156890" w:rsidP="00796BD3">
          <w:pPr>
            <w:pStyle w:val="Header"/>
            <w:jc w:val="right"/>
            <w:rPr>
              <w:rFonts w:ascii="Arial" w:hAnsi="Arial" w:cs="Arial"/>
              <w:b/>
              <w:bCs/>
              <w:color w:val="009CD6"/>
              <w:szCs w:val="18"/>
            </w:rPr>
          </w:pPr>
        </w:p>
      </w:tc>
    </w:tr>
  </w:tbl>
  <w:p w14:paraId="3CC4ADBF" w14:textId="77777777" w:rsidR="0014229E" w:rsidRDefault="00796BD3" w:rsidP="0014229E">
    <w:pPr>
      <w:pStyle w:val="Header"/>
      <w:spacing w:after="240"/>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0E3B6F43" wp14:editId="19281610">
              <wp:simplePos x="0" y="0"/>
              <wp:positionH relativeFrom="page">
                <wp:posOffset>21285</wp:posOffset>
              </wp:positionH>
              <wp:positionV relativeFrom="topMargin">
                <wp:posOffset>629920</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B3C7B" id="Rectangle 5" o:spid="_x0000_s1026" style="position:absolute;margin-left:1.7pt;margin-top:49.6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" fillcolor="#009cd5" stroked="f">
              <w10:wrap anchorx="page" anchory="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4C7FC" w14:textId="07B39DAF" w:rsidR="00E84E89" w:rsidRPr="00E84E89" w:rsidRDefault="00E84E89" w:rsidP="00E84E8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BFFCA" w14:textId="6BF8252B" w:rsidR="00E84E89" w:rsidRPr="006D45E4" w:rsidRDefault="0099071C" w:rsidP="00E84E89">
    <w:pPr>
      <w:pStyle w:val="Header"/>
      <w:rPr>
        <w:lang w:val="ru-RU"/>
      </w:rPr>
    </w:pPr>
    <w:r>
      <w:rPr>
        <w:lang w:val="ru-RU"/>
      </w:rPr>
      <w:t>Отчет Внешнего аудитора по финансовой отчетности МСЭ за 2024 год</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1B6F9A"/>
    <w:multiLevelType w:val="hybridMultilevel"/>
    <w:tmpl w:val="13B2D25C"/>
    <w:lvl w:ilvl="0" w:tplc="723279EE">
      <w:start w:val="1"/>
      <w:numFmt w:val="bullet"/>
      <w:pStyle w:val="Bullet"/>
      <w:lvlText w:val=""/>
      <w:lvlJc w:val="left"/>
      <w:pPr>
        <w:tabs>
          <w:tab w:val="num" w:pos="499"/>
        </w:tabs>
        <w:ind w:left="499" w:hanging="499"/>
      </w:pPr>
      <w:rPr>
        <w:rFonts w:ascii="Symbol" w:hAnsi="Symbol" w:hint="default"/>
        <w:color w:val="333333"/>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AC627E"/>
    <w:multiLevelType w:val="hybridMultilevel"/>
    <w:tmpl w:val="A8A8E4D8"/>
    <w:lvl w:ilvl="0" w:tplc="ED34966C">
      <w:start w:val="1"/>
      <w:numFmt w:val="decimal"/>
      <w:pStyle w:val="Number5"/>
      <w:lvlText w:val="5.%1"/>
      <w:lvlJc w:val="left"/>
      <w:pPr>
        <w:tabs>
          <w:tab w:val="num" w:pos="774"/>
        </w:tabs>
        <w:ind w:left="774" w:hanging="774"/>
      </w:pPr>
      <w:rPr>
        <w:rFonts w:ascii="Arial" w:hAnsi="Arial" w:hint="default"/>
        <w:b/>
        <w:i w:val="0"/>
        <w:color w:val="00000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563CEE"/>
    <w:multiLevelType w:val="hybridMultilevel"/>
    <w:tmpl w:val="5218E122"/>
    <w:lvl w:ilvl="0" w:tplc="8C54DD80">
      <w:start w:val="1"/>
      <w:numFmt w:val="decimal"/>
      <w:pStyle w:val="Number9"/>
      <w:lvlText w:val="9.%1"/>
      <w:lvlJc w:val="left"/>
      <w:pPr>
        <w:tabs>
          <w:tab w:val="num" w:pos="774"/>
        </w:tabs>
        <w:ind w:left="774" w:hanging="774"/>
      </w:pPr>
      <w:rPr>
        <w:rFonts w:ascii="Arial" w:hAnsi="Arial" w:hint="default"/>
        <w:b/>
        <w:i w:val="0"/>
        <w:color w:val="00000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D7570FA"/>
    <w:multiLevelType w:val="hybridMultilevel"/>
    <w:tmpl w:val="FEBADF70"/>
    <w:lvl w:ilvl="0" w:tplc="C6B24016">
      <w:start w:val="1"/>
      <w:numFmt w:val="decimal"/>
      <w:pStyle w:val="Number13"/>
      <w:lvlText w:val="13.%1"/>
      <w:lvlJc w:val="left"/>
      <w:pPr>
        <w:tabs>
          <w:tab w:val="num" w:pos="774"/>
        </w:tabs>
        <w:ind w:left="774" w:hanging="774"/>
      </w:pPr>
      <w:rPr>
        <w:rFonts w:ascii="Arial" w:hAnsi="Arial" w:hint="default"/>
        <w:b/>
        <w:i w:val="0"/>
        <w:color w:val="00000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56C7902"/>
    <w:multiLevelType w:val="multilevel"/>
    <w:tmpl w:val="BACE1260"/>
    <w:lvl w:ilvl="0">
      <w:start w:val="1"/>
      <w:numFmt w:val="lowerLetter"/>
      <w:lvlRestart w:val="0"/>
      <w:pStyle w:val="Bulletalphabet"/>
      <w:lvlText w:val="%1."/>
      <w:lvlJc w:val="left"/>
      <w:pPr>
        <w:tabs>
          <w:tab w:val="num" w:pos="510"/>
        </w:tabs>
        <w:ind w:left="510" w:hanging="510"/>
      </w:pPr>
      <w:rPr>
        <w:rFonts w:hint="default"/>
        <w:color w:val="000000"/>
      </w:rPr>
    </w:lvl>
    <w:lvl w:ilvl="1">
      <w:start w:val="1"/>
      <w:numFmt w:val="lowerLetter"/>
      <w:lvlText w:val="%2."/>
      <w:lvlJc w:val="left"/>
      <w:pPr>
        <w:tabs>
          <w:tab w:val="num" w:pos="2103"/>
        </w:tabs>
        <w:ind w:left="2103" w:hanging="363"/>
      </w:pPr>
      <w:rPr>
        <w:rFonts w:hint="default"/>
      </w:rPr>
    </w:lvl>
    <w:lvl w:ilvl="2">
      <w:start w:val="1"/>
      <w:numFmt w:val="lowerRoman"/>
      <w:lvlText w:val="%3."/>
      <w:lvlJc w:val="right"/>
      <w:pPr>
        <w:tabs>
          <w:tab w:val="num" w:pos="2823"/>
        </w:tabs>
        <w:ind w:left="2823" w:hanging="181"/>
      </w:pPr>
      <w:rPr>
        <w:rFonts w:hint="default"/>
      </w:rPr>
    </w:lvl>
    <w:lvl w:ilvl="3">
      <w:start w:val="1"/>
      <w:numFmt w:val="decimal"/>
      <w:lvlText w:val="%4."/>
      <w:lvlJc w:val="left"/>
      <w:pPr>
        <w:tabs>
          <w:tab w:val="num" w:pos="3543"/>
        </w:tabs>
        <w:ind w:left="3543" w:hanging="363"/>
      </w:pPr>
      <w:rPr>
        <w:rFonts w:hint="default"/>
      </w:rPr>
    </w:lvl>
    <w:lvl w:ilvl="4">
      <w:start w:val="1"/>
      <w:numFmt w:val="lowerLetter"/>
      <w:lvlText w:val="%5."/>
      <w:lvlJc w:val="left"/>
      <w:pPr>
        <w:tabs>
          <w:tab w:val="num" w:pos="4258"/>
        </w:tabs>
        <w:ind w:left="4258" w:hanging="358"/>
      </w:pPr>
      <w:rPr>
        <w:rFonts w:hint="default"/>
      </w:rPr>
    </w:lvl>
    <w:lvl w:ilvl="5">
      <w:start w:val="1"/>
      <w:numFmt w:val="lowerRoman"/>
      <w:lvlText w:val="%6."/>
      <w:lvlJc w:val="right"/>
      <w:pPr>
        <w:tabs>
          <w:tab w:val="num" w:pos="4978"/>
        </w:tabs>
        <w:ind w:left="4978" w:hanging="176"/>
      </w:pPr>
      <w:rPr>
        <w:rFonts w:hint="default"/>
      </w:rPr>
    </w:lvl>
    <w:lvl w:ilvl="6">
      <w:start w:val="1"/>
      <w:numFmt w:val="decimal"/>
      <w:lvlText w:val="%7."/>
      <w:lvlJc w:val="left"/>
      <w:pPr>
        <w:tabs>
          <w:tab w:val="num" w:pos="5698"/>
        </w:tabs>
        <w:ind w:left="5698" w:hanging="358"/>
      </w:pPr>
      <w:rPr>
        <w:rFonts w:hint="default"/>
      </w:rPr>
    </w:lvl>
    <w:lvl w:ilvl="7">
      <w:start w:val="1"/>
      <w:numFmt w:val="lowerLetter"/>
      <w:lvlText w:val="%8."/>
      <w:lvlJc w:val="left"/>
      <w:pPr>
        <w:tabs>
          <w:tab w:val="num" w:pos="6418"/>
        </w:tabs>
        <w:ind w:left="6418" w:hanging="358"/>
      </w:pPr>
      <w:rPr>
        <w:rFonts w:hint="default"/>
      </w:rPr>
    </w:lvl>
    <w:lvl w:ilvl="8">
      <w:start w:val="1"/>
      <w:numFmt w:val="lowerRoman"/>
      <w:lvlText w:val="%9."/>
      <w:lvlJc w:val="right"/>
      <w:pPr>
        <w:tabs>
          <w:tab w:val="num" w:pos="7138"/>
        </w:tabs>
        <w:ind w:left="7138" w:hanging="176"/>
      </w:pPr>
      <w:rPr>
        <w:rFonts w:hint="default"/>
      </w:rPr>
    </w:lvl>
  </w:abstractNum>
  <w:abstractNum w:abstractNumId="6" w15:restartNumberingAfterBreak="0">
    <w:nsid w:val="1B5E2CA3"/>
    <w:multiLevelType w:val="hybridMultilevel"/>
    <w:tmpl w:val="4848756E"/>
    <w:lvl w:ilvl="0" w:tplc="3AB0FB4E">
      <w:start w:val="1"/>
      <w:numFmt w:val="decimal"/>
      <w:pStyle w:val="Number8"/>
      <w:lvlText w:val="8.%1"/>
      <w:lvlJc w:val="left"/>
      <w:pPr>
        <w:tabs>
          <w:tab w:val="num" w:pos="774"/>
        </w:tabs>
        <w:ind w:left="774" w:hanging="774"/>
      </w:pPr>
      <w:rPr>
        <w:rFonts w:ascii="Arial" w:hAnsi="Arial" w:hint="default"/>
        <w:b/>
        <w:i w:val="0"/>
        <w:color w:val="00000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4A03982"/>
    <w:multiLevelType w:val="hybridMultilevel"/>
    <w:tmpl w:val="FF8C3EE6"/>
    <w:lvl w:ilvl="0" w:tplc="3AB0FB4E">
      <w:start w:val="1"/>
      <w:numFmt w:val="bullet"/>
      <w:pStyle w:val="FigureBulletssecond"/>
      <w:lvlText w:val=""/>
      <w:lvlJc w:val="left"/>
      <w:pPr>
        <w:tabs>
          <w:tab w:val="num" w:pos="680"/>
        </w:tabs>
        <w:ind w:left="680" w:hanging="340"/>
      </w:pPr>
      <w:rPr>
        <w:rFonts w:ascii="Symbol" w:hAnsi="Symbol" w:hint="default"/>
        <w:color w:val="333333"/>
      </w:rPr>
    </w:lvl>
    <w:lvl w:ilvl="1" w:tplc="08090019" w:tentative="1">
      <w:start w:val="1"/>
      <w:numFmt w:val="bullet"/>
      <w:lvlText w:val="o"/>
      <w:lvlJc w:val="left"/>
      <w:pPr>
        <w:tabs>
          <w:tab w:val="num" w:pos="1440"/>
        </w:tabs>
        <w:ind w:left="1440" w:hanging="360"/>
      </w:pPr>
      <w:rPr>
        <w:rFonts w:ascii="Courier New" w:hAnsi="Courier New" w:cs="Arial"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Arial"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Arial"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3C1ACD"/>
    <w:multiLevelType w:val="multilevel"/>
    <w:tmpl w:val="9FF2AA46"/>
    <w:styleLink w:val="Numberednotes"/>
    <w:lvl w:ilvl="0">
      <w:start w:val="1"/>
      <w:numFmt w:val="decimal"/>
      <w:suff w:val="space"/>
      <w:lvlText w:val="%1."/>
      <w:lvlJc w:val="left"/>
      <w:pPr>
        <w:ind w:left="57" w:hanging="5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69D15BB"/>
    <w:multiLevelType w:val="hybridMultilevel"/>
    <w:tmpl w:val="228CBC46"/>
    <w:lvl w:ilvl="0" w:tplc="3AB0FB4E">
      <w:start w:val="1"/>
      <w:numFmt w:val="decimal"/>
      <w:pStyle w:val="AnnexH"/>
      <w:lvlText w:val="%1"/>
      <w:lvlJc w:val="left"/>
      <w:pPr>
        <w:tabs>
          <w:tab w:val="num" w:pos="774"/>
        </w:tabs>
        <w:ind w:left="774" w:hanging="774"/>
      </w:pPr>
      <w:rPr>
        <w:rFonts w:ascii="Arial" w:hAnsi="Arial" w:hint="default"/>
        <w:b/>
        <w:i w:val="0"/>
        <w:color w:val="00000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80A42A3"/>
    <w:multiLevelType w:val="multilevel"/>
    <w:tmpl w:val="B6186C30"/>
    <w:lvl w:ilvl="0">
      <w:start w:val="1"/>
      <w:numFmt w:val="decimal"/>
      <w:lvlRestart w:val="0"/>
      <w:pStyle w:val="Figurenumbers"/>
      <w:lvlText w:val="%1."/>
      <w:lvlJc w:val="left"/>
      <w:pPr>
        <w:tabs>
          <w:tab w:val="num" w:pos="340"/>
        </w:tabs>
        <w:ind w:left="340" w:hanging="340"/>
      </w:pPr>
      <w:rPr>
        <w:rFonts w:hint="default"/>
      </w:rPr>
    </w:lvl>
    <w:lvl w:ilvl="1">
      <w:start w:val="1"/>
      <w:numFmt w:val="lowerLetter"/>
      <w:lvlText w:val="%2."/>
      <w:lvlJc w:val="left"/>
      <w:pPr>
        <w:tabs>
          <w:tab w:val="num" w:pos="1440"/>
        </w:tabs>
        <w:ind w:left="1440" w:hanging="363"/>
      </w:pPr>
      <w:rPr>
        <w:rFonts w:hint="default"/>
      </w:rPr>
    </w:lvl>
    <w:lvl w:ilvl="2">
      <w:start w:val="1"/>
      <w:numFmt w:val="lowerRoman"/>
      <w:lvlText w:val="%3."/>
      <w:lvlJc w:val="right"/>
      <w:pPr>
        <w:tabs>
          <w:tab w:val="num" w:pos="2160"/>
        </w:tabs>
        <w:ind w:left="2160" w:hanging="181"/>
      </w:pPr>
      <w:rPr>
        <w:rFonts w:hint="default"/>
      </w:rPr>
    </w:lvl>
    <w:lvl w:ilvl="3">
      <w:start w:val="1"/>
      <w:numFmt w:val="decimal"/>
      <w:lvlText w:val="%4."/>
      <w:lvlJc w:val="left"/>
      <w:pPr>
        <w:tabs>
          <w:tab w:val="num" w:pos="2880"/>
        </w:tabs>
        <w:ind w:left="2880" w:hanging="363"/>
      </w:pPr>
      <w:rPr>
        <w:rFonts w:hint="default"/>
      </w:rPr>
    </w:lvl>
    <w:lvl w:ilvl="4">
      <w:start w:val="1"/>
      <w:numFmt w:val="lowerLetter"/>
      <w:lvlText w:val="%5."/>
      <w:lvlJc w:val="left"/>
      <w:pPr>
        <w:tabs>
          <w:tab w:val="num" w:pos="3600"/>
        </w:tabs>
        <w:ind w:left="3600" w:hanging="363"/>
      </w:pPr>
      <w:rPr>
        <w:rFonts w:hint="default"/>
      </w:rPr>
    </w:lvl>
    <w:lvl w:ilvl="5">
      <w:start w:val="1"/>
      <w:numFmt w:val="lowerRoman"/>
      <w:lvlText w:val="%6."/>
      <w:lvlJc w:val="right"/>
      <w:pPr>
        <w:tabs>
          <w:tab w:val="num" w:pos="4320"/>
        </w:tabs>
        <w:ind w:left="4320" w:hanging="181"/>
      </w:pPr>
      <w:rPr>
        <w:rFonts w:hint="default"/>
      </w:rPr>
    </w:lvl>
    <w:lvl w:ilvl="6">
      <w:start w:val="1"/>
      <w:numFmt w:val="decimal"/>
      <w:lvlText w:val="%7."/>
      <w:lvlJc w:val="left"/>
      <w:pPr>
        <w:tabs>
          <w:tab w:val="num" w:pos="5040"/>
        </w:tabs>
        <w:ind w:left="5040" w:hanging="363"/>
      </w:pPr>
      <w:rPr>
        <w:rFonts w:hint="default"/>
      </w:rPr>
    </w:lvl>
    <w:lvl w:ilvl="7">
      <w:start w:val="1"/>
      <w:numFmt w:val="lowerLetter"/>
      <w:lvlText w:val="%8."/>
      <w:lvlJc w:val="left"/>
      <w:pPr>
        <w:tabs>
          <w:tab w:val="num" w:pos="5760"/>
        </w:tabs>
        <w:ind w:left="5760" w:hanging="363"/>
      </w:pPr>
      <w:rPr>
        <w:rFonts w:hint="default"/>
      </w:rPr>
    </w:lvl>
    <w:lvl w:ilvl="8">
      <w:start w:val="1"/>
      <w:numFmt w:val="lowerRoman"/>
      <w:lvlText w:val="%9."/>
      <w:lvlJc w:val="right"/>
      <w:pPr>
        <w:tabs>
          <w:tab w:val="num" w:pos="6480"/>
        </w:tabs>
        <w:ind w:left="6480" w:hanging="181"/>
      </w:pPr>
      <w:rPr>
        <w:rFonts w:hint="default"/>
      </w:rPr>
    </w:lvl>
  </w:abstractNum>
  <w:abstractNum w:abstractNumId="11" w15:restartNumberingAfterBreak="0">
    <w:nsid w:val="286C0089"/>
    <w:multiLevelType w:val="hybridMultilevel"/>
    <w:tmpl w:val="4A864720"/>
    <w:lvl w:ilvl="0" w:tplc="3AB0FB4E">
      <w:start w:val="1"/>
      <w:numFmt w:val="decimal"/>
      <w:pStyle w:val="Number15"/>
      <w:lvlText w:val="15.%1"/>
      <w:lvlJc w:val="left"/>
      <w:pPr>
        <w:tabs>
          <w:tab w:val="num" w:pos="774"/>
        </w:tabs>
        <w:ind w:left="774" w:hanging="774"/>
      </w:pPr>
      <w:rPr>
        <w:rFonts w:ascii="Arial" w:hAnsi="Arial" w:hint="default"/>
        <w:b/>
        <w:i w:val="0"/>
        <w:color w:val="00000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8B60C29"/>
    <w:multiLevelType w:val="multilevel"/>
    <w:tmpl w:val="503A353C"/>
    <w:styleLink w:val="NumberedNotes0"/>
    <w:lvl w:ilvl="0">
      <w:start w:val="1"/>
      <w:numFmt w:val="decimal"/>
      <w:suff w:val="space"/>
      <w:lvlText w:val="%1."/>
      <w:lvlJc w:val="left"/>
      <w:pPr>
        <w:ind w:left="57" w:hanging="5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9D35173"/>
    <w:multiLevelType w:val="hybridMultilevel"/>
    <w:tmpl w:val="7E8C5F02"/>
    <w:lvl w:ilvl="0" w:tplc="1BBEACE4">
      <w:start w:val="1"/>
      <w:numFmt w:val="decimal"/>
      <w:pStyle w:val="AnnexD"/>
      <w:lvlText w:val="%1"/>
      <w:lvlJc w:val="left"/>
      <w:pPr>
        <w:tabs>
          <w:tab w:val="num" w:pos="774"/>
        </w:tabs>
        <w:ind w:left="774" w:hanging="774"/>
      </w:pPr>
      <w:rPr>
        <w:rFonts w:ascii="Arial" w:hAnsi="Arial" w:hint="default"/>
        <w:b/>
        <w:i w:val="0"/>
        <w:color w:val="000000"/>
      </w:rPr>
    </w:lvl>
    <w:lvl w:ilvl="1" w:tplc="24566C84" w:tentative="1">
      <w:start w:val="1"/>
      <w:numFmt w:val="lowerLetter"/>
      <w:lvlText w:val="%2."/>
      <w:lvlJc w:val="left"/>
      <w:pPr>
        <w:tabs>
          <w:tab w:val="num" w:pos="1440"/>
        </w:tabs>
        <w:ind w:left="1440" w:hanging="360"/>
      </w:pPr>
    </w:lvl>
    <w:lvl w:ilvl="2" w:tplc="A13292A6" w:tentative="1">
      <w:start w:val="1"/>
      <w:numFmt w:val="lowerRoman"/>
      <w:lvlText w:val="%3."/>
      <w:lvlJc w:val="right"/>
      <w:pPr>
        <w:tabs>
          <w:tab w:val="num" w:pos="2160"/>
        </w:tabs>
        <w:ind w:left="2160" w:hanging="180"/>
      </w:pPr>
    </w:lvl>
    <w:lvl w:ilvl="3" w:tplc="8696A438" w:tentative="1">
      <w:start w:val="1"/>
      <w:numFmt w:val="decimal"/>
      <w:lvlText w:val="%4."/>
      <w:lvlJc w:val="left"/>
      <w:pPr>
        <w:tabs>
          <w:tab w:val="num" w:pos="2880"/>
        </w:tabs>
        <w:ind w:left="2880" w:hanging="360"/>
      </w:pPr>
    </w:lvl>
    <w:lvl w:ilvl="4" w:tplc="7B747BCE" w:tentative="1">
      <w:start w:val="1"/>
      <w:numFmt w:val="lowerLetter"/>
      <w:lvlText w:val="%5."/>
      <w:lvlJc w:val="left"/>
      <w:pPr>
        <w:tabs>
          <w:tab w:val="num" w:pos="3600"/>
        </w:tabs>
        <w:ind w:left="3600" w:hanging="360"/>
      </w:pPr>
    </w:lvl>
    <w:lvl w:ilvl="5" w:tplc="27401F44" w:tentative="1">
      <w:start w:val="1"/>
      <w:numFmt w:val="lowerRoman"/>
      <w:lvlText w:val="%6."/>
      <w:lvlJc w:val="right"/>
      <w:pPr>
        <w:tabs>
          <w:tab w:val="num" w:pos="4320"/>
        </w:tabs>
        <w:ind w:left="4320" w:hanging="180"/>
      </w:pPr>
    </w:lvl>
    <w:lvl w:ilvl="6" w:tplc="DA826678" w:tentative="1">
      <w:start w:val="1"/>
      <w:numFmt w:val="decimal"/>
      <w:lvlText w:val="%7."/>
      <w:lvlJc w:val="left"/>
      <w:pPr>
        <w:tabs>
          <w:tab w:val="num" w:pos="5040"/>
        </w:tabs>
        <w:ind w:left="5040" w:hanging="360"/>
      </w:pPr>
    </w:lvl>
    <w:lvl w:ilvl="7" w:tplc="A40843E2" w:tentative="1">
      <w:start w:val="1"/>
      <w:numFmt w:val="lowerLetter"/>
      <w:lvlText w:val="%8."/>
      <w:lvlJc w:val="left"/>
      <w:pPr>
        <w:tabs>
          <w:tab w:val="num" w:pos="5760"/>
        </w:tabs>
        <w:ind w:left="5760" w:hanging="360"/>
      </w:pPr>
    </w:lvl>
    <w:lvl w:ilvl="8" w:tplc="BC9070CA" w:tentative="1">
      <w:start w:val="1"/>
      <w:numFmt w:val="lowerRoman"/>
      <w:lvlText w:val="%9."/>
      <w:lvlJc w:val="right"/>
      <w:pPr>
        <w:tabs>
          <w:tab w:val="num" w:pos="6480"/>
        </w:tabs>
        <w:ind w:left="6480" w:hanging="180"/>
      </w:pPr>
    </w:lvl>
  </w:abstractNum>
  <w:abstractNum w:abstractNumId="14" w15:restartNumberingAfterBreak="0">
    <w:nsid w:val="2A4D1375"/>
    <w:multiLevelType w:val="hybridMultilevel"/>
    <w:tmpl w:val="FE5EF3CE"/>
    <w:lvl w:ilvl="0" w:tplc="BB66E226">
      <w:start w:val="1"/>
      <w:numFmt w:val="decimal"/>
      <w:pStyle w:val="Number12"/>
      <w:lvlText w:val="12.%1"/>
      <w:lvlJc w:val="left"/>
      <w:pPr>
        <w:tabs>
          <w:tab w:val="num" w:pos="774"/>
        </w:tabs>
        <w:ind w:left="774" w:hanging="774"/>
      </w:pPr>
      <w:rPr>
        <w:rFonts w:ascii="Arial" w:hAnsi="Arial" w:hint="default"/>
        <w:b/>
        <w:i w:val="0"/>
        <w:color w:val="000000"/>
      </w:rPr>
    </w:lvl>
    <w:lvl w:ilvl="1" w:tplc="530C4AD6" w:tentative="1">
      <w:start w:val="1"/>
      <w:numFmt w:val="lowerLetter"/>
      <w:lvlText w:val="%2."/>
      <w:lvlJc w:val="left"/>
      <w:pPr>
        <w:tabs>
          <w:tab w:val="num" w:pos="1440"/>
        </w:tabs>
        <w:ind w:left="1440" w:hanging="360"/>
      </w:pPr>
    </w:lvl>
    <w:lvl w:ilvl="2" w:tplc="673CDAB8" w:tentative="1">
      <w:start w:val="1"/>
      <w:numFmt w:val="lowerRoman"/>
      <w:lvlText w:val="%3."/>
      <w:lvlJc w:val="right"/>
      <w:pPr>
        <w:tabs>
          <w:tab w:val="num" w:pos="2160"/>
        </w:tabs>
        <w:ind w:left="2160" w:hanging="180"/>
      </w:pPr>
    </w:lvl>
    <w:lvl w:ilvl="3" w:tplc="49441E0A" w:tentative="1">
      <w:start w:val="1"/>
      <w:numFmt w:val="decimal"/>
      <w:lvlText w:val="%4."/>
      <w:lvlJc w:val="left"/>
      <w:pPr>
        <w:tabs>
          <w:tab w:val="num" w:pos="2880"/>
        </w:tabs>
        <w:ind w:left="2880" w:hanging="360"/>
      </w:pPr>
    </w:lvl>
    <w:lvl w:ilvl="4" w:tplc="D5A010A0" w:tentative="1">
      <w:start w:val="1"/>
      <w:numFmt w:val="lowerLetter"/>
      <w:lvlText w:val="%5."/>
      <w:lvlJc w:val="left"/>
      <w:pPr>
        <w:tabs>
          <w:tab w:val="num" w:pos="3600"/>
        </w:tabs>
        <w:ind w:left="3600" w:hanging="360"/>
      </w:pPr>
    </w:lvl>
    <w:lvl w:ilvl="5" w:tplc="1326FF5E" w:tentative="1">
      <w:start w:val="1"/>
      <w:numFmt w:val="lowerRoman"/>
      <w:lvlText w:val="%6."/>
      <w:lvlJc w:val="right"/>
      <w:pPr>
        <w:tabs>
          <w:tab w:val="num" w:pos="4320"/>
        </w:tabs>
        <w:ind w:left="4320" w:hanging="180"/>
      </w:pPr>
    </w:lvl>
    <w:lvl w:ilvl="6" w:tplc="81ECD796" w:tentative="1">
      <w:start w:val="1"/>
      <w:numFmt w:val="decimal"/>
      <w:lvlText w:val="%7."/>
      <w:lvlJc w:val="left"/>
      <w:pPr>
        <w:tabs>
          <w:tab w:val="num" w:pos="5040"/>
        </w:tabs>
        <w:ind w:left="5040" w:hanging="360"/>
      </w:pPr>
    </w:lvl>
    <w:lvl w:ilvl="7" w:tplc="15ACCFE8" w:tentative="1">
      <w:start w:val="1"/>
      <w:numFmt w:val="lowerLetter"/>
      <w:lvlText w:val="%8."/>
      <w:lvlJc w:val="left"/>
      <w:pPr>
        <w:tabs>
          <w:tab w:val="num" w:pos="5760"/>
        </w:tabs>
        <w:ind w:left="5760" w:hanging="360"/>
      </w:pPr>
    </w:lvl>
    <w:lvl w:ilvl="8" w:tplc="8AE2793A" w:tentative="1">
      <w:start w:val="1"/>
      <w:numFmt w:val="lowerRoman"/>
      <w:lvlText w:val="%9."/>
      <w:lvlJc w:val="right"/>
      <w:pPr>
        <w:tabs>
          <w:tab w:val="num" w:pos="6480"/>
        </w:tabs>
        <w:ind w:left="6480" w:hanging="180"/>
      </w:pPr>
    </w:lvl>
  </w:abstractNum>
  <w:abstractNum w:abstractNumId="15" w15:restartNumberingAfterBreak="0">
    <w:nsid w:val="2F7B50AD"/>
    <w:multiLevelType w:val="hybridMultilevel"/>
    <w:tmpl w:val="840AE602"/>
    <w:lvl w:ilvl="0" w:tplc="57827B34">
      <w:start w:val="1"/>
      <w:numFmt w:val="decimal"/>
      <w:pStyle w:val="AnnexC"/>
      <w:lvlText w:val="%1"/>
      <w:lvlJc w:val="left"/>
      <w:pPr>
        <w:tabs>
          <w:tab w:val="num" w:pos="774"/>
        </w:tabs>
        <w:ind w:left="774" w:hanging="774"/>
      </w:pPr>
      <w:rPr>
        <w:rFonts w:ascii="Arial" w:hAnsi="Arial" w:hint="default"/>
        <w:b/>
        <w:i w:val="0"/>
        <w:color w:val="000000"/>
      </w:rPr>
    </w:lvl>
    <w:lvl w:ilvl="1" w:tplc="196A5574" w:tentative="1">
      <w:start w:val="1"/>
      <w:numFmt w:val="lowerLetter"/>
      <w:lvlText w:val="%2."/>
      <w:lvlJc w:val="left"/>
      <w:pPr>
        <w:tabs>
          <w:tab w:val="num" w:pos="1440"/>
        </w:tabs>
        <w:ind w:left="1440" w:hanging="360"/>
      </w:pPr>
    </w:lvl>
    <w:lvl w:ilvl="2" w:tplc="C6C63332" w:tentative="1">
      <w:start w:val="1"/>
      <w:numFmt w:val="lowerRoman"/>
      <w:lvlText w:val="%3."/>
      <w:lvlJc w:val="right"/>
      <w:pPr>
        <w:tabs>
          <w:tab w:val="num" w:pos="2160"/>
        </w:tabs>
        <w:ind w:left="2160" w:hanging="180"/>
      </w:pPr>
    </w:lvl>
    <w:lvl w:ilvl="3" w:tplc="4CE0A924" w:tentative="1">
      <w:start w:val="1"/>
      <w:numFmt w:val="decimal"/>
      <w:lvlText w:val="%4."/>
      <w:lvlJc w:val="left"/>
      <w:pPr>
        <w:tabs>
          <w:tab w:val="num" w:pos="2880"/>
        </w:tabs>
        <w:ind w:left="2880" w:hanging="360"/>
      </w:pPr>
    </w:lvl>
    <w:lvl w:ilvl="4" w:tplc="4EFC80BC" w:tentative="1">
      <w:start w:val="1"/>
      <w:numFmt w:val="lowerLetter"/>
      <w:lvlText w:val="%5."/>
      <w:lvlJc w:val="left"/>
      <w:pPr>
        <w:tabs>
          <w:tab w:val="num" w:pos="3600"/>
        </w:tabs>
        <w:ind w:left="3600" w:hanging="360"/>
      </w:pPr>
    </w:lvl>
    <w:lvl w:ilvl="5" w:tplc="0A34CC52" w:tentative="1">
      <w:start w:val="1"/>
      <w:numFmt w:val="lowerRoman"/>
      <w:lvlText w:val="%6."/>
      <w:lvlJc w:val="right"/>
      <w:pPr>
        <w:tabs>
          <w:tab w:val="num" w:pos="4320"/>
        </w:tabs>
        <w:ind w:left="4320" w:hanging="180"/>
      </w:pPr>
    </w:lvl>
    <w:lvl w:ilvl="6" w:tplc="178EF0E6" w:tentative="1">
      <w:start w:val="1"/>
      <w:numFmt w:val="decimal"/>
      <w:lvlText w:val="%7."/>
      <w:lvlJc w:val="left"/>
      <w:pPr>
        <w:tabs>
          <w:tab w:val="num" w:pos="5040"/>
        </w:tabs>
        <w:ind w:left="5040" w:hanging="360"/>
      </w:pPr>
    </w:lvl>
    <w:lvl w:ilvl="7" w:tplc="706EBE3C" w:tentative="1">
      <w:start w:val="1"/>
      <w:numFmt w:val="lowerLetter"/>
      <w:lvlText w:val="%8."/>
      <w:lvlJc w:val="left"/>
      <w:pPr>
        <w:tabs>
          <w:tab w:val="num" w:pos="5760"/>
        </w:tabs>
        <w:ind w:left="5760" w:hanging="360"/>
      </w:pPr>
    </w:lvl>
    <w:lvl w:ilvl="8" w:tplc="B7BC294C" w:tentative="1">
      <w:start w:val="1"/>
      <w:numFmt w:val="lowerRoman"/>
      <w:lvlText w:val="%9."/>
      <w:lvlJc w:val="right"/>
      <w:pPr>
        <w:tabs>
          <w:tab w:val="num" w:pos="6480"/>
        </w:tabs>
        <w:ind w:left="6480" w:hanging="180"/>
      </w:pPr>
    </w:lvl>
  </w:abstractNum>
  <w:abstractNum w:abstractNumId="16" w15:restartNumberingAfterBreak="0">
    <w:nsid w:val="35B6532E"/>
    <w:multiLevelType w:val="hybridMultilevel"/>
    <w:tmpl w:val="B7F01DB8"/>
    <w:lvl w:ilvl="0" w:tplc="3AB0FB4E">
      <w:start w:val="1"/>
      <w:numFmt w:val="decimal"/>
      <w:pStyle w:val="Number7"/>
      <w:lvlText w:val="7.%1"/>
      <w:lvlJc w:val="left"/>
      <w:pPr>
        <w:tabs>
          <w:tab w:val="num" w:pos="774"/>
        </w:tabs>
        <w:ind w:left="774" w:hanging="774"/>
      </w:pPr>
      <w:rPr>
        <w:rFonts w:ascii="Arial" w:hAnsi="Arial" w:hint="default"/>
        <w:b/>
        <w:i w:val="0"/>
        <w:color w:val="00000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75B4E22"/>
    <w:multiLevelType w:val="multilevel"/>
    <w:tmpl w:val="CA302510"/>
    <w:lvl w:ilvl="0">
      <w:start w:val="1"/>
      <w:numFmt w:val="decimal"/>
      <w:lvlRestart w:val="0"/>
      <w:pStyle w:val="NumberedNotes1"/>
      <w:lvlText w:val="%1."/>
      <w:lvlJc w:val="left"/>
      <w:pPr>
        <w:tabs>
          <w:tab w:val="num" w:pos="198"/>
        </w:tabs>
        <w:ind w:left="198" w:hanging="198"/>
      </w:pPr>
      <w:rPr>
        <w:rFonts w:hint="default"/>
        <w:color w:val="000000"/>
      </w:rPr>
    </w:lvl>
    <w:lvl w:ilvl="1">
      <w:start w:val="1"/>
      <w:numFmt w:val="lowerLetter"/>
      <w:lvlText w:val="%2."/>
      <w:lvlJc w:val="left"/>
      <w:pPr>
        <w:tabs>
          <w:tab w:val="num" w:pos="1440"/>
        </w:tabs>
        <w:ind w:left="1440" w:hanging="363"/>
      </w:pPr>
      <w:rPr>
        <w:rFonts w:hint="default"/>
      </w:rPr>
    </w:lvl>
    <w:lvl w:ilvl="2">
      <w:start w:val="1"/>
      <w:numFmt w:val="lowerRoman"/>
      <w:lvlText w:val="%3."/>
      <w:lvlJc w:val="right"/>
      <w:pPr>
        <w:tabs>
          <w:tab w:val="num" w:pos="2160"/>
        </w:tabs>
        <w:ind w:left="2160" w:hanging="181"/>
      </w:pPr>
      <w:rPr>
        <w:rFonts w:hint="default"/>
      </w:rPr>
    </w:lvl>
    <w:lvl w:ilvl="3">
      <w:start w:val="1"/>
      <w:numFmt w:val="decimal"/>
      <w:lvlText w:val="%4."/>
      <w:lvlJc w:val="left"/>
      <w:pPr>
        <w:tabs>
          <w:tab w:val="num" w:pos="2880"/>
        </w:tabs>
        <w:ind w:left="2880" w:hanging="363"/>
      </w:pPr>
      <w:rPr>
        <w:rFonts w:hint="default"/>
      </w:rPr>
    </w:lvl>
    <w:lvl w:ilvl="4">
      <w:start w:val="1"/>
      <w:numFmt w:val="lowerLetter"/>
      <w:lvlText w:val="%5."/>
      <w:lvlJc w:val="left"/>
      <w:pPr>
        <w:tabs>
          <w:tab w:val="num" w:pos="3600"/>
        </w:tabs>
        <w:ind w:left="3600" w:hanging="363"/>
      </w:pPr>
      <w:rPr>
        <w:rFonts w:hint="default"/>
      </w:rPr>
    </w:lvl>
    <w:lvl w:ilvl="5">
      <w:start w:val="1"/>
      <w:numFmt w:val="lowerRoman"/>
      <w:lvlText w:val="%6."/>
      <w:lvlJc w:val="right"/>
      <w:pPr>
        <w:tabs>
          <w:tab w:val="num" w:pos="4320"/>
        </w:tabs>
        <w:ind w:left="4320" w:hanging="181"/>
      </w:pPr>
      <w:rPr>
        <w:rFonts w:hint="default"/>
      </w:rPr>
    </w:lvl>
    <w:lvl w:ilvl="6">
      <w:start w:val="1"/>
      <w:numFmt w:val="decimal"/>
      <w:lvlText w:val="%7."/>
      <w:lvlJc w:val="left"/>
      <w:pPr>
        <w:tabs>
          <w:tab w:val="num" w:pos="5040"/>
        </w:tabs>
        <w:ind w:left="5040" w:hanging="363"/>
      </w:pPr>
      <w:rPr>
        <w:rFonts w:hint="default"/>
      </w:rPr>
    </w:lvl>
    <w:lvl w:ilvl="7">
      <w:start w:val="1"/>
      <w:numFmt w:val="lowerLetter"/>
      <w:lvlText w:val="%8."/>
      <w:lvlJc w:val="left"/>
      <w:pPr>
        <w:tabs>
          <w:tab w:val="num" w:pos="5760"/>
        </w:tabs>
        <w:ind w:left="5760" w:hanging="363"/>
      </w:pPr>
      <w:rPr>
        <w:rFonts w:hint="default"/>
      </w:rPr>
    </w:lvl>
    <w:lvl w:ilvl="8">
      <w:start w:val="1"/>
      <w:numFmt w:val="lowerRoman"/>
      <w:lvlText w:val="%9."/>
      <w:lvlJc w:val="right"/>
      <w:pPr>
        <w:tabs>
          <w:tab w:val="num" w:pos="6480"/>
        </w:tabs>
        <w:ind w:left="6480" w:hanging="181"/>
      </w:pPr>
      <w:rPr>
        <w:rFonts w:hint="default"/>
      </w:rPr>
    </w:lvl>
  </w:abstractNum>
  <w:abstractNum w:abstractNumId="18" w15:restartNumberingAfterBreak="0">
    <w:nsid w:val="3C4279B6"/>
    <w:multiLevelType w:val="hybridMultilevel"/>
    <w:tmpl w:val="2F5421F4"/>
    <w:lvl w:ilvl="0" w:tplc="3AB0FB4E">
      <w:start w:val="1"/>
      <w:numFmt w:val="decimal"/>
      <w:pStyle w:val="Number11"/>
      <w:lvlText w:val="11.%1"/>
      <w:lvlJc w:val="left"/>
      <w:pPr>
        <w:tabs>
          <w:tab w:val="num" w:pos="774"/>
        </w:tabs>
        <w:ind w:left="774" w:hanging="774"/>
      </w:pPr>
      <w:rPr>
        <w:rFonts w:ascii="Arial" w:hAnsi="Arial" w:hint="default"/>
        <w:b/>
        <w:i w:val="0"/>
        <w:color w:val="00000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44BA6067"/>
    <w:multiLevelType w:val="hybridMultilevel"/>
    <w:tmpl w:val="1C9A8D24"/>
    <w:lvl w:ilvl="0" w:tplc="3AB0FB4E">
      <w:start w:val="1"/>
      <w:numFmt w:val="decimal"/>
      <w:pStyle w:val="AnnexE"/>
      <w:lvlText w:val="%1"/>
      <w:lvlJc w:val="left"/>
      <w:pPr>
        <w:tabs>
          <w:tab w:val="num" w:pos="774"/>
        </w:tabs>
        <w:ind w:left="774" w:hanging="774"/>
      </w:pPr>
      <w:rPr>
        <w:rFonts w:ascii="Arial" w:hAnsi="Arial" w:hint="default"/>
        <w:b/>
        <w:i w:val="0"/>
        <w:color w:val="00000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45F75220"/>
    <w:multiLevelType w:val="hybridMultilevel"/>
    <w:tmpl w:val="C270B6CC"/>
    <w:lvl w:ilvl="0" w:tplc="3AB0FB4E">
      <w:start w:val="1"/>
      <w:numFmt w:val="decimal"/>
      <w:pStyle w:val="AnnexI"/>
      <w:lvlText w:val="%1"/>
      <w:lvlJc w:val="left"/>
      <w:pPr>
        <w:tabs>
          <w:tab w:val="num" w:pos="774"/>
        </w:tabs>
        <w:ind w:left="774" w:hanging="774"/>
      </w:pPr>
      <w:rPr>
        <w:rFonts w:ascii="Arial" w:hAnsi="Arial" w:hint="default"/>
        <w:b/>
        <w:i w:val="0"/>
        <w:color w:val="00000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492F5C97"/>
    <w:multiLevelType w:val="multilevel"/>
    <w:tmpl w:val="2C622406"/>
    <w:lvl w:ilvl="0">
      <w:start w:val="1"/>
      <w:numFmt w:val="lowerLetter"/>
      <w:pStyle w:val="Figurealphabet"/>
      <w:lvlText w:val="%1."/>
      <w:lvlJc w:val="left"/>
      <w:pPr>
        <w:tabs>
          <w:tab w:val="num" w:pos="340"/>
        </w:tabs>
        <w:ind w:left="340" w:hanging="3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57437D8F"/>
    <w:multiLevelType w:val="hybridMultilevel"/>
    <w:tmpl w:val="653E94AC"/>
    <w:lvl w:ilvl="0" w:tplc="3AB0FB4E">
      <w:start w:val="1"/>
      <w:numFmt w:val="decimal"/>
      <w:pStyle w:val="Number10"/>
      <w:lvlText w:val="10.%1"/>
      <w:lvlJc w:val="left"/>
      <w:pPr>
        <w:tabs>
          <w:tab w:val="num" w:pos="774"/>
        </w:tabs>
        <w:ind w:left="774" w:hanging="774"/>
      </w:pPr>
      <w:rPr>
        <w:rFonts w:ascii="Arial" w:hAnsi="Arial" w:hint="default"/>
        <w:b/>
        <w:i w:val="0"/>
        <w:color w:val="00000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F1043D4"/>
    <w:multiLevelType w:val="hybridMultilevel"/>
    <w:tmpl w:val="DD70D2B0"/>
    <w:lvl w:ilvl="0" w:tplc="3AB0FB4E">
      <w:start w:val="1"/>
      <w:numFmt w:val="decimal"/>
      <w:pStyle w:val="Number6"/>
      <w:lvlText w:val="6.%1"/>
      <w:lvlJc w:val="left"/>
      <w:pPr>
        <w:tabs>
          <w:tab w:val="num" w:pos="774"/>
        </w:tabs>
        <w:ind w:left="774" w:hanging="774"/>
      </w:pPr>
      <w:rPr>
        <w:rFonts w:ascii="Arial" w:hAnsi="Arial" w:hint="default"/>
        <w:b/>
        <w:i w:val="0"/>
        <w:color w:val="00000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7C132DF"/>
    <w:multiLevelType w:val="hybridMultilevel"/>
    <w:tmpl w:val="1F289370"/>
    <w:lvl w:ilvl="0" w:tplc="254E9A8C">
      <w:start w:val="1"/>
      <w:numFmt w:val="decimal"/>
      <w:pStyle w:val="AnnexJ"/>
      <w:lvlText w:val="%1"/>
      <w:lvlJc w:val="left"/>
      <w:pPr>
        <w:tabs>
          <w:tab w:val="num" w:pos="774"/>
        </w:tabs>
        <w:ind w:left="774" w:hanging="774"/>
      </w:pPr>
      <w:rPr>
        <w:rFonts w:ascii="Arial" w:hAnsi="Arial" w:hint="default"/>
        <w:b/>
        <w:i w:val="0"/>
        <w:color w:val="000000"/>
      </w:rPr>
    </w:lvl>
    <w:lvl w:ilvl="1" w:tplc="65EA3602" w:tentative="1">
      <w:start w:val="1"/>
      <w:numFmt w:val="lowerLetter"/>
      <w:lvlText w:val="%2."/>
      <w:lvlJc w:val="left"/>
      <w:pPr>
        <w:tabs>
          <w:tab w:val="num" w:pos="1440"/>
        </w:tabs>
        <w:ind w:left="1440" w:hanging="360"/>
      </w:pPr>
    </w:lvl>
    <w:lvl w:ilvl="2" w:tplc="7292A4AA" w:tentative="1">
      <w:start w:val="1"/>
      <w:numFmt w:val="lowerRoman"/>
      <w:lvlText w:val="%3."/>
      <w:lvlJc w:val="right"/>
      <w:pPr>
        <w:tabs>
          <w:tab w:val="num" w:pos="2160"/>
        </w:tabs>
        <w:ind w:left="2160" w:hanging="180"/>
      </w:pPr>
    </w:lvl>
    <w:lvl w:ilvl="3" w:tplc="983827F0" w:tentative="1">
      <w:start w:val="1"/>
      <w:numFmt w:val="decimal"/>
      <w:lvlText w:val="%4."/>
      <w:lvlJc w:val="left"/>
      <w:pPr>
        <w:tabs>
          <w:tab w:val="num" w:pos="2880"/>
        </w:tabs>
        <w:ind w:left="2880" w:hanging="360"/>
      </w:pPr>
    </w:lvl>
    <w:lvl w:ilvl="4" w:tplc="7FF6A224" w:tentative="1">
      <w:start w:val="1"/>
      <w:numFmt w:val="lowerLetter"/>
      <w:lvlText w:val="%5."/>
      <w:lvlJc w:val="left"/>
      <w:pPr>
        <w:tabs>
          <w:tab w:val="num" w:pos="3600"/>
        </w:tabs>
        <w:ind w:left="3600" w:hanging="360"/>
      </w:pPr>
    </w:lvl>
    <w:lvl w:ilvl="5" w:tplc="E54AEB2C" w:tentative="1">
      <w:start w:val="1"/>
      <w:numFmt w:val="lowerRoman"/>
      <w:lvlText w:val="%6."/>
      <w:lvlJc w:val="right"/>
      <w:pPr>
        <w:tabs>
          <w:tab w:val="num" w:pos="4320"/>
        </w:tabs>
        <w:ind w:left="4320" w:hanging="180"/>
      </w:pPr>
    </w:lvl>
    <w:lvl w:ilvl="6" w:tplc="B33EC7A6" w:tentative="1">
      <w:start w:val="1"/>
      <w:numFmt w:val="decimal"/>
      <w:lvlText w:val="%7."/>
      <w:lvlJc w:val="left"/>
      <w:pPr>
        <w:tabs>
          <w:tab w:val="num" w:pos="5040"/>
        </w:tabs>
        <w:ind w:left="5040" w:hanging="360"/>
      </w:pPr>
    </w:lvl>
    <w:lvl w:ilvl="7" w:tplc="DE8C24EA" w:tentative="1">
      <w:start w:val="1"/>
      <w:numFmt w:val="lowerLetter"/>
      <w:lvlText w:val="%8."/>
      <w:lvlJc w:val="left"/>
      <w:pPr>
        <w:tabs>
          <w:tab w:val="num" w:pos="5760"/>
        </w:tabs>
        <w:ind w:left="5760" w:hanging="360"/>
      </w:pPr>
    </w:lvl>
    <w:lvl w:ilvl="8" w:tplc="6D9EB362" w:tentative="1">
      <w:start w:val="1"/>
      <w:numFmt w:val="lowerRoman"/>
      <w:lvlText w:val="%9."/>
      <w:lvlJc w:val="right"/>
      <w:pPr>
        <w:tabs>
          <w:tab w:val="num" w:pos="6480"/>
        </w:tabs>
        <w:ind w:left="6480" w:hanging="180"/>
      </w:pPr>
    </w:lvl>
  </w:abstractNum>
  <w:abstractNum w:abstractNumId="25" w15:restartNumberingAfterBreak="0">
    <w:nsid w:val="6CF11E71"/>
    <w:multiLevelType w:val="multilevel"/>
    <w:tmpl w:val="4830EEE4"/>
    <w:styleLink w:val="ArticleSection"/>
    <w:lvl w:ilvl="0">
      <w:start w:val="1"/>
      <w:numFmt w:val="decimal"/>
      <w:lvlText w:val="Table %1."/>
      <w:lvlJc w:val="left"/>
      <w:pPr>
        <w:tabs>
          <w:tab w:val="num" w:pos="1440"/>
        </w:tabs>
        <w:ind w:left="0" w:firstLine="0"/>
      </w:pPr>
      <w:rPr>
        <w:rFonts w:ascii="Arial" w:hAnsi="Arial" w:hint="default"/>
        <w:sz w:val="20"/>
      </w:rPr>
    </w:lvl>
    <w:lvl w:ilvl="1">
      <w:start w:val="1"/>
      <w:numFmt w:val="decimalZero"/>
      <w:isLgl/>
      <w:lvlText w:val="Section %1.%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7175696D"/>
    <w:multiLevelType w:val="hybridMultilevel"/>
    <w:tmpl w:val="6B9014F0"/>
    <w:lvl w:ilvl="0" w:tplc="3AB0FB4E">
      <w:start w:val="1"/>
      <w:numFmt w:val="decimal"/>
      <w:pStyle w:val="Number16"/>
      <w:lvlText w:val="16.%1"/>
      <w:lvlJc w:val="left"/>
      <w:pPr>
        <w:tabs>
          <w:tab w:val="num" w:pos="774"/>
        </w:tabs>
        <w:ind w:left="774" w:hanging="774"/>
      </w:pPr>
      <w:rPr>
        <w:rFonts w:ascii="Arial" w:hAnsi="Arial" w:hint="default"/>
        <w:b/>
        <w:i w:val="0"/>
        <w:color w:val="00000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73153499"/>
    <w:multiLevelType w:val="hybridMultilevel"/>
    <w:tmpl w:val="2EF02D60"/>
    <w:lvl w:ilvl="0" w:tplc="3AB0FB4E">
      <w:start w:val="1"/>
      <w:numFmt w:val="bullet"/>
      <w:pStyle w:val="BoxBullet"/>
      <w:lvlText w:val=""/>
      <w:lvlJc w:val="left"/>
      <w:pPr>
        <w:tabs>
          <w:tab w:val="num" w:pos="720"/>
        </w:tabs>
        <w:ind w:left="720" w:hanging="360"/>
      </w:pPr>
      <w:rPr>
        <w:rFonts w:ascii="Symbol" w:hAnsi="Symbol" w:hint="default"/>
        <w:sz w:val="20"/>
        <w:szCs w:val="20"/>
      </w:rPr>
    </w:lvl>
    <w:lvl w:ilvl="1" w:tplc="08090019" w:tentative="1">
      <w:start w:val="1"/>
      <w:numFmt w:val="bullet"/>
      <w:lvlText w:val="o"/>
      <w:lvlJc w:val="left"/>
      <w:pPr>
        <w:tabs>
          <w:tab w:val="num" w:pos="1440"/>
        </w:tabs>
        <w:ind w:left="1440" w:hanging="360"/>
      </w:pPr>
      <w:rPr>
        <w:rFonts w:ascii="Courier New" w:hAnsi="Courier New" w:cs="Arial"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Arial"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Arial"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354650"/>
    <w:multiLevelType w:val="hybridMultilevel"/>
    <w:tmpl w:val="87E25F72"/>
    <w:lvl w:ilvl="0" w:tplc="DD300B7E">
      <w:start w:val="1"/>
      <w:numFmt w:val="decimal"/>
      <w:pStyle w:val="AnnexB"/>
      <w:lvlText w:val="%1"/>
      <w:lvlJc w:val="left"/>
      <w:pPr>
        <w:tabs>
          <w:tab w:val="num" w:pos="774"/>
        </w:tabs>
        <w:ind w:left="774" w:hanging="774"/>
      </w:pPr>
      <w:rPr>
        <w:rFonts w:ascii="Arial" w:hAnsi="Arial" w:hint="default"/>
        <w:b/>
        <w:i w:val="0"/>
        <w:color w:val="000000"/>
      </w:rPr>
    </w:lvl>
    <w:lvl w:ilvl="1" w:tplc="4E1A9E4A">
      <w:start w:val="1"/>
      <w:numFmt w:val="lowerLetter"/>
      <w:lvlText w:val="%2."/>
      <w:lvlJc w:val="left"/>
      <w:pPr>
        <w:tabs>
          <w:tab w:val="num" w:pos="1440"/>
        </w:tabs>
        <w:ind w:left="1440" w:hanging="360"/>
      </w:pPr>
    </w:lvl>
    <w:lvl w:ilvl="2" w:tplc="165C487C">
      <w:start w:val="1"/>
      <w:numFmt w:val="lowerRoman"/>
      <w:lvlText w:val="%3."/>
      <w:lvlJc w:val="right"/>
      <w:pPr>
        <w:tabs>
          <w:tab w:val="num" w:pos="2160"/>
        </w:tabs>
        <w:ind w:left="2160" w:hanging="180"/>
      </w:pPr>
    </w:lvl>
    <w:lvl w:ilvl="3" w:tplc="2DEC127A">
      <w:start w:val="1"/>
      <w:numFmt w:val="decimal"/>
      <w:lvlText w:val="%4."/>
      <w:lvlJc w:val="left"/>
      <w:pPr>
        <w:tabs>
          <w:tab w:val="num" w:pos="2880"/>
        </w:tabs>
        <w:ind w:left="2880" w:hanging="360"/>
      </w:pPr>
    </w:lvl>
    <w:lvl w:ilvl="4" w:tplc="23865102">
      <w:start w:val="1"/>
      <w:numFmt w:val="lowerLetter"/>
      <w:pStyle w:val="Heading5"/>
      <w:lvlText w:val="%5."/>
      <w:lvlJc w:val="left"/>
      <w:pPr>
        <w:tabs>
          <w:tab w:val="num" w:pos="3600"/>
        </w:tabs>
        <w:ind w:left="3600" w:hanging="360"/>
      </w:pPr>
    </w:lvl>
    <w:lvl w:ilvl="5" w:tplc="0AE66776" w:tentative="1">
      <w:start w:val="1"/>
      <w:numFmt w:val="lowerRoman"/>
      <w:pStyle w:val="Heading6"/>
      <w:lvlText w:val="%6."/>
      <w:lvlJc w:val="right"/>
      <w:pPr>
        <w:tabs>
          <w:tab w:val="num" w:pos="4320"/>
        </w:tabs>
        <w:ind w:left="4320" w:hanging="180"/>
      </w:pPr>
    </w:lvl>
    <w:lvl w:ilvl="6" w:tplc="B0227572" w:tentative="1">
      <w:start w:val="1"/>
      <w:numFmt w:val="decimal"/>
      <w:pStyle w:val="Heading7"/>
      <w:lvlText w:val="%7."/>
      <w:lvlJc w:val="left"/>
      <w:pPr>
        <w:tabs>
          <w:tab w:val="num" w:pos="5040"/>
        </w:tabs>
        <w:ind w:left="5040" w:hanging="360"/>
      </w:pPr>
    </w:lvl>
    <w:lvl w:ilvl="7" w:tplc="FA7E5700" w:tentative="1">
      <w:start w:val="1"/>
      <w:numFmt w:val="lowerLetter"/>
      <w:pStyle w:val="Heading8"/>
      <w:lvlText w:val="%8."/>
      <w:lvlJc w:val="left"/>
      <w:pPr>
        <w:tabs>
          <w:tab w:val="num" w:pos="5760"/>
        </w:tabs>
        <w:ind w:left="5760" w:hanging="360"/>
      </w:pPr>
    </w:lvl>
    <w:lvl w:ilvl="8" w:tplc="181C2EB0" w:tentative="1">
      <w:start w:val="1"/>
      <w:numFmt w:val="lowerRoman"/>
      <w:pStyle w:val="Heading9"/>
      <w:lvlText w:val="%9."/>
      <w:lvlJc w:val="right"/>
      <w:pPr>
        <w:tabs>
          <w:tab w:val="num" w:pos="6480"/>
        </w:tabs>
        <w:ind w:left="6480" w:hanging="180"/>
      </w:pPr>
    </w:lvl>
  </w:abstractNum>
  <w:abstractNum w:abstractNumId="29" w15:restartNumberingAfterBreak="0">
    <w:nsid w:val="76DB0AE3"/>
    <w:multiLevelType w:val="hybridMultilevel"/>
    <w:tmpl w:val="0FF69D26"/>
    <w:lvl w:ilvl="0" w:tplc="F0A47586">
      <w:start w:val="1"/>
      <w:numFmt w:val="bullet"/>
      <w:pStyle w:val="Bulletsecondary"/>
      <w:lvlText w:val=""/>
      <w:lvlJc w:val="left"/>
      <w:pPr>
        <w:tabs>
          <w:tab w:val="num" w:pos="851"/>
        </w:tabs>
        <w:ind w:left="851" w:hanging="352"/>
      </w:pPr>
      <w:rPr>
        <w:rFonts w:ascii="Symbol" w:hAnsi="Symbol" w:hint="default"/>
        <w:b w:val="0"/>
        <w:i w:val="0"/>
        <w:color w:val="333333"/>
        <w:sz w:val="20"/>
        <w:szCs w:val="24"/>
      </w:rPr>
    </w:lvl>
    <w:lvl w:ilvl="1" w:tplc="35A41E2A">
      <w:start w:val="1"/>
      <w:numFmt w:val="bullet"/>
      <w:lvlText w:val="-"/>
      <w:lvlJc w:val="left"/>
      <w:pPr>
        <w:tabs>
          <w:tab w:val="num" w:pos="1440"/>
        </w:tabs>
        <w:ind w:left="1440" w:hanging="360"/>
      </w:pPr>
      <w:rPr>
        <w:rFonts w:ascii="Arial" w:hAnsi="Arial" w:hint="default"/>
        <w:color w:val="808080"/>
        <w:sz w:val="24"/>
        <w:szCs w:val="24"/>
      </w:rPr>
    </w:lvl>
    <w:lvl w:ilvl="2" w:tplc="AF5011E0">
      <w:start w:val="1"/>
      <w:numFmt w:val="decimal"/>
      <w:lvlText w:val="%3."/>
      <w:lvlJc w:val="left"/>
      <w:pPr>
        <w:tabs>
          <w:tab w:val="num" w:pos="2160"/>
        </w:tabs>
        <w:ind w:left="2160" w:hanging="360"/>
      </w:pPr>
    </w:lvl>
    <w:lvl w:ilvl="3" w:tplc="071AEF48">
      <w:start w:val="1"/>
      <w:numFmt w:val="decimal"/>
      <w:lvlText w:val="%4."/>
      <w:lvlJc w:val="left"/>
      <w:pPr>
        <w:tabs>
          <w:tab w:val="num" w:pos="2880"/>
        </w:tabs>
        <w:ind w:left="2880" w:hanging="360"/>
      </w:pPr>
    </w:lvl>
    <w:lvl w:ilvl="4" w:tplc="55F63066">
      <w:start w:val="1"/>
      <w:numFmt w:val="decimal"/>
      <w:lvlText w:val="%5."/>
      <w:lvlJc w:val="left"/>
      <w:pPr>
        <w:tabs>
          <w:tab w:val="num" w:pos="3600"/>
        </w:tabs>
        <w:ind w:left="3600" w:hanging="360"/>
      </w:pPr>
    </w:lvl>
    <w:lvl w:ilvl="5" w:tplc="1E36429E">
      <w:start w:val="1"/>
      <w:numFmt w:val="decimal"/>
      <w:lvlText w:val="%6."/>
      <w:lvlJc w:val="left"/>
      <w:pPr>
        <w:tabs>
          <w:tab w:val="num" w:pos="4320"/>
        </w:tabs>
        <w:ind w:left="4320" w:hanging="360"/>
      </w:pPr>
    </w:lvl>
    <w:lvl w:ilvl="6" w:tplc="28E67E0C">
      <w:start w:val="1"/>
      <w:numFmt w:val="decimal"/>
      <w:lvlText w:val="%7."/>
      <w:lvlJc w:val="left"/>
      <w:pPr>
        <w:tabs>
          <w:tab w:val="num" w:pos="5040"/>
        </w:tabs>
        <w:ind w:left="5040" w:hanging="360"/>
      </w:pPr>
    </w:lvl>
    <w:lvl w:ilvl="7" w:tplc="F1005330">
      <w:start w:val="1"/>
      <w:numFmt w:val="decimal"/>
      <w:lvlText w:val="%8."/>
      <w:lvlJc w:val="left"/>
      <w:pPr>
        <w:tabs>
          <w:tab w:val="num" w:pos="5760"/>
        </w:tabs>
        <w:ind w:left="5760" w:hanging="360"/>
      </w:pPr>
    </w:lvl>
    <w:lvl w:ilvl="8" w:tplc="DF9CFA42">
      <w:start w:val="1"/>
      <w:numFmt w:val="decimal"/>
      <w:lvlText w:val="%9."/>
      <w:lvlJc w:val="left"/>
      <w:pPr>
        <w:tabs>
          <w:tab w:val="num" w:pos="6480"/>
        </w:tabs>
        <w:ind w:left="6480" w:hanging="360"/>
      </w:pPr>
    </w:lvl>
  </w:abstractNum>
  <w:abstractNum w:abstractNumId="30" w15:restartNumberingAfterBreak="0">
    <w:nsid w:val="76FD294C"/>
    <w:multiLevelType w:val="hybridMultilevel"/>
    <w:tmpl w:val="E80CC9D4"/>
    <w:lvl w:ilvl="0" w:tplc="5A947C3A">
      <w:start w:val="1"/>
      <w:numFmt w:val="decimal"/>
      <w:pStyle w:val="AnnexF"/>
      <w:lvlText w:val="%1"/>
      <w:lvlJc w:val="left"/>
      <w:pPr>
        <w:tabs>
          <w:tab w:val="num" w:pos="774"/>
        </w:tabs>
        <w:ind w:left="774" w:hanging="774"/>
      </w:pPr>
      <w:rPr>
        <w:rFonts w:ascii="Arial" w:hAnsi="Arial" w:hint="default"/>
        <w:b/>
        <w:i w:val="0"/>
        <w:color w:val="00000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7D962EDB"/>
    <w:multiLevelType w:val="hybridMultilevel"/>
    <w:tmpl w:val="FA1493E6"/>
    <w:lvl w:ilvl="0" w:tplc="4F1C6B20">
      <w:start w:val="1"/>
      <w:numFmt w:val="decimal"/>
      <w:pStyle w:val="AnnexG"/>
      <w:lvlText w:val="%1"/>
      <w:lvlJc w:val="left"/>
      <w:pPr>
        <w:tabs>
          <w:tab w:val="num" w:pos="774"/>
        </w:tabs>
        <w:ind w:left="774" w:hanging="774"/>
      </w:pPr>
      <w:rPr>
        <w:rFonts w:ascii="Arial" w:hAnsi="Arial" w:hint="default"/>
        <w:b/>
        <w:i w:val="0"/>
        <w:color w:val="000000"/>
      </w:rPr>
    </w:lvl>
    <w:lvl w:ilvl="1" w:tplc="37260AD8" w:tentative="1">
      <w:start w:val="1"/>
      <w:numFmt w:val="lowerLetter"/>
      <w:lvlText w:val="%2."/>
      <w:lvlJc w:val="left"/>
      <w:pPr>
        <w:tabs>
          <w:tab w:val="num" w:pos="1440"/>
        </w:tabs>
        <w:ind w:left="1440" w:hanging="360"/>
      </w:pPr>
    </w:lvl>
    <w:lvl w:ilvl="2" w:tplc="66D6B4E4" w:tentative="1">
      <w:start w:val="1"/>
      <w:numFmt w:val="lowerRoman"/>
      <w:lvlText w:val="%3."/>
      <w:lvlJc w:val="right"/>
      <w:pPr>
        <w:tabs>
          <w:tab w:val="num" w:pos="2160"/>
        </w:tabs>
        <w:ind w:left="2160" w:hanging="180"/>
      </w:pPr>
    </w:lvl>
    <w:lvl w:ilvl="3" w:tplc="0A06D916" w:tentative="1">
      <w:start w:val="1"/>
      <w:numFmt w:val="decimal"/>
      <w:lvlText w:val="%4."/>
      <w:lvlJc w:val="left"/>
      <w:pPr>
        <w:tabs>
          <w:tab w:val="num" w:pos="2880"/>
        </w:tabs>
        <w:ind w:left="2880" w:hanging="360"/>
      </w:pPr>
    </w:lvl>
    <w:lvl w:ilvl="4" w:tplc="D824786E" w:tentative="1">
      <w:start w:val="1"/>
      <w:numFmt w:val="lowerLetter"/>
      <w:lvlText w:val="%5."/>
      <w:lvlJc w:val="left"/>
      <w:pPr>
        <w:tabs>
          <w:tab w:val="num" w:pos="3600"/>
        </w:tabs>
        <w:ind w:left="3600" w:hanging="360"/>
      </w:pPr>
    </w:lvl>
    <w:lvl w:ilvl="5" w:tplc="BAD63422" w:tentative="1">
      <w:start w:val="1"/>
      <w:numFmt w:val="lowerRoman"/>
      <w:lvlText w:val="%6."/>
      <w:lvlJc w:val="right"/>
      <w:pPr>
        <w:tabs>
          <w:tab w:val="num" w:pos="4320"/>
        </w:tabs>
        <w:ind w:left="4320" w:hanging="180"/>
      </w:pPr>
    </w:lvl>
    <w:lvl w:ilvl="6" w:tplc="4C7CA662" w:tentative="1">
      <w:start w:val="1"/>
      <w:numFmt w:val="decimal"/>
      <w:lvlText w:val="%7."/>
      <w:lvlJc w:val="left"/>
      <w:pPr>
        <w:tabs>
          <w:tab w:val="num" w:pos="5040"/>
        </w:tabs>
        <w:ind w:left="5040" w:hanging="360"/>
      </w:pPr>
    </w:lvl>
    <w:lvl w:ilvl="7" w:tplc="A0F08C88" w:tentative="1">
      <w:start w:val="1"/>
      <w:numFmt w:val="lowerLetter"/>
      <w:lvlText w:val="%8."/>
      <w:lvlJc w:val="left"/>
      <w:pPr>
        <w:tabs>
          <w:tab w:val="num" w:pos="5760"/>
        </w:tabs>
        <w:ind w:left="5760" w:hanging="360"/>
      </w:pPr>
    </w:lvl>
    <w:lvl w:ilvl="8" w:tplc="D90C25D4" w:tentative="1">
      <w:start w:val="1"/>
      <w:numFmt w:val="lowerRoman"/>
      <w:lvlText w:val="%9."/>
      <w:lvlJc w:val="right"/>
      <w:pPr>
        <w:tabs>
          <w:tab w:val="num" w:pos="6480"/>
        </w:tabs>
        <w:ind w:left="6480" w:hanging="180"/>
      </w:pPr>
    </w:lvl>
  </w:abstractNum>
  <w:abstractNum w:abstractNumId="32" w15:restartNumberingAfterBreak="0">
    <w:nsid w:val="7F4662E4"/>
    <w:multiLevelType w:val="hybridMultilevel"/>
    <w:tmpl w:val="1EA065D2"/>
    <w:lvl w:ilvl="0" w:tplc="68620ADC">
      <w:start w:val="1"/>
      <w:numFmt w:val="decimal"/>
      <w:pStyle w:val="Number14"/>
      <w:lvlText w:val="14.%1"/>
      <w:lvlJc w:val="left"/>
      <w:pPr>
        <w:tabs>
          <w:tab w:val="num" w:pos="774"/>
        </w:tabs>
        <w:ind w:left="774" w:hanging="774"/>
      </w:pPr>
      <w:rPr>
        <w:rFonts w:ascii="Arial" w:hAnsi="Arial" w:hint="default"/>
        <w:b/>
        <w:i w:val="0"/>
        <w:color w:val="000000"/>
      </w:rPr>
    </w:lvl>
    <w:lvl w:ilvl="1" w:tplc="0AF26A34" w:tentative="1">
      <w:start w:val="1"/>
      <w:numFmt w:val="lowerLetter"/>
      <w:lvlText w:val="%2."/>
      <w:lvlJc w:val="left"/>
      <w:pPr>
        <w:tabs>
          <w:tab w:val="num" w:pos="1440"/>
        </w:tabs>
        <w:ind w:left="1440" w:hanging="360"/>
      </w:pPr>
    </w:lvl>
    <w:lvl w:ilvl="2" w:tplc="AB0ECA46" w:tentative="1">
      <w:start w:val="1"/>
      <w:numFmt w:val="lowerRoman"/>
      <w:lvlText w:val="%3."/>
      <w:lvlJc w:val="right"/>
      <w:pPr>
        <w:tabs>
          <w:tab w:val="num" w:pos="2160"/>
        </w:tabs>
        <w:ind w:left="2160" w:hanging="180"/>
      </w:pPr>
    </w:lvl>
    <w:lvl w:ilvl="3" w:tplc="898C2B5E" w:tentative="1">
      <w:start w:val="1"/>
      <w:numFmt w:val="decimal"/>
      <w:lvlText w:val="%4."/>
      <w:lvlJc w:val="left"/>
      <w:pPr>
        <w:tabs>
          <w:tab w:val="num" w:pos="2880"/>
        </w:tabs>
        <w:ind w:left="2880" w:hanging="360"/>
      </w:pPr>
    </w:lvl>
    <w:lvl w:ilvl="4" w:tplc="386CF4C8" w:tentative="1">
      <w:start w:val="1"/>
      <w:numFmt w:val="lowerLetter"/>
      <w:lvlText w:val="%5."/>
      <w:lvlJc w:val="left"/>
      <w:pPr>
        <w:tabs>
          <w:tab w:val="num" w:pos="3600"/>
        </w:tabs>
        <w:ind w:left="3600" w:hanging="360"/>
      </w:pPr>
    </w:lvl>
    <w:lvl w:ilvl="5" w:tplc="3B00C22E" w:tentative="1">
      <w:start w:val="1"/>
      <w:numFmt w:val="lowerRoman"/>
      <w:lvlText w:val="%6."/>
      <w:lvlJc w:val="right"/>
      <w:pPr>
        <w:tabs>
          <w:tab w:val="num" w:pos="4320"/>
        </w:tabs>
        <w:ind w:left="4320" w:hanging="180"/>
      </w:pPr>
    </w:lvl>
    <w:lvl w:ilvl="6" w:tplc="EB665208" w:tentative="1">
      <w:start w:val="1"/>
      <w:numFmt w:val="decimal"/>
      <w:lvlText w:val="%7."/>
      <w:lvlJc w:val="left"/>
      <w:pPr>
        <w:tabs>
          <w:tab w:val="num" w:pos="5040"/>
        </w:tabs>
        <w:ind w:left="5040" w:hanging="360"/>
      </w:pPr>
    </w:lvl>
    <w:lvl w:ilvl="7" w:tplc="539E3DAC" w:tentative="1">
      <w:start w:val="1"/>
      <w:numFmt w:val="lowerLetter"/>
      <w:lvlText w:val="%8."/>
      <w:lvlJc w:val="left"/>
      <w:pPr>
        <w:tabs>
          <w:tab w:val="num" w:pos="5760"/>
        </w:tabs>
        <w:ind w:left="5760" w:hanging="360"/>
      </w:pPr>
    </w:lvl>
    <w:lvl w:ilvl="8" w:tplc="44D4D6AC" w:tentative="1">
      <w:start w:val="1"/>
      <w:numFmt w:val="lowerRoman"/>
      <w:lvlText w:val="%9."/>
      <w:lvlJc w:val="right"/>
      <w:pPr>
        <w:tabs>
          <w:tab w:val="num" w:pos="6480"/>
        </w:tabs>
        <w:ind w:left="6480" w:hanging="180"/>
      </w:pPr>
    </w:lvl>
  </w:abstractNum>
  <w:num w:numId="1" w16cid:durableId="1034693786">
    <w:abstractNumId w:val="0"/>
  </w:num>
  <w:num w:numId="2" w16cid:durableId="570962472">
    <w:abstractNumId w:val="29"/>
  </w:num>
  <w:num w:numId="3" w16cid:durableId="1865749710">
    <w:abstractNumId w:val="5"/>
  </w:num>
  <w:num w:numId="4" w16cid:durableId="529495359">
    <w:abstractNumId w:val="7"/>
  </w:num>
  <w:num w:numId="5" w16cid:durableId="865753784">
    <w:abstractNumId w:val="25"/>
  </w:num>
  <w:num w:numId="6" w16cid:durableId="623001112">
    <w:abstractNumId w:val="19"/>
  </w:num>
  <w:num w:numId="7" w16cid:durableId="2130588619">
    <w:abstractNumId w:val="18"/>
  </w:num>
  <w:num w:numId="8" w16cid:durableId="218983024">
    <w:abstractNumId w:val="13"/>
  </w:num>
  <w:num w:numId="9" w16cid:durableId="1759519216">
    <w:abstractNumId w:val="28"/>
  </w:num>
  <w:num w:numId="10" w16cid:durableId="1759714949">
    <w:abstractNumId w:val="24"/>
  </w:num>
  <w:num w:numId="11" w16cid:durableId="620497853">
    <w:abstractNumId w:val="30"/>
  </w:num>
  <w:num w:numId="12" w16cid:durableId="1921870206">
    <w:abstractNumId w:val="31"/>
  </w:num>
  <w:num w:numId="13" w16cid:durableId="1867669989">
    <w:abstractNumId w:val="9"/>
  </w:num>
  <w:num w:numId="14" w16cid:durableId="1444572271">
    <w:abstractNumId w:val="20"/>
  </w:num>
  <w:num w:numId="15" w16cid:durableId="1368872404">
    <w:abstractNumId w:val="15"/>
  </w:num>
  <w:num w:numId="16" w16cid:durableId="2039119506">
    <w:abstractNumId w:val="14"/>
  </w:num>
  <w:num w:numId="17" w16cid:durableId="1903061021">
    <w:abstractNumId w:val="22"/>
  </w:num>
  <w:num w:numId="18" w16cid:durableId="2007514592">
    <w:abstractNumId w:val="4"/>
  </w:num>
  <w:num w:numId="19" w16cid:durableId="747115251">
    <w:abstractNumId w:val="32"/>
  </w:num>
  <w:num w:numId="20" w16cid:durableId="1667979460">
    <w:abstractNumId w:val="11"/>
  </w:num>
  <w:num w:numId="21" w16cid:durableId="426583905">
    <w:abstractNumId w:val="26"/>
  </w:num>
  <w:num w:numId="22" w16cid:durableId="1043479376">
    <w:abstractNumId w:val="2"/>
  </w:num>
  <w:num w:numId="23" w16cid:durableId="1098212469">
    <w:abstractNumId w:val="23"/>
  </w:num>
  <w:num w:numId="24" w16cid:durableId="967467510">
    <w:abstractNumId w:val="16"/>
  </w:num>
  <w:num w:numId="25" w16cid:durableId="477571071">
    <w:abstractNumId w:val="6"/>
  </w:num>
  <w:num w:numId="26" w16cid:durableId="363947316">
    <w:abstractNumId w:val="3"/>
  </w:num>
  <w:num w:numId="27" w16cid:durableId="967203124">
    <w:abstractNumId w:val="27"/>
  </w:num>
  <w:num w:numId="28" w16cid:durableId="2039814938">
    <w:abstractNumId w:val="1"/>
  </w:num>
  <w:num w:numId="29" w16cid:durableId="1643803988">
    <w:abstractNumId w:val="21"/>
  </w:num>
  <w:num w:numId="30" w16cid:durableId="1252811472">
    <w:abstractNumId w:val="10"/>
  </w:num>
  <w:num w:numId="31" w16cid:durableId="1031959966">
    <w:abstractNumId w:val="8"/>
  </w:num>
  <w:num w:numId="32" w16cid:durableId="106514148">
    <w:abstractNumId w:val="12"/>
  </w:num>
  <w:num w:numId="33" w16cid:durableId="10211921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F98"/>
    <w:rsid w:val="00005BE0"/>
    <w:rsid w:val="00016B8F"/>
    <w:rsid w:val="0002183E"/>
    <w:rsid w:val="00025DC3"/>
    <w:rsid w:val="00041558"/>
    <w:rsid w:val="000569B4"/>
    <w:rsid w:val="0006007D"/>
    <w:rsid w:val="00080E82"/>
    <w:rsid w:val="0008331E"/>
    <w:rsid w:val="0008402A"/>
    <w:rsid w:val="000A513C"/>
    <w:rsid w:val="000B2DE7"/>
    <w:rsid w:val="000C7321"/>
    <w:rsid w:val="000E568E"/>
    <w:rsid w:val="000E70D5"/>
    <w:rsid w:val="001132F4"/>
    <w:rsid w:val="0014229E"/>
    <w:rsid w:val="0014734F"/>
    <w:rsid w:val="00156890"/>
    <w:rsid w:val="0015710D"/>
    <w:rsid w:val="00163A32"/>
    <w:rsid w:val="00165D06"/>
    <w:rsid w:val="00175E21"/>
    <w:rsid w:val="00192B41"/>
    <w:rsid w:val="00195F96"/>
    <w:rsid w:val="001B7B09"/>
    <w:rsid w:val="001D6BAF"/>
    <w:rsid w:val="001E4880"/>
    <w:rsid w:val="001E6719"/>
    <w:rsid w:val="001E7F50"/>
    <w:rsid w:val="001F4644"/>
    <w:rsid w:val="0020122A"/>
    <w:rsid w:val="00225368"/>
    <w:rsid w:val="00225CB4"/>
    <w:rsid w:val="00227FF0"/>
    <w:rsid w:val="00291EB6"/>
    <w:rsid w:val="002C3F32"/>
    <w:rsid w:val="002D2F57"/>
    <w:rsid w:val="002D48C5"/>
    <w:rsid w:val="002D5A0B"/>
    <w:rsid w:val="002F050F"/>
    <w:rsid w:val="00322028"/>
    <w:rsid w:val="0033025A"/>
    <w:rsid w:val="0033112B"/>
    <w:rsid w:val="0033523E"/>
    <w:rsid w:val="00345D2A"/>
    <w:rsid w:val="003C6890"/>
    <w:rsid w:val="003F099E"/>
    <w:rsid w:val="003F235E"/>
    <w:rsid w:val="00401FD7"/>
    <w:rsid w:val="004023E0"/>
    <w:rsid w:val="00403DD8"/>
    <w:rsid w:val="00411F7C"/>
    <w:rsid w:val="00426DF2"/>
    <w:rsid w:val="00442453"/>
    <w:rsid w:val="00442515"/>
    <w:rsid w:val="0045686C"/>
    <w:rsid w:val="004918C4"/>
    <w:rsid w:val="00497703"/>
    <w:rsid w:val="004A0374"/>
    <w:rsid w:val="004A45B5"/>
    <w:rsid w:val="004D0129"/>
    <w:rsid w:val="004D0CDD"/>
    <w:rsid w:val="004D7A3D"/>
    <w:rsid w:val="004E5F98"/>
    <w:rsid w:val="004F55FD"/>
    <w:rsid w:val="00512972"/>
    <w:rsid w:val="00515795"/>
    <w:rsid w:val="0057647A"/>
    <w:rsid w:val="00585EEA"/>
    <w:rsid w:val="00593EB6"/>
    <w:rsid w:val="005A64D5"/>
    <w:rsid w:val="005B3DEC"/>
    <w:rsid w:val="005C341E"/>
    <w:rsid w:val="005D672E"/>
    <w:rsid w:val="00601994"/>
    <w:rsid w:val="00660449"/>
    <w:rsid w:val="0066390F"/>
    <w:rsid w:val="00672F8A"/>
    <w:rsid w:val="0069332A"/>
    <w:rsid w:val="006A31E6"/>
    <w:rsid w:val="006B7A1D"/>
    <w:rsid w:val="006C362B"/>
    <w:rsid w:val="006D45E4"/>
    <w:rsid w:val="006E2D42"/>
    <w:rsid w:val="006E4D5F"/>
    <w:rsid w:val="00703676"/>
    <w:rsid w:val="00707304"/>
    <w:rsid w:val="00732269"/>
    <w:rsid w:val="00735365"/>
    <w:rsid w:val="00762555"/>
    <w:rsid w:val="0077110E"/>
    <w:rsid w:val="00785ABD"/>
    <w:rsid w:val="00796BD3"/>
    <w:rsid w:val="007A2DD4"/>
    <w:rsid w:val="007C0CD7"/>
    <w:rsid w:val="007C53BA"/>
    <w:rsid w:val="007D30B5"/>
    <w:rsid w:val="007D38B5"/>
    <w:rsid w:val="007E5FDA"/>
    <w:rsid w:val="007E7EA0"/>
    <w:rsid w:val="007F2A6E"/>
    <w:rsid w:val="00807255"/>
    <w:rsid w:val="0081023E"/>
    <w:rsid w:val="008125F2"/>
    <w:rsid w:val="008173AA"/>
    <w:rsid w:val="00840A14"/>
    <w:rsid w:val="00845B16"/>
    <w:rsid w:val="00853517"/>
    <w:rsid w:val="00855C2D"/>
    <w:rsid w:val="008A2FDE"/>
    <w:rsid w:val="008B3F38"/>
    <w:rsid w:val="008B62B4"/>
    <w:rsid w:val="008D2D7B"/>
    <w:rsid w:val="008E0737"/>
    <w:rsid w:val="008E7718"/>
    <w:rsid w:val="008F27F4"/>
    <w:rsid w:val="008F7C2C"/>
    <w:rsid w:val="00934DCB"/>
    <w:rsid w:val="00940E96"/>
    <w:rsid w:val="00950A82"/>
    <w:rsid w:val="009700E6"/>
    <w:rsid w:val="0099071C"/>
    <w:rsid w:val="009B0BAE"/>
    <w:rsid w:val="009C1C89"/>
    <w:rsid w:val="009E2548"/>
    <w:rsid w:val="009F3448"/>
    <w:rsid w:val="00A01CF9"/>
    <w:rsid w:val="00A20B63"/>
    <w:rsid w:val="00A71773"/>
    <w:rsid w:val="00AE2C85"/>
    <w:rsid w:val="00AE76FD"/>
    <w:rsid w:val="00B0107F"/>
    <w:rsid w:val="00B12A37"/>
    <w:rsid w:val="00B41837"/>
    <w:rsid w:val="00B63EF2"/>
    <w:rsid w:val="00B85C90"/>
    <w:rsid w:val="00BA3834"/>
    <w:rsid w:val="00BA7D89"/>
    <w:rsid w:val="00BB0C17"/>
    <w:rsid w:val="00BC0D39"/>
    <w:rsid w:val="00BC5697"/>
    <w:rsid w:val="00BC7BC0"/>
    <w:rsid w:val="00BD57B7"/>
    <w:rsid w:val="00BE63E2"/>
    <w:rsid w:val="00C462C5"/>
    <w:rsid w:val="00C53AF1"/>
    <w:rsid w:val="00CD03A9"/>
    <w:rsid w:val="00CD2009"/>
    <w:rsid w:val="00CE3F85"/>
    <w:rsid w:val="00CF629C"/>
    <w:rsid w:val="00D21F9E"/>
    <w:rsid w:val="00D30732"/>
    <w:rsid w:val="00D30E05"/>
    <w:rsid w:val="00D631AA"/>
    <w:rsid w:val="00D92EEA"/>
    <w:rsid w:val="00DA5D4E"/>
    <w:rsid w:val="00DA770A"/>
    <w:rsid w:val="00DB788B"/>
    <w:rsid w:val="00E006EF"/>
    <w:rsid w:val="00E05752"/>
    <w:rsid w:val="00E176BA"/>
    <w:rsid w:val="00E423EC"/>
    <w:rsid w:val="00E55121"/>
    <w:rsid w:val="00E70268"/>
    <w:rsid w:val="00E84E89"/>
    <w:rsid w:val="00EA37BB"/>
    <w:rsid w:val="00EB4FCB"/>
    <w:rsid w:val="00EC6BC5"/>
    <w:rsid w:val="00EC6C7B"/>
    <w:rsid w:val="00EE2030"/>
    <w:rsid w:val="00EF0741"/>
    <w:rsid w:val="00F348D0"/>
    <w:rsid w:val="00F35898"/>
    <w:rsid w:val="00F5225B"/>
    <w:rsid w:val="00F63F65"/>
    <w:rsid w:val="00FB03FC"/>
    <w:rsid w:val="00FB2F11"/>
    <w:rsid w:val="00FB3A80"/>
    <w:rsid w:val="00FD50C2"/>
    <w:rsid w:val="00FE570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E40251"/>
  <w15:docId w15:val="{935FBAC2-D756-48E1-ADBC-CD33240EA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10" w:qFormat="1"/>
    <w:lsdException w:name="heading 2" w:qFormat="1"/>
    <w:lsdException w:name="heading 3" w:uiPriority="12"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5F98"/>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2"/>
      <w:lang w:val="en-GB" w:eastAsia="en-US"/>
    </w:rPr>
  </w:style>
  <w:style w:type="paragraph" w:styleId="Heading1">
    <w:name w:val="heading 1"/>
    <w:basedOn w:val="Normal"/>
    <w:next w:val="Normal"/>
    <w:link w:val="Heading1Char"/>
    <w:uiPriority w:val="10"/>
    <w:qFormat/>
    <w:rsid w:val="001E4880"/>
    <w:pPr>
      <w:keepNext/>
      <w:keepLines/>
      <w:tabs>
        <w:tab w:val="clear" w:pos="794"/>
        <w:tab w:val="num" w:pos="774"/>
      </w:tabs>
      <w:spacing w:before="360"/>
      <w:ind w:left="774" w:hanging="774"/>
      <w:outlineLvl w:val="0"/>
    </w:pPr>
    <w:rPr>
      <w:b/>
      <w:sz w:val="26"/>
    </w:rPr>
  </w:style>
  <w:style w:type="paragraph" w:styleId="Heading2">
    <w:name w:val="heading 2"/>
    <w:basedOn w:val="Heading1"/>
    <w:next w:val="Normal"/>
    <w:link w:val="Heading2Char"/>
    <w:qFormat/>
    <w:rsid w:val="001E4880"/>
    <w:pPr>
      <w:numPr>
        <w:ilvl w:val="1"/>
      </w:numPr>
      <w:tabs>
        <w:tab w:val="num" w:pos="774"/>
      </w:tabs>
      <w:spacing w:before="240"/>
      <w:ind w:left="774" w:hanging="774"/>
      <w:outlineLvl w:val="1"/>
    </w:pPr>
    <w:rPr>
      <w:sz w:val="22"/>
    </w:rPr>
  </w:style>
  <w:style w:type="paragraph" w:styleId="Heading3">
    <w:name w:val="heading 3"/>
    <w:basedOn w:val="Heading1"/>
    <w:next w:val="Normal"/>
    <w:uiPriority w:val="12"/>
    <w:qFormat/>
    <w:rsid w:val="00426DF2"/>
    <w:pPr>
      <w:tabs>
        <w:tab w:val="clear" w:pos="774"/>
      </w:tabs>
      <w:spacing w:before="200"/>
      <w:ind w:left="0" w:firstLine="0"/>
      <w:outlineLvl w:val="2"/>
    </w:pPr>
    <w:rPr>
      <w:sz w:val="22"/>
    </w:rPr>
  </w:style>
  <w:style w:type="paragraph" w:styleId="Heading4">
    <w:name w:val="heading 4"/>
    <w:basedOn w:val="Heading3"/>
    <w:next w:val="Normal"/>
    <w:qFormat/>
    <w:rsid w:val="00426DF2"/>
    <w:pPr>
      <w:tabs>
        <w:tab w:val="clear" w:pos="1191"/>
        <w:tab w:val="clear" w:pos="1588"/>
        <w:tab w:val="clear" w:pos="1985"/>
      </w:tabs>
      <w:outlineLvl w:val="3"/>
    </w:pPr>
    <w:rPr>
      <w:b w:val="0"/>
      <w:sz w:val="26"/>
    </w:rPr>
  </w:style>
  <w:style w:type="paragraph" w:styleId="Heading5">
    <w:name w:val="heading 5"/>
    <w:basedOn w:val="Heading4"/>
    <w:next w:val="Normal"/>
    <w:qFormat/>
    <w:rsid w:val="00227FF0"/>
    <w:pPr>
      <w:numPr>
        <w:ilvl w:val="4"/>
        <w:numId w:val="9"/>
      </w:numPr>
      <w:outlineLvl w:val="4"/>
    </w:pPr>
  </w:style>
  <w:style w:type="paragraph" w:styleId="Heading6">
    <w:name w:val="heading 6"/>
    <w:basedOn w:val="Heading4"/>
    <w:next w:val="Normal"/>
    <w:qFormat/>
    <w:rsid w:val="00227FF0"/>
    <w:pPr>
      <w:numPr>
        <w:ilvl w:val="5"/>
        <w:numId w:val="9"/>
      </w:numPr>
      <w:outlineLvl w:val="5"/>
    </w:pPr>
  </w:style>
  <w:style w:type="paragraph" w:styleId="Heading7">
    <w:name w:val="heading 7"/>
    <w:basedOn w:val="Heading6"/>
    <w:next w:val="Normal"/>
    <w:qFormat/>
    <w:rsid w:val="00227FF0"/>
    <w:pPr>
      <w:numPr>
        <w:ilvl w:val="6"/>
      </w:numPr>
      <w:outlineLvl w:val="6"/>
    </w:pPr>
  </w:style>
  <w:style w:type="paragraph" w:styleId="Heading8">
    <w:name w:val="heading 8"/>
    <w:basedOn w:val="Heading6"/>
    <w:next w:val="Normal"/>
    <w:qFormat/>
    <w:rsid w:val="00227FF0"/>
    <w:pPr>
      <w:numPr>
        <w:ilvl w:val="7"/>
      </w:numPr>
      <w:outlineLvl w:val="7"/>
    </w:pPr>
  </w:style>
  <w:style w:type="paragraph" w:styleId="Heading9">
    <w:name w:val="heading 9"/>
    <w:basedOn w:val="Heading6"/>
    <w:next w:val="Normal"/>
    <w:qFormat/>
    <w:rsid w:val="00227FF0"/>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227FF0"/>
  </w:style>
  <w:style w:type="paragraph" w:styleId="TOC4">
    <w:name w:val="toc 4"/>
    <w:basedOn w:val="TOC3"/>
    <w:rsid w:val="00227FF0"/>
    <w:pPr>
      <w:spacing w:before="80"/>
    </w:pPr>
  </w:style>
  <w:style w:type="paragraph" w:styleId="TOC3">
    <w:name w:val="toc 3"/>
    <w:basedOn w:val="TOC2"/>
    <w:rsid w:val="00227FF0"/>
  </w:style>
  <w:style w:type="paragraph" w:styleId="TOC2">
    <w:name w:val="toc 2"/>
    <w:basedOn w:val="TOC1"/>
    <w:uiPriority w:val="39"/>
    <w:rsid w:val="00227FF0"/>
    <w:pPr>
      <w:spacing w:before="160"/>
    </w:pPr>
  </w:style>
  <w:style w:type="paragraph" w:styleId="TOC1">
    <w:name w:val="toc 1"/>
    <w:basedOn w:val="Normal"/>
    <w:uiPriority w:val="39"/>
    <w:rsid w:val="00227FF0"/>
    <w:pPr>
      <w:keepLines/>
      <w:tabs>
        <w:tab w:val="clear" w:pos="794"/>
        <w:tab w:val="clear" w:pos="1191"/>
        <w:tab w:val="clear" w:pos="1588"/>
        <w:tab w:val="clear" w:pos="1985"/>
        <w:tab w:val="left" w:leader="dot" w:pos="7938"/>
        <w:tab w:val="center" w:pos="8789"/>
      </w:tabs>
      <w:spacing w:before="240"/>
      <w:ind w:left="567" w:hanging="567"/>
    </w:pPr>
  </w:style>
  <w:style w:type="paragraph" w:styleId="TOC7">
    <w:name w:val="toc 7"/>
    <w:basedOn w:val="TOC4"/>
    <w:rsid w:val="00227FF0"/>
  </w:style>
  <w:style w:type="paragraph" w:styleId="TOC6">
    <w:name w:val="toc 6"/>
    <w:basedOn w:val="TOC4"/>
    <w:rsid w:val="00227FF0"/>
  </w:style>
  <w:style w:type="paragraph" w:styleId="TOC5">
    <w:name w:val="toc 5"/>
    <w:basedOn w:val="TOC4"/>
    <w:rsid w:val="00227FF0"/>
  </w:style>
  <w:style w:type="paragraph" w:styleId="Index7">
    <w:name w:val="index 7"/>
    <w:basedOn w:val="Normal"/>
    <w:next w:val="Normal"/>
    <w:rsid w:val="00227FF0"/>
    <w:pPr>
      <w:ind w:left="1698"/>
    </w:pPr>
  </w:style>
  <w:style w:type="paragraph" w:styleId="Index6">
    <w:name w:val="index 6"/>
    <w:basedOn w:val="Normal"/>
    <w:next w:val="Normal"/>
    <w:rsid w:val="00227FF0"/>
    <w:pPr>
      <w:ind w:left="1415"/>
    </w:pPr>
  </w:style>
  <w:style w:type="paragraph" w:styleId="Index5">
    <w:name w:val="index 5"/>
    <w:basedOn w:val="Normal"/>
    <w:next w:val="Normal"/>
    <w:rsid w:val="00227FF0"/>
    <w:pPr>
      <w:ind w:left="1132"/>
    </w:pPr>
  </w:style>
  <w:style w:type="paragraph" w:styleId="Index4">
    <w:name w:val="index 4"/>
    <w:basedOn w:val="Normal"/>
    <w:next w:val="Normal"/>
    <w:rsid w:val="00227FF0"/>
    <w:pPr>
      <w:ind w:left="849"/>
    </w:pPr>
  </w:style>
  <w:style w:type="paragraph" w:styleId="Index3">
    <w:name w:val="index 3"/>
    <w:basedOn w:val="Normal"/>
    <w:next w:val="Normal"/>
    <w:rsid w:val="00227FF0"/>
    <w:pPr>
      <w:ind w:left="566"/>
    </w:pPr>
  </w:style>
  <w:style w:type="paragraph" w:styleId="Index2">
    <w:name w:val="index 2"/>
    <w:basedOn w:val="Normal"/>
    <w:next w:val="Normal"/>
    <w:rsid w:val="00227FF0"/>
    <w:pPr>
      <w:ind w:left="283"/>
    </w:pPr>
  </w:style>
  <w:style w:type="paragraph" w:styleId="Index1">
    <w:name w:val="index 1"/>
    <w:basedOn w:val="Normal"/>
    <w:next w:val="Normal"/>
    <w:rsid w:val="00227FF0"/>
  </w:style>
  <w:style w:type="character" w:styleId="LineNumber">
    <w:name w:val="line number"/>
    <w:basedOn w:val="DefaultParagraphFont"/>
    <w:rsid w:val="00227FF0"/>
  </w:style>
  <w:style w:type="paragraph" w:styleId="IndexHeading">
    <w:name w:val="index heading"/>
    <w:basedOn w:val="Normal"/>
    <w:next w:val="Index1"/>
    <w:rsid w:val="00227FF0"/>
  </w:style>
  <w:style w:type="paragraph" w:styleId="Footer">
    <w:name w:val="footer"/>
    <w:basedOn w:val="Normal"/>
    <w:rsid w:val="00227FF0"/>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rsid w:val="00227FF0"/>
    <w:pPr>
      <w:tabs>
        <w:tab w:val="clear" w:pos="794"/>
        <w:tab w:val="clear" w:pos="1191"/>
        <w:tab w:val="clear" w:pos="1588"/>
        <w:tab w:val="clear" w:pos="1985"/>
      </w:tabs>
      <w:spacing w:before="0"/>
      <w:jc w:val="center"/>
    </w:pPr>
    <w:rPr>
      <w:sz w:val="18"/>
      <w:lang w:val="fr-FR"/>
    </w:rPr>
  </w:style>
  <w:style w:type="character" w:styleId="FootnoteReference">
    <w:name w:val="footnote reference"/>
    <w:aliases w:val="FR"/>
    <w:basedOn w:val="DefaultParagraphFont"/>
    <w:uiPriority w:val="99"/>
    <w:rsid w:val="00227FF0"/>
    <w:rPr>
      <w:position w:val="6"/>
      <w:sz w:val="16"/>
    </w:rPr>
  </w:style>
  <w:style w:type="paragraph" w:styleId="FootnoteText">
    <w:name w:val="footnote text"/>
    <w:basedOn w:val="Normal"/>
    <w:uiPriority w:val="99"/>
    <w:rsid w:val="0015710D"/>
    <w:pPr>
      <w:keepLines/>
      <w:tabs>
        <w:tab w:val="left" w:pos="255"/>
      </w:tabs>
      <w:spacing w:before="60"/>
      <w:ind w:left="284" w:hanging="284"/>
    </w:pPr>
    <w:rPr>
      <w:sz w:val="20"/>
    </w:rPr>
  </w:style>
  <w:style w:type="paragraph" w:styleId="NormalIndent">
    <w:name w:val="Normal Indent"/>
    <w:basedOn w:val="Normal"/>
    <w:rsid w:val="00227FF0"/>
    <w:pPr>
      <w:ind w:left="794"/>
    </w:pPr>
  </w:style>
  <w:style w:type="paragraph" w:customStyle="1" w:styleId="enumlev1">
    <w:name w:val="enumlev1"/>
    <w:basedOn w:val="Normal"/>
    <w:qFormat/>
    <w:rsid w:val="00227FF0"/>
    <w:pPr>
      <w:tabs>
        <w:tab w:val="left" w:pos="2608"/>
        <w:tab w:val="left" w:pos="3345"/>
      </w:tabs>
      <w:spacing w:before="80"/>
      <w:ind w:left="794" w:hanging="794"/>
    </w:pPr>
  </w:style>
  <w:style w:type="paragraph" w:customStyle="1" w:styleId="enumlev2">
    <w:name w:val="enumlev2"/>
    <w:basedOn w:val="enumlev1"/>
    <w:qFormat/>
    <w:rsid w:val="00227FF0"/>
    <w:pPr>
      <w:ind w:left="1191" w:hanging="397"/>
    </w:pPr>
  </w:style>
  <w:style w:type="paragraph" w:customStyle="1" w:styleId="enumlev3">
    <w:name w:val="enumlev3"/>
    <w:basedOn w:val="enumlev2"/>
    <w:qFormat/>
    <w:rsid w:val="00227FF0"/>
    <w:pPr>
      <w:ind w:left="1588"/>
    </w:pPr>
  </w:style>
  <w:style w:type="paragraph" w:customStyle="1" w:styleId="Normalaftertitle">
    <w:name w:val="Normal after title"/>
    <w:basedOn w:val="Normal"/>
    <w:next w:val="Normal"/>
    <w:rsid w:val="00227FF0"/>
    <w:pPr>
      <w:spacing w:before="320"/>
    </w:pPr>
  </w:style>
  <w:style w:type="paragraph" w:customStyle="1" w:styleId="Equation">
    <w:name w:val="Equation"/>
    <w:basedOn w:val="Normal"/>
    <w:rsid w:val="00227FF0"/>
    <w:pPr>
      <w:tabs>
        <w:tab w:val="clear" w:pos="1191"/>
        <w:tab w:val="clear" w:pos="1588"/>
        <w:tab w:val="clear" w:pos="1985"/>
        <w:tab w:val="center" w:pos="4820"/>
        <w:tab w:val="right" w:pos="9639"/>
      </w:tabs>
    </w:pPr>
  </w:style>
  <w:style w:type="paragraph" w:customStyle="1" w:styleId="Head">
    <w:name w:val="Head"/>
    <w:basedOn w:val="Normal"/>
    <w:rsid w:val="00227FF0"/>
    <w:pPr>
      <w:tabs>
        <w:tab w:val="left" w:pos="6663"/>
      </w:tabs>
      <w:overflowPunct/>
      <w:autoSpaceDE/>
      <w:autoSpaceDN/>
      <w:adjustRightInd/>
      <w:spacing w:before="0"/>
      <w:textAlignment w:val="auto"/>
    </w:pPr>
  </w:style>
  <w:style w:type="paragraph" w:customStyle="1" w:styleId="toc0">
    <w:name w:val="toc 0"/>
    <w:basedOn w:val="Normal"/>
    <w:next w:val="TOC1"/>
    <w:rsid w:val="00227FF0"/>
    <w:pPr>
      <w:tabs>
        <w:tab w:val="clear" w:pos="1191"/>
        <w:tab w:val="clear" w:pos="1588"/>
        <w:tab w:val="clear" w:pos="1985"/>
        <w:tab w:val="center" w:pos="8789"/>
      </w:tabs>
    </w:pPr>
    <w:rPr>
      <w:b/>
    </w:rPr>
  </w:style>
  <w:style w:type="paragraph" w:styleId="List">
    <w:name w:val="List"/>
    <w:basedOn w:val="Normal"/>
    <w:rsid w:val="00227FF0"/>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227FF0"/>
    <w:pPr>
      <w:tabs>
        <w:tab w:val="clear" w:pos="794"/>
        <w:tab w:val="clear" w:pos="1191"/>
        <w:tab w:val="clear" w:pos="1588"/>
        <w:tab w:val="clear" w:pos="1985"/>
        <w:tab w:val="left" w:pos="1276"/>
        <w:tab w:val="left" w:pos="1701"/>
      </w:tabs>
      <w:spacing w:before="199"/>
      <w:ind w:left="1701" w:hanging="1701"/>
    </w:pPr>
    <w:rPr>
      <w:caps/>
    </w:rPr>
  </w:style>
  <w:style w:type="paragraph" w:customStyle="1" w:styleId="docnoted">
    <w:name w:val="docnoted"/>
    <w:basedOn w:val="Normal"/>
    <w:next w:val="Head"/>
    <w:rsid w:val="00227FF0"/>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Normal"/>
    <w:rsid w:val="00227FF0"/>
    <w:pPr>
      <w:spacing w:before="480"/>
      <w:jc w:val="center"/>
    </w:pPr>
    <w:rPr>
      <w:b/>
      <w:sz w:val="26"/>
    </w:rPr>
  </w:style>
  <w:style w:type="paragraph" w:customStyle="1" w:styleId="meeting">
    <w:name w:val="meeting"/>
    <w:basedOn w:val="Head"/>
    <w:next w:val="Head"/>
    <w:rsid w:val="00227FF0"/>
    <w:pPr>
      <w:tabs>
        <w:tab w:val="left" w:pos="7371"/>
      </w:tabs>
      <w:spacing w:after="567"/>
    </w:pPr>
  </w:style>
  <w:style w:type="paragraph" w:customStyle="1" w:styleId="Subject">
    <w:name w:val="Subject"/>
    <w:basedOn w:val="Normal"/>
    <w:next w:val="Source"/>
    <w:rsid w:val="00227FF0"/>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227FF0"/>
  </w:style>
  <w:style w:type="paragraph" w:customStyle="1" w:styleId="Data">
    <w:name w:val="Data"/>
    <w:basedOn w:val="Subject"/>
    <w:next w:val="Subject"/>
    <w:rsid w:val="00227FF0"/>
  </w:style>
  <w:style w:type="paragraph" w:customStyle="1" w:styleId="Reasons">
    <w:name w:val="Reasons"/>
    <w:basedOn w:val="Normal"/>
    <w:qFormat/>
    <w:rsid w:val="00227FF0"/>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7D30B5"/>
    <w:rPr>
      <w:color w:val="0070C0"/>
      <w:u w:val="single"/>
    </w:rPr>
  </w:style>
  <w:style w:type="paragraph" w:customStyle="1" w:styleId="FirstFooter">
    <w:name w:val="FirstFooter"/>
    <w:basedOn w:val="Footer"/>
    <w:rsid w:val="00227FF0"/>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227FF0"/>
    <w:pPr>
      <w:tabs>
        <w:tab w:val="clear" w:pos="794"/>
        <w:tab w:val="clear" w:pos="1191"/>
        <w:tab w:val="clear" w:pos="1588"/>
        <w:tab w:val="clear" w:pos="1985"/>
      </w:tabs>
      <w:spacing w:before="80"/>
    </w:pPr>
  </w:style>
  <w:style w:type="paragraph" w:styleId="TOC9">
    <w:name w:val="toc 9"/>
    <w:basedOn w:val="TOC4"/>
    <w:rsid w:val="00227FF0"/>
  </w:style>
  <w:style w:type="paragraph" w:customStyle="1" w:styleId="Headingb">
    <w:name w:val="Heading_b"/>
    <w:basedOn w:val="Heading3"/>
    <w:next w:val="Normal"/>
    <w:rsid w:val="00762555"/>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style>
  <w:style w:type="character" w:styleId="FollowedHyperlink">
    <w:name w:val="FollowedHyperlink"/>
    <w:basedOn w:val="DefaultParagraphFont"/>
    <w:rsid w:val="00227FF0"/>
    <w:rPr>
      <w:color w:val="800080"/>
      <w:u w:val="single"/>
    </w:rPr>
  </w:style>
  <w:style w:type="paragraph" w:customStyle="1" w:styleId="Title1">
    <w:name w:val="Title 1"/>
    <w:basedOn w:val="Source"/>
    <w:next w:val="Title2"/>
    <w:rsid w:val="00227FF0"/>
    <w:pPr>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227FF0"/>
    <w:pPr>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227FF0"/>
    <w:pPr>
      <w:spacing w:before="240"/>
    </w:pPr>
    <w:rPr>
      <w:caps w:val="0"/>
    </w:rPr>
  </w:style>
  <w:style w:type="paragraph" w:customStyle="1" w:styleId="Title4">
    <w:name w:val="Title 4"/>
    <w:basedOn w:val="Title3"/>
    <w:next w:val="Heading1"/>
    <w:rsid w:val="00227FF0"/>
    <w:rPr>
      <w:b/>
    </w:rPr>
  </w:style>
  <w:style w:type="paragraph" w:customStyle="1" w:styleId="dnum">
    <w:name w:val="dnum"/>
    <w:basedOn w:val="Normal"/>
    <w:rsid w:val="00227FF0"/>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227FF0"/>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227FF0"/>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qFormat/>
    <w:rsid w:val="00227FF0"/>
    <w:pPr>
      <w:keepNext/>
      <w:keepLines/>
      <w:spacing w:before="480" w:after="80"/>
      <w:jc w:val="center"/>
    </w:pPr>
    <w:rPr>
      <w:caps/>
      <w:sz w:val="26"/>
    </w:rPr>
  </w:style>
  <w:style w:type="paragraph" w:customStyle="1" w:styleId="Annextitle">
    <w:name w:val="Annex_title"/>
    <w:basedOn w:val="Normal"/>
    <w:next w:val="Annexref"/>
    <w:qFormat/>
    <w:rsid w:val="001E6719"/>
    <w:pPr>
      <w:keepNext/>
      <w:keepLines/>
      <w:spacing w:before="240" w:after="280"/>
      <w:jc w:val="center"/>
    </w:pPr>
    <w:rPr>
      <w:b/>
      <w:sz w:val="26"/>
    </w:rPr>
  </w:style>
  <w:style w:type="paragraph" w:customStyle="1" w:styleId="Annexref">
    <w:name w:val="Annex_ref"/>
    <w:basedOn w:val="Normal"/>
    <w:next w:val="Normalaftertitle"/>
    <w:qFormat/>
    <w:rsid w:val="00227FF0"/>
    <w:pPr>
      <w:keepNext/>
      <w:keepLines/>
      <w:spacing w:after="280"/>
      <w:jc w:val="center"/>
    </w:pPr>
  </w:style>
  <w:style w:type="paragraph" w:customStyle="1" w:styleId="AppendixNo">
    <w:name w:val="Appendix_No"/>
    <w:basedOn w:val="AnnexNo"/>
    <w:next w:val="Appendixtitle"/>
    <w:rsid w:val="00227FF0"/>
  </w:style>
  <w:style w:type="paragraph" w:customStyle="1" w:styleId="Appendixtitle">
    <w:name w:val="Appendix_title"/>
    <w:basedOn w:val="Annextitle"/>
    <w:next w:val="Appendixref"/>
    <w:rsid w:val="00227FF0"/>
  </w:style>
  <w:style w:type="paragraph" w:customStyle="1" w:styleId="Appendixref">
    <w:name w:val="Appendix_ref"/>
    <w:basedOn w:val="Annexref"/>
    <w:next w:val="Normalaftertitle"/>
    <w:rsid w:val="00227FF0"/>
  </w:style>
  <w:style w:type="paragraph" w:customStyle="1" w:styleId="Call">
    <w:name w:val="Call"/>
    <w:basedOn w:val="Normal"/>
    <w:next w:val="Normal"/>
    <w:qFormat/>
    <w:rsid w:val="00227FF0"/>
    <w:pPr>
      <w:keepNext/>
      <w:keepLines/>
      <w:spacing w:before="160"/>
      <w:ind w:left="794"/>
    </w:pPr>
    <w:rPr>
      <w:i/>
    </w:rPr>
  </w:style>
  <w:style w:type="character" w:styleId="EndnoteReference">
    <w:name w:val="endnote reference"/>
    <w:basedOn w:val="DefaultParagraphFont"/>
    <w:uiPriority w:val="99"/>
    <w:rsid w:val="00227FF0"/>
    <w:rPr>
      <w:vertAlign w:val="superscript"/>
    </w:rPr>
  </w:style>
  <w:style w:type="paragraph" w:customStyle="1" w:styleId="Equationlegend">
    <w:name w:val="Equation_legend"/>
    <w:basedOn w:val="Normal"/>
    <w:rsid w:val="00227FF0"/>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Figuretitle"/>
    <w:qFormat/>
    <w:rsid w:val="00227FF0"/>
    <w:pPr>
      <w:keepNext/>
      <w:keepLines/>
      <w:spacing w:after="120"/>
      <w:jc w:val="center"/>
    </w:pPr>
  </w:style>
  <w:style w:type="paragraph" w:customStyle="1" w:styleId="Figuretitle">
    <w:name w:val="Figure_title"/>
    <w:basedOn w:val="Tabletitle"/>
    <w:next w:val="Normalaftertitle"/>
    <w:qFormat/>
    <w:rsid w:val="00227FF0"/>
    <w:pPr>
      <w:spacing w:before="240" w:after="480"/>
    </w:pPr>
  </w:style>
  <w:style w:type="paragraph" w:customStyle="1" w:styleId="Tabletitle">
    <w:name w:val="Table_title"/>
    <w:basedOn w:val="TableNo"/>
    <w:next w:val="Tabletext"/>
    <w:rsid w:val="001E6719"/>
    <w:pPr>
      <w:spacing w:before="0"/>
    </w:pPr>
    <w:rPr>
      <w:b/>
      <w:caps w:val="0"/>
    </w:rPr>
  </w:style>
  <w:style w:type="paragraph" w:customStyle="1" w:styleId="TableNo">
    <w:name w:val="Table_No"/>
    <w:basedOn w:val="Normal"/>
    <w:next w:val="Tabletitle"/>
    <w:rsid w:val="00227FF0"/>
    <w:pPr>
      <w:keepNext/>
      <w:spacing w:before="360" w:after="120"/>
      <w:jc w:val="center"/>
    </w:pPr>
    <w:rPr>
      <w:caps/>
    </w:rPr>
  </w:style>
  <w:style w:type="paragraph" w:customStyle="1" w:styleId="Tabletext">
    <w:name w:val="Table_text"/>
    <w:basedOn w:val="Normal"/>
    <w:rsid w:val="00E423E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0"/>
    </w:rPr>
  </w:style>
  <w:style w:type="paragraph" w:customStyle="1" w:styleId="Figurelegend">
    <w:name w:val="Figure_legend"/>
    <w:basedOn w:val="Normal"/>
    <w:qFormat/>
    <w:rsid w:val="00227FF0"/>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qFormat/>
    <w:rsid w:val="00227FF0"/>
    <w:pPr>
      <w:keepNext/>
      <w:keepLines/>
      <w:spacing w:before="240" w:after="120"/>
      <w:jc w:val="center"/>
    </w:pPr>
    <w:rPr>
      <w:caps/>
    </w:rPr>
  </w:style>
  <w:style w:type="paragraph" w:customStyle="1" w:styleId="Figurewithouttitle">
    <w:name w:val="Figure_without_title"/>
    <w:basedOn w:val="Figure"/>
    <w:next w:val="Normalaftertitle"/>
    <w:rsid w:val="00227FF0"/>
    <w:pPr>
      <w:keepNext w:val="0"/>
      <w:spacing w:after="240"/>
    </w:pPr>
  </w:style>
  <w:style w:type="paragraph" w:customStyle="1" w:styleId="Headingi">
    <w:name w:val="Heading_i"/>
    <w:basedOn w:val="Heading3"/>
    <w:next w:val="Normal"/>
    <w:rsid w:val="00762555"/>
    <w:pPr>
      <w:spacing w:before="160"/>
    </w:pPr>
    <w:rPr>
      <w:b w:val="0"/>
      <w:i/>
    </w:rPr>
  </w:style>
  <w:style w:type="character" w:styleId="PageNumber">
    <w:name w:val="page number"/>
    <w:basedOn w:val="DefaultParagraphFont"/>
    <w:rsid w:val="001E6719"/>
    <w:rPr>
      <w:rFonts w:ascii="Calibri" w:hAnsi="Calibri"/>
    </w:rPr>
  </w:style>
  <w:style w:type="paragraph" w:customStyle="1" w:styleId="PartNo">
    <w:name w:val="Part_No"/>
    <w:basedOn w:val="AnnexNo"/>
    <w:next w:val="Parttitle"/>
    <w:rsid w:val="00227FF0"/>
  </w:style>
  <w:style w:type="paragraph" w:customStyle="1" w:styleId="Parttitle">
    <w:name w:val="Part_title"/>
    <w:basedOn w:val="Annextitle"/>
    <w:next w:val="Partref"/>
    <w:rsid w:val="00227FF0"/>
  </w:style>
  <w:style w:type="paragraph" w:customStyle="1" w:styleId="Partref">
    <w:name w:val="Part_ref"/>
    <w:basedOn w:val="Annexref"/>
    <w:next w:val="Normalaftertitle"/>
    <w:rsid w:val="00227FF0"/>
  </w:style>
  <w:style w:type="paragraph" w:customStyle="1" w:styleId="RecNo">
    <w:name w:val="Rec_No"/>
    <w:basedOn w:val="Normal"/>
    <w:next w:val="Rectitle"/>
    <w:rsid w:val="00227FF0"/>
    <w:pPr>
      <w:keepNext/>
      <w:keepLines/>
      <w:spacing w:before="480"/>
      <w:jc w:val="center"/>
    </w:pPr>
    <w:rPr>
      <w:caps/>
      <w:sz w:val="26"/>
    </w:rPr>
  </w:style>
  <w:style w:type="paragraph" w:customStyle="1" w:styleId="Rectitle">
    <w:name w:val="Rec_title"/>
    <w:basedOn w:val="RecNo"/>
    <w:next w:val="Recref"/>
    <w:rsid w:val="001E6719"/>
    <w:pPr>
      <w:spacing w:before="240"/>
    </w:pPr>
    <w:rPr>
      <w:b/>
      <w:caps w:val="0"/>
    </w:rPr>
  </w:style>
  <w:style w:type="paragraph" w:customStyle="1" w:styleId="Recref">
    <w:name w:val="Rec_ref"/>
    <w:basedOn w:val="Rectitle"/>
    <w:next w:val="Recdate"/>
    <w:rsid w:val="00227FF0"/>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227FF0"/>
    <w:pPr>
      <w:jc w:val="right"/>
    </w:pPr>
    <w:rPr>
      <w:sz w:val="22"/>
    </w:rPr>
  </w:style>
  <w:style w:type="paragraph" w:customStyle="1" w:styleId="Questiondate">
    <w:name w:val="Question_date"/>
    <w:basedOn w:val="Recdate"/>
    <w:next w:val="Normalaftertitle"/>
    <w:rsid w:val="00227FF0"/>
  </w:style>
  <w:style w:type="paragraph" w:customStyle="1" w:styleId="QuestionNo">
    <w:name w:val="Question_No"/>
    <w:basedOn w:val="RecNo"/>
    <w:next w:val="Questiontitle"/>
    <w:rsid w:val="00227FF0"/>
  </w:style>
  <w:style w:type="paragraph" w:customStyle="1" w:styleId="Questionref">
    <w:name w:val="Question_ref"/>
    <w:basedOn w:val="Recref"/>
    <w:next w:val="Questiondate"/>
    <w:rsid w:val="00227FF0"/>
  </w:style>
  <w:style w:type="paragraph" w:customStyle="1" w:styleId="Questiontitle">
    <w:name w:val="Question_title"/>
    <w:basedOn w:val="Rectitle"/>
    <w:next w:val="Questionref"/>
    <w:rsid w:val="001E6719"/>
  </w:style>
  <w:style w:type="paragraph" w:customStyle="1" w:styleId="Reftext">
    <w:name w:val="Ref_text"/>
    <w:basedOn w:val="Normal"/>
    <w:rsid w:val="00227FF0"/>
    <w:pPr>
      <w:ind w:left="794" w:hanging="794"/>
    </w:pPr>
  </w:style>
  <w:style w:type="paragraph" w:customStyle="1" w:styleId="Reftitle">
    <w:name w:val="Ref_title"/>
    <w:basedOn w:val="Normal"/>
    <w:next w:val="Reftext"/>
    <w:rsid w:val="00227FF0"/>
    <w:pPr>
      <w:spacing w:before="480"/>
      <w:jc w:val="center"/>
    </w:pPr>
    <w:rPr>
      <w:caps/>
    </w:rPr>
  </w:style>
  <w:style w:type="paragraph" w:customStyle="1" w:styleId="Repdate">
    <w:name w:val="Rep_date"/>
    <w:basedOn w:val="Recdate"/>
    <w:next w:val="Normalaftertitle"/>
    <w:rsid w:val="00227FF0"/>
  </w:style>
  <w:style w:type="paragraph" w:customStyle="1" w:styleId="RepNo">
    <w:name w:val="Rep_No"/>
    <w:basedOn w:val="RecNo"/>
    <w:next w:val="Reptitle"/>
    <w:rsid w:val="00227FF0"/>
  </w:style>
  <w:style w:type="paragraph" w:customStyle="1" w:styleId="Reptitle">
    <w:name w:val="Rep_title"/>
    <w:basedOn w:val="Rectitle"/>
    <w:next w:val="Repref"/>
    <w:rsid w:val="00227FF0"/>
  </w:style>
  <w:style w:type="paragraph" w:customStyle="1" w:styleId="Repref">
    <w:name w:val="Rep_ref"/>
    <w:basedOn w:val="Recref"/>
    <w:next w:val="Repdate"/>
    <w:rsid w:val="00227FF0"/>
  </w:style>
  <w:style w:type="paragraph" w:customStyle="1" w:styleId="Resdate">
    <w:name w:val="Res_date"/>
    <w:basedOn w:val="Recdate"/>
    <w:next w:val="Normalaftertitle"/>
    <w:rsid w:val="00227FF0"/>
  </w:style>
  <w:style w:type="paragraph" w:customStyle="1" w:styleId="ResNo">
    <w:name w:val="Res_No"/>
    <w:basedOn w:val="RecNo"/>
    <w:next w:val="Restitle"/>
    <w:rsid w:val="00227FF0"/>
  </w:style>
  <w:style w:type="paragraph" w:customStyle="1" w:styleId="Restitle">
    <w:name w:val="Res_title"/>
    <w:basedOn w:val="Rectitle"/>
    <w:next w:val="Resref"/>
    <w:rsid w:val="00227FF0"/>
  </w:style>
  <w:style w:type="paragraph" w:customStyle="1" w:styleId="Resref">
    <w:name w:val="Res_ref"/>
    <w:basedOn w:val="Recref"/>
    <w:next w:val="Resdate"/>
    <w:rsid w:val="00227FF0"/>
  </w:style>
  <w:style w:type="paragraph" w:customStyle="1" w:styleId="SectionNo">
    <w:name w:val="Section_No"/>
    <w:basedOn w:val="AnnexNo"/>
    <w:next w:val="Sectiontitle"/>
    <w:rsid w:val="00227FF0"/>
  </w:style>
  <w:style w:type="paragraph" w:customStyle="1" w:styleId="Sectiontitle">
    <w:name w:val="Section_title"/>
    <w:basedOn w:val="Normal"/>
    <w:next w:val="Normalaftertitle"/>
    <w:rsid w:val="00227FF0"/>
    <w:rPr>
      <w:sz w:val="26"/>
    </w:rPr>
  </w:style>
  <w:style w:type="paragraph" w:customStyle="1" w:styleId="SpecialFooter">
    <w:name w:val="Special Footer"/>
    <w:basedOn w:val="Footer"/>
    <w:rsid w:val="00227FF0"/>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227FF0"/>
    <w:pPr>
      <w:keepNext/>
      <w:spacing w:before="80" w:after="80"/>
      <w:jc w:val="center"/>
    </w:pPr>
    <w:rPr>
      <w:b/>
    </w:rPr>
  </w:style>
  <w:style w:type="paragraph" w:customStyle="1" w:styleId="Tablelegend">
    <w:name w:val="Table_legend"/>
    <w:basedOn w:val="Tabletext"/>
    <w:rsid w:val="00227FF0"/>
    <w:pPr>
      <w:spacing w:before="120"/>
    </w:pPr>
  </w:style>
  <w:style w:type="paragraph" w:customStyle="1" w:styleId="Tableref">
    <w:name w:val="Table_ref"/>
    <w:basedOn w:val="Normal"/>
    <w:next w:val="Tabletitle"/>
    <w:rsid w:val="00227FF0"/>
    <w:pPr>
      <w:keepNext/>
      <w:spacing w:before="567"/>
      <w:jc w:val="center"/>
    </w:pPr>
  </w:style>
  <w:style w:type="paragraph" w:customStyle="1" w:styleId="Artheading">
    <w:name w:val="Art_heading"/>
    <w:basedOn w:val="Normal"/>
    <w:next w:val="Normalaftertitle"/>
    <w:qFormat/>
    <w:rsid w:val="00227FF0"/>
    <w:pPr>
      <w:spacing w:before="480"/>
      <w:jc w:val="center"/>
    </w:pPr>
    <w:rPr>
      <w:rFonts w:ascii="Times New Roman Bold" w:hAnsi="Times New Roman Bold"/>
      <w:b/>
      <w:sz w:val="26"/>
    </w:rPr>
  </w:style>
  <w:style w:type="paragraph" w:customStyle="1" w:styleId="ArtNo">
    <w:name w:val="Art_No"/>
    <w:basedOn w:val="Normal"/>
    <w:next w:val="Normal"/>
    <w:qFormat/>
    <w:rsid w:val="00227FF0"/>
    <w:pPr>
      <w:keepNext/>
      <w:keepLines/>
      <w:spacing w:before="480"/>
      <w:jc w:val="center"/>
    </w:pPr>
    <w:rPr>
      <w:caps/>
      <w:sz w:val="26"/>
    </w:rPr>
  </w:style>
  <w:style w:type="paragraph" w:customStyle="1" w:styleId="Arttitle">
    <w:name w:val="Art_title"/>
    <w:basedOn w:val="Normal"/>
    <w:next w:val="Normalaftertitle"/>
    <w:qFormat/>
    <w:rsid w:val="00227FF0"/>
    <w:pPr>
      <w:keepNext/>
      <w:keepLines/>
      <w:spacing w:before="240"/>
      <w:jc w:val="center"/>
    </w:pPr>
    <w:rPr>
      <w:b/>
      <w:sz w:val="26"/>
    </w:rPr>
  </w:style>
  <w:style w:type="paragraph" w:customStyle="1" w:styleId="ChapNo">
    <w:name w:val="Chap_No"/>
    <w:basedOn w:val="ArtNo"/>
    <w:next w:val="Chaptitle"/>
    <w:qFormat/>
    <w:rsid w:val="001E6719"/>
    <w:rPr>
      <w:b/>
    </w:rPr>
  </w:style>
  <w:style w:type="paragraph" w:customStyle="1" w:styleId="Chaptitle">
    <w:name w:val="Chap_title"/>
    <w:basedOn w:val="Arttitle"/>
    <w:next w:val="Normalaftertitle"/>
    <w:qFormat/>
    <w:rsid w:val="00227FF0"/>
  </w:style>
  <w:style w:type="character" w:customStyle="1" w:styleId="HeaderChar">
    <w:name w:val="Header Char"/>
    <w:basedOn w:val="DefaultParagraphFont"/>
    <w:link w:val="Header"/>
    <w:uiPriority w:val="99"/>
    <w:rsid w:val="00796BD3"/>
    <w:rPr>
      <w:rFonts w:ascii="Calibri" w:hAnsi="Calibri"/>
      <w:sz w:val="18"/>
      <w:lang w:val="fr-FR" w:eastAsia="en-US"/>
    </w:rPr>
  </w:style>
  <w:style w:type="table" w:styleId="TableGrid">
    <w:name w:val="Table Grid"/>
    <w:basedOn w:val="TableNormal"/>
    <w:rsid w:val="00796BD3"/>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
    <w:name w:val="Sub_title"/>
    <w:basedOn w:val="Title1"/>
    <w:qFormat/>
    <w:rsid w:val="00796BD3"/>
    <w:pPr>
      <w:framePr w:hSpace="180" w:wrap="around" w:hAnchor="page" w:x="1821" w:y="2317"/>
      <w:spacing w:before="120" w:after="160"/>
      <w:jc w:val="left"/>
    </w:pPr>
    <w:rPr>
      <w:caps w:val="0"/>
      <w:sz w:val="34"/>
    </w:rPr>
  </w:style>
  <w:style w:type="character" w:styleId="PlaceholderText">
    <w:name w:val="Placeholder Text"/>
    <w:basedOn w:val="DefaultParagraphFont"/>
    <w:uiPriority w:val="99"/>
    <w:semiHidden/>
    <w:rsid w:val="00D631AA"/>
    <w:rPr>
      <w:color w:val="666666"/>
    </w:rPr>
  </w:style>
  <w:style w:type="character" w:customStyle="1" w:styleId="Heading2Char">
    <w:name w:val="Heading 2 Char"/>
    <w:link w:val="Heading2"/>
    <w:rsid w:val="001E4880"/>
    <w:rPr>
      <w:rFonts w:ascii="Calibri" w:hAnsi="Calibri"/>
      <w:b/>
      <w:sz w:val="22"/>
      <w:lang w:val="en-GB" w:eastAsia="en-US"/>
    </w:rPr>
  </w:style>
  <w:style w:type="character" w:customStyle="1" w:styleId="Heading1Char">
    <w:name w:val="Heading 1 Char"/>
    <w:link w:val="Heading1"/>
    <w:uiPriority w:val="10"/>
    <w:rsid w:val="001E4880"/>
    <w:rPr>
      <w:rFonts w:ascii="Calibri" w:hAnsi="Calibri"/>
      <w:b/>
      <w:sz w:val="26"/>
      <w:lang w:val="en-GB" w:eastAsia="en-US"/>
    </w:rPr>
  </w:style>
  <w:style w:type="character" w:customStyle="1" w:styleId="UnresolvedMention1">
    <w:name w:val="Unresolved Mention1"/>
    <w:basedOn w:val="DefaultParagraphFont"/>
    <w:uiPriority w:val="99"/>
    <w:unhideWhenUsed/>
    <w:rsid w:val="00E006EF"/>
    <w:rPr>
      <w:color w:val="605E5C"/>
      <w:shd w:val="clear" w:color="auto" w:fill="E1DFDD"/>
    </w:rPr>
  </w:style>
  <w:style w:type="character" w:customStyle="1" w:styleId="BodyTextCharChar">
    <w:name w:val="BodyText Char Char"/>
    <w:link w:val="BodyText"/>
    <w:locked/>
    <w:rsid w:val="00E006EF"/>
    <w:rPr>
      <w:rFonts w:ascii="Arial" w:hAnsi="Arial" w:cs="Arial"/>
      <w:color w:val="000000"/>
      <w:lang w:val="en-GB" w:eastAsia="en-US"/>
    </w:rPr>
  </w:style>
  <w:style w:type="paragraph" w:customStyle="1" w:styleId="BodyText">
    <w:name w:val="BodyText"/>
    <w:link w:val="BodyTextCharChar"/>
    <w:rsid w:val="00E006EF"/>
    <w:pPr>
      <w:tabs>
        <w:tab w:val="left" w:pos="1080"/>
      </w:tabs>
      <w:adjustRightInd w:val="0"/>
      <w:spacing w:after="170" w:line="280" w:lineRule="exact"/>
      <w:textAlignment w:val="baseline"/>
    </w:pPr>
    <w:rPr>
      <w:rFonts w:ascii="Arial" w:hAnsi="Arial" w:cs="Arial"/>
      <w:color w:val="000000"/>
      <w:lang w:val="en-GB" w:eastAsia="en-US"/>
    </w:rPr>
  </w:style>
  <w:style w:type="paragraph" w:customStyle="1" w:styleId="Bullet">
    <w:name w:val="Bullet"/>
    <w:uiPriority w:val="5"/>
    <w:qFormat/>
    <w:rsid w:val="00E006EF"/>
    <w:pPr>
      <w:widowControl w:val="0"/>
      <w:numPr>
        <w:numId w:val="28"/>
      </w:numPr>
      <w:adjustRightInd w:val="0"/>
      <w:spacing w:after="170" w:line="280" w:lineRule="exact"/>
      <w:textAlignment w:val="baseline"/>
    </w:pPr>
    <w:rPr>
      <w:rFonts w:ascii="Arial" w:hAnsi="Arial" w:cs="Arial"/>
      <w:color w:val="000000"/>
      <w:lang w:val="en-GB" w:eastAsia="en-US"/>
    </w:rPr>
  </w:style>
  <w:style w:type="numbering" w:customStyle="1" w:styleId="NumberedNotes0">
    <w:name w:val="NumberedNotes"/>
    <w:basedOn w:val="NoList"/>
    <w:uiPriority w:val="99"/>
    <w:rsid w:val="00E006EF"/>
    <w:pPr>
      <w:numPr>
        <w:numId w:val="32"/>
      </w:numPr>
    </w:pPr>
  </w:style>
  <w:style w:type="paragraph" w:customStyle="1" w:styleId="FigureBulletssecond">
    <w:name w:val="Figure Bullets second"/>
    <w:basedOn w:val="FigureBullets"/>
    <w:rsid w:val="00E006EF"/>
    <w:pPr>
      <w:numPr>
        <w:numId w:val="4"/>
      </w:numPr>
    </w:pPr>
  </w:style>
  <w:style w:type="character" w:customStyle="1" w:styleId="Italic">
    <w:name w:val="Italic"/>
    <w:rsid w:val="00E006EF"/>
    <w:rPr>
      <w:i/>
      <w:iCs/>
    </w:rPr>
  </w:style>
  <w:style w:type="character" w:customStyle="1" w:styleId="Bold">
    <w:name w:val="Bold"/>
    <w:uiPriority w:val="3"/>
    <w:qFormat/>
    <w:rsid w:val="00E006EF"/>
    <w:rPr>
      <w:b/>
      <w:bCs/>
    </w:rPr>
  </w:style>
  <w:style w:type="paragraph" w:customStyle="1" w:styleId="image">
    <w:name w:val="image"/>
    <w:next w:val="BodyText"/>
    <w:link w:val="imageChar"/>
    <w:rsid w:val="00E006EF"/>
    <w:pPr>
      <w:keepNext/>
      <w:widowControl w:val="0"/>
      <w:adjustRightInd w:val="0"/>
      <w:spacing w:after="120" w:line="360" w:lineRule="atLeast"/>
      <w:textAlignment w:val="baseline"/>
    </w:pPr>
    <w:rPr>
      <w:rFonts w:ascii="Arial" w:hAnsi="Arial" w:cs="Arial"/>
      <w:color w:val="FF0000"/>
      <w:lang w:val="en-GB" w:eastAsia="en-US"/>
    </w:rPr>
  </w:style>
  <w:style w:type="paragraph" w:customStyle="1" w:styleId="TableHeader">
    <w:name w:val="TableHeader"/>
    <w:basedOn w:val="BodyText"/>
    <w:rsid w:val="00E006EF"/>
    <w:rPr>
      <w:b/>
      <w:bCs/>
      <w:color w:val="FFFFFF"/>
    </w:rPr>
  </w:style>
  <w:style w:type="paragraph" w:customStyle="1" w:styleId="Bulletalphabet">
    <w:name w:val="Bullet alphabet"/>
    <w:link w:val="BulletalphabetChar"/>
    <w:uiPriority w:val="7"/>
    <w:qFormat/>
    <w:rsid w:val="00E006EF"/>
    <w:pPr>
      <w:widowControl w:val="0"/>
      <w:numPr>
        <w:numId w:val="3"/>
      </w:numPr>
      <w:adjustRightInd w:val="0"/>
      <w:spacing w:after="170" w:line="280" w:lineRule="exact"/>
      <w:textAlignment w:val="baseline"/>
    </w:pPr>
    <w:rPr>
      <w:rFonts w:ascii="Arial" w:hAnsi="Arial" w:cs="Arial"/>
      <w:color w:val="000000"/>
      <w:lang w:val="en-GB" w:eastAsia="en-US"/>
    </w:rPr>
  </w:style>
  <w:style w:type="paragraph" w:customStyle="1" w:styleId="Bulletsecondary">
    <w:name w:val="Bullet secondary"/>
    <w:link w:val="BulletsecondaryChar"/>
    <w:uiPriority w:val="6"/>
    <w:qFormat/>
    <w:rsid w:val="00E006EF"/>
    <w:pPr>
      <w:widowControl w:val="0"/>
      <w:numPr>
        <w:numId w:val="2"/>
      </w:numPr>
      <w:adjustRightInd w:val="0"/>
      <w:spacing w:after="170" w:line="280" w:lineRule="exact"/>
      <w:textAlignment w:val="baseline"/>
    </w:pPr>
    <w:rPr>
      <w:rFonts w:ascii="Arial" w:hAnsi="Arial" w:cs="Arial"/>
      <w:color w:val="000000"/>
      <w:lang w:val="en-GB" w:eastAsia="en-US"/>
    </w:rPr>
  </w:style>
  <w:style w:type="paragraph" w:customStyle="1" w:styleId="BodyTextIndent1">
    <w:name w:val="Body Text Indent1"/>
    <w:link w:val="BodytextindentChar"/>
    <w:rsid w:val="00E006EF"/>
    <w:pPr>
      <w:widowControl w:val="0"/>
      <w:adjustRightInd w:val="0"/>
      <w:spacing w:after="170" w:line="280" w:lineRule="exact"/>
      <w:ind w:left="360"/>
      <w:textAlignment w:val="baseline"/>
    </w:pPr>
    <w:rPr>
      <w:rFonts w:ascii="Arial" w:hAnsi="Arial" w:cs="Arial"/>
      <w:color w:val="000000"/>
      <w:szCs w:val="24"/>
      <w:lang w:val="en-GB" w:eastAsia="en-US"/>
    </w:rPr>
  </w:style>
  <w:style w:type="paragraph" w:customStyle="1" w:styleId="TableText0">
    <w:name w:val="TableText"/>
    <w:rsid w:val="00E006EF"/>
    <w:pPr>
      <w:spacing w:after="120" w:line="280" w:lineRule="atLeast"/>
    </w:pPr>
    <w:rPr>
      <w:rFonts w:ascii="Arial" w:hAnsi="Arial" w:cs="Arial"/>
      <w:color w:val="3F454B"/>
      <w:lang w:val="en-GB" w:eastAsia="en-US"/>
    </w:rPr>
  </w:style>
  <w:style w:type="character" w:customStyle="1" w:styleId="Underline">
    <w:name w:val="Underline"/>
    <w:rsid w:val="00E006EF"/>
    <w:rPr>
      <w:u w:val="single"/>
    </w:rPr>
  </w:style>
  <w:style w:type="character" w:customStyle="1" w:styleId="EndnoteTextChar">
    <w:name w:val="Endnote Text Char"/>
    <w:link w:val="EndnoteText"/>
    <w:rsid w:val="00E006EF"/>
    <w:rPr>
      <w:rFonts w:ascii="Arial" w:hAnsi="Arial" w:cs="Arial"/>
      <w:lang w:val="en-GB" w:eastAsia="en-US"/>
    </w:rPr>
  </w:style>
  <w:style w:type="paragraph" w:styleId="EndnoteText">
    <w:name w:val="endnote text"/>
    <w:basedOn w:val="Normal"/>
    <w:link w:val="EndnoteTextChar"/>
    <w:uiPriority w:val="99"/>
    <w:semiHidden/>
    <w:rsid w:val="00E006EF"/>
    <w:pPr>
      <w:widowControl w:val="0"/>
      <w:tabs>
        <w:tab w:val="clear" w:pos="794"/>
        <w:tab w:val="clear" w:pos="1191"/>
        <w:tab w:val="clear" w:pos="1588"/>
        <w:tab w:val="clear" w:pos="1985"/>
      </w:tabs>
      <w:overflowPunct/>
      <w:autoSpaceDE/>
      <w:autoSpaceDN/>
      <w:spacing w:before="0" w:after="120" w:line="276" w:lineRule="auto"/>
    </w:pPr>
    <w:rPr>
      <w:rFonts w:ascii="Arial" w:hAnsi="Arial" w:cs="Arial"/>
      <w:sz w:val="20"/>
    </w:rPr>
  </w:style>
  <w:style w:type="character" w:customStyle="1" w:styleId="EndnoteTextChar1">
    <w:name w:val="Endnote Text Char1"/>
    <w:basedOn w:val="DefaultParagraphFont"/>
    <w:semiHidden/>
    <w:rsid w:val="00E006EF"/>
    <w:rPr>
      <w:rFonts w:ascii="Calibri" w:hAnsi="Calibri"/>
      <w:lang w:val="en-GB" w:eastAsia="en-US"/>
    </w:rPr>
  </w:style>
  <w:style w:type="character" w:customStyle="1" w:styleId="BoldUnderline">
    <w:name w:val="BoldUnderline"/>
    <w:rsid w:val="00E006EF"/>
    <w:rPr>
      <w:b/>
      <w:u w:val="single"/>
      <w:lang w:val="en-GB"/>
    </w:rPr>
  </w:style>
  <w:style w:type="character" w:customStyle="1" w:styleId="BoldItalic">
    <w:name w:val="BoldItalic"/>
    <w:rsid w:val="00E006EF"/>
    <w:rPr>
      <w:b/>
      <w:i/>
      <w:lang w:val="en-GB"/>
    </w:rPr>
  </w:style>
  <w:style w:type="table" w:customStyle="1" w:styleId="TableStyle">
    <w:name w:val="TableStyle"/>
    <w:basedOn w:val="TableNormal"/>
    <w:rsid w:val="00E006EF"/>
    <w:pPr>
      <w:spacing w:before="120" w:after="120" w:line="276" w:lineRule="auto"/>
    </w:pPr>
    <w:rPr>
      <w:rFonts w:ascii="Arial" w:hAnsi="Arial"/>
      <w:sz w:val="18"/>
      <w:lang w:val="en-GB" w:eastAsia="en-GB"/>
    </w:rPr>
    <w:tblPr/>
    <w:tcPr>
      <w:shd w:val="clear" w:color="auto" w:fill="auto"/>
    </w:tcPr>
    <w:tblStylePr w:type="firstRow">
      <w:pPr>
        <w:wordWrap/>
        <w:spacing w:beforeLines="0" w:before="60" w:beforeAutospacing="0" w:afterLines="0" w:after="60" w:afterAutospacing="0"/>
        <w:contextualSpacing w:val="0"/>
      </w:pPr>
      <w:rPr>
        <w:rFonts w:ascii="Courier New" w:hAnsi="Courier New"/>
        <w:b w:val="0"/>
        <w:bCs/>
        <w:i w:val="0"/>
        <w:color w:val="FFFFFF"/>
        <w:sz w:val="18"/>
      </w:rPr>
      <w:tblPr/>
      <w:tcPr>
        <w:tcBorders>
          <w:top w:val="single" w:sz="4" w:space="0" w:color="auto"/>
          <w:left w:val="nil"/>
          <w:bottom w:val="nil"/>
          <w:right w:val="nil"/>
          <w:insideH w:val="nil"/>
          <w:insideV w:val="nil"/>
          <w:tl2br w:val="nil"/>
          <w:tr2bl w:val="nil"/>
        </w:tcBorders>
        <w:shd w:val="clear" w:color="auto" w:fill="auto"/>
      </w:tcPr>
    </w:tblStylePr>
    <w:tblStylePr w:type="lastRow">
      <w:rPr>
        <w:b w:val="0"/>
        <w:i w:val="0"/>
      </w:rPr>
      <w:tblPr/>
      <w:tcPr>
        <w:tcBorders>
          <w:top w:val="nil"/>
          <w:left w:val="nil"/>
          <w:bottom w:val="single" w:sz="4" w:space="0" w:color="auto"/>
          <w:right w:val="nil"/>
          <w:insideH w:val="nil"/>
          <w:insideV w:val="nil"/>
          <w:tl2br w:val="nil"/>
          <w:tr2bl w:val="nil"/>
        </w:tcBorders>
        <w:shd w:val="clear" w:color="auto" w:fill="auto"/>
      </w:tcPr>
    </w:tblStylePr>
  </w:style>
  <w:style w:type="character" w:customStyle="1" w:styleId="imageChar">
    <w:name w:val="image Char"/>
    <w:link w:val="image"/>
    <w:rsid w:val="00E006EF"/>
    <w:rPr>
      <w:rFonts w:ascii="Arial" w:hAnsi="Arial" w:cs="Arial"/>
      <w:color w:val="FF0000"/>
      <w:lang w:val="en-GB" w:eastAsia="en-US"/>
    </w:rPr>
  </w:style>
  <w:style w:type="character" w:customStyle="1" w:styleId="BulletalphabetChar">
    <w:name w:val="Bullet alphabet Char"/>
    <w:link w:val="Bulletalphabet"/>
    <w:uiPriority w:val="7"/>
    <w:rsid w:val="00E006EF"/>
    <w:rPr>
      <w:rFonts w:ascii="Arial" w:hAnsi="Arial" w:cs="Arial"/>
      <w:color w:val="000000"/>
      <w:lang w:val="en-GB" w:eastAsia="en-US"/>
    </w:rPr>
  </w:style>
  <w:style w:type="paragraph" w:customStyle="1" w:styleId="zzDate">
    <w:name w:val="zz Date"/>
    <w:rsid w:val="00E006EF"/>
    <w:pPr>
      <w:widowControl w:val="0"/>
      <w:adjustRightInd w:val="0"/>
      <w:spacing w:after="120" w:line="360" w:lineRule="atLeast"/>
      <w:jc w:val="right"/>
      <w:textAlignment w:val="baseline"/>
    </w:pPr>
    <w:rPr>
      <w:rFonts w:ascii="Arial" w:hAnsi="Arial" w:cs="HelveticaNeue-Light"/>
      <w:color w:val="000000"/>
      <w:spacing w:val="-6"/>
      <w:sz w:val="32"/>
      <w:szCs w:val="32"/>
      <w:lang w:val="en-GB" w:eastAsia="en-US"/>
    </w:rPr>
  </w:style>
  <w:style w:type="paragraph" w:customStyle="1" w:styleId="zzDoNotRemove">
    <w:name w:val="zz Do Not Remove"/>
    <w:basedOn w:val="Normal"/>
    <w:rsid w:val="00E006EF"/>
    <w:pPr>
      <w:pBdr>
        <w:top w:val="single" w:sz="4" w:space="9" w:color="auto"/>
      </w:pBdr>
      <w:tabs>
        <w:tab w:val="clear" w:pos="794"/>
        <w:tab w:val="clear" w:pos="1191"/>
        <w:tab w:val="clear" w:pos="1588"/>
        <w:tab w:val="clear" w:pos="1985"/>
      </w:tabs>
      <w:overflowPunct/>
      <w:autoSpaceDE/>
      <w:autoSpaceDN/>
      <w:adjustRightInd/>
      <w:spacing w:before="0" w:after="170" w:line="320" w:lineRule="exact"/>
      <w:textAlignment w:val="auto"/>
    </w:pPr>
    <w:rPr>
      <w:rFonts w:ascii="Arial" w:hAnsi="Arial" w:cs="Arial"/>
      <w:sz w:val="20"/>
      <w:lang w:eastAsia="en-GB"/>
    </w:rPr>
  </w:style>
  <w:style w:type="paragraph" w:customStyle="1" w:styleId="StyleCaptionK21">
    <w:name w:val="Style CaptionK2 +1"/>
    <w:basedOn w:val="Normal"/>
    <w:rsid w:val="00E006EF"/>
    <w:pPr>
      <w:tabs>
        <w:tab w:val="clear" w:pos="794"/>
        <w:tab w:val="clear" w:pos="1191"/>
        <w:tab w:val="clear" w:pos="1588"/>
        <w:tab w:val="clear" w:pos="1985"/>
        <w:tab w:val="left" w:pos="454"/>
      </w:tabs>
      <w:overflowPunct/>
      <w:autoSpaceDE/>
      <w:autoSpaceDN/>
      <w:spacing w:after="170" w:line="280" w:lineRule="exact"/>
    </w:pPr>
    <w:rPr>
      <w:rFonts w:ascii="Arial" w:hAnsi="Arial" w:cs="Arial"/>
      <w:color w:val="000000"/>
      <w:sz w:val="24"/>
      <w:szCs w:val="24"/>
    </w:rPr>
  </w:style>
  <w:style w:type="paragraph" w:styleId="TOAHeading">
    <w:name w:val="toa heading"/>
    <w:basedOn w:val="Normal"/>
    <w:next w:val="Normal"/>
    <w:semiHidden/>
    <w:rsid w:val="00E006EF"/>
    <w:pPr>
      <w:widowControl w:val="0"/>
      <w:tabs>
        <w:tab w:val="clear" w:pos="794"/>
        <w:tab w:val="clear" w:pos="1191"/>
        <w:tab w:val="clear" w:pos="1588"/>
        <w:tab w:val="clear" w:pos="1985"/>
      </w:tabs>
      <w:overflowPunct/>
      <w:autoSpaceDE/>
      <w:autoSpaceDN/>
      <w:spacing w:after="120" w:line="276" w:lineRule="auto"/>
    </w:pPr>
    <w:rPr>
      <w:rFonts w:ascii="Arial" w:hAnsi="Arial" w:cs="Arial"/>
      <w:b/>
      <w:bCs/>
      <w:sz w:val="20"/>
      <w:szCs w:val="24"/>
    </w:rPr>
  </w:style>
  <w:style w:type="paragraph" w:styleId="Caption">
    <w:name w:val="caption"/>
    <w:basedOn w:val="Normal"/>
    <w:next w:val="Normal"/>
    <w:uiPriority w:val="35"/>
    <w:qFormat/>
    <w:rsid w:val="00E006EF"/>
    <w:pPr>
      <w:widowControl w:val="0"/>
      <w:tabs>
        <w:tab w:val="clear" w:pos="794"/>
        <w:tab w:val="clear" w:pos="1191"/>
        <w:tab w:val="clear" w:pos="1588"/>
        <w:tab w:val="clear" w:pos="1985"/>
      </w:tabs>
      <w:overflowPunct/>
      <w:autoSpaceDE/>
      <w:autoSpaceDN/>
      <w:spacing w:before="0" w:after="120" w:line="276" w:lineRule="auto"/>
    </w:pPr>
    <w:rPr>
      <w:rFonts w:ascii="Arial" w:hAnsi="Arial" w:cs="Arial"/>
      <w:b/>
      <w:bCs/>
      <w:sz w:val="20"/>
    </w:rPr>
  </w:style>
  <w:style w:type="character" w:customStyle="1" w:styleId="BulletsecondaryChar">
    <w:name w:val="Bullet secondary Char"/>
    <w:link w:val="Bulletsecondary"/>
    <w:uiPriority w:val="6"/>
    <w:rsid w:val="00E006EF"/>
    <w:rPr>
      <w:rFonts w:ascii="Arial" w:hAnsi="Arial" w:cs="Arial"/>
      <w:color w:val="000000"/>
      <w:lang w:val="en-GB" w:eastAsia="en-US"/>
    </w:rPr>
  </w:style>
  <w:style w:type="character" w:customStyle="1" w:styleId="XRemover">
    <w:name w:val="X Remover"/>
    <w:rsid w:val="00E006EF"/>
  </w:style>
  <w:style w:type="paragraph" w:customStyle="1" w:styleId="Quotetext">
    <w:name w:val="Quote text"/>
    <w:basedOn w:val="BodyTextIndent1"/>
    <w:link w:val="QuotetextChar"/>
    <w:rsid w:val="00E006EF"/>
    <w:pPr>
      <w:ind w:left="499"/>
    </w:pPr>
    <w:rPr>
      <w:i/>
    </w:rPr>
  </w:style>
  <w:style w:type="paragraph" w:customStyle="1" w:styleId="AnnexA">
    <w:name w:val="Annex A"/>
    <w:basedOn w:val="Normal"/>
    <w:qFormat/>
    <w:rsid w:val="00E006EF"/>
    <w:pPr>
      <w:tabs>
        <w:tab w:val="clear" w:pos="794"/>
        <w:tab w:val="clear" w:pos="1191"/>
        <w:tab w:val="clear" w:pos="1588"/>
        <w:tab w:val="clear" w:pos="1985"/>
        <w:tab w:val="left" w:pos="454"/>
      </w:tabs>
      <w:overflowPunct/>
      <w:autoSpaceDE/>
      <w:autoSpaceDN/>
      <w:spacing w:after="170" w:line="280" w:lineRule="exact"/>
    </w:pPr>
    <w:rPr>
      <w:rFonts w:ascii="Arial" w:hAnsi="Arial" w:cs="Verdana"/>
      <w:color w:val="000000"/>
      <w:sz w:val="20"/>
      <w:szCs w:val="24"/>
    </w:rPr>
  </w:style>
  <w:style w:type="character" w:customStyle="1" w:styleId="BodytextindentChar">
    <w:name w:val="Body text indent Char"/>
    <w:link w:val="BodyTextIndent1"/>
    <w:rsid w:val="00E006EF"/>
    <w:rPr>
      <w:rFonts w:ascii="Arial" w:hAnsi="Arial" w:cs="Arial"/>
      <w:color w:val="000000"/>
      <w:szCs w:val="24"/>
      <w:lang w:val="en-GB" w:eastAsia="en-US"/>
    </w:rPr>
  </w:style>
  <w:style w:type="paragraph" w:styleId="ListNumber">
    <w:name w:val="List Number"/>
    <w:basedOn w:val="Normal"/>
    <w:rsid w:val="00E006EF"/>
    <w:pPr>
      <w:widowControl w:val="0"/>
      <w:tabs>
        <w:tab w:val="clear" w:pos="794"/>
        <w:tab w:val="clear" w:pos="1191"/>
        <w:tab w:val="clear" w:pos="1588"/>
        <w:tab w:val="clear" w:pos="1985"/>
        <w:tab w:val="num" w:pos="1303"/>
      </w:tabs>
      <w:overflowPunct/>
      <w:autoSpaceDE/>
      <w:autoSpaceDN/>
      <w:spacing w:before="0" w:after="120" w:line="276" w:lineRule="auto"/>
      <w:ind w:left="1303" w:hanging="1020"/>
    </w:pPr>
    <w:rPr>
      <w:rFonts w:ascii="Arial" w:hAnsi="Arial" w:cs="Arial"/>
      <w:sz w:val="20"/>
      <w:szCs w:val="24"/>
    </w:rPr>
  </w:style>
  <w:style w:type="paragraph" w:customStyle="1" w:styleId="CaptionK2">
    <w:name w:val="CaptionK2"/>
    <w:basedOn w:val="Normal"/>
    <w:link w:val="CaptionK2Char"/>
    <w:autoRedefine/>
    <w:qFormat/>
    <w:rsid w:val="00E006EF"/>
    <w:pPr>
      <w:tabs>
        <w:tab w:val="clear" w:pos="794"/>
        <w:tab w:val="clear" w:pos="1191"/>
        <w:tab w:val="clear" w:pos="1588"/>
        <w:tab w:val="clear" w:pos="1985"/>
        <w:tab w:val="num" w:pos="774"/>
      </w:tabs>
      <w:overflowPunct/>
      <w:autoSpaceDE/>
      <w:autoSpaceDN/>
      <w:spacing w:after="170" w:line="280" w:lineRule="exact"/>
    </w:pPr>
    <w:rPr>
      <w:rFonts w:ascii="Arial" w:hAnsi="Arial" w:cs="Arial"/>
      <w:bCs/>
      <w:color w:val="000000"/>
      <w:sz w:val="24"/>
      <w:szCs w:val="24"/>
    </w:rPr>
  </w:style>
  <w:style w:type="paragraph" w:styleId="NoteHeading">
    <w:name w:val="Note Heading"/>
    <w:basedOn w:val="Normal"/>
    <w:next w:val="Normal"/>
    <w:link w:val="NoteHeadingChar"/>
    <w:rsid w:val="00E006EF"/>
    <w:pPr>
      <w:widowControl w:val="0"/>
      <w:tabs>
        <w:tab w:val="clear" w:pos="794"/>
        <w:tab w:val="clear" w:pos="1191"/>
        <w:tab w:val="clear" w:pos="1588"/>
        <w:tab w:val="clear" w:pos="1985"/>
      </w:tabs>
      <w:overflowPunct/>
      <w:autoSpaceDE/>
      <w:autoSpaceDN/>
      <w:spacing w:before="0" w:after="120" w:line="276" w:lineRule="auto"/>
    </w:pPr>
    <w:rPr>
      <w:rFonts w:ascii="Arial" w:hAnsi="Arial" w:cs="Arial"/>
      <w:sz w:val="20"/>
      <w:szCs w:val="24"/>
    </w:rPr>
  </w:style>
  <w:style w:type="character" w:customStyle="1" w:styleId="NoteHeadingChar">
    <w:name w:val="Note Heading Char"/>
    <w:basedOn w:val="DefaultParagraphFont"/>
    <w:link w:val="NoteHeading"/>
    <w:rsid w:val="00E006EF"/>
    <w:rPr>
      <w:rFonts w:ascii="Arial" w:hAnsi="Arial" w:cs="Arial"/>
      <w:szCs w:val="24"/>
      <w:lang w:val="en-GB" w:eastAsia="en-US"/>
    </w:rPr>
  </w:style>
  <w:style w:type="paragraph" w:styleId="ListNumber2">
    <w:name w:val="List Number 2"/>
    <w:basedOn w:val="Normal"/>
    <w:rsid w:val="00E006EF"/>
    <w:pPr>
      <w:widowControl w:val="0"/>
      <w:tabs>
        <w:tab w:val="clear" w:pos="794"/>
        <w:tab w:val="clear" w:pos="1191"/>
        <w:tab w:val="clear" w:pos="1588"/>
        <w:tab w:val="clear" w:pos="1985"/>
        <w:tab w:val="num" w:pos="720"/>
      </w:tabs>
      <w:overflowPunct/>
      <w:autoSpaceDE/>
      <w:autoSpaceDN/>
      <w:spacing w:before="0" w:after="120" w:line="276" w:lineRule="auto"/>
      <w:ind w:left="720" w:hanging="360"/>
    </w:pPr>
    <w:rPr>
      <w:rFonts w:ascii="Arial" w:hAnsi="Arial" w:cs="Arial"/>
      <w:sz w:val="20"/>
      <w:szCs w:val="24"/>
    </w:rPr>
  </w:style>
  <w:style w:type="paragraph" w:styleId="ListNumber3">
    <w:name w:val="List Number 3"/>
    <w:basedOn w:val="Normal"/>
    <w:rsid w:val="00E006EF"/>
    <w:pPr>
      <w:widowControl w:val="0"/>
      <w:tabs>
        <w:tab w:val="clear" w:pos="794"/>
        <w:tab w:val="clear" w:pos="1191"/>
        <w:tab w:val="clear" w:pos="1588"/>
        <w:tab w:val="clear" w:pos="1985"/>
        <w:tab w:val="num" w:pos="926"/>
      </w:tabs>
      <w:overflowPunct/>
      <w:autoSpaceDE/>
      <w:autoSpaceDN/>
      <w:spacing w:before="0" w:after="120" w:line="276" w:lineRule="auto"/>
      <w:ind w:left="926" w:hanging="360"/>
    </w:pPr>
    <w:rPr>
      <w:rFonts w:ascii="Arial" w:hAnsi="Arial" w:cs="Arial"/>
      <w:sz w:val="20"/>
      <w:szCs w:val="24"/>
    </w:rPr>
  </w:style>
  <w:style w:type="paragraph" w:styleId="ListNumber4">
    <w:name w:val="List Number 4"/>
    <w:basedOn w:val="Normal"/>
    <w:rsid w:val="00E006EF"/>
    <w:pPr>
      <w:widowControl w:val="0"/>
      <w:tabs>
        <w:tab w:val="clear" w:pos="794"/>
        <w:tab w:val="clear" w:pos="1191"/>
        <w:tab w:val="clear" w:pos="1588"/>
        <w:tab w:val="clear" w:pos="1985"/>
        <w:tab w:val="num" w:pos="1209"/>
      </w:tabs>
      <w:overflowPunct/>
      <w:autoSpaceDE/>
      <w:autoSpaceDN/>
      <w:spacing w:before="0" w:after="120" w:line="276" w:lineRule="auto"/>
      <w:ind w:left="1209" w:hanging="360"/>
    </w:pPr>
    <w:rPr>
      <w:rFonts w:ascii="Arial" w:hAnsi="Arial" w:cs="Arial"/>
      <w:sz w:val="20"/>
      <w:szCs w:val="24"/>
    </w:rPr>
  </w:style>
  <w:style w:type="paragraph" w:styleId="ListNumber5">
    <w:name w:val="List Number 5"/>
    <w:basedOn w:val="Normal"/>
    <w:rsid w:val="00E006EF"/>
    <w:pPr>
      <w:widowControl w:val="0"/>
      <w:tabs>
        <w:tab w:val="clear" w:pos="794"/>
        <w:tab w:val="clear" w:pos="1191"/>
        <w:tab w:val="clear" w:pos="1588"/>
        <w:tab w:val="clear" w:pos="1985"/>
        <w:tab w:val="num" w:pos="1492"/>
      </w:tabs>
      <w:overflowPunct/>
      <w:autoSpaceDE/>
      <w:autoSpaceDN/>
      <w:spacing w:before="0" w:after="120" w:line="276" w:lineRule="auto"/>
      <w:ind w:left="1492" w:hanging="360"/>
    </w:pPr>
    <w:rPr>
      <w:rFonts w:ascii="Arial" w:hAnsi="Arial" w:cs="Arial"/>
      <w:sz w:val="20"/>
      <w:szCs w:val="24"/>
    </w:rPr>
  </w:style>
  <w:style w:type="paragraph" w:styleId="ListContinue">
    <w:name w:val="List Continue"/>
    <w:basedOn w:val="Normal"/>
    <w:rsid w:val="00E006EF"/>
    <w:pPr>
      <w:widowControl w:val="0"/>
      <w:tabs>
        <w:tab w:val="clear" w:pos="794"/>
        <w:tab w:val="clear" w:pos="1191"/>
        <w:tab w:val="clear" w:pos="1588"/>
        <w:tab w:val="clear" w:pos="1985"/>
      </w:tabs>
      <w:overflowPunct/>
      <w:autoSpaceDE/>
      <w:autoSpaceDN/>
      <w:spacing w:before="0" w:after="120" w:line="276" w:lineRule="auto"/>
      <w:ind w:left="283"/>
    </w:pPr>
    <w:rPr>
      <w:rFonts w:ascii="Arial" w:hAnsi="Arial" w:cs="Arial"/>
      <w:sz w:val="20"/>
      <w:szCs w:val="24"/>
    </w:rPr>
  </w:style>
  <w:style w:type="paragraph" w:styleId="ListContinue2">
    <w:name w:val="List Continue 2"/>
    <w:basedOn w:val="Normal"/>
    <w:rsid w:val="00E006EF"/>
    <w:pPr>
      <w:widowControl w:val="0"/>
      <w:tabs>
        <w:tab w:val="clear" w:pos="794"/>
        <w:tab w:val="clear" w:pos="1191"/>
        <w:tab w:val="clear" w:pos="1588"/>
        <w:tab w:val="clear" w:pos="1985"/>
      </w:tabs>
      <w:overflowPunct/>
      <w:autoSpaceDE/>
      <w:autoSpaceDN/>
      <w:spacing w:before="0" w:after="120" w:line="276" w:lineRule="auto"/>
      <w:ind w:left="566"/>
    </w:pPr>
    <w:rPr>
      <w:rFonts w:ascii="Arial" w:hAnsi="Arial" w:cs="Arial"/>
      <w:sz w:val="20"/>
      <w:szCs w:val="24"/>
    </w:rPr>
  </w:style>
  <w:style w:type="paragraph" w:styleId="ListBullet3">
    <w:name w:val="List Bullet 3"/>
    <w:basedOn w:val="Normal"/>
    <w:rsid w:val="00E006EF"/>
    <w:pPr>
      <w:widowControl w:val="0"/>
      <w:tabs>
        <w:tab w:val="clear" w:pos="794"/>
        <w:tab w:val="clear" w:pos="1191"/>
        <w:tab w:val="clear" w:pos="1588"/>
        <w:tab w:val="clear" w:pos="1985"/>
        <w:tab w:val="num" w:pos="926"/>
      </w:tabs>
      <w:overflowPunct/>
      <w:autoSpaceDE/>
      <w:autoSpaceDN/>
      <w:spacing w:before="0" w:after="120" w:line="276" w:lineRule="auto"/>
      <w:ind w:left="926" w:hanging="360"/>
    </w:pPr>
    <w:rPr>
      <w:rFonts w:ascii="Arial" w:hAnsi="Arial" w:cs="Arial"/>
      <w:sz w:val="20"/>
      <w:szCs w:val="24"/>
    </w:rPr>
  </w:style>
  <w:style w:type="paragraph" w:styleId="ListBullet2">
    <w:name w:val="List Bullet 2"/>
    <w:basedOn w:val="Normal"/>
    <w:rsid w:val="00E006EF"/>
    <w:pPr>
      <w:widowControl w:val="0"/>
      <w:tabs>
        <w:tab w:val="clear" w:pos="794"/>
        <w:tab w:val="clear" w:pos="1191"/>
        <w:tab w:val="clear" w:pos="1588"/>
        <w:tab w:val="clear" w:pos="1985"/>
        <w:tab w:val="num" w:pos="643"/>
      </w:tabs>
      <w:overflowPunct/>
      <w:autoSpaceDE/>
      <w:autoSpaceDN/>
      <w:spacing w:before="0" w:after="120" w:line="276" w:lineRule="auto"/>
      <w:ind w:left="643" w:hanging="360"/>
    </w:pPr>
    <w:rPr>
      <w:rFonts w:ascii="Arial" w:hAnsi="Arial" w:cs="Arial"/>
      <w:sz w:val="20"/>
      <w:szCs w:val="24"/>
    </w:rPr>
  </w:style>
  <w:style w:type="paragraph" w:customStyle="1" w:styleId="Number5">
    <w:name w:val="Number 5"/>
    <w:basedOn w:val="Normal"/>
    <w:rsid w:val="00E006EF"/>
    <w:pPr>
      <w:numPr>
        <w:numId w:val="22"/>
      </w:numPr>
      <w:tabs>
        <w:tab w:val="clear" w:pos="1191"/>
        <w:tab w:val="clear" w:pos="1588"/>
        <w:tab w:val="clear" w:pos="1985"/>
        <w:tab w:val="left" w:pos="454"/>
      </w:tabs>
      <w:overflowPunct/>
      <w:autoSpaceDE/>
      <w:autoSpaceDN/>
      <w:spacing w:after="170" w:line="280" w:lineRule="exact"/>
      <w:ind w:left="0" w:firstLine="0"/>
    </w:pPr>
    <w:rPr>
      <w:rFonts w:ascii="Arial" w:hAnsi="Arial" w:cs="Arial"/>
      <w:color w:val="000000"/>
      <w:sz w:val="20"/>
      <w:szCs w:val="24"/>
    </w:rPr>
  </w:style>
  <w:style w:type="paragraph" w:customStyle="1" w:styleId="Number6">
    <w:name w:val="Number 6"/>
    <w:basedOn w:val="Normal"/>
    <w:rsid w:val="00E006EF"/>
    <w:pPr>
      <w:numPr>
        <w:numId w:val="23"/>
      </w:numPr>
      <w:tabs>
        <w:tab w:val="clear" w:pos="1191"/>
        <w:tab w:val="clear" w:pos="1588"/>
        <w:tab w:val="clear" w:pos="1985"/>
        <w:tab w:val="left" w:pos="454"/>
      </w:tabs>
      <w:overflowPunct/>
      <w:autoSpaceDE/>
      <w:autoSpaceDN/>
      <w:spacing w:after="170" w:line="280" w:lineRule="exact"/>
      <w:ind w:left="0" w:firstLine="0"/>
    </w:pPr>
    <w:rPr>
      <w:rFonts w:ascii="Arial" w:hAnsi="Arial" w:cs="Arial"/>
      <w:color w:val="000000"/>
      <w:sz w:val="20"/>
      <w:szCs w:val="24"/>
    </w:rPr>
  </w:style>
  <w:style w:type="paragraph" w:customStyle="1" w:styleId="Number7">
    <w:name w:val="Number 7"/>
    <w:basedOn w:val="Normal"/>
    <w:rsid w:val="00E006EF"/>
    <w:pPr>
      <w:numPr>
        <w:numId w:val="24"/>
      </w:numPr>
      <w:tabs>
        <w:tab w:val="clear" w:pos="1191"/>
        <w:tab w:val="clear" w:pos="1588"/>
        <w:tab w:val="clear" w:pos="1985"/>
        <w:tab w:val="left" w:pos="454"/>
      </w:tabs>
      <w:overflowPunct/>
      <w:autoSpaceDE/>
      <w:autoSpaceDN/>
      <w:spacing w:after="170" w:line="280" w:lineRule="exact"/>
      <w:ind w:left="0" w:firstLine="0"/>
    </w:pPr>
    <w:rPr>
      <w:rFonts w:ascii="Arial" w:hAnsi="Arial" w:cs="Arial"/>
      <w:color w:val="000000"/>
      <w:sz w:val="20"/>
      <w:szCs w:val="24"/>
    </w:rPr>
  </w:style>
  <w:style w:type="paragraph" w:customStyle="1" w:styleId="Number8">
    <w:name w:val="Number 8"/>
    <w:basedOn w:val="Normal"/>
    <w:rsid w:val="00E006EF"/>
    <w:pPr>
      <w:numPr>
        <w:numId w:val="25"/>
      </w:numPr>
      <w:tabs>
        <w:tab w:val="clear" w:pos="1191"/>
        <w:tab w:val="clear" w:pos="1588"/>
        <w:tab w:val="clear" w:pos="1985"/>
        <w:tab w:val="left" w:pos="454"/>
      </w:tabs>
      <w:overflowPunct/>
      <w:autoSpaceDE/>
      <w:autoSpaceDN/>
      <w:spacing w:after="170" w:line="280" w:lineRule="exact"/>
      <w:ind w:left="0" w:firstLine="0"/>
    </w:pPr>
    <w:rPr>
      <w:rFonts w:ascii="Arial" w:hAnsi="Arial" w:cs="Arial"/>
      <w:color w:val="000000"/>
      <w:sz w:val="20"/>
      <w:szCs w:val="24"/>
    </w:rPr>
  </w:style>
  <w:style w:type="paragraph" w:customStyle="1" w:styleId="Number9">
    <w:name w:val="Number 9"/>
    <w:basedOn w:val="Normal"/>
    <w:rsid w:val="00E006EF"/>
    <w:pPr>
      <w:numPr>
        <w:numId w:val="26"/>
      </w:numPr>
      <w:tabs>
        <w:tab w:val="clear" w:pos="1191"/>
        <w:tab w:val="clear" w:pos="1588"/>
        <w:tab w:val="clear" w:pos="1985"/>
        <w:tab w:val="left" w:pos="454"/>
      </w:tabs>
      <w:overflowPunct/>
      <w:autoSpaceDE/>
      <w:autoSpaceDN/>
      <w:spacing w:after="170" w:line="280" w:lineRule="exact"/>
      <w:ind w:left="0" w:firstLine="0"/>
    </w:pPr>
    <w:rPr>
      <w:rFonts w:ascii="Arial" w:hAnsi="Arial" w:cs="Arial"/>
      <w:color w:val="000000"/>
      <w:sz w:val="20"/>
      <w:szCs w:val="24"/>
    </w:rPr>
  </w:style>
  <w:style w:type="paragraph" w:customStyle="1" w:styleId="Number10">
    <w:name w:val="Number 10"/>
    <w:basedOn w:val="Normal"/>
    <w:link w:val="Number10CharChar"/>
    <w:rsid w:val="00E006EF"/>
    <w:pPr>
      <w:numPr>
        <w:numId w:val="17"/>
      </w:numPr>
      <w:tabs>
        <w:tab w:val="clear" w:pos="1191"/>
        <w:tab w:val="clear" w:pos="1588"/>
        <w:tab w:val="clear" w:pos="1985"/>
        <w:tab w:val="left" w:pos="454"/>
      </w:tabs>
      <w:overflowPunct/>
      <w:autoSpaceDE/>
      <w:autoSpaceDN/>
      <w:spacing w:after="170" w:line="280" w:lineRule="exact"/>
      <w:ind w:left="0" w:firstLine="0"/>
    </w:pPr>
    <w:rPr>
      <w:rFonts w:ascii="Arial" w:hAnsi="Arial" w:cs="Arial"/>
      <w:color w:val="000000"/>
      <w:sz w:val="20"/>
      <w:szCs w:val="24"/>
    </w:rPr>
  </w:style>
  <w:style w:type="paragraph" w:customStyle="1" w:styleId="Number11">
    <w:name w:val="Number 11"/>
    <w:basedOn w:val="Normal"/>
    <w:rsid w:val="00E006EF"/>
    <w:pPr>
      <w:numPr>
        <w:numId w:val="7"/>
      </w:numPr>
      <w:tabs>
        <w:tab w:val="clear" w:pos="1191"/>
        <w:tab w:val="clear" w:pos="1588"/>
        <w:tab w:val="clear" w:pos="1985"/>
        <w:tab w:val="left" w:pos="454"/>
      </w:tabs>
      <w:overflowPunct/>
      <w:autoSpaceDE/>
      <w:autoSpaceDN/>
      <w:spacing w:after="170" w:line="280" w:lineRule="exact"/>
      <w:ind w:left="0" w:firstLine="0"/>
    </w:pPr>
    <w:rPr>
      <w:rFonts w:ascii="Arial" w:hAnsi="Arial" w:cs="Arial"/>
      <w:color w:val="000000"/>
      <w:sz w:val="20"/>
      <w:szCs w:val="24"/>
    </w:rPr>
  </w:style>
  <w:style w:type="paragraph" w:customStyle="1" w:styleId="Number12">
    <w:name w:val="Number 12"/>
    <w:basedOn w:val="Normal"/>
    <w:rsid w:val="00E006EF"/>
    <w:pPr>
      <w:numPr>
        <w:numId w:val="16"/>
      </w:numPr>
      <w:tabs>
        <w:tab w:val="clear" w:pos="1191"/>
        <w:tab w:val="clear" w:pos="1588"/>
        <w:tab w:val="clear" w:pos="1985"/>
        <w:tab w:val="left" w:pos="454"/>
      </w:tabs>
      <w:overflowPunct/>
      <w:autoSpaceDE/>
      <w:autoSpaceDN/>
      <w:spacing w:after="170" w:line="280" w:lineRule="exact"/>
      <w:ind w:left="0" w:firstLine="0"/>
    </w:pPr>
    <w:rPr>
      <w:rFonts w:ascii="Arial" w:hAnsi="Arial" w:cs="Arial"/>
      <w:color w:val="000000"/>
      <w:sz w:val="20"/>
      <w:szCs w:val="24"/>
    </w:rPr>
  </w:style>
  <w:style w:type="paragraph" w:customStyle="1" w:styleId="Number13">
    <w:name w:val="Number 13"/>
    <w:basedOn w:val="Normal"/>
    <w:rsid w:val="00E006EF"/>
    <w:pPr>
      <w:numPr>
        <w:numId w:val="18"/>
      </w:numPr>
      <w:tabs>
        <w:tab w:val="clear" w:pos="1191"/>
        <w:tab w:val="clear" w:pos="1588"/>
        <w:tab w:val="clear" w:pos="1985"/>
        <w:tab w:val="left" w:pos="454"/>
      </w:tabs>
      <w:overflowPunct/>
      <w:autoSpaceDE/>
      <w:autoSpaceDN/>
      <w:spacing w:after="170" w:line="280" w:lineRule="exact"/>
      <w:ind w:left="0" w:firstLine="0"/>
    </w:pPr>
    <w:rPr>
      <w:rFonts w:ascii="Arial" w:hAnsi="Arial" w:cs="Arial"/>
      <w:color w:val="000000"/>
      <w:sz w:val="20"/>
      <w:szCs w:val="24"/>
    </w:rPr>
  </w:style>
  <w:style w:type="paragraph" w:customStyle="1" w:styleId="Number14">
    <w:name w:val="Number 14"/>
    <w:basedOn w:val="Normal"/>
    <w:rsid w:val="00E006EF"/>
    <w:pPr>
      <w:numPr>
        <w:numId w:val="19"/>
      </w:numPr>
      <w:tabs>
        <w:tab w:val="clear" w:pos="1191"/>
        <w:tab w:val="clear" w:pos="1588"/>
        <w:tab w:val="clear" w:pos="1985"/>
        <w:tab w:val="left" w:pos="454"/>
      </w:tabs>
      <w:overflowPunct/>
      <w:autoSpaceDE/>
      <w:autoSpaceDN/>
      <w:spacing w:after="170" w:line="280" w:lineRule="exact"/>
      <w:ind w:left="0" w:firstLine="0"/>
    </w:pPr>
    <w:rPr>
      <w:rFonts w:ascii="Arial" w:hAnsi="Arial" w:cs="Arial"/>
      <w:color w:val="000000"/>
      <w:sz w:val="20"/>
      <w:szCs w:val="24"/>
    </w:rPr>
  </w:style>
  <w:style w:type="paragraph" w:customStyle="1" w:styleId="Number15">
    <w:name w:val="Number 15"/>
    <w:basedOn w:val="Normal"/>
    <w:rsid w:val="00E006EF"/>
    <w:pPr>
      <w:numPr>
        <w:numId w:val="20"/>
      </w:numPr>
      <w:tabs>
        <w:tab w:val="clear" w:pos="1191"/>
        <w:tab w:val="clear" w:pos="1588"/>
        <w:tab w:val="clear" w:pos="1985"/>
        <w:tab w:val="left" w:pos="454"/>
      </w:tabs>
      <w:overflowPunct/>
      <w:autoSpaceDE/>
      <w:autoSpaceDN/>
      <w:spacing w:after="170" w:line="280" w:lineRule="exact"/>
      <w:ind w:left="0" w:firstLine="0"/>
    </w:pPr>
    <w:rPr>
      <w:rFonts w:ascii="Arial" w:hAnsi="Arial" w:cs="Arial"/>
      <w:color w:val="000000"/>
      <w:sz w:val="20"/>
      <w:szCs w:val="24"/>
    </w:rPr>
  </w:style>
  <w:style w:type="paragraph" w:customStyle="1" w:styleId="Number16">
    <w:name w:val="Number 16"/>
    <w:basedOn w:val="Normal"/>
    <w:rsid w:val="00E006EF"/>
    <w:pPr>
      <w:numPr>
        <w:numId w:val="21"/>
      </w:numPr>
      <w:tabs>
        <w:tab w:val="clear" w:pos="1191"/>
        <w:tab w:val="clear" w:pos="1588"/>
        <w:tab w:val="clear" w:pos="1985"/>
        <w:tab w:val="left" w:pos="454"/>
      </w:tabs>
      <w:overflowPunct/>
      <w:autoSpaceDE/>
      <w:autoSpaceDN/>
      <w:spacing w:after="170" w:line="280" w:lineRule="exact"/>
      <w:ind w:left="0" w:firstLine="0"/>
    </w:pPr>
    <w:rPr>
      <w:rFonts w:ascii="Arial" w:hAnsi="Arial" w:cs="Arial"/>
      <w:color w:val="000000"/>
      <w:sz w:val="20"/>
      <w:szCs w:val="24"/>
    </w:rPr>
  </w:style>
  <w:style w:type="numbering" w:styleId="ArticleSection">
    <w:name w:val="Outline List 3"/>
    <w:basedOn w:val="NoList"/>
    <w:rsid w:val="00E006EF"/>
    <w:pPr>
      <w:numPr>
        <w:numId w:val="5"/>
      </w:numPr>
    </w:pPr>
  </w:style>
  <w:style w:type="character" w:customStyle="1" w:styleId="Figurereference">
    <w:name w:val="Figure reference"/>
    <w:rsid w:val="00E006EF"/>
    <w:rPr>
      <w:rFonts w:ascii="Arial" w:hAnsi="Arial"/>
      <w:b/>
      <w:color w:val="808080"/>
    </w:rPr>
  </w:style>
  <w:style w:type="paragraph" w:styleId="BodyTextIndent">
    <w:name w:val="Body Text Indent"/>
    <w:basedOn w:val="Normal"/>
    <w:link w:val="BodyTextIndentChar0"/>
    <w:rsid w:val="00E006EF"/>
    <w:pPr>
      <w:widowControl w:val="0"/>
      <w:tabs>
        <w:tab w:val="clear" w:pos="794"/>
        <w:tab w:val="clear" w:pos="1191"/>
        <w:tab w:val="clear" w:pos="1588"/>
        <w:tab w:val="clear" w:pos="1985"/>
      </w:tabs>
      <w:overflowPunct/>
      <w:autoSpaceDE/>
      <w:autoSpaceDN/>
      <w:spacing w:before="0" w:after="120" w:line="276" w:lineRule="auto"/>
      <w:ind w:left="499"/>
    </w:pPr>
    <w:rPr>
      <w:rFonts w:ascii="Arial" w:hAnsi="Arial" w:cs="Arial"/>
      <w:sz w:val="20"/>
      <w:szCs w:val="24"/>
    </w:rPr>
  </w:style>
  <w:style w:type="character" w:customStyle="1" w:styleId="BodyTextIndentChar0">
    <w:name w:val="Body Text Indent Char"/>
    <w:basedOn w:val="DefaultParagraphFont"/>
    <w:link w:val="BodyTextIndent"/>
    <w:rsid w:val="00E006EF"/>
    <w:rPr>
      <w:rFonts w:ascii="Arial" w:hAnsi="Arial" w:cs="Arial"/>
      <w:szCs w:val="24"/>
      <w:lang w:val="en-GB" w:eastAsia="en-US"/>
    </w:rPr>
  </w:style>
  <w:style w:type="paragraph" w:customStyle="1" w:styleId="zzContentsHeader">
    <w:name w:val="zz  Contents Header"/>
    <w:rsid w:val="00E006EF"/>
    <w:pPr>
      <w:widowControl w:val="0"/>
      <w:adjustRightInd w:val="0"/>
      <w:spacing w:after="480" w:line="360" w:lineRule="atLeast"/>
      <w:jc w:val="both"/>
      <w:textAlignment w:val="baseline"/>
    </w:pPr>
    <w:rPr>
      <w:rFonts w:ascii="Arial" w:hAnsi="Arial" w:cs="HelveticaNeue-Light"/>
      <w:color w:val="000000"/>
      <w:spacing w:val="-6"/>
      <w:sz w:val="48"/>
      <w:szCs w:val="56"/>
      <w:lang w:val="en-GB" w:eastAsia="en-US"/>
    </w:rPr>
  </w:style>
  <w:style w:type="paragraph" w:customStyle="1" w:styleId="zzCovertitle">
    <w:name w:val="zz Cover title"/>
    <w:rsid w:val="00E006EF"/>
    <w:pPr>
      <w:widowControl w:val="0"/>
      <w:adjustRightInd w:val="0"/>
      <w:spacing w:before="2400" w:after="120" w:line="360" w:lineRule="atLeast"/>
      <w:textAlignment w:val="baseline"/>
    </w:pPr>
    <w:rPr>
      <w:rFonts w:ascii="Arial" w:hAnsi="Arial" w:cs="HelveticaNeue-Light"/>
      <w:color w:val="000000"/>
      <w:spacing w:val="-6"/>
      <w:sz w:val="60"/>
      <w:szCs w:val="56"/>
      <w:lang w:val="en-GB" w:eastAsia="en-US"/>
    </w:rPr>
  </w:style>
  <w:style w:type="paragraph" w:customStyle="1" w:styleId="22-BoxText">
    <w:name w:val="22 - Box Text"/>
    <w:rsid w:val="00E006EF"/>
    <w:pPr>
      <w:widowControl w:val="0"/>
      <w:adjustRightInd w:val="0"/>
      <w:spacing w:before="120" w:after="120" w:line="360" w:lineRule="atLeast"/>
      <w:jc w:val="both"/>
      <w:textAlignment w:val="baseline"/>
    </w:pPr>
    <w:rPr>
      <w:rFonts w:ascii="Arial" w:hAnsi="Arial" w:cs="Arial"/>
      <w:color w:val="000000"/>
      <w:lang w:val="en-GB" w:eastAsia="en-US"/>
    </w:rPr>
  </w:style>
  <w:style w:type="paragraph" w:customStyle="1" w:styleId="AnnexB">
    <w:name w:val="Annex B"/>
    <w:basedOn w:val="AnnexA"/>
    <w:rsid w:val="00E006EF"/>
    <w:pPr>
      <w:numPr>
        <w:numId w:val="9"/>
      </w:numPr>
      <w:ind w:left="0" w:firstLine="0"/>
    </w:pPr>
  </w:style>
  <w:style w:type="paragraph" w:customStyle="1" w:styleId="AnnexC">
    <w:name w:val="Annex C"/>
    <w:basedOn w:val="AnnexA"/>
    <w:rsid w:val="00E006EF"/>
    <w:pPr>
      <w:numPr>
        <w:numId w:val="15"/>
      </w:numPr>
      <w:ind w:left="0" w:firstLine="0"/>
    </w:pPr>
  </w:style>
  <w:style w:type="paragraph" w:customStyle="1" w:styleId="AnnexD">
    <w:name w:val="Annex D"/>
    <w:basedOn w:val="AnnexA"/>
    <w:rsid w:val="00E006EF"/>
    <w:pPr>
      <w:numPr>
        <w:numId w:val="8"/>
      </w:numPr>
      <w:ind w:left="0" w:firstLine="0"/>
    </w:pPr>
  </w:style>
  <w:style w:type="paragraph" w:customStyle="1" w:styleId="AnnexE">
    <w:name w:val="Annex E"/>
    <w:basedOn w:val="AnnexA"/>
    <w:rsid w:val="00E006EF"/>
    <w:pPr>
      <w:numPr>
        <w:numId w:val="6"/>
      </w:numPr>
      <w:tabs>
        <w:tab w:val="clear" w:pos="774"/>
        <w:tab w:val="num" w:pos="1440"/>
      </w:tabs>
      <w:ind w:left="0" w:firstLine="0"/>
    </w:pPr>
  </w:style>
  <w:style w:type="paragraph" w:customStyle="1" w:styleId="AnnexF">
    <w:name w:val="Annex F"/>
    <w:basedOn w:val="AnnexA"/>
    <w:rsid w:val="00E006EF"/>
    <w:pPr>
      <w:numPr>
        <w:numId w:val="11"/>
      </w:numPr>
      <w:ind w:left="0" w:firstLine="0"/>
    </w:pPr>
  </w:style>
  <w:style w:type="paragraph" w:customStyle="1" w:styleId="AnnexG">
    <w:name w:val="Annex G"/>
    <w:basedOn w:val="AnnexA"/>
    <w:rsid w:val="00E006EF"/>
    <w:pPr>
      <w:numPr>
        <w:numId w:val="12"/>
      </w:numPr>
      <w:ind w:left="0" w:firstLine="0"/>
    </w:pPr>
  </w:style>
  <w:style w:type="paragraph" w:customStyle="1" w:styleId="AnnexH">
    <w:name w:val="Annex H"/>
    <w:basedOn w:val="AnnexA"/>
    <w:rsid w:val="00E006EF"/>
    <w:pPr>
      <w:numPr>
        <w:numId w:val="13"/>
      </w:numPr>
      <w:ind w:left="0" w:firstLine="0"/>
    </w:pPr>
  </w:style>
  <w:style w:type="paragraph" w:customStyle="1" w:styleId="AnnexI">
    <w:name w:val="Annex I"/>
    <w:basedOn w:val="AnnexA"/>
    <w:rsid w:val="00E006EF"/>
    <w:pPr>
      <w:numPr>
        <w:numId w:val="14"/>
      </w:numPr>
      <w:ind w:left="0" w:firstLine="0"/>
    </w:pPr>
  </w:style>
  <w:style w:type="paragraph" w:customStyle="1" w:styleId="AnnexJ">
    <w:name w:val="Annex J"/>
    <w:basedOn w:val="AnnexA"/>
    <w:rsid w:val="00E006EF"/>
    <w:pPr>
      <w:numPr>
        <w:numId w:val="10"/>
      </w:numPr>
      <w:ind w:left="0" w:firstLine="0"/>
    </w:pPr>
  </w:style>
  <w:style w:type="character" w:customStyle="1" w:styleId="Number10CharChar">
    <w:name w:val="Number 10 Char Char"/>
    <w:link w:val="Number10"/>
    <w:rsid w:val="00E006EF"/>
    <w:rPr>
      <w:rFonts w:ascii="Arial" w:hAnsi="Arial" w:cs="Arial"/>
      <w:color w:val="000000"/>
      <w:szCs w:val="24"/>
      <w:lang w:val="en-GB" w:eastAsia="en-US"/>
    </w:rPr>
  </w:style>
  <w:style w:type="paragraph" w:customStyle="1" w:styleId="DocumentType">
    <w:name w:val="Document Type"/>
    <w:rsid w:val="00E006EF"/>
    <w:pPr>
      <w:spacing w:after="120" w:line="240" w:lineRule="exact"/>
    </w:pPr>
    <w:rPr>
      <w:rFonts w:ascii="Arial" w:hAnsi="Arial"/>
      <w:b/>
      <w:szCs w:val="24"/>
      <w:lang w:val="en-GB" w:eastAsia="en-GB"/>
    </w:rPr>
  </w:style>
  <w:style w:type="paragraph" w:styleId="BalloonText">
    <w:name w:val="Balloon Text"/>
    <w:basedOn w:val="Normal"/>
    <w:link w:val="BalloonTextChar"/>
    <w:semiHidden/>
    <w:rsid w:val="00E006EF"/>
    <w:pPr>
      <w:widowControl w:val="0"/>
      <w:tabs>
        <w:tab w:val="clear" w:pos="794"/>
        <w:tab w:val="clear" w:pos="1191"/>
        <w:tab w:val="clear" w:pos="1588"/>
        <w:tab w:val="clear" w:pos="1985"/>
      </w:tabs>
      <w:overflowPunct/>
      <w:autoSpaceDE/>
      <w:autoSpaceDN/>
      <w:spacing w:before="0" w:after="120" w:line="276" w:lineRule="auto"/>
    </w:pPr>
    <w:rPr>
      <w:rFonts w:ascii="Tahoma" w:hAnsi="Tahoma" w:cs="Tahoma"/>
      <w:sz w:val="16"/>
      <w:szCs w:val="16"/>
    </w:rPr>
  </w:style>
  <w:style w:type="character" w:customStyle="1" w:styleId="BalloonTextChar">
    <w:name w:val="Balloon Text Char"/>
    <w:basedOn w:val="DefaultParagraphFont"/>
    <w:link w:val="BalloonText"/>
    <w:semiHidden/>
    <w:rsid w:val="00E006EF"/>
    <w:rPr>
      <w:rFonts w:ascii="Tahoma" w:hAnsi="Tahoma" w:cs="Tahoma"/>
      <w:sz w:val="16"/>
      <w:szCs w:val="16"/>
      <w:lang w:val="en-GB" w:eastAsia="en-US"/>
    </w:rPr>
  </w:style>
  <w:style w:type="paragraph" w:customStyle="1" w:styleId="zz">
    <w:name w:val="zz"/>
    <w:rsid w:val="00E006EF"/>
    <w:pPr>
      <w:spacing w:after="120" w:line="480" w:lineRule="exact"/>
    </w:pPr>
    <w:rPr>
      <w:rFonts w:ascii="Arial" w:hAnsi="Arial" w:cs="Arial"/>
      <w:sz w:val="36"/>
      <w:szCs w:val="40"/>
      <w:lang w:val="en-GB" w:eastAsia="en-GB"/>
    </w:rPr>
  </w:style>
  <w:style w:type="paragraph" w:customStyle="1" w:styleId="zzDocType">
    <w:name w:val="zzDocType"/>
    <w:basedOn w:val="Normal"/>
    <w:rsid w:val="00E006EF"/>
    <w:pPr>
      <w:tabs>
        <w:tab w:val="clear" w:pos="794"/>
        <w:tab w:val="clear" w:pos="1191"/>
        <w:tab w:val="clear" w:pos="1588"/>
        <w:tab w:val="clear" w:pos="1985"/>
      </w:tabs>
      <w:overflowPunct/>
      <w:autoSpaceDE/>
      <w:autoSpaceDN/>
      <w:adjustRightInd/>
      <w:spacing w:after="120" w:line="240" w:lineRule="exact"/>
      <w:textAlignment w:val="auto"/>
    </w:pPr>
    <w:rPr>
      <w:rFonts w:ascii="Arial" w:hAnsi="Arial"/>
      <w:b/>
      <w:sz w:val="20"/>
      <w:szCs w:val="24"/>
      <w:lang w:eastAsia="en-GB"/>
    </w:rPr>
  </w:style>
  <w:style w:type="paragraph" w:customStyle="1" w:styleId="BoxBullet">
    <w:name w:val="Box Bullet"/>
    <w:basedOn w:val="Normal"/>
    <w:rsid w:val="00E006EF"/>
    <w:pPr>
      <w:numPr>
        <w:numId w:val="27"/>
      </w:numPr>
      <w:tabs>
        <w:tab w:val="clear" w:pos="794"/>
        <w:tab w:val="clear" w:pos="1191"/>
        <w:tab w:val="clear" w:pos="1588"/>
        <w:tab w:val="clear" w:pos="1985"/>
      </w:tabs>
      <w:overflowPunct/>
      <w:autoSpaceDE/>
      <w:autoSpaceDN/>
      <w:adjustRightInd/>
      <w:spacing w:before="0" w:after="120" w:line="200" w:lineRule="exact"/>
      <w:textAlignment w:val="auto"/>
    </w:pPr>
    <w:rPr>
      <w:rFonts w:ascii="Arial" w:hAnsi="Arial"/>
      <w:color w:val="000000"/>
      <w:sz w:val="16"/>
      <w:szCs w:val="16"/>
      <w:lang w:eastAsia="en-GB"/>
    </w:rPr>
  </w:style>
  <w:style w:type="paragraph" w:customStyle="1" w:styleId="StyleFigureTextBold">
    <w:name w:val="Style Figure Text Bold"/>
    <w:basedOn w:val="Normal"/>
    <w:rsid w:val="00E006EF"/>
    <w:pPr>
      <w:tabs>
        <w:tab w:val="clear" w:pos="794"/>
        <w:tab w:val="clear" w:pos="1191"/>
        <w:tab w:val="clear" w:pos="1588"/>
        <w:tab w:val="clear" w:pos="1985"/>
      </w:tabs>
      <w:overflowPunct/>
      <w:autoSpaceDE/>
      <w:autoSpaceDN/>
      <w:adjustRightInd/>
      <w:spacing w:before="0" w:after="120" w:line="200" w:lineRule="exact"/>
      <w:textAlignment w:val="auto"/>
    </w:pPr>
    <w:rPr>
      <w:rFonts w:ascii="Arial" w:hAnsi="Arial"/>
      <w:b/>
      <w:bCs/>
      <w:color w:val="000000"/>
      <w:sz w:val="16"/>
      <w:szCs w:val="16"/>
      <w:lang w:eastAsia="en-GB"/>
    </w:rPr>
  </w:style>
  <w:style w:type="paragraph" w:customStyle="1" w:styleId="zzReporttitle">
    <w:name w:val="zz Report title"/>
    <w:basedOn w:val="Normal"/>
    <w:rsid w:val="00E006EF"/>
    <w:pPr>
      <w:keepNext/>
      <w:widowControl w:val="0"/>
      <w:tabs>
        <w:tab w:val="clear" w:pos="794"/>
        <w:tab w:val="clear" w:pos="1191"/>
        <w:tab w:val="clear" w:pos="1588"/>
        <w:tab w:val="clear" w:pos="1985"/>
      </w:tabs>
      <w:overflowPunct/>
      <w:autoSpaceDE/>
      <w:autoSpaceDN/>
      <w:spacing w:before="200" w:after="200" w:line="560" w:lineRule="exact"/>
    </w:pPr>
    <w:rPr>
      <w:rFonts w:ascii="Arial" w:hAnsi="Arial" w:cs="HelveticaNeue-Light"/>
      <w:color w:val="000000"/>
      <w:spacing w:val="-6"/>
      <w:sz w:val="48"/>
      <w:szCs w:val="56"/>
      <w:lang w:eastAsia="en-GB"/>
    </w:rPr>
  </w:style>
  <w:style w:type="paragraph" w:customStyle="1" w:styleId="Figuresubtitle">
    <w:name w:val="Figure sub title"/>
    <w:basedOn w:val="Normal"/>
    <w:rsid w:val="00E006EF"/>
    <w:pPr>
      <w:tabs>
        <w:tab w:val="clear" w:pos="794"/>
        <w:tab w:val="clear" w:pos="1191"/>
        <w:tab w:val="clear" w:pos="1588"/>
        <w:tab w:val="clear" w:pos="1985"/>
      </w:tabs>
      <w:overflowPunct/>
      <w:autoSpaceDE/>
      <w:autoSpaceDN/>
      <w:adjustRightInd/>
      <w:spacing w:after="120" w:line="220" w:lineRule="exact"/>
      <w:textAlignment w:val="auto"/>
    </w:pPr>
    <w:rPr>
      <w:rFonts w:ascii="Arial" w:hAnsi="Arial"/>
      <w:b/>
      <w:color w:val="000000"/>
      <w:sz w:val="16"/>
      <w:szCs w:val="16"/>
      <w:lang w:eastAsia="en-GB"/>
    </w:rPr>
  </w:style>
  <w:style w:type="paragraph" w:customStyle="1" w:styleId="Figuretest">
    <w:name w:val="Figure test"/>
    <w:basedOn w:val="Normal"/>
    <w:rsid w:val="00E006EF"/>
    <w:pPr>
      <w:tabs>
        <w:tab w:val="clear" w:pos="794"/>
        <w:tab w:val="clear" w:pos="1191"/>
        <w:tab w:val="clear" w:pos="1588"/>
        <w:tab w:val="clear" w:pos="1985"/>
      </w:tabs>
      <w:overflowPunct/>
      <w:autoSpaceDE/>
      <w:autoSpaceDN/>
      <w:adjustRightInd/>
      <w:spacing w:after="120" w:line="200" w:lineRule="exact"/>
      <w:textAlignment w:val="auto"/>
    </w:pPr>
    <w:rPr>
      <w:rFonts w:ascii="Arial" w:hAnsi="Arial"/>
      <w:color w:val="000000"/>
      <w:sz w:val="16"/>
      <w:szCs w:val="16"/>
      <w:lang w:eastAsia="en-GB"/>
    </w:rPr>
  </w:style>
  <w:style w:type="paragraph" w:customStyle="1" w:styleId="FigureSource">
    <w:name w:val="Figure Source"/>
    <w:uiPriority w:val="21"/>
    <w:qFormat/>
    <w:rsid w:val="00E006EF"/>
    <w:pPr>
      <w:spacing w:before="60" w:after="40" w:line="180" w:lineRule="exact"/>
    </w:pPr>
    <w:rPr>
      <w:rFonts w:ascii="Arial" w:hAnsi="Arial"/>
      <w:sz w:val="14"/>
      <w:szCs w:val="16"/>
      <w:lang w:val="en-GB" w:eastAsia="en-GB"/>
    </w:rPr>
  </w:style>
  <w:style w:type="paragraph" w:customStyle="1" w:styleId="Figurenoteheader">
    <w:name w:val="Figure note header"/>
    <w:rsid w:val="00E006EF"/>
    <w:pPr>
      <w:spacing w:before="120" w:after="120" w:line="180" w:lineRule="exact"/>
    </w:pPr>
    <w:rPr>
      <w:rFonts w:ascii="Arial" w:hAnsi="Arial"/>
      <w:b/>
      <w:sz w:val="14"/>
      <w:szCs w:val="16"/>
      <w:lang w:val="en-GB" w:eastAsia="en-GB"/>
    </w:rPr>
  </w:style>
  <w:style w:type="paragraph" w:customStyle="1" w:styleId="Figurenotetext">
    <w:name w:val="Figure note text"/>
    <w:rsid w:val="00E006EF"/>
    <w:pPr>
      <w:spacing w:before="120" w:after="120" w:line="180" w:lineRule="exact"/>
    </w:pPr>
    <w:rPr>
      <w:rFonts w:ascii="Arial" w:hAnsi="Arial"/>
      <w:sz w:val="14"/>
      <w:szCs w:val="16"/>
      <w:lang w:val="en-GB" w:eastAsia="en-GB"/>
    </w:rPr>
  </w:style>
  <w:style w:type="table" w:customStyle="1" w:styleId="BasicNAOTable">
    <w:name w:val="Basic NAO Table"/>
    <w:basedOn w:val="TableNormal"/>
    <w:rsid w:val="00E006EF"/>
    <w:pPr>
      <w:spacing w:after="170" w:line="280" w:lineRule="exact"/>
    </w:pPr>
    <w:rPr>
      <w:rFonts w:ascii="Arial" w:hAnsi="Arial"/>
      <w:color w:val="000000"/>
      <w:sz w:val="16"/>
      <w:lang w:val="en-GB" w:eastAsia="en-GB"/>
    </w:rPr>
    <w:tblPr>
      <w:tblBorders>
        <w:bottom w:val="single" w:sz="4" w:space="0" w:color="auto"/>
      </w:tblBorders>
    </w:tblPr>
    <w:tblStylePr w:type="firstRow">
      <w:rPr>
        <w:rFonts w:ascii="Courier New" w:hAnsi="Courier New"/>
        <w:b/>
        <w:sz w:val="20"/>
      </w:rPr>
      <w:tblPr/>
      <w:tcPr>
        <w:tcBorders>
          <w:top w:val="single" w:sz="4" w:space="0" w:color="auto"/>
        </w:tcBorders>
      </w:tcPr>
    </w:tblStylePr>
    <w:tblStylePr w:type="lastRow">
      <w:rPr>
        <w:rFonts w:ascii="Courier New" w:hAnsi="Courier New"/>
      </w:rPr>
      <w:tblPr/>
      <w:tcPr>
        <w:tcBorders>
          <w:bottom w:val="single" w:sz="4" w:space="0" w:color="auto"/>
        </w:tcBorders>
      </w:tcPr>
    </w:tblStylePr>
  </w:style>
  <w:style w:type="character" w:customStyle="1" w:styleId="QuotetextChar">
    <w:name w:val="Quote text Char"/>
    <w:link w:val="Quotetext"/>
    <w:rsid w:val="00E006EF"/>
    <w:rPr>
      <w:rFonts w:ascii="Arial" w:hAnsi="Arial" w:cs="Arial"/>
      <w:i/>
      <w:color w:val="000000"/>
      <w:szCs w:val="24"/>
      <w:lang w:val="en-GB" w:eastAsia="en-US"/>
    </w:rPr>
  </w:style>
  <w:style w:type="character" w:styleId="CommentReference">
    <w:name w:val="annotation reference"/>
    <w:uiPriority w:val="99"/>
    <w:semiHidden/>
    <w:rsid w:val="00E006EF"/>
    <w:rPr>
      <w:sz w:val="16"/>
      <w:szCs w:val="16"/>
    </w:rPr>
  </w:style>
  <w:style w:type="paragraph" w:styleId="CommentText">
    <w:name w:val="annotation text"/>
    <w:basedOn w:val="Normal"/>
    <w:link w:val="CommentTextChar"/>
    <w:rsid w:val="00E006EF"/>
    <w:pPr>
      <w:widowControl w:val="0"/>
      <w:tabs>
        <w:tab w:val="clear" w:pos="794"/>
        <w:tab w:val="clear" w:pos="1191"/>
        <w:tab w:val="clear" w:pos="1588"/>
        <w:tab w:val="clear" w:pos="1985"/>
      </w:tabs>
      <w:overflowPunct/>
      <w:autoSpaceDE/>
      <w:autoSpaceDN/>
      <w:spacing w:before="0" w:after="120" w:line="276" w:lineRule="auto"/>
    </w:pPr>
    <w:rPr>
      <w:rFonts w:ascii="Arial" w:hAnsi="Arial" w:cs="Arial"/>
      <w:sz w:val="20"/>
    </w:rPr>
  </w:style>
  <w:style w:type="character" w:customStyle="1" w:styleId="CommentTextChar">
    <w:name w:val="Comment Text Char"/>
    <w:basedOn w:val="DefaultParagraphFont"/>
    <w:link w:val="CommentText"/>
    <w:rsid w:val="00E006EF"/>
    <w:rPr>
      <w:rFonts w:ascii="Arial" w:hAnsi="Arial" w:cs="Arial"/>
      <w:lang w:val="en-GB" w:eastAsia="en-US"/>
    </w:rPr>
  </w:style>
  <w:style w:type="paragraph" w:styleId="CommentSubject">
    <w:name w:val="annotation subject"/>
    <w:basedOn w:val="CommentText"/>
    <w:next w:val="CommentText"/>
    <w:link w:val="CommentSubjectChar"/>
    <w:semiHidden/>
    <w:rsid w:val="00E006EF"/>
    <w:rPr>
      <w:b/>
      <w:bCs/>
    </w:rPr>
  </w:style>
  <w:style w:type="character" w:customStyle="1" w:styleId="CommentSubjectChar">
    <w:name w:val="Comment Subject Char"/>
    <w:basedOn w:val="CommentTextChar"/>
    <w:link w:val="CommentSubject"/>
    <w:semiHidden/>
    <w:rsid w:val="00E006EF"/>
    <w:rPr>
      <w:rFonts w:ascii="Arial" w:hAnsi="Arial" w:cs="Arial"/>
      <w:b/>
      <w:bCs/>
      <w:lang w:val="en-GB" w:eastAsia="en-US"/>
    </w:rPr>
  </w:style>
  <w:style w:type="paragraph" w:customStyle="1" w:styleId="StyleFigurenoteheaderJustified">
    <w:name w:val="Style Figure note header + Justified"/>
    <w:basedOn w:val="Figurenoteheader"/>
    <w:rsid w:val="00E006EF"/>
    <w:rPr>
      <w:bCs/>
      <w:szCs w:val="20"/>
    </w:rPr>
  </w:style>
  <w:style w:type="character" w:customStyle="1" w:styleId="CaptionK2Char">
    <w:name w:val="CaptionK2 Char"/>
    <w:link w:val="CaptionK2"/>
    <w:rsid w:val="00E006EF"/>
    <w:rPr>
      <w:rFonts w:ascii="Arial" w:hAnsi="Arial" w:cs="Arial"/>
      <w:bCs/>
      <w:color w:val="000000"/>
      <w:sz w:val="24"/>
      <w:szCs w:val="24"/>
      <w:lang w:val="en-GB" w:eastAsia="en-US"/>
    </w:rPr>
  </w:style>
  <w:style w:type="paragraph" w:customStyle="1" w:styleId="StyleCaptionK2">
    <w:name w:val="Style CaptionK2 +"/>
    <w:basedOn w:val="Normal"/>
    <w:rsid w:val="00E006EF"/>
    <w:pPr>
      <w:tabs>
        <w:tab w:val="clear" w:pos="794"/>
        <w:tab w:val="clear" w:pos="1191"/>
        <w:tab w:val="clear" w:pos="1588"/>
        <w:tab w:val="clear" w:pos="1985"/>
        <w:tab w:val="left" w:pos="454"/>
      </w:tabs>
      <w:overflowPunct/>
      <w:autoSpaceDE/>
      <w:autoSpaceDN/>
      <w:spacing w:after="170" w:line="280" w:lineRule="exact"/>
    </w:pPr>
    <w:rPr>
      <w:rFonts w:ascii="Arial" w:hAnsi="Arial"/>
      <w:bCs/>
      <w:color w:val="000000"/>
      <w:sz w:val="24"/>
    </w:rPr>
  </w:style>
  <w:style w:type="paragraph" w:customStyle="1" w:styleId="StyleFigureSource">
    <w:name w:val="Style Figure Source"/>
    <w:basedOn w:val="FigureSource"/>
    <w:rsid w:val="00E006EF"/>
    <w:rPr>
      <w:i/>
      <w:szCs w:val="20"/>
    </w:rPr>
  </w:style>
  <w:style w:type="paragraph" w:customStyle="1" w:styleId="NOTES">
    <w:name w:val="NOTES"/>
    <w:uiPriority w:val="22"/>
    <w:qFormat/>
    <w:rsid w:val="00E006EF"/>
    <w:pPr>
      <w:spacing w:before="120" w:line="180" w:lineRule="exact"/>
    </w:pPr>
    <w:rPr>
      <w:rFonts w:ascii="Arial" w:hAnsi="Arial"/>
      <w:b/>
      <w:sz w:val="14"/>
      <w:szCs w:val="16"/>
      <w:lang w:val="en-GB" w:eastAsia="en-GB"/>
    </w:rPr>
  </w:style>
  <w:style w:type="numbering" w:customStyle="1" w:styleId="Numberednotes">
    <w:name w:val="Numbered notes"/>
    <w:uiPriority w:val="99"/>
    <w:rsid w:val="00E006EF"/>
    <w:pPr>
      <w:numPr>
        <w:numId w:val="31"/>
      </w:numPr>
    </w:pPr>
  </w:style>
  <w:style w:type="paragraph" w:customStyle="1" w:styleId="NumberedNotes1">
    <w:name w:val="Numbered Notes"/>
    <w:basedOn w:val="BodyText0"/>
    <w:uiPriority w:val="23"/>
    <w:qFormat/>
    <w:rsid w:val="00E006EF"/>
    <w:pPr>
      <w:numPr>
        <w:numId w:val="33"/>
      </w:numPr>
      <w:spacing w:after="0" w:line="220" w:lineRule="exact"/>
    </w:pPr>
    <w:rPr>
      <w:color w:val="000000"/>
      <w:sz w:val="14"/>
    </w:rPr>
  </w:style>
  <w:style w:type="paragraph" w:customStyle="1" w:styleId="TextReplace">
    <w:name w:val="TextReplace"/>
    <w:basedOn w:val="Normal"/>
    <w:rsid w:val="00E006EF"/>
    <w:pPr>
      <w:widowControl w:val="0"/>
      <w:tabs>
        <w:tab w:val="clear" w:pos="794"/>
        <w:tab w:val="clear" w:pos="1191"/>
        <w:tab w:val="clear" w:pos="1588"/>
        <w:tab w:val="clear" w:pos="1985"/>
      </w:tabs>
      <w:overflowPunct/>
      <w:autoSpaceDE/>
      <w:autoSpaceDN/>
      <w:spacing w:before="0" w:after="120"/>
    </w:pPr>
    <w:rPr>
      <w:rFonts w:ascii="Arial" w:hAnsi="Arial"/>
      <w:sz w:val="12"/>
    </w:rPr>
  </w:style>
  <w:style w:type="paragraph" w:customStyle="1" w:styleId="StyleNOTESJustified">
    <w:name w:val="Style NOTES + Justified"/>
    <w:basedOn w:val="NOTES"/>
    <w:rsid w:val="00E006EF"/>
    <w:rPr>
      <w:bCs/>
      <w:szCs w:val="20"/>
    </w:rPr>
  </w:style>
  <w:style w:type="paragraph" w:customStyle="1" w:styleId="StyleStyleCaptionK2">
    <w:name w:val="Style Style CaptionK2 + +"/>
    <w:basedOn w:val="StyleCaptionK2"/>
    <w:rsid w:val="00E006EF"/>
    <w:rPr>
      <w:b/>
      <w:bCs w:val="0"/>
    </w:rPr>
  </w:style>
  <w:style w:type="paragraph" w:customStyle="1" w:styleId="Style9ptJustifiedBefore6ptAfter6pt1">
    <w:name w:val="Style 9 pt Justified Before:  6 pt After:  6 pt1"/>
    <w:basedOn w:val="Normal"/>
    <w:rsid w:val="00E006EF"/>
    <w:pPr>
      <w:widowControl w:val="0"/>
      <w:tabs>
        <w:tab w:val="clear" w:pos="794"/>
        <w:tab w:val="clear" w:pos="1191"/>
        <w:tab w:val="clear" w:pos="1588"/>
        <w:tab w:val="clear" w:pos="1985"/>
      </w:tabs>
      <w:overflowPunct/>
      <w:autoSpaceDE/>
      <w:autoSpaceDN/>
      <w:spacing w:before="0" w:after="120" w:line="276" w:lineRule="auto"/>
      <w:jc w:val="both"/>
    </w:pPr>
    <w:rPr>
      <w:rFonts w:ascii="Arial" w:hAnsi="Arial"/>
      <w:sz w:val="18"/>
    </w:rPr>
  </w:style>
  <w:style w:type="paragraph" w:customStyle="1" w:styleId="LandscapeHeader">
    <w:name w:val="Landscape Header"/>
    <w:basedOn w:val="Heading1"/>
    <w:next w:val="BodyText0"/>
    <w:rsid w:val="00E006EF"/>
    <w:pPr>
      <w:keepLines w:val="0"/>
      <w:pageBreakBefore/>
      <w:tabs>
        <w:tab w:val="clear" w:pos="774"/>
        <w:tab w:val="clear" w:pos="1191"/>
        <w:tab w:val="clear" w:pos="1588"/>
        <w:tab w:val="clear" w:pos="1985"/>
      </w:tabs>
      <w:overflowPunct/>
      <w:autoSpaceDE/>
      <w:autoSpaceDN/>
      <w:adjustRightInd/>
      <w:spacing w:before="0" w:after="240" w:line="560" w:lineRule="exact"/>
      <w:ind w:left="0" w:firstLine="0"/>
      <w:textAlignment w:val="auto"/>
    </w:pPr>
    <w:rPr>
      <w:rFonts w:ascii="Arial" w:hAnsi="Arial" w:cs="HelveticaNeue-Light"/>
      <w:color w:val="000000"/>
      <w:spacing w:val="-6"/>
      <w:sz w:val="48"/>
      <w:szCs w:val="56"/>
    </w:rPr>
  </w:style>
  <w:style w:type="paragraph" w:customStyle="1" w:styleId="FigureBullets">
    <w:name w:val="Figure Bullets"/>
    <w:basedOn w:val="Bullet"/>
    <w:rsid w:val="00E006EF"/>
    <w:pPr>
      <w:tabs>
        <w:tab w:val="clear" w:pos="499"/>
        <w:tab w:val="num" w:pos="340"/>
      </w:tabs>
      <w:spacing w:after="0" w:line="220" w:lineRule="exact"/>
      <w:ind w:left="340" w:hanging="340"/>
    </w:pPr>
    <w:rPr>
      <w:sz w:val="16"/>
      <w:szCs w:val="16"/>
    </w:rPr>
  </w:style>
  <w:style w:type="paragraph" w:customStyle="1" w:styleId="zzDepartmentname">
    <w:name w:val="zz Department name"/>
    <w:rsid w:val="00E006EF"/>
    <w:pPr>
      <w:pBdr>
        <w:top w:val="single" w:sz="4" w:space="1" w:color="auto"/>
      </w:pBdr>
      <w:spacing w:before="4000" w:after="120" w:line="276" w:lineRule="auto"/>
    </w:pPr>
    <w:rPr>
      <w:rFonts w:ascii="Arial" w:hAnsi="Arial" w:cs="Arial"/>
      <w:b/>
      <w:position w:val="-36"/>
      <w:sz w:val="28"/>
      <w:szCs w:val="28"/>
      <w:lang w:val="en-GB" w:eastAsia="en-GB"/>
    </w:rPr>
  </w:style>
  <w:style w:type="paragraph" w:customStyle="1" w:styleId="zzSecurity">
    <w:name w:val="zzSecurity"/>
    <w:basedOn w:val="image"/>
    <w:rsid w:val="00E006EF"/>
    <w:pPr>
      <w:spacing w:after="0"/>
    </w:pPr>
    <w:rPr>
      <w:sz w:val="16"/>
      <w:szCs w:val="16"/>
    </w:rPr>
  </w:style>
  <w:style w:type="paragraph" w:styleId="BodyText0">
    <w:name w:val="Body Text"/>
    <w:basedOn w:val="Normal"/>
    <w:link w:val="BodyTextChar"/>
    <w:qFormat/>
    <w:rsid w:val="00E006EF"/>
    <w:pPr>
      <w:widowControl w:val="0"/>
      <w:tabs>
        <w:tab w:val="clear" w:pos="794"/>
        <w:tab w:val="clear" w:pos="1191"/>
        <w:tab w:val="clear" w:pos="1588"/>
        <w:tab w:val="clear" w:pos="1985"/>
      </w:tabs>
      <w:overflowPunct/>
      <w:autoSpaceDE/>
      <w:autoSpaceDN/>
      <w:spacing w:before="0" w:after="120" w:line="276" w:lineRule="auto"/>
    </w:pPr>
    <w:rPr>
      <w:rFonts w:ascii="Arial" w:hAnsi="Arial" w:cs="Arial"/>
      <w:sz w:val="20"/>
      <w:szCs w:val="24"/>
    </w:rPr>
  </w:style>
  <w:style w:type="character" w:customStyle="1" w:styleId="BodyTextChar">
    <w:name w:val="Body Text Char"/>
    <w:basedOn w:val="DefaultParagraphFont"/>
    <w:link w:val="BodyText0"/>
    <w:rsid w:val="00E006EF"/>
    <w:rPr>
      <w:rFonts w:ascii="Arial" w:hAnsi="Arial" w:cs="Arial"/>
      <w:szCs w:val="24"/>
      <w:lang w:val="en-GB" w:eastAsia="en-US"/>
    </w:rPr>
  </w:style>
  <w:style w:type="paragraph" w:styleId="Salutation">
    <w:name w:val="Salutation"/>
    <w:basedOn w:val="Normal"/>
    <w:next w:val="Normal"/>
    <w:link w:val="SalutationChar"/>
    <w:rsid w:val="00E006EF"/>
    <w:pPr>
      <w:widowControl w:val="0"/>
      <w:tabs>
        <w:tab w:val="clear" w:pos="794"/>
        <w:tab w:val="clear" w:pos="1191"/>
        <w:tab w:val="clear" w:pos="1588"/>
        <w:tab w:val="clear" w:pos="1985"/>
      </w:tabs>
      <w:overflowPunct/>
      <w:autoSpaceDE/>
      <w:autoSpaceDN/>
      <w:spacing w:before="0" w:after="120" w:line="276" w:lineRule="auto"/>
    </w:pPr>
    <w:rPr>
      <w:rFonts w:ascii="Arial" w:hAnsi="Arial" w:cs="Arial"/>
      <w:sz w:val="20"/>
      <w:szCs w:val="24"/>
    </w:rPr>
  </w:style>
  <w:style w:type="character" w:customStyle="1" w:styleId="SalutationChar">
    <w:name w:val="Salutation Char"/>
    <w:basedOn w:val="DefaultParagraphFont"/>
    <w:link w:val="Salutation"/>
    <w:rsid w:val="00E006EF"/>
    <w:rPr>
      <w:rFonts w:ascii="Arial" w:hAnsi="Arial" w:cs="Arial"/>
      <w:szCs w:val="24"/>
      <w:lang w:val="en-GB" w:eastAsia="en-US"/>
    </w:rPr>
  </w:style>
  <w:style w:type="paragraph" w:styleId="BodyText2">
    <w:name w:val="Body Text 2"/>
    <w:basedOn w:val="Normal"/>
    <w:link w:val="BodyText2Char"/>
    <w:rsid w:val="00E006EF"/>
    <w:pPr>
      <w:widowControl w:val="0"/>
      <w:tabs>
        <w:tab w:val="clear" w:pos="794"/>
        <w:tab w:val="clear" w:pos="1191"/>
        <w:tab w:val="clear" w:pos="1588"/>
        <w:tab w:val="clear" w:pos="1985"/>
      </w:tabs>
      <w:overflowPunct/>
      <w:autoSpaceDE/>
      <w:autoSpaceDN/>
      <w:spacing w:before="0" w:after="120" w:line="480" w:lineRule="auto"/>
    </w:pPr>
    <w:rPr>
      <w:rFonts w:ascii="Arial" w:hAnsi="Arial" w:cs="Arial"/>
      <w:sz w:val="20"/>
      <w:szCs w:val="24"/>
    </w:rPr>
  </w:style>
  <w:style w:type="character" w:customStyle="1" w:styleId="BodyText2Char">
    <w:name w:val="Body Text 2 Char"/>
    <w:basedOn w:val="DefaultParagraphFont"/>
    <w:link w:val="BodyText2"/>
    <w:rsid w:val="00E006EF"/>
    <w:rPr>
      <w:rFonts w:ascii="Arial" w:hAnsi="Arial" w:cs="Arial"/>
      <w:szCs w:val="24"/>
      <w:lang w:val="en-GB" w:eastAsia="en-US"/>
    </w:rPr>
  </w:style>
  <w:style w:type="paragraph" w:customStyle="1" w:styleId="Figurealphabet">
    <w:name w:val="Figure alphabet"/>
    <w:basedOn w:val="FigureBullets"/>
    <w:rsid w:val="00E006EF"/>
    <w:pPr>
      <w:numPr>
        <w:numId w:val="29"/>
      </w:numPr>
      <w:spacing w:line="240" w:lineRule="auto"/>
    </w:pPr>
  </w:style>
  <w:style w:type="paragraph" w:customStyle="1" w:styleId="Figurenumbers">
    <w:name w:val="Figure numbers"/>
    <w:basedOn w:val="Figurealphabet"/>
    <w:rsid w:val="00E006EF"/>
    <w:pPr>
      <w:numPr>
        <w:numId w:val="30"/>
      </w:numPr>
      <w:spacing w:line="220" w:lineRule="exact"/>
    </w:pPr>
  </w:style>
  <w:style w:type="table" w:styleId="LightList">
    <w:name w:val="Light List"/>
    <w:basedOn w:val="TableNormal"/>
    <w:uiPriority w:val="61"/>
    <w:rsid w:val="00E006EF"/>
    <w:pPr>
      <w:spacing w:after="120" w:line="276" w:lineRule="auto"/>
    </w:pPr>
    <w:rPr>
      <w:rFonts w:ascii="Times New Roman" w:hAnsi="Times New Roman"/>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KeyFactsStatistcLarge">
    <w:name w:val="Key Facts Statistc Large"/>
    <w:basedOn w:val="BodyText0"/>
    <w:next w:val="KeyFactsLargefollowon"/>
    <w:qFormat/>
    <w:locked/>
    <w:rsid w:val="00E006EF"/>
    <w:rPr>
      <w:b/>
      <w:color w:val="000000"/>
      <w:sz w:val="48"/>
    </w:rPr>
  </w:style>
  <w:style w:type="paragraph" w:customStyle="1" w:styleId="KeyFactsLargefollowon">
    <w:name w:val="Key Facts Large follow on"/>
    <w:basedOn w:val="BodyText0"/>
    <w:qFormat/>
    <w:rsid w:val="00E006EF"/>
    <w:rPr>
      <w:color w:val="000000"/>
      <w:sz w:val="15"/>
    </w:rPr>
  </w:style>
  <w:style w:type="paragraph" w:customStyle="1" w:styleId="KeyFactsStatisticSmall">
    <w:name w:val="Key Facts Statistic Small"/>
    <w:basedOn w:val="BodyText0"/>
    <w:qFormat/>
    <w:rsid w:val="00E006EF"/>
    <w:pPr>
      <w:spacing w:before="60" w:after="60" w:line="280" w:lineRule="exact"/>
    </w:pPr>
    <w:rPr>
      <w:b/>
      <w:color w:val="000000"/>
    </w:rPr>
  </w:style>
  <w:style w:type="paragraph" w:customStyle="1" w:styleId="KeyFactsSmallfollowon">
    <w:name w:val="Key Facts Small follow on"/>
    <w:basedOn w:val="BodyText0"/>
    <w:qFormat/>
    <w:rsid w:val="00E006EF"/>
    <w:pPr>
      <w:spacing w:before="60" w:after="60" w:line="280" w:lineRule="exact"/>
    </w:pPr>
    <w:rPr>
      <w:color w:val="000000"/>
    </w:rPr>
  </w:style>
  <w:style w:type="paragraph" w:customStyle="1" w:styleId="KeyfactsHeading">
    <w:name w:val="Key facts Heading"/>
    <w:basedOn w:val="BodyText0"/>
    <w:next w:val="Keyfactsfollowon"/>
    <w:qFormat/>
    <w:rsid w:val="00E006EF"/>
    <w:rPr>
      <w:b/>
      <w:color w:val="000000"/>
      <w:sz w:val="48"/>
    </w:rPr>
  </w:style>
  <w:style w:type="paragraph" w:customStyle="1" w:styleId="Keyfactsfollowon">
    <w:name w:val="Key facts follow on"/>
    <w:basedOn w:val="BodyText0"/>
    <w:qFormat/>
    <w:rsid w:val="00E006EF"/>
    <w:rPr>
      <w:color w:val="000000"/>
      <w:sz w:val="15"/>
    </w:rPr>
  </w:style>
  <w:style w:type="character" w:customStyle="1" w:styleId="NotBold">
    <w:name w:val="NotBold"/>
    <w:basedOn w:val="DefaultParagraphFont"/>
    <w:uiPriority w:val="1"/>
    <w:qFormat/>
    <w:rsid w:val="00E006EF"/>
  </w:style>
  <w:style w:type="character" w:customStyle="1" w:styleId="NotItalic">
    <w:name w:val="NotItalic"/>
    <w:basedOn w:val="Italic"/>
    <w:uiPriority w:val="1"/>
    <w:qFormat/>
    <w:rsid w:val="00E006EF"/>
    <w:rPr>
      <w:b w:val="0"/>
      <w:i w:val="0"/>
      <w:iCs/>
    </w:rPr>
  </w:style>
  <w:style w:type="paragraph" w:styleId="ListParagraph">
    <w:name w:val="List Paragraph"/>
    <w:aliases w:val="List Paragraph (numbered (a)),List Paragraph1,Recommendation,List Paragraph11,L,CV text,Table text,List Paragraph2,F5 List Paragraph,Dot pt,List Paragraph111,Medium Grid 1 - Accent 21,Numbered Paragraph,Main numbered paragraph,Bullets"/>
    <w:basedOn w:val="Normal"/>
    <w:uiPriority w:val="34"/>
    <w:qFormat/>
    <w:rsid w:val="00E006EF"/>
    <w:pPr>
      <w:tabs>
        <w:tab w:val="clear" w:pos="794"/>
        <w:tab w:val="clear" w:pos="1191"/>
        <w:tab w:val="clear" w:pos="1588"/>
        <w:tab w:val="clear" w:pos="1985"/>
      </w:tabs>
      <w:overflowPunct/>
      <w:autoSpaceDE/>
      <w:autoSpaceDN/>
      <w:adjustRightInd/>
      <w:spacing w:before="0" w:after="160" w:line="259" w:lineRule="auto"/>
      <w:ind w:left="720"/>
      <w:contextualSpacing/>
      <w:textAlignment w:val="auto"/>
    </w:pPr>
    <w:rPr>
      <w:rFonts w:asciiTheme="minorHAnsi" w:eastAsiaTheme="minorHAnsi" w:hAnsiTheme="minorHAnsi" w:cstheme="minorBidi"/>
      <w:szCs w:val="22"/>
    </w:rPr>
  </w:style>
  <w:style w:type="character" w:styleId="Strong">
    <w:name w:val="Strong"/>
    <w:basedOn w:val="DefaultParagraphFont"/>
    <w:uiPriority w:val="22"/>
    <w:qFormat/>
    <w:rsid w:val="00E006EF"/>
    <w:rPr>
      <w:b/>
      <w:bCs/>
    </w:rPr>
  </w:style>
  <w:style w:type="paragraph" w:styleId="Revision">
    <w:name w:val="Revision"/>
    <w:hidden/>
    <w:uiPriority w:val="99"/>
    <w:semiHidden/>
    <w:rsid w:val="00E006EF"/>
    <w:rPr>
      <w:rFonts w:ascii="Arial" w:hAnsi="Arial" w:cs="Arial"/>
      <w:szCs w:val="24"/>
      <w:lang w:val="en-GB" w:eastAsia="en-US"/>
    </w:rPr>
  </w:style>
  <w:style w:type="character" w:customStyle="1" w:styleId="Mention1">
    <w:name w:val="Mention1"/>
    <w:basedOn w:val="DefaultParagraphFont"/>
    <w:uiPriority w:val="99"/>
    <w:unhideWhenUsed/>
    <w:rsid w:val="00E006EF"/>
    <w:rPr>
      <w:color w:val="2B579A"/>
      <w:shd w:val="clear" w:color="auto" w:fill="E1DFDD"/>
    </w:rPr>
  </w:style>
  <w:style w:type="character" w:styleId="Emphasis">
    <w:name w:val="Emphasis"/>
    <w:basedOn w:val="DefaultParagraphFont"/>
    <w:qFormat/>
    <w:rsid w:val="00E006EF"/>
    <w:rPr>
      <w:i/>
      <w:iCs/>
    </w:rPr>
  </w:style>
  <w:style w:type="paragraph" w:styleId="z-TopofForm">
    <w:name w:val="HTML Top of Form"/>
    <w:basedOn w:val="Normal"/>
    <w:next w:val="Normal"/>
    <w:link w:val="z-TopofFormChar"/>
    <w:hidden/>
    <w:uiPriority w:val="99"/>
    <w:semiHidden/>
    <w:unhideWhenUsed/>
    <w:rsid w:val="00E006EF"/>
    <w:pPr>
      <w:pBdr>
        <w:bottom w:val="single" w:sz="6" w:space="1" w:color="auto"/>
      </w:pBdr>
      <w:tabs>
        <w:tab w:val="clear" w:pos="794"/>
        <w:tab w:val="clear" w:pos="1191"/>
        <w:tab w:val="clear" w:pos="1588"/>
        <w:tab w:val="clear" w:pos="1985"/>
      </w:tabs>
      <w:overflowPunct/>
      <w:autoSpaceDE/>
      <w:autoSpaceDN/>
      <w:adjustRightInd/>
      <w:spacing w:before="0"/>
      <w:jc w:val="center"/>
      <w:textAlignment w:val="auto"/>
    </w:pPr>
    <w:rPr>
      <w:rFonts w:ascii="Arial" w:hAnsi="Arial" w:cs="Arial"/>
      <w:vanish/>
      <w:sz w:val="16"/>
      <w:szCs w:val="16"/>
      <w:lang w:eastAsia="en-GB"/>
    </w:rPr>
  </w:style>
  <w:style w:type="character" w:customStyle="1" w:styleId="z-TopofFormChar">
    <w:name w:val="z-Top of Form Char"/>
    <w:basedOn w:val="DefaultParagraphFont"/>
    <w:link w:val="z-TopofForm"/>
    <w:uiPriority w:val="99"/>
    <w:semiHidden/>
    <w:rsid w:val="00E006EF"/>
    <w:rPr>
      <w:rFonts w:ascii="Arial" w:hAnsi="Arial" w:cs="Arial"/>
      <w:vanish/>
      <w:sz w:val="16"/>
      <w:szCs w:val="16"/>
      <w:lang w:val="en-GB" w:eastAsia="en-GB"/>
    </w:rPr>
  </w:style>
  <w:style w:type="paragraph" w:styleId="z-BottomofForm">
    <w:name w:val="HTML Bottom of Form"/>
    <w:basedOn w:val="Normal"/>
    <w:next w:val="Normal"/>
    <w:link w:val="z-BottomofFormChar"/>
    <w:hidden/>
    <w:uiPriority w:val="99"/>
    <w:semiHidden/>
    <w:unhideWhenUsed/>
    <w:rsid w:val="00E006EF"/>
    <w:pPr>
      <w:pBdr>
        <w:top w:val="single" w:sz="6" w:space="1" w:color="auto"/>
      </w:pBdr>
      <w:tabs>
        <w:tab w:val="clear" w:pos="794"/>
        <w:tab w:val="clear" w:pos="1191"/>
        <w:tab w:val="clear" w:pos="1588"/>
        <w:tab w:val="clear" w:pos="1985"/>
      </w:tabs>
      <w:overflowPunct/>
      <w:autoSpaceDE/>
      <w:autoSpaceDN/>
      <w:adjustRightInd/>
      <w:spacing w:before="0"/>
      <w:jc w:val="center"/>
      <w:textAlignment w:val="auto"/>
    </w:pPr>
    <w:rPr>
      <w:rFonts w:ascii="Arial"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E006EF"/>
    <w:rPr>
      <w:rFonts w:ascii="Arial" w:hAnsi="Arial" w:cs="Arial"/>
      <w:vanish/>
      <w:sz w:val="16"/>
      <w:szCs w:val="16"/>
      <w:lang w:val="en-GB" w:eastAsia="en-GB"/>
    </w:rPr>
  </w:style>
  <w:style w:type="paragraph" w:styleId="NormalWeb">
    <w:name w:val="Normal (Web)"/>
    <w:basedOn w:val="Normal"/>
    <w:uiPriority w:val="99"/>
    <w:semiHidden/>
    <w:unhideWhenUsed/>
    <w:rsid w:val="00E006EF"/>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Times New Roman" w:hAnsi="Times New Roman"/>
      <w:sz w:val="24"/>
      <w:szCs w:val="24"/>
      <w:lang w:eastAsia="en-GB"/>
    </w:rPr>
  </w:style>
  <w:style w:type="paragraph" w:styleId="Date">
    <w:name w:val="Date"/>
    <w:basedOn w:val="Normal"/>
    <w:next w:val="Normal"/>
    <w:link w:val="DateChar"/>
    <w:rsid w:val="00E006EF"/>
    <w:pPr>
      <w:tabs>
        <w:tab w:val="clear" w:pos="794"/>
        <w:tab w:val="clear" w:pos="1191"/>
        <w:tab w:val="clear" w:pos="1588"/>
        <w:tab w:val="clear" w:pos="1985"/>
        <w:tab w:val="left" w:pos="567"/>
        <w:tab w:val="left" w:pos="1134"/>
        <w:tab w:val="left" w:pos="1701"/>
        <w:tab w:val="left" w:pos="2268"/>
        <w:tab w:val="left" w:pos="2835"/>
      </w:tabs>
    </w:pPr>
    <w:rPr>
      <w:sz w:val="24"/>
    </w:rPr>
  </w:style>
  <w:style w:type="character" w:customStyle="1" w:styleId="DateChar">
    <w:name w:val="Date Char"/>
    <w:basedOn w:val="DefaultParagraphFont"/>
    <w:link w:val="Date"/>
    <w:rsid w:val="00E006EF"/>
    <w:rPr>
      <w:rFonts w:ascii="Calibri" w:hAnsi="Calibri"/>
      <w:sz w:val="24"/>
      <w:lang w:val="en-GB" w:eastAsia="en-US"/>
    </w:rPr>
  </w:style>
  <w:style w:type="character" w:customStyle="1" w:styleId="content">
    <w:name w:val="content"/>
    <w:basedOn w:val="DefaultParagraphFont"/>
    <w:rsid w:val="00E006EF"/>
  </w:style>
  <w:style w:type="character" w:customStyle="1" w:styleId="terminologypart">
    <w:name w:val="terminologypart"/>
    <w:basedOn w:val="DefaultParagraphFont"/>
    <w:rsid w:val="00E006EF"/>
  </w:style>
  <w:style w:type="character" w:styleId="UnresolvedMention">
    <w:name w:val="Unresolved Mention"/>
    <w:basedOn w:val="DefaultParagraphFont"/>
    <w:uiPriority w:val="99"/>
    <w:unhideWhenUsed/>
    <w:rsid w:val="00426DF2"/>
    <w:rPr>
      <w:color w:val="605E5C"/>
      <w:shd w:val="clear" w:color="auto" w:fill="E1DFDD"/>
    </w:rPr>
  </w:style>
  <w:style w:type="character" w:styleId="Mention">
    <w:name w:val="Mention"/>
    <w:basedOn w:val="DefaultParagraphFont"/>
    <w:uiPriority w:val="99"/>
    <w:unhideWhenUsed/>
    <w:rsid w:val="00426DF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1020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S18-CL-C-0125/en" TargetMode="External"/><Relationship Id="rId18" Type="http://schemas.openxmlformats.org/officeDocument/2006/relationships/footer" Target="footer3.xml"/><Relationship Id="rId26" Type="http://schemas.openxmlformats.org/officeDocument/2006/relationships/hyperlink" Target="https://www.itu.int/md/S22-CL-C-0042/en" TargetMode="External"/><Relationship Id="rId39" Type="http://schemas.openxmlformats.org/officeDocument/2006/relationships/hyperlink" Target="https://www.itu.int/md/S22-CL-C-0101/en" TargetMode="External"/><Relationship Id="rId21" Type="http://schemas.openxmlformats.org/officeDocument/2006/relationships/hyperlink" Target="https://www.itu.int/md/S20-CL-C-0054/en" TargetMode="External"/><Relationship Id="rId34" Type="http://schemas.openxmlformats.org/officeDocument/2006/relationships/hyperlink" Target="https://www.itu.int/md/S20-CL-C-0074/en" TargetMode="External"/><Relationship Id="rId42" Type="http://schemas.openxmlformats.org/officeDocument/2006/relationships/hyperlink" Target="https://www.itu.int/md/S22-CL-C-0101/en" TargetMode="External"/><Relationship Id="rId47" Type="http://schemas.openxmlformats.org/officeDocument/2006/relationships/hyperlink" Target="https://www.itu.int/md/S22-CL-C-0101/en" TargetMode="External"/><Relationship Id="rId50" Type="http://schemas.openxmlformats.org/officeDocument/2006/relationships/hyperlink" Target="https://www.itu.int/md/S20-CL-C-0075/en" TargetMode="External"/><Relationship Id="rId55" Type="http://schemas.openxmlformats.org/officeDocument/2006/relationships/hyperlink" Target="https://www.itu.int/md/S20-CL-C-0074/en"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tu.int/md/S22-CL-C-0101/en" TargetMode="External"/><Relationship Id="rId29" Type="http://schemas.openxmlformats.org/officeDocument/2006/relationships/hyperlink" Target="https://www.itu.int/md/S22-CL-C-0101/en" TargetMode="External"/><Relationship Id="rId11" Type="http://schemas.openxmlformats.org/officeDocument/2006/relationships/footer" Target="footer2.xml"/><Relationship Id="rId24" Type="http://schemas.openxmlformats.org/officeDocument/2006/relationships/hyperlink" Target="https://www.itu.int/md/S21-CL-C-0046/en" TargetMode="External"/><Relationship Id="rId32" Type="http://schemas.openxmlformats.org/officeDocument/2006/relationships/hyperlink" Target="https://www.itu.int/md/S22-CL-C-0101/en" TargetMode="External"/><Relationship Id="rId37" Type="http://schemas.openxmlformats.org/officeDocument/2006/relationships/hyperlink" Target="https://www.itu.int/en/council/ties/Pages/regional-presence-dashboard.aspx" TargetMode="External"/><Relationship Id="rId40" Type="http://schemas.openxmlformats.org/officeDocument/2006/relationships/hyperlink" Target="https://www.itu.int/md/S22-CL-C-0101/en" TargetMode="External"/><Relationship Id="rId45" Type="http://schemas.openxmlformats.org/officeDocument/2006/relationships/hyperlink" Target="https://www.itu.int/md/S22-CL-C-0101/en" TargetMode="External"/><Relationship Id="rId53" Type="http://schemas.openxmlformats.org/officeDocument/2006/relationships/hyperlink" Target="https://www.itu.int/md/S22-CL-C-0101/en" TargetMode="External"/><Relationship Id="rId58" Type="http://schemas.openxmlformats.org/officeDocument/2006/relationships/hyperlink" Target="https://www.itu.int/md/S22-CL-C-0101/en" TargetMode="External"/><Relationship Id="rId5" Type="http://schemas.openxmlformats.org/officeDocument/2006/relationships/webSettings" Target="webSettings.xml"/><Relationship Id="rId61" Type="http://schemas.openxmlformats.org/officeDocument/2006/relationships/footer" Target="footer5.xml"/><Relationship Id="rId19" Type="http://schemas.openxmlformats.org/officeDocument/2006/relationships/hyperlink" Target="https://www.itu.int/md/S20-CL-C-0042/en" TargetMode="External"/><Relationship Id="rId14" Type="http://schemas.openxmlformats.org/officeDocument/2006/relationships/hyperlink" Target="https://www.itu.int/md/S19-CL-C-0106/en" TargetMode="External"/><Relationship Id="rId22" Type="http://schemas.openxmlformats.org/officeDocument/2006/relationships/hyperlink" Target="https://www.itu.int/md/S20-CL-C-0040/en" TargetMode="External"/><Relationship Id="rId27" Type="http://schemas.openxmlformats.org/officeDocument/2006/relationships/hyperlink" Target="https://www.itu.int/md/S21-CL-C-0054/en" TargetMode="External"/><Relationship Id="rId30" Type="http://schemas.openxmlformats.org/officeDocument/2006/relationships/hyperlink" Target="https://www.itu.int/md/S20-CL-C-0074/en" TargetMode="External"/><Relationship Id="rId35" Type="http://schemas.openxmlformats.org/officeDocument/2006/relationships/hyperlink" Target="https://www.itu.int/md/S20-CL-C-0074/en" TargetMode="External"/><Relationship Id="rId43" Type="http://schemas.openxmlformats.org/officeDocument/2006/relationships/hyperlink" Target="https://www.itu.int/md/S20-CL-C-0074/en" TargetMode="External"/><Relationship Id="rId48" Type="http://schemas.openxmlformats.org/officeDocument/2006/relationships/hyperlink" Target="https://www.itu.int/md/S20-CL-C-0075/en" TargetMode="External"/><Relationship Id="rId56" Type="http://schemas.openxmlformats.org/officeDocument/2006/relationships/hyperlink" Target="https://www.itu.int/md/S22-CL-C-0101/en" TargetMode="External"/><Relationship Id="rId8" Type="http://schemas.openxmlformats.org/officeDocument/2006/relationships/header" Target="header1.xml"/><Relationship Id="rId51" Type="http://schemas.openxmlformats.org/officeDocument/2006/relationships/hyperlink" Target="https://www.itu.int/md/S22-CL-C-0101/en" TargetMode="Externa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yperlink" Target="https://www.itu.int/md/S22-CL-C-0088/en" TargetMode="External"/><Relationship Id="rId33" Type="http://schemas.openxmlformats.org/officeDocument/2006/relationships/hyperlink" Target="https://www.itu.int/md/S20-CL-C-0074/en" TargetMode="External"/><Relationship Id="rId38" Type="http://schemas.openxmlformats.org/officeDocument/2006/relationships/hyperlink" Target="https://www.itu.int/md/S20-CL-C-0074/en" TargetMode="External"/><Relationship Id="rId46" Type="http://schemas.openxmlformats.org/officeDocument/2006/relationships/hyperlink" Target="https://www.itu.int/md/S20-CL-C-0075/en" TargetMode="External"/><Relationship Id="rId59" Type="http://schemas.openxmlformats.org/officeDocument/2006/relationships/footer" Target="footer4.xml"/><Relationship Id="rId20" Type="http://schemas.openxmlformats.org/officeDocument/2006/relationships/hyperlink" Target="https://www.itu.int/md/S21-CL-C-0042/en" TargetMode="External"/><Relationship Id="rId41" Type="http://schemas.openxmlformats.org/officeDocument/2006/relationships/hyperlink" Target="https://www.itu.int/md/S20-CL-C-0075/en" TargetMode="External"/><Relationship Id="rId54" Type="http://schemas.openxmlformats.org/officeDocument/2006/relationships/hyperlink" Target="https://www.itu.int/md/S20-CL-C-0075/en"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tu.int/md/S22-CL-C-0104/en" TargetMode="External"/><Relationship Id="rId23" Type="http://schemas.openxmlformats.org/officeDocument/2006/relationships/hyperlink" Target="https://www.itu.int/md/S20-CL-C-0046/en" TargetMode="External"/><Relationship Id="rId28" Type="http://schemas.openxmlformats.org/officeDocument/2006/relationships/hyperlink" Target="https://www.itu.int/md/S22-CL-C-0101/en" TargetMode="External"/><Relationship Id="rId36" Type="http://schemas.openxmlformats.org/officeDocument/2006/relationships/hyperlink" Target="https://www.itu.int/md/S22-CL-C-0025/en" TargetMode="External"/><Relationship Id="rId49" Type="http://schemas.openxmlformats.org/officeDocument/2006/relationships/hyperlink" Target="https://www.itu.int/md/S22-CL-C-0101/en" TargetMode="External"/><Relationship Id="rId57" Type="http://schemas.openxmlformats.org/officeDocument/2006/relationships/hyperlink" Target="https://www.itu.int/md/S20-CL-C-0074/en" TargetMode="External"/><Relationship Id="rId10" Type="http://schemas.openxmlformats.org/officeDocument/2006/relationships/header" Target="header2.xml"/><Relationship Id="rId31" Type="http://schemas.openxmlformats.org/officeDocument/2006/relationships/hyperlink" Target="https://www.itu.int/md/S22-CL-C-0101/en" TargetMode="External"/><Relationship Id="rId44" Type="http://schemas.openxmlformats.org/officeDocument/2006/relationships/hyperlink" Target="https://www.itu.int/md/S20-CL-C-0075/en" TargetMode="External"/><Relationship Id="rId52" Type="http://schemas.openxmlformats.org/officeDocument/2006/relationships/hyperlink" Target="https://www.itu.int/md/S20-CL-C-0075/en" TargetMode="External"/><Relationship Id="rId60"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missar\AppData\Roaming\Microsoft\Templates\POOL%20R%20-%20ITU\GS\PR_Council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CBC33-D00F-4C36-AAFB-5C7F3800F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PR_Council25.dotx</Template>
  <TotalTime>13</TotalTime>
  <Pages>97</Pages>
  <Words>33636</Words>
  <Characters>230332</Characters>
  <Application>Microsoft Office Word</Application>
  <DocSecurity>0</DocSecurity>
  <Lines>5875</Lines>
  <Paragraphs>1303</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262739</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Auditor report: Union's accounts 2024</dc:title>
  <dc:subject>ITU Council 2025</dc:subject>
  <cp:keywords>C2025, C25, Council-25</cp:keywords>
  <dc:description/>
  <cp:lastPrinted>2006-03-28T16:12:00Z</cp:lastPrinted>
  <dcterms:created xsi:type="dcterms:W3CDTF">2025-06-17T10:38:00Z</dcterms:created>
  <dcterms:modified xsi:type="dcterms:W3CDTF">2025-06-17T10:50:00Z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Документ C05/xx-R</vt:lpwstr>
  </property>
  <property fmtid="{D5CDD505-2E9C-101B-9397-08002B2CF9AE}" pid="3" name="Docdate">
    <vt:lpwstr>Дата</vt:lpwstr>
  </property>
  <property fmtid="{D5CDD505-2E9C-101B-9397-08002B2CF9AE}" pid="4" name="Docorlang">
    <vt:lpwstr>Оригинал: английский</vt:lpwstr>
  </property>
  <property fmtid="{D5CDD505-2E9C-101B-9397-08002B2CF9AE}" pid="5" name="Docbluepink">
    <vt:lpwstr/>
  </property>
  <property fmtid="{D5CDD505-2E9C-101B-9397-08002B2CF9AE}" pid="6" name="Docdest">
    <vt:lpwstr/>
  </property>
  <property fmtid="{D5CDD505-2E9C-101B-9397-08002B2CF9AE}" pid="7" name="Docauthor">
    <vt:lpwstr>Отчет [Записка] Генерального секретаря</vt:lpwstr>
  </property>
  <property fmtid="{D5CDD505-2E9C-101B-9397-08002B2CF9AE}" pid="8" name="GrammarlyDocumentId">
    <vt:lpwstr>9788a1e2cff90a8b0a0b89c964e56f6e6a612f9769bc84c067c7d1a91603ee22</vt:lpwstr>
  </property>
</Properties>
</file>